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62EF4" w14:textId="77777777" w:rsidR="00EE59C2" w:rsidRDefault="00CC5156" w:rsidP="00EE59C2">
      <w:pPr>
        <w:pStyle w:val="aff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9F2FE2" wp14:editId="3DFCD6B4">
                <wp:simplePos x="0" y="0"/>
                <wp:positionH relativeFrom="column">
                  <wp:posOffset>-822960</wp:posOffset>
                </wp:positionH>
                <wp:positionV relativeFrom="paragraph">
                  <wp:posOffset>-491490</wp:posOffset>
                </wp:positionV>
                <wp:extent cx="7000875" cy="8448675"/>
                <wp:effectExtent l="0" t="0" r="9525" b="952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844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F197B" w14:textId="77777777" w:rsidR="00971258" w:rsidRDefault="00971258" w:rsidP="00F822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D 52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9F2FE2" id="Прямоугольник 3" o:spid="_x0000_s1026" style="position:absolute;left:0;text-align:left;margin-left:-64.8pt;margin-top:-38.7pt;width:551.25pt;height:6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BMswIAAKAFAAAOAAAAZHJzL2Uyb0RvYy54bWysVM1uEzEQviPxDpbvdDchbUPUTRW1KkKK&#10;2ooW9ex47WSF12Ns548TUq9IPAIPwQXx02fYvBFj724aCpciLpbH883Y8/mbOTpelYoshHUF6Ix2&#10;9lJKhOaQF3qa0TfXZ8/6lDjPdM4UaJHRtXD0ePj0ydHSDEQXZqByYQkm0W6wNBmdeW8GSeL4TJTM&#10;7YERGp0SbMk8mnaa5JYtMXupkm6aHiRLsLmxwIVzeHpaO+kw5pdScH8hpROeqIzi23xcbVwnYU2G&#10;R2wwtczMCt48g/3DK0pWaLx0m+qUeUbmtvgjVVlwCw6k3+NQJiBlwUWsAavppA+quZoxI2ItSI4z&#10;W5rc/0vLzxeXlhR5RruUaFbiF1WfNx82n6of1d3mtvpS3VXfNx+rn9XX6ht5HvhaGjfAsCtzaUPF&#10;zoyBv3XoSH7zBMM1mJW0ZcBivWQVyV9vyRcrTzgeHqZp2j/cp4Sjr9/r9Q/QCFnZoA031vmXAkoS&#10;Nhm1+LuRdLYYO19DW0h8GagiPyuUikZQlDhRliwYamEy7TTJ3S5K6YDVEKLqhOEkFlbXEqvyayUC&#10;TunXQiJ5saT6EjudhDtqhWELoOZanWEhMSAAJeZ/ZGwTEqJFFPYj47dB8X7QfhtfFhpsJDK23T1J&#10;yrckyRrfUlETELjwq8kKiQrbCeRr1JKFusmc4WcF/tOYOX/JLHYVcoGTwl/gIhUsMwrNjpIZ2Pd/&#10;Ow94FDt6KVlil2bUvZszKyhRrzS2wYtOrxfaOhq9/cMuGnbXM9n16Hl5Avj5HZxJhsdtwHvVbqWF&#10;8gYHyijcii6mOd6dUe5ta5z4+m9xJHExGkUYtrJhfqyvDA/JA8FBh9erG2ZNI1aPOj+HtqPZ4IFm&#10;a2yI1DCae5BFFPQ9rw31OAZiSzQjK8yZXTui7gfr8BcAAAD//wMAUEsDBBQABgAIAAAAIQD9KZAQ&#10;5AAAAA0BAAAPAAAAZHJzL2Rvd25yZXYueG1sTI/LTsMwEEX3SPyDNUjsWicGmgdxKqgAqQsqaJDY&#10;urFJAvE4it00/D3DCnYzmqM75xbr2fZsMqPvHEqIlxEwg7XTHTYS3qrHRQrMB4Va9Q6NhG/jYV2e&#10;nxUq1+6Er2bah4ZRCPpcSWhDGHLOfd0aq/zSDQbp9uFGqwKtY8P1qE4UbnsuomjFreqQPrRqMJvW&#10;1F/7o5WwTbfv1ef9Zlc/755EKh6yl2oKUl5ezHe3wIKZwx8Mv/qkDiU5HdwRtWe9hEUsshWxNCXJ&#10;NTBCskRkwA7EipurGHhZ8P8tyh8AAAD//wMAUEsBAi0AFAAGAAgAAAAhALaDOJL+AAAA4QEAABMA&#10;AAAAAAAAAAAAAAAAAAAAAFtDb250ZW50X1R5cGVzXS54bWxQSwECLQAUAAYACAAAACEAOP0h/9YA&#10;AACUAQAACwAAAAAAAAAAAAAAAAAvAQAAX3JlbHMvLnJlbHNQSwECLQAUAAYACAAAACEAeqXATLMC&#10;AACgBQAADgAAAAAAAAAAAAAAAAAuAgAAZHJzL2Uyb0RvYy54bWxQSwECLQAUAAYACAAAACEA/SmQ&#10;EOQAAAANAQAADwAAAAAAAAAAAAAAAAANBQAAZHJzL2Rvd25yZXYueG1sUEsFBgAAAAAEAAQA8wAA&#10;AB4GAAAAAA==&#10;" fillcolor="white [3212]" stroked="f">
                <v:path arrowok="t"/>
                <v:textbox>
                  <w:txbxContent>
                    <w:p w14:paraId="6B7F197B" w14:textId="77777777" w:rsidR="0067168B" w:rsidRDefault="0067168B" w:rsidP="00F8226D">
                      <w:pPr>
                        <w:jc w:val="center"/>
                      </w:pPr>
                      <w:r>
                        <w:rPr>
                          <w:color w:val="000000" w:themeColor="text1"/>
                          <w:lang w:val="en-US"/>
                        </w:rPr>
                        <w:t>D 52</w:t>
                      </w: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006413F9" w14:textId="77777777" w:rsidR="00EE59C2" w:rsidRDefault="00EE59C2" w:rsidP="00EE59C2">
      <w:pPr>
        <w:pStyle w:val="aff7"/>
      </w:pPr>
    </w:p>
    <w:p w14:paraId="1A5ED5F5" w14:textId="77777777" w:rsidR="002145F1" w:rsidRDefault="002145F1" w:rsidP="002145F1"/>
    <w:p w14:paraId="4342C8B5" w14:textId="77777777" w:rsidR="002145F1" w:rsidRDefault="002145F1" w:rsidP="002145F1"/>
    <w:p w14:paraId="741AB281" w14:textId="77777777" w:rsidR="003B4246" w:rsidRDefault="003B4246" w:rsidP="002145F1"/>
    <w:tbl>
      <w:tblPr>
        <w:tblStyle w:val="aff8"/>
        <w:tblpPr w:leftFromText="180" w:rightFromText="180" w:vertAnchor="page" w:horzAnchor="margin" w:tblpXSpec="right" w:tblpY="378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39"/>
      </w:tblGrid>
      <w:tr w:rsidR="00172112" w14:paraId="6F0B3E13" w14:textId="77777777" w:rsidTr="00172112">
        <w:tc>
          <w:tcPr>
            <w:tcW w:w="9525" w:type="dxa"/>
            <w:gridSpan w:val="2"/>
          </w:tcPr>
          <w:p w14:paraId="3F3F00B7" w14:textId="77777777" w:rsidR="00172112" w:rsidRDefault="00172112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</w:tr>
      <w:tr w:rsidR="00172112" w14:paraId="332134E6" w14:textId="77777777" w:rsidTr="00172112">
        <w:trPr>
          <w:trHeight w:val="1907"/>
        </w:trPr>
        <w:tc>
          <w:tcPr>
            <w:tcW w:w="9525" w:type="dxa"/>
            <w:gridSpan w:val="2"/>
          </w:tcPr>
          <w:p w14:paraId="1D5957B0" w14:textId="77777777" w:rsidR="00953873" w:rsidRDefault="00953873" w:rsidP="00172112">
            <w:pPr>
              <w:tabs>
                <w:tab w:val="left" w:pos="6135"/>
              </w:tabs>
              <w:rPr>
                <w:b/>
                <w:color w:val="000000"/>
                <w:sz w:val="44"/>
                <w:szCs w:val="44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  <w:p w14:paraId="0785CD4A" w14:textId="77777777" w:rsidR="00172112" w:rsidRDefault="00B115A8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44"/>
                <w:szCs w:val="44"/>
              </w:rPr>
              <w:t>Фолиеводефицитная</w:t>
            </w:r>
            <w:proofErr w:type="spellEnd"/>
            <w:r>
              <w:rPr>
                <w:b/>
                <w:color w:val="000000"/>
                <w:sz w:val="44"/>
                <w:szCs w:val="44"/>
              </w:rPr>
              <w:t xml:space="preserve"> анемия</w:t>
            </w:r>
          </w:p>
        </w:tc>
      </w:tr>
      <w:tr w:rsidR="00221384" w14:paraId="7AD3F2AA" w14:textId="77777777" w:rsidTr="00221384">
        <w:trPr>
          <w:trHeight w:val="815"/>
        </w:trPr>
        <w:tc>
          <w:tcPr>
            <w:tcW w:w="3686" w:type="dxa"/>
          </w:tcPr>
          <w:p w14:paraId="1BF72B0E" w14:textId="77777777" w:rsidR="00221384" w:rsidRPr="002758A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221384">
              <w:rPr>
                <w:color w:val="808080" w:themeColor="background1" w:themeShade="80"/>
                <w:szCs w:val="28"/>
              </w:rPr>
              <w:t>Кодирование по Международной статистической классификации болезней и проблем, связанных со здоровьем</w:t>
            </w:r>
            <w:r w:rsidRPr="002758A4">
              <w:rPr>
                <w:color w:val="808080" w:themeColor="background1" w:themeShade="80"/>
                <w:szCs w:val="28"/>
              </w:rPr>
              <w:t xml:space="preserve">: </w:t>
            </w:r>
          </w:p>
          <w:p w14:paraId="743B8735" w14:textId="77777777" w:rsidR="00221384" w:rsidRPr="002758A4" w:rsidRDefault="00221384" w:rsidP="00221384">
            <w:pPr>
              <w:pStyle w:val="aff3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</w:tcPr>
          <w:p w14:paraId="2ABEF544" w14:textId="77777777" w:rsidR="00221384" w:rsidRPr="002758A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221384" w14:paraId="25F4C9BD" w14:textId="77777777" w:rsidTr="00221384">
        <w:trPr>
          <w:trHeight w:val="815"/>
        </w:trPr>
        <w:tc>
          <w:tcPr>
            <w:tcW w:w="3686" w:type="dxa"/>
          </w:tcPr>
          <w:p w14:paraId="3011501B" w14:textId="77777777" w:rsidR="00221384" w:rsidRPr="0022138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 w:themeColor="background1" w:themeShade="80"/>
                <w:szCs w:val="28"/>
              </w:rPr>
            </w:pPr>
            <w:r>
              <w:rPr>
                <w:rStyle w:val="pop-slug-vol"/>
                <w:color w:val="767171" w:themeColor="background2" w:themeShade="80"/>
                <w:szCs w:val="28"/>
              </w:rPr>
              <w:t>Возрастная группа</w:t>
            </w:r>
            <w:r w:rsidRPr="002758A4">
              <w:rPr>
                <w:rStyle w:val="pop-slug-vol"/>
                <w:color w:val="767171" w:themeColor="background2" w:themeShade="80"/>
                <w:szCs w:val="28"/>
              </w:rPr>
              <w:t>:</w:t>
            </w:r>
            <w:r w:rsidRPr="002758A4">
              <w:rPr>
                <w:rStyle w:val="pop-slug-vol"/>
                <w:b/>
                <w:color w:val="767171" w:themeColor="background2" w:themeShade="80"/>
                <w:szCs w:val="28"/>
              </w:rPr>
              <w:t xml:space="preserve"> </w:t>
            </w:r>
            <w:r w:rsidRPr="002758A4">
              <w:rPr>
                <w:szCs w:val="28"/>
              </w:rPr>
              <w:t xml:space="preserve"> </w:t>
            </w:r>
          </w:p>
        </w:tc>
        <w:tc>
          <w:tcPr>
            <w:tcW w:w="5839" w:type="dxa"/>
          </w:tcPr>
          <w:p w14:paraId="233AE876" w14:textId="77777777" w:rsidR="00221384" w:rsidRPr="00996E07" w:rsidRDefault="00996E07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808080" w:themeColor="background1" w:themeShade="80"/>
                <w:szCs w:val="28"/>
              </w:rPr>
            </w:pPr>
            <w:r w:rsidRPr="00996E07">
              <w:rPr>
                <w:color w:val="000000" w:themeColor="text1"/>
                <w:szCs w:val="28"/>
              </w:rPr>
              <w:t>дети</w:t>
            </w:r>
            <w:r w:rsidRPr="00996E07">
              <w:rPr>
                <w:color w:val="000000" w:themeColor="text1"/>
                <w:szCs w:val="28"/>
                <w:lang w:val="en-US"/>
              </w:rPr>
              <w:t>/</w:t>
            </w:r>
            <w:r w:rsidRPr="00996E07">
              <w:rPr>
                <w:color w:val="000000" w:themeColor="text1"/>
                <w:szCs w:val="28"/>
              </w:rPr>
              <w:t>взрослые</w:t>
            </w:r>
          </w:p>
        </w:tc>
      </w:tr>
      <w:tr w:rsidR="00221384" w14:paraId="25789448" w14:textId="77777777" w:rsidTr="00221384">
        <w:trPr>
          <w:trHeight w:val="815"/>
        </w:trPr>
        <w:tc>
          <w:tcPr>
            <w:tcW w:w="3686" w:type="dxa"/>
          </w:tcPr>
          <w:p w14:paraId="3AEC2D74" w14:textId="77777777" w:rsidR="00221384" w:rsidRPr="0022138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 w:themeColor="background1" w:themeShade="80"/>
                <w:szCs w:val="28"/>
              </w:rPr>
            </w:pPr>
            <w:r>
              <w:rPr>
                <w:color w:val="808080" w:themeColor="background1" w:themeShade="80"/>
              </w:rPr>
              <w:t>Год утверждения:</w:t>
            </w:r>
          </w:p>
        </w:tc>
        <w:tc>
          <w:tcPr>
            <w:tcW w:w="5839" w:type="dxa"/>
          </w:tcPr>
          <w:p w14:paraId="11989429" w14:textId="571BA7B0" w:rsidR="00221384" w:rsidRPr="00153568" w:rsidRDefault="00971258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172112" w14:paraId="4D25CA46" w14:textId="77777777" w:rsidTr="00172112">
        <w:tc>
          <w:tcPr>
            <w:tcW w:w="9525" w:type="dxa"/>
            <w:gridSpan w:val="2"/>
          </w:tcPr>
          <w:p w14:paraId="1DDD4827" w14:textId="77777777" w:rsidR="00172112" w:rsidRPr="002758A4" w:rsidRDefault="00301C01" w:rsidP="00221384">
            <w:pPr>
              <w:tabs>
                <w:tab w:val="left" w:pos="6135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color w:val="808080" w:themeColor="background1" w:themeShade="80"/>
              </w:rPr>
              <w:t>Разработчик клинической рекомендации</w:t>
            </w:r>
            <w:r w:rsidR="00172112">
              <w:rPr>
                <w:color w:val="808080" w:themeColor="background1" w:themeShade="80"/>
              </w:rPr>
              <w:t>:</w:t>
            </w:r>
            <w:r w:rsidR="00094ED6" w:rsidRPr="00094ED6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72112" w14:paraId="58416CD7" w14:textId="77777777" w:rsidTr="00172112">
        <w:trPr>
          <w:trHeight w:val="4170"/>
        </w:trPr>
        <w:tc>
          <w:tcPr>
            <w:tcW w:w="9525" w:type="dxa"/>
            <w:gridSpan w:val="2"/>
          </w:tcPr>
          <w:p w14:paraId="3DCDAB8F" w14:textId="77777777" w:rsidR="00172112" w:rsidRPr="00EE59C2" w:rsidRDefault="00172112" w:rsidP="00172112">
            <w:pPr>
              <w:pStyle w:val="aff7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t>Н</w:t>
            </w:r>
            <w:r w:rsidR="00996E07">
              <w:t>ациональное гематологическое общество</w:t>
            </w:r>
          </w:p>
          <w:p w14:paraId="163B5568" w14:textId="77777777" w:rsidR="00174593" w:rsidRPr="00EE59C2" w:rsidRDefault="00996E07" w:rsidP="00B115A8">
            <w:pPr>
              <w:pStyle w:val="aff7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t>Национальн</w:t>
            </w:r>
            <w:r w:rsidR="00B115A8">
              <w:t>ое общество детских гематологов и онкологов</w:t>
            </w:r>
          </w:p>
          <w:p w14:paraId="7D48430E" w14:textId="77777777" w:rsidR="00CC5156" w:rsidRPr="005F668D" w:rsidRDefault="00CC5156" w:rsidP="00CC5156">
            <w:pPr>
              <w:pStyle w:val="aff7"/>
              <w:ind w:firstLine="0"/>
              <w:rPr>
                <w:b/>
                <w:sz w:val="28"/>
              </w:rPr>
            </w:pPr>
          </w:p>
        </w:tc>
      </w:tr>
    </w:tbl>
    <w:bookmarkStart w:id="0" w:name="_Toc492379891" w:displacedByCustomXml="next"/>
    <w:sdt>
      <w:sdtPr>
        <w:rPr>
          <w:rFonts w:cstheme="minorBidi"/>
          <w:b w:val="0"/>
          <w:szCs w:val="22"/>
          <w:u w:val="none"/>
        </w:rPr>
        <w:id w:val="-606890957"/>
        <w:docPartObj>
          <w:docPartGallery w:val="Table of Contents"/>
          <w:docPartUnique/>
        </w:docPartObj>
      </w:sdtPr>
      <w:sdtContent>
        <w:bookmarkStart w:id="1" w:name="_Toc32479199" w:displacedByCustomXml="prev"/>
        <w:p w14:paraId="60F95E94" w14:textId="77777777" w:rsidR="00172112" w:rsidRDefault="00094ED6" w:rsidP="00172112">
          <w:pPr>
            <w:pStyle w:val="afe"/>
            <w:jc w:val="center"/>
            <w:rPr>
              <w:sz w:val="28"/>
              <w:u w:val="none"/>
            </w:rPr>
          </w:pPr>
          <w:r>
            <w:rPr>
              <w:b w:val="0"/>
            </w:rPr>
            <w:br w:type="page"/>
          </w:r>
          <w:r w:rsidR="00172112" w:rsidRPr="00172112">
            <w:rPr>
              <w:sz w:val="28"/>
              <w:u w:val="none"/>
            </w:rPr>
            <w:lastRenderedPageBreak/>
            <w:t>Оглавление</w:t>
          </w:r>
          <w:bookmarkEnd w:id="0"/>
          <w:bookmarkEnd w:id="1"/>
        </w:p>
        <w:p w14:paraId="4BF7F29C" w14:textId="77777777" w:rsidR="00640250" w:rsidRDefault="00172112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877EF5">
            <w:rPr>
              <w:rFonts w:cs="Times New Roman"/>
              <w:szCs w:val="24"/>
            </w:rPr>
            <w:fldChar w:fldCharType="begin"/>
          </w:r>
          <w:r w:rsidRPr="00877EF5">
            <w:rPr>
              <w:rFonts w:cs="Times New Roman"/>
              <w:szCs w:val="24"/>
            </w:rPr>
            <w:instrText xml:space="preserve"> TOC \o "1-3" \h \z \u </w:instrText>
          </w:r>
          <w:r w:rsidRPr="00877EF5">
            <w:rPr>
              <w:rFonts w:cs="Times New Roman"/>
              <w:szCs w:val="24"/>
            </w:rPr>
            <w:fldChar w:fldCharType="separate"/>
          </w:r>
          <w:hyperlink w:anchor="_Toc32479199" w:history="1">
            <w:r w:rsidR="00640250" w:rsidRPr="0084431B">
              <w:rPr>
                <w:rStyle w:val="affc"/>
                <w:noProof/>
              </w:rPr>
              <w:t>Оглавление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_Toc32479199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2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02233958" w14:textId="77777777" w:rsidR="00640250" w:rsidRDefault="00971258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479200" w:history="1">
            <w:r w:rsidR="00640250" w:rsidRPr="0084431B">
              <w:rPr>
                <w:rStyle w:val="affc"/>
                <w:noProof/>
              </w:rPr>
              <w:t>Список сокращений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_Toc32479200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4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1C5BA350" w14:textId="77777777" w:rsidR="00640250" w:rsidRDefault="00971258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479201" w:history="1">
            <w:r w:rsidR="00640250" w:rsidRPr="0084431B">
              <w:rPr>
                <w:rStyle w:val="affc"/>
                <w:noProof/>
              </w:rPr>
              <w:t>Термины и определения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_Toc32479201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5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0294EC57" w14:textId="77777777" w:rsidR="00640250" w:rsidRDefault="00971258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479202" w:history="1">
            <w:r w:rsidR="00640250" w:rsidRPr="0084431B">
              <w:rPr>
                <w:rStyle w:val="affc"/>
                <w:noProof/>
              </w:rPr>
              <w:t>1. Краткая информация по заболеванию или состоянию (группе заболеваний или состояний)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_Toc32479202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6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263B7988" w14:textId="77777777" w:rsidR="00640250" w:rsidRDefault="00971258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479203" w:history="1">
            <w:r w:rsidR="00640250" w:rsidRPr="0084431B">
              <w:rPr>
                <w:rStyle w:val="affc"/>
                <w:noProof/>
              </w:rPr>
              <w:t xml:space="preserve">1.1 Определение </w:t>
            </w:r>
            <w:r w:rsidR="00640250" w:rsidRPr="0084431B">
              <w:rPr>
                <w:rStyle w:val="affc"/>
                <w:noProof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_Toc32479203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6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52B22B87" w14:textId="77777777" w:rsidR="00640250" w:rsidRDefault="00971258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479204" w:history="1">
            <w:r w:rsidR="00640250" w:rsidRPr="0084431B">
              <w:rPr>
                <w:rStyle w:val="affc"/>
                <w:noProof/>
              </w:rPr>
              <w:t xml:space="preserve">1.2 Этиология и патогенез </w:t>
            </w:r>
            <w:r w:rsidR="00640250" w:rsidRPr="0084431B">
              <w:rPr>
                <w:rStyle w:val="affc"/>
                <w:noProof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_Toc32479204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6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183CB1B6" w14:textId="77777777" w:rsidR="00640250" w:rsidRDefault="00971258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479205" w:history="1">
            <w:r w:rsidR="00640250" w:rsidRPr="0084431B">
              <w:rPr>
                <w:rStyle w:val="affc"/>
                <w:noProof/>
              </w:rPr>
              <w:t xml:space="preserve">1.3 Эпидемиология </w:t>
            </w:r>
            <w:r w:rsidR="00640250" w:rsidRPr="0084431B">
              <w:rPr>
                <w:rStyle w:val="affc"/>
                <w:noProof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_Toc32479205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7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6B7A5A86" w14:textId="77777777" w:rsidR="00640250" w:rsidRDefault="00971258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479206" w:history="1">
            <w:r w:rsidR="00640250" w:rsidRPr="0084431B">
              <w:rPr>
                <w:rStyle w:val="affc"/>
                <w:noProof/>
              </w:rPr>
              <w:t xml:space="preserve">1.4 </w:t>
            </w:r>
            <w:r w:rsidR="00640250" w:rsidRPr="0084431B">
              <w:rPr>
                <w:rStyle w:val="affc"/>
                <w:noProof/>
                <w:shd w:val="clear" w:color="auto" w:fill="FFFFFF"/>
              </w:rPr>
    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_Toc32479206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7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4FEFA47D" w14:textId="77777777" w:rsidR="00640250" w:rsidRDefault="00971258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479207" w:history="1">
            <w:r w:rsidR="00640250" w:rsidRPr="0084431B">
              <w:rPr>
                <w:rStyle w:val="affc"/>
                <w:noProof/>
              </w:rPr>
              <w:t xml:space="preserve">1.5 Классификация </w:t>
            </w:r>
            <w:r w:rsidR="00640250" w:rsidRPr="0084431B">
              <w:rPr>
                <w:rStyle w:val="affc"/>
                <w:noProof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_Toc32479207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7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37863923" w14:textId="77777777" w:rsidR="00640250" w:rsidRDefault="00971258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479208" w:history="1">
            <w:r w:rsidR="00640250" w:rsidRPr="0084431B">
              <w:rPr>
                <w:rStyle w:val="affc"/>
                <w:noProof/>
              </w:rPr>
              <w:t xml:space="preserve">1.6 Клиническая картина </w:t>
            </w:r>
            <w:r w:rsidR="00640250" w:rsidRPr="0084431B">
              <w:rPr>
                <w:rStyle w:val="affc"/>
                <w:noProof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_Toc32479208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7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334AB281" w14:textId="77777777" w:rsidR="00640250" w:rsidRDefault="00971258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479209" w:history="1">
            <w:r w:rsidR="00640250" w:rsidRPr="0084431B">
              <w:rPr>
                <w:rStyle w:val="affc"/>
                <w:noProof/>
              </w:rPr>
    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_Toc32479209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8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53AEE0F2" w14:textId="77777777" w:rsidR="00640250" w:rsidRDefault="00971258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479210" w:history="1">
            <w:r w:rsidR="00640250" w:rsidRPr="0084431B">
              <w:rPr>
                <w:rStyle w:val="affc"/>
                <w:noProof/>
              </w:rPr>
              <w:t>2.1 Жалобы и анамнез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_Toc32479210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9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76F874D5" w14:textId="77777777" w:rsidR="00640250" w:rsidRDefault="00971258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479211" w:history="1">
            <w:r w:rsidR="00640250" w:rsidRPr="0084431B">
              <w:rPr>
                <w:rStyle w:val="affc"/>
                <w:noProof/>
              </w:rPr>
              <w:t>2.2 Физикальное обследование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_Toc32479211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9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34A7162D" w14:textId="77777777" w:rsidR="00640250" w:rsidRDefault="00971258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479212" w:history="1">
            <w:r w:rsidR="00640250" w:rsidRPr="0084431B">
              <w:rPr>
                <w:rStyle w:val="affc"/>
                <w:noProof/>
              </w:rPr>
              <w:t>2.3 Лабораторные диагностические исследования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_Toc32479212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9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090A8D80" w14:textId="77777777" w:rsidR="00640250" w:rsidRDefault="00971258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479213" w:history="1">
            <w:r w:rsidR="00640250" w:rsidRPr="0084431B">
              <w:rPr>
                <w:rStyle w:val="affc"/>
                <w:noProof/>
              </w:rPr>
              <w:t>2.4 Инструментальные диагностические исследования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_Toc32479213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11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74E3101C" w14:textId="77777777" w:rsidR="00640250" w:rsidRDefault="00971258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479214" w:history="1">
            <w:r w:rsidR="00640250" w:rsidRPr="0084431B">
              <w:rPr>
                <w:rStyle w:val="affc"/>
                <w:noProof/>
              </w:rPr>
    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_Toc32479214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12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45EDED3F" w14:textId="77777777" w:rsidR="00640250" w:rsidRDefault="00971258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479215" w:history="1">
            <w:r w:rsidR="00640250" w:rsidRPr="0084431B">
              <w:rPr>
                <w:rStyle w:val="affc"/>
                <w:rFonts w:eastAsia="Times New Roman"/>
                <w:noProof/>
              </w:rPr>
              <w:t>3.1.Консервативное лечение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_Toc32479215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12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53B35317" w14:textId="77777777" w:rsidR="00640250" w:rsidRDefault="00971258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479216" w:history="1">
            <w:r w:rsidR="00640250" w:rsidRPr="0084431B">
              <w:rPr>
                <w:rStyle w:val="affc"/>
                <w:noProof/>
              </w:rPr>
              <w:t>3.2 Хирургическое лечение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_Toc32479216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13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218784F4" w14:textId="77777777" w:rsidR="00640250" w:rsidRDefault="00971258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479217" w:history="1">
            <w:r w:rsidR="00640250" w:rsidRPr="0084431B">
              <w:rPr>
                <w:rStyle w:val="affc"/>
                <w:noProof/>
              </w:rPr>
              <w:t>3.3</w:t>
            </w:r>
            <w:r w:rsidR="00640250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40250" w:rsidRPr="0084431B">
              <w:rPr>
                <w:rStyle w:val="affc"/>
                <w:noProof/>
              </w:rPr>
              <w:t>Диагностика на этапе лечения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_Toc32479217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13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6704582F" w14:textId="77777777" w:rsidR="00640250" w:rsidRDefault="00971258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479218" w:history="1">
            <w:r w:rsidR="00640250" w:rsidRPr="0084431B">
              <w:rPr>
                <w:rStyle w:val="affc"/>
                <w:noProof/>
              </w:rPr>
              <w:t>3.4 Иное лечение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_Toc32479218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14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2CB7F138" w14:textId="77777777" w:rsidR="00640250" w:rsidRDefault="00971258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479219" w:history="1">
            <w:r w:rsidR="00640250" w:rsidRPr="0084431B">
              <w:rPr>
                <w:rStyle w:val="affc"/>
                <w:noProof/>
              </w:rPr>
              <w:t>4. Медицинская реабилитация, медицинские показания и противопоказания к применению методов реабилитации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_Toc32479219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14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27ADCBA2" w14:textId="77777777" w:rsidR="00640250" w:rsidRDefault="00971258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479220" w:history="1">
            <w:r w:rsidR="00640250" w:rsidRPr="0084431B">
              <w:rPr>
                <w:rStyle w:val="affc"/>
                <w:noProof/>
              </w:rPr>
              <w:t>5. Профилактика и диспансерное наблюдение, медицинские показания и противопоказания к применению методов профилактики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_Toc32479220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14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5169DAF8" w14:textId="77777777" w:rsidR="00640250" w:rsidRDefault="00971258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479221" w:history="1">
            <w:r w:rsidR="00640250" w:rsidRPr="0084431B">
              <w:rPr>
                <w:rStyle w:val="affc"/>
                <w:noProof/>
              </w:rPr>
              <w:t>6. Организация оказания медицинской помощи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_Toc32479221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15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6502431E" w14:textId="77777777" w:rsidR="00640250" w:rsidRDefault="00971258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479222" w:history="1">
            <w:r w:rsidR="00640250" w:rsidRPr="0084431B">
              <w:rPr>
                <w:rStyle w:val="affc"/>
                <w:noProof/>
              </w:rPr>
              <w:t>7. Дополнительная информация (в том числе факторы, влияющие на исход заболевания или состояния)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_Toc32479222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15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22D5CCBD" w14:textId="77777777" w:rsidR="00640250" w:rsidRDefault="00971258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479223" w:history="1">
            <w:r w:rsidR="00640250" w:rsidRPr="0084431B">
              <w:rPr>
                <w:rStyle w:val="affc"/>
                <w:noProof/>
              </w:rPr>
              <w:t>Критерии оценки качества медицинской помощи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_Toc32479223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16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7F1C2548" w14:textId="77777777" w:rsidR="00640250" w:rsidRDefault="00971258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479224" w:history="1">
            <w:r w:rsidR="00640250" w:rsidRPr="0084431B">
              <w:rPr>
                <w:rStyle w:val="affc"/>
                <w:noProof/>
              </w:rPr>
              <w:t>Список</w:t>
            </w:r>
            <w:r w:rsidR="00640250" w:rsidRPr="0084431B">
              <w:rPr>
                <w:rStyle w:val="affc"/>
                <w:noProof/>
                <w:lang w:val="en-US"/>
              </w:rPr>
              <w:t xml:space="preserve"> </w:t>
            </w:r>
            <w:r w:rsidR="00640250" w:rsidRPr="0084431B">
              <w:rPr>
                <w:rStyle w:val="affc"/>
                <w:noProof/>
              </w:rPr>
              <w:t>литературы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_Toc32479224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16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75CF24F4" w14:textId="77777777" w:rsidR="00640250" w:rsidRDefault="00971258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479225" w:history="1">
            <w:r w:rsidR="00640250" w:rsidRPr="0084431B">
              <w:rPr>
                <w:rStyle w:val="affc"/>
                <w:b/>
                <w:noProof/>
              </w:rPr>
              <w:t>Приложение А1. Состав рабочей группы по разработке и пересмотру клинических рекомендаций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_Toc32479225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18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26C990C4" w14:textId="77777777" w:rsidR="00640250" w:rsidRDefault="00971258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479226" w:history="1">
            <w:r w:rsidR="00640250" w:rsidRPr="0084431B">
              <w:rPr>
                <w:rStyle w:val="affc"/>
                <w:noProof/>
              </w:rPr>
              <w:t>Приложение А2. Методология разработки клинических рекомендаций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_Toc32479226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20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1DC366E1" w14:textId="77777777" w:rsidR="00640250" w:rsidRDefault="00971258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479227" w:history="1">
            <w:r w:rsidR="00640250" w:rsidRPr="0084431B">
              <w:rPr>
                <w:rStyle w:val="affc"/>
                <w:noProof/>
              </w:rPr>
    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_Toc32479227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23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6C4E77A3" w14:textId="77777777" w:rsidR="00640250" w:rsidRDefault="00971258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479228" w:history="1">
            <w:r w:rsidR="00640250" w:rsidRPr="0084431B">
              <w:rPr>
                <w:rStyle w:val="affc"/>
                <w:noProof/>
              </w:rPr>
              <w:t>Приложение Б. Алгоритмы действий врача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_Toc32479228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24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1950A75F" w14:textId="77777777" w:rsidR="00640250" w:rsidRDefault="00971258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479229" w:history="1">
            <w:r w:rsidR="00640250" w:rsidRPr="0084431B">
              <w:rPr>
                <w:rStyle w:val="affc"/>
                <w:noProof/>
              </w:rPr>
              <w:t>Приложение В. Информация для пациента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_Toc32479229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25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4631A46E" w14:textId="77777777" w:rsidR="00640250" w:rsidRDefault="00971258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2479230" w:history="1">
            <w:r w:rsidR="00640250" w:rsidRPr="0084431B">
              <w:rPr>
                <w:rStyle w:val="affc"/>
                <w:noProof/>
              </w:rPr>
              <w:t>Приложение Г. Шкалы оценки, вопросники и другие оценочные инструменты состояния пациента, приведенные в клинических рекомендациях</w:t>
            </w:r>
            <w:r w:rsidR="00640250">
              <w:rPr>
                <w:noProof/>
                <w:webHidden/>
              </w:rPr>
              <w:tab/>
            </w:r>
            <w:r w:rsidR="00640250">
              <w:rPr>
                <w:noProof/>
                <w:webHidden/>
              </w:rPr>
              <w:fldChar w:fldCharType="begin"/>
            </w:r>
            <w:r w:rsidR="00640250">
              <w:rPr>
                <w:noProof/>
                <w:webHidden/>
              </w:rPr>
              <w:instrText xml:space="preserve"> PAGEREF _Toc32479230 \h </w:instrText>
            </w:r>
            <w:r w:rsidR="00640250">
              <w:rPr>
                <w:noProof/>
                <w:webHidden/>
              </w:rPr>
            </w:r>
            <w:r w:rsidR="00640250">
              <w:rPr>
                <w:noProof/>
                <w:webHidden/>
              </w:rPr>
              <w:fldChar w:fldCharType="separate"/>
            </w:r>
            <w:r w:rsidR="00640250">
              <w:rPr>
                <w:noProof/>
                <w:webHidden/>
              </w:rPr>
              <w:t>26</w:t>
            </w:r>
            <w:r w:rsidR="00640250">
              <w:rPr>
                <w:noProof/>
                <w:webHidden/>
              </w:rPr>
              <w:fldChar w:fldCharType="end"/>
            </w:r>
          </w:hyperlink>
        </w:p>
        <w:p w14:paraId="44111CF7" w14:textId="77777777" w:rsidR="003B4246" w:rsidRDefault="00172112" w:rsidP="00EC7700">
          <w:pPr>
            <w:pStyle w:val="15"/>
          </w:pPr>
          <w:r w:rsidRPr="00877EF5">
            <w:rPr>
              <w:rFonts w:cs="Times New Roman"/>
              <w:b/>
              <w:szCs w:val="24"/>
            </w:rPr>
            <w:fldChar w:fldCharType="end"/>
          </w:r>
        </w:p>
      </w:sdtContent>
    </w:sdt>
    <w:p w14:paraId="5F90FBB5" w14:textId="77777777" w:rsidR="00B115A8" w:rsidRPr="00452FED" w:rsidRDefault="00CB71DA" w:rsidP="00452FED">
      <w:pPr>
        <w:pStyle w:val="10"/>
        <w:jc w:val="center"/>
        <w:rPr>
          <w:bCs/>
          <w:sz w:val="28"/>
          <w:szCs w:val="28"/>
          <w:u w:val="none"/>
        </w:rPr>
      </w:pPr>
      <w:r>
        <w:br w:type="page"/>
      </w:r>
      <w:bookmarkStart w:id="2" w:name="_Toc32479200"/>
      <w:bookmarkStart w:id="3" w:name="__RefHeading___doc_terms"/>
      <w:r w:rsidR="00B115A8" w:rsidRPr="00452FED">
        <w:rPr>
          <w:sz w:val="28"/>
          <w:szCs w:val="28"/>
          <w:u w:val="none"/>
        </w:rPr>
        <w:lastRenderedPageBreak/>
        <w:t>Список сокращений</w:t>
      </w:r>
      <w:bookmarkEnd w:id="2"/>
    </w:p>
    <w:p w14:paraId="58152FA3" w14:textId="77777777" w:rsidR="00996E07" w:rsidRPr="00B115A8" w:rsidRDefault="00996E07" w:rsidP="00147C46">
      <w:pPr>
        <w:pStyle w:val="aff9"/>
        <w:outlineLvl w:val="9"/>
        <w:rPr>
          <w:sz w:val="28"/>
        </w:rPr>
      </w:pPr>
    </w:p>
    <w:p w14:paraId="3FD154BC" w14:textId="7DC33DE2" w:rsidR="00B115A8" w:rsidRDefault="00147C46" w:rsidP="00147C46">
      <w:pPr>
        <w:ind w:firstLine="0"/>
        <w:contextualSpacing/>
        <w:rPr>
          <w:szCs w:val="24"/>
        </w:rPr>
      </w:pPr>
      <w:r>
        <w:rPr>
          <w:szCs w:val="24"/>
        </w:rPr>
        <w:t xml:space="preserve">          </w:t>
      </w:r>
      <w:r w:rsidR="00B115A8">
        <w:rPr>
          <w:szCs w:val="24"/>
        </w:rPr>
        <w:t>МНО – международное нормализованное отношение</w:t>
      </w:r>
    </w:p>
    <w:p w14:paraId="5CAC85F0" w14:textId="2B949274" w:rsidR="00B115A8" w:rsidRDefault="00147C46" w:rsidP="00147C46">
      <w:pPr>
        <w:ind w:firstLine="0"/>
        <w:contextualSpacing/>
        <w:rPr>
          <w:bCs/>
        </w:rPr>
      </w:pPr>
      <w:r>
        <w:rPr>
          <w:bCs/>
        </w:rPr>
        <w:t xml:space="preserve">          </w:t>
      </w:r>
      <w:r w:rsidR="00B115A8" w:rsidRPr="00B115A8">
        <w:rPr>
          <w:bCs/>
        </w:rPr>
        <w:t xml:space="preserve">ЛДГ - </w:t>
      </w:r>
      <w:proofErr w:type="spellStart"/>
      <w:r w:rsidR="00B115A8" w:rsidRPr="00B115A8">
        <w:rPr>
          <w:bCs/>
        </w:rPr>
        <w:t>лактатдегидрогеназа</w:t>
      </w:r>
      <w:proofErr w:type="spellEnd"/>
      <w:r w:rsidR="00B115A8" w:rsidRPr="00B115A8">
        <w:rPr>
          <w:bCs/>
        </w:rPr>
        <w:t xml:space="preserve"> </w:t>
      </w:r>
    </w:p>
    <w:p w14:paraId="0E191793" w14:textId="486A2830" w:rsidR="00452FED" w:rsidRPr="00B115A8" w:rsidRDefault="00147C46" w:rsidP="00147C46">
      <w:pPr>
        <w:ind w:firstLine="0"/>
        <w:contextualSpacing/>
        <w:rPr>
          <w:bCs/>
        </w:rPr>
      </w:pPr>
      <w:r>
        <w:rPr>
          <w:bCs/>
        </w:rPr>
        <w:t xml:space="preserve">          </w:t>
      </w:r>
      <w:proofErr w:type="gramStart"/>
      <w:r w:rsidR="00452FED">
        <w:rPr>
          <w:bCs/>
        </w:rPr>
        <w:t>КТ-компьютерная</w:t>
      </w:r>
      <w:proofErr w:type="gramEnd"/>
      <w:r w:rsidR="00452FED">
        <w:rPr>
          <w:bCs/>
        </w:rPr>
        <w:t xml:space="preserve"> томография</w:t>
      </w:r>
    </w:p>
    <w:p w14:paraId="7F21B9E7" w14:textId="43C90298" w:rsidR="0067168B" w:rsidRPr="00610F57" w:rsidRDefault="00147C46" w:rsidP="00147C46">
      <w:pPr>
        <w:ind w:firstLine="0"/>
        <w:contextualSpacing/>
        <w:rPr>
          <w:bCs/>
          <w:szCs w:val="24"/>
        </w:rPr>
      </w:pPr>
      <w:r>
        <w:rPr>
          <w:bCs/>
          <w:szCs w:val="24"/>
        </w:rPr>
        <w:t xml:space="preserve">          </w:t>
      </w:r>
      <w:r w:rsidR="0067168B" w:rsidRPr="00610F57">
        <w:rPr>
          <w:bCs/>
          <w:szCs w:val="24"/>
        </w:rPr>
        <w:t xml:space="preserve">MCV-  средний объем эритроцита </w:t>
      </w:r>
    </w:p>
    <w:p w14:paraId="4BE5CE06" w14:textId="5FF38BF2" w:rsidR="0067168B" w:rsidRDefault="00147C46" w:rsidP="00147C46">
      <w:pPr>
        <w:ind w:firstLine="0"/>
        <w:contextualSpacing/>
        <w:rPr>
          <w:bCs/>
          <w:szCs w:val="24"/>
        </w:rPr>
      </w:pPr>
      <w:r>
        <w:rPr>
          <w:bCs/>
          <w:szCs w:val="24"/>
        </w:rPr>
        <w:t xml:space="preserve">          </w:t>
      </w:r>
      <w:r w:rsidR="0067168B" w:rsidRPr="00610F57">
        <w:rPr>
          <w:bCs/>
          <w:szCs w:val="24"/>
        </w:rPr>
        <w:t>MC</w:t>
      </w:r>
      <w:proofErr w:type="gramStart"/>
      <w:r w:rsidR="0067168B" w:rsidRPr="00610F57">
        <w:rPr>
          <w:bCs/>
          <w:szCs w:val="24"/>
        </w:rPr>
        <w:t>Н</w:t>
      </w:r>
      <w:proofErr w:type="gramEnd"/>
      <w:r w:rsidR="0067168B" w:rsidRPr="00610F57">
        <w:rPr>
          <w:bCs/>
          <w:szCs w:val="24"/>
        </w:rPr>
        <w:t xml:space="preserve"> </w:t>
      </w:r>
      <w:r w:rsidR="0067168B">
        <w:rPr>
          <w:bCs/>
          <w:szCs w:val="24"/>
        </w:rPr>
        <w:t>–</w:t>
      </w:r>
      <w:r w:rsidR="0067168B" w:rsidRPr="00610F57">
        <w:rPr>
          <w:bCs/>
          <w:szCs w:val="24"/>
        </w:rPr>
        <w:t xml:space="preserve"> средн</w:t>
      </w:r>
      <w:r w:rsidR="0067168B">
        <w:rPr>
          <w:bCs/>
          <w:szCs w:val="24"/>
        </w:rPr>
        <w:t>яя масса</w:t>
      </w:r>
      <w:r w:rsidR="0067168B" w:rsidRPr="00610F57">
        <w:rPr>
          <w:bCs/>
          <w:szCs w:val="24"/>
        </w:rPr>
        <w:t xml:space="preserve"> гемоглобина в эритроците </w:t>
      </w:r>
    </w:p>
    <w:p w14:paraId="4A1DA6CD" w14:textId="1D4CA599" w:rsidR="0067168B" w:rsidRPr="00610F57" w:rsidRDefault="00147C46" w:rsidP="00147C46">
      <w:pPr>
        <w:ind w:firstLine="0"/>
        <w:contextualSpacing/>
        <w:rPr>
          <w:bCs/>
          <w:szCs w:val="24"/>
        </w:rPr>
      </w:pPr>
      <w:r>
        <w:t xml:space="preserve">          </w:t>
      </w:r>
      <w:r w:rsidR="0067168B" w:rsidRPr="0071693C">
        <w:t>МСНС</w:t>
      </w:r>
      <w:r w:rsidR="0067168B">
        <w:t xml:space="preserve"> – средняя концентрация гемоглобина в эритроците</w:t>
      </w:r>
    </w:p>
    <w:p w14:paraId="379EBAEE" w14:textId="54D7DFC2" w:rsidR="00B115A8" w:rsidRPr="00B115A8" w:rsidRDefault="00147C46" w:rsidP="00147C46">
      <w:pPr>
        <w:ind w:firstLine="0"/>
        <w:contextualSpacing/>
        <w:rPr>
          <w:bCs/>
        </w:rPr>
      </w:pPr>
      <w:r>
        <w:rPr>
          <w:bCs/>
        </w:rPr>
        <w:t xml:space="preserve">          </w:t>
      </w:r>
      <w:r w:rsidR="00B115A8">
        <w:rPr>
          <w:bCs/>
        </w:rPr>
        <w:t xml:space="preserve">MTHFR </w:t>
      </w:r>
      <w:r w:rsidR="00B115A8" w:rsidRPr="00B115A8">
        <w:rPr>
          <w:bCs/>
        </w:rPr>
        <w:t xml:space="preserve">(МТГФР) – </w:t>
      </w:r>
      <w:proofErr w:type="spellStart"/>
      <w:r w:rsidR="00B115A8" w:rsidRPr="00B115A8">
        <w:rPr>
          <w:bCs/>
        </w:rPr>
        <w:t>метилентетрагидрофолатредуктаза</w:t>
      </w:r>
      <w:proofErr w:type="spellEnd"/>
    </w:p>
    <w:p w14:paraId="5F760D9B" w14:textId="103AAB13" w:rsidR="00996E07" w:rsidRDefault="00147C46" w:rsidP="00147C46">
      <w:pPr>
        <w:ind w:firstLine="0"/>
        <w:contextualSpacing/>
        <w:rPr>
          <w:bCs/>
        </w:rPr>
      </w:pPr>
      <w:r>
        <w:rPr>
          <w:bCs/>
        </w:rPr>
        <w:t xml:space="preserve">         </w:t>
      </w:r>
      <w:r w:rsidR="00B115A8" w:rsidRPr="00B115A8">
        <w:rPr>
          <w:bCs/>
        </w:rPr>
        <w:t xml:space="preserve">ФДА – </w:t>
      </w:r>
      <w:proofErr w:type="spellStart"/>
      <w:r w:rsidR="00B115A8" w:rsidRPr="00B115A8">
        <w:rPr>
          <w:bCs/>
        </w:rPr>
        <w:t>фолиеводефицитная</w:t>
      </w:r>
      <w:proofErr w:type="spellEnd"/>
      <w:r w:rsidR="00B115A8" w:rsidRPr="00B115A8">
        <w:rPr>
          <w:bCs/>
        </w:rPr>
        <w:t xml:space="preserve"> анемия</w:t>
      </w:r>
    </w:p>
    <w:p w14:paraId="161D94E1" w14:textId="7DB534F4" w:rsidR="00CC79F4" w:rsidRDefault="00147C46" w:rsidP="00147C46">
      <w:pPr>
        <w:pStyle w:val="afff"/>
        <w:ind w:firstLine="0"/>
        <w:contextualSpacing/>
        <w:rPr>
          <w:szCs w:val="24"/>
        </w:rPr>
      </w:pPr>
      <w:r>
        <w:rPr>
          <w:szCs w:val="24"/>
        </w:rPr>
        <w:t xml:space="preserve">         </w:t>
      </w:r>
      <w:r w:rsidR="00CC79F4">
        <w:rPr>
          <w:szCs w:val="24"/>
        </w:rPr>
        <w:t>АЛТ</w:t>
      </w:r>
      <w:r w:rsidR="00745B1B">
        <w:rPr>
          <w:szCs w:val="24"/>
        </w:rPr>
        <w:t xml:space="preserve"> - </w:t>
      </w:r>
      <w:proofErr w:type="spellStart"/>
      <w:r w:rsidR="00745B1B">
        <w:rPr>
          <w:szCs w:val="24"/>
        </w:rPr>
        <w:t>аланинаминотрансфераза</w:t>
      </w:r>
      <w:proofErr w:type="spellEnd"/>
    </w:p>
    <w:p w14:paraId="07E54B17" w14:textId="2BBD6662" w:rsidR="00CC79F4" w:rsidRDefault="00147C46" w:rsidP="00147C46">
      <w:pPr>
        <w:pStyle w:val="afff"/>
        <w:ind w:firstLine="0"/>
        <w:contextualSpacing/>
        <w:rPr>
          <w:szCs w:val="24"/>
        </w:rPr>
      </w:pPr>
      <w:r>
        <w:rPr>
          <w:szCs w:val="24"/>
        </w:rPr>
        <w:t xml:space="preserve">         </w:t>
      </w:r>
      <w:r w:rsidR="00CC79F4">
        <w:rPr>
          <w:szCs w:val="24"/>
        </w:rPr>
        <w:t>АСТ</w:t>
      </w:r>
      <w:r w:rsidR="00745B1B">
        <w:rPr>
          <w:szCs w:val="24"/>
        </w:rPr>
        <w:t xml:space="preserve"> - </w:t>
      </w:r>
      <w:proofErr w:type="spellStart"/>
      <w:r w:rsidR="00745B1B">
        <w:rPr>
          <w:szCs w:val="24"/>
        </w:rPr>
        <w:t>аспартатаминотрансфераза</w:t>
      </w:r>
      <w:proofErr w:type="spellEnd"/>
    </w:p>
    <w:p w14:paraId="027E728C" w14:textId="1C0D8D41" w:rsidR="00CC79F4" w:rsidRDefault="00147C46" w:rsidP="00147C46">
      <w:pPr>
        <w:pStyle w:val="afff"/>
        <w:ind w:firstLine="0"/>
        <w:contextualSpacing/>
        <w:rPr>
          <w:szCs w:val="24"/>
        </w:rPr>
      </w:pPr>
      <w:r>
        <w:rPr>
          <w:szCs w:val="24"/>
        </w:rPr>
        <w:t xml:space="preserve">         </w:t>
      </w:r>
      <w:r w:rsidR="00CC79F4">
        <w:rPr>
          <w:szCs w:val="24"/>
        </w:rPr>
        <w:t>УЗИ</w:t>
      </w:r>
      <w:r w:rsidR="00745B1B">
        <w:rPr>
          <w:szCs w:val="24"/>
        </w:rPr>
        <w:t xml:space="preserve"> – ультразвуковое исследование</w:t>
      </w:r>
    </w:p>
    <w:p w14:paraId="47FD1962" w14:textId="454375C9" w:rsidR="00CC79F4" w:rsidRDefault="00147C46" w:rsidP="00147C46">
      <w:pPr>
        <w:pStyle w:val="afff"/>
        <w:ind w:firstLine="0"/>
        <w:contextualSpacing/>
      </w:pPr>
      <w:r>
        <w:t xml:space="preserve">         </w:t>
      </w:r>
      <w:r w:rsidR="00CC79F4">
        <w:t>ОЖСС</w:t>
      </w:r>
      <w:r w:rsidR="00745B1B">
        <w:t xml:space="preserve"> – общая </w:t>
      </w:r>
      <w:proofErr w:type="spellStart"/>
      <w:r w:rsidR="00745B1B">
        <w:t>железосвязывающая</w:t>
      </w:r>
      <w:proofErr w:type="spellEnd"/>
      <w:r w:rsidR="00745B1B">
        <w:t xml:space="preserve"> способность</w:t>
      </w:r>
    </w:p>
    <w:p w14:paraId="53C3AB1B" w14:textId="7AA2B057" w:rsidR="00CC79F4" w:rsidRDefault="00147C46" w:rsidP="00147C46">
      <w:pPr>
        <w:pStyle w:val="afff"/>
        <w:ind w:firstLine="0"/>
        <w:contextualSpacing/>
      </w:pPr>
      <w:r>
        <w:t xml:space="preserve">         </w:t>
      </w:r>
      <w:r w:rsidR="00CC79F4">
        <w:t>НТЖ</w:t>
      </w:r>
      <w:r w:rsidR="00745B1B">
        <w:t xml:space="preserve"> – насыщение </w:t>
      </w:r>
      <w:proofErr w:type="spellStart"/>
      <w:r w:rsidR="00745B1B">
        <w:t>трансферрина</w:t>
      </w:r>
      <w:proofErr w:type="spellEnd"/>
      <w:r w:rsidR="00745B1B">
        <w:t xml:space="preserve"> железом</w:t>
      </w:r>
    </w:p>
    <w:p w14:paraId="1865047B" w14:textId="77777777" w:rsidR="00147C46" w:rsidRDefault="00147C46" w:rsidP="00147C46">
      <w:pPr>
        <w:pStyle w:val="afff"/>
        <w:ind w:firstLine="0"/>
        <w:contextualSpacing/>
      </w:pPr>
      <w:r>
        <w:t xml:space="preserve">         </w:t>
      </w:r>
      <w:r w:rsidR="0067168B">
        <w:t xml:space="preserve">ЭГДС </w:t>
      </w:r>
      <w:proofErr w:type="gramStart"/>
      <w:r w:rsidR="0067168B">
        <w:t>–</w:t>
      </w:r>
      <w:proofErr w:type="spellStart"/>
      <w:r w:rsidR="0067168B">
        <w:t>э</w:t>
      </w:r>
      <w:proofErr w:type="gramEnd"/>
      <w:r w:rsidR="0067168B">
        <w:t>зофагогастродуоденоскопия</w:t>
      </w:r>
      <w:proofErr w:type="spellEnd"/>
    </w:p>
    <w:p w14:paraId="36399DF1" w14:textId="4CF745F4" w:rsidR="0067168B" w:rsidRPr="0067168B" w:rsidRDefault="00147C46" w:rsidP="00147C46">
      <w:pPr>
        <w:pStyle w:val="afff"/>
        <w:ind w:firstLine="0"/>
        <w:contextualSpacing/>
      </w:pPr>
      <w:r>
        <w:t xml:space="preserve">         </w:t>
      </w:r>
      <w:r w:rsidR="0067168B">
        <w:rPr>
          <w:szCs w:val="24"/>
        </w:rPr>
        <w:t>ЭКГ-электрокардиография</w:t>
      </w:r>
    </w:p>
    <w:p w14:paraId="148807DF" w14:textId="7B221FA4" w:rsidR="00CC79F4" w:rsidRPr="00FA1C71" w:rsidRDefault="00CC79F4" w:rsidP="00CC79F4">
      <w:pPr>
        <w:pStyle w:val="afff"/>
        <w:ind w:firstLine="0"/>
        <w:jc w:val="left"/>
        <w:rPr>
          <w:szCs w:val="24"/>
        </w:rPr>
      </w:pPr>
    </w:p>
    <w:p w14:paraId="4EF4E8A5" w14:textId="77777777" w:rsidR="00A976F7" w:rsidRDefault="00A976F7" w:rsidP="00996E07">
      <w:pPr>
        <w:spacing w:after="200" w:line="276" w:lineRule="auto"/>
        <w:ind w:left="284" w:firstLine="0"/>
        <w:jc w:val="left"/>
        <w:rPr>
          <w:bCs/>
        </w:rPr>
      </w:pPr>
    </w:p>
    <w:p w14:paraId="248DED04" w14:textId="77777777" w:rsidR="00A976F7" w:rsidRDefault="00A976F7" w:rsidP="00996E07">
      <w:pPr>
        <w:spacing w:after="200" w:line="276" w:lineRule="auto"/>
        <w:ind w:left="284" w:firstLine="0"/>
        <w:jc w:val="left"/>
        <w:rPr>
          <w:bCs/>
        </w:rPr>
      </w:pPr>
    </w:p>
    <w:p w14:paraId="73CA7B95" w14:textId="77777777" w:rsidR="00A976F7" w:rsidRDefault="00A976F7" w:rsidP="00996E07">
      <w:pPr>
        <w:spacing w:after="200" w:line="276" w:lineRule="auto"/>
        <w:ind w:left="284" w:firstLine="0"/>
        <w:jc w:val="left"/>
        <w:rPr>
          <w:bCs/>
        </w:rPr>
      </w:pPr>
    </w:p>
    <w:p w14:paraId="39F3E7C2" w14:textId="77777777" w:rsidR="00A976F7" w:rsidRDefault="00A976F7" w:rsidP="00996E07">
      <w:pPr>
        <w:spacing w:after="200" w:line="276" w:lineRule="auto"/>
        <w:ind w:left="284" w:firstLine="0"/>
        <w:jc w:val="left"/>
        <w:rPr>
          <w:bCs/>
        </w:rPr>
      </w:pPr>
    </w:p>
    <w:p w14:paraId="5D0ED537" w14:textId="77777777" w:rsidR="00A976F7" w:rsidRDefault="00A976F7" w:rsidP="00996E07">
      <w:pPr>
        <w:spacing w:after="200" w:line="276" w:lineRule="auto"/>
        <w:ind w:left="284" w:firstLine="0"/>
        <w:jc w:val="left"/>
        <w:rPr>
          <w:bCs/>
        </w:rPr>
      </w:pPr>
    </w:p>
    <w:p w14:paraId="1D1693B9" w14:textId="77777777" w:rsidR="00A976F7" w:rsidRDefault="00A976F7" w:rsidP="00996E07">
      <w:pPr>
        <w:spacing w:after="200" w:line="276" w:lineRule="auto"/>
        <w:ind w:left="284" w:firstLine="0"/>
        <w:jc w:val="left"/>
        <w:rPr>
          <w:bCs/>
        </w:rPr>
      </w:pPr>
    </w:p>
    <w:p w14:paraId="062DD389" w14:textId="77777777" w:rsidR="00A976F7" w:rsidRDefault="00A976F7" w:rsidP="00996E07">
      <w:pPr>
        <w:spacing w:after="200" w:line="276" w:lineRule="auto"/>
        <w:ind w:left="284" w:firstLine="0"/>
        <w:jc w:val="left"/>
        <w:rPr>
          <w:bCs/>
        </w:rPr>
      </w:pPr>
    </w:p>
    <w:p w14:paraId="2718F282" w14:textId="77777777" w:rsidR="00A976F7" w:rsidRDefault="00A976F7" w:rsidP="00996E07">
      <w:pPr>
        <w:spacing w:after="200" w:line="276" w:lineRule="auto"/>
        <w:ind w:left="284" w:firstLine="0"/>
        <w:jc w:val="left"/>
        <w:rPr>
          <w:bCs/>
        </w:rPr>
      </w:pPr>
    </w:p>
    <w:p w14:paraId="031C2080" w14:textId="77777777" w:rsidR="00A976F7" w:rsidRDefault="00A976F7" w:rsidP="00996E07">
      <w:pPr>
        <w:spacing w:after="200" w:line="276" w:lineRule="auto"/>
        <w:ind w:left="284" w:firstLine="0"/>
        <w:jc w:val="left"/>
        <w:rPr>
          <w:bCs/>
        </w:rPr>
      </w:pPr>
    </w:p>
    <w:p w14:paraId="6917759C" w14:textId="77777777" w:rsidR="00A976F7" w:rsidRDefault="00A976F7" w:rsidP="00996E07">
      <w:pPr>
        <w:spacing w:after="200" w:line="276" w:lineRule="auto"/>
        <w:ind w:left="284" w:firstLine="0"/>
        <w:jc w:val="left"/>
        <w:rPr>
          <w:bCs/>
        </w:rPr>
      </w:pPr>
    </w:p>
    <w:p w14:paraId="2D922DE1" w14:textId="77777777" w:rsidR="00A976F7" w:rsidRPr="00996E07" w:rsidRDefault="00A976F7" w:rsidP="00926A30">
      <w:pPr>
        <w:spacing w:after="200" w:line="276" w:lineRule="auto"/>
        <w:ind w:firstLine="0"/>
        <w:jc w:val="left"/>
        <w:rPr>
          <w:bCs/>
        </w:rPr>
      </w:pPr>
    </w:p>
    <w:p w14:paraId="5BF6E182" w14:textId="77777777" w:rsidR="000414F6" w:rsidRDefault="00CB71DA" w:rsidP="00C50E9F">
      <w:pPr>
        <w:pStyle w:val="CustomContentNormal"/>
        <w:outlineLvl w:val="1"/>
      </w:pPr>
      <w:bookmarkStart w:id="4" w:name="_Toc32479201"/>
      <w:r>
        <w:lastRenderedPageBreak/>
        <w:t>Термины и определения</w:t>
      </w:r>
      <w:bookmarkEnd w:id="3"/>
      <w:bookmarkEnd w:id="4"/>
    </w:p>
    <w:p w14:paraId="29363116" w14:textId="1B90A669" w:rsidR="00E4471C" w:rsidRPr="00447DC8" w:rsidRDefault="00452FED" w:rsidP="00452FED">
      <w:pPr>
        <w:pStyle w:val="210"/>
        <w:spacing w:line="360" w:lineRule="auto"/>
        <w:rPr>
          <w:sz w:val="24"/>
        </w:rPr>
      </w:pPr>
      <w:r>
        <w:rPr>
          <w:b/>
          <w:sz w:val="24"/>
        </w:rPr>
        <w:t xml:space="preserve">       </w:t>
      </w:r>
      <w:proofErr w:type="spellStart"/>
      <w:r w:rsidR="00FB199F">
        <w:rPr>
          <w:b/>
          <w:sz w:val="24"/>
        </w:rPr>
        <w:t>Фолиеводефицитная</w:t>
      </w:r>
      <w:proofErr w:type="spellEnd"/>
      <w:r w:rsidR="00FB199F">
        <w:rPr>
          <w:b/>
          <w:sz w:val="24"/>
        </w:rPr>
        <w:t xml:space="preserve"> анемия</w:t>
      </w:r>
      <w:r w:rsidR="00A976F7" w:rsidRPr="006A659B">
        <w:rPr>
          <w:b/>
          <w:sz w:val="24"/>
        </w:rPr>
        <w:t xml:space="preserve"> </w:t>
      </w:r>
      <w:r w:rsidR="00A976F7" w:rsidRPr="00447DC8">
        <w:rPr>
          <w:bCs/>
          <w:sz w:val="24"/>
        </w:rPr>
        <w:t>–</w:t>
      </w:r>
      <w:r w:rsidR="00A976F7" w:rsidRPr="00447DC8">
        <w:rPr>
          <w:sz w:val="24"/>
        </w:rPr>
        <w:t xml:space="preserve"> </w:t>
      </w:r>
      <w:r w:rsidR="00B115A8" w:rsidRPr="00B115A8">
        <w:rPr>
          <w:sz w:val="24"/>
        </w:rPr>
        <w:t xml:space="preserve">это </w:t>
      </w:r>
      <w:proofErr w:type="spellStart"/>
      <w:r w:rsidR="00B115A8" w:rsidRPr="00B115A8">
        <w:rPr>
          <w:sz w:val="24"/>
        </w:rPr>
        <w:t>макроцитарная</w:t>
      </w:r>
      <w:proofErr w:type="spellEnd"/>
      <w:r w:rsidR="00B115A8" w:rsidRPr="00B115A8">
        <w:rPr>
          <w:sz w:val="24"/>
        </w:rPr>
        <w:t xml:space="preserve"> анемия, развитие которой обусловлено дефицитом </w:t>
      </w:r>
      <w:proofErr w:type="spellStart"/>
      <w:r w:rsidR="00B115A8" w:rsidRPr="00B115A8">
        <w:rPr>
          <w:sz w:val="24"/>
        </w:rPr>
        <w:t>фолатов</w:t>
      </w:r>
      <w:proofErr w:type="spellEnd"/>
      <w:r w:rsidR="00B115A8" w:rsidRPr="00B115A8">
        <w:rPr>
          <w:sz w:val="24"/>
        </w:rPr>
        <w:t xml:space="preserve"> в организме</w:t>
      </w:r>
      <w:r w:rsidR="00E4471C">
        <w:rPr>
          <w:sz w:val="24"/>
        </w:rPr>
        <w:t>.</w:t>
      </w:r>
    </w:p>
    <w:p w14:paraId="422D87F5" w14:textId="2872B25C" w:rsidR="00E4471C" w:rsidRPr="00E4471C" w:rsidRDefault="00452FED" w:rsidP="00452FED">
      <w:pPr>
        <w:ind w:firstLine="0"/>
        <w:jc w:val="left"/>
        <w:rPr>
          <w:rFonts w:cs="Times New Roman"/>
          <w:szCs w:val="24"/>
          <w:lang w:eastAsia="zh-CN"/>
        </w:rPr>
      </w:pPr>
      <w:r>
        <w:rPr>
          <w:rFonts w:cs="Times New Roman"/>
          <w:b/>
          <w:szCs w:val="24"/>
          <w:lang w:eastAsia="zh-CN"/>
        </w:rPr>
        <w:t xml:space="preserve">      </w:t>
      </w:r>
      <w:proofErr w:type="spellStart"/>
      <w:r w:rsidR="00E4471C" w:rsidRPr="00E4471C">
        <w:rPr>
          <w:rFonts w:cs="Times New Roman"/>
          <w:b/>
          <w:szCs w:val="24"/>
          <w:lang w:eastAsia="zh-CN"/>
        </w:rPr>
        <w:t>Фолаты</w:t>
      </w:r>
      <w:proofErr w:type="spellEnd"/>
      <w:r w:rsidR="00E4471C" w:rsidRPr="00E4471C">
        <w:rPr>
          <w:rFonts w:cs="Times New Roman"/>
          <w:szCs w:val="24"/>
          <w:lang w:eastAsia="zh-CN"/>
        </w:rPr>
        <w:t xml:space="preserve"> – это производные фолиевой кислоты</w:t>
      </w:r>
      <w:r w:rsidR="00E4471C">
        <w:rPr>
          <w:rFonts w:cs="Times New Roman"/>
          <w:szCs w:val="24"/>
          <w:lang w:eastAsia="zh-CN"/>
        </w:rPr>
        <w:t>.</w:t>
      </w:r>
    </w:p>
    <w:p w14:paraId="217A3058" w14:textId="239C29F7" w:rsidR="00E4471C" w:rsidRPr="00452FED" w:rsidRDefault="00452FED" w:rsidP="00452FED">
      <w:pPr>
        <w:ind w:firstLine="0"/>
        <w:jc w:val="left"/>
        <w:rPr>
          <w:rFonts w:cs="Times New Roman"/>
          <w:szCs w:val="24"/>
          <w:lang w:eastAsia="zh-CN"/>
        </w:rPr>
      </w:pPr>
      <w:r>
        <w:rPr>
          <w:rFonts w:cs="Times New Roman"/>
          <w:b/>
          <w:szCs w:val="24"/>
          <w:lang w:eastAsia="zh-CN"/>
        </w:rPr>
        <w:t xml:space="preserve">      </w:t>
      </w:r>
      <w:proofErr w:type="spellStart"/>
      <w:r w:rsidR="00E4471C" w:rsidRPr="00E4471C">
        <w:rPr>
          <w:rFonts w:cs="Times New Roman"/>
          <w:b/>
          <w:szCs w:val="24"/>
          <w:lang w:eastAsia="zh-CN"/>
        </w:rPr>
        <w:t>Тетрагидрофолиевая</w:t>
      </w:r>
      <w:proofErr w:type="spellEnd"/>
      <w:r w:rsidR="00E4471C" w:rsidRPr="00E4471C">
        <w:rPr>
          <w:rFonts w:cs="Times New Roman"/>
          <w:b/>
          <w:szCs w:val="24"/>
          <w:lang w:eastAsia="zh-CN"/>
        </w:rPr>
        <w:t xml:space="preserve"> кислота</w:t>
      </w:r>
      <w:r w:rsidR="00E4471C" w:rsidRPr="00E4471C">
        <w:rPr>
          <w:rFonts w:cs="Times New Roman"/>
          <w:szCs w:val="24"/>
          <w:lang w:eastAsia="zh-CN"/>
        </w:rPr>
        <w:t xml:space="preserve"> – активная </w:t>
      </w:r>
      <w:proofErr w:type="spellStart"/>
      <w:r w:rsidR="00E4471C" w:rsidRPr="00E4471C">
        <w:rPr>
          <w:rFonts w:cs="Times New Roman"/>
          <w:szCs w:val="24"/>
          <w:lang w:eastAsia="zh-CN"/>
        </w:rPr>
        <w:t>коферментная</w:t>
      </w:r>
      <w:proofErr w:type="spellEnd"/>
      <w:r w:rsidR="00E4471C" w:rsidRPr="00E4471C">
        <w:rPr>
          <w:rFonts w:cs="Times New Roman"/>
          <w:szCs w:val="24"/>
          <w:lang w:eastAsia="zh-CN"/>
        </w:rPr>
        <w:t xml:space="preserve"> форма </w:t>
      </w:r>
      <w:proofErr w:type="spellStart"/>
      <w:r w:rsidR="00E4471C" w:rsidRPr="00E4471C">
        <w:rPr>
          <w:rFonts w:cs="Times New Roman"/>
          <w:szCs w:val="24"/>
          <w:lang w:eastAsia="zh-CN"/>
        </w:rPr>
        <w:t>фолатов</w:t>
      </w:r>
      <w:proofErr w:type="spellEnd"/>
      <w:r w:rsidR="00E4471C">
        <w:rPr>
          <w:rFonts w:cs="Times New Roman"/>
          <w:szCs w:val="24"/>
          <w:lang w:eastAsia="zh-CN"/>
        </w:rPr>
        <w:t>.</w:t>
      </w:r>
    </w:p>
    <w:p w14:paraId="679D5E02" w14:textId="5396CBDC" w:rsidR="00E4471C" w:rsidRPr="00E4471C" w:rsidRDefault="00452FED" w:rsidP="00452FED">
      <w:pPr>
        <w:ind w:firstLine="0"/>
        <w:jc w:val="left"/>
        <w:rPr>
          <w:rFonts w:cs="Times New Roman"/>
          <w:szCs w:val="24"/>
          <w:lang w:eastAsia="zh-CN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</w:t>
      </w:r>
      <w:proofErr w:type="spellStart"/>
      <w:r w:rsidR="00E4471C" w:rsidRPr="00E4471C">
        <w:rPr>
          <w:rFonts w:eastAsia="Times New Roman" w:cs="Times New Roman"/>
          <w:b/>
          <w:szCs w:val="24"/>
          <w:lang w:eastAsia="ru-RU"/>
        </w:rPr>
        <w:t>Ретикулоцитарный</w:t>
      </w:r>
      <w:proofErr w:type="spellEnd"/>
      <w:r w:rsidR="00E4471C" w:rsidRPr="00E4471C">
        <w:rPr>
          <w:rFonts w:eastAsia="Times New Roman" w:cs="Times New Roman"/>
          <w:b/>
          <w:szCs w:val="24"/>
          <w:lang w:eastAsia="ru-RU"/>
        </w:rPr>
        <w:t xml:space="preserve"> криз</w:t>
      </w:r>
      <w:r w:rsidR="00FF489D">
        <w:rPr>
          <w:rFonts w:eastAsia="Times New Roman" w:cs="Times New Roman"/>
          <w:szCs w:val="24"/>
          <w:lang w:eastAsia="ru-RU"/>
        </w:rPr>
        <w:t xml:space="preserve"> – повышение количества </w:t>
      </w:r>
      <w:proofErr w:type="spellStart"/>
      <w:r w:rsidR="00FF489D">
        <w:rPr>
          <w:rFonts w:eastAsia="Times New Roman" w:cs="Times New Roman"/>
          <w:szCs w:val="24"/>
          <w:lang w:eastAsia="ru-RU"/>
        </w:rPr>
        <w:t>ретикулоцитов</w:t>
      </w:r>
      <w:proofErr w:type="spellEnd"/>
      <w:r w:rsidR="00FF489D">
        <w:rPr>
          <w:rFonts w:eastAsia="Times New Roman" w:cs="Times New Roman"/>
          <w:szCs w:val="24"/>
          <w:lang w:eastAsia="ru-RU"/>
        </w:rPr>
        <w:t xml:space="preserve"> </w:t>
      </w:r>
      <w:r w:rsidR="00E4471C" w:rsidRPr="00E4471C">
        <w:rPr>
          <w:rFonts w:eastAsia="Times New Roman" w:cs="Times New Roman"/>
          <w:szCs w:val="24"/>
          <w:lang w:eastAsia="ru-RU"/>
        </w:rPr>
        <w:t>более</w:t>
      </w:r>
      <w:proofErr w:type="gramStart"/>
      <w:r w:rsidR="00FF489D">
        <w:rPr>
          <w:rFonts w:eastAsia="Times New Roman" w:cs="Times New Roman"/>
          <w:szCs w:val="24"/>
          <w:lang w:eastAsia="ru-RU"/>
        </w:rPr>
        <w:t>,</w:t>
      </w:r>
      <w:proofErr w:type="gramEnd"/>
      <w:r w:rsidR="00E4471C" w:rsidRPr="00E4471C">
        <w:rPr>
          <w:rFonts w:eastAsia="Times New Roman" w:cs="Times New Roman"/>
          <w:szCs w:val="24"/>
          <w:lang w:eastAsia="ru-RU"/>
        </w:rPr>
        <w:t xml:space="preserve"> чем на </w:t>
      </w:r>
      <w:r w:rsidR="00FF489D">
        <w:rPr>
          <w:rFonts w:eastAsia="Times New Roman" w:cs="Times New Roman"/>
          <w:szCs w:val="24"/>
          <w:lang w:eastAsia="ru-RU"/>
        </w:rPr>
        <w:t xml:space="preserve">20-25% от исходного. </w:t>
      </w:r>
    </w:p>
    <w:p w14:paraId="1B2C5BDB" w14:textId="77777777" w:rsidR="001D40F8" w:rsidRPr="0021676E" w:rsidRDefault="001D40F8" w:rsidP="0021676E"/>
    <w:p w14:paraId="0FCC8DF8" w14:textId="77777777" w:rsidR="001D40F8" w:rsidRPr="001D40F8" w:rsidRDefault="001D40F8" w:rsidP="00924161">
      <w:pPr>
        <w:rPr>
          <w:szCs w:val="24"/>
        </w:rPr>
      </w:pPr>
    </w:p>
    <w:p w14:paraId="356F196B" w14:textId="77777777" w:rsidR="00275A41" w:rsidRDefault="00CB71DA" w:rsidP="00924161">
      <w:pPr>
        <w:pStyle w:val="afb"/>
        <w:spacing w:beforeAutospacing="0" w:afterAutospacing="0" w:line="360" w:lineRule="auto"/>
        <w:divId w:val="576134796"/>
      </w:pPr>
      <w:r>
        <w:t>                                   </w:t>
      </w:r>
    </w:p>
    <w:p w14:paraId="022EEBCD" w14:textId="77777777" w:rsidR="00B8195D" w:rsidRDefault="00CB71DA" w:rsidP="00F81854">
      <w:pPr>
        <w:pStyle w:val="afff1"/>
      </w:pPr>
      <w:r>
        <w:br w:type="page"/>
      </w:r>
      <w:bookmarkStart w:id="5" w:name="__RefHeading___doc_1"/>
    </w:p>
    <w:p w14:paraId="5D18C75A" w14:textId="77777777" w:rsidR="00153568" w:rsidRPr="00F27FE6" w:rsidRDefault="00153568" w:rsidP="00153568">
      <w:pPr>
        <w:pStyle w:val="afff1"/>
      </w:pPr>
      <w:bookmarkStart w:id="6" w:name="_Toc469402330"/>
      <w:bookmarkStart w:id="7" w:name="_Toc468273527"/>
      <w:bookmarkStart w:id="8" w:name="_Toc468273445"/>
      <w:bookmarkStart w:id="9" w:name="_Toc22645515"/>
      <w:bookmarkStart w:id="10" w:name="_Toc32479202"/>
      <w:bookmarkStart w:id="11" w:name="__RefHeading___doc_2"/>
      <w:bookmarkEnd w:id="5"/>
      <w:bookmarkEnd w:id="6"/>
      <w:bookmarkEnd w:id="7"/>
      <w:bookmarkEnd w:id="8"/>
      <w:r>
        <w:lastRenderedPageBreak/>
        <w:t>1. Краткая информация по заболеванию или состоянию (группе заболеваний или состояний)</w:t>
      </w:r>
      <w:bookmarkEnd w:id="9"/>
      <w:bookmarkEnd w:id="10"/>
    </w:p>
    <w:p w14:paraId="1AA4A429" w14:textId="77777777" w:rsidR="00153568" w:rsidRPr="00311757" w:rsidRDefault="00153568" w:rsidP="00153568">
      <w:pPr>
        <w:pStyle w:val="2"/>
      </w:pPr>
      <w:bookmarkStart w:id="12" w:name="_Toc16510466"/>
      <w:bookmarkStart w:id="13" w:name="_Toc32479203"/>
      <w:bookmarkStart w:id="14" w:name="_Toc25838256"/>
      <w:r w:rsidRPr="00B46390">
        <w:t xml:space="preserve">1.1 </w:t>
      </w:r>
      <w:r w:rsidRPr="00311757">
        <w:t xml:space="preserve">Определение </w:t>
      </w:r>
      <w:r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2"/>
      <w:bookmarkEnd w:id="13"/>
    </w:p>
    <w:p w14:paraId="393A88EB" w14:textId="77777777" w:rsidR="00923E14" w:rsidRPr="00552639" w:rsidRDefault="00E4471C" w:rsidP="00552639">
      <w:pPr>
        <w:rPr>
          <w:rFonts w:eastAsia="Times New Roman"/>
        </w:rPr>
      </w:pPr>
      <w:proofErr w:type="spellStart"/>
      <w:r w:rsidRPr="00552639">
        <w:rPr>
          <w:rFonts w:eastAsia="Times New Roman"/>
          <w:b/>
        </w:rPr>
        <w:t>Фолиеводефицитная</w:t>
      </w:r>
      <w:proofErr w:type="spellEnd"/>
      <w:r w:rsidRPr="00552639">
        <w:rPr>
          <w:rFonts w:eastAsia="Times New Roman"/>
          <w:b/>
        </w:rPr>
        <w:t xml:space="preserve"> анемия (ФДА)</w:t>
      </w:r>
      <w:r w:rsidRPr="00552639">
        <w:rPr>
          <w:rFonts w:eastAsia="Times New Roman"/>
        </w:rPr>
        <w:t xml:space="preserve"> – это анемия, развивающаяся вследствие дефицита фолиевой кислоты</w:t>
      </w:r>
      <w:r w:rsidR="00613512" w:rsidRPr="00552639">
        <w:rPr>
          <w:rFonts w:eastAsia="Times New Roman"/>
        </w:rPr>
        <w:t>. О</w:t>
      </w:r>
      <w:r w:rsidRPr="00552639">
        <w:rPr>
          <w:rFonts w:eastAsia="Times New Roman"/>
        </w:rPr>
        <w:t xml:space="preserve">сновными характеристиками ФДА являются </w:t>
      </w:r>
      <w:proofErr w:type="spellStart"/>
      <w:r w:rsidRPr="00552639">
        <w:rPr>
          <w:rFonts w:eastAsia="Times New Roman"/>
        </w:rPr>
        <w:t>мегалобластный</w:t>
      </w:r>
      <w:proofErr w:type="spellEnd"/>
      <w:r w:rsidRPr="00552639">
        <w:rPr>
          <w:rFonts w:eastAsia="Times New Roman"/>
        </w:rPr>
        <w:t xml:space="preserve"> </w:t>
      </w:r>
      <w:proofErr w:type="spellStart"/>
      <w:r w:rsidRPr="00552639">
        <w:rPr>
          <w:rFonts w:eastAsia="Times New Roman"/>
        </w:rPr>
        <w:t>эритропоэз</w:t>
      </w:r>
      <w:proofErr w:type="spellEnd"/>
      <w:r w:rsidRPr="00552639">
        <w:rPr>
          <w:rFonts w:eastAsia="Times New Roman"/>
        </w:rPr>
        <w:t xml:space="preserve"> в костном мозге и </w:t>
      </w:r>
      <w:proofErr w:type="spellStart"/>
      <w:r w:rsidRPr="00552639">
        <w:rPr>
          <w:rFonts w:eastAsia="Times New Roman"/>
        </w:rPr>
        <w:t>макроцитарная</w:t>
      </w:r>
      <w:proofErr w:type="spellEnd"/>
      <w:r w:rsidRPr="00552639">
        <w:rPr>
          <w:rFonts w:eastAsia="Times New Roman"/>
        </w:rPr>
        <w:t xml:space="preserve"> </w:t>
      </w:r>
      <w:proofErr w:type="spellStart"/>
      <w:r w:rsidRPr="00552639">
        <w:rPr>
          <w:rFonts w:eastAsia="Times New Roman"/>
        </w:rPr>
        <w:t>гиперхромная</w:t>
      </w:r>
      <w:proofErr w:type="spellEnd"/>
      <w:r w:rsidRPr="00552639">
        <w:rPr>
          <w:rFonts w:eastAsia="Times New Roman"/>
        </w:rPr>
        <w:t xml:space="preserve"> анемия, зачастую сопровождающаяся тромбоцитопенией и </w:t>
      </w:r>
      <w:proofErr w:type="spellStart"/>
      <w:r w:rsidRPr="00552639">
        <w:rPr>
          <w:rFonts w:eastAsia="Times New Roman"/>
        </w:rPr>
        <w:t>нейтропенией</w:t>
      </w:r>
      <w:proofErr w:type="spellEnd"/>
      <w:r w:rsidRPr="00552639">
        <w:rPr>
          <w:rFonts w:eastAsia="Times New Roman"/>
        </w:rPr>
        <w:t>.</w:t>
      </w:r>
      <w:bookmarkEnd w:id="14"/>
    </w:p>
    <w:p w14:paraId="15A378EA" w14:textId="77777777" w:rsidR="00153568" w:rsidRPr="00F27FE6" w:rsidRDefault="00153568" w:rsidP="00153568">
      <w:pPr>
        <w:pStyle w:val="2"/>
      </w:pPr>
      <w:bookmarkStart w:id="15" w:name="_Toc22645516"/>
      <w:bookmarkStart w:id="16" w:name="_Toc32479204"/>
      <w:r w:rsidRPr="00F27FE6">
        <w:t xml:space="preserve">1.2 Этиология и патогенез </w:t>
      </w:r>
      <w:r w:rsidRPr="00F27FE6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5"/>
      <w:bookmarkEnd w:id="16"/>
    </w:p>
    <w:p w14:paraId="3B625ECF" w14:textId="77777777" w:rsidR="00613512" w:rsidRDefault="00613512" w:rsidP="00613512">
      <w:pPr>
        <w:pStyle w:val="17"/>
      </w:pPr>
      <w:r w:rsidRPr="00606CEA">
        <w:t xml:space="preserve">Содержание </w:t>
      </w:r>
      <w:proofErr w:type="spellStart"/>
      <w:r w:rsidRPr="00606CEA">
        <w:t>фолатов</w:t>
      </w:r>
      <w:proofErr w:type="spellEnd"/>
      <w:r w:rsidRPr="00606CEA">
        <w:t xml:space="preserve"> в организме человека </w:t>
      </w:r>
      <w:r>
        <w:t>варьирует в пределах</w:t>
      </w:r>
      <w:r w:rsidRPr="00606CEA">
        <w:t xml:space="preserve"> 7-22 мг. В отличие от дефицита</w:t>
      </w:r>
      <w:r>
        <w:t xml:space="preserve"> витамина В12</w:t>
      </w:r>
      <w:r w:rsidRPr="00606CEA">
        <w:t xml:space="preserve"> истощение запасов </w:t>
      </w:r>
      <w:proofErr w:type="spellStart"/>
      <w:r>
        <w:t>фолатов</w:t>
      </w:r>
      <w:proofErr w:type="spellEnd"/>
      <w:r>
        <w:t xml:space="preserve"> </w:t>
      </w:r>
      <w:r w:rsidRPr="00606CEA">
        <w:t xml:space="preserve">наступает быстро, уже через несколько недель или месяцев с момента появления причины. </w:t>
      </w:r>
      <w:proofErr w:type="spellStart"/>
      <w:proofErr w:type="gramStart"/>
      <w:r w:rsidRPr="00606CEA">
        <w:t>Фолаты</w:t>
      </w:r>
      <w:proofErr w:type="spellEnd"/>
      <w:r w:rsidRPr="00606CEA">
        <w:t xml:space="preserve"> содержатся во многих растительных (помидоры, авокадо, лук, грибы) и животных (печень, мясо) продуктах.</w:t>
      </w:r>
      <w:proofErr w:type="gramEnd"/>
      <w:r w:rsidRPr="00606CEA">
        <w:t xml:space="preserve"> Но, в отличие от витамина В12</w:t>
      </w:r>
      <w:r>
        <w:t>,</w:t>
      </w:r>
      <w:r w:rsidRPr="00606CEA">
        <w:t xml:space="preserve"> при термической обработке</w:t>
      </w:r>
      <w:r>
        <w:t xml:space="preserve"> </w:t>
      </w:r>
      <w:proofErr w:type="spellStart"/>
      <w:r>
        <w:t>фолаты</w:t>
      </w:r>
      <w:proofErr w:type="spellEnd"/>
      <w:r w:rsidRPr="00606CEA">
        <w:t xml:space="preserve"> быстро разрушаются. При достаточном количестве свежих овощей и фруктов в рационе питания в сутки с пищей поступает 400 - 600 мкг </w:t>
      </w:r>
      <w:proofErr w:type="spellStart"/>
      <w:r w:rsidRPr="00606CEA">
        <w:t>фолатов</w:t>
      </w:r>
      <w:proofErr w:type="spellEnd"/>
      <w:r w:rsidRPr="00606CEA">
        <w:t xml:space="preserve">, однако потребность существенно возрастает при беременности, быстром росте ребенка, больших физических нагрузках и резкой активации </w:t>
      </w:r>
      <w:proofErr w:type="spellStart"/>
      <w:r w:rsidRPr="00606CEA">
        <w:t>эритропоэза</w:t>
      </w:r>
      <w:proofErr w:type="spellEnd"/>
      <w:r w:rsidRPr="00606CEA">
        <w:t xml:space="preserve">. Всасывается фолиевая кислота в тощей кишке, в соединении с молекулой </w:t>
      </w:r>
      <w:proofErr w:type="spellStart"/>
      <w:r w:rsidRPr="00606CEA">
        <w:t>глутаминовой</w:t>
      </w:r>
      <w:proofErr w:type="spellEnd"/>
      <w:r w:rsidRPr="00606CEA">
        <w:t xml:space="preserve"> кислоты</w:t>
      </w:r>
      <w:r>
        <w:t xml:space="preserve">. </w:t>
      </w:r>
      <w:r w:rsidRPr="00606CEA">
        <w:t xml:space="preserve"> </w:t>
      </w:r>
      <w:r w:rsidRPr="006F5802">
        <w:t xml:space="preserve">После попадания в организм фолиевая кислота превращается в активный метаболит </w:t>
      </w:r>
      <w:proofErr w:type="spellStart"/>
      <w:r w:rsidRPr="006F5802">
        <w:t>тетрагидрофолиевую</w:t>
      </w:r>
      <w:proofErr w:type="spellEnd"/>
      <w:r w:rsidRPr="006F5802">
        <w:t xml:space="preserve"> </w:t>
      </w:r>
      <w:r>
        <w:t xml:space="preserve">кислоту. </w:t>
      </w:r>
      <w:proofErr w:type="spellStart"/>
      <w:r w:rsidRPr="00606CEA">
        <w:t>Тетрагидрофолиевая</w:t>
      </w:r>
      <w:proofErr w:type="spellEnd"/>
      <w:r w:rsidRPr="00606CEA">
        <w:t xml:space="preserve"> кислота – активная </w:t>
      </w:r>
      <w:proofErr w:type="spellStart"/>
      <w:r w:rsidRPr="00606CEA">
        <w:t>коферментная</w:t>
      </w:r>
      <w:proofErr w:type="spellEnd"/>
      <w:r w:rsidRPr="00606CEA">
        <w:t xml:space="preserve"> форма </w:t>
      </w:r>
      <w:proofErr w:type="spellStart"/>
      <w:r w:rsidRPr="00606CEA">
        <w:t>фолатов</w:t>
      </w:r>
      <w:proofErr w:type="spellEnd"/>
      <w:r w:rsidRPr="00606CEA">
        <w:t xml:space="preserve">. </w:t>
      </w:r>
      <w:proofErr w:type="spellStart"/>
      <w:r w:rsidRPr="00606CEA">
        <w:t>Фолаты</w:t>
      </w:r>
      <w:proofErr w:type="spellEnd"/>
      <w:r w:rsidRPr="00606CEA">
        <w:t xml:space="preserve"> участвуют в синтезе пуринов и пиримидинов,</w:t>
      </w:r>
      <w:r>
        <w:t xml:space="preserve"> </w:t>
      </w:r>
      <w:proofErr w:type="spellStart"/>
      <w:r>
        <w:t>тимидин-монофосфата</w:t>
      </w:r>
      <w:proofErr w:type="spellEnd"/>
      <w:r>
        <w:t xml:space="preserve"> из </w:t>
      </w:r>
      <w:proofErr w:type="spellStart"/>
      <w:r>
        <w:t>уридина</w:t>
      </w:r>
      <w:proofErr w:type="spellEnd"/>
      <w:r w:rsidRPr="00606CEA">
        <w:t xml:space="preserve"> и образовании метионина из </w:t>
      </w:r>
      <w:proofErr w:type="spellStart"/>
      <w:r w:rsidRPr="00606CEA">
        <w:t>гомоцистеина</w:t>
      </w:r>
      <w:proofErr w:type="spellEnd"/>
      <w:r w:rsidRPr="00606CEA">
        <w:t xml:space="preserve"> (процесс </w:t>
      </w:r>
      <w:proofErr w:type="spellStart"/>
      <w:r w:rsidRPr="00606CEA">
        <w:t>метилирования</w:t>
      </w:r>
      <w:proofErr w:type="spellEnd"/>
      <w:r w:rsidRPr="00606CEA">
        <w:t>)</w:t>
      </w:r>
      <w:r>
        <w:t xml:space="preserve">. </w:t>
      </w:r>
      <w:r w:rsidRPr="00E270C4">
        <w:t xml:space="preserve">Дефицит фолиевой кислоты приводит к нарушению клеточного деления и накоплению токсичных метаболитов, таких как </w:t>
      </w:r>
      <w:proofErr w:type="spellStart"/>
      <w:r w:rsidRPr="00EF5E54">
        <w:t>гомоцистеин</w:t>
      </w:r>
      <w:proofErr w:type="spellEnd"/>
      <w:r w:rsidRPr="00EF5E54">
        <w:t xml:space="preserve"> [1,2,3,4,5].</w:t>
      </w:r>
    </w:p>
    <w:p w14:paraId="47DBEEB6" w14:textId="77777777" w:rsidR="00613512" w:rsidRPr="00606CEA" w:rsidRDefault="00613512" w:rsidP="00613512">
      <w:pPr>
        <w:ind w:left="283"/>
      </w:pPr>
      <w:r w:rsidRPr="00606CEA">
        <w:t xml:space="preserve"> Основные причины </w:t>
      </w:r>
      <w:r>
        <w:t xml:space="preserve">развития </w:t>
      </w:r>
      <w:r w:rsidRPr="00606CEA">
        <w:t>дефицита фолиевой кислоты:</w:t>
      </w:r>
    </w:p>
    <w:p w14:paraId="5B6188D8" w14:textId="77777777" w:rsidR="00613512" w:rsidRPr="00606CEA" w:rsidRDefault="00613512" w:rsidP="00294DAB">
      <w:pPr>
        <w:pStyle w:val="afd"/>
        <w:numPr>
          <w:ilvl w:val="0"/>
          <w:numId w:val="11"/>
        </w:numPr>
        <w:ind w:left="283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 w:rsidRPr="00606CEA">
        <w:rPr>
          <w:rFonts w:cs="Times New Roman"/>
          <w:szCs w:val="24"/>
        </w:rPr>
        <w:t xml:space="preserve">лиментарная недостаточность </w:t>
      </w:r>
      <w:r w:rsidRPr="00606CEA">
        <w:rPr>
          <w:rFonts w:cs="Times New Roman"/>
          <w:szCs w:val="24"/>
          <w:lang w:eastAsia="zh-CN"/>
        </w:rPr>
        <w:t>(частая причина у пожилых людей</w:t>
      </w:r>
      <w:r>
        <w:rPr>
          <w:rFonts w:cs="Times New Roman"/>
          <w:szCs w:val="24"/>
          <w:lang w:eastAsia="zh-CN"/>
        </w:rPr>
        <w:t>;</w:t>
      </w:r>
      <w:r w:rsidRPr="00606CEA">
        <w:rPr>
          <w:rFonts w:cs="Times New Roman"/>
          <w:szCs w:val="24"/>
          <w:lang w:eastAsia="zh-CN"/>
        </w:rPr>
        <w:t xml:space="preserve"> </w:t>
      </w:r>
      <w:r w:rsidRPr="00606CEA">
        <w:rPr>
          <w:rFonts w:cs="Times New Roman"/>
          <w:szCs w:val="24"/>
        </w:rPr>
        <w:t xml:space="preserve">недостаток </w:t>
      </w:r>
      <w:proofErr w:type="gramStart"/>
      <w:r w:rsidRPr="00606CEA">
        <w:rPr>
          <w:rFonts w:cs="Times New Roman"/>
          <w:szCs w:val="24"/>
        </w:rPr>
        <w:t>употреблении</w:t>
      </w:r>
      <w:proofErr w:type="gramEnd"/>
      <w:r w:rsidRPr="00606CEA">
        <w:rPr>
          <w:rFonts w:cs="Times New Roman"/>
          <w:szCs w:val="24"/>
        </w:rPr>
        <w:t xml:space="preserve"> сырых овощей</w:t>
      </w:r>
      <w:r>
        <w:rPr>
          <w:rFonts w:cs="Times New Roman"/>
          <w:szCs w:val="24"/>
        </w:rPr>
        <w:t>;</w:t>
      </w:r>
      <w:r w:rsidRPr="00606CEA">
        <w:rPr>
          <w:rFonts w:cs="Times New Roman"/>
          <w:szCs w:val="24"/>
        </w:rPr>
        <w:t xml:space="preserve"> у новорожденных - вскармливание козьим молоком); </w:t>
      </w:r>
    </w:p>
    <w:p w14:paraId="47CBA04F" w14:textId="77777777" w:rsidR="00613512" w:rsidRPr="00606CEA" w:rsidRDefault="00613512" w:rsidP="00294DAB">
      <w:pPr>
        <w:numPr>
          <w:ilvl w:val="0"/>
          <w:numId w:val="11"/>
        </w:numPr>
        <w:ind w:left="283"/>
        <w:jc w:val="left"/>
      </w:pPr>
      <w:r w:rsidRPr="00606CEA">
        <w:t xml:space="preserve">нарушение всасывания в кишечнике (резекция тощей кишки, </w:t>
      </w:r>
      <w:proofErr w:type="spellStart"/>
      <w:r w:rsidRPr="00606CEA">
        <w:t>целиакия</w:t>
      </w:r>
      <w:proofErr w:type="spellEnd"/>
      <w:r w:rsidRPr="00606CEA">
        <w:t>, хронические энтериты, амилоидоз, склеродермия, лимфатические</w:t>
      </w:r>
      <w:r>
        <w:t xml:space="preserve"> и другие опухоли тощей </w:t>
      </w:r>
      <w:r w:rsidRPr="00606CEA">
        <w:t xml:space="preserve">кишки, </w:t>
      </w:r>
      <w:r>
        <w:t xml:space="preserve">хронический </w:t>
      </w:r>
      <w:r w:rsidRPr="00606CEA">
        <w:t xml:space="preserve">алкоголизм); </w:t>
      </w:r>
    </w:p>
    <w:p w14:paraId="69D1C85E" w14:textId="473AB0F0" w:rsidR="00613512" w:rsidRPr="001301B6" w:rsidRDefault="00613512" w:rsidP="001301B6">
      <w:pPr>
        <w:pStyle w:val="afd"/>
        <w:numPr>
          <w:ilvl w:val="0"/>
          <w:numId w:val="11"/>
        </w:numPr>
        <w:ind w:left="283"/>
        <w:jc w:val="left"/>
        <w:rPr>
          <w:rFonts w:eastAsia="Times New Roman" w:cs="Times New Roman"/>
          <w:szCs w:val="24"/>
          <w:lang w:eastAsia="ru-RU"/>
        </w:rPr>
      </w:pPr>
      <w:r w:rsidRPr="00E07F1D">
        <w:lastRenderedPageBreak/>
        <w:t>использование медикаментов – антагонистов фолиевой кисл</w:t>
      </w:r>
      <w:r w:rsidR="00392FD7">
        <w:t xml:space="preserve">оты (противоэпилептические средства, барбитураты и их производные; </w:t>
      </w:r>
      <w:r w:rsidR="009207A5">
        <w:t xml:space="preserve">противоопухолевые средства-антиметаболиты; </w:t>
      </w:r>
      <w:r w:rsidR="001301B6">
        <w:t>гипогликемические средства</w:t>
      </w:r>
      <w:r w:rsidR="001301B6" w:rsidRPr="001301B6">
        <w:rPr>
          <w:rFonts w:eastAsia="Times New Roman" w:cs="Times New Roman"/>
          <w:szCs w:val="24"/>
          <w:lang w:eastAsia="ru-RU"/>
        </w:rPr>
        <w:t>)</w:t>
      </w:r>
      <w:r w:rsidRPr="00E07F1D">
        <w:t>;</w:t>
      </w:r>
    </w:p>
    <w:p w14:paraId="3000BDE7" w14:textId="57699E40" w:rsidR="00613512" w:rsidRDefault="00613512" w:rsidP="00294DAB">
      <w:pPr>
        <w:numPr>
          <w:ilvl w:val="0"/>
          <w:numId w:val="11"/>
        </w:numPr>
        <w:jc w:val="left"/>
      </w:pPr>
      <w:r w:rsidRPr="00606CEA">
        <w:t xml:space="preserve">повышенная потребность в </w:t>
      </w:r>
      <w:proofErr w:type="spellStart"/>
      <w:r w:rsidRPr="00606CEA">
        <w:t>фолатах</w:t>
      </w:r>
      <w:proofErr w:type="spellEnd"/>
      <w:r w:rsidRPr="00606CEA">
        <w:t xml:space="preserve"> (беременность, наслед</w:t>
      </w:r>
      <w:r w:rsidR="00CE701C">
        <w:t xml:space="preserve">ственные гемолитические анемии, </w:t>
      </w:r>
      <w:r w:rsidRPr="00606CEA">
        <w:t>недоношенность, дефицит веса при рождении);</w:t>
      </w:r>
    </w:p>
    <w:p w14:paraId="44B2E8D0" w14:textId="6BAF047D" w:rsidR="002727FA" w:rsidRPr="0067168B" w:rsidRDefault="002727FA" w:rsidP="00294DAB">
      <w:pPr>
        <w:numPr>
          <w:ilvl w:val="0"/>
          <w:numId w:val="11"/>
        </w:numPr>
        <w:jc w:val="left"/>
      </w:pPr>
      <w:r w:rsidRPr="0067168B">
        <w:t xml:space="preserve">повышенное потребление </w:t>
      </w:r>
      <w:proofErr w:type="spellStart"/>
      <w:r w:rsidRPr="0067168B">
        <w:t>фолатов</w:t>
      </w:r>
      <w:proofErr w:type="spellEnd"/>
      <w:r w:rsidRPr="0067168B">
        <w:t xml:space="preserve"> в кишечнике (</w:t>
      </w:r>
      <w:r w:rsidR="00CE701C" w:rsidRPr="0067168B">
        <w:t>глистная инвазия, синдром слепой кишки);</w:t>
      </w:r>
    </w:p>
    <w:p w14:paraId="27821525" w14:textId="77777777" w:rsidR="00613512" w:rsidRPr="00606CEA" w:rsidRDefault="00613512" w:rsidP="00294DAB">
      <w:pPr>
        <w:numPr>
          <w:ilvl w:val="0"/>
          <w:numId w:val="11"/>
        </w:numPr>
        <w:jc w:val="left"/>
      </w:pPr>
      <w:r w:rsidRPr="00606CEA">
        <w:t>повышенное выведение (гемодиализ).</w:t>
      </w:r>
    </w:p>
    <w:p w14:paraId="4471F832" w14:textId="77777777" w:rsidR="00613512" w:rsidRDefault="00613512" w:rsidP="00613512">
      <w:pPr>
        <w:pStyle w:val="17"/>
        <w:ind w:firstLine="0"/>
      </w:pPr>
      <w:r w:rsidRPr="00606CEA">
        <w:t xml:space="preserve">Факторы, провоцирующие </w:t>
      </w:r>
      <w:r>
        <w:t xml:space="preserve">развитие </w:t>
      </w:r>
      <w:r w:rsidRPr="00606CEA">
        <w:t>дефицит</w:t>
      </w:r>
      <w:r>
        <w:t xml:space="preserve">а </w:t>
      </w:r>
      <w:proofErr w:type="spellStart"/>
      <w:r>
        <w:t>фолатов</w:t>
      </w:r>
      <w:proofErr w:type="spellEnd"/>
      <w:r>
        <w:t>,</w:t>
      </w:r>
      <w:r w:rsidRPr="00606CEA">
        <w:t xml:space="preserve"> </w:t>
      </w:r>
      <w:r>
        <w:t>часто комбинируются между собой</w:t>
      </w:r>
      <w:r w:rsidRPr="00606CEA">
        <w:t xml:space="preserve"> [</w:t>
      </w:r>
      <w:r>
        <w:t>6,7</w:t>
      </w:r>
      <w:r w:rsidRPr="00606CEA">
        <w:t>]</w:t>
      </w:r>
      <w:r>
        <w:t>.</w:t>
      </w:r>
    </w:p>
    <w:p w14:paraId="634B6224" w14:textId="77777777" w:rsidR="00153568" w:rsidRDefault="00153568" w:rsidP="00153568">
      <w:pPr>
        <w:pStyle w:val="2"/>
        <w:rPr>
          <w:color w:val="333333"/>
          <w:shd w:val="clear" w:color="auto" w:fill="FFFFFF"/>
        </w:rPr>
      </w:pPr>
      <w:bookmarkStart w:id="17" w:name="_Toc22645517"/>
      <w:bookmarkStart w:id="18" w:name="_Toc32479205"/>
      <w:r w:rsidRPr="00F27FE6">
        <w:t xml:space="preserve">1.3 Эпидемиология </w:t>
      </w:r>
      <w:r w:rsidRPr="00F27FE6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7"/>
      <w:bookmarkEnd w:id="18"/>
    </w:p>
    <w:p w14:paraId="5E00DFF5" w14:textId="77777777" w:rsidR="00D827C1" w:rsidRPr="00311757" w:rsidRDefault="00613512" w:rsidP="00613512">
      <w:pPr>
        <w:pStyle w:val="17"/>
        <w:jc w:val="left"/>
      </w:pPr>
      <w:r w:rsidRPr="00745CD7">
        <w:t xml:space="preserve">Данных о распространенности дефицита фолиевой кислоты и </w:t>
      </w:r>
      <w:r>
        <w:t>ФДА</w:t>
      </w:r>
      <w:r w:rsidRPr="00745CD7">
        <w:t xml:space="preserve"> в России нет.</w:t>
      </w:r>
      <w:r>
        <w:t xml:space="preserve"> </w:t>
      </w:r>
      <w:r w:rsidRPr="0009295E">
        <w:t>Установлена связь с низкой материальной обеспеченностью, злоупотреблением алкоголем и распространенность</w:t>
      </w:r>
      <w:r>
        <w:t>ю наследственных гемолитических а</w:t>
      </w:r>
      <w:r w:rsidRPr="0009295E">
        <w:t>немий.</w:t>
      </w:r>
      <w:r>
        <w:t xml:space="preserve"> </w:t>
      </w:r>
      <w:r w:rsidRPr="00745CD7">
        <w:t xml:space="preserve"> </w:t>
      </w:r>
      <w:r>
        <w:t xml:space="preserve">Распространенность дефицита </w:t>
      </w:r>
      <w:proofErr w:type="spellStart"/>
      <w:r>
        <w:t>фолатов</w:t>
      </w:r>
      <w:proofErr w:type="spellEnd"/>
      <w:r>
        <w:t xml:space="preserve"> в мире значительно снизилась в результате обязательного во многих странах обогащения продуктов питания фолиевой кислотой </w:t>
      </w:r>
      <w:r w:rsidRPr="00B104EF">
        <w:t>[</w:t>
      </w:r>
      <w:r>
        <w:t>7</w:t>
      </w:r>
      <w:r w:rsidRPr="00B104EF">
        <w:t>]</w:t>
      </w:r>
      <w:r>
        <w:t>.</w:t>
      </w:r>
    </w:p>
    <w:p w14:paraId="629CB4E2" w14:textId="77777777" w:rsidR="00153568" w:rsidRPr="00311757" w:rsidRDefault="00153568" w:rsidP="00153568">
      <w:pPr>
        <w:pStyle w:val="2"/>
      </w:pPr>
      <w:bookmarkStart w:id="19" w:name="_Toc16510469"/>
      <w:bookmarkStart w:id="20" w:name="_Toc22645518"/>
      <w:bookmarkStart w:id="21" w:name="_Toc32479206"/>
      <w:bookmarkStart w:id="22" w:name="_Toc25838260"/>
      <w:r w:rsidRPr="00B46390">
        <w:t xml:space="preserve">1.4 </w:t>
      </w:r>
      <w:r w:rsidRPr="00311757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9"/>
      <w:bookmarkEnd w:id="20"/>
      <w:bookmarkEnd w:id="21"/>
    </w:p>
    <w:p w14:paraId="30D43E1C" w14:textId="77777777" w:rsidR="00613512" w:rsidRPr="00EC7700" w:rsidRDefault="00613512" w:rsidP="00EC7700">
      <w:pPr>
        <w:rPr>
          <w:color w:val="333333"/>
          <w:shd w:val="clear" w:color="auto" w:fill="FFFFFF"/>
        </w:rPr>
      </w:pPr>
      <w:r w:rsidRPr="00EC7700">
        <w:rPr>
          <w:color w:val="333333"/>
          <w:shd w:val="clear" w:color="auto" w:fill="FFFFFF"/>
        </w:rPr>
        <w:t xml:space="preserve">D52 </w:t>
      </w:r>
      <w:proofErr w:type="spellStart"/>
      <w:r w:rsidRPr="00EC7700">
        <w:rPr>
          <w:color w:val="333333"/>
          <w:shd w:val="clear" w:color="auto" w:fill="FFFFFF"/>
        </w:rPr>
        <w:t>Фолиеводефицитная</w:t>
      </w:r>
      <w:proofErr w:type="spellEnd"/>
      <w:r w:rsidRPr="00EC7700">
        <w:rPr>
          <w:color w:val="333333"/>
          <w:shd w:val="clear" w:color="auto" w:fill="FFFFFF"/>
        </w:rPr>
        <w:t xml:space="preserve"> анемия</w:t>
      </w:r>
      <w:bookmarkEnd w:id="22"/>
    </w:p>
    <w:p w14:paraId="595F8340" w14:textId="77777777" w:rsidR="00613512" w:rsidRPr="00EC7700" w:rsidRDefault="00613512" w:rsidP="00EC7700">
      <w:pPr>
        <w:rPr>
          <w:color w:val="333333"/>
          <w:shd w:val="clear" w:color="auto" w:fill="FFFFFF"/>
        </w:rPr>
      </w:pPr>
      <w:bookmarkStart w:id="23" w:name="_Toc25838261"/>
      <w:r w:rsidRPr="00EC7700">
        <w:rPr>
          <w:color w:val="333333"/>
          <w:shd w:val="clear" w:color="auto" w:fill="FFFFFF"/>
        </w:rPr>
        <w:t xml:space="preserve">D52.0 </w:t>
      </w:r>
      <w:proofErr w:type="spellStart"/>
      <w:r w:rsidRPr="00EC7700">
        <w:rPr>
          <w:color w:val="333333"/>
          <w:shd w:val="clear" w:color="auto" w:fill="FFFFFF"/>
        </w:rPr>
        <w:t>Фолиеводефицитная</w:t>
      </w:r>
      <w:proofErr w:type="spellEnd"/>
      <w:r w:rsidRPr="00EC7700">
        <w:rPr>
          <w:color w:val="333333"/>
          <w:shd w:val="clear" w:color="auto" w:fill="FFFFFF"/>
        </w:rPr>
        <w:t xml:space="preserve"> анемия, связанная с питанием</w:t>
      </w:r>
      <w:bookmarkEnd w:id="23"/>
    </w:p>
    <w:p w14:paraId="403B083D" w14:textId="77777777" w:rsidR="00613512" w:rsidRPr="00EC7700" w:rsidRDefault="00613512" w:rsidP="00EC7700">
      <w:pPr>
        <w:rPr>
          <w:color w:val="333333"/>
          <w:shd w:val="clear" w:color="auto" w:fill="FFFFFF"/>
        </w:rPr>
      </w:pPr>
      <w:bookmarkStart w:id="24" w:name="_Toc25838262"/>
      <w:r w:rsidRPr="00EC7700">
        <w:rPr>
          <w:color w:val="333333"/>
          <w:shd w:val="clear" w:color="auto" w:fill="FFFFFF"/>
        </w:rPr>
        <w:t xml:space="preserve">D52.1 </w:t>
      </w:r>
      <w:proofErr w:type="spellStart"/>
      <w:r w:rsidRPr="00EC7700">
        <w:rPr>
          <w:color w:val="333333"/>
          <w:shd w:val="clear" w:color="auto" w:fill="FFFFFF"/>
        </w:rPr>
        <w:t>Фолиеводефицитная</w:t>
      </w:r>
      <w:proofErr w:type="spellEnd"/>
      <w:r w:rsidRPr="00EC7700">
        <w:rPr>
          <w:color w:val="333333"/>
          <w:shd w:val="clear" w:color="auto" w:fill="FFFFFF"/>
        </w:rPr>
        <w:t xml:space="preserve"> анемия медикаментозная</w:t>
      </w:r>
      <w:bookmarkEnd w:id="24"/>
    </w:p>
    <w:p w14:paraId="33B7EBC5" w14:textId="77777777" w:rsidR="00613512" w:rsidRPr="00EC7700" w:rsidRDefault="00613512" w:rsidP="00EC7700">
      <w:pPr>
        <w:rPr>
          <w:color w:val="333333"/>
          <w:shd w:val="clear" w:color="auto" w:fill="FFFFFF"/>
        </w:rPr>
      </w:pPr>
      <w:bookmarkStart w:id="25" w:name="_Toc25838263"/>
      <w:r w:rsidRPr="00EC7700">
        <w:rPr>
          <w:color w:val="333333"/>
          <w:shd w:val="clear" w:color="auto" w:fill="FFFFFF"/>
        </w:rPr>
        <w:t xml:space="preserve">D52.8 Другие </w:t>
      </w:r>
      <w:proofErr w:type="spellStart"/>
      <w:r w:rsidRPr="00EC7700">
        <w:rPr>
          <w:color w:val="333333"/>
          <w:shd w:val="clear" w:color="auto" w:fill="FFFFFF"/>
        </w:rPr>
        <w:t>фолиеводефицитные</w:t>
      </w:r>
      <w:proofErr w:type="spellEnd"/>
      <w:r w:rsidRPr="00EC7700">
        <w:rPr>
          <w:color w:val="333333"/>
          <w:shd w:val="clear" w:color="auto" w:fill="FFFFFF"/>
        </w:rPr>
        <w:t xml:space="preserve"> анемии</w:t>
      </w:r>
      <w:bookmarkEnd w:id="25"/>
    </w:p>
    <w:p w14:paraId="31DCB5B7" w14:textId="77777777" w:rsidR="00613512" w:rsidRPr="00EC7700" w:rsidRDefault="00613512" w:rsidP="00EC7700">
      <w:pPr>
        <w:rPr>
          <w:color w:val="333333"/>
          <w:shd w:val="clear" w:color="auto" w:fill="FFFFFF"/>
        </w:rPr>
      </w:pPr>
      <w:bookmarkStart w:id="26" w:name="_Toc25838264"/>
      <w:r w:rsidRPr="00EC7700">
        <w:rPr>
          <w:color w:val="333333"/>
          <w:shd w:val="clear" w:color="auto" w:fill="FFFFFF"/>
        </w:rPr>
        <w:t xml:space="preserve">D52.9 </w:t>
      </w:r>
      <w:proofErr w:type="spellStart"/>
      <w:r w:rsidRPr="00EC7700">
        <w:rPr>
          <w:color w:val="333333"/>
          <w:shd w:val="clear" w:color="auto" w:fill="FFFFFF"/>
        </w:rPr>
        <w:t>Фолиеводефицитная</w:t>
      </w:r>
      <w:proofErr w:type="spellEnd"/>
      <w:r w:rsidRPr="00EC7700">
        <w:rPr>
          <w:color w:val="333333"/>
          <w:shd w:val="clear" w:color="auto" w:fill="FFFFFF"/>
        </w:rPr>
        <w:t xml:space="preserve"> анемия неуточненная</w:t>
      </w:r>
      <w:bookmarkEnd w:id="26"/>
    </w:p>
    <w:p w14:paraId="7B33FC74" w14:textId="77777777" w:rsidR="00CB391C" w:rsidRPr="00F27FE6" w:rsidRDefault="00CB391C" w:rsidP="00CB391C">
      <w:pPr>
        <w:pStyle w:val="2"/>
      </w:pPr>
      <w:bookmarkStart w:id="27" w:name="_Toc32479207"/>
      <w:bookmarkStart w:id="28" w:name="_Toc25838266"/>
      <w:r w:rsidRPr="00F27FE6">
        <w:t xml:space="preserve">1.5 Классификация </w:t>
      </w:r>
      <w:r w:rsidRPr="00F27FE6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27"/>
    </w:p>
    <w:p w14:paraId="1468D937" w14:textId="77777777" w:rsidR="00667103" w:rsidRPr="00EC7700" w:rsidRDefault="00613512" w:rsidP="00EC7700">
      <w:r w:rsidRPr="00EC7700">
        <w:t xml:space="preserve">Классификация отсутствует, поскольку дефицит </w:t>
      </w:r>
      <w:proofErr w:type="spellStart"/>
      <w:r w:rsidRPr="00EC7700">
        <w:t>фолатов</w:t>
      </w:r>
      <w:proofErr w:type="spellEnd"/>
      <w:r w:rsidRPr="00EC7700">
        <w:t>, как правило, носит вторичный характер. Наследственные нарушения всасывания фолиевой кислоты чрезвычайно редки и их молекулярный механизм не изучен [8,9, 10, 11].</w:t>
      </w:r>
      <w:bookmarkEnd w:id="28"/>
    </w:p>
    <w:p w14:paraId="1561DC30" w14:textId="77777777" w:rsidR="00CB391C" w:rsidRDefault="00CB391C" w:rsidP="00CB391C">
      <w:pPr>
        <w:pStyle w:val="2"/>
        <w:rPr>
          <w:color w:val="333333"/>
          <w:shd w:val="clear" w:color="auto" w:fill="FFFFFF"/>
        </w:rPr>
      </w:pPr>
      <w:bookmarkStart w:id="29" w:name="_Toc22645520"/>
      <w:bookmarkStart w:id="30" w:name="_Toc32479208"/>
      <w:r w:rsidRPr="00F27FE6">
        <w:t xml:space="preserve">1.6 Клиническая картина </w:t>
      </w:r>
      <w:r w:rsidRPr="00F27FE6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29"/>
      <w:bookmarkEnd w:id="30"/>
    </w:p>
    <w:p w14:paraId="6648E2AB" w14:textId="71B3573A" w:rsidR="00613512" w:rsidRDefault="00613512" w:rsidP="00613512">
      <w:pPr>
        <w:pStyle w:val="17"/>
        <w:rPr>
          <w:bCs/>
          <w:szCs w:val="28"/>
          <w:lang w:eastAsia="x-none"/>
        </w:rPr>
      </w:pPr>
      <w:r w:rsidRPr="008D2C67">
        <w:rPr>
          <w:bCs/>
          <w:szCs w:val="28"/>
          <w:lang w:val="x-none" w:eastAsia="x-none"/>
        </w:rPr>
        <w:lastRenderedPageBreak/>
        <w:t xml:space="preserve">Клиническая  картина  складывается  из  симптомов,  характерных для </w:t>
      </w:r>
      <w:r>
        <w:rPr>
          <w:bCs/>
          <w:szCs w:val="28"/>
          <w:lang w:eastAsia="x-none"/>
        </w:rPr>
        <w:t xml:space="preserve">всех </w:t>
      </w:r>
      <w:r w:rsidRPr="008D2C67">
        <w:rPr>
          <w:bCs/>
          <w:szCs w:val="28"/>
          <w:lang w:val="x-none" w:eastAsia="x-none"/>
        </w:rPr>
        <w:t>анеми</w:t>
      </w:r>
      <w:r>
        <w:rPr>
          <w:bCs/>
          <w:szCs w:val="28"/>
          <w:lang w:eastAsia="x-none"/>
        </w:rPr>
        <w:t>ческих синдромов</w:t>
      </w:r>
      <w:r w:rsidRPr="008D2C67">
        <w:rPr>
          <w:bCs/>
          <w:szCs w:val="28"/>
          <w:lang w:val="x-none" w:eastAsia="x-none"/>
        </w:rPr>
        <w:t>: слабост</w:t>
      </w:r>
      <w:r>
        <w:rPr>
          <w:bCs/>
          <w:szCs w:val="28"/>
          <w:lang w:eastAsia="x-none"/>
        </w:rPr>
        <w:t>ь</w:t>
      </w:r>
      <w:r w:rsidRPr="008D2C67">
        <w:rPr>
          <w:bCs/>
          <w:szCs w:val="28"/>
          <w:lang w:val="x-none" w:eastAsia="x-none"/>
        </w:rPr>
        <w:t>, головокружени</w:t>
      </w:r>
      <w:r>
        <w:rPr>
          <w:bCs/>
          <w:szCs w:val="28"/>
          <w:lang w:eastAsia="x-none"/>
        </w:rPr>
        <w:t>е</w:t>
      </w:r>
      <w:r w:rsidRPr="008D2C67">
        <w:rPr>
          <w:bCs/>
          <w:szCs w:val="28"/>
          <w:lang w:val="x-none" w:eastAsia="x-none"/>
        </w:rPr>
        <w:t>, одышк</w:t>
      </w:r>
      <w:r>
        <w:rPr>
          <w:bCs/>
          <w:szCs w:val="28"/>
          <w:lang w:eastAsia="x-none"/>
        </w:rPr>
        <w:t>а,</w:t>
      </w:r>
      <w:r w:rsidRPr="008D2C67">
        <w:rPr>
          <w:bCs/>
          <w:szCs w:val="28"/>
          <w:lang w:val="x-none" w:eastAsia="x-none"/>
        </w:rPr>
        <w:t xml:space="preserve"> сердцебиени</w:t>
      </w:r>
      <w:r>
        <w:rPr>
          <w:bCs/>
          <w:szCs w:val="28"/>
          <w:lang w:eastAsia="x-none"/>
        </w:rPr>
        <w:t>е</w:t>
      </w:r>
      <w:r w:rsidRPr="008D2C67">
        <w:rPr>
          <w:bCs/>
          <w:szCs w:val="28"/>
          <w:lang w:val="x-none" w:eastAsia="x-none"/>
        </w:rPr>
        <w:t xml:space="preserve"> при физической нагрузке, повышенн</w:t>
      </w:r>
      <w:r>
        <w:rPr>
          <w:bCs/>
          <w:szCs w:val="28"/>
          <w:lang w:eastAsia="x-none"/>
        </w:rPr>
        <w:t>ая</w:t>
      </w:r>
      <w:r w:rsidRPr="008D2C67">
        <w:rPr>
          <w:bCs/>
          <w:szCs w:val="28"/>
          <w:lang w:val="x-none" w:eastAsia="x-none"/>
        </w:rPr>
        <w:t xml:space="preserve"> утомляемост</w:t>
      </w:r>
      <w:r>
        <w:rPr>
          <w:bCs/>
          <w:szCs w:val="28"/>
          <w:lang w:eastAsia="x-none"/>
        </w:rPr>
        <w:t>ь</w:t>
      </w:r>
      <w:r w:rsidRPr="00606CEA">
        <w:rPr>
          <w:bCs/>
          <w:szCs w:val="28"/>
          <w:lang w:eastAsia="x-none"/>
        </w:rPr>
        <w:t xml:space="preserve">, плохой аппетит, вялость или повышенная возбудимость. </w:t>
      </w:r>
      <w:proofErr w:type="gramStart"/>
      <w:r w:rsidRPr="00606CEA">
        <w:rPr>
          <w:bCs/>
          <w:szCs w:val="28"/>
          <w:lang w:eastAsia="x-none"/>
        </w:rPr>
        <w:t>Кроме того</w:t>
      </w:r>
      <w:r>
        <w:rPr>
          <w:bCs/>
          <w:szCs w:val="28"/>
          <w:lang w:eastAsia="x-none"/>
        </w:rPr>
        <w:t>,</w:t>
      </w:r>
      <w:r w:rsidRPr="00606CEA">
        <w:rPr>
          <w:bCs/>
          <w:szCs w:val="28"/>
          <w:lang w:eastAsia="x-none"/>
        </w:rPr>
        <w:t xml:space="preserve"> могут наблюдаться </w:t>
      </w:r>
      <w:proofErr w:type="spellStart"/>
      <w:r w:rsidRPr="00606CEA">
        <w:rPr>
          <w:bCs/>
          <w:szCs w:val="28"/>
          <w:lang w:eastAsia="x-none"/>
        </w:rPr>
        <w:t>ангулярный</w:t>
      </w:r>
      <w:proofErr w:type="spellEnd"/>
      <w:r w:rsidRPr="00606CEA">
        <w:rPr>
          <w:bCs/>
          <w:szCs w:val="28"/>
          <w:lang w:eastAsia="x-none"/>
        </w:rPr>
        <w:t xml:space="preserve"> стоматит, глоссит</w:t>
      </w:r>
      <w:r w:rsidR="00147C46">
        <w:rPr>
          <w:bCs/>
          <w:szCs w:val="28"/>
          <w:lang w:eastAsia="x-none"/>
        </w:rPr>
        <w:t>, диспепс</w:t>
      </w:r>
      <w:r>
        <w:rPr>
          <w:bCs/>
          <w:szCs w:val="28"/>
          <w:lang w:eastAsia="x-none"/>
        </w:rPr>
        <w:t>ические расстройства (</w:t>
      </w:r>
      <w:r w:rsidRPr="00606CEA">
        <w:rPr>
          <w:bCs/>
          <w:szCs w:val="28"/>
          <w:lang w:eastAsia="x-none"/>
        </w:rPr>
        <w:t>тошнот</w:t>
      </w:r>
      <w:r>
        <w:rPr>
          <w:bCs/>
          <w:szCs w:val="28"/>
          <w:lang w:eastAsia="x-none"/>
        </w:rPr>
        <w:t>а</w:t>
      </w:r>
      <w:r w:rsidRPr="00606CEA">
        <w:rPr>
          <w:bCs/>
          <w:szCs w:val="28"/>
          <w:lang w:eastAsia="x-none"/>
        </w:rPr>
        <w:t>, рвот</w:t>
      </w:r>
      <w:r>
        <w:rPr>
          <w:bCs/>
          <w:szCs w:val="28"/>
          <w:lang w:eastAsia="x-none"/>
        </w:rPr>
        <w:t>а</w:t>
      </w:r>
      <w:r w:rsidRPr="00606CEA">
        <w:rPr>
          <w:bCs/>
          <w:szCs w:val="28"/>
          <w:lang w:eastAsia="x-none"/>
        </w:rPr>
        <w:t>, боли в животе</w:t>
      </w:r>
      <w:r>
        <w:rPr>
          <w:bCs/>
          <w:szCs w:val="28"/>
          <w:lang w:eastAsia="x-none"/>
        </w:rPr>
        <w:t>,</w:t>
      </w:r>
      <w:r w:rsidRPr="00606CEA">
        <w:rPr>
          <w:bCs/>
          <w:szCs w:val="28"/>
          <w:lang w:eastAsia="x-none"/>
        </w:rPr>
        <w:t xml:space="preserve"> диаре</w:t>
      </w:r>
      <w:r>
        <w:rPr>
          <w:bCs/>
          <w:szCs w:val="28"/>
          <w:lang w:eastAsia="x-none"/>
        </w:rPr>
        <w:t>я)</w:t>
      </w:r>
      <w:r w:rsidRPr="00606CEA">
        <w:rPr>
          <w:bCs/>
          <w:szCs w:val="28"/>
          <w:lang w:eastAsia="x-none"/>
        </w:rPr>
        <w:t>.</w:t>
      </w:r>
      <w:proofErr w:type="gramEnd"/>
      <w:r>
        <w:rPr>
          <w:bCs/>
          <w:szCs w:val="28"/>
          <w:lang w:eastAsia="x-none"/>
        </w:rPr>
        <w:t xml:space="preserve"> Возможна </w:t>
      </w:r>
      <w:r w:rsidRPr="00B30CCE">
        <w:rPr>
          <w:bCs/>
          <w:szCs w:val="28"/>
          <w:lang w:eastAsia="x-none"/>
        </w:rPr>
        <w:t xml:space="preserve">легкая </w:t>
      </w:r>
      <w:proofErr w:type="spellStart"/>
      <w:r w:rsidRPr="00B30CCE">
        <w:rPr>
          <w:bCs/>
          <w:szCs w:val="28"/>
          <w:lang w:eastAsia="x-none"/>
        </w:rPr>
        <w:t>желтушнось</w:t>
      </w:r>
      <w:proofErr w:type="spellEnd"/>
      <w:r w:rsidRPr="00B30CCE">
        <w:rPr>
          <w:bCs/>
          <w:szCs w:val="28"/>
          <w:lang w:eastAsia="x-none"/>
        </w:rPr>
        <w:t xml:space="preserve"> кожи</w:t>
      </w:r>
      <w:r>
        <w:rPr>
          <w:bCs/>
          <w:szCs w:val="28"/>
          <w:lang w:eastAsia="x-none"/>
        </w:rPr>
        <w:t xml:space="preserve"> и </w:t>
      </w:r>
      <w:r w:rsidRPr="00B30CCE">
        <w:rPr>
          <w:bCs/>
          <w:szCs w:val="28"/>
          <w:lang w:eastAsia="x-none"/>
        </w:rPr>
        <w:t>склер</w:t>
      </w:r>
      <w:r>
        <w:rPr>
          <w:bCs/>
          <w:szCs w:val="28"/>
          <w:lang w:eastAsia="x-none"/>
        </w:rPr>
        <w:t xml:space="preserve">, что обусловлено наличием </w:t>
      </w:r>
      <w:r w:rsidRPr="00B30CCE">
        <w:rPr>
          <w:bCs/>
          <w:szCs w:val="28"/>
          <w:lang w:eastAsia="x-none"/>
        </w:rPr>
        <w:t>неэффективн</w:t>
      </w:r>
      <w:r>
        <w:rPr>
          <w:bCs/>
          <w:szCs w:val="28"/>
          <w:lang w:eastAsia="x-none"/>
        </w:rPr>
        <w:t>ого</w:t>
      </w:r>
      <w:r w:rsidRPr="00B30CCE">
        <w:rPr>
          <w:bCs/>
          <w:szCs w:val="28"/>
          <w:lang w:eastAsia="x-none"/>
        </w:rPr>
        <w:t xml:space="preserve"> </w:t>
      </w:r>
      <w:proofErr w:type="spellStart"/>
      <w:r w:rsidRPr="00B30CCE">
        <w:rPr>
          <w:bCs/>
          <w:szCs w:val="28"/>
          <w:lang w:eastAsia="x-none"/>
        </w:rPr>
        <w:t>эритропоэз</w:t>
      </w:r>
      <w:r>
        <w:rPr>
          <w:bCs/>
          <w:szCs w:val="28"/>
          <w:lang w:eastAsia="x-none"/>
        </w:rPr>
        <w:t>а</w:t>
      </w:r>
      <w:proofErr w:type="spellEnd"/>
      <w:r>
        <w:rPr>
          <w:bCs/>
          <w:szCs w:val="28"/>
          <w:lang w:eastAsia="x-none"/>
        </w:rPr>
        <w:t xml:space="preserve"> в костном мозге</w:t>
      </w:r>
      <w:r w:rsidRPr="00B30CCE">
        <w:rPr>
          <w:bCs/>
          <w:szCs w:val="28"/>
          <w:lang w:eastAsia="x-none"/>
        </w:rPr>
        <w:t xml:space="preserve"> и</w:t>
      </w:r>
      <w:r>
        <w:rPr>
          <w:bCs/>
          <w:szCs w:val="28"/>
          <w:lang w:eastAsia="x-none"/>
        </w:rPr>
        <w:t>,</w:t>
      </w:r>
      <w:r w:rsidRPr="00B30CCE">
        <w:rPr>
          <w:bCs/>
          <w:szCs w:val="28"/>
          <w:lang w:eastAsia="x-none"/>
        </w:rPr>
        <w:t xml:space="preserve"> </w:t>
      </w:r>
      <w:r>
        <w:rPr>
          <w:bCs/>
          <w:szCs w:val="28"/>
          <w:lang w:eastAsia="x-none"/>
        </w:rPr>
        <w:t xml:space="preserve">вследствие этого, </w:t>
      </w:r>
      <w:r w:rsidRPr="00B30CCE">
        <w:rPr>
          <w:bCs/>
          <w:szCs w:val="28"/>
          <w:lang w:eastAsia="x-none"/>
        </w:rPr>
        <w:t>повышенно</w:t>
      </w:r>
      <w:r>
        <w:rPr>
          <w:bCs/>
          <w:szCs w:val="28"/>
          <w:lang w:eastAsia="x-none"/>
        </w:rPr>
        <w:t xml:space="preserve">го </w:t>
      </w:r>
      <w:r w:rsidRPr="00B30CCE">
        <w:rPr>
          <w:bCs/>
          <w:szCs w:val="28"/>
          <w:lang w:eastAsia="x-none"/>
        </w:rPr>
        <w:t>разрушени</w:t>
      </w:r>
      <w:r>
        <w:rPr>
          <w:bCs/>
          <w:szCs w:val="28"/>
          <w:lang w:eastAsia="x-none"/>
        </w:rPr>
        <w:t>я</w:t>
      </w:r>
      <w:r w:rsidRPr="00B30CCE">
        <w:rPr>
          <w:bCs/>
          <w:szCs w:val="28"/>
          <w:lang w:eastAsia="x-none"/>
        </w:rPr>
        <w:t xml:space="preserve"> гемоглобин</w:t>
      </w:r>
      <w:r>
        <w:rPr>
          <w:bCs/>
          <w:szCs w:val="28"/>
          <w:lang w:eastAsia="x-none"/>
        </w:rPr>
        <w:t>-</w:t>
      </w:r>
      <w:r w:rsidRPr="00B30CCE">
        <w:rPr>
          <w:bCs/>
          <w:szCs w:val="28"/>
          <w:lang w:eastAsia="x-none"/>
        </w:rPr>
        <w:t xml:space="preserve">содержащих клеток, </w:t>
      </w:r>
      <w:r>
        <w:rPr>
          <w:bCs/>
          <w:szCs w:val="28"/>
          <w:lang w:eastAsia="x-none"/>
        </w:rPr>
        <w:t xml:space="preserve">что приводит к повышению </w:t>
      </w:r>
      <w:r w:rsidRPr="00B30CCE">
        <w:rPr>
          <w:bCs/>
          <w:szCs w:val="28"/>
          <w:lang w:eastAsia="x-none"/>
        </w:rPr>
        <w:t>в крови уровн</w:t>
      </w:r>
      <w:r>
        <w:rPr>
          <w:bCs/>
          <w:szCs w:val="28"/>
          <w:lang w:eastAsia="x-none"/>
        </w:rPr>
        <w:t>я</w:t>
      </w:r>
      <w:r w:rsidRPr="00B30CCE">
        <w:rPr>
          <w:bCs/>
          <w:szCs w:val="28"/>
          <w:lang w:eastAsia="x-none"/>
        </w:rPr>
        <w:t xml:space="preserve"> непрямого билирубина. При тяжелых формах </w:t>
      </w:r>
      <w:r>
        <w:rPr>
          <w:bCs/>
          <w:szCs w:val="28"/>
          <w:lang w:eastAsia="x-none"/>
        </w:rPr>
        <w:t xml:space="preserve">ФДА </w:t>
      </w:r>
      <w:r w:rsidRPr="00B30CCE">
        <w:rPr>
          <w:bCs/>
          <w:szCs w:val="28"/>
          <w:lang w:eastAsia="x-none"/>
        </w:rPr>
        <w:t xml:space="preserve">может наблюдаться небольшое увеличение селезенки (реактивная гиперплазия). Таким образом, имеется некоторое сходство симптоматики </w:t>
      </w:r>
      <w:proofErr w:type="spellStart"/>
      <w:r w:rsidRPr="00B30CCE">
        <w:rPr>
          <w:bCs/>
          <w:szCs w:val="28"/>
          <w:lang w:eastAsia="x-none"/>
        </w:rPr>
        <w:t>фолиеводефицитной</w:t>
      </w:r>
      <w:proofErr w:type="spellEnd"/>
      <w:r w:rsidRPr="00B30CCE">
        <w:rPr>
          <w:bCs/>
          <w:szCs w:val="28"/>
          <w:lang w:eastAsia="x-none"/>
        </w:rPr>
        <w:t xml:space="preserve"> анемии и гемолитической анемии. </w:t>
      </w:r>
    </w:p>
    <w:p w14:paraId="152CB408" w14:textId="5FFDDBEB" w:rsidR="00613512" w:rsidRPr="003D1011" w:rsidRDefault="00613512" w:rsidP="00613512">
      <w:pPr>
        <w:pStyle w:val="17"/>
      </w:pPr>
      <w:r>
        <w:t>Проявления ФДА напоминают симптоматику при В12 дефицитной анемии, но обычно менее выражены.  В отличие от В12–дефицита для ФДА не характерно поражение нервной системы</w:t>
      </w:r>
      <w:r w:rsidR="00452FED">
        <w:t xml:space="preserve"> (исключения составляют пациенты с </w:t>
      </w:r>
      <w:r>
        <w:t>алкоголизмом и эпилепсией, имеющие неврологическую симптоматику по другой причине</w:t>
      </w:r>
      <w:r w:rsidRPr="001678D5">
        <w:t>) [1,2,3,4,12].</w:t>
      </w:r>
      <w:r>
        <w:t xml:space="preserve">  </w:t>
      </w:r>
    </w:p>
    <w:p w14:paraId="6F035EAF" w14:textId="77777777" w:rsidR="00923E14" w:rsidRDefault="00613512" w:rsidP="00CB391C">
      <w:pPr>
        <w:pStyle w:val="17"/>
      </w:pPr>
      <w:r w:rsidRPr="00B30CCE">
        <w:rPr>
          <w:bCs/>
          <w:szCs w:val="28"/>
          <w:lang w:eastAsia="x-none"/>
        </w:rPr>
        <w:t xml:space="preserve">Клиническое течение </w:t>
      </w:r>
      <w:r>
        <w:rPr>
          <w:bCs/>
          <w:szCs w:val="28"/>
          <w:lang w:eastAsia="x-none"/>
        </w:rPr>
        <w:t xml:space="preserve">ФДА </w:t>
      </w:r>
      <w:r w:rsidRPr="00B30CCE">
        <w:rPr>
          <w:bCs/>
          <w:szCs w:val="28"/>
          <w:lang w:eastAsia="x-none"/>
        </w:rPr>
        <w:t xml:space="preserve">зависит от причины, лежащей в основе ее развития, успеха </w:t>
      </w:r>
      <w:r>
        <w:rPr>
          <w:bCs/>
          <w:szCs w:val="28"/>
          <w:lang w:eastAsia="x-none"/>
        </w:rPr>
        <w:t>лечения</w:t>
      </w:r>
      <w:r w:rsidRPr="00B30CCE">
        <w:rPr>
          <w:bCs/>
          <w:szCs w:val="28"/>
          <w:lang w:eastAsia="x-none"/>
        </w:rPr>
        <w:t xml:space="preserve"> «основного» заболевания и редко бывает тяжелым, если не сочетается с другими тяжелыми «дефицитными» или гемолитическими анемиями</w:t>
      </w:r>
      <w:r>
        <w:rPr>
          <w:bCs/>
          <w:szCs w:val="28"/>
          <w:lang w:eastAsia="x-none"/>
        </w:rPr>
        <w:t xml:space="preserve"> </w:t>
      </w:r>
      <w:r w:rsidRPr="001678D5">
        <w:t>[13,14].</w:t>
      </w:r>
      <w:r>
        <w:t xml:space="preserve">  </w:t>
      </w:r>
    </w:p>
    <w:p w14:paraId="6F546039" w14:textId="77777777" w:rsidR="00CB391C" w:rsidRDefault="00CB391C" w:rsidP="00CB391C">
      <w:pPr>
        <w:pStyle w:val="afff1"/>
      </w:pPr>
      <w:bookmarkStart w:id="31" w:name="_Toc22645521"/>
      <w:bookmarkStart w:id="32" w:name="_Toc32479209"/>
      <w:bookmarkEnd w:id="11"/>
      <w:r>
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31"/>
      <w:bookmarkEnd w:id="32"/>
    </w:p>
    <w:p w14:paraId="12FC6644" w14:textId="77777777" w:rsidR="00877EF5" w:rsidRDefault="00237EA2" w:rsidP="006C04C9">
      <w:pPr>
        <w:pStyle w:val="2-6"/>
        <w:rPr>
          <w:i/>
        </w:rPr>
      </w:pPr>
      <w:r w:rsidRPr="004523C0">
        <w:rPr>
          <w:i/>
        </w:rPr>
        <w:t xml:space="preserve">Диагноз </w:t>
      </w:r>
      <w:r>
        <w:rPr>
          <w:i/>
        </w:rPr>
        <w:t>Ф</w:t>
      </w:r>
      <w:r w:rsidRPr="004523C0">
        <w:rPr>
          <w:i/>
        </w:rPr>
        <w:t>ДА основывается на характерной клинико-гематологической картине</w:t>
      </w:r>
      <w:r>
        <w:rPr>
          <w:i/>
        </w:rPr>
        <w:t xml:space="preserve"> заболевания</w:t>
      </w:r>
      <w:r w:rsidRPr="004523C0">
        <w:rPr>
          <w:i/>
        </w:rPr>
        <w:t xml:space="preserve"> и наличии лабораторных доказательств дефицита </w:t>
      </w:r>
      <w:r>
        <w:rPr>
          <w:i/>
        </w:rPr>
        <w:t xml:space="preserve">фолиевой кислоты: </w:t>
      </w:r>
      <w:proofErr w:type="spellStart"/>
      <w:r w:rsidRPr="0071693C">
        <w:rPr>
          <w:i/>
        </w:rPr>
        <w:t>макроцитарная</w:t>
      </w:r>
      <w:proofErr w:type="spellEnd"/>
      <w:r w:rsidRPr="0071693C">
        <w:rPr>
          <w:i/>
        </w:rPr>
        <w:t xml:space="preserve">, </w:t>
      </w:r>
      <w:proofErr w:type="spellStart"/>
      <w:r w:rsidRPr="0071693C">
        <w:rPr>
          <w:i/>
        </w:rPr>
        <w:t>гиперхромная</w:t>
      </w:r>
      <w:proofErr w:type="spellEnd"/>
      <w:r w:rsidRPr="0071693C">
        <w:rPr>
          <w:i/>
        </w:rPr>
        <w:t xml:space="preserve"> анемия, с увеличением среднего объема (MCV) и среднего содержания гемоглобина (MCH) эритроцитов в сочетании с картиной </w:t>
      </w:r>
      <w:proofErr w:type="spellStart"/>
      <w:r w:rsidRPr="0071693C">
        <w:rPr>
          <w:i/>
        </w:rPr>
        <w:t>мегалобластного</w:t>
      </w:r>
      <w:proofErr w:type="spellEnd"/>
      <w:r w:rsidRPr="0071693C">
        <w:rPr>
          <w:i/>
        </w:rPr>
        <w:t xml:space="preserve"> кроветворения в костном мозге и низким уро</w:t>
      </w:r>
      <w:r>
        <w:rPr>
          <w:i/>
        </w:rPr>
        <w:t xml:space="preserve">внем </w:t>
      </w:r>
      <w:proofErr w:type="spellStart"/>
      <w:r>
        <w:rPr>
          <w:i/>
        </w:rPr>
        <w:t>фолатов</w:t>
      </w:r>
      <w:proofErr w:type="spellEnd"/>
      <w:r>
        <w:rPr>
          <w:i/>
        </w:rPr>
        <w:t xml:space="preserve"> в сыворотке крови </w:t>
      </w:r>
      <w:r w:rsidRPr="001678D5">
        <w:rPr>
          <w:i/>
        </w:rPr>
        <w:t>[1,2,3,12].</w:t>
      </w:r>
      <w:r w:rsidRPr="0071693C">
        <w:rPr>
          <w:i/>
        </w:rPr>
        <w:t xml:space="preserve">  </w:t>
      </w:r>
    </w:p>
    <w:p w14:paraId="0D5FA0F6" w14:textId="77777777" w:rsidR="00056E70" w:rsidRPr="00EC7700" w:rsidRDefault="00056E70" w:rsidP="00056E70">
      <w:pPr>
        <w:rPr>
          <w:i/>
        </w:rPr>
      </w:pPr>
      <w:bookmarkStart w:id="33" w:name="_Toc25838271"/>
      <w:bookmarkStart w:id="34" w:name="_Toc16510473"/>
      <w:r w:rsidRPr="00EC7700">
        <w:rPr>
          <w:i/>
        </w:rPr>
        <w:t xml:space="preserve">Дифференциальный диагноз ФДА проводят с другими заболеваниями, протекающими с гемолитическим компонентом и </w:t>
      </w:r>
      <w:proofErr w:type="spellStart"/>
      <w:r w:rsidRPr="00EC7700">
        <w:rPr>
          <w:i/>
        </w:rPr>
        <w:t>панцитопенией</w:t>
      </w:r>
      <w:proofErr w:type="spellEnd"/>
      <w:r w:rsidRPr="00EC7700">
        <w:rPr>
          <w:i/>
        </w:rPr>
        <w:t>:</w:t>
      </w:r>
      <w:bookmarkEnd w:id="33"/>
    </w:p>
    <w:p w14:paraId="28AEAFA5" w14:textId="77777777" w:rsidR="00056E70" w:rsidRPr="00EC7700" w:rsidRDefault="00056E70" w:rsidP="00056E70">
      <w:pPr>
        <w:rPr>
          <w:i/>
        </w:rPr>
      </w:pPr>
      <w:bookmarkStart w:id="35" w:name="_Toc25838272"/>
      <w:r w:rsidRPr="00EC7700">
        <w:rPr>
          <w:i/>
        </w:rPr>
        <w:t>·</w:t>
      </w:r>
      <w:r w:rsidRPr="00EC7700">
        <w:rPr>
          <w:i/>
        </w:rPr>
        <w:tab/>
        <w:t>В12-дефицитная анемия;</w:t>
      </w:r>
      <w:bookmarkEnd w:id="35"/>
    </w:p>
    <w:p w14:paraId="50952236" w14:textId="77777777" w:rsidR="00056E70" w:rsidRPr="00EC7700" w:rsidRDefault="00056E70" w:rsidP="00056E70">
      <w:pPr>
        <w:rPr>
          <w:i/>
        </w:rPr>
      </w:pPr>
      <w:bookmarkStart w:id="36" w:name="_Toc25838273"/>
      <w:r w:rsidRPr="00EC7700">
        <w:rPr>
          <w:i/>
        </w:rPr>
        <w:t>·</w:t>
      </w:r>
      <w:r w:rsidRPr="00EC7700">
        <w:rPr>
          <w:i/>
        </w:rPr>
        <w:tab/>
        <w:t xml:space="preserve">различные формы </w:t>
      </w:r>
      <w:proofErr w:type="gramStart"/>
      <w:r w:rsidRPr="00EC7700">
        <w:rPr>
          <w:i/>
        </w:rPr>
        <w:t>гемолитических</w:t>
      </w:r>
      <w:proofErr w:type="gramEnd"/>
      <w:r w:rsidRPr="00EC7700">
        <w:rPr>
          <w:i/>
        </w:rPr>
        <w:t xml:space="preserve"> анемии;</w:t>
      </w:r>
      <w:bookmarkEnd w:id="36"/>
    </w:p>
    <w:p w14:paraId="044E4039" w14:textId="77777777" w:rsidR="00056E70" w:rsidRPr="00EC7700" w:rsidRDefault="00056E70" w:rsidP="00056E70">
      <w:pPr>
        <w:rPr>
          <w:i/>
        </w:rPr>
      </w:pPr>
      <w:bookmarkStart w:id="37" w:name="_Toc25838274"/>
      <w:r w:rsidRPr="00EC7700">
        <w:rPr>
          <w:i/>
        </w:rPr>
        <w:t>·</w:t>
      </w:r>
      <w:r w:rsidRPr="00EC7700">
        <w:rPr>
          <w:i/>
        </w:rPr>
        <w:tab/>
      </w:r>
      <w:proofErr w:type="spellStart"/>
      <w:r w:rsidRPr="00EC7700">
        <w:rPr>
          <w:i/>
        </w:rPr>
        <w:t>миелодиспластические</w:t>
      </w:r>
      <w:proofErr w:type="spellEnd"/>
      <w:r w:rsidRPr="00EC7700">
        <w:rPr>
          <w:i/>
        </w:rPr>
        <w:t xml:space="preserve"> синдромы (рефрактерные анемии, в том числе и рефрактерная </w:t>
      </w:r>
      <w:proofErr w:type="spellStart"/>
      <w:r w:rsidRPr="00EC7700">
        <w:rPr>
          <w:i/>
        </w:rPr>
        <w:t>сидеробластная</w:t>
      </w:r>
      <w:proofErr w:type="spellEnd"/>
      <w:r w:rsidRPr="00EC7700">
        <w:rPr>
          <w:i/>
        </w:rPr>
        <w:t xml:space="preserve"> анемия, рефрактерная анемия с избытком </w:t>
      </w:r>
      <w:proofErr w:type="spellStart"/>
      <w:r w:rsidRPr="00EC7700">
        <w:rPr>
          <w:i/>
        </w:rPr>
        <w:t>бластов</w:t>
      </w:r>
      <w:proofErr w:type="spellEnd"/>
      <w:r w:rsidRPr="00EC7700">
        <w:rPr>
          <w:i/>
        </w:rPr>
        <w:t>);</w:t>
      </w:r>
      <w:bookmarkEnd w:id="37"/>
    </w:p>
    <w:p w14:paraId="49026C93" w14:textId="77777777" w:rsidR="00056E70" w:rsidRPr="00EC7700" w:rsidRDefault="00056E70" w:rsidP="00056E70">
      <w:pPr>
        <w:rPr>
          <w:i/>
        </w:rPr>
      </w:pPr>
      <w:bookmarkStart w:id="38" w:name="_Toc25838275"/>
      <w:r w:rsidRPr="00EC7700">
        <w:rPr>
          <w:i/>
        </w:rPr>
        <w:t>·</w:t>
      </w:r>
      <w:r w:rsidRPr="00EC7700">
        <w:rPr>
          <w:i/>
        </w:rPr>
        <w:tab/>
        <w:t xml:space="preserve">острый </w:t>
      </w:r>
      <w:proofErr w:type="spellStart"/>
      <w:r w:rsidRPr="00EC7700">
        <w:rPr>
          <w:i/>
        </w:rPr>
        <w:t>эритромиелоз</w:t>
      </w:r>
      <w:proofErr w:type="spellEnd"/>
      <w:r w:rsidRPr="00EC7700">
        <w:rPr>
          <w:i/>
        </w:rPr>
        <w:t>;</w:t>
      </w:r>
      <w:bookmarkEnd w:id="38"/>
    </w:p>
    <w:p w14:paraId="72A99536" w14:textId="77777777" w:rsidR="00147C46" w:rsidRPr="002F1080" w:rsidRDefault="00056E70" w:rsidP="00147C46">
      <w:pPr>
        <w:rPr>
          <w:i/>
        </w:rPr>
      </w:pPr>
      <w:bookmarkStart w:id="39" w:name="_Toc25838276"/>
      <w:r w:rsidRPr="003671F3">
        <w:rPr>
          <w:b/>
          <w:i/>
        </w:rPr>
        <w:lastRenderedPageBreak/>
        <w:t>·</w:t>
      </w:r>
      <w:r w:rsidRPr="003671F3">
        <w:rPr>
          <w:b/>
          <w:i/>
        </w:rPr>
        <w:tab/>
      </w:r>
      <w:proofErr w:type="spellStart"/>
      <w:r w:rsidRPr="002F1080">
        <w:rPr>
          <w:i/>
        </w:rPr>
        <w:t>макроцитоз</w:t>
      </w:r>
      <w:proofErr w:type="spellEnd"/>
      <w:r w:rsidRPr="002F1080">
        <w:rPr>
          <w:i/>
        </w:rPr>
        <w:t xml:space="preserve"> </w:t>
      </w:r>
      <w:proofErr w:type="gramStart"/>
      <w:r w:rsidRPr="002F1080">
        <w:rPr>
          <w:i/>
        </w:rPr>
        <w:t>сопряженный</w:t>
      </w:r>
      <w:proofErr w:type="gramEnd"/>
      <w:r w:rsidRPr="002F1080">
        <w:rPr>
          <w:i/>
        </w:rPr>
        <w:t xml:space="preserve"> с цитостатической терапией </w:t>
      </w:r>
      <w:bookmarkStart w:id="40" w:name="_Toc25838277"/>
      <w:bookmarkEnd w:id="39"/>
      <w:r w:rsidR="00147C46" w:rsidRPr="002F1080">
        <w:rPr>
          <w:i/>
        </w:rPr>
        <w:t>(</w:t>
      </w:r>
      <w:proofErr w:type="spellStart"/>
      <w:r w:rsidR="00147C46" w:rsidRPr="002F1080">
        <w:rPr>
          <w:i/>
        </w:rPr>
        <w:t>цитарабин</w:t>
      </w:r>
      <w:proofErr w:type="spellEnd"/>
      <w:r w:rsidR="00147C46">
        <w:rPr>
          <w:i/>
        </w:rPr>
        <w:t xml:space="preserve">**, </w:t>
      </w:r>
      <w:proofErr w:type="spellStart"/>
      <w:r w:rsidR="00147C46">
        <w:rPr>
          <w:i/>
        </w:rPr>
        <w:t>гидроксикарбамид</w:t>
      </w:r>
      <w:proofErr w:type="spellEnd"/>
      <w:r w:rsidR="00147C46">
        <w:rPr>
          <w:i/>
        </w:rPr>
        <w:t>**</w:t>
      </w:r>
      <w:r w:rsidR="00147C46" w:rsidRPr="002F1080">
        <w:rPr>
          <w:i/>
        </w:rPr>
        <w:t xml:space="preserve">, </w:t>
      </w:r>
      <w:proofErr w:type="spellStart"/>
      <w:r w:rsidR="00147C46" w:rsidRPr="002F1080">
        <w:rPr>
          <w:i/>
        </w:rPr>
        <w:t>метотрексат</w:t>
      </w:r>
      <w:proofErr w:type="spellEnd"/>
      <w:r w:rsidR="00147C46">
        <w:rPr>
          <w:i/>
        </w:rPr>
        <w:t>**</w:t>
      </w:r>
      <w:r w:rsidR="00147C46" w:rsidRPr="002F1080">
        <w:rPr>
          <w:i/>
        </w:rPr>
        <w:t>);</w:t>
      </w:r>
    </w:p>
    <w:p w14:paraId="55601E78" w14:textId="1381B92C" w:rsidR="00056E70" w:rsidRPr="002F1080" w:rsidRDefault="00056E70" w:rsidP="00056E70">
      <w:pPr>
        <w:rPr>
          <w:i/>
        </w:rPr>
      </w:pPr>
      <w:r w:rsidRPr="002F1080">
        <w:rPr>
          <w:i/>
        </w:rPr>
        <w:t>·</w:t>
      </w:r>
      <w:r w:rsidRPr="002F1080">
        <w:rPr>
          <w:i/>
        </w:rPr>
        <w:tab/>
        <w:t xml:space="preserve">заболевания печени с </w:t>
      </w:r>
      <w:proofErr w:type="spellStart"/>
      <w:r w:rsidRPr="002F1080">
        <w:rPr>
          <w:i/>
        </w:rPr>
        <w:t>гиперспленизмом</w:t>
      </w:r>
      <w:proofErr w:type="spellEnd"/>
      <w:r w:rsidRPr="002F1080">
        <w:rPr>
          <w:i/>
        </w:rPr>
        <w:t>;</w:t>
      </w:r>
      <w:bookmarkEnd w:id="40"/>
    </w:p>
    <w:p w14:paraId="637DCB04" w14:textId="77777777" w:rsidR="00056E70" w:rsidRPr="002F1080" w:rsidRDefault="00056E70" w:rsidP="00056E70">
      <w:pPr>
        <w:rPr>
          <w:i/>
        </w:rPr>
      </w:pPr>
      <w:bookmarkStart w:id="41" w:name="_Toc25838278"/>
      <w:r w:rsidRPr="002F1080">
        <w:rPr>
          <w:i/>
        </w:rPr>
        <w:t>·</w:t>
      </w:r>
      <w:r w:rsidRPr="002F1080">
        <w:rPr>
          <w:i/>
        </w:rPr>
        <w:tab/>
        <w:t>первичный амилоидоз;</w:t>
      </w:r>
      <w:bookmarkEnd w:id="41"/>
    </w:p>
    <w:p w14:paraId="4DCD38EE" w14:textId="4212198B" w:rsidR="00056E70" w:rsidRPr="006C04C9" w:rsidRDefault="00524AD9" w:rsidP="00056E70">
      <w:pPr>
        <w:rPr>
          <w:i/>
        </w:rPr>
      </w:pPr>
      <w:bookmarkStart w:id="42" w:name="_Toc25838279"/>
      <w:r>
        <w:rPr>
          <w:i/>
        </w:rPr>
        <w:t>·</w:t>
      </w:r>
      <w:r>
        <w:rPr>
          <w:i/>
        </w:rPr>
        <w:tab/>
        <w:t>гипотиреоз [12,14,</w:t>
      </w:r>
      <w:r w:rsidR="00BD71EF">
        <w:rPr>
          <w:i/>
        </w:rPr>
        <w:t>15</w:t>
      </w:r>
      <w:r w:rsidR="00056E70" w:rsidRPr="002F1080">
        <w:rPr>
          <w:i/>
        </w:rPr>
        <w:t>]</w:t>
      </w:r>
      <w:bookmarkEnd w:id="34"/>
      <w:r w:rsidR="00056E70" w:rsidRPr="002F1080">
        <w:rPr>
          <w:i/>
        </w:rPr>
        <w:t>.</w:t>
      </w:r>
      <w:bookmarkEnd w:id="42"/>
    </w:p>
    <w:p w14:paraId="77EC0668" w14:textId="77777777" w:rsidR="00CB391C" w:rsidRPr="00092EC5" w:rsidRDefault="00CB391C" w:rsidP="00CB391C">
      <w:pPr>
        <w:pStyle w:val="2"/>
        <w:divId w:val="266810958"/>
      </w:pPr>
      <w:bookmarkStart w:id="43" w:name="_Toc22645522"/>
      <w:bookmarkStart w:id="44" w:name="_Toc32479210"/>
      <w:r w:rsidRPr="00092EC5">
        <w:t>2.1 Жалобы и анамнез</w:t>
      </w:r>
      <w:bookmarkEnd w:id="43"/>
      <w:bookmarkEnd w:id="44"/>
    </w:p>
    <w:p w14:paraId="34BEBD77" w14:textId="77777777" w:rsidR="006D5AB8" w:rsidRPr="007450D0" w:rsidRDefault="00237EA2" w:rsidP="0069039C">
      <w:pPr>
        <w:pStyle w:val="17"/>
        <w:divId w:val="266810958"/>
        <w:rPr>
          <w:i/>
        </w:rPr>
      </w:pPr>
      <w:r w:rsidRPr="007450D0">
        <w:rPr>
          <w:bCs/>
          <w:i/>
          <w:szCs w:val="28"/>
          <w:lang w:eastAsia="x-none"/>
        </w:rPr>
        <w:t xml:space="preserve">Тщательный сбор анамнеза может стать решающим звеном для направленного диагностического поиска, поскольку ФДА, как правило, имеет вторичный характер (см. раздел «Клиническая картина»). </w:t>
      </w:r>
    </w:p>
    <w:p w14:paraId="14775779" w14:textId="77777777" w:rsidR="00CB391C" w:rsidRPr="00092EC5" w:rsidRDefault="00CB391C" w:rsidP="00CB391C">
      <w:pPr>
        <w:pStyle w:val="2"/>
        <w:divId w:val="266810958"/>
      </w:pPr>
      <w:bookmarkStart w:id="45" w:name="_Toc22645523"/>
      <w:bookmarkStart w:id="46" w:name="_Toc32479211"/>
      <w:r w:rsidRPr="00092EC5">
        <w:t xml:space="preserve">2.2 </w:t>
      </w:r>
      <w:proofErr w:type="spellStart"/>
      <w:r w:rsidRPr="00092EC5">
        <w:t>Физикальное</w:t>
      </w:r>
      <w:proofErr w:type="spellEnd"/>
      <w:r w:rsidRPr="00092EC5">
        <w:t xml:space="preserve"> обследование</w:t>
      </w:r>
      <w:bookmarkEnd w:id="45"/>
      <w:bookmarkEnd w:id="46"/>
    </w:p>
    <w:p w14:paraId="41637D3F" w14:textId="5BFF6154" w:rsidR="00CB391C" w:rsidRPr="007450D0" w:rsidRDefault="00CB391C" w:rsidP="0069039C">
      <w:pPr>
        <w:pStyle w:val="17"/>
        <w:divId w:val="266810958"/>
        <w:rPr>
          <w:bCs/>
          <w:i/>
          <w:szCs w:val="28"/>
          <w:lang w:eastAsia="x-none"/>
        </w:rPr>
      </w:pPr>
      <w:r w:rsidRPr="007450D0">
        <w:rPr>
          <w:bCs/>
          <w:i/>
          <w:szCs w:val="28"/>
          <w:lang w:eastAsia="x-none"/>
        </w:rPr>
        <w:t xml:space="preserve">Клинические проявления анемического синдрома - неспецифичны, а характерные признаки дефицита </w:t>
      </w:r>
      <w:proofErr w:type="spellStart"/>
      <w:r w:rsidRPr="007450D0">
        <w:rPr>
          <w:bCs/>
          <w:i/>
          <w:szCs w:val="28"/>
          <w:lang w:eastAsia="x-none"/>
        </w:rPr>
        <w:t>фолатов</w:t>
      </w:r>
      <w:proofErr w:type="spellEnd"/>
      <w:r w:rsidRPr="007450D0">
        <w:rPr>
          <w:bCs/>
          <w:i/>
          <w:szCs w:val="28"/>
          <w:lang w:eastAsia="x-none"/>
        </w:rPr>
        <w:t xml:space="preserve"> не позволяют провести дифференциальную диагностику с В12-дефицитной анемией. В соответствии с этим, решающее значение в диагностик</w:t>
      </w:r>
      <w:r w:rsidR="008F2A1C">
        <w:rPr>
          <w:bCs/>
          <w:i/>
          <w:szCs w:val="28"/>
          <w:lang w:eastAsia="x-none"/>
        </w:rPr>
        <w:t>е</w:t>
      </w:r>
      <w:r w:rsidRPr="007450D0">
        <w:rPr>
          <w:bCs/>
          <w:i/>
          <w:szCs w:val="28"/>
          <w:lang w:eastAsia="x-none"/>
        </w:rPr>
        <w:t xml:space="preserve"> ФДА имеют лабораторные исследования</w:t>
      </w:r>
      <w:r w:rsidRPr="007450D0">
        <w:rPr>
          <w:i/>
        </w:rPr>
        <w:t xml:space="preserve"> </w:t>
      </w:r>
      <w:r w:rsidRPr="007450D0">
        <w:rPr>
          <w:bCs/>
          <w:i/>
          <w:szCs w:val="28"/>
          <w:lang w:eastAsia="x-none"/>
        </w:rPr>
        <w:t>(см. раздел «Клиническая картина»).</w:t>
      </w:r>
    </w:p>
    <w:p w14:paraId="20C8ADE2" w14:textId="77777777" w:rsidR="000A2BBB" w:rsidRPr="00092EC5" w:rsidRDefault="000A2BBB" w:rsidP="000A2BBB">
      <w:pPr>
        <w:pStyle w:val="2"/>
        <w:divId w:val="266810958"/>
      </w:pPr>
      <w:bookmarkStart w:id="47" w:name="_Toc22645524"/>
      <w:bookmarkStart w:id="48" w:name="_Toc32479212"/>
      <w:r w:rsidRPr="00092EC5">
        <w:t>2.3 Лабораторные диагностические исследования</w:t>
      </w:r>
      <w:bookmarkEnd w:id="47"/>
      <w:bookmarkEnd w:id="48"/>
    </w:p>
    <w:p w14:paraId="4DC38254" w14:textId="77777777" w:rsidR="00B46390" w:rsidRPr="00A571EA" w:rsidRDefault="00174593" w:rsidP="00094ED6">
      <w:pPr>
        <w:pStyle w:val="afffa"/>
        <w:divId w:val="266810958"/>
        <w:rPr>
          <w:b/>
        </w:rPr>
      </w:pPr>
      <w:r w:rsidRPr="00A571EA">
        <w:t xml:space="preserve"> </w:t>
      </w:r>
    </w:p>
    <w:p w14:paraId="606BB871" w14:textId="00D991EE" w:rsidR="0069039C" w:rsidRPr="0071693C" w:rsidRDefault="0069039C" w:rsidP="007450D0">
      <w:pPr>
        <w:pStyle w:val="afffa"/>
        <w:numPr>
          <w:ilvl w:val="0"/>
          <w:numId w:val="23"/>
        </w:numPr>
        <w:divId w:val="266810958"/>
        <w:rPr>
          <w:i w:val="0"/>
          <w:color w:val="000000" w:themeColor="text1"/>
          <w:sz w:val="24"/>
        </w:rPr>
      </w:pPr>
      <w:r>
        <w:rPr>
          <w:b/>
          <w:i w:val="0"/>
          <w:color w:val="000000" w:themeColor="text1"/>
          <w:sz w:val="24"/>
        </w:rPr>
        <w:t>Р</w:t>
      </w:r>
      <w:r w:rsidRPr="00565EBE">
        <w:rPr>
          <w:b/>
          <w:i w:val="0"/>
          <w:color w:val="000000" w:themeColor="text1"/>
          <w:sz w:val="24"/>
        </w:rPr>
        <w:t xml:space="preserve">екомендуется </w:t>
      </w:r>
      <w:r w:rsidRPr="0069039C">
        <w:rPr>
          <w:i w:val="0"/>
          <w:color w:val="000000" w:themeColor="text1"/>
          <w:sz w:val="24"/>
        </w:rPr>
        <w:t>всем</w:t>
      </w:r>
      <w:r>
        <w:rPr>
          <w:b/>
          <w:i w:val="0"/>
          <w:color w:val="000000" w:themeColor="text1"/>
          <w:sz w:val="24"/>
        </w:rPr>
        <w:t xml:space="preserve"> </w:t>
      </w:r>
      <w:r>
        <w:rPr>
          <w:i w:val="0"/>
          <w:color w:val="000000" w:themeColor="text1"/>
          <w:sz w:val="24"/>
        </w:rPr>
        <w:t>пациентам</w:t>
      </w:r>
      <w:r w:rsidRPr="0071693C">
        <w:rPr>
          <w:i w:val="0"/>
          <w:color w:val="000000" w:themeColor="text1"/>
          <w:sz w:val="24"/>
        </w:rPr>
        <w:t xml:space="preserve"> с </w:t>
      </w:r>
      <w:r>
        <w:rPr>
          <w:i w:val="0"/>
          <w:color w:val="000000" w:themeColor="text1"/>
          <w:sz w:val="24"/>
        </w:rPr>
        <w:t xml:space="preserve">неясной </w:t>
      </w:r>
      <w:proofErr w:type="spellStart"/>
      <w:r>
        <w:rPr>
          <w:i w:val="0"/>
          <w:color w:val="000000" w:themeColor="text1"/>
          <w:sz w:val="24"/>
        </w:rPr>
        <w:t>макроцитарной</w:t>
      </w:r>
      <w:proofErr w:type="spellEnd"/>
      <w:r>
        <w:rPr>
          <w:i w:val="0"/>
          <w:color w:val="000000" w:themeColor="text1"/>
          <w:sz w:val="24"/>
        </w:rPr>
        <w:t xml:space="preserve"> анемией</w:t>
      </w:r>
      <w:r w:rsidRPr="0071693C">
        <w:rPr>
          <w:i w:val="0"/>
          <w:color w:val="000000" w:themeColor="text1"/>
          <w:sz w:val="24"/>
        </w:rPr>
        <w:t xml:space="preserve"> проведение</w:t>
      </w:r>
      <w:r>
        <w:rPr>
          <w:b/>
          <w:i w:val="0"/>
          <w:color w:val="000000" w:themeColor="text1"/>
          <w:sz w:val="24"/>
        </w:rPr>
        <w:t xml:space="preserve"> </w:t>
      </w:r>
      <w:r>
        <w:rPr>
          <w:i w:val="0"/>
          <w:color w:val="000000" w:themeColor="text1"/>
          <w:sz w:val="24"/>
        </w:rPr>
        <w:t xml:space="preserve">следующих </w:t>
      </w:r>
      <w:r w:rsidRPr="00565EBE">
        <w:rPr>
          <w:i w:val="0"/>
          <w:color w:val="000000" w:themeColor="text1"/>
          <w:sz w:val="24"/>
        </w:rPr>
        <w:t xml:space="preserve">лабораторных </w:t>
      </w:r>
      <w:r>
        <w:rPr>
          <w:i w:val="0"/>
          <w:color w:val="000000" w:themeColor="text1"/>
          <w:sz w:val="24"/>
        </w:rPr>
        <w:t>исследований</w:t>
      </w:r>
      <w:r w:rsidRPr="00C45409">
        <w:rPr>
          <w:i w:val="0"/>
          <w:color w:val="000000" w:themeColor="text1"/>
          <w:sz w:val="24"/>
        </w:rPr>
        <w:t xml:space="preserve"> </w:t>
      </w:r>
      <w:r>
        <w:rPr>
          <w:i w:val="0"/>
          <w:color w:val="000000" w:themeColor="text1"/>
          <w:sz w:val="24"/>
        </w:rPr>
        <w:t xml:space="preserve">для диагностики ФДА </w:t>
      </w:r>
      <w:r w:rsidRPr="00C45409">
        <w:rPr>
          <w:i w:val="0"/>
          <w:color w:val="000000" w:themeColor="text1"/>
          <w:sz w:val="24"/>
        </w:rPr>
        <w:t>[2,</w:t>
      </w:r>
      <w:r>
        <w:rPr>
          <w:i w:val="0"/>
          <w:color w:val="000000" w:themeColor="text1"/>
          <w:sz w:val="24"/>
        </w:rPr>
        <w:t>12</w:t>
      </w:r>
      <w:r w:rsidRPr="00C45409">
        <w:rPr>
          <w:i w:val="0"/>
          <w:color w:val="000000" w:themeColor="text1"/>
          <w:sz w:val="24"/>
        </w:rPr>
        <w:t>,</w:t>
      </w:r>
      <w:r>
        <w:rPr>
          <w:i w:val="0"/>
          <w:color w:val="000000" w:themeColor="text1"/>
          <w:sz w:val="24"/>
        </w:rPr>
        <w:t>14</w:t>
      </w:r>
      <w:r w:rsidR="00DC6460">
        <w:rPr>
          <w:i w:val="0"/>
          <w:color w:val="000000" w:themeColor="text1"/>
          <w:sz w:val="24"/>
        </w:rPr>
        <w:t>,</w:t>
      </w:r>
      <w:r w:rsidR="00BD71EF">
        <w:rPr>
          <w:i w:val="0"/>
          <w:color w:val="000000" w:themeColor="text1"/>
          <w:sz w:val="24"/>
        </w:rPr>
        <w:t>16</w:t>
      </w:r>
      <w:r w:rsidRPr="00C45409">
        <w:rPr>
          <w:i w:val="0"/>
          <w:color w:val="000000" w:themeColor="text1"/>
          <w:sz w:val="24"/>
        </w:rPr>
        <w:t>]:</w:t>
      </w:r>
    </w:p>
    <w:p w14:paraId="1F8F9E6B" w14:textId="77777777" w:rsidR="0069039C" w:rsidRPr="0071693C" w:rsidRDefault="0069039C" w:rsidP="0069039C">
      <w:pPr>
        <w:pStyle w:val="afff7"/>
        <w:tabs>
          <w:tab w:val="num" w:pos="720"/>
        </w:tabs>
        <w:ind w:left="720" w:hanging="360"/>
        <w:divId w:val="266810958"/>
      </w:pPr>
      <w:r>
        <w:t xml:space="preserve">общий клинический анализ крови с определением </w:t>
      </w:r>
      <w:proofErr w:type="spellStart"/>
      <w:r>
        <w:t>ретикулоцитов</w:t>
      </w:r>
      <w:proofErr w:type="spellEnd"/>
      <w:r>
        <w:t xml:space="preserve"> и </w:t>
      </w:r>
      <w:proofErr w:type="spellStart"/>
      <w:r>
        <w:t>эритроцитарных</w:t>
      </w:r>
      <w:proofErr w:type="spellEnd"/>
      <w:r>
        <w:t xml:space="preserve"> индексов </w:t>
      </w:r>
      <w:r w:rsidRPr="000E73BC">
        <w:t>(</w:t>
      </w:r>
      <w:r w:rsidRPr="0071693C">
        <w:t>МС</w:t>
      </w:r>
      <w:proofErr w:type="gramStart"/>
      <w:r w:rsidRPr="0071693C">
        <w:t>V</w:t>
      </w:r>
      <w:proofErr w:type="gramEnd"/>
      <w:r w:rsidRPr="0071693C">
        <w:t>, МСН, МСНС)</w:t>
      </w:r>
      <w:r>
        <w:t>;</w:t>
      </w:r>
    </w:p>
    <w:p w14:paraId="63BD40C4" w14:textId="20CEB6B0" w:rsidR="0069039C" w:rsidRDefault="0069039C" w:rsidP="0069039C">
      <w:pPr>
        <w:pStyle w:val="afff7"/>
        <w:tabs>
          <w:tab w:val="num" w:pos="720"/>
        </w:tabs>
        <w:ind w:left="720" w:hanging="360"/>
        <w:divId w:val="266810958"/>
      </w:pPr>
      <w:r>
        <w:t xml:space="preserve">биохимический анализ крови, включающий определение </w:t>
      </w:r>
      <w:r w:rsidR="006E2310">
        <w:t xml:space="preserve">общего белка, альбумина, АЛТ, АСТ, мочевины, </w:t>
      </w:r>
      <w:proofErr w:type="spellStart"/>
      <w:r w:rsidR="006E2310">
        <w:t>креатинина</w:t>
      </w:r>
      <w:proofErr w:type="spellEnd"/>
      <w:r w:rsidR="006E2310">
        <w:t xml:space="preserve">, ЛДГ, </w:t>
      </w:r>
      <w:r w:rsidR="00833EE7" w:rsidRPr="00833EE7">
        <w:t>свободного и связанного билирубина</w:t>
      </w:r>
      <w:r w:rsidR="00745B1B">
        <w:rPr>
          <w:rStyle w:val="ae"/>
          <w:rFonts w:eastAsiaTheme="minorHAnsi"/>
        </w:rPr>
        <w:t>,</w:t>
      </w:r>
      <w:r w:rsidR="00745B1B">
        <w:t xml:space="preserve"> </w:t>
      </w:r>
      <w:proofErr w:type="spellStart"/>
      <w:r w:rsidR="006E2310">
        <w:t>ферритин</w:t>
      </w:r>
      <w:r w:rsidR="00DC6460">
        <w:t>а</w:t>
      </w:r>
      <w:proofErr w:type="spellEnd"/>
      <w:r w:rsidR="00DC6460">
        <w:t>, железа</w:t>
      </w:r>
      <w:r w:rsidR="006E2310">
        <w:t xml:space="preserve">, ОЖСС, </w:t>
      </w:r>
      <w:proofErr w:type="spellStart"/>
      <w:r w:rsidR="006E2310">
        <w:t>трансферрин</w:t>
      </w:r>
      <w:r w:rsidR="00DC6460">
        <w:t>а</w:t>
      </w:r>
      <w:proofErr w:type="spellEnd"/>
      <w:r w:rsidR="006E2310">
        <w:t xml:space="preserve">, НТЖ, </w:t>
      </w:r>
      <w:proofErr w:type="spellStart"/>
      <w:r w:rsidR="006E2310">
        <w:t>гомоцистеина</w:t>
      </w:r>
      <w:proofErr w:type="spellEnd"/>
      <w:r w:rsidR="006E2310">
        <w:t xml:space="preserve">, </w:t>
      </w:r>
      <w:proofErr w:type="spellStart"/>
      <w:r w:rsidR="00845053">
        <w:t>цианокобалами</w:t>
      </w:r>
      <w:r w:rsidR="0047453F">
        <w:t>н</w:t>
      </w:r>
      <w:r w:rsidR="00056E70">
        <w:t>а</w:t>
      </w:r>
      <w:proofErr w:type="spellEnd"/>
      <w:r w:rsidR="00056E70">
        <w:t xml:space="preserve"> (В12), фолиевой кислоты</w:t>
      </w:r>
      <w:r w:rsidR="0063758E">
        <w:t xml:space="preserve"> (витамин В</w:t>
      </w:r>
      <w:proofErr w:type="gramStart"/>
      <w:r w:rsidR="0063758E">
        <w:t>9</w:t>
      </w:r>
      <w:proofErr w:type="gramEnd"/>
      <w:r w:rsidR="0063758E">
        <w:t>)</w:t>
      </w:r>
      <w:r w:rsidR="006E2310">
        <w:t xml:space="preserve"> для определения </w:t>
      </w:r>
      <w:r w:rsidR="006E2310" w:rsidRPr="003A5B73">
        <w:t>функционального состояния пече</w:t>
      </w:r>
      <w:r w:rsidR="006E2310">
        <w:t>ни, почек, поджелудочной железы</w:t>
      </w:r>
      <w:r>
        <w:t>;</w:t>
      </w:r>
    </w:p>
    <w:p w14:paraId="6E6A8D7F" w14:textId="29A44448" w:rsidR="0069039C" w:rsidRPr="00DC6460" w:rsidRDefault="00056E70" w:rsidP="0069039C">
      <w:pPr>
        <w:pStyle w:val="afff7"/>
        <w:tabs>
          <w:tab w:val="num" w:pos="720"/>
        </w:tabs>
        <w:ind w:left="720" w:hanging="360"/>
        <w:divId w:val="266810958"/>
        <w:rPr>
          <w:b/>
        </w:rPr>
      </w:pPr>
      <w:r>
        <w:t>п</w:t>
      </w:r>
      <w:r w:rsidR="00BE32DD">
        <w:t xml:space="preserve">рямой </w:t>
      </w:r>
      <w:proofErr w:type="spellStart"/>
      <w:r w:rsidR="00BE32DD">
        <w:t>антиглобулиновый</w:t>
      </w:r>
      <w:proofErr w:type="spellEnd"/>
      <w:r w:rsidR="00BE32DD">
        <w:t xml:space="preserve"> тест (прямая проба </w:t>
      </w:r>
      <w:proofErr w:type="spellStart"/>
      <w:r w:rsidR="00BE32DD">
        <w:t>Кумбса</w:t>
      </w:r>
      <w:proofErr w:type="spellEnd"/>
      <w:r w:rsidR="00BE32DD">
        <w:t xml:space="preserve">) </w:t>
      </w:r>
      <w:r w:rsidR="0069039C">
        <w:t>для исключения аут</w:t>
      </w:r>
      <w:r w:rsidR="00BE32DD">
        <w:t>оиммунной гемолитической анемии.</w:t>
      </w:r>
    </w:p>
    <w:p w14:paraId="08C3295E" w14:textId="77777777" w:rsidR="0069039C" w:rsidRPr="0071693C" w:rsidRDefault="0069039C" w:rsidP="0067168B">
      <w:pPr>
        <w:pStyle w:val="1"/>
        <w:numPr>
          <w:ilvl w:val="0"/>
          <w:numId w:val="0"/>
        </w:numPr>
        <w:spacing w:before="0"/>
        <w:ind w:firstLine="709"/>
        <w:contextualSpacing/>
        <w:divId w:val="266810958"/>
        <w:rPr>
          <w:b/>
        </w:rPr>
      </w:pPr>
      <w:r w:rsidRPr="00B73E32">
        <w:rPr>
          <w:b/>
        </w:rPr>
        <w:t>Уровень убедительности рекомендаций</w:t>
      </w:r>
      <w:proofErr w:type="gramStart"/>
      <w:r w:rsidRPr="00B73E32">
        <w:rPr>
          <w:b/>
        </w:rPr>
        <w:t xml:space="preserve"> </w:t>
      </w:r>
      <w:r w:rsidR="006C04C9" w:rsidRPr="00B73E32">
        <w:rPr>
          <w:b/>
        </w:rPr>
        <w:t>А</w:t>
      </w:r>
      <w:proofErr w:type="gramEnd"/>
      <w:r w:rsidRPr="00B73E32">
        <w:rPr>
          <w:b/>
        </w:rPr>
        <w:t xml:space="preserve"> (уровень достоверности доказательств – </w:t>
      </w:r>
      <w:r w:rsidR="006C04C9" w:rsidRPr="00B73E32">
        <w:rPr>
          <w:b/>
        </w:rPr>
        <w:t>2</w:t>
      </w:r>
      <w:r w:rsidRPr="00B73E32">
        <w:rPr>
          <w:b/>
        </w:rPr>
        <w:t>)</w:t>
      </w:r>
    </w:p>
    <w:p w14:paraId="1D26D735" w14:textId="40905B2D" w:rsidR="00DC6460" w:rsidRPr="00FB199F" w:rsidRDefault="0069039C" w:rsidP="0067168B">
      <w:pPr>
        <w:pStyle w:val="aff2"/>
        <w:ind w:left="0" w:firstLine="709"/>
        <w:divId w:val="266810958"/>
        <w:rPr>
          <w:rStyle w:val="affb"/>
          <w:i w:val="0"/>
          <w:iCs w:val="0"/>
        </w:rPr>
      </w:pPr>
      <w:r w:rsidRPr="00ED5598">
        <w:rPr>
          <w:b/>
        </w:rPr>
        <w:t>Комментарии:</w:t>
      </w:r>
      <w:r w:rsidR="00DC6460" w:rsidRPr="00FB199F">
        <w:rPr>
          <w:i/>
        </w:rPr>
        <w:t xml:space="preserve"> результаты перечисленных базовых исследований могут указывать направление дальнейшего диагностического поиска. У пациентов с синдромом </w:t>
      </w:r>
      <w:proofErr w:type="spellStart"/>
      <w:r w:rsidR="00DC6460" w:rsidRPr="00FB199F">
        <w:rPr>
          <w:i/>
        </w:rPr>
        <w:lastRenderedPageBreak/>
        <w:t>мальабсорбции</w:t>
      </w:r>
      <w:proofErr w:type="spellEnd"/>
      <w:r w:rsidR="00DC6460" w:rsidRPr="00FB199F">
        <w:rPr>
          <w:i/>
        </w:rPr>
        <w:t xml:space="preserve"> может наблюдаться сочетание дефицита </w:t>
      </w:r>
      <w:proofErr w:type="spellStart"/>
      <w:r w:rsidR="00DC6460" w:rsidRPr="00FB199F">
        <w:rPr>
          <w:i/>
        </w:rPr>
        <w:t>фолатов</w:t>
      </w:r>
      <w:proofErr w:type="spellEnd"/>
      <w:r w:rsidR="00DC6460" w:rsidRPr="00FB199F">
        <w:rPr>
          <w:i/>
        </w:rPr>
        <w:t xml:space="preserve"> и железа. В этих случаях типичная лабораторная картина фолиево-дефицитной анемии может нивелироваться, что препятствует своевременной диагностике заболевания и приводит к отсрочке назначения патогенетической терапии.</w:t>
      </w:r>
    </w:p>
    <w:p w14:paraId="4216A1BD" w14:textId="3EA66776" w:rsidR="0069039C" w:rsidRPr="00147C46" w:rsidRDefault="0067168B" w:rsidP="00971258">
      <w:pPr>
        <w:spacing w:after="200"/>
        <w:ind w:firstLine="0"/>
        <w:contextualSpacing/>
        <w:divId w:val="266810958"/>
        <w:rPr>
          <w:bCs/>
          <w:szCs w:val="24"/>
        </w:rPr>
      </w:pPr>
      <w:r>
        <w:rPr>
          <w:i/>
        </w:rPr>
        <w:t xml:space="preserve">  </w:t>
      </w:r>
      <w:r w:rsidR="007450D0">
        <w:rPr>
          <w:i/>
        </w:rPr>
        <w:t xml:space="preserve"> </w:t>
      </w:r>
      <w:r w:rsidR="00DC6460">
        <w:rPr>
          <w:i/>
        </w:rPr>
        <w:t>Д</w:t>
      </w:r>
      <w:r w:rsidR="0069039C">
        <w:rPr>
          <w:i/>
        </w:rPr>
        <w:t>ля ФДА характерна</w:t>
      </w:r>
      <w:r w:rsidR="0069039C" w:rsidRPr="0071693C">
        <w:rPr>
          <w:i/>
        </w:rPr>
        <w:t xml:space="preserve"> </w:t>
      </w:r>
      <w:proofErr w:type="spellStart"/>
      <w:r w:rsidR="0069039C" w:rsidRPr="0071693C">
        <w:rPr>
          <w:i/>
        </w:rPr>
        <w:t>макроцитарная</w:t>
      </w:r>
      <w:proofErr w:type="spellEnd"/>
      <w:r w:rsidR="0069039C" w:rsidRPr="0071693C">
        <w:rPr>
          <w:i/>
        </w:rPr>
        <w:t xml:space="preserve">, </w:t>
      </w:r>
      <w:proofErr w:type="spellStart"/>
      <w:r w:rsidR="0069039C" w:rsidRPr="0071693C">
        <w:rPr>
          <w:i/>
        </w:rPr>
        <w:t>гиперхромная</w:t>
      </w:r>
      <w:proofErr w:type="spellEnd"/>
      <w:r w:rsidR="0069039C" w:rsidRPr="0071693C">
        <w:rPr>
          <w:i/>
        </w:rPr>
        <w:t xml:space="preserve"> анемия, с увеличением среднего объема (MCV) и </w:t>
      </w:r>
      <w:r w:rsidR="008F2A1C" w:rsidRPr="00803BEE">
        <w:rPr>
          <w:bCs/>
          <w:i/>
          <w:color w:val="000000" w:themeColor="text1"/>
          <w:szCs w:val="24"/>
        </w:rPr>
        <w:t>средней концентрации гемоглобина</w:t>
      </w:r>
      <w:r w:rsidR="00147C46" w:rsidRPr="00803BEE">
        <w:rPr>
          <w:bCs/>
          <w:i/>
          <w:color w:val="000000" w:themeColor="text1"/>
          <w:szCs w:val="24"/>
        </w:rPr>
        <w:t xml:space="preserve"> </w:t>
      </w:r>
      <w:r w:rsidR="00147C46" w:rsidRPr="00147C46">
        <w:rPr>
          <w:bCs/>
          <w:i/>
          <w:szCs w:val="24"/>
        </w:rPr>
        <w:t>в эритроците</w:t>
      </w:r>
      <w:r w:rsidR="00147C46" w:rsidRPr="00610F57">
        <w:rPr>
          <w:bCs/>
          <w:szCs w:val="24"/>
        </w:rPr>
        <w:t xml:space="preserve"> </w:t>
      </w:r>
      <w:r w:rsidR="0069039C" w:rsidRPr="0071693C">
        <w:rPr>
          <w:i/>
        </w:rPr>
        <w:t xml:space="preserve">(MCH) </w:t>
      </w:r>
      <w:r w:rsidR="0069039C">
        <w:rPr>
          <w:i/>
        </w:rPr>
        <w:t xml:space="preserve">и отрицательной прямой пробой </w:t>
      </w:r>
      <w:proofErr w:type="spellStart"/>
      <w:r w:rsidR="0069039C">
        <w:rPr>
          <w:i/>
        </w:rPr>
        <w:t>Кумбса</w:t>
      </w:r>
      <w:proofErr w:type="spellEnd"/>
      <w:r w:rsidR="0069039C" w:rsidRPr="0071693C">
        <w:rPr>
          <w:i/>
        </w:rPr>
        <w:t>. Типичными морфологическими находками при просмотре эри</w:t>
      </w:r>
      <w:r w:rsidR="008F2A1C">
        <w:rPr>
          <w:i/>
        </w:rPr>
        <w:t>т</w:t>
      </w:r>
      <w:r w:rsidR="0069039C" w:rsidRPr="0071693C">
        <w:rPr>
          <w:i/>
        </w:rPr>
        <w:t xml:space="preserve">роцитов в мазке крови являются </w:t>
      </w:r>
      <w:proofErr w:type="spellStart"/>
      <w:r w:rsidR="0069039C" w:rsidRPr="0071693C">
        <w:rPr>
          <w:i/>
        </w:rPr>
        <w:t>базофильная</w:t>
      </w:r>
      <w:proofErr w:type="spellEnd"/>
      <w:r w:rsidR="0069039C" w:rsidRPr="0071693C">
        <w:rPr>
          <w:i/>
        </w:rPr>
        <w:t xml:space="preserve"> </w:t>
      </w:r>
      <w:proofErr w:type="spellStart"/>
      <w:r w:rsidR="0069039C" w:rsidRPr="0071693C">
        <w:rPr>
          <w:i/>
        </w:rPr>
        <w:t>пунктаци</w:t>
      </w:r>
      <w:r w:rsidR="0069039C">
        <w:rPr>
          <w:i/>
        </w:rPr>
        <w:t>я</w:t>
      </w:r>
      <w:proofErr w:type="spellEnd"/>
      <w:r w:rsidR="0069039C">
        <w:rPr>
          <w:i/>
        </w:rPr>
        <w:t xml:space="preserve">, тельца </w:t>
      </w:r>
      <w:proofErr w:type="spellStart"/>
      <w:r w:rsidR="0069039C">
        <w:rPr>
          <w:i/>
        </w:rPr>
        <w:t>Жолли</w:t>
      </w:r>
      <w:proofErr w:type="spellEnd"/>
      <w:r w:rsidR="0069039C">
        <w:rPr>
          <w:i/>
        </w:rPr>
        <w:t xml:space="preserve"> и кольца </w:t>
      </w:r>
      <w:proofErr w:type="spellStart"/>
      <w:r w:rsidR="0069039C">
        <w:rPr>
          <w:i/>
        </w:rPr>
        <w:t>Кебота</w:t>
      </w:r>
      <w:proofErr w:type="spellEnd"/>
      <w:r w:rsidR="0069039C">
        <w:rPr>
          <w:i/>
        </w:rPr>
        <w:t>, а</w:t>
      </w:r>
      <w:r w:rsidR="0069039C" w:rsidRPr="0071693C">
        <w:rPr>
          <w:i/>
        </w:rPr>
        <w:t xml:space="preserve"> также единичные нормобласты. Число </w:t>
      </w:r>
      <w:proofErr w:type="spellStart"/>
      <w:r w:rsidR="0069039C" w:rsidRPr="0071693C">
        <w:rPr>
          <w:i/>
        </w:rPr>
        <w:t>ретикулоцитов</w:t>
      </w:r>
      <w:proofErr w:type="spellEnd"/>
      <w:r w:rsidR="0069039C" w:rsidRPr="0071693C">
        <w:rPr>
          <w:i/>
        </w:rPr>
        <w:t xml:space="preserve">, как правило, снижено, но может быть и нормальным. Ранним признаком ФДА служит </w:t>
      </w:r>
      <w:proofErr w:type="spellStart"/>
      <w:r w:rsidR="0069039C" w:rsidRPr="0071693C">
        <w:rPr>
          <w:i/>
        </w:rPr>
        <w:t>гиперсегментация</w:t>
      </w:r>
      <w:proofErr w:type="spellEnd"/>
      <w:r w:rsidR="0069039C" w:rsidRPr="0071693C">
        <w:rPr>
          <w:i/>
        </w:rPr>
        <w:t xml:space="preserve"> ядер нейтрофилов, </w:t>
      </w:r>
      <w:proofErr w:type="spellStart"/>
      <w:r w:rsidR="0069039C" w:rsidRPr="0071693C">
        <w:rPr>
          <w:i/>
        </w:rPr>
        <w:t>гранулоцитопения</w:t>
      </w:r>
      <w:proofErr w:type="spellEnd"/>
      <w:r w:rsidR="0069039C" w:rsidRPr="0071693C">
        <w:rPr>
          <w:i/>
        </w:rPr>
        <w:t xml:space="preserve"> и тромбоцитопения без геморрагических проявлений. </w:t>
      </w:r>
    </w:p>
    <w:p w14:paraId="7947980A" w14:textId="515FDCDC" w:rsidR="0069039C" w:rsidRPr="0033340E" w:rsidRDefault="0069039C" w:rsidP="00AA40D7">
      <w:pPr>
        <w:pStyle w:val="1"/>
        <w:numPr>
          <w:ilvl w:val="0"/>
          <w:numId w:val="16"/>
        </w:numPr>
        <w:divId w:val="266810958"/>
      </w:pPr>
      <w:r>
        <w:rPr>
          <w:b/>
        </w:rPr>
        <w:t>Р</w:t>
      </w:r>
      <w:r w:rsidRPr="00565EBE">
        <w:rPr>
          <w:b/>
        </w:rPr>
        <w:t>екомендуется</w:t>
      </w:r>
      <w:r w:rsidRPr="0069039C">
        <w:t xml:space="preserve"> </w:t>
      </w:r>
      <w:r w:rsidR="00745B1B">
        <w:t xml:space="preserve">всем </w:t>
      </w:r>
      <w:r>
        <w:t>пациентам</w:t>
      </w:r>
      <w:r w:rsidRPr="0071693C">
        <w:t xml:space="preserve"> с подозрением на ФДА проведение</w:t>
      </w:r>
      <w:r>
        <w:rPr>
          <w:b/>
        </w:rPr>
        <w:t xml:space="preserve"> </w:t>
      </w:r>
      <w:r w:rsidR="00056E70">
        <w:t>цитологического исследования мазка костного мозга (</w:t>
      </w:r>
      <w:proofErr w:type="spellStart"/>
      <w:r w:rsidR="00056E70">
        <w:t>миелограмма</w:t>
      </w:r>
      <w:proofErr w:type="spellEnd"/>
      <w:r w:rsidR="00056E70">
        <w:t xml:space="preserve">) </w:t>
      </w:r>
      <w:r w:rsidR="00BC6B34">
        <w:t>для верификации диагноза</w:t>
      </w:r>
      <w:r>
        <w:t xml:space="preserve"> </w:t>
      </w:r>
      <w:r w:rsidRPr="0033340E">
        <w:t>[2,3,12,</w:t>
      </w:r>
      <w:r>
        <w:t>13,</w:t>
      </w:r>
      <w:r w:rsidR="00BC6B34">
        <w:t>14].</w:t>
      </w:r>
    </w:p>
    <w:p w14:paraId="4AA0A34E" w14:textId="65944BF5" w:rsidR="0069039C" w:rsidRDefault="0069039C" w:rsidP="0069039C">
      <w:pPr>
        <w:pStyle w:val="1"/>
        <w:numPr>
          <w:ilvl w:val="0"/>
          <w:numId w:val="0"/>
        </w:numPr>
        <w:ind w:left="720"/>
        <w:divId w:val="266810958"/>
        <w:rPr>
          <w:b/>
        </w:rPr>
      </w:pPr>
      <w:r w:rsidRPr="00033BB5">
        <w:rPr>
          <w:b/>
        </w:rPr>
        <w:t>Уровень убедительности рекомендаций</w:t>
      </w:r>
      <w:proofErr w:type="gramStart"/>
      <w:r w:rsidRPr="00033BB5">
        <w:rPr>
          <w:b/>
        </w:rPr>
        <w:t xml:space="preserve"> С</w:t>
      </w:r>
      <w:proofErr w:type="gramEnd"/>
      <w:r w:rsidRPr="00033BB5">
        <w:rPr>
          <w:b/>
        </w:rPr>
        <w:t xml:space="preserve"> (уровень достоверности доказательств – </w:t>
      </w:r>
      <w:r w:rsidR="00745B1B">
        <w:rPr>
          <w:b/>
        </w:rPr>
        <w:t>5</w:t>
      </w:r>
      <w:r w:rsidRPr="00033BB5">
        <w:rPr>
          <w:b/>
        </w:rPr>
        <w:t>)</w:t>
      </w:r>
    </w:p>
    <w:p w14:paraId="0FA5C1ED" w14:textId="77777777" w:rsidR="0069039C" w:rsidRPr="0071693C" w:rsidRDefault="0069039C" w:rsidP="0067168B">
      <w:pPr>
        <w:pStyle w:val="1"/>
        <w:numPr>
          <w:ilvl w:val="0"/>
          <w:numId w:val="0"/>
        </w:numPr>
        <w:spacing w:before="0"/>
        <w:ind w:firstLine="709"/>
        <w:contextualSpacing/>
        <w:divId w:val="266810958"/>
        <w:rPr>
          <w:i/>
        </w:rPr>
      </w:pPr>
      <w:r w:rsidRPr="0071693C">
        <w:rPr>
          <w:b/>
        </w:rPr>
        <w:t>Комментарии:</w:t>
      </w:r>
      <w:r w:rsidR="00B324AA">
        <w:t xml:space="preserve"> </w:t>
      </w:r>
      <w:r w:rsidRPr="0071693C">
        <w:rPr>
          <w:i/>
        </w:rPr>
        <w:t xml:space="preserve">для ФДА типично резкое повышение </w:t>
      </w:r>
      <w:proofErr w:type="spellStart"/>
      <w:r w:rsidRPr="0071693C">
        <w:rPr>
          <w:i/>
        </w:rPr>
        <w:t>клеточности</w:t>
      </w:r>
      <w:proofErr w:type="spellEnd"/>
      <w:r w:rsidRPr="0071693C">
        <w:rPr>
          <w:i/>
        </w:rPr>
        <w:t xml:space="preserve"> костног</w:t>
      </w:r>
      <w:r>
        <w:rPr>
          <w:i/>
        </w:rPr>
        <w:t xml:space="preserve">о мозга и наличие </w:t>
      </w:r>
      <w:proofErr w:type="spellStart"/>
      <w:r w:rsidRPr="0071693C">
        <w:rPr>
          <w:i/>
        </w:rPr>
        <w:t>мегалобластов</w:t>
      </w:r>
      <w:proofErr w:type="spellEnd"/>
      <w:r w:rsidRPr="0071693C">
        <w:rPr>
          <w:i/>
        </w:rPr>
        <w:t xml:space="preserve"> (более 10</w:t>
      </w:r>
      <w:r>
        <w:rPr>
          <w:i/>
        </w:rPr>
        <w:t>%)</w:t>
      </w:r>
      <w:r w:rsidRPr="0071693C">
        <w:rPr>
          <w:i/>
        </w:rPr>
        <w:t xml:space="preserve">. </w:t>
      </w:r>
    </w:p>
    <w:p w14:paraId="650D6BB9" w14:textId="0B56BDC3" w:rsidR="0069039C" w:rsidRPr="0071693C" w:rsidRDefault="0067168B" w:rsidP="0067168B">
      <w:pPr>
        <w:pStyle w:val="1"/>
        <w:numPr>
          <w:ilvl w:val="0"/>
          <w:numId w:val="0"/>
        </w:numPr>
        <w:spacing w:before="0"/>
        <w:ind w:firstLine="709"/>
        <w:contextualSpacing/>
        <w:divId w:val="266810958"/>
        <w:rPr>
          <w:i/>
          <w:highlight w:val="yellow"/>
        </w:rPr>
      </w:pPr>
      <w:r>
        <w:rPr>
          <w:i/>
        </w:rPr>
        <w:t xml:space="preserve"> </w:t>
      </w:r>
      <w:r w:rsidR="007450D0">
        <w:rPr>
          <w:i/>
        </w:rPr>
        <w:t xml:space="preserve"> </w:t>
      </w:r>
      <w:r w:rsidR="0069039C" w:rsidRPr="0071693C">
        <w:rPr>
          <w:i/>
        </w:rPr>
        <w:t xml:space="preserve">Исследование костного мозга необходимо проводить до начала терапии фолиевой кислотой, т.к. характерные признаки </w:t>
      </w:r>
      <w:proofErr w:type="spellStart"/>
      <w:r w:rsidR="0069039C" w:rsidRPr="0071693C">
        <w:rPr>
          <w:i/>
        </w:rPr>
        <w:t>мегалобласт</w:t>
      </w:r>
      <w:r w:rsidR="0069039C">
        <w:rPr>
          <w:i/>
        </w:rPr>
        <w:t>н</w:t>
      </w:r>
      <w:r w:rsidR="0069039C" w:rsidRPr="0071693C">
        <w:rPr>
          <w:i/>
        </w:rPr>
        <w:t>ого</w:t>
      </w:r>
      <w:proofErr w:type="spellEnd"/>
      <w:r w:rsidR="0069039C" w:rsidRPr="0071693C">
        <w:rPr>
          <w:i/>
        </w:rPr>
        <w:t xml:space="preserve"> кроветворения в костном мозге исчезают через несколько часов после приема фолиевой кислоты.</w:t>
      </w:r>
    </w:p>
    <w:p w14:paraId="4EEA951D" w14:textId="711562EF" w:rsidR="0069039C" w:rsidRDefault="0067168B" w:rsidP="0067168B">
      <w:pPr>
        <w:pStyle w:val="1"/>
        <w:numPr>
          <w:ilvl w:val="0"/>
          <w:numId w:val="0"/>
        </w:numPr>
        <w:spacing w:before="0"/>
        <w:ind w:firstLine="709"/>
        <w:contextualSpacing/>
        <w:divId w:val="266810958"/>
        <w:rPr>
          <w:i/>
        </w:rPr>
      </w:pPr>
      <w:r>
        <w:rPr>
          <w:i/>
        </w:rPr>
        <w:t xml:space="preserve"> </w:t>
      </w:r>
      <w:r w:rsidR="0069039C" w:rsidRPr="0071693C">
        <w:rPr>
          <w:i/>
        </w:rPr>
        <w:t xml:space="preserve">Морфологический анализ костного мозга является основным доказательством </w:t>
      </w:r>
      <w:proofErr w:type="spellStart"/>
      <w:r w:rsidR="0069039C" w:rsidRPr="0071693C">
        <w:rPr>
          <w:i/>
        </w:rPr>
        <w:t>мегалобластного</w:t>
      </w:r>
      <w:proofErr w:type="spellEnd"/>
      <w:r w:rsidR="0069039C" w:rsidRPr="0071693C">
        <w:rPr>
          <w:i/>
        </w:rPr>
        <w:t xml:space="preserve"> </w:t>
      </w:r>
      <w:proofErr w:type="spellStart"/>
      <w:r w:rsidR="0069039C" w:rsidRPr="0071693C">
        <w:rPr>
          <w:i/>
        </w:rPr>
        <w:t>эритропоэза</w:t>
      </w:r>
      <w:proofErr w:type="spellEnd"/>
      <w:r w:rsidR="0069039C" w:rsidRPr="0071693C">
        <w:rPr>
          <w:i/>
        </w:rPr>
        <w:t xml:space="preserve">, характерного для ФДА. Однако в последние годы во многих странах снижение уровня </w:t>
      </w:r>
      <w:proofErr w:type="spellStart"/>
      <w:r w:rsidR="0069039C" w:rsidRPr="0071693C">
        <w:rPr>
          <w:i/>
        </w:rPr>
        <w:t>фолатов</w:t>
      </w:r>
      <w:proofErr w:type="spellEnd"/>
      <w:r w:rsidR="0069039C" w:rsidRPr="0071693C">
        <w:rPr>
          <w:i/>
        </w:rPr>
        <w:t xml:space="preserve"> в сыворотке крови считается достаточным критерие</w:t>
      </w:r>
      <w:r w:rsidR="0069039C">
        <w:rPr>
          <w:i/>
        </w:rPr>
        <w:t>м для установления диагноза ФДА. П</w:t>
      </w:r>
      <w:r w:rsidR="0069039C" w:rsidRPr="0071693C">
        <w:rPr>
          <w:i/>
        </w:rPr>
        <w:t xml:space="preserve">одтверждением диагноза </w:t>
      </w:r>
      <w:r w:rsidR="0069039C">
        <w:rPr>
          <w:i/>
        </w:rPr>
        <w:t xml:space="preserve">ФДА </w:t>
      </w:r>
      <w:r w:rsidR="0069039C" w:rsidRPr="0071693C">
        <w:rPr>
          <w:i/>
        </w:rPr>
        <w:t>служ</w:t>
      </w:r>
      <w:r w:rsidR="0069039C">
        <w:rPr>
          <w:i/>
        </w:rPr>
        <w:t>а</w:t>
      </w:r>
      <w:r w:rsidR="0069039C" w:rsidRPr="0071693C">
        <w:rPr>
          <w:i/>
        </w:rPr>
        <w:t>т</w:t>
      </w:r>
      <w:r w:rsidR="0069039C">
        <w:rPr>
          <w:i/>
        </w:rPr>
        <w:t xml:space="preserve"> </w:t>
      </w:r>
      <w:r w:rsidR="0069039C" w:rsidRPr="0071693C">
        <w:rPr>
          <w:i/>
        </w:rPr>
        <w:t>сниженные (менее 4 мг/л</w:t>
      </w:r>
      <w:r w:rsidR="0069039C">
        <w:rPr>
          <w:i/>
        </w:rPr>
        <w:t xml:space="preserve">, при норме </w:t>
      </w:r>
      <w:r w:rsidR="0069039C" w:rsidRPr="00906A50">
        <w:rPr>
          <w:i/>
        </w:rPr>
        <w:t xml:space="preserve">5-9 </w:t>
      </w:r>
      <w:proofErr w:type="spellStart"/>
      <w:r w:rsidR="0069039C" w:rsidRPr="00906A50">
        <w:rPr>
          <w:i/>
        </w:rPr>
        <w:t>нг</w:t>
      </w:r>
      <w:proofErr w:type="spellEnd"/>
      <w:r w:rsidR="0069039C" w:rsidRPr="00906A50">
        <w:rPr>
          <w:i/>
        </w:rPr>
        <w:t>/мл</w:t>
      </w:r>
      <w:r w:rsidR="0069039C" w:rsidRPr="0071693C">
        <w:rPr>
          <w:i/>
        </w:rPr>
        <w:t>)</w:t>
      </w:r>
      <w:r w:rsidR="0069039C">
        <w:rPr>
          <w:i/>
        </w:rPr>
        <w:t xml:space="preserve"> показатели </w:t>
      </w:r>
      <w:proofErr w:type="spellStart"/>
      <w:r w:rsidR="0069039C">
        <w:rPr>
          <w:i/>
        </w:rPr>
        <w:t>фолатов</w:t>
      </w:r>
      <w:proofErr w:type="spellEnd"/>
      <w:r w:rsidR="0069039C">
        <w:rPr>
          <w:i/>
        </w:rPr>
        <w:t xml:space="preserve"> в сыворотке крови в сочетании с нормальной</w:t>
      </w:r>
      <w:r w:rsidR="0069039C" w:rsidRPr="0071693C">
        <w:rPr>
          <w:i/>
        </w:rPr>
        <w:t xml:space="preserve"> </w:t>
      </w:r>
      <w:r w:rsidR="0069039C">
        <w:rPr>
          <w:i/>
        </w:rPr>
        <w:t>или повышенной концентрацией</w:t>
      </w:r>
      <w:r w:rsidR="0069039C" w:rsidRPr="0071693C">
        <w:rPr>
          <w:i/>
        </w:rPr>
        <w:t xml:space="preserve"> витамина В12 и</w:t>
      </w:r>
      <w:r w:rsidR="0069039C">
        <w:rPr>
          <w:i/>
        </w:rPr>
        <w:t xml:space="preserve"> отрицательной прямой пробой </w:t>
      </w:r>
      <w:proofErr w:type="spellStart"/>
      <w:r w:rsidR="0069039C">
        <w:rPr>
          <w:i/>
        </w:rPr>
        <w:t>Кумбса</w:t>
      </w:r>
      <w:proofErr w:type="spellEnd"/>
      <w:r w:rsidR="0069039C">
        <w:rPr>
          <w:i/>
        </w:rPr>
        <w:t>. Характерными, но неспецифическими, лабораторными признаками ФДА являются</w:t>
      </w:r>
      <w:r w:rsidR="0069039C" w:rsidRPr="0071693C">
        <w:rPr>
          <w:i/>
        </w:rPr>
        <w:t xml:space="preserve"> </w:t>
      </w:r>
      <w:proofErr w:type="spellStart"/>
      <w:r w:rsidR="0069039C" w:rsidRPr="00FB199F">
        <w:rPr>
          <w:i/>
        </w:rPr>
        <w:t>гипербилирубинемия</w:t>
      </w:r>
      <w:proofErr w:type="spellEnd"/>
      <w:r w:rsidR="0069039C" w:rsidRPr="00FB199F">
        <w:rPr>
          <w:i/>
        </w:rPr>
        <w:t xml:space="preserve"> (за счет непрямой фракции), повышенны</w:t>
      </w:r>
      <w:r w:rsidR="008F2A1C">
        <w:rPr>
          <w:i/>
        </w:rPr>
        <w:t>е</w:t>
      </w:r>
      <w:r w:rsidR="0069039C" w:rsidRPr="00FB199F">
        <w:rPr>
          <w:i/>
        </w:rPr>
        <w:t xml:space="preserve"> показатели ЛДГ и </w:t>
      </w:r>
      <w:proofErr w:type="spellStart"/>
      <w:r w:rsidR="0069039C" w:rsidRPr="00FB199F">
        <w:rPr>
          <w:i/>
        </w:rPr>
        <w:t>гомоцистеина</w:t>
      </w:r>
      <w:proofErr w:type="spellEnd"/>
      <w:r w:rsidR="0069039C" w:rsidRPr="00FB199F">
        <w:rPr>
          <w:i/>
        </w:rPr>
        <w:t xml:space="preserve"> в сыворотке крови. Иногда пограничный уровень </w:t>
      </w:r>
      <w:proofErr w:type="spellStart"/>
      <w:r w:rsidR="0069039C" w:rsidRPr="00FB199F">
        <w:rPr>
          <w:i/>
        </w:rPr>
        <w:t>фолатов</w:t>
      </w:r>
      <w:proofErr w:type="spellEnd"/>
      <w:r w:rsidR="0069039C" w:rsidRPr="00FB199F">
        <w:rPr>
          <w:i/>
        </w:rPr>
        <w:t xml:space="preserve"> (4-8 мг/л) ассоциируется с высоким уровнем </w:t>
      </w:r>
      <w:proofErr w:type="spellStart"/>
      <w:r w:rsidR="0069039C" w:rsidRPr="00FB199F">
        <w:rPr>
          <w:i/>
        </w:rPr>
        <w:t>гомоцистеина</w:t>
      </w:r>
      <w:proofErr w:type="spellEnd"/>
      <w:r w:rsidR="0069039C" w:rsidRPr="00FB199F">
        <w:rPr>
          <w:i/>
        </w:rPr>
        <w:t xml:space="preserve"> в сыворотке крови, что следует расценивать как дефицит </w:t>
      </w:r>
      <w:proofErr w:type="spellStart"/>
      <w:r w:rsidR="0069039C" w:rsidRPr="00FB199F">
        <w:rPr>
          <w:i/>
        </w:rPr>
        <w:t>фолатов</w:t>
      </w:r>
      <w:proofErr w:type="spellEnd"/>
      <w:r w:rsidR="0069039C" w:rsidRPr="00FB199F">
        <w:rPr>
          <w:i/>
        </w:rPr>
        <w:t xml:space="preserve">.  Напротив, пограничные уровни </w:t>
      </w:r>
      <w:r w:rsidR="0069039C" w:rsidRPr="00FB199F">
        <w:rPr>
          <w:i/>
        </w:rPr>
        <w:lastRenderedPageBreak/>
        <w:t xml:space="preserve">фолиевой кислоты в сочетании с нормальным уровнем </w:t>
      </w:r>
      <w:proofErr w:type="spellStart"/>
      <w:r w:rsidR="0069039C" w:rsidRPr="00FB199F">
        <w:rPr>
          <w:i/>
        </w:rPr>
        <w:t>гомоцистеина</w:t>
      </w:r>
      <w:proofErr w:type="spellEnd"/>
      <w:r w:rsidR="0069039C" w:rsidRPr="00FB199F">
        <w:rPr>
          <w:i/>
        </w:rPr>
        <w:t xml:space="preserve"> в сыворотке не являются доказательством дефицита </w:t>
      </w:r>
      <w:proofErr w:type="spellStart"/>
      <w:r w:rsidR="0069039C" w:rsidRPr="00FB199F">
        <w:rPr>
          <w:i/>
        </w:rPr>
        <w:t>фолатов</w:t>
      </w:r>
      <w:proofErr w:type="spellEnd"/>
      <w:r w:rsidR="0069039C" w:rsidRPr="00FB199F">
        <w:rPr>
          <w:i/>
        </w:rPr>
        <w:t xml:space="preserve"> [10].  </w:t>
      </w:r>
      <w:proofErr w:type="spellStart"/>
      <w:proofErr w:type="gramStart"/>
      <w:r w:rsidR="00FB199F" w:rsidRPr="00FB199F">
        <w:rPr>
          <w:i/>
        </w:rPr>
        <w:t>Гипергомоцистеинемия</w:t>
      </w:r>
      <w:proofErr w:type="spellEnd"/>
      <w:r w:rsidR="00FB199F" w:rsidRPr="00FB199F">
        <w:rPr>
          <w:i/>
        </w:rPr>
        <w:t xml:space="preserve"> является характерным признаком ФДА, особенно если у пациента имеет место широко распространенные в популяции мутации генов </w:t>
      </w:r>
      <w:proofErr w:type="spellStart"/>
      <w:r w:rsidR="00FB199F" w:rsidRPr="00FB199F">
        <w:rPr>
          <w:i/>
        </w:rPr>
        <w:t>фолатного</w:t>
      </w:r>
      <w:proofErr w:type="spellEnd"/>
      <w:r w:rsidR="00FB199F" w:rsidRPr="00FB199F">
        <w:rPr>
          <w:i/>
        </w:rPr>
        <w:t xml:space="preserve"> цикла (кодирующие фермент </w:t>
      </w:r>
      <w:proofErr w:type="spellStart"/>
      <w:r w:rsidR="00FB199F" w:rsidRPr="00FB199F">
        <w:rPr>
          <w:i/>
        </w:rPr>
        <w:t>метилентатрагидрофолатредуктазу</w:t>
      </w:r>
      <w:proofErr w:type="spellEnd"/>
      <w:r w:rsidR="00FB199F" w:rsidRPr="00FB199F">
        <w:rPr>
          <w:i/>
        </w:rPr>
        <w:t xml:space="preserve"> (МТГФР), метионин-</w:t>
      </w:r>
      <w:proofErr w:type="spellStart"/>
      <w:r w:rsidR="00FB199F" w:rsidRPr="00FB199F">
        <w:rPr>
          <w:i/>
        </w:rPr>
        <w:t>синтазу</w:t>
      </w:r>
      <w:proofErr w:type="spellEnd"/>
      <w:r w:rsidR="00FB199F" w:rsidRPr="00FB199F">
        <w:rPr>
          <w:i/>
        </w:rPr>
        <w:t xml:space="preserve"> (</w:t>
      </w:r>
      <w:r w:rsidR="00FB199F" w:rsidRPr="00FB199F">
        <w:rPr>
          <w:i/>
          <w:lang w:val="en-US"/>
        </w:rPr>
        <w:t>MTR</w:t>
      </w:r>
      <w:r w:rsidR="00FB199F" w:rsidRPr="00FB199F">
        <w:rPr>
          <w:i/>
        </w:rPr>
        <w:t>), метионин-</w:t>
      </w:r>
      <w:proofErr w:type="spellStart"/>
      <w:r w:rsidR="00FB199F" w:rsidRPr="00FB199F">
        <w:rPr>
          <w:i/>
        </w:rPr>
        <w:t>синтазу</w:t>
      </w:r>
      <w:proofErr w:type="spellEnd"/>
      <w:r w:rsidR="00FB199F" w:rsidRPr="00FB199F">
        <w:rPr>
          <w:i/>
        </w:rPr>
        <w:t>-</w:t>
      </w:r>
      <w:proofErr w:type="spellStart"/>
      <w:r w:rsidR="00FB199F" w:rsidRPr="00FB199F">
        <w:rPr>
          <w:i/>
        </w:rPr>
        <w:t>редуктазу</w:t>
      </w:r>
      <w:proofErr w:type="spellEnd"/>
      <w:r w:rsidR="00FB199F" w:rsidRPr="00FB199F">
        <w:rPr>
          <w:i/>
        </w:rPr>
        <w:t xml:space="preserve"> (</w:t>
      </w:r>
      <w:r w:rsidR="00FB199F" w:rsidRPr="00FB199F">
        <w:rPr>
          <w:i/>
          <w:lang w:val="en-US"/>
        </w:rPr>
        <w:t>MTRR</w:t>
      </w:r>
      <w:r w:rsidR="00FB199F" w:rsidRPr="00FB199F">
        <w:rPr>
          <w:i/>
        </w:rPr>
        <w:t>)</w:t>
      </w:r>
      <w:r w:rsidR="0069039C" w:rsidRPr="00FB199F">
        <w:rPr>
          <w:i/>
        </w:rPr>
        <w:t xml:space="preserve"> </w:t>
      </w:r>
      <w:r w:rsidR="0069039C" w:rsidRPr="0071693C">
        <w:rPr>
          <w:i/>
        </w:rPr>
        <w:t>[</w:t>
      </w:r>
      <w:r w:rsidR="006A7198">
        <w:rPr>
          <w:i/>
        </w:rPr>
        <w:t>17</w:t>
      </w:r>
      <w:r w:rsidR="006A7198" w:rsidRPr="006A7198">
        <w:rPr>
          <w:i/>
        </w:rPr>
        <w:t xml:space="preserve">, </w:t>
      </w:r>
      <w:r w:rsidR="006A7198">
        <w:rPr>
          <w:i/>
        </w:rPr>
        <w:t>18, 19</w:t>
      </w:r>
      <w:r w:rsidR="0069039C" w:rsidRPr="0071693C">
        <w:rPr>
          <w:i/>
        </w:rPr>
        <w:t>].</w:t>
      </w:r>
      <w:proofErr w:type="gramEnd"/>
    </w:p>
    <w:p w14:paraId="455549DC" w14:textId="6AF795E0" w:rsidR="00880495" w:rsidRDefault="00880495" w:rsidP="00880495">
      <w:pPr>
        <w:pStyle w:val="afff7"/>
        <w:tabs>
          <w:tab w:val="num" w:pos="644"/>
          <w:tab w:val="num" w:pos="1353"/>
        </w:tabs>
        <w:ind w:left="0" w:firstLine="709"/>
        <w:divId w:val="266810958"/>
      </w:pPr>
      <w:r w:rsidRPr="00D51FEB">
        <w:rPr>
          <w:b/>
        </w:rPr>
        <w:t>Рекомендуется</w:t>
      </w:r>
      <w:r>
        <w:t xml:space="preserve"> всем пациентам </w:t>
      </w:r>
      <w:r w:rsidR="007450D0" w:rsidRPr="0071693C">
        <w:t xml:space="preserve">с подозрением на ФДА </w:t>
      </w:r>
      <w:r>
        <w:t>проведение общего анализ мочи д</w:t>
      </w:r>
      <w:r w:rsidR="002A14F1">
        <w:t>ля исключения сопутствующих заболеваний</w:t>
      </w:r>
      <w:r w:rsidR="00745B1B">
        <w:t xml:space="preserve"> </w:t>
      </w:r>
      <w:r>
        <w:fldChar w:fldCharType="begin" w:fldLock="1"/>
      </w:r>
      <w:r>
        <w:instrText>ADDIN CSL_CITATION { "citationItems" : [ { "id" : "ITEM-1", "itemData" : { "id" : "ITEM-1", "issued" : { "date-parts" : [ [ "0" ] ] }, "title" : "\u0412\u043e\u0440\u043e\u0431\u044c\u0435\u0432 \u0410. \u0418. \u0420\u0443\u043a\u043e\u0432\u043e\u0434\u0441\u0442\u0432\u043e \u043f\u043e \u0433\u0435\u043c\u0430\u0442\u043e\u043b\u043e\u0433\u0438\u0438, \u00ab\u041d\u044c\u044e\u0434\u0438\u0430\u043c\u0435\u0434\u00bb, \u041c, 2005, \u0442. 3, \u0441. 198 -210.", "type" : "article-journal" }, "uris" : [ "http://www.mendeley.com/documents/?uuid=caf0259b-d741-4dec-a412-6aeb4b6a92e5" ] }, { "id" : "ITEM-2", "itemData" : { "id" : "ITEM-2", "issued" : { "date-parts" : [ [ "0" ] ] }, "title" : "\u0420\u0443\u043c\u044f\u043d\u0446\u0435\u0432 \u0410. \u0413., \u041c\u0430\u0441\u0447\u0430\u043d \u0410. \u0410., \u0416\u0443\u043a\u043e\u0432\u0441\u043a\u0430\u044f \u0415. \u0412. \u0414\u0435\u0442\u0441\u043a\u0430\u044f \u0433\u0435\u043c\u0430\u0442\u043e\u043b\u043e\u0433\u0438\u044f, \u041c\u043e\u0441\u043a\u0432\u0430 2015:. \u0441. 656", "type" : "article-journal" }, "uris" : [ "http://www.mendeley.com/documents/?uuid=14ab88a7-d3e3-4125-acab-c3ad27df4bdc" ] } ], "mendeley" : { "formattedCitation" : "[1,2]", "plainTextFormattedCitation" : "[1,2]", "previouslyFormattedCitation" : "[1,2]" }, "properties" : { "noteIndex" : 0 }, "schema" : "https://github.com/citation-style-language/schema/raw/master/csl-citation.json" }</w:instrText>
      </w:r>
      <w:r>
        <w:fldChar w:fldCharType="separate"/>
      </w:r>
      <w:r>
        <w:rPr>
          <w:noProof/>
        </w:rPr>
        <w:t>[1</w:t>
      </w:r>
      <w:r w:rsidRPr="00973F63">
        <w:rPr>
          <w:noProof/>
        </w:rPr>
        <w:t>2</w:t>
      </w:r>
      <w:r>
        <w:rPr>
          <w:noProof/>
        </w:rPr>
        <w:t>,14,</w:t>
      </w:r>
      <w:r w:rsidR="006A7198">
        <w:rPr>
          <w:noProof/>
        </w:rPr>
        <w:t xml:space="preserve"> 16</w:t>
      </w:r>
      <w:r w:rsidRPr="00973F63">
        <w:rPr>
          <w:noProof/>
        </w:rPr>
        <w:t>]</w:t>
      </w:r>
      <w:r>
        <w:fldChar w:fldCharType="end"/>
      </w:r>
      <w:r w:rsidR="007450D0">
        <w:t>.</w:t>
      </w:r>
    </w:p>
    <w:p w14:paraId="73FF6359" w14:textId="77777777" w:rsidR="00880495" w:rsidRPr="00B27EF6" w:rsidRDefault="00880495" w:rsidP="007450D0">
      <w:pPr>
        <w:pStyle w:val="1"/>
        <w:numPr>
          <w:ilvl w:val="0"/>
          <w:numId w:val="0"/>
        </w:numPr>
        <w:ind w:left="709" w:hanging="425"/>
        <w:divId w:val="266810958"/>
        <w:rPr>
          <w:b/>
        </w:rPr>
      </w:pPr>
      <w:r w:rsidRPr="00D51FEB">
        <w:rPr>
          <w:b/>
        </w:rPr>
        <w:t>Уровень убедительности рекомендаций</w:t>
      </w:r>
      <w:proofErr w:type="gramStart"/>
      <w:r w:rsidRPr="00D51FEB">
        <w:rPr>
          <w:b/>
        </w:rPr>
        <w:t xml:space="preserve"> С</w:t>
      </w:r>
      <w:proofErr w:type="gramEnd"/>
      <w:r w:rsidRPr="00D51FEB">
        <w:rPr>
          <w:b/>
        </w:rPr>
        <w:t xml:space="preserve"> (уровень достоверности доказательств – 5)</w:t>
      </w:r>
    </w:p>
    <w:p w14:paraId="3E5AAEE6" w14:textId="7CBFDEC4" w:rsidR="00880495" w:rsidRPr="00880495" w:rsidRDefault="00880495" w:rsidP="00880495">
      <w:pPr>
        <w:pStyle w:val="afff7"/>
        <w:tabs>
          <w:tab w:val="num" w:pos="644"/>
          <w:tab w:val="num" w:pos="1353"/>
        </w:tabs>
        <w:ind w:left="0" w:firstLine="709"/>
        <w:divId w:val="266810958"/>
      </w:pPr>
      <w:r>
        <w:rPr>
          <w:rFonts w:cs="Times New Roman"/>
          <w:b/>
          <w:szCs w:val="24"/>
        </w:rPr>
        <w:t>Рекомендуется</w:t>
      </w:r>
      <w:r w:rsidR="002A14F1">
        <w:rPr>
          <w:rFonts w:cs="Times New Roman"/>
          <w:b/>
          <w:szCs w:val="24"/>
        </w:rPr>
        <w:t xml:space="preserve"> </w:t>
      </w:r>
      <w:r w:rsidR="002A14F1" w:rsidRPr="002A14F1">
        <w:rPr>
          <w:rFonts w:cs="Times New Roman"/>
          <w:szCs w:val="24"/>
        </w:rPr>
        <w:t>всем пациентам</w:t>
      </w:r>
      <w:r>
        <w:rPr>
          <w:rFonts w:cs="Times New Roman"/>
          <w:b/>
          <w:szCs w:val="24"/>
        </w:rPr>
        <w:t xml:space="preserve"> </w:t>
      </w:r>
      <w:r w:rsidR="007450D0" w:rsidRPr="0071693C">
        <w:t xml:space="preserve">с подозрением на ФДА </w:t>
      </w:r>
      <w:r>
        <w:rPr>
          <w:rFonts w:cs="Times New Roman"/>
          <w:szCs w:val="24"/>
        </w:rPr>
        <w:t>обследование н</w:t>
      </w:r>
      <w:r>
        <w:rPr>
          <w:rFonts w:cs="Times New Roman"/>
          <w:color w:val="000000" w:themeColor="text1"/>
          <w:szCs w:val="24"/>
        </w:rPr>
        <w:t xml:space="preserve">а сифилис, ВИЧ и вирусные гепатиты для </w:t>
      </w:r>
      <w:r w:rsidR="00640250">
        <w:rPr>
          <w:rFonts w:cs="Times New Roman"/>
          <w:color w:val="000000" w:themeColor="text1"/>
          <w:szCs w:val="24"/>
        </w:rPr>
        <w:t xml:space="preserve">исключения </w:t>
      </w:r>
      <w:r>
        <w:rPr>
          <w:rFonts w:cs="Times New Roman"/>
          <w:color w:val="000000" w:themeColor="text1"/>
          <w:szCs w:val="24"/>
        </w:rPr>
        <w:t xml:space="preserve">сопутствующей патологии </w:t>
      </w:r>
      <w:r>
        <w:fldChar w:fldCharType="begin" w:fldLock="1"/>
      </w:r>
      <w:r>
        <w:instrText>ADDIN CSL_CITATION { "citationItems" : [ { "id" : "ITEM-1", "itemData" : { "id" : "ITEM-1", "issued" : { "date-parts" : [ [ "0" ] ] }, "title" : "\u0412\u043e\u0440\u043e\u0431\u044c\u0435\u0432 \u0410. \u0418. \u0420\u0443\u043a\u043e\u0432\u043e\u0434\u0441\u0442\u0432\u043e \u043f\u043e \u0433\u0435\u043c\u0430\u0442\u043e\u043b\u043e\u0433\u0438\u0438, \u00ab\u041d\u044c\u044e\u0434\u0438\u0430\u043c\u0435\u0434\u00bb, \u041c, 2005, \u0442. 3, \u0441. 198 -210.", "type" : "article-journal" }, "uris" : [ "http://www.mendeley.com/documents/?uuid=caf0259b-d741-4dec-a412-6aeb4b6a92e5" ] }, { "id" : "ITEM-2", "itemData" : { "id" : "ITEM-2", "issued" : { "date-parts" : [ [ "0" ] ] }, "title" : "\u0420\u0443\u043c\u044f\u043d\u0446\u0435\u0432 \u0410. \u0413., \u041c\u0430\u0441\u0447\u0430\u043d \u0410. \u0410., \u0416\u0443\u043a\u043e\u0432\u0441\u043a\u0430\u044f \u0415. \u0412. \u0414\u0435\u0442\u0441\u043a\u0430\u044f \u0433\u0435\u043c\u0430\u0442\u043e\u043b\u043e\u0433\u0438\u044f, \u041c\u043e\u0441\u043a\u0432\u0430 2015:. \u0441. 656", "type" : "article-journal" }, "uris" : [ "http://www.mendeley.com/documents/?uuid=14ab88a7-d3e3-4125-acab-c3ad27df4bdc" ] } ], "mendeley" : { "formattedCitation" : "[1,2]", "plainTextFormattedCitation" : "[1,2]", "previouslyFormattedCitation" : "[1,2]" }, "properties" : { "noteIndex" : 0 }, "schema" : "https://github.com/citation-style-language/schema/raw/master/csl-citation.json" }</w:instrText>
      </w:r>
      <w:r>
        <w:fldChar w:fldCharType="separate"/>
      </w:r>
      <w:r>
        <w:rPr>
          <w:noProof/>
        </w:rPr>
        <w:t>[1</w:t>
      </w:r>
      <w:r w:rsidRPr="00973F63">
        <w:rPr>
          <w:noProof/>
        </w:rPr>
        <w:t>2</w:t>
      </w:r>
      <w:r>
        <w:rPr>
          <w:noProof/>
        </w:rPr>
        <w:t>,14,</w:t>
      </w:r>
      <w:r w:rsidR="006A7198">
        <w:rPr>
          <w:noProof/>
        </w:rPr>
        <w:t>16</w:t>
      </w:r>
      <w:r w:rsidRPr="00973F63">
        <w:rPr>
          <w:noProof/>
        </w:rPr>
        <w:t>]</w:t>
      </w:r>
      <w:r>
        <w:fldChar w:fldCharType="end"/>
      </w:r>
      <w:r>
        <w:t>:</w:t>
      </w:r>
    </w:p>
    <w:p w14:paraId="37F48C44" w14:textId="409232EE" w:rsidR="00880495" w:rsidRDefault="00880495" w:rsidP="00880495">
      <w:pPr>
        <w:pStyle w:val="afd"/>
        <w:numPr>
          <w:ilvl w:val="0"/>
          <w:numId w:val="20"/>
        </w:numPr>
        <w:spacing w:before="120" w:after="120"/>
        <w:divId w:val="266810958"/>
      </w:pPr>
      <w:r>
        <w:rPr>
          <w:rFonts w:cs="Times New Roman"/>
          <w:color w:val="000000" w:themeColor="text1"/>
          <w:szCs w:val="24"/>
        </w:rPr>
        <w:t xml:space="preserve"> </w:t>
      </w:r>
      <w:r>
        <w:t>Определение антител к бледной трепонеме (</w:t>
      </w:r>
      <w:proofErr w:type="spellStart"/>
      <w:r>
        <w:t>Treponema</w:t>
      </w:r>
      <w:proofErr w:type="spellEnd"/>
      <w:r>
        <w:t xml:space="preserve"> </w:t>
      </w:r>
      <w:proofErr w:type="spellStart"/>
      <w:r>
        <w:t>pallidum</w:t>
      </w:r>
      <w:proofErr w:type="spellEnd"/>
      <w:r>
        <w:t>) иммуноферментным методом (ИФА) в крови</w:t>
      </w:r>
      <w:r>
        <w:rPr>
          <w:rFonts w:cs="Times New Roman"/>
          <w:color w:val="000000" w:themeColor="text1"/>
          <w:szCs w:val="24"/>
        </w:rPr>
        <w:t xml:space="preserve"> или </w:t>
      </w:r>
      <w:r w:rsidR="002A14F1">
        <w:t>о</w:t>
      </w:r>
      <w:r>
        <w:t>пределение антител к бледной трепонеме (</w:t>
      </w:r>
      <w:proofErr w:type="spellStart"/>
      <w:r>
        <w:t>Treponema</w:t>
      </w:r>
      <w:proofErr w:type="spellEnd"/>
      <w:r>
        <w:t xml:space="preserve"> </w:t>
      </w:r>
      <w:proofErr w:type="spellStart"/>
      <w:r>
        <w:t>pallidum</w:t>
      </w:r>
      <w:proofErr w:type="spellEnd"/>
      <w:r>
        <w:t xml:space="preserve">) в </w:t>
      </w:r>
      <w:proofErr w:type="spellStart"/>
      <w:r>
        <w:t>нетрепонемных</w:t>
      </w:r>
      <w:proofErr w:type="spellEnd"/>
      <w:r>
        <w:t xml:space="preserve"> тестах (RPR, РМП) (качественное и полуколичественное исследование) в сыворотке крови</w:t>
      </w:r>
      <w:r w:rsidR="00452FED">
        <w:rPr>
          <w:rFonts w:cs="Times New Roman"/>
          <w:color w:val="000000" w:themeColor="text1"/>
          <w:szCs w:val="24"/>
        </w:rPr>
        <w:t>.</w:t>
      </w:r>
    </w:p>
    <w:p w14:paraId="3BB5E558" w14:textId="6B446540" w:rsidR="00880495" w:rsidRDefault="00880495" w:rsidP="00880495">
      <w:pPr>
        <w:pStyle w:val="afd"/>
        <w:numPr>
          <w:ilvl w:val="0"/>
          <w:numId w:val="20"/>
        </w:numPr>
        <w:spacing w:before="120" w:after="120"/>
        <w:divId w:val="266810958"/>
      </w:pPr>
      <w:r>
        <w:t>Определение антител классов M, G (</w:t>
      </w:r>
      <w:proofErr w:type="spellStart"/>
      <w:r>
        <w:t>IgM</w:t>
      </w:r>
      <w:proofErr w:type="spellEnd"/>
      <w:r>
        <w:t xml:space="preserve">, </w:t>
      </w:r>
      <w:proofErr w:type="spellStart"/>
      <w:r>
        <w:t>IgG</w:t>
      </w:r>
      <w:proofErr w:type="spellEnd"/>
      <w:r>
        <w:t>) к вирусу иммунодефицита человека ВИЧ-1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immunodeficiency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HIV 1) в крови; </w:t>
      </w:r>
      <w:r w:rsidR="008F2A1C">
        <w:t>о</w:t>
      </w:r>
      <w:r>
        <w:t>пределение антител классов M, G (</w:t>
      </w:r>
      <w:proofErr w:type="spellStart"/>
      <w:r>
        <w:t>IgM</w:t>
      </w:r>
      <w:proofErr w:type="spellEnd"/>
      <w:r>
        <w:t xml:space="preserve">, </w:t>
      </w:r>
      <w:proofErr w:type="spellStart"/>
      <w:r>
        <w:t>IgG</w:t>
      </w:r>
      <w:proofErr w:type="spellEnd"/>
      <w:r>
        <w:t>) к вирусу иммунодефицита человека ВИЧ-2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immunodeficiency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HIV 2) в крови</w:t>
      </w:r>
      <w:r w:rsidR="00452FED">
        <w:rPr>
          <w:rFonts w:cs="Times New Roman"/>
          <w:color w:val="000000" w:themeColor="text1"/>
          <w:szCs w:val="24"/>
        </w:rPr>
        <w:t>.</w:t>
      </w:r>
    </w:p>
    <w:p w14:paraId="4C2C363D" w14:textId="38548DFA" w:rsidR="00880495" w:rsidRDefault="007450D0" w:rsidP="00880495">
      <w:pPr>
        <w:pStyle w:val="afd"/>
        <w:numPr>
          <w:ilvl w:val="0"/>
          <w:numId w:val="20"/>
        </w:numPr>
        <w:spacing w:before="120" w:after="120"/>
        <w:divId w:val="266810958"/>
      </w:pPr>
      <w:r>
        <w:t>О</w:t>
      </w:r>
      <w:r w:rsidR="00880495">
        <w:t>пределение антигена (</w:t>
      </w:r>
      <w:proofErr w:type="spellStart"/>
      <w:r w:rsidR="00880495">
        <w:t>H</w:t>
      </w:r>
      <w:proofErr w:type="gramStart"/>
      <w:r w:rsidR="008F2A1C">
        <w:t>В</w:t>
      </w:r>
      <w:proofErr w:type="gramEnd"/>
      <w:r w:rsidR="00880495">
        <w:t>sAg</w:t>
      </w:r>
      <w:proofErr w:type="spellEnd"/>
      <w:r w:rsidR="00880495">
        <w:t>) вируса гепатита B</w:t>
      </w:r>
      <w:r w:rsidR="002A14F1">
        <w:t xml:space="preserve"> (</w:t>
      </w:r>
      <w:proofErr w:type="spellStart"/>
      <w:r w:rsidR="002A14F1">
        <w:t>Hepatitis</w:t>
      </w:r>
      <w:proofErr w:type="spellEnd"/>
      <w:r w:rsidR="002A14F1">
        <w:t xml:space="preserve"> B </w:t>
      </w:r>
      <w:proofErr w:type="spellStart"/>
      <w:r w:rsidR="002A14F1">
        <w:t>virus</w:t>
      </w:r>
      <w:proofErr w:type="spellEnd"/>
      <w:r w:rsidR="002A14F1">
        <w:t>) и о</w:t>
      </w:r>
      <w:r w:rsidR="00880495">
        <w:t xml:space="preserve">пределение </w:t>
      </w:r>
      <w:r w:rsidR="00880495" w:rsidRPr="00FC32C4">
        <w:rPr>
          <w:color w:val="000000" w:themeColor="text1"/>
        </w:rPr>
        <w:t>анти</w:t>
      </w:r>
      <w:r w:rsidR="008F2A1C" w:rsidRPr="00FC32C4">
        <w:rPr>
          <w:color w:val="000000" w:themeColor="text1"/>
        </w:rPr>
        <w:t>тел</w:t>
      </w:r>
      <w:r w:rsidR="008F2A1C">
        <w:t xml:space="preserve"> к</w:t>
      </w:r>
      <w:r w:rsidR="00880495">
        <w:t xml:space="preserve"> вирус</w:t>
      </w:r>
      <w:r w:rsidR="008F2A1C">
        <w:t>у</w:t>
      </w:r>
      <w:r w:rsidR="00880495">
        <w:t xml:space="preserve"> гепатита C (</w:t>
      </w:r>
      <w:proofErr w:type="spellStart"/>
      <w:r w:rsidR="00880495">
        <w:t>Hepatitis</w:t>
      </w:r>
      <w:proofErr w:type="spellEnd"/>
      <w:r w:rsidR="00880495">
        <w:t xml:space="preserve"> C </w:t>
      </w:r>
      <w:proofErr w:type="spellStart"/>
      <w:r w:rsidR="00880495">
        <w:t>virus</w:t>
      </w:r>
      <w:proofErr w:type="spellEnd"/>
      <w:r w:rsidR="00880495">
        <w:t xml:space="preserve">) в </w:t>
      </w:r>
      <w:bookmarkStart w:id="49" w:name="_GoBack"/>
      <w:r w:rsidR="008F2A1C" w:rsidRPr="00FC32C4">
        <w:rPr>
          <w:color w:val="000000" w:themeColor="text1"/>
        </w:rPr>
        <w:t>сыворотке</w:t>
      </w:r>
      <w:bookmarkEnd w:id="49"/>
      <w:r w:rsidR="008F2A1C">
        <w:rPr>
          <w:color w:val="FF0000"/>
        </w:rPr>
        <w:t xml:space="preserve"> </w:t>
      </w:r>
      <w:r w:rsidR="00880495">
        <w:t>крови.</w:t>
      </w:r>
    </w:p>
    <w:p w14:paraId="7CA4476E" w14:textId="0EB556A7" w:rsidR="00880495" w:rsidRPr="00926A30" w:rsidRDefault="00880495" w:rsidP="00926A30">
      <w:pPr>
        <w:pStyle w:val="aff1"/>
        <w:divId w:val="266810958"/>
      </w:pPr>
      <w:r w:rsidRPr="00B104EF">
        <w:t>Уровень убедительности рекомендаций</w:t>
      </w:r>
      <w:proofErr w:type="gramStart"/>
      <w:r w:rsidRPr="00B104EF">
        <w:t xml:space="preserve"> </w:t>
      </w:r>
      <w:r>
        <w:t>С</w:t>
      </w:r>
      <w:proofErr w:type="gramEnd"/>
      <w:r w:rsidRPr="00B104EF">
        <w:t xml:space="preserve"> (уровень достоверности доказательств – </w:t>
      </w:r>
      <w:r>
        <w:t>5</w:t>
      </w:r>
      <w:r w:rsidRPr="00B104EF">
        <w:t>)</w:t>
      </w:r>
    </w:p>
    <w:p w14:paraId="749D49D0" w14:textId="3594E027" w:rsidR="00783235" w:rsidRPr="00DC6460" w:rsidRDefault="000A2BBB" w:rsidP="00DC6460">
      <w:pPr>
        <w:pStyle w:val="2"/>
        <w:divId w:val="266810958"/>
      </w:pPr>
      <w:bookmarkStart w:id="50" w:name="_Toc22645525"/>
      <w:bookmarkStart w:id="51" w:name="_Toc32479213"/>
      <w:r w:rsidRPr="00B46390">
        <w:t xml:space="preserve">2.4 </w:t>
      </w:r>
      <w:r>
        <w:t xml:space="preserve">Инструментальные </w:t>
      </w:r>
      <w:r w:rsidRPr="00B46390">
        <w:t>диагно</w:t>
      </w:r>
      <w:r>
        <w:t>стические исследования</w:t>
      </w:r>
      <w:bookmarkEnd w:id="50"/>
      <w:bookmarkEnd w:id="51"/>
    </w:p>
    <w:p w14:paraId="5125AC45" w14:textId="1D3B9D81" w:rsidR="00783235" w:rsidRDefault="00783235" w:rsidP="00AA40D7">
      <w:pPr>
        <w:pStyle w:val="afd"/>
        <w:numPr>
          <w:ilvl w:val="0"/>
          <w:numId w:val="18"/>
        </w:numPr>
        <w:shd w:val="clear" w:color="auto" w:fill="FFFFFF"/>
        <w:spacing w:after="200"/>
        <w:divId w:val="266810958"/>
      </w:pPr>
      <w:r w:rsidRPr="00AA40D7">
        <w:rPr>
          <w:b/>
        </w:rPr>
        <w:t xml:space="preserve">Рекомендуется </w:t>
      </w:r>
      <w:r w:rsidR="00B324AA" w:rsidRPr="002200AF">
        <w:t>всем пациентам</w:t>
      </w:r>
      <w:r w:rsidR="00B324AA" w:rsidRPr="00AA40D7">
        <w:rPr>
          <w:b/>
        </w:rPr>
        <w:t xml:space="preserve"> </w:t>
      </w:r>
      <w:r w:rsidR="00B324AA" w:rsidRPr="0071693C">
        <w:t>с подозрением или впервые установленным диагнозом ФДА</w:t>
      </w:r>
      <w:r w:rsidR="00B324AA" w:rsidRPr="00AA40D7">
        <w:rPr>
          <w:b/>
        </w:rPr>
        <w:t xml:space="preserve"> </w:t>
      </w:r>
      <w:r w:rsidR="00B324AA">
        <w:t xml:space="preserve">проведение </w:t>
      </w:r>
      <w:r w:rsidR="00DC6460">
        <w:t>следующих инструментальных исследований для</w:t>
      </w:r>
      <w:r w:rsidR="00DD741F">
        <w:t xml:space="preserve"> выяснения </w:t>
      </w:r>
      <w:r w:rsidR="008F2A1C" w:rsidRPr="00A442EA">
        <w:t xml:space="preserve">причины </w:t>
      </w:r>
      <w:r w:rsidR="008F2A1C">
        <w:t xml:space="preserve">развития дефицита </w:t>
      </w:r>
      <w:proofErr w:type="spellStart"/>
      <w:r w:rsidR="008F2A1C" w:rsidRPr="00A442EA">
        <w:t>фол</w:t>
      </w:r>
      <w:r w:rsidR="008F2A1C">
        <w:t>атов</w:t>
      </w:r>
      <w:proofErr w:type="spellEnd"/>
      <w:r w:rsidR="00DD741F">
        <w:t xml:space="preserve">, </w:t>
      </w:r>
      <w:r w:rsidR="00DC6460">
        <w:t>диагностики сопутствующей патологии</w:t>
      </w:r>
      <w:r w:rsidR="00DD741F">
        <w:t xml:space="preserve"> и </w:t>
      </w:r>
      <w:r w:rsidR="00DD741F" w:rsidRPr="007450D0">
        <w:t>оценки адаптации к анемии</w:t>
      </w:r>
      <w:r w:rsidR="00DC6460" w:rsidRPr="00AA40D7">
        <w:rPr>
          <w:rFonts w:cs="Times New Roman"/>
        </w:rPr>
        <w:t xml:space="preserve"> </w:t>
      </w:r>
      <w:r w:rsidR="00B324AA" w:rsidRPr="00AA40D7">
        <w:rPr>
          <w:rFonts w:cs="Times New Roman"/>
        </w:rPr>
        <w:t>[2,12,14]</w:t>
      </w:r>
      <w:r w:rsidR="00B324AA">
        <w:t>:</w:t>
      </w:r>
    </w:p>
    <w:p w14:paraId="5984BE17" w14:textId="2922E186" w:rsidR="00DC6460" w:rsidRPr="00EA08CF" w:rsidRDefault="00DC6460" w:rsidP="00DC6460">
      <w:pPr>
        <w:pStyle w:val="afff7"/>
        <w:numPr>
          <w:ilvl w:val="1"/>
          <w:numId w:val="18"/>
        </w:numPr>
        <w:divId w:val="266810958"/>
      </w:pPr>
      <w:proofErr w:type="spellStart"/>
      <w:r>
        <w:rPr>
          <w:snapToGrid w:val="0"/>
          <w:szCs w:val="24"/>
        </w:rPr>
        <w:lastRenderedPageBreak/>
        <w:t>эзофа</w:t>
      </w:r>
      <w:r w:rsidR="00B17250">
        <w:rPr>
          <w:snapToGrid w:val="0"/>
          <w:szCs w:val="24"/>
        </w:rPr>
        <w:t>го</w:t>
      </w:r>
      <w:r>
        <w:rPr>
          <w:snapToGrid w:val="0"/>
          <w:szCs w:val="24"/>
        </w:rPr>
        <w:t>гастродуоденоскопия</w:t>
      </w:r>
      <w:proofErr w:type="spellEnd"/>
      <w:r>
        <w:rPr>
          <w:snapToGrid w:val="0"/>
          <w:szCs w:val="24"/>
        </w:rPr>
        <w:t xml:space="preserve"> и</w:t>
      </w:r>
      <w:r w:rsidRPr="007B0126">
        <w:rPr>
          <w:snapToGrid w:val="0"/>
          <w:szCs w:val="24"/>
        </w:rPr>
        <w:t xml:space="preserve"> </w:t>
      </w:r>
      <w:proofErr w:type="spellStart"/>
      <w:r w:rsidRPr="00430BE4">
        <w:rPr>
          <w:snapToGrid w:val="0"/>
          <w:szCs w:val="24"/>
        </w:rPr>
        <w:t>колоноскопия</w:t>
      </w:r>
      <w:proofErr w:type="spellEnd"/>
      <w:r>
        <w:rPr>
          <w:snapToGrid w:val="0"/>
          <w:szCs w:val="24"/>
        </w:rPr>
        <w:t xml:space="preserve"> – для выявления патологии желудочно-кишечного тракта, как причины нарушения всасывания фолиевой кислоты;</w:t>
      </w:r>
    </w:p>
    <w:p w14:paraId="547D4C93" w14:textId="12553C68" w:rsidR="00DC6460" w:rsidRPr="007450D0" w:rsidRDefault="00DC6460" w:rsidP="00DC6460">
      <w:pPr>
        <w:pStyle w:val="afff7"/>
        <w:numPr>
          <w:ilvl w:val="1"/>
          <w:numId w:val="18"/>
        </w:numPr>
        <w:divId w:val="266810958"/>
      </w:pPr>
      <w:r w:rsidRPr="007B0126">
        <w:rPr>
          <w:snapToGrid w:val="0"/>
          <w:szCs w:val="24"/>
        </w:rPr>
        <w:t xml:space="preserve">рентгенография </w:t>
      </w:r>
      <w:r w:rsidRPr="007450D0">
        <w:rPr>
          <w:snapToGrid w:val="0"/>
          <w:szCs w:val="24"/>
        </w:rPr>
        <w:t>или КТ органов грудной клетки</w:t>
      </w:r>
      <w:r w:rsidR="00DD741F" w:rsidRPr="007450D0">
        <w:rPr>
          <w:snapToGrid w:val="0"/>
          <w:szCs w:val="24"/>
        </w:rPr>
        <w:t xml:space="preserve"> для исключения инфекционных заболеваний легких, как причины анемии хронических заболеваний</w:t>
      </w:r>
      <w:r w:rsidRPr="007450D0">
        <w:rPr>
          <w:snapToGrid w:val="0"/>
          <w:szCs w:val="24"/>
        </w:rPr>
        <w:t>;</w:t>
      </w:r>
    </w:p>
    <w:p w14:paraId="5A5250C6" w14:textId="63ACDC2C" w:rsidR="00B324AA" w:rsidRPr="007450D0" w:rsidRDefault="00DC6460" w:rsidP="00DC6460">
      <w:pPr>
        <w:pStyle w:val="afff7"/>
        <w:numPr>
          <w:ilvl w:val="1"/>
          <w:numId w:val="18"/>
        </w:numPr>
        <w:divId w:val="266810958"/>
      </w:pPr>
      <w:r w:rsidRPr="007450D0">
        <w:rPr>
          <w:snapToGrid w:val="0"/>
          <w:szCs w:val="24"/>
        </w:rPr>
        <w:t>УЗИ органов брюшной полости, забрюшинного пространства и малого таза</w:t>
      </w:r>
      <w:r w:rsidR="00DD741F" w:rsidRPr="007450D0">
        <w:rPr>
          <w:snapToGrid w:val="0"/>
          <w:szCs w:val="24"/>
        </w:rPr>
        <w:t xml:space="preserve"> для дифференциальной диагностики с анемиями другой этиологии</w:t>
      </w:r>
      <w:r w:rsidRPr="007450D0">
        <w:rPr>
          <w:snapToGrid w:val="0"/>
          <w:szCs w:val="24"/>
        </w:rPr>
        <w:t>;</w:t>
      </w:r>
      <w:r w:rsidR="00DD741F" w:rsidRPr="007450D0">
        <w:t xml:space="preserve"> УЗИ щитовидной железы - </w:t>
      </w:r>
      <w:r w:rsidRPr="007450D0">
        <w:t>для искл</w:t>
      </w:r>
      <w:r w:rsidR="00DD741F" w:rsidRPr="007450D0">
        <w:t xml:space="preserve">ючения аутоиммунного </w:t>
      </w:r>
      <w:proofErr w:type="spellStart"/>
      <w:r w:rsidR="00DD741F" w:rsidRPr="007450D0">
        <w:t>тиреоидита</w:t>
      </w:r>
      <w:proofErr w:type="spellEnd"/>
      <w:r w:rsidR="003B5022" w:rsidRPr="007450D0">
        <w:t>;</w:t>
      </w:r>
    </w:p>
    <w:p w14:paraId="678AFE4E" w14:textId="6C0F842D" w:rsidR="003B5022" w:rsidRPr="007450D0" w:rsidRDefault="003B5022" w:rsidP="00DC6460">
      <w:pPr>
        <w:pStyle w:val="afff7"/>
        <w:numPr>
          <w:ilvl w:val="1"/>
          <w:numId w:val="18"/>
        </w:numPr>
        <w:divId w:val="266810958"/>
      </w:pPr>
      <w:r w:rsidRPr="007450D0">
        <w:t>ЭКГ</w:t>
      </w:r>
      <w:r w:rsidR="00DD741F" w:rsidRPr="007450D0">
        <w:t xml:space="preserve"> для выявления сопутствующей патологии сердца и оценки степени адаптации к анемии. </w:t>
      </w:r>
    </w:p>
    <w:p w14:paraId="7E83F063" w14:textId="01F04488" w:rsidR="00DC6460" w:rsidRPr="006E2310" w:rsidRDefault="00B324AA" w:rsidP="003B5022">
      <w:pPr>
        <w:pStyle w:val="aff1"/>
        <w:divId w:val="266810958"/>
      </w:pPr>
      <w:r w:rsidRPr="00033BB5">
        <w:t xml:space="preserve">Уровень убедительности рекомендаций </w:t>
      </w:r>
      <w:r w:rsidRPr="00033BB5">
        <w:rPr>
          <w:lang w:val="en-US"/>
        </w:rPr>
        <w:t>C</w:t>
      </w:r>
      <w:r w:rsidRPr="00033BB5">
        <w:t xml:space="preserve"> (уровень</w:t>
      </w:r>
      <w:r w:rsidR="002A14F1">
        <w:t xml:space="preserve"> достоверности доказательств – 5</w:t>
      </w:r>
      <w:r w:rsidRPr="00033BB5">
        <w:t>)</w:t>
      </w:r>
    </w:p>
    <w:p w14:paraId="4CFC6240" w14:textId="77777777" w:rsidR="00260179" w:rsidRPr="00E25445" w:rsidRDefault="00260179" w:rsidP="00260179">
      <w:pPr>
        <w:pStyle w:val="aff2"/>
        <w:divId w:val="266810958"/>
        <w:rPr>
          <w:b/>
          <w:u w:val="single"/>
        </w:rPr>
      </w:pPr>
      <w:r w:rsidRPr="00E25445">
        <w:rPr>
          <w:b/>
          <w:u w:val="single"/>
        </w:rPr>
        <w:t>2.</w:t>
      </w:r>
      <w:r w:rsidR="000A2BBB">
        <w:rPr>
          <w:b/>
          <w:u w:val="single"/>
        </w:rPr>
        <w:t>5</w:t>
      </w:r>
      <w:proofErr w:type="gramStart"/>
      <w:r w:rsidRPr="00E25445">
        <w:rPr>
          <w:u w:val="single"/>
        </w:rPr>
        <w:t xml:space="preserve"> </w:t>
      </w:r>
      <w:r w:rsidRPr="00E25445">
        <w:rPr>
          <w:b/>
          <w:u w:val="single"/>
        </w:rPr>
        <w:t>И</w:t>
      </w:r>
      <w:proofErr w:type="gramEnd"/>
      <w:r w:rsidRPr="00E25445">
        <w:rPr>
          <w:b/>
          <w:u w:val="single"/>
        </w:rPr>
        <w:t>ные диагностические исследования</w:t>
      </w:r>
    </w:p>
    <w:p w14:paraId="2F7E68D5" w14:textId="5C552AAC" w:rsidR="006D76E1" w:rsidRPr="006D76E1" w:rsidRDefault="00B73E32" w:rsidP="003B5022">
      <w:pPr>
        <w:pStyle w:val="afff7"/>
        <w:numPr>
          <w:ilvl w:val="0"/>
          <w:numId w:val="0"/>
        </w:numPr>
        <w:spacing w:before="120"/>
        <w:ind w:left="709" w:hanging="425"/>
        <w:divId w:val="266810958"/>
        <w:rPr>
          <w:rStyle w:val="affb"/>
          <w:i w:val="0"/>
          <w:iCs w:val="0"/>
        </w:rPr>
      </w:pPr>
      <w:r>
        <w:rPr>
          <w:snapToGrid w:val="0"/>
          <w:szCs w:val="24"/>
        </w:rPr>
        <w:tab/>
      </w:r>
      <w:r w:rsidR="00260179">
        <w:rPr>
          <w:snapToGrid w:val="0"/>
          <w:szCs w:val="24"/>
        </w:rPr>
        <w:tab/>
      </w:r>
      <w:r w:rsidR="003B5022">
        <w:rPr>
          <w:snapToGrid w:val="0"/>
          <w:szCs w:val="24"/>
        </w:rPr>
        <w:t xml:space="preserve">Нет </w:t>
      </w:r>
    </w:p>
    <w:p w14:paraId="1F887F35" w14:textId="77777777" w:rsidR="000A2BBB" w:rsidRDefault="000A2BBB" w:rsidP="000A2BBB">
      <w:pPr>
        <w:pStyle w:val="afff1"/>
        <w:divId w:val="1767193717"/>
      </w:pPr>
      <w:bookmarkStart w:id="52" w:name="_Toc22645527"/>
      <w:bookmarkStart w:id="53" w:name="_Toc32479214"/>
      <w:bookmarkStart w:id="54" w:name="_Toc25838282"/>
      <w:r>
        <w:t xml:space="preserve">3. </w:t>
      </w:r>
      <w:r w:rsidRPr="00B104EF">
        <w:t>Лечение</w:t>
      </w:r>
      <w:r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Start w:id="55" w:name="_Toc469402341"/>
      <w:bookmarkStart w:id="56" w:name="_Toc468273538"/>
      <w:bookmarkStart w:id="57" w:name="_Toc468273456"/>
      <w:bookmarkEnd w:id="52"/>
      <w:bookmarkEnd w:id="53"/>
      <w:bookmarkEnd w:id="55"/>
      <w:bookmarkEnd w:id="56"/>
      <w:bookmarkEnd w:id="57"/>
    </w:p>
    <w:p w14:paraId="5284E733" w14:textId="77777777" w:rsidR="000A2BBB" w:rsidRPr="000A2BBB" w:rsidRDefault="000A2BBB" w:rsidP="000A2BBB">
      <w:pPr>
        <w:pStyle w:val="afff1"/>
        <w:jc w:val="left"/>
        <w:outlineLvl w:val="1"/>
        <w:divId w:val="1767193717"/>
        <w:rPr>
          <w:rStyle w:val="afffb"/>
          <w:rFonts w:eastAsia="Sans" w:cstheme="minorBidi"/>
          <w:i w:val="0"/>
          <w:color w:val="auto"/>
          <w:sz w:val="24"/>
          <w:u w:val="single"/>
        </w:rPr>
      </w:pPr>
      <w:bookmarkStart w:id="58" w:name="_Toc22645528"/>
      <w:bookmarkStart w:id="59" w:name="_Toc32479215"/>
      <w:r w:rsidRPr="000A2BBB">
        <w:rPr>
          <w:rFonts w:eastAsia="Times New Roman"/>
          <w:sz w:val="24"/>
          <w:szCs w:val="24"/>
          <w:u w:val="single"/>
        </w:rPr>
        <w:t>3.1.Консервативное лечение</w:t>
      </w:r>
      <w:bookmarkEnd w:id="58"/>
      <w:bookmarkEnd w:id="59"/>
    </w:p>
    <w:p w14:paraId="3E9527C7" w14:textId="2348F825" w:rsidR="00CC5156" w:rsidRPr="003B5022" w:rsidRDefault="00BC3002" w:rsidP="003B5022">
      <w:pPr>
        <w:pStyle w:val="afff1"/>
        <w:ind w:firstLine="709"/>
        <w:jc w:val="both"/>
        <w:outlineLvl w:val="9"/>
        <w:divId w:val="1767193717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Своевременная </w:t>
      </w:r>
      <w:r w:rsidRPr="00BC3002">
        <w:rPr>
          <w:b w:val="0"/>
          <w:i/>
          <w:sz w:val="24"/>
          <w:szCs w:val="24"/>
        </w:rPr>
        <w:t xml:space="preserve">диагностика и лечение ФДА, а также устранение причины ее развития, как правило, приводит к быстрой ликвидации дефицита </w:t>
      </w:r>
      <w:proofErr w:type="spellStart"/>
      <w:r w:rsidRPr="00BC3002">
        <w:rPr>
          <w:b w:val="0"/>
          <w:i/>
          <w:sz w:val="24"/>
          <w:szCs w:val="24"/>
        </w:rPr>
        <w:t>фолатов</w:t>
      </w:r>
      <w:proofErr w:type="spellEnd"/>
      <w:r w:rsidRPr="00BC3002">
        <w:rPr>
          <w:b w:val="0"/>
          <w:i/>
          <w:sz w:val="24"/>
          <w:szCs w:val="24"/>
        </w:rPr>
        <w:t xml:space="preserve"> и восстановлению гематологических показателей через 4-6 недель.</w:t>
      </w:r>
      <w:bookmarkEnd w:id="54"/>
    </w:p>
    <w:p w14:paraId="7B23CF69" w14:textId="6884A2FA" w:rsidR="00BC3002" w:rsidRPr="003B5022" w:rsidRDefault="00B104EF" w:rsidP="003B5022">
      <w:pPr>
        <w:pStyle w:val="1"/>
        <w:numPr>
          <w:ilvl w:val="0"/>
          <w:numId w:val="18"/>
        </w:numPr>
        <w:divId w:val="1767193717"/>
        <w:rPr>
          <w:b/>
          <w:i/>
        </w:rPr>
      </w:pPr>
      <w:bookmarkStart w:id="60" w:name="_Toc25838283"/>
      <w:r w:rsidRPr="00EC7700">
        <w:rPr>
          <w:b/>
        </w:rPr>
        <w:t>Рекомендуется</w:t>
      </w:r>
      <w:r w:rsidR="00241B56" w:rsidRPr="00EC7700">
        <w:t xml:space="preserve"> всем пациентам с установленным диагнозом </w:t>
      </w:r>
      <w:r w:rsidR="00BC3002" w:rsidRPr="00EC7700">
        <w:t xml:space="preserve">ФДА </w:t>
      </w:r>
      <w:r w:rsidR="00BC3002" w:rsidRPr="00EC7700">
        <w:rPr>
          <w:snapToGrid w:val="0"/>
        </w:rPr>
        <w:t>наз</w:t>
      </w:r>
      <w:r w:rsidR="0067168B">
        <w:rPr>
          <w:snapToGrid w:val="0"/>
        </w:rPr>
        <w:t>начение</w:t>
      </w:r>
      <w:r w:rsidR="00BC3002" w:rsidRPr="00EC7700">
        <w:rPr>
          <w:snapToGrid w:val="0"/>
        </w:rPr>
        <w:t xml:space="preserve"> </w:t>
      </w:r>
      <w:proofErr w:type="spellStart"/>
      <w:r w:rsidR="00BC3002" w:rsidRPr="00EC7700">
        <w:rPr>
          <w:snapToGrid w:val="0"/>
        </w:rPr>
        <w:t>фолиевои</w:t>
      </w:r>
      <w:proofErr w:type="spellEnd"/>
      <w:r w:rsidR="00BC3002" w:rsidRPr="00EC7700">
        <w:rPr>
          <w:snapToGrid w:val="0"/>
        </w:rPr>
        <w:t>̆ кислоты</w:t>
      </w:r>
      <w:r w:rsidR="0067168B">
        <w:rPr>
          <w:snapToGrid w:val="0"/>
        </w:rPr>
        <w:t>**</w:t>
      </w:r>
      <w:r w:rsidR="00BC3002" w:rsidRPr="00EC7700">
        <w:rPr>
          <w:snapToGrid w:val="0"/>
        </w:rPr>
        <w:t xml:space="preserve"> для восполнения дефицитов </w:t>
      </w:r>
      <w:proofErr w:type="spellStart"/>
      <w:r w:rsidR="00BC3002" w:rsidRPr="00EC7700">
        <w:rPr>
          <w:snapToGrid w:val="0"/>
        </w:rPr>
        <w:t>фолатов</w:t>
      </w:r>
      <w:proofErr w:type="spellEnd"/>
      <w:r w:rsidR="00BC3002" w:rsidRPr="00EC7700">
        <w:rPr>
          <w:snapToGrid w:val="0"/>
        </w:rPr>
        <w:t xml:space="preserve"> и восстановления </w:t>
      </w:r>
      <w:proofErr w:type="spellStart"/>
      <w:r w:rsidR="00BC3002" w:rsidRPr="00EC7700">
        <w:rPr>
          <w:snapToGrid w:val="0"/>
        </w:rPr>
        <w:t>нормобластического</w:t>
      </w:r>
      <w:proofErr w:type="spellEnd"/>
      <w:r w:rsidR="00BC3002" w:rsidRPr="00EC7700">
        <w:rPr>
          <w:snapToGrid w:val="0"/>
        </w:rPr>
        <w:t xml:space="preserve"> кроветворения</w:t>
      </w:r>
      <w:bookmarkEnd w:id="60"/>
      <w:r w:rsidR="003B5022">
        <w:rPr>
          <w:snapToGrid w:val="0"/>
        </w:rPr>
        <w:t xml:space="preserve">. </w:t>
      </w:r>
      <w:r w:rsidR="003B5022" w:rsidRPr="003B5022">
        <w:t>Взрослым пациентам</w:t>
      </w:r>
      <w:r w:rsidR="003B5022" w:rsidRPr="003B5022">
        <w:rPr>
          <w:b/>
        </w:rPr>
        <w:t xml:space="preserve"> </w:t>
      </w:r>
      <w:r w:rsidR="003B5022" w:rsidRPr="003B5022">
        <w:t>назначается прием фолиевой кислоты</w:t>
      </w:r>
      <w:r w:rsidR="0067168B">
        <w:t>**</w:t>
      </w:r>
      <w:r w:rsidR="003B5022" w:rsidRPr="003B5022">
        <w:t xml:space="preserve"> в дозе 2-5 мг в сутки. Детям первого года жизни назначают фолиевую кислоту</w:t>
      </w:r>
      <w:r w:rsidR="0067168B">
        <w:t>**</w:t>
      </w:r>
      <w:r w:rsidR="003B5022" w:rsidRPr="003B5022">
        <w:t xml:space="preserve"> в дозе 0,25-0,5 мг/кг в сутки в течение месяца. В старшем возрасте суточная доза составляет 1 мг/сутки. Пероральный прием эффективен даже в случае </w:t>
      </w:r>
      <w:proofErr w:type="spellStart"/>
      <w:r w:rsidR="003B5022" w:rsidRPr="003B5022">
        <w:t>мальабсорбции</w:t>
      </w:r>
      <w:proofErr w:type="spellEnd"/>
      <w:r w:rsidR="003B5022" w:rsidRPr="003B5022">
        <w:t>, однако в этом случае дозу фолиевой кислоты</w:t>
      </w:r>
      <w:r w:rsidR="0067168B">
        <w:t>**</w:t>
      </w:r>
      <w:r w:rsidR="003B5022" w:rsidRPr="003B5022">
        <w:t xml:space="preserve"> следует увеличить до 5-15 мг/сутки</w:t>
      </w:r>
      <w:r w:rsidR="003B5022">
        <w:rPr>
          <w:b/>
          <w:i/>
        </w:rPr>
        <w:t xml:space="preserve"> </w:t>
      </w:r>
      <w:r w:rsidR="006E62D3" w:rsidRPr="003B5022">
        <w:rPr>
          <w:snapToGrid w:val="0"/>
        </w:rPr>
        <w:t>[</w:t>
      </w:r>
      <w:r w:rsidR="003B5022" w:rsidRPr="003B5022">
        <w:rPr>
          <w:snapToGrid w:val="0"/>
        </w:rPr>
        <w:t xml:space="preserve">1-3, </w:t>
      </w:r>
      <w:r w:rsidR="006E62D3" w:rsidRPr="003B5022">
        <w:rPr>
          <w:snapToGrid w:val="0"/>
        </w:rPr>
        <w:t>12, 14,</w:t>
      </w:r>
      <w:r w:rsidR="006A7198">
        <w:rPr>
          <w:snapToGrid w:val="0"/>
        </w:rPr>
        <w:t xml:space="preserve"> 16</w:t>
      </w:r>
      <w:r w:rsidR="006E62D3" w:rsidRPr="003B5022">
        <w:rPr>
          <w:snapToGrid w:val="0"/>
        </w:rPr>
        <w:t>]</w:t>
      </w:r>
      <w:r w:rsidR="00EC7700" w:rsidRPr="003B5022">
        <w:rPr>
          <w:snapToGrid w:val="0"/>
        </w:rPr>
        <w:t>.</w:t>
      </w:r>
    </w:p>
    <w:p w14:paraId="48D5F5E8" w14:textId="436D2FAE" w:rsidR="00BC3002" w:rsidRPr="00B136E1" w:rsidRDefault="0067168B" w:rsidP="003B5022">
      <w:pPr>
        <w:pStyle w:val="afff7"/>
        <w:numPr>
          <w:ilvl w:val="0"/>
          <w:numId w:val="0"/>
        </w:numPr>
        <w:ind w:left="709" w:hanging="425"/>
        <w:divId w:val="1767193717"/>
        <w:rPr>
          <w:b/>
        </w:rPr>
      </w:pPr>
      <w:r>
        <w:rPr>
          <w:b/>
        </w:rPr>
        <w:lastRenderedPageBreak/>
        <w:t xml:space="preserve">             </w:t>
      </w:r>
      <w:r w:rsidR="00BC3002" w:rsidRPr="00033BB5">
        <w:rPr>
          <w:b/>
        </w:rPr>
        <w:t>Уровень убедительности рекомендаций</w:t>
      </w:r>
      <w:proofErr w:type="gramStart"/>
      <w:r w:rsidR="00BC3002" w:rsidRPr="00033BB5">
        <w:rPr>
          <w:b/>
        </w:rPr>
        <w:t xml:space="preserve"> </w:t>
      </w:r>
      <w:r w:rsidR="002A14F1" w:rsidRPr="002A14F1">
        <w:rPr>
          <w:b/>
        </w:rPr>
        <w:t>С</w:t>
      </w:r>
      <w:proofErr w:type="gramEnd"/>
      <w:r w:rsidR="00BC3002" w:rsidRPr="00033BB5">
        <w:rPr>
          <w:b/>
        </w:rPr>
        <w:t xml:space="preserve"> (уровень достоверности доказательств –</w:t>
      </w:r>
      <w:r w:rsidR="002A14F1">
        <w:rPr>
          <w:b/>
        </w:rPr>
        <w:t>5</w:t>
      </w:r>
      <w:r w:rsidR="00BC3002" w:rsidRPr="00033BB5">
        <w:rPr>
          <w:b/>
        </w:rPr>
        <w:t>)</w:t>
      </w:r>
    </w:p>
    <w:p w14:paraId="2F103207" w14:textId="74B23E36" w:rsidR="00BC3002" w:rsidRPr="003B5022" w:rsidRDefault="00BC3002" w:rsidP="003B5022">
      <w:pPr>
        <w:pStyle w:val="aff2"/>
        <w:divId w:val="1767193717"/>
        <w:rPr>
          <w:i/>
        </w:rPr>
      </w:pPr>
      <w:r w:rsidRPr="00ED5598">
        <w:rPr>
          <w:b/>
        </w:rPr>
        <w:t>Комментарии:</w:t>
      </w:r>
      <w:r>
        <w:t xml:space="preserve"> </w:t>
      </w:r>
      <w:r w:rsidRPr="00BC3002">
        <w:rPr>
          <w:i/>
        </w:rPr>
        <w:t xml:space="preserve">режим дозирования фолиевой кислоты </w:t>
      </w:r>
      <w:r w:rsidRPr="00BC3002">
        <w:rPr>
          <w:i/>
          <w:color w:val="000000"/>
        </w:rPr>
        <w:t xml:space="preserve">подбирается индивидуально, в зависимости от возраста пациента.    </w:t>
      </w:r>
    </w:p>
    <w:p w14:paraId="76CEA34C" w14:textId="77777777" w:rsidR="000A2BBB" w:rsidRPr="00FA1A91" w:rsidRDefault="000A2BBB" w:rsidP="000A2BBB">
      <w:pPr>
        <w:pStyle w:val="2"/>
      </w:pPr>
      <w:bookmarkStart w:id="61" w:name="_Toc22645529"/>
      <w:bookmarkStart w:id="62" w:name="_Toc32479216"/>
      <w:bookmarkStart w:id="63" w:name="__RefHeading___doc_4"/>
      <w:r w:rsidRPr="004E1288">
        <w:t>3.</w:t>
      </w:r>
      <w:r>
        <w:t>2</w:t>
      </w:r>
      <w:r w:rsidRPr="00FA1A91">
        <w:t xml:space="preserve"> Хирургическое лечение</w:t>
      </w:r>
      <w:bookmarkEnd w:id="61"/>
      <w:bookmarkEnd w:id="62"/>
    </w:p>
    <w:p w14:paraId="705B938B" w14:textId="77777777" w:rsidR="000A2BBB" w:rsidRDefault="000A2BBB" w:rsidP="000A2BBB">
      <w:r w:rsidRPr="002F782C">
        <w:t>Не применяется</w:t>
      </w:r>
      <w:r>
        <w:t>.</w:t>
      </w:r>
      <w:r w:rsidRPr="002F782C">
        <w:t xml:space="preserve"> </w:t>
      </w:r>
    </w:p>
    <w:p w14:paraId="75266C1E" w14:textId="73FEFF47" w:rsidR="009D1DCF" w:rsidRPr="008C2DDE" w:rsidRDefault="009D1DCF" w:rsidP="009D1DCF">
      <w:pPr>
        <w:pStyle w:val="2"/>
        <w:numPr>
          <w:ilvl w:val="1"/>
          <w:numId w:val="22"/>
        </w:numPr>
      </w:pPr>
      <w:bookmarkStart w:id="64" w:name="_Toc26907474"/>
      <w:bookmarkStart w:id="65" w:name="_Toc32479217"/>
      <w:r>
        <w:t>Диагностика на этапе лечения</w:t>
      </w:r>
      <w:bookmarkEnd w:id="64"/>
      <w:bookmarkEnd w:id="65"/>
    </w:p>
    <w:p w14:paraId="7B2E6C4F" w14:textId="4ECAFE67" w:rsidR="009D1DCF" w:rsidRDefault="009D1DCF" w:rsidP="009D1DCF">
      <w:pPr>
        <w:pStyle w:val="aff1"/>
        <w:numPr>
          <w:ilvl w:val="0"/>
          <w:numId w:val="18"/>
        </w:numPr>
        <w:rPr>
          <w:b w:val="0"/>
        </w:rPr>
      </w:pPr>
      <w:r w:rsidRPr="00066987">
        <w:t>Рекомендуется</w:t>
      </w:r>
      <w:r w:rsidRPr="00066987">
        <w:rPr>
          <w:b w:val="0"/>
        </w:rPr>
        <w:t xml:space="preserve"> </w:t>
      </w:r>
      <w:r>
        <w:rPr>
          <w:b w:val="0"/>
        </w:rPr>
        <w:t>пациентам с ФДА, получающим лечение фолиевой кислотой</w:t>
      </w:r>
      <w:r w:rsidR="0067168B">
        <w:rPr>
          <w:b w:val="0"/>
        </w:rPr>
        <w:t>**</w:t>
      </w:r>
      <w:r>
        <w:rPr>
          <w:b w:val="0"/>
        </w:rPr>
        <w:t xml:space="preserve">, проводить контроль эффективности лечения с помощью исследования клинического </w:t>
      </w:r>
      <w:r w:rsidRPr="00066987">
        <w:rPr>
          <w:b w:val="0"/>
        </w:rPr>
        <w:t>анализ</w:t>
      </w:r>
      <w:r>
        <w:rPr>
          <w:b w:val="0"/>
        </w:rPr>
        <w:t>а</w:t>
      </w:r>
      <w:r w:rsidRPr="00066987">
        <w:rPr>
          <w:b w:val="0"/>
        </w:rPr>
        <w:t xml:space="preserve"> крови с подсчетом </w:t>
      </w:r>
      <w:proofErr w:type="spellStart"/>
      <w:r w:rsidRPr="00066987">
        <w:rPr>
          <w:b w:val="0"/>
        </w:rPr>
        <w:t>ретикулоцитов</w:t>
      </w:r>
      <w:proofErr w:type="spellEnd"/>
      <w:r>
        <w:rPr>
          <w:b w:val="0"/>
        </w:rPr>
        <w:t xml:space="preserve"> </w:t>
      </w:r>
      <w:r w:rsidRPr="00066987">
        <w:rPr>
          <w:b w:val="0"/>
        </w:rPr>
        <w:t>на 7 - 10 день от начала лечения</w:t>
      </w:r>
      <w:r>
        <w:rPr>
          <w:b w:val="0"/>
        </w:rPr>
        <w:t>, далее - 1 раз в неделю в течение месяца, после достижения ремиссии</w:t>
      </w:r>
      <w:r w:rsidRPr="00E61DEC">
        <w:rPr>
          <w:b w:val="0"/>
        </w:rPr>
        <w:t xml:space="preserve"> </w:t>
      </w:r>
      <w:r>
        <w:rPr>
          <w:b w:val="0"/>
        </w:rPr>
        <w:t xml:space="preserve">- </w:t>
      </w:r>
      <w:r w:rsidRPr="00E61DEC">
        <w:rPr>
          <w:b w:val="0"/>
        </w:rPr>
        <w:t>1 раз в 2 месяца</w:t>
      </w:r>
      <w:r>
        <w:rPr>
          <w:b w:val="0"/>
        </w:rPr>
        <w:t xml:space="preserve"> </w:t>
      </w:r>
      <w:r>
        <w:rPr>
          <w:rFonts w:eastAsia="Times New Roman"/>
          <w:b w:val="0"/>
          <w:lang w:eastAsia="ru-RU"/>
        </w:rPr>
        <w:t>[1-</w:t>
      </w:r>
      <w:r w:rsidRPr="00D77470">
        <w:rPr>
          <w:rFonts w:eastAsia="Times New Roman"/>
          <w:b w:val="0"/>
          <w:lang w:eastAsia="ru-RU"/>
        </w:rPr>
        <w:t>3, 12,14].</w:t>
      </w:r>
    </w:p>
    <w:p w14:paraId="3EFE0C29" w14:textId="329ED52E" w:rsidR="009D1DCF" w:rsidRPr="008249A0" w:rsidRDefault="009D1DCF" w:rsidP="009D1DCF">
      <w:pPr>
        <w:pStyle w:val="afff7"/>
        <w:numPr>
          <w:ilvl w:val="0"/>
          <w:numId w:val="0"/>
        </w:numPr>
        <w:ind w:left="709" w:hanging="1"/>
        <w:rPr>
          <w:b/>
        </w:rPr>
      </w:pPr>
      <w:r w:rsidRPr="00033BB5">
        <w:rPr>
          <w:b/>
        </w:rPr>
        <w:t>Уровень убедительности рекомендаций</w:t>
      </w:r>
      <w:proofErr w:type="gramStart"/>
      <w:r w:rsidRPr="00033BB5">
        <w:rPr>
          <w:b/>
        </w:rPr>
        <w:t xml:space="preserve"> С</w:t>
      </w:r>
      <w:proofErr w:type="gramEnd"/>
      <w:r w:rsidRPr="00033BB5">
        <w:rPr>
          <w:b/>
        </w:rPr>
        <w:t xml:space="preserve"> (уровень</w:t>
      </w:r>
      <w:r w:rsidR="002A14F1">
        <w:rPr>
          <w:b/>
        </w:rPr>
        <w:t xml:space="preserve"> достоверности доказательств – 5</w:t>
      </w:r>
      <w:r w:rsidRPr="00033BB5">
        <w:rPr>
          <w:b/>
        </w:rPr>
        <w:t>)</w:t>
      </w:r>
    </w:p>
    <w:p w14:paraId="3325454E" w14:textId="5C8E873D" w:rsidR="009D1DCF" w:rsidRPr="0064034B" w:rsidRDefault="009D1DCF" w:rsidP="009D1DCF">
      <w:pPr>
        <w:pStyle w:val="aff1"/>
        <w:ind w:left="0"/>
        <w:rPr>
          <w:rFonts w:eastAsia="Times New Roman"/>
          <w:i/>
          <w:lang w:eastAsia="ru-RU"/>
        </w:rPr>
      </w:pPr>
      <w:r>
        <w:t xml:space="preserve">            </w:t>
      </w:r>
      <w:r w:rsidRPr="00EE59C2">
        <w:t>Комментарии</w:t>
      </w:r>
      <w:r w:rsidRPr="001D40F8">
        <w:t>:</w:t>
      </w:r>
      <w:r>
        <w:t xml:space="preserve"> </w:t>
      </w:r>
      <w:r>
        <w:rPr>
          <w:b w:val="0"/>
          <w:i/>
        </w:rPr>
        <w:t xml:space="preserve">наличие </w:t>
      </w:r>
      <w:proofErr w:type="spellStart"/>
      <w:r>
        <w:rPr>
          <w:b w:val="0"/>
          <w:i/>
        </w:rPr>
        <w:t>ретикулоцитарного</w:t>
      </w:r>
      <w:proofErr w:type="spellEnd"/>
      <w:r>
        <w:rPr>
          <w:b w:val="0"/>
          <w:i/>
        </w:rPr>
        <w:t xml:space="preserve"> криза</w:t>
      </w:r>
      <w:r w:rsidRPr="008D653D">
        <w:rPr>
          <w:b w:val="0"/>
          <w:i/>
        </w:rPr>
        <w:t xml:space="preserve"> </w:t>
      </w:r>
      <w:r>
        <w:rPr>
          <w:b w:val="0"/>
          <w:i/>
        </w:rPr>
        <w:t>на 7-10 день лечения лекарственными препаратами фолиевой кислоты</w:t>
      </w:r>
      <w:r w:rsidR="0067168B">
        <w:rPr>
          <w:b w:val="0"/>
          <w:i/>
        </w:rPr>
        <w:t>**</w:t>
      </w:r>
      <w:r>
        <w:rPr>
          <w:b w:val="0"/>
          <w:i/>
        </w:rPr>
        <w:t xml:space="preserve"> является важным критерием</w:t>
      </w:r>
      <w:r w:rsidRPr="008D653D">
        <w:rPr>
          <w:b w:val="0"/>
          <w:i/>
        </w:rPr>
        <w:t xml:space="preserve"> </w:t>
      </w:r>
      <w:r>
        <w:rPr>
          <w:b w:val="0"/>
          <w:i/>
        </w:rPr>
        <w:t>эффективности</w:t>
      </w:r>
      <w:r w:rsidRPr="008D653D">
        <w:rPr>
          <w:b w:val="0"/>
          <w:i/>
        </w:rPr>
        <w:t xml:space="preserve"> </w:t>
      </w:r>
      <w:r>
        <w:rPr>
          <w:b w:val="0"/>
          <w:i/>
        </w:rPr>
        <w:t>лечения ФДА</w:t>
      </w:r>
      <w:r w:rsidRPr="008D653D">
        <w:rPr>
          <w:b w:val="0"/>
          <w:i/>
        </w:rPr>
        <w:t>.</w:t>
      </w:r>
      <w:r w:rsidRPr="00617A17">
        <w:rPr>
          <w:b w:val="0"/>
          <w:i/>
        </w:rPr>
        <w:t xml:space="preserve"> </w:t>
      </w:r>
      <w:r>
        <w:rPr>
          <w:b w:val="0"/>
          <w:i/>
        </w:rPr>
        <w:t>Однако данный</w:t>
      </w:r>
      <w:r>
        <w:rPr>
          <w:rFonts w:eastAsia="Times New Roman"/>
          <w:b w:val="0"/>
          <w:i/>
          <w:lang w:eastAsia="ru-RU"/>
        </w:rPr>
        <w:t xml:space="preserve"> феномен </w:t>
      </w:r>
      <w:r w:rsidRPr="0064034B">
        <w:rPr>
          <w:rFonts w:eastAsia="Times New Roman"/>
          <w:b w:val="0"/>
          <w:i/>
          <w:lang w:eastAsia="ru-RU"/>
        </w:rPr>
        <w:t xml:space="preserve">выражен гораздо слабее, чем при </w:t>
      </w:r>
      <w:r>
        <w:rPr>
          <w:rFonts w:eastAsia="Times New Roman"/>
          <w:b w:val="0"/>
          <w:i/>
          <w:lang w:eastAsia="ru-RU"/>
        </w:rPr>
        <w:t>лечении</w:t>
      </w:r>
      <w:r w:rsidRPr="0064034B">
        <w:rPr>
          <w:rFonts w:eastAsia="Times New Roman"/>
          <w:b w:val="0"/>
          <w:i/>
          <w:lang w:eastAsia="ru-RU"/>
        </w:rPr>
        <w:t xml:space="preserve"> В12-дефицитной анемии</w:t>
      </w:r>
      <w:r w:rsidRPr="0064034B">
        <w:rPr>
          <w:rFonts w:eastAsia="Times New Roman"/>
          <w:i/>
          <w:lang w:eastAsia="ru-RU"/>
        </w:rPr>
        <w:t>.</w:t>
      </w:r>
    </w:p>
    <w:p w14:paraId="37E094F5" w14:textId="3ADAFB7C" w:rsidR="009D1DCF" w:rsidRPr="0036646D" w:rsidRDefault="009D1DCF" w:rsidP="009D1DCF">
      <w:pPr>
        <w:pStyle w:val="aff1"/>
        <w:ind w:left="0" w:firstLine="709"/>
        <w:rPr>
          <w:b w:val="0"/>
          <w:i/>
        </w:rPr>
      </w:pPr>
      <w:r w:rsidRPr="0064034B">
        <w:rPr>
          <w:rFonts w:eastAsia="Times New Roman"/>
          <w:b w:val="0"/>
          <w:i/>
          <w:lang w:eastAsia="ru-RU"/>
        </w:rPr>
        <w:t>Призн</w:t>
      </w:r>
      <w:r w:rsidR="00452FED">
        <w:rPr>
          <w:rFonts w:eastAsia="Times New Roman"/>
          <w:b w:val="0"/>
          <w:i/>
          <w:lang w:eastAsia="ru-RU"/>
        </w:rPr>
        <w:t>аки улучшения состояния пациента</w:t>
      </w:r>
      <w:r w:rsidRPr="0064034B">
        <w:rPr>
          <w:rFonts w:eastAsia="Times New Roman"/>
          <w:b w:val="0"/>
          <w:i/>
          <w:lang w:eastAsia="ru-RU"/>
        </w:rPr>
        <w:t xml:space="preserve">, уменьшение «анемических» жалоб, появляются после первой недели приема препарата, а повышение уровня гемоглобина </w:t>
      </w:r>
      <w:r>
        <w:rPr>
          <w:rFonts w:eastAsia="Times New Roman"/>
          <w:b w:val="0"/>
          <w:i/>
          <w:lang w:eastAsia="ru-RU"/>
        </w:rPr>
        <w:t>начинается через 10</w:t>
      </w:r>
      <w:r w:rsidRPr="0064034B">
        <w:rPr>
          <w:rFonts w:eastAsia="Times New Roman"/>
          <w:b w:val="0"/>
          <w:i/>
          <w:lang w:eastAsia="ru-RU"/>
        </w:rPr>
        <w:t xml:space="preserve">-12 дней. </w:t>
      </w:r>
      <w:r w:rsidR="00B17250">
        <w:rPr>
          <w:b w:val="0"/>
          <w:i/>
        </w:rPr>
        <w:t xml:space="preserve">Нормализация </w:t>
      </w:r>
      <w:r w:rsidR="00A14329">
        <w:rPr>
          <w:b w:val="0"/>
          <w:i/>
        </w:rPr>
        <w:t>гемоглобина</w:t>
      </w:r>
      <w:r w:rsidRPr="008D653D">
        <w:rPr>
          <w:b w:val="0"/>
          <w:i/>
        </w:rPr>
        <w:t xml:space="preserve"> </w:t>
      </w:r>
      <w:r>
        <w:rPr>
          <w:b w:val="0"/>
          <w:i/>
        </w:rPr>
        <w:t>наблюдается, как правило, через 4-</w:t>
      </w:r>
      <w:r w:rsidRPr="008D653D">
        <w:rPr>
          <w:b w:val="0"/>
          <w:i/>
        </w:rPr>
        <w:t>6 недель от начала лечения</w:t>
      </w:r>
      <w:r>
        <w:rPr>
          <w:b w:val="0"/>
          <w:i/>
        </w:rPr>
        <w:t xml:space="preserve"> </w:t>
      </w:r>
      <w:r w:rsidRPr="008D653D">
        <w:rPr>
          <w:b w:val="0"/>
          <w:i/>
        </w:rPr>
        <w:t xml:space="preserve">и является </w:t>
      </w:r>
      <w:r>
        <w:rPr>
          <w:b w:val="0"/>
          <w:i/>
        </w:rPr>
        <w:t>окончательным</w:t>
      </w:r>
      <w:r w:rsidRPr="008D653D">
        <w:rPr>
          <w:b w:val="0"/>
          <w:i/>
        </w:rPr>
        <w:t xml:space="preserve"> подтверждением правильности диагноза</w:t>
      </w:r>
      <w:r w:rsidRPr="00B15307">
        <w:rPr>
          <w:b w:val="0"/>
          <w:i/>
        </w:rPr>
        <w:t>.</w:t>
      </w:r>
    </w:p>
    <w:p w14:paraId="3DBF49C1" w14:textId="76EC53AE" w:rsidR="009D1DCF" w:rsidRPr="007D6E2C" w:rsidRDefault="0067168B" w:rsidP="007D6E2C">
      <w:pPr>
        <w:pStyle w:val="aff1"/>
        <w:ind w:left="0"/>
        <w:rPr>
          <w:rFonts w:eastAsia="Times New Roman"/>
          <w:b w:val="0"/>
          <w:i/>
          <w:lang w:eastAsia="ru-RU"/>
        </w:rPr>
      </w:pPr>
      <w:r>
        <w:rPr>
          <w:rFonts w:eastAsia="Times New Roman"/>
          <w:b w:val="0"/>
          <w:i/>
          <w:lang w:eastAsia="ru-RU"/>
        </w:rPr>
        <w:t xml:space="preserve">            </w:t>
      </w:r>
      <w:r w:rsidR="009D1DCF">
        <w:rPr>
          <w:rFonts w:eastAsia="Times New Roman"/>
          <w:b w:val="0"/>
          <w:i/>
          <w:lang w:eastAsia="ru-RU"/>
        </w:rPr>
        <w:t>Эффективность</w:t>
      </w:r>
      <w:r w:rsidR="009D1DCF" w:rsidRPr="0064034B">
        <w:rPr>
          <w:rFonts w:eastAsia="Times New Roman"/>
          <w:b w:val="0"/>
          <w:i/>
          <w:lang w:eastAsia="ru-RU"/>
        </w:rPr>
        <w:t xml:space="preserve"> терапии можно </w:t>
      </w:r>
      <w:r w:rsidR="009D1DCF">
        <w:rPr>
          <w:rFonts w:eastAsia="Times New Roman"/>
          <w:b w:val="0"/>
          <w:i/>
          <w:lang w:eastAsia="ru-RU"/>
        </w:rPr>
        <w:t xml:space="preserve">также </w:t>
      </w:r>
      <w:r w:rsidR="009D1DCF" w:rsidRPr="0064034B">
        <w:rPr>
          <w:rFonts w:eastAsia="Times New Roman"/>
          <w:b w:val="0"/>
          <w:i/>
          <w:lang w:eastAsia="ru-RU"/>
        </w:rPr>
        <w:t xml:space="preserve">оценить по нормализации </w:t>
      </w:r>
      <w:r w:rsidR="009D1DCF">
        <w:rPr>
          <w:rFonts w:eastAsia="Times New Roman"/>
          <w:b w:val="0"/>
          <w:i/>
          <w:lang w:eastAsia="ru-RU"/>
        </w:rPr>
        <w:t xml:space="preserve">сывороточных показателей </w:t>
      </w:r>
      <w:proofErr w:type="spellStart"/>
      <w:r w:rsidR="009D1DCF" w:rsidRPr="0064034B">
        <w:rPr>
          <w:rFonts w:eastAsia="Times New Roman"/>
          <w:b w:val="0"/>
          <w:i/>
          <w:lang w:eastAsia="ru-RU"/>
        </w:rPr>
        <w:t>фолатов</w:t>
      </w:r>
      <w:proofErr w:type="spellEnd"/>
      <w:r w:rsidR="009D1DCF">
        <w:rPr>
          <w:rFonts w:eastAsia="Times New Roman"/>
          <w:b w:val="0"/>
          <w:i/>
          <w:lang w:eastAsia="ru-RU"/>
        </w:rPr>
        <w:t>,</w:t>
      </w:r>
      <w:r w:rsidR="009D1DCF" w:rsidRPr="0064034B">
        <w:rPr>
          <w:rFonts w:eastAsia="Times New Roman"/>
          <w:b w:val="0"/>
          <w:i/>
          <w:lang w:eastAsia="ru-RU"/>
        </w:rPr>
        <w:t xml:space="preserve"> ЛДГ, </w:t>
      </w:r>
      <w:r w:rsidR="00833EE7" w:rsidRPr="00833EE7">
        <w:rPr>
          <w:b w:val="0"/>
          <w:i/>
        </w:rPr>
        <w:t>свободного и связанного билирубина</w:t>
      </w:r>
      <w:r w:rsidR="00833EE7">
        <w:t xml:space="preserve">, </w:t>
      </w:r>
      <w:proofErr w:type="spellStart"/>
      <w:r w:rsidR="00CC2142">
        <w:rPr>
          <w:rFonts w:eastAsia="Times New Roman"/>
          <w:b w:val="0"/>
          <w:i/>
          <w:lang w:eastAsia="ru-RU"/>
        </w:rPr>
        <w:t>гомоцистеина</w:t>
      </w:r>
      <w:proofErr w:type="spellEnd"/>
      <w:r w:rsidR="00CC2142" w:rsidRPr="0067168B">
        <w:rPr>
          <w:rFonts w:eastAsia="Times New Roman"/>
          <w:b w:val="0"/>
          <w:i/>
          <w:lang w:eastAsia="ru-RU"/>
        </w:rPr>
        <w:t>.</w:t>
      </w:r>
      <w:r w:rsidR="007D6E2C" w:rsidRPr="0067168B">
        <w:rPr>
          <w:rFonts w:eastAsia="Times New Roman"/>
          <w:b w:val="0"/>
          <w:i/>
          <w:lang w:eastAsia="ru-RU"/>
        </w:rPr>
        <w:t xml:space="preserve"> Дополнительную информацию об эффективности лечения может представить динамика сывороточных показателей обмена железа (снижение или нормализация показателей </w:t>
      </w:r>
      <w:proofErr w:type="spellStart"/>
      <w:r w:rsidR="007D6E2C" w:rsidRPr="0067168B">
        <w:rPr>
          <w:rFonts w:eastAsia="Times New Roman"/>
          <w:b w:val="0"/>
          <w:i/>
          <w:lang w:eastAsia="ru-RU"/>
        </w:rPr>
        <w:t>ферритина</w:t>
      </w:r>
      <w:proofErr w:type="spellEnd"/>
      <w:r w:rsidR="007D6E2C" w:rsidRPr="0067168B">
        <w:rPr>
          <w:rFonts w:eastAsia="Times New Roman"/>
          <w:b w:val="0"/>
          <w:i/>
          <w:lang w:eastAsia="ru-RU"/>
        </w:rPr>
        <w:t xml:space="preserve"> и железа).</w:t>
      </w:r>
    </w:p>
    <w:p w14:paraId="6E7D4747" w14:textId="131614A4" w:rsidR="009D1DCF" w:rsidRDefault="009D1DCF" w:rsidP="009D1DCF">
      <w:pPr>
        <w:rPr>
          <w:rFonts w:eastAsia="Times New Roman"/>
          <w:i/>
          <w:lang w:eastAsia="ru-RU"/>
        </w:rPr>
      </w:pPr>
      <w:r w:rsidRPr="00EA5B0E">
        <w:rPr>
          <w:rFonts w:eastAsia="Times New Roman"/>
          <w:i/>
          <w:lang w:eastAsia="ru-RU"/>
        </w:rPr>
        <w:t xml:space="preserve">Длительность терапии </w:t>
      </w:r>
      <w:r>
        <w:rPr>
          <w:rFonts w:eastAsia="Times New Roman"/>
          <w:i/>
          <w:lang w:eastAsia="ru-RU"/>
        </w:rPr>
        <w:t xml:space="preserve">ФДА </w:t>
      </w:r>
      <w:r w:rsidRPr="00EA5B0E">
        <w:rPr>
          <w:rFonts w:eastAsia="Times New Roman"/>
          <w:i/>
          <w:lang w:eastAsia="ru-RU"/>
        </w:rPr>
        <w:t>определяется причиной</w:t>
      </w:r>
      <w:r w:rsidR="008F2A1C">
        <w:rPr>
          <w:rFonts w:eastAsia="Times New Roman"/>
          <w:i/>
          <w:lang w:eastAsia="ru-RU"/>
        </w:rPr>
        <w:t>,</w:t>
      </w:r>
      <w:r w:rsidRPr="00EA5B0E">
        <w:rPr>
          <w:rFonts w:eastAsia="Times New Roman"/>
          <w:i/>
          <w:lang w:eastAsia="ru-RU"/>
        </w:rPr>
        <w:t xml:space="preserve"> лежащей в основе</w:t>
      </w:r>
      <w:r>
        <w:rPr>
          <w:rFonts w:eastAsia="Times New Roman"/>
          <w:i/>
          <w:lang w:eastAsia="ru-RU"/>
        </w:rPr>
        <w:t xml:space="preserve"> ее развития. Курс лечения длительностью 4 месяца</w:t>
      </w:r>
      <w:r w:rsidRPr="007253E1">
        <w:rPr>
          <w:rFonts w:eastAsia="Times New Roman"/>
          <w:i/>
          <w:lang w:eastAsia="ru-RU"/>
        </w:rPr>
        <w:t xml:space="preserve"> обычно достаточен</w:t>
      </w:r>
      <w:r>
        <w:rPr>
          <w:rFonts w:eastAsia="Times New Roman"/>
          <w:i/>
          <w:lang w:eastAsia="ru-RU"/>
        </w:rPr>
        <w:t xml:space="preserve"> для достижения ремиссии. О</w:t>
      </w:r>
      <w:r w:rsidRPr="007253E1">
        <w:rPr>
          <w:rFonts w:eastAsia="Times New Roman"/>
          <w:i/>
          <w:lang w:eastAsia="ru-RU"/>
        </w:rPr>
        <w:t xml:space="preserve">днако если основная причина дефицита </w:t>
      </w:r>
      <w:proofErr w:type="spellStart"/>
      <w:r w:rsidRPr="007253E1">
        <w:rPr>
          <w:rFonts w:eastAsia="Times New Roman"/>
          <w:i/>
          <w:lang w:eastAsia="ru-RU"/>
        </w:rPr>
        <w:t>фолат</w:t>
      </w:r>
      <w:r>
        <w:rPr>
          <w:rFonts w:eastAsia="Times New Roman"/>
          <w:i/>
          <w:lang w:eastAsia="ru-RU"/>
        </w:rPr>
        <w:t>ов</w:t>
      </w:r>
      <w:proofErr w:type="spellEnd"/>
      <w:r w:rsidRPr="007253E1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t>не устранена, требуется длительный</w:t>
      </w:r>
      <w:r w:rsidRPr="007253E1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t>или постоянный прием фолиевой кислоты</w:t>
      </w:r>
      <w:r w:rsidR="00833EE7">
        <w:rPr>
          <w:rFonts w:eastAsia="Times New Roman"/>
          <w:i/>
          <w:lang w:eastAsia="ru-RU"/>
        </w:rPr>
        <w:t>**</w:t>
      </w:r>
      <w:r>
        <w:rPr>
          <w:rFonts w:eastAsia="Times New Roman"/>
          <w:i/>
          <w:lang w:eastAsia="ru-RU"/>
        </w:rPr>
        <w:t xml:space="preserve"> (</w:t>
      </w:r>
      <w:r w:rsidRPr="00EA5B0E">
        <w:rPr>
          <w:rFonts w:eastAsia="Times New Roman"/>
          <w:i/>
          <w:lang w:eastAsia="ru-RU"/>
        </w:rPr>
        <w:t>2-4 мг</w:t>
      </w:r>
      <w:r>
        <w:rPr>
          <w:rFonts w:eastAsia="Times New Roman"/>
          <w:i/>
          <w:lang w:eastAsia="ru-RU"/>
        </w:rPr>
        <w:t xml:space="preserve"> в сутки), например, при</w:t>
      </w:r>
      <w:r w:rsidRPr="00EA5B0E">
        <w:rPr>
          <w:rFonts w:eastAsia="Times New Roman"/>
          <w:i/>
          <w:lang w:eastAsia="ru-RU"/>
        </w:rPr>
        <w:t xml:space="preserve"> </w:t>
      </w:r>
      <w:r w:rsidRPr="00EA5B0E">
        <w:rPr>
          <w:rFonts w:eastAsia="Times New Roman"/>
          <w:i/>
          <w:lang w:eastAsia="ru-RU"/>
        </w:rPr>
        <w:lastRenderedPageBreak/>
        <w:t>наследственных гемолитических анемия</w:t>
      </w:r>
      <w:r>
        <w:rPr>
          <w:rFonts w:eastAsia="Times New Roman"/>
          <w:i/>
          <w:lang w:eastAsia="ru-RU"/>
        </w:rPr>
        <w:t>х</w:t>
      </w:r>
      <w:r w:rsidRPr="00EA5B0E">
        <w:rPr>
          <w:rFonts w:eastAsia="Times New Roman"/>
          <w:i/>
          <w:lang w:eastAsia="ru-RU"/>
        </w:rPr>
        <w:t xml:space="preserve"> или </w:t>
      </w:r>
      <w:r>
        <w:rPr>
          <w:rFonts w:eastAsia="Times New Roman"/>
          <w:i/>
          <w:lang w:eastAsia="ru-RU"/>
        </w:rPr>
        <w:t xml:space="preserve">врожденной </w:t>
      </w:r>
      <w:proofErr w:type="spellStart"/>
      <w:r w:rsidRPr="00EA5B0E">
        <w:rPr>
          <w:rFonts w:eastAsia="Times New Roman"/>
          <w:i/>
          <w:lang w:eastAsia="ru-RU"/>
        </w:rPr>
        <w:t>гипергомоцистеинемии</w:t>
      </w:r>
      <w:proofErr w:type="spellEnd"/>
      <w:r w:rsidRPr="00EA5B0E">
        <w:rPr>
          <w:rFonts w:eastAsia="Times New Roman"/>
          <w:i/>
          <w:lang w:eastAsia="ru-RU"/>
        </w:rPr>
        <w:t xml:space="preserve">, </w:t>
      </w:r>
      <w:r>
        <w:rPr>
          <w:rFonts w:eastAsia="Times New Roman"/>
          <w:i/>
          <w:lang w:eastAsia="ru-RU"/>
        </w:rPr>
        <w:t>обусловленной</w:t>
      </w:r>
      <w:r w:rsidRPr="00EA5B0E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t xml:space="preserve">гомозиготной </w:t>
      </w:r>
      <w:r w:rsidRPr="00EA5B0E">
        <w:rPr>
          <w:rFonts w:eastAsia="Times New Roman"/>
          <w:i/>
          <w:lang w:eastAsia="ru-RU"/>
        </w:rPr>
        <w:t>мутацией гена</w:t>
      </w:r>
      <w:r>
        <w:rPr>
          <w:rFonts w:eastAsia="Times New Roman"/>
          <w:i/>
          <w:lang w:eastAsia="ru-RU"/>
        </w:rPr>
        <w:t xml:space="preserve"> МТГФР</w:t>
      </w:r>
      <w:r w:rsidRPr="00EA5B0E">
        <w:rPr>
          <w:rFonts w:eastAsia="Times New Roman"/>
          <w:i/>
          <w:lang w:eastAsia="ru-RU"/>
        </w:rPr>
        <w:t>.</w:t>
      </w:r>
    </w:p>
    <w:p w14:paraId="0A1C2790" w14:textId="33F8985F" w:rsidR="009D1DCF" w:rsidRPr="009D1DCF" w:rsidRDefault="009D1DCF" w:rsidP="009D1DCF">
      <w:pPr>
        <w:rPr>
          <w:rFonts w:eastAsia="Times New Roman"/>
          <w:i/>
          <w:lang w:eastAsia="ru-RU"/>
        </w:rPr>
      </w:pPr>
      <w:r w:rsidRPr="001D51D4">
        <w:rPr>
          <w:rFonts w:eastAsia="Times New Roman"/>
          <w:i/>
          <w:lang w:eastAsia="ru-RU"/>
        </w:rPr>
        <w:t xml:space="preserve">При </w:t>
      </w:r>
      <w:r>
        <w:rPr>
          <w:rFonts w:eastAsia="Times New Roman"/>
          <w:i/>
          <w:lang w:eastAsia="ru-RU"/>
        </w:rPr>
        <w:t xml:space="preserve">сочетании дефицита </w:t>
      </w:r>
      <w:r w:rsidR="00833EE7">
        <w:rPr>
          <w:rFonts w:eastAsia="Times New Roman"/>
          <w:i/>
          <w:lang w:eastAsia="ru-RU"/>
        </w:rPr>
        <w:t>Витами</w:t>
      </w:r>
      <w:r w:rsidR="008F2A1C">
        <w:rPr>
          <w:rFonts w:eastAsia="Times New Roman"/>
          <w:i/>
          <w:lang w:eastAsia="ru-RU"/>
        </w:rPr>
        <w:t>на</w:t>
      </w:r>
      <w:r w:rsidR="00833EE7">
        <w:rPr>
          <w:rFonts w:eastAsia="Times New Roman"/>
          <w:i/>
          <w:lang w:eastAsia="ru-RU"/>
        </w:rPr>
        <w:t xml:space="preserve"> В</w:t>
      </w:r>
      <w:proofErr w:type="gramStart"/>
      <w:r w:rsidR="00833EE7">
        <w:rPr>
          <w:rFonts w:eastAsia="Times New Roman"/>
          <w:i/>
          <w:lang w:eastAsia="ru-RU"/>
        </w:rPr>
        <w:t>9</w:t>
      </w:r>
      <w:proofErr w:type="gramEnd"/>
      <w:r w:rsidR="00833EE7">
        <w:rPr>
          <w:rFonts w:eastAsia="Times New Roman"/>
          <w:i/>
          <w:lang w:eastAsia="ru-RU"/>
        </w:rPr>
        <w:t xml:space="preserve"> </w:t>
      </w:r>
      <w:r w:rsidRPr="00E200C0">
        <w:rPr>
          <w:rFonts w:eastAsia="Times New Roman"/>
          <w:i/>
          <w:lang w:eastAsia="ru-RU"/>
        </w:rPr>
        <w:t xml:space="preserve"> </w:t>
      </w:r>
      <w:r w:rsidR="00833EE7">
        <w:rPr>
          <w:rFonts w:eastAsia="Times New Roman"/>
          <w:i/>
          <w:lang w:eastAsia="ru-RU"/>
        </w:rPr>
        <w:t xml:space="preserve">(фолиевая кислота**) </w:t>
      </w:r>
      <w:r>
        <w:rPr>
          <w:rFonts w:eastAsia="Times New Roman"/>
          <w:i/>
          <w:lang w:eastAsia="ru-RU"/>
        </w:rPr>
        <w:t>с дефицитом витамина В12</w:t>
      </w:r>
      <w:r w:rsidR="00833EE7">
        <w:rPr>
          <w:rFonts w:eastAsia="Times New Roman"/>
          <w:i/>
          <w:lang w:eastAsia="ru-RU"/>
        </w:rPr>
        <w:t xml:space="preserve"> (</w:t>
      </w:r>
      <w:proofErr w:type="spellStart"/>
      <w:r w:rsidR="00833EE7">
        <w:rPr>
          <w:rFonts w:eastAsia="Times New Roman"/>
          <w:i/>
          <w:lang w:eastAsia="ru-RU"/>
        </w:rPr>
        <w:t>цианокобаламин</w:t>
      </w:r>
      <w:proofErr w:type="spellEnd"/>
      <w:r w:rsidR="00833EE7">
        <w:rPr>
          <w:rFonts w:eastAsia="Times New Roman"/>
          <w:i/>
          <w:lang w:eastAsia="ru-RU"/>
        </w:rPr>
        <w:t>**)</w:t>
      </w:r>
      <w:r>
        <w:rPr>
          <w:rFonts w:eastAsia="Times New Roman"/>
          <w:i/>
          <w:lang w:eastAsia="ru-RU"/>
        </w:rPr>
        <w:t xml:space="preserve"> </w:t>
      </w:r>
      <w:r w:rsidRPr="001D51D4">
        <w:rPr>
          <w:rFonts w:eastAsia="Times New Roman"/>
          <w:i/>
          <w:lang w:eastAsia="ru-RU"/>
        </w:rPr>
        <w:t>лечение следует начинать с</w:t>
      </w:r>
      <w:r>
        <w:rPr>
          <w:rFonts w:eastAsia="Times New Roman"/>
          <w:i/>
          <w:lang w:eastAsia="ru-RU"/>
        </w:rPr>
        <w:t xml:space="preserve"> назначения лекарственных препаратов витамина В12, далее присоединяют препараты фолиевой кислоты</w:t>
      </w:r>
      <w:r w:rsidR="00833EE7">
        <w:rPr>
          <w:rFonts w:eastAsia="Times New Roman"/>
          <w:i/>
          <w:lang w:eastAsia="ru-RU"/>
        </w:rPr>
        <w:t>**.</w:t>
      </w:r>
      <w:r>
        <w:rPr>
          <w:rFonts w:eastAsia="Times New Roman"/>
          <w:i/>
          <w:lang w:eastAsia="ru-RU"/>
        </w:rPr>
        <w:t xml:space="preserve"> </w:t>
      </w:r>
    </w:p>
    <w:p w14:paraId="04381BEF" w14:textId="1B6489BF" w:rsidR="000A2BBB" w:rsidRPr="00833EE7" w:rsidRDefault="000A2BBB" w:rsidP="000A2BBB">
      <w:pPr>
        <w:pStyle w:val="2"/>
      </w:pPr>
      <w:bookmarkStart w:id="66" w:name="_Toc16510481"/>
      <w:bookmarkStart w:id="67" w:name="_Toc32479218"/>
      <w:r w:rsidRPr="00833EE7">
        <w:t>3.</w:t>
      </w:r>
      <w:r w:rsidR="009D1DCF" w:rsidRPr="00833EE7">
        <w:t>4</w:t>
      </w:r>
      <w:proofErr w:type="gramStart"/>
      <w:r w:rsidRPr="00833EE7">
        <w:t xml:space="preserve"> И</w:t>
      </w:r>
      <w:proofErr w:type="gramEnd"/>
      <w:r w:rsidRPr="00833EE7">
        <w:t>ное лечение</w:t>
      </w:r>
      <w:bookmarkEnd w:id="66"/>
      <w:bookmarkEnd w:id="67"/>
    </w:p>
    <w:p w14:paraId="47467A09" w14:textId="357C0106" w:rsidR="00795AA9" w:rsidRPr="00B104EF" w:rsidRDefault="000A2BBB" w:rsidP="009D1DCF">
      <w:r>
        <w:t>Обезболивани</w:t>
      </w:r>
      <w:r w:rsidR="009D1DCF">
        <w:t>е и диетотерапия не применяется.</w:t>
      </w:r>
    </w:p>
    <w:p w14:paraId="6A54D229" w14:textId="77777777" w:rsidR="001E0291" w:rsidRDefault="000A2BBB" w:rsidP="000A2BBB">
      <w:pPr>
        <w:pStyle w:val="CustomContentNormal"/>
      </w:pPr>
      <w:bookmarkStart w:id="68" w:name="_Toc22645530"/>
      <w:bookmarkStart w:id="69" w:name="_Toc32479219"/>
      <w:bookmarkStart w:id="70" w:name="__RefHeading___doc_5"/>
      <w:bookmarkEnd w:id="63"/>
      <w:r>
        <w:t>4. Медицинская реабилитация, медицинские показания и противопоказания к применению методов реабилитации</w:t>
      </w:r>
      <w:bookmarkEnd w:id="68"/>
      <w:bookmarkEnd w:id="69"/>
    </w:p>
    <w:p w14:paraId="530F6C53" w14:textId="77777777" w:rsidR="001E0291" w:rsidRPr="001D40F8" w:rsidRDefault="008249A0" w:rsidP="000A2BBB">
      <w:pPr>
        <w:rPr>
          <w:lang w:eastAsia="ru-RU"/>
        </w:rPr>
      </w:pPr>
      <w:r w:rsidRPr="008D2C67">
        <w:rPr>
          <w:lang w:eastAsia="ru-RU"/>
        </w:rPr>
        <w:t xml:space="preserve">Специфических реабилитационных мероприятий в отношении пациентов с </w:t>
      </w:r>
      <w:proofErr w:type="spellStart"/>
      <w:r w:rsidRPr="008D2C67">
        <w:rPr>
          <w:lang w:eastAsia="ru-RU"/>
        </w:rPr>
        <w:t>фолиеводефицитной</w:t>
      </w:r>
      <w:proofErr w:type="spellEnd"/>
      <w:r w:rsidRPr="008D2C67">
        <w:rPr>
          <w:lang w:eastAsia="ru-RU"/>
        </w:rPr>
        <w:t xml:space="preserve"> анемией не</w:t>
      </w:r>
      <w:r>
        <w:rPr>
          <w:lang w:eastAsia="ru-RU"/>
        </w:rPr>
        <w:t>т.</w:t>
      </w:r>
    </w:p>
    <w:p w14:paraId="6271EE8C" w14:textId="02462659" w:rsidR="001E0291" w:rsidRPr="009D1DCF" w:rsidRDefault="000A2BBB" w:rsidP="009D1DCF">
      <w:pPr>
        <w:pStyle w:val="CustomContentNormal"/>
        <w:rPr>
          <w:rStyle w:val="afffb"/>
          <w:rFonts w:eastAsia="Sans" w:cstheme="minorBidi"/>
          <w:i w:val="0"/>
          <w:color w:val="auto"/>
          <w:sz w:val="28"/>
          <w:szCs w:val="22"/>
        </w:rPr>
      </w:pPr>
      <w:bookmarkStart w:id="71" w:name="_Toc22645531"/>
      <w:bookmarkStart w:id="72" w:name="_Toc32479220"/>
      <w:bookmarkStart w:id="73" w:name="__RefHeading___doc_6"/>
      <w:bookmarkEnd w:id="70"/>
      <w:r>
        <w:t>5. Профилактика и диспансерное наблюдение, медицинские показания и противопоказания к применению методов профилактики</w:t>
      </w:r>
      <w:bookmarkEnd w:id="71"/>
      <w:bookmarkEnd w:id="72"/>
    </w:p>
    <w:p w14:paraId="7801F074" w14:textId="3E7A2064" w:rsidR="00F90BA0" w:rsidRPr="00F90BA0" w:rsidRDefault="008249A0" w:rsidP="009D1DCF">
      <w:pPr>
        <w:rPr>
          <w:i/>
        </w:rPr>
      </w:pPr>
      <w:r w:rsidRPr="008249A0">
        <w:rPr>
          <w:i/>
          <w:lang w:eastAsia="ru-RU"/>
        </w:rPr>
        <w:t xml:space="preserve">Диспансерное наблюдение пациентов </w:t>
      </w:r>
      <w:r>
        <w:rPr>
          <w:i/>
        </w:rPr>
        <w:t xml:space="preserve">проводится с учетом </w:t>
      </w:r>
      <w:r w:rsidRPr="008249A0">
        <w:rPr>
          <w:i/>
        </w:rPr>
        <w:t>причин развития дефицита фолиевой кислоты (основного заболевания, особенностей питания).</w:t>
      </w:r>
    </w:p>
    <w:p w14:paraId="7D727F9C" w14:textId="77777777" w:rsidR="008249A0" w:rsidRPr="009D1DCF" w:rsidRDefault="001E0291" w:rsidP="009D1DCF">
      <w:pPr>
        <w:pStyle w:val="afd"/>
        <w:numPr>
          <w:ilvl w:val="0"/>
          <w:numId w:val="1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9D1DCF">
        <w:rPr>
          <w:b/>
        </w:rPr>
        <w:t xml:space="preserve">Рекомендуется </w:t>
      </w:r>
      <w:r w:rsidR="008249A0">
        <w:t xml:space="preserve">пациентам с риском развития дефицита </w:t>
      </w:r>
      <w:proofErr w:type="spellStart"/>
      <w:r w:rsidR="008249A0">
        <w:t>фолатов</w:t>
      </w:r>
      <w:proofErr w:type="spellEnd"/>
      <w:r w:rsidR="008249A0">
        <w:t xml:space="preserve"> назначение п</w:t>
      </w:r>
      <w:r w:rsidR="008249A0" w:rsidRPr="009D1DCF">
        <w:rPr>
          <w:rFonts w:eastAsia="Times New Roman"/>
          <w:lang w:eastAsia="ru-RU"/>
        </w:rPr>
        <w:t xml:space="preserve">рофилактической терапии фолиевой кислотой; к категории «риска» относятся пациенты </w:t>
      </w:r>
      <w:r w:rsidR="008249A0" w:rsidRPr="007E1D7E">
        <w:t>[</w:t>
      </w:r>
      <w:r w:rsidR="008249A0">
        <w:t>1,2,3, 12,14</w:t>
      </w:r>
      <w:r w:rsidR="008249A0" w:rsidRPr="007E1D7E">
        <w:t>]</w:t>
      </w:r>
      <w:r w:rsidR="008249A0">
        <w:t>:</w:t>
      </w:r>
    </w:p>
    <w:p w14:paraId="2C966C0C" w14:textId="62FA5338" w:rsidR="008249A0" w:rsidRPr="00617A17" w:rsidRDefault="008249A0" w:rsidP="00294DAB">
      <w:pPr>
        <w:pStyle w:val="afd"/>
        <w:numPr>
          <w:ilvl w:val="0"/>
          <w:numId w:val="12"/>
        </w:numPr>
        <w:jc w:val="left"/>
        <w:rPr>
          <w:rFonts w:eastAsia="Times New Roman" w:cs="Times New Roman"/>
          <w:szCs w:val="24"/>
          <w:lang w:eastAsia="ru-RU"/>
        </w:rPr>
      </w:pPr>
      <w:r w:rsidRPr="00617A17">
        <w:rPr>
          <w:rFonts w:eastAsia="Times New Roman" w:cs="Times New Roman"/>
          <w:szCs w:val="24"/>
          <w:lang w:eastAsia="ru-RU"/>
        </w:rPr>
        <w:t>с наследственны</w:t>
      </w:r>
      <w:r>
        <w:rPr>
          <w:rFonts w:eastAsia="Times New Roman" w:cs="Times New Roman"/>
          <w:szCs w:val="24"/>
          <w:lang w:eastAsia="ru-RU"/>
        </w:rPr>
        <w:t>ми</w:t>
      </w:r>
      <w:r w:rsidRPr="00617A17">
        <w:rPr>
          <w:rFonts w:eastAsia="Times New Roman" w:cs="Times New Roman"/>
          <w:szCs w:val="24"/>
          <w:lang w:eastAsia="ru-RU"/>
        </w:rPr>
        <w:t xml:space="preserve"> гемолитическими анемиями</w:t>
      </w:r>
      <w:r w:rsidR="008F2A1C">
        <w:rPr>
          <w:rFonts w:eastAsia="Times New Roman" w:cs="Times New Roman"/>
          <w:szCs w:val="24"/>
          <w:lang w:eastAsia="ru-RU"/>
        </w:rPr>
        <w:t>;</w:t>
      </w:r>
    </w:p>
    <w:p w14:paraId="21BBE340" w14:textId="38577BF6" w:rsidR="008249A0" w:rsidRDefault="008249A0" w:rsidP="00294DAB">
      <w:pPr>
        <w:pStyle w:val="afd"/>
        <w:numPr>
          <w:ilvl w:val="0"/>
          <w:numId w:val="12"/>
        </w:numPr>
        <w:jc w:val="left"/>
        <w:rPr>
          <w:rFonts w:eastAsia="Times New Roman" w:cs="Times New Roman"/>
          <w:szCs w:val="24"/>
          <w:lang w:eastAsia="ru-RU"/>
        </w:rPr>
      </w:pPr>
      <w:r w:rsidRPr="00617A17">
        <w:rPr>
          <w:rFonts w:eastAsia="Times New Roman" w:cs="Times New Roman"/>
          <w:szCs w:val="24"/>
          <w:lang w:eastAsia="ru-RU"/>
        </w:rPr>
        <w:t>с синдромом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17A17">
        <w:rPr>
          <w:rFonts w:eastAsia="Times New Roman" w:cs="Times New Roman"/>
          <w:szCs w:val="24"/>
          <w:lang w:eastAsia="ru-RU"/>
        </w:rPr>
        <w:t>мальабсорбции</w:t>
      </w:r>
      <w:proofErr w:type="spellEnd"/>
      <w:r w:rsidRPr="00617A17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617A17">
        <w:rPr>
          <w:rFonts w:eastAsia="Times New Roman" w:cs="Times New Roman"/>
          <w:szCs w:val="24"/>
          <w:lang w:eastAsia="ru-RU"/>
        </w:rPr>
        <w:t>целиакия</w:t>
      </w:r>
      <w:proofErr w:type="spellEnd"/>
      <w:r w:rsidRPr="00617A17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617A17">
        <w:rPr>
          <w:rFonts w:eastAsia="Times New Roman" w:cs="Times New Roman"/>
          <w:szCs w:val="24"/>
          <w:lang w:eastAsia="ru-RU"/>
        </w:rPr>
        <w:t>хроническими</w:t>
      </w:r>
      <w:proofErr w:type="gramEnd"/>
      <w:r w:rsidRPr="00617A17">
        <w:rPr>
          <w:rFonts w:eastAsia="Times New Roman" w:cs="Times New Roman"/>
          <w:szCs w:val="24"/>
          <w:lang w:eastAsia="ru-RU"/>
        </w:rPr>
        <w:t xml:space="preserve"> воспалительные заболевания кишечника)</w:t>
      </w:r>
      <w:r w:rsidR="008F2A1C">
        <w:rPr>
          <w:rFonts w:eastAsia="Times New Roman" w:cs="Times New Roman"/>
          <w:szCs w:val="24"/>
          <w:lang w:eastAsia="ru-RU"/>
        </w:rPr>
        <w:t>;</w:t>
      </w:r>
    </w:p>
    <w:p w14:paraId="4009CE64" w14:textId="0F3B666F" w:rsidR="008249A0" w:rsidRDefault="008249A0" w:rsidP="00294DAB">
      <w:pPr>
        <w:pStyle w:val="afd"/>
        <w:numPr>
          <w:ilvl w:val="0"/>
          <w:numId w:val="12"/>
        </w:numPr>
        <w:jc w:val="left"/>
        <w:rPr>
          <w:rFonts w:eastAsia="Times New Roman" w:cs="Times New Roman"/>
          <w:szCs w:val="24"/>
          <w:lang w:eastAsia="ru-RU"/>
        </w:rPr>
      </w:pPr>
      <w:r w:rsidRPr="00734818">
        <w:rPr>
          <w:rFonts w:eastAsia="Times New Roman" w:cs="Times New Roman"/>
          <w:szCs w:val="24"/>
          <w:lang w:eastAsia="ru-RU"/>
        </w:rPr>
        <w:t xml:space="preserve">с </w:t>
      </w:r>
      <w:proofErr w:type="spellStart"/>
      <w:r w:rsidRPr="00FB199F">
        <w:rPr>
          <w:rFonts w:eastAsia="Times New Roman" w:cs="Times New Roman"/>
          <w:szCs w:val="24"/>
          <w:lang w:eastAsia="ru-RU"/>
        </w:rPr>
        <w:t>гипергомоцистеинемией</w:t>
      </w:r>
      <w:proofErr w:type="spellEnd"/>
      <w:r w:rsidRPr="00FB199F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FB199F">
        <w:rPr>
          <w:rFonts w:eastAsia="Times New Roman" w:cs="Times New Roman"/>
          <w:szCs w:val="24"/>
          <w:lang w:eastAsia="ru-RU"/>
        </w:rPr>
        <w:t>ассоциированной</w:t>
      </w:r>
      <w:proofErr w:type="gramEnd"/>
      <w:r w:rsidRPr="00FB199F">
        <w:rPr>
          <w:rFonts w:eastAsia="Times New Roman" w:cs="Times New Roman"/>
          <w:szCs w:val="24"/>
          <w:lang w:eastAsia="ru-RU"/>
        </w:rPr>
        <w:t xml:space="preserve"> с </w:t>
      </w:r>
      <w:r w:rsidR="00FB199F" w:rsidRPr="00FB199F">
        <w:rPr>
          <w:i/>
        </w:rPr>
        <w:t xml:space="preserve">мутациями генов </w:t>
      </w:r>
      <w:proofErr w:type="spellStart"/>
      <w:r w:rsidR="00FB199F" w:rsidRPr="00FB199F">
        <w:rPr>
          <w:i/>
        </w:rPr>
        <w:t>фолатного</w:t>
      </w:r>
      <w:proofErr w:type="spellEnd"/>
      <w:r w:rsidR="00FB199F" w:rsidRPr="00FB199F">
        <w:rPr>
          <w:i/>
        </w:rPr>
        <w:t xml:space="preserve"> цикла (кодирующих фермент </w:t>
      </w:r>
      <w:proofErr w:type="spellStart"/>
      <w:r w:rsidR="00FB199F" w:rsidRPr="00FB199F">
        <w:rPr>
          <w:i/>
        </w:rPr>
        <w:t>метилентатрагидрофолатредуктазу</w:t>
      </w:r>
      <w:proofErr w:type="spellEnd"/>
      <w:r w:rsidR="00FB199F" w:rsidRPr="00FB199F">
        <w:rPr>
          <w:i/>
        </w:rPr>
        <w:t xml:space="preserve"> (МТГФР), метионин-</w:t>
      </w:r>
      <w:proofErr w:type="spellStart"/>
      <w:r w:rsidR="00FB199F" w:rsidRPr="00FB199F">
        <w:rPr>
          <w:i/>
        </w:rPr>
        <w:t>синтазу</w:t>
      </w:r>
      <w:proofErr w:type="spellEnd"/>
      <w:r w:rsidR="00FB199F" w:rsidRPr="00FB199F">
        <w:rPr>
          <w:i/>
        </w:rPr>
        <w:t xml:space="preserve"> (</w:t>
      </w:r>
      <w:r w:rsidR="00FB199F" w:rsidRPr="00FB199F">
        <w:rPr>
          <w:i/>
          <w:lang w:val="en-US"/>
        </w:rPr>
        <w:t>MTR</w:t>
      </w:r>
      <w:r w:rsidR="00FB199F" w:rsidRPr="00FB199F">
        <w:rPr>
          <w:i/>
        </w:rPr>
        <w:t>), метионин-</w:t>
      </w:r>
      <w:proofErr w:type="spellStart"/>
      <w:r w:rsidR="00FB199F" w:rsidRPr="00FB199F">
        <w:rPr>
          <w:i/>
        </w:rPr>
        <w:t>синтазу</w:t>
      </w:r>
      <w:proofErr w:type="spellEnd"/>
      <w:r w:rsidR="00FB199F" w:rsidRPr="00FB199F">
        <w:rPr>
          <w:i/>
        </w:rPr>
        <w:t>-</w:t>
      </w:r>
      <w:proofErr w:type="spellStart"/>
      <w:r w:rsidR="00FB199F" w:rsidRPr="00FB199F">
        <w:rPr>
          <w:i/>
        </w:rPr>
        <w:t>редуктазу</w:t>
      </w:r>
      <w:proofErr w:type="spellEnd"/>
      <w:r w:rsidR="00FB199F" w:rsidRPr="00FB199F">
        <w:rPr>
          <w:i/>
        </w:rPr>
        <w:t xml:space="preserve"> (</w:t>
      </w:r>
      <w:r w:rsidR="00FB199F" w:rsidRPr="00FB199F">
        <w:rPr>
          <w:i/>
          <w:lang w:val="en-US"/>
        </w:rPr>
        <w:t>MTRR</w:t>
      </w:r>
      <w:r w:rsidR="00FB199F" w:rsidRPr="00FB199F">
        <w:rPr>
          <w:i/>
        </w:rPr>
        <w:t>)</w:t>
      </w:r>
      <w:r w:rsidR="008F2A1C">
        <w:rPr>
          <w:i/>
        </w:rPr>
        <w:t>;</w:t>
      </w:r>
    </w:p>
    <w:p w14:paraId="533F9863" w14:textId="74D57089" w:rsidR="008249A0" w:rsidRPr="00617A17" w:rsidRDefault="008249A0" w:rsidP="00294DAB">
      <w:pPr>
        <w:pStyle w:val="afd"/>
        <w:numPr>
          <w:ilvl w:val="0"/>
          <w:numId w:val="12"/>
        </w:numPr>
        <w:jc w:val="left"/>
        <w:rPr>
          <w:rFonts w:eastAsia="Times New Roman" w:cs="Times New Roman"/>
          <w:szCs w:val="24"/>
          <w:lang w:eastAsia="ru-RU"/>
        </w:rPr>
      </w:pPr>
      <w:proofErr w:type="gramStart"/>
      <w:r w:rsidRPr="00617A17">
        <w:rPr>
          <w:rFonts w:eastAsia="Times New Roman" w:cs="Times New Roman"/>
          <w:szCs w:val="24"/>
          <w:lang w:eastAsia="ru-RU"/>
        </w:rPr>
        <w:t>на</w:t>
      </w:r>
      <w:r>
        <w:rPr>
          <w:rFonts w:eastAsia="Times New Roman" w:cs="Times New Roman"/>
          <w:szCs w:val="24"/>
          <w:lang w:eastAsia="ru-RU"/>
        </w:rPr>
        <w:t>ходящиеся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на программном</w:t>
      </w:r>
      <w:r w:rsidRPr="00617A17">
        <w:rPr>
          <w:rFonts w:eastAsia="Times New Roman" w:cs="Times New Roman"/>
          <w:szCs w:val="24"/>
          <w:lang w:eastAsia="ru-RU"/>
        </w:rPr>
        <w:t xml:space="preserve"> гемодиализе</w:t>
      </w:r>
      <w:r w:rsidR="008F2A1C">
        <w:rPr>
          <w:rFonts w:eastAsia="Times New Roman" w:cs="Times New Roman"/>
          <w:szCs w:val="24"/>
          <w:lang w:eastAsia="ru-RU"/>
        </w:rPr>
        <w:t>;</w:t>
      </w:r>
    </w:p>
    <w:p w14:paraId="49C5E16F" w14:textId="3B4B2B29" w:rsidR="008249A0" w:rsidRPr="009D1DCF" w:rsidRDefault="008249A0" w:rsidP="00294DAB">
      <w:pPr>
        <w:pStyle w:val="afd"/>
        <w:numPr>
          <w:ilvl w:val="0"/>
          <w:numId w:val="12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получающие лечение препаратами-</w:t>
      </w:r>
      <w:r w:rsidRPr="008D2C67">
        <w:rPr>
          <w:rFonts w:cs="Times New Roman"/>
        </w:rPr>
        <w:t>антагонист</w:t>
      </w:r>
      <w:r>
        <w:rPr>
          <w:rFonts w:cs="Times New Roman"/>
        </w:rPr>
        <w:t>ами</w:t>
      </w:r>
      <w:r w:rsidRPr="008D2C67">
        <w:rPr>
          <w:rFonts w:cs="Times New Roman"/>
        </w:rPr>
        <w:t xml:space="preserve"> фолиевой кислоты</w:t>
      </w:r>
      <w:r w:rsidR="008F2A1C">
        <w:rPr>
          <w:rFonts w:cs="Times New Roman"/>
        </w:rPr>
        <w:t>.</w:t>
      </w:r>
    </w:p>
    <w:p w14:paraId="1181DC25" w14:textId="1B2EA6CA" w:rsidR="009D1DCF" w:rsidRPr="006F7C14" w:rsidRDefault="00833EE7" w:rsidP="006F7C14">
      <w:pPr>
        <w:ind w:left="36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9D1DCF" w:rsidRPr="009D1DCF">
        <w:rPr>
          <w:rFonts w:eastAsia="Times New Roman"/>
          <w:lang w:eastAsia="ru-RU"/>
        </w:rPr>
        <w:t>В детской практике фолиевая кислота</w:t>
      </w:r>
      <w:r>
        <w:rPr>
          <w:rFonts w:eastAsia="Times New Roman"/>
          <w:lang w:eastAsia="ru-RU"/>
        </w:rPr>
        <w:t>**</w:t>
      </w:r>
      <w:r w:rsidR="009D1DCF" w:rsidRPr="009D1DCF">
        <w:rPr>
          <w:rFonts w:eastAsia="Times New Roman"/>
          <w:lang w:eastAsia="ru-RU"/>
        </w:rPr>
        <w:t xml:space="preserve"> (в дозе 0,25-1,0 мг/сутки) назначается недоношенным детям, детям с низкой массой тела при рождении, детям, страдающим хроническими воспалительными заболеваниями и заболеваниями кишечника с синдромом </w:t>
      </w:r>
      <w:proofErr w:type="spellStart"/>
      <w:r w:rsidR="009D1DCF" w:rsidRPr="009D1DCF">
        <w:rPr>
          <w:rFonts w:eastAsia="Times New Roman"/>
          <w:lang w:eastAsia="ru-RU"/>
        </w:rPr>
        <w:t>мальабсорбции</w:t>
      </w:r>
      <w:proofErr w:type="spellEnd"/>
      <w:r w:rsidR="009D1DCF" w:rsidRPr="008B281D">
        <w:rPr>
          <w:rFonts w:eastAsia="Times New Roman"/>
          <w:lang w:eastAsia="ru-RU"/>
        </w:rPr>
        <w:t>.</w:t>
      </w:r>
      <w:r w:rsidR="00DD741F" w:rsidRPr="008B281D">
        <w:rPr>
          <w:rFonts w:eastAsia="Times New Roman"/>
          <w:lang w:eastAsia="ru-RU"/>
        </w:rPr>
        <w:t xml:space="preserve"> У взрослых пациентов профилактическая доза фолиевой </w:t>
      </w:r>
      <w:r w:rsidR="00DD741F" w:rsidRPr="008B281D">
        <w:rPr>
          <w:rFonts w:eastAsia="Times New Roman"/>
          <w:lang w:eastAsia="ru-RU"/>
        </w:rPr>
        <w:lastRenderedPageBreak/>
        <w:t>кислоты</w:t>
      </w:r>
      <w:r>
        <w:rPr>
          <w:rFonts w:eastAsia="Times New Roman"/>
          <w:lang w:eastAsia="ru-RU"/>
        </w:rPr>
        <w:t>**</w:t>
      </w:r>
      <w:r w:rsidR="00DD741F" w:rsidRPr="008B281D">
        <w:rPr>
          <w:rFonts w:eastAsia="Times New Roman"/>
          <w:lang w:eastAsia="ru-RU"/>
        </w:rPr>
        <w:t xml:space="preserve"> составляет 2 мг/</w:t>
      </w:r>
      <w:proofErr w:type="spellStart"/>
      <w:r w:rsidR="00DD741F" w:rsidRPr="008B281D">
        <w:rPr>
          <w:rFonts w:eastAsia="Times New Roman"/>
          <w:lang w:eastAsia="ru-RU"/>
        </w:rPr>
        <w:t>сут</w:t>
      </w:r>
      <w:proofErr w:type="spellEnd"/>
      <w:r w:rsidR="00DD741F" w:rsidRPr="008B281D">
        <w:rPr>
          <w:rFonts w:eastAsia="Times New Roman"/>
          <w:lang w:eastAsia="ru-RU"/>
        </w:rPr>
        <w:t>.</w:t>
      </w:r>
      <w:r w:rsidR="00DD741F">
        <w:rPr>
          <w:rFonts w:eastAsia="Times New Roman"/>
          <w:lang w:eastAsia="ru-RU"/>
        </w:rPr>
        <w:t xml:space="preserve"> </w:t>
      </w:r>
      <w:r w:rsidR="00BD71EF">
        <w:rPr>
          <w:rFonts w:eastAsia="Times New Roman"/>
          <w:lang w:eastAsia="ru-RU"/>
        </w:rPr>
        <w:t xml:space="preserve">Длительность профилактики определяется индивидуально. </w:t>
      </w:r>
    </w:p>
    <w:p w14:paraId="47664680" w14:textId="0754B895" w:rsidR="008249A0" w:rsidRPr="00B136E1" w:rsidRDefault="008249A0" w:rsidP="008249A0">
      <w:pPr>
        <w:pStyle w:val="afff7"/>
        <w:numPr>
          <w:ilvl w:val="0"/>
          <w:numId w:val="0"/>
        </w:numPr>
        <w:ind w:left="360"/>
        <w:rPr>
          <w:b/>
        </w:rPr>
      </w:pPr>
      <w:r w:rsidRPr="00033BB5">
        <w:rPr>
          <w:b/>
        </w:rPr>
        <w:t>Уровень убедительности рекомендаций</w:t>
      </w:r>
      <w:proofErr w:type="gramStart"/>
      <w:r w:rsidRPr="00033BB5">
        <w:rPr>
          <w:b/>
        </w:rPr>
        <w:t xml:space="preserve"> С</w:t>
      </w:r>
      <w:proofErr w:type="gramEnd"/>
      <w:r w:rsidRPr="00033BB5">
        <w:rPr>
          <w:b/>
        </w:rPr>
        <w:t xml:space="preserve"> (уровень</w:t>
      </w:r>
      <w:r w:rsidR="002A14F1">
        <w:rPr>
          <w:b/>
        </w:rPr>
        <w:t xml:space="preserve"> достоверности доказательств – 5</w:t>
      </w:r>
      <w:r w:rsidRPr="00033BB5">
        <w:rPr>
          <w:b/>
        </w:rPr>
        <w:t>)</w:t>
      </w:r>
    </w:p>
    <w:p w14:paraId="7882ED82" w14:textId="491ED264" w:rsidR="00985814" w:rsidRPr="009D1DCF" w:rsidRDefault="008249A0" w:rsidP="009D1DCF">
      <w:pPr>
        <w:rPr>
          <w:rFonts w:eastAsia="Times New Roman"/>
          <w:i/>
          <w:lang w:eastAsia="ru-RU"/>
        </w:rPr>
      </w:pPr>
      <w:r w:rsidRPr="00554DB5">
        <w:rPr>
          <w:b/>
        </w:rPr>
        <w:t>Комментарии</w:t>
      </w:r>
      <w:r>
        <w:rPr>
          <w:b/>
        </w:rPr>
        <w:t>:</w:t>
      </w:r>
      <w:r w:rsidRPr="00554DB5">
        <w:rPr>
          <w:b/>
        </w:rPr>
        <w:t xml:space="preserve"> </w:t>
      </w:r>
      <w:r w:rsidRPr="00B7689A">
        <w:rPr>
          <w:i/>
        </w:rPr>
        <w:t>с учетом</w:t>
      </w:r>
      <w:r w:rsidRPr="00B7689A">
        <w:rPr>
          <w:b/>
          <w:i/>
        </w:rPr>
        <w:t xml:space="preserve"> </w:t>
      </w:r>
      <w:r w:rsidRPr="00B7689A">
        <w:rPr>
          <w:rFonts w:eastAsia="Times New Roman"/>
          <w:i/>
          <w:lang w:eastAsia="ru-RU"/>
        </w:rPr>
        <w:t xml:space="preserve">повышенной потребности в </w:t>
      </w:r>
      <w:proofErr w:type="spellStart"/>
      <w:r w:rsidRPr="00B7689A">
        <w:rPr>
          <w:rFonts w:eastAsia="Times New Roman"/>
          <w:i/>
          <w:lang w:eastAsia="ru-RU"/>
        </w:rPr>
        <w:t>фолатах</w:t>
      </w:r>
      <w:proofErr w:type="spellEnd"/>
      <w:r w:rsidRPr="00B7689A">
        <w:rPr>
          <w:rFonts w:eastAsia="Times New Roman"/>
          <w:i/>
          <w:lang w:eastAsia="ru-RU"/>
        </w:rPr>
        <w:t xml:space="preserve"> в период беременности</w:t>
      </w:r>
      <w:r w:rsidRPr="00B7689A">
        <w:rPr>
          <w:i/>
        </w:rPr>
        <w:t xml:space="preserve"> в последние годы практикуется профилактическое назначение фолиевой кислоты </w:t>
      </w:r>
      <w:r w:rsidRPr="00B7689A">
        <w:rPr>
          <w:rFonts w:eastAsia="Times New Roman"/>
          <w:i/>
          <w:lang w:eastAsia="ru-RU"/>
        </w:rPr>
        <w:t>беременным женщинам для предотвращения разви</w:t>
      </w:r>
      <w:r w:rsidR="0066685E">
        <w:rPr>
          <w:rFonts w:eastAsia="Times New Roman"/>
          <w:i/>
          <w:lang w:eastAsia="ru-RU"/>
        </w:rPr>
        <w:t xml:space="preserve">тия </w:t>
      </w:r>
      <w:r w:rsidRPr="00B7689A">
        <w:rPr>
          <w:rFonts w:eastAsia="Times New Roman"/>
          <w:i/>
          <w:lang w:eastAsia="ru-RU"/>
        </w:rPr>
        <w:t>дефектов нервной трубки плода</w:t>
      </w:r>
      <w:r w:rsidR="006E62D3">
        <w:rPr>
          <w:rFonts w:eastAsia="Times New Roman"/>
          <w:i/>
          <w:lang w:eastAsia="ru-RU"/>
        </w:rPr>
        <w:t xml:space="preserve"> </w:t>
      </w:r>
      <w:r w:rsidRPr="00C76596">
        <w:rPr>
          <w:i/>
        </w:rPr>
        <w:t>[1,2,3, 12,14]</w:t>
      </w:r>
      <w:r w:rsidRPr="00C76596">
        <w:rPr>
          <w:rFonts w:eastAsia="Times New Roman"/>
          <w:i/>
          <w:lang w:eastAsia="ru-RU"/>
        </w:rPr>
        <w:t>.</w:t>
      </w:r>
      <w:r w:rsidRPr="00B7689A">
        <w:rPr>
          <w:rFonts w:eastAsia="Times New Roman"/>
          <w:i/>
          <w:lang w:eastAsia="ru-RU"/>
        </w:rPr>
        <w:t xml:space="preserve"> </w:t>
      </w:r>
    </w:p>
    <w:p w14:paraId="51DE9FAB" w14:textId="77777777" w:rsidR="009B4039" w:rsidRDefault="008249A0" w:rsidP="00C4630C">
      <w:pPr>
        <w:pStyle w:val="afff1"/>
      </w:pPr>
      <w:bookmarkStart w:id="74" w:name="_Toc32479221"/>
      <w:r>
        <w:t>6</w:t>
      </w:r>
      <w:r w:rsidR="00C4630C">
        <w:t xml:space="preserve">. </w:t>
      </w:r>
      <w:r w:rsidR="009B4039" w:rsidRPr="00BF3A59">
        <w:t>Организация</w:t>
      </w:r>
      <w:r w:rsidR="000A2BBB">
        <w:t xml:space="preserve"> оказания</w:t>
      </w:r>
      <w:r w:rsidR="009B4039" w:rsidRPr="00BF3A59">
        <w:t xml:space="preserve"> медицинской помощи</w:t>
      </w:r>
      <w:bookmarkEnd w:id="74"/>
    </w:p>
    <w:p w14:paraId="64A0553C" w14:textId="77777777" w:rsidR="00221384" w:rsidRPr="009D1DCF" w:rsidRDefault="00A86E5F" w:rsidP="00221384">
      <w:pPr>
        <w:pStyle w:val="aff7"/>
        <w:rPr>
          <w:b/>
        </w:rPr>
      </w:pPr>
      <w:r w:rsidRPr="009D1DCF">
        <w:rPr>
          <w:b/>
        </w:rPr>
        <w:t>Показания для</w:t>
      </w:r>
      <w:r w:rsidR="00985814" w:rsidRPr="009D1DCF">
        <w:rPr>
          <w:b/>
        </w:rPr>
        <w:t xml:space="preserve"> экстренной </w:t>
      </w:r>
      <w:r w:rsidRPr="009D1DCF">
        <w:rPr>
          <w:b/>
        </w:rPr>
        <w:t>госпитализации в медицинскую организацию</w:t>
      </w:r>
      <w:r w:rsidR="00221384" w:rsidRPr="009D1DCF">
        <w:rPr>
          <w:b/>
        </w:rPr>
        <w:t>:</w:t>
      </w:r>
    </w:p>
    <w:p w14:paraId="7F4E0C98" w14:textId="6B785CFB" w:rsidR="00985814" w:rsidRDefault="008249A0" w:rsidP="009D1DCF">
      <w:pPr>
        <w:pStyle w:val="16"/>
        <w:numPr>
          <w:ilvl w:val="0"/>
          <w:numId w:val="5"/>
        </w:numPr>
      </w:pPr>
      <w:r>
        <w:t>глубокая анемия с выраженным гипоксическими проявлениями и отсутствием адаптации к низкому уровню гемоглобина (декомпенсация анемии).</w:t>
      </w:r>
    </w:p>
    <w:p w14:paraId="70461E2C" w14:textId="77777777" w:rsidR="00985814" w:rsidRPr="009D1DCF" w:rsidRDefault="00985814" w:rsidP="00985814">
      <w:pPr>
        <w:pStyle w:val="aff7"/>
        <w:rPr>
          <w:b/>
        </w:rPr>
      </w:pPr>
      <w:r w:rsidRPr="009D1DCF">
        <w:rPr>
          <w:b/>
        </w:rPr>
        <w:t>Показания для плановой госпитализации в медицинскую организацию:</w:t>
      </w:r>
    </w:p>
    <w:p w14:paraId="27630446" w14:textId="0393FC94" w:rsidR="008249A0" w:rsidRDefault="00985814" w:rsidP="009D1DCF">
      <w:pPr>
        <w:pStyle w:val="16"/>
      </w:pPr>
      <w:r w:rsidRPr="00C41A9B">
        <w:t xml:space="preserve">1) </w:t>
      </w:r>
      <w:r w:rsidR="008249A0" w:rsidRPr="00C41A9B">
        <w:t>диспансерное обследование, в т</w:t>
      </w:r>
      <w:r w:rsidR="008249A0">
        <w:t xml:space="preserve">ом </w:t>
      </w:r>
      <w:r w:rsidR="008249A0" w:rsidRPr="00C41A9B">
        <w:t>ч</w:t>
      </w:r>
      <w:r w:rsidR="008249A0">
        <w:t>исле</w:t>
      </w:r>
      <w:r w:rsidR="008249A0" w:rsidRPr="00C41A9B">
        <w:t xml:space="preserve"> при первичной постановке диагноза</w:t>
      </w:r>
      <w:r w:rsidR="008249A0">
        <w:t xml:space="preserve"> ФДА умеренной или тяжелой степени.</w:t>
      </w:r>
    </w:p>
    <w:p w14:paraId="1CA7A848" w14:textId="4DC3933E" w:rsidR="009B4039" w:rsidRPr="009D1DCF" w:rsidRDefault="009B4039" w:rsidP="00221384">
      <w:pPr>
        <w:pStyle w:val="aff7"/>
        <w:rPr>
          <w:b/>
        </w:rPr>
      </w:pPr>
      <w:r w:rsidRPr="009D1DCF">
        <w:rPr>
          <w:b/>
        </w:rPr>
        <w:t>Показания к выписке пациента из</w:t>
      </w:r>
      <w:r w:rsidR="00221384" w:rsidRPr="009D1DCF">
        <w:rPr>
          <w:b/>
          <w:color w:val="000000"/>
          <w:lang w:bidi="ru-RU"/>
        </w:rPr>
        <w:t xml:space="preserve"> </w:t>
      </w:r>
      <w:r w:rsidR="00221384" w:rsidRPr="009D1DCF">
        <w:rPr>
          <w:b/>
          <w:color w:val="000000"/>
          <w:lang w:eastAsia="ru-RU" w:bidi="ru-RU"/>
        </w:rPr>
        <w:t>медицинск</w:t>
      </w:r>
      <w:r w:rsidR="00221384" w:rsidRPr="009D1DCF">
        <w:rPr>
          <w:b/>
          <w:color w:val="000000"/>
          <w:lang w:bidi="ru-RU"/>
        </w:rPr>
        <w:t>ой</w:t>
      </w:r>
      <w:r w:rsidR="00221384" w:rsidRPr="009D1DCF">
        <w:rPr>
          <w:b/>
          <w:color w:val="000000"/>
          <w:lang w:eastAsia="ru-RU" w:bidi="ru-RU"/>
        </w:rPr>
        <w:t xml:space="preserve"> </w:t>
      </w:r>
      <w:r w:rsidR="00334F6C" w:rsidRPr="009D1DCF">
        <w:rPr>
          <w:b/>
          <w:color w:val="000000"/>
          <w:lang w:eastAsia="ru-RU" w:bidi="ru-RU"/>
        </w:rPr>
        <w:t>организаци</w:t>
      </w:r>
      <w:r w:rsidR="00334F6C" w:rsidRPr="009D1DCF">
        <w:rPr>
          <w:b/>
          <w:color w:val="000000"/>
          <w:lang w:bidi="ru-RU"/>
        </w:rPr>
        <w:t>и</w:t>
      </w:r>
      <w:r w:rsidR="008F2A1C">
        <w:rPr>
          <w:b/>
          <w:color w:val="000000"/>
          <w:lang w:bidi="ru-RU"/>
        </w:rPr>
        <w:t>:</w:t>
      </w:r>
    </w:p>
    <w:p w14:paraId="0DACEC1D" w14:textId="5F4D62C0" w:rsidR="008249A0" w:rsidRDefault="00985814" w:rsidP="009D1DCF">
      <w:pPr>
        <w:pStyle w:val="16"/>
      </w:pPr>
      <w:r>
        <w:t xml:space="preserve">1) </w:t>
      </w:r>
      <w:r w:rsidR="008249A0" w:rsidRPr="00447DC8">
        <w:t xml:space="preserve">регресс </w:t>
      </w:r>
      <w:r w:rsidR="008249A0">
        <w:t xml:space="preserve">симптомов декомпенсации анемии, окончание обследования для выявления причины развития дефицита </w:t>
      </w:r>
      <w:proofErr w:type="spellStart"/>
      <w:r w:rsidR="008249A0">
        <w:t>фолатов</w:t>
      </w:r>
      <w:proofErr w:type="spellEnd"/>
      <w:r w:rsidR="008249A0">
        <w:t>.</w:t>
      </w:r>
    </w:p>
    <w:p w14:paraId="3DEACD42" w14:textId="77777777" w:rsidR="008249A0" w:rsidRDefault="008249A0" w:rsidP="008249A0">
      <w:pPr>
        <w:pStyle w:val="afff1"/>
      </w:pPr>
      <w:bookmarkStart w:id="75" w:name="_Toc16510485"/>
      <w:bookmarkStart w:id="76" w:name="_Toc32479222"/>
      <w:r>
        <w:t>7. Дополнительная информация (в том числе факторы, влияющие на исход заболевания или состояния)</w:t>
      </w:r>
      <w:bookmarkEnd w:id="75"/>
      <w:bookmarkEnd w:id="76"/>
    </w:p>
    <w:p w14:paraId="3D5891D9" w14:textId="32B56088" w:rsidR="00985814" w:rsidRDefault="008249A0" w:rsidP="00813837">
      <w:r w:rsidRPr="00EA5B0E">
        <w:t xml:space="preserve">Прогноз </w:t>
      </w:r>
      <w:proofErr w:type="spellStart"/>
      <w:r w:rsidRPr="00EA5B0E">
        <w:t>фолиеводефицитной</w:t>
      </w:r>
      <w:proofErr w:type="spellEnd"/>
      <w:r>
        <w:t xml:space="preserve"> анемии – благоприятный. Выявление ФДА является, своего рода, «предупреждением» о возможном ухудшении общего</w:t>
      </w:r>
      <w:r w:rsidRPr="00EA5B0E">
        <w:t xml:space="preserve"> состояния здоро</w:t>
      </w:r>
      <w:r>
        <w:t>вья пациента и требует проведения анализа условий труда и быта пациента, диагностики латентно протекающих</w:t>
      </w:r>
      <w:r w:rsidRPr="00EA5B0E">
        <w:t xml:space="preserve"> заболеваний</w:t>
      </w:r>
      <w:r>
        <w:t xml:space="preserve"> и/или наследственных дефектов метаболизма</w:t>
      </w:r>
      <w:r w:rsidRPr="00EA5B0E">
        <w:t>, лежащих в основе</w:t>
      </w:r>
      <w:r>
        <w:t xml:space="preserve"> установленного </w:t>
      </w:r>
      <w:r w:rsidRPr="00EA5B0E">
        <w:t xml:space="preserve">дефицита </w:t>
      </w:r>
      <w:proofErr w:type="spellStart"/>
      <w:r w:rsidRPr="00EA5B0E">
        <w:t>фолатов</w:t>
      </w:r>
      <w:proofErr w:type="spellEnd"/>
      <w:r w:rsidRPr="00EA5B0E">
        <w:t xml:space="preserve">. </w:t>
      </w:r>
      <w:r>
        <w:t xml:space="preserve">Необходимо учитывать наличие приобретенных (курение, </w:t>
      </w:r>
      <w:proofErr w:type="gramStart"/>
      <w:r>
        <w:t>неэффективный</w:t>
      </w:r>
      <w:proofErr w:type="gramEnd"/>
      <w:r>
        <w:t xml:space="preserve"> </w:t>
      </w:r>
      <w:proofErr w:type="spellStart"/>
      <w:r>
        <w:t>эритропоэз</w:t>
      </w:r>
      <w:proofErr w:type="spellEnd"/>
      <w:r>
        <w:t>, хроническая почечная недостаточность и др.) и врожденных (гомозиготная мутация гена МТГФР) факторов риска развития</w:t>
      </w:r>
      <w:r w:rsidRPr="00EA5B0E">
        <w:t xml:space="preserve"> </w:t>
      </w:r>
      <w:proofErr w:type="spellStart"/>
      <w:r w:rsidRPr="00EA5B0E">
        <w:t>гипергомоцистеинемии</w:t>
      </w:r>
      <w:proofErr w:type="spellEnd"/>
      <w:r w:rsidRPr="00EA5B0E">
        <w:t xml:space="preserve">. Дефицит </w:t>
      </w:r>
      <w:proofErr w:type="spellStart"/>
      <w:r w:rsidRPr="00EA5B0E">
        <w:t>фолатов</w:t>
      </w:r>
      <w:proofErr w:type="spellEnd"/>
      <w:r w:rsidRPr="00EA5B0E">
        <w:t xml:space="preserve"> в таких случаях может </w:t>
      </w:r>
      <w:r>
        <w:t>резко повысить риск развития тромботических осложнений и осложнений беременности, что определяет необходимость длительной или постоянной поддерживающей</w:t>
      </w:r>
      <w:r w:rsidRPr="00EA5B0E">
        <w:t xml:space="preserve"> терапии фолиевой кислотой (2-</w:t>
      </w:r>
      <w:r>
        <w:t xml:space="preserve"> 4мг/день)</w:t>
      </w:r>
      <w:r w:rsidRPr="00B104EF">
        <w:rPr>
          <w:rFonts w:eastAsia="Times New Roman"/>
        </w:rPr>
        <w:t xml:space="preserve"> [</w:t>
      </w:r>
      <w:r w:rsidR="006A7198">
        <w:rPr>
          <w:rFonts w:eastAsia="Times New Roman"/>
        </w:rPr>
        <w:t xml:space="preserve">19, </w:t>
      </w:r>
      <w:r w:rsidRPr="006A7198">
        <w:rPr>
          <w:rFonts w:eastAsia="Times New Roman"/>
        </w:rPr>
        <w:t>20</w:t>
      </w:r>
      <w:r w:rsidRPr="00B104EF">
        <w:rPr>
          <w:rFonts w:eastAsia="Times New Roman"/>
        </w:rPr>
        <w:t>]</w:t>
      </w:r>
      <w:bookmarkStart w:id="77" w:name="__RefHeading___doc_criteria"/>
      <w:bookmarkEnd w:id="73"/>
      <w:r w:rsidR="00813837">
        <w:rPr>
          <w:rFonts w:eastAsia="Times New Roman"/>
        </w:rPr>
        <w:t>.</w:t>
      </w:r>
    </w:p>
    <w:p w14:paraId="09E00921" w14:textId="77777777" w:rsidR="000414F6" w:rsidRDefault="00CB71DA" w:rsidP="00B104EF">
      <w:pPr>
        <w:pStyle w:val="CustomContentNormal"/>
      </w:pPr>
      <w:bookmarkStart w:id="78" w:name="_Toc32479223"/>
      <w:r>
        <w:lastRenderedPageBreak/>
        <w:t>Критерии оценки качества медицинской помощи</w:t>
      </w:r>
      <w:bookmarkEnd w:id="77"/>
      <w:bookmarkEnd w:id="78"/>
    </w:p>
    <w:tbl>
      <w:tblPr>
        <w:tblW w:w="504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5873"/>
        <w:gridCol w:w="1736"/>
        <w:gridCol w:w="19"/>
        <w:gridCol w:w="1578"/>
      </w:tblGrid>
      <w:tr w:rsidR="00813837" w14:paraId="665FAF65" w14:textId="77777777" w:rsidTr="008B281D">
        <w:trPr>
          <w:tblHeader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3FF97" w14:textId="77777777" w:rsidR="00813837" w:rsidRDefault="00813837" w:rsidP="008B281D">
            <w:pPr>
              <w:pStyle w:val="afb"/>
              <w:spacing w:beforeAutospacing="0" w:afterAutospacing="0" w:line="240" w:lineRule="auto"/>
              <w:ind w:firstLine="0"/>
              <w:jc w:val="center"/>
            </w:pPr>
            <w:bookmarkStart w:id="79" w:name="__RefHeading___doc_bible"/>
            <w:r>
              <w:rPr>
                <w:rStyle w:val="affa"/>
              </w:rPr>
              <w:t>№</w:t>
            </w:r>
          </w:p>
          <w:p w14:paraId="7020FCE0" w14:textId="77777777" w:rsidR="00813837" w:rsidRDefault="00813837" w:rsidP="008B281D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3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1FFFB" w14:textId="77777777" w:rsidR="00813837" w:rsidRDefault="00813837" w:rsidP="008B281D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Критерии качества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61B85" w14:textId="77777777" w:rsidR="00813837" w:rsidRDefault="00813837" w:rsidP="008B281D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 xml:space="preserve">Уровень убедительности рекомендаций </w:t>
            </w:r>
          </w:p>
        </w:tc>
        <w:tc>
          <w:tcPr>
            <w:tcW w:w="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AA745" w14:textId="77777777" w:rsidR="00813837" w:rsidRDefault="00813837" w:rsidP="008B281D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Уровень достоверности доказательств</w:t>
            </w:r>
          </w:p>
        </w:tc>
      </w:tr>
      <w:tr w:rsidR="00813837" w14:paraId="175CDC58" w14:textId="77777777" w:rsidTr="008B281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A765C" w14:textId="77777777" w:rsidR="00813837" w:rsidRPr="00E63137" w:rsidRDefault="00813837" w:rsidP="008B281D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3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B6A7B" w14:textId="77777777" w:rsidR="00813837" w:rsidRPr="00E63137" w:rsidRDefault="00813837" w:rsidP="008B281D">
            <w:pPr>
              <w:pStyle w:val="afb"/>
              <w:spacing w:beforeAutospacing="0" w:afterAutospacing="0" w:line="240" w:lineRule="auto"/>
              <w:ind w:firstLine="0"/>
            </w:pPr>
            <w:r>
              <w:t>Проведен осмотр врачом-гематологом</w:t>
            </w:r>
          </w:p>
        </w:tc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E053" w14:textId="77777777" w:rsidR="00813837" w:rsidRPr="004C1691" w:rsidRDefault="00813837" w:rsidP="008B281D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C2B7" w14:textId="77777777" w:rsidR="00813837" w:rsidRPr="004C1691" w:rsidRDefault="00813837" w:rsidP="008B281D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13837" w14:paraId="6A97F800" w14:textId="77777777" w:rsidTr="008B281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DEB17" w14:textId="77777777" w:rsidR="00813837" w:rsidRDefault="00813837" w:rsidP="008B281D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3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0CA5D" w14:textId="7C8EBA2D" w:rsidR="00813837" w:rsidRDefault="00833EE7" w:rsidP="008B281D">
            <w:pPr>
              <w:pStyle w:val="afb"/>
              <w:spacing w:beforeAutospacing="0" w:afterAutospacing="0" w:line="240" w:lineRule="auto"/>
              <w:ind w:firstLine="0"/>
            </w:pPr>
            <w:r>
              <w:t xml:space="preserve">Проведен общий </w:t>
            </w:r>
            <w:r w:rsidR="00813837">
              <w:t>анализ крови</w:t>
            </w:r>
          </w:p>
        </w:tc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03909" w14:textId="77777777" w:rsidR="00813837" w:rsidRPr="003E61B2" w:rsidRDefault="00813837" w:rsidP="008B281D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8F3A6" w14:textId="77777777" w:rsidR="00813837" w:rsidRPr="003E61B2" w:rsidRDefault="00813837" w:rsidP="008B281D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13837" w14:paraId="58564DAC" w14:textId="77777777" w:rsidTr="008B281D">
        <w:trPr>
          <w:trHeight w:val="654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209E4" w14:textId="77777777" w:rsidR="00813837" w:rsidRDefault="00813837" w:rsidP="008B281D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3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0CCBE" w14:textId="3F94270B" w:rsidR="008B281D" w:rsidRDefault="00813837" w:rsidP="008B281D">
            <w:pPr>
              <w:pStyle w:val="afff"/>
              <w:spacing w:line="240" w:lineRule="auto"/>
              <w:ind w:firstLine="0"/>
              <w:jc w:val="left"/>
              <w:rPr>
                <w:szCs w:val="24"/>
              </w:rPr>
            </w:pPr>
            <w:r>
              <w:t xml:space="preserve">Проведен </w:t>
            </w:r>
            <w:r w:rsidRPr="00641689">
              <w:t>биохимическ</w:t>
            </w:r>
            <w:r>
              <w:t>ий</w:t>
            </w:r>
            <w:r w:rsidRPr="00641689">
              <w:t xml:space="preserve"> анализ крови, </w:t>
            </w:r>
            <w:r w:rsidR="008B281D">
              <w:t xml:space="preserve">включающий определение общего белка, альбумина, </w:t>
            </w:r>
            <w:proofErr w:type="spellStart"/>
            <w:r w:rsidR="008B281D">
              <w:t>аланиаминотрансферазы</w:t>
            </w:r>
            <w:proofErr w:type="spellEnd"/>
            <w:r w:rsidR="008B281D">
              <w:t>,</w:t>
            </w:r>
            <w:r w:rsidR="008B281D">
              <w:rPr>
                <w:szCs w:val="24"/>
              </w:rPr>
              <w:t xml:space="preserve"> </w:t>
            </w:r>
            <w:proofErr w:type="spellStart"/>
            <w:r w:rsidR="008B281D">
              <w:rPr>
                <w:szCs w:val="24"/>
              </w:rPr>
              <w:t>аспартатаминотрансфераза</w:t>
            </w:r>
            <w:proofErr w:type="spellEnd"/>
            <w:r w:rsidR="008B281D">
              <w:rPr>
                <w:szCs w:val="24"/>
              </w:rPr>
              <w:t>,</w:t>
            </w:r>
          </w:p>
          <w:p w14:paraId="46124D43" w14:textId="0A8955CC" w:rsidR="00813837" w:rsidRDefault="008B281D" w:rsidP="008B281D">
            <w:pPr>
              <w:pStyle w:val="afff"/>
              <w:spacing w:line="240" w:lineRule="auto"/>
              <w:ind w:firstLine="0"/>
              <w:jc w:val="left"/>
            </w:pPr>
            <w:r>
              <w:t xml:space="preserve"> мочевины, </w:t>
            </w:r>
            <w:proofErr w:type="spellStart"/>
            <w:r>
              <w:t>креатинина</w:t>
            </w:r>
            <w:proofErr w:type="spellEnd"/>
            <w:r>
              <w:t xml:space="preserve">, </w:t>
            </w:r>
            <w:proofErr w:type="spellStart"/>
            <w:r>
              <w:t>лактатдегидрогеназы</w:t>
            </w:r>
            <w:proofErr w:type="spellEnd"/>
            <w:r>
              <w:t xml:space="preserve">, </w:t>
            </w:r>
            <w:r w:rsidR="00833EE7" w:rsidRPr="00833EE7">
              <w:t>свободного и связанного билирубина</w:t>
            </w:r>
            <w:r w:rsidR="00833EE7">
              <w:t xml:space="preserve">, </w:t>
            </w:r>
            <w:proofErr w:type="spellStart"/>
            <w:r>
              <w:t>ферритина</w:t>
            </w:r>
            <w:proofErr w:type="spellEnd"/>
            <w:r>
              <w:t xml:space="preserve">, железа, общая </w:t>
            </w:r>
            <w:proofErr w:type="spellStart"/>
            <w:r>
              <w:t>железосвязывающая</w:t>
            </w:r>
            <w:proofErr w:type="spellEnd"/>
            <w:r>
              <w:t xml:space="preserve"> способность </w:t>
            </w:r>
            <w:proofErr w:type="spellStart"/>
            <w:r>
              <w:t>трансферрина</w:t>
            </w:r>
            <w:proofErr w:type="spellEnd"/>
            <w:r>
              <w:t xml:space="preserve">, насыщение </w:t>
            </w:r>
            <w:proofErr w:type="spellStart"/>
            <w:r>
              <w:t>трансферрина</w:t>
            </w:r>
            <w:proofErr w:type="spellEnd"/>
            <w:r>
              <w:t xml:space="preserve"> железом, </w:t>
            </w:r>
            <w:proofErr w:type="spellStart"/>
            <w:r>
              <w:t>гомоцистеина</w:t>
            </w:r>
            <w:proofErr w:type="spellEnd"/>
            <w:r>
              <w:t xml:space="preserve">, </w:t>
            </w:r>
            <w:proofErr w:type="spellStart"/>
            <w:r>
              <w:t>цианокобаламина</w:t>
            </w:r>
            <w:proofErr w:type="spellEnd"/>
            <w:r>
              <w:t xml:space="preserve"> (</w:t>
            </w:r>
            <w:r w:rsidR="00833EE7">
              <w:t xml:space="preserve">витамин </w:t>
            </w:r>
            <w:r>
              <w:t>В12), фолиевой кислоты (витамин В</w:t>
            </w:r>
            <w:proofErr w:type="gramStart"/>
            <w:r>
              <w:t>9</w:t>
            </w:r>
            <w:proofErr w:type="gramEnd"/>
            <w:r>
              <w:t>)</w:t>
            </w:r>
          </w:p>
        </w:tc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AF096" w14:textId="77777777" w:rsidR="00813837" w:rsidRDefault="00813837" w:rsidP="008B281D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t>С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C7DE3" w14:textId="77777777" w:rsidR="00813837" w:rsidRDefault="00813837" w:rsidP="008B281D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t>5</w:t>
            </w:r>
          </w:p>
        </w:tc>
      </w:tr>
      <w:tr w:rsidR="00813837" w14:paraId="5403EFA2" w14:textId="77777777" w:rsidTr="008B281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EA205" w14:textId="77777777" w:rsidR="00813837" w:rsidRDefault="00813837" w:rsidP="008B281D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3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A47D3" w14:textId="6D0B015A" w:rsidR="00813837" w:rsidRDefault="00813837" w:rsidP="008B281D">
            <w:pPr>
              <w:pStyle w:val="afb"/>
              <w:spacing w:line="240" w:lineRule="auto"/>
              <w:ind w:firstLine="0"/>
            </w:pPr>
            <w:r>
              <w:t xml:space="preserve">Проведены </w:t>
            </w:r>
            <w:r w:rsidR="008B281D">
              <w:t xml:space="preserve">всем пациентам </w:t>
            </w:r>
            <w:r>
              <w:t xml:space="preserve">инструментальные исследования: </w:t>
            </w:r>
            <w:proofErr w:type="spellStart"/>
            <w:r>
              <w:t>эзофагогастродуоденоскопия</w:t>
            </w:r>
            <w:proofErr w:type="spellEnd"/>
            <w:r>
              <w:t xml:space="preserve"> и </w:t>
            </w:r>
            <w:proofErr w:type="spellStart"/>
            <w:r>
              <w:t>колоноскопия</w:t>
            </w:r>
            <w:proofErr w:type="spellEnd"/>
            <w:r w:rsidRPr="003E61B2">
              <w:t>;</w:t>
            </w:r>
            <w:r>
              <w:t xml:space="preserve"> рентгенография или КТ органов грудной клетки; УЗИ органов брюшной полости, забрюшинного пространства и малого таза; УЗИ щитовидной железы.</w:t>
            </w:r>
          </w:p>
        </w:tc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2315C" w14:textId="77777777" w:rsidR="00813837" w:rsidRDefault="00813837" w:rsidP="008B281D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t>С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C80C0" w14:textId="77777777" w:rsidR="00813837" w:rsidRDefault="00813837" w:rsidP="008B281D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t>5</w:t>
            </w:r>
          </w:p>
        </w:tc>
      </w:tr>
      <w:tr w:rsidR="00813837" w14:paraId="7C5AD3AC" w14:textId="77777777" w:rsidTr="008B281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D084C" w14:textId="77777777" w:rsidR="00813837" w:rsidRDefault="00813837" w:rsidP="008B281D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3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41B69" w14:textId="51AD39EA" w:rsidR="00813837" w:rsidRDefault="00813837" w:rsidP="008B281D">
            <w:pPr>
              <w:pStyle w:val="afb"/>
              <w:spacing w:beforeAutospacing="0" w:afterAutospacing="0" w:line="240" w:lineRule="auto"/>
              <w:ind w:firstLine="0"/>
            </w:pPr>
            <w:r>
              <w:t>Проведено лечение фолиевой кислотой</w:t>
            </w:r>
            <w:r w:rsidR="00833EE7">
              <w:t>**</w:t>
            </w:r>
            <w:r>
              <w:t xml:space="preserve"> </w:t>
            </w:r>
            <w:r w:rsidRPr="00827DB5">
              <w:t>пациентам с устано</w:t>
            </w:r>
            <w:r>
              <w:t xml:space="preserve">вленным диагнозом </w:t>
            </w:r>
            <w:proofErr w:type="spellStart"/>
            <w:r>
              <w:t>фолиеводефицитной</w:t>
            </w:r>
            <w:proofErr w:type="spellEnd"/>
            <w:r>
              <w:t xml:space="preserve"> анемии</w:t>
            </w:r>
          </w:p>
        </w:tc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4FC8" w14:textId="77777777" w:rsidR="00813837" w:rsidRDefault="00813837" w:rsidP="008B281D">
            <w:pPr>
              <w:pStyle w:val="afb"/>
              <w:spacing w:beforeAutospacing="0" w:afterAutospacing="0" w:line="240" w:lineRule="auto"/>
              <w:ind w:firstLine="0"/>
            </w:pPr>
            <w:r>
              <w:t>В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6DD2" w14:textId="77777777" w:rsidR="00813837" w:rsidRDefault="00813837" w:rsidP="008B281D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t>3</w:t>
            </w:r>
          </w:p>
        </w:tc>
      </w:tr>
      <w:tr w:rsidR="008B281D" w14:paraId="5637DC7F" w14:textId="77777777" w:rsidTr="008B281D">
        <w:trPr>
          <w:trHeight w:val="108"/>
        </w:trPr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3ACA" w14:textId="77777777" w:rsidR="008B281D" w:rsidRDefault="008B281D" w:rsidP="008B281D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3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42083" w14:textId="27254E71" w:rsidR="008B281D" w:rsidRDefault="008B281D" w:rsidP="008B281D">
            <w:pPr>
              <w:pStyle w:val="afb"/>
              <w:spacing w:beforeAutospacing="0" w:afterAutospacing="0" w:line="240" w:lineRule="auto"/>
              <w:ind w:firstLine="0"/>
            </w:pPr>
            <w:r>
              <w:t xml:space="preserve">Назначена </w:t>
            </w:r>
            <w:r w:rsidR="00833EE7">
              <w:t xml:space="preserve">профилактически </w:t>
            </w:r>
            <w:r>
              <w:t>фолиевая кислота</w:t>
            </w:r>
            <w:r w:rsidR="00833EE7">
              <w:t>**</w:t>
            </w:r>
            <w:r>
              <w:t xml:space="preserve"> беременным</w:t>
            </w:r>
          </w:p>
        </w:tc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2638" w14:textId="6A1316C7" w:rsidR="008B281D" w:rsidRDefault="008B281D" w:rsidP="008B281D">
            <w:pPr>
              <w:pStyle w:val="afb"/>
              <w:spacing w:beforeAutospacing="0" w:afterAutospacing="0" w:line="240" w:lineRule="auto"/>
              <w:ind w:firstLine="0"/>
            </w:pPr>
            <w:r>
              <w:t>С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70A02" w14:textId="795DC8ED" w:rsidR="008B281D" w:rsidRDefault="008B281D" w:rsidP="008B281D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t>5</w:t>
            </w:r>
          </w:p>
        </w:tc>
      </w:tr>
    </w:tbl>
    <w:p w14:paraId="40C3A8D2" w14:textId="77777777" w:rsidR="008249A0" w:rsidRDefault="008249A0" w:rsidP="005627B3">
      <w:pPr>
        <w:ind w:firstLine="0"/>
        <w:rPr>
          <w:b/>
          <w:sz w:val="28"/>
          <w:szCs w:val="28"/>
        </w:rPr>
      </w:pPr>
    </w:p>
    <w:p w14:paraId="2D305D0D" w14:textId="77777777" w:rsidR="000414F6" w:rsidRPr="008B281D" w:rsidRDefault="00CB71DA" w:rsidP="00A02434">
      <w:pPr>
        <w:pStyle w:val="CustomContentNormal"/>
        <w:rPr>
          <w:szCs w:val="28"/>
        </w:rPr>
      </w:pPr>
      <w:bookmarkStart w:id="80" w:name="_Toc32479224"/>
      <w:r w:rsidRPr="008B281D">
        <w:rPr>
          <w:szCs w:val="28"/>
        </w:rPr>
        <w:t>Список</w:t>
      </w:r>
      <w:r w:rsidRPr="008B281D">
        <w:rPr>
          <w:szCs w:val="28"/>
          <w:lang w:val="en-US"/>
        </w:rPr>
        <w:t xml:space="preserve"> </w:t>
      </w:r>
      <w:r w:rsidRPr="008B281D">
        <w:rPr>
          <w:szCs w:val="28"/>
        </w:rPr>
        <w:t>литературы</w:t>
      </w:r>
      <w:bookmarkEnd w:id="79"/>
      <w:bookmarkEnd w:id="80"/>
    </w:p>
    <w:p w14:paraId="336E909E" w14:textId="77777777" w:rsidR="008249A0" w:rsidRPr="00A02434" w:rsidRDefault="008249A0" w:rsidP="00A02434">
      <w:pPr>
        <w:rPr>
          <w:szCs w:val="24"/>
        </w:rPr>
      </w:pPr>
      <w:r w:rsidRPr="00A02434">
        <w:rPr>
          <w:szCs w:val="24"/>
        </w:rPr>
        <w:t>1.</w:t>
      </w:r>
      <w:r w:rsidRPr="00A02434">
        <w:rPr>
          <w:szCs w:val="24"/>
        </w:rPr>
        <w:tab/>
        <w:t>Руководство по гематологии, под ред. А.И. Воробьев, изд. «</w:t>
      </w:r>
      <w:proofErr w:type="spellStart"/>
      <w:r w:rsidRPr="00A02434">
        <w:rPr>
          <w:szCs w:val="24"/>
        </w:rPr>
        <w:t>Ньюдиамед</w:t>
      </w:r>
      <w:proofErr w:type="spellEnd"/>
      <w:r w:rsidRPr="00A02434">
        <w:rPr>
          <w:szCs w:val="24"/>
        </w:rPr>
        <w:t>», М, 2005, т. 3, с. 210 - 213.</w:t>
      </w:r>
    </w:p>
    <w:p w14:paraId="33AECF85" w14:textId="77777777" w:rsidR="008249A0" w:rsidRPr="00A02434" w:rsidRDefault="008249A0" w:rsidP="00A02434">
      <w:pPr>
        <w:rPr>
          <w:szCs w:val="24"/>
        </w:rPr>
      </w:pPr>
      <w:r w:rsidRPr="00A02434">
        <w:rPr>
          <w:szCs w:val="24"/>
        </w:rPr>
        <w:t>2.</w:t>
      </w:r>
      <w:r w:rsidRPr="00A02434">
        <w:rPr>
          <w:szCs w:val="24"/>
        </w:rPr>
        <w:tab/>
        <w:t xml:space="preserve">Рациональная фармакотерапия заболеваний системы крови.  Под общей ред. А.И. Воробьева, Москва, </w:t>
      </w:r>
      <w:proofErr w:type="spellStart"/>
      <w:r w:rsidRPr="00A02434">
        <w:rPr>
          <w:szCs w:val="24"/>
        </w:rPr>
        <w:t>Литтерра</w:t>
      </w:r>
      <w:proofErr w:type="spellEnd"/>
      <w:r w:rsidRPr="00A02434">
        <w:rPr>
          <w:szCs w:val="24"/>
        </w:rPr>
        <w:t xml:space="preserve">, 2009 г, </w:t>
      </w:r>
      <w:proofErr w:type="spellStart"/>
      <w:proofErr w:type="gramStart"/>
      <w:r w:rsidRPr="00A02434">
        <w:rPr>
          <w:szCs w:val="24"/>
        </w:rPr>
        <w:t>стр</w:t>
      </w:r>
      <w:proofErr w:type="spellEnd"/>
      <w:proofErr w:type="gramEnd"/>
      <w:r w:rsidRPr="00A02434">
        <w:rPr>
          <w:szCs w:val="24"/>
        </w:rPr>
        <w:t xml:space="preserve"> 558-561.</w:t>
      </w:r>
    </w:p>
    <w:p w14:paraId="545BFE27" w14:textId="77777777" w:rsidR="008249A0" w:rsidRPr="00A02434" w:rsidRDefault="008249A0" w:rsidP="00A02434">
      <w:pPr>
        <w:rPr>
          <w:szCs w:val="24"/>
        </w:rPr>
      </w:pPr>
      <w:r w:rsidRPr="00A02434">
        <w:rPr>
          <w:szCs w:val="24"/>
        </w:rPr>
        <w:t>3.</w:t>
      </w:r>
      <w:r w:rsidRPr="00A02434">
        <w:rPr>
          <w:szCs w:val="24"/>
        </w:rPr>
        <w:tab/>
        <w:t xml:space="preserve">Детская гематология/ Под </w:t>
      </w:r>
      <w:proofErr w:type="spellStart"/>
      <w:proofErr w:type="gramStart"/>
      <w:r w:rsidRPr="00A02434">
        <w:rPr>
          <w:szCs w:val="24"/>
        </w:rPr>
        <w:t>ред</w:t>
      </w:r>
      <w:proofErr w:type="spellEnd"/>
      <w:proofErr w:type="gramEnd"/>
      <w:r w:rsidRPr="00A02434">
        <w:rPr>
          <w:szCs w:val="24"/>
        </w:rPr>
        <w:t xml:space="preserve">: А.Г. Румянцева, А.А. </w:t>
      </w:r>
      <w:proofErr w:type="spellStart"/>
      <w:r w:rsidRPr="00A02434">
        <w:rPr>
          <w:szCs w:val="24"/>
        </w:rPr>
        <w:t>Масчана</w:t>
      </w:r>
      <w:proofErr w:type="spellEnd"/>
      <w:r w:rsidRPr="00A02434">
        <w:rPr>
          <w:szCs w:val="24"/>
        </w:rPr>
        <w:t>, Е.В. Жуковской</w:t>
      </w:r>
      <w:r w:rsidR="00E94C83" w:rsidRPr="00A02434">
        <w:rPr>
          <w:szCs w:val="24"/>
        </w:rPr>
        <w:t>. Москва. Издательская группа «</w:t>
      </w:r>
      <w:r w:rsidRPr="00A02434">
        <w:rPr>
          <w:szCs w:val="24"/>
        </w:rPr>
        <w:t>ГЭОТАР Медиа» 2015 г. С. 656</w:t>
      </w:r>
    </w:p>
    <w:p w14:paraId="6831FA07" w14:textId="77777777" w:rsidR="008249A0" w:rsidRPr="00A02434" w:rsidRDefault="008249A0" w:rsidP="00A02434">
      <w:pPr>
        <w:rPr>
          <w:szCs w:val="24"/>
          <w:lang w:val="en-US"/>
        </w:rPr>
      </w:pPr>
      <w:r w:rsidRPr="008F2A1C">
        <w:rPr>
          <w:szCs w:val="24"/>
        </w:rPr>
        <w:t>4.</w:t>
      </w:r>
      <w:r w:rsidRPr="008F2A1C">
        <w:rPr>
          <w:szCs w:val="24"/>
        </w:rPr>
        <w:tab/>
      </w:r>
      <w:r w:rsidRPr="006A7198">
        <w:rPr>
          <w:szCs w:val="24"/>
          <w:lang w:val="en-US"/>
        </w:rPr>
        <w:t>Woolf</w:t>
      </w:r>
      <w:r w:rsidRPr="008F2A1C">
        <w:rPr>
          <w:szCs w:val="24"/>
        </w:rPr>
        <w:t xml:space="preserve"> </w:t>
      </w:r>
      <w:r w:rsidRPr="006A7198">
        <w:rPr>
          <w:szCs w:val="24"/>
          <w:lang w:val="en-US"/>
        </w:rPr>
        <w:t>N</w:t>
      </w:r>
      <w:r w:rsidRPr="008F2A1C">
        <w:rPr>
          <w:szCs w:val="24"/>
        </w:rPr>
        <w:t xml:space="preserve">. </w:t>
      </w:r>
      <w:r w:rsidRPr="006A7198">
        <w:rPr>
          <w:szCs w:val="24"/>
          <w:lang w:val="en-US"/>
        </w:rPr>
        <w:t>Pathology</w:t>
      </w:r>
      <w:r w:rsidRPr="008F2A1C">
        <w:rPr>
          <w:szCs w:val="24"/>
        </w:rPr>
        <w:t xml:space="preserve">: </w:t>
      </w:r>
      <w:r w:rsidRPr="006A7198">
        <w:rPr>
          <w:szCs w:val="24"/>
          <w:lang w:val="en-US"/>
        </w:rPr>
        <w:t>Basic</w:t>
      </w:r>
      <w:r w:rsidRPr="008F2A1C">
        <w:rPr>
          <w:szCs w:val="24"/>
        </w:rPr>
        <w:t xml:space="preserve"> </w:t>
      </w:r>
      <w:r w:rsidRPr="006A7198">
        <w:rPr>
          <w:szCs w:val="24"/>
          <w:lang w:val="en-US"/>
        </w:rPr>
        <w:t>and</w:t>
      </w:r>
      <w:r w:rsidRPr="008F2A1C">
        <w:rPr>
          <w:szCs w:val="24"/>
        </w:rPr>
        <w:t xml:space="preserve"> </w:t>
      </w:r>
      <w:r w:rsidRPr="006A7198">
        <w:rPr>
          <w:szCs w:val="24"/>
          <w:lang w:val="en-US"/>
        </w:rPr>
        <w:t>Systemic</w:t>
      </w:r>
      <w:r w:rsidRPr="008F2A1C">
        <w:rPr>
          <w:szCs w:val="24"/>
        </w:rPr>
        <w:t xml:space="preserve">. </w:t>
      </w:r>
      <w:r w:rsidRPr="00A02434">
        <w:rPr>
          <w:szCs w:val="24"/>
          <w:lang w:val="en-US"/>
        </w:rPr>
        <w:t>1st Edition, Saunders. London 1998.</w:t>
      </w:r>
    </w:p>
    <w:p w14:paraId="6051D2E8" w14:textId="77777777" w:rsidR="008249A0" w:rsidRPr="00A02434" w:rsidRDefault="008249A0" w:rsidP="00A02434">
      <w:pPr>
        <w:rPr>
          <w:szCs w:val="24"/>
          <w:lang w:val="en-US"/>
        </w:rPr>
      </w:pPr>
      <w:r w:rsidRPr="00A02434">
        <w:rPr>
          <w:szCs w:val="24"/>
          <w:lang w:val="en-US"/>
        </w:rPr>
        <w:t>5.</w:t>
      </w:r>
      <w:r w:rsidRPr="00A02434">
        <w:rPr>
          <w:szCs w:val="24"/>
          <w:lang w:val="en-US"/>
        </w:rPr>
        <w:tab/>
      </w:r>
      <w:proofErr w:type="spellStart"/>
      <w:r w:rsidRPr="00A02434">
        <w:rPr>
          <w:szCs w:val="24"/>
          <w:lang w:val="en-US"/>
        </w:rPr>
        <w:t>Naderi</w:t>
      </w:r>
      <w:proofErr w:type="spellEnd"/>
      <w:r w:rsidRPr="00A02434">
        <w:rPr>
          <w:szCs w:val="24"/>
          <w:lang w:val="en-US"/>
        </w:rPr>
        <w:t xml:space="preserve">, N., House, J. D. </w:t>
      </w:r>
      <w:proofErr w:type="gramStart"/>
      <w:r w:rsidRPr="00A02434">
        <w:rPr>
          <w:szCs w:val="24"/>
          <w:lang w:val="en-US"/>
        </w:rPr>
        <w:t xml:space="preserve">Recent Developments in </w:t>
      </w:r>
      <w:proofErr w:type="spellStart"/>
      <w:r w:rsidRPr="00A02434">
        <w:rPr>
          <w:szCs w:val="24"/>
          <w:lang w:val="en-US"/>
        </w:rPr>
        <w:t>Folate</w:t>
      </w:r>
      <w:proofErr w:type="spellEnd"/>
      <w:r w:rsidRPr="00A02434">
        <w:rPr>
          <w:szCs w:val="24"/>
          <w:lang w:val="en-US"/>
        </w:rPr>
        <w:t xml:space="preserve"> Nutrition.</w:t>
      </w:r>
      <w:proofErr w:type="gramEnd"/>
      <w:r w:rsidRPr="00A02434">
        <w:rPr>
          <w:szCs w:val="24"/>
          <w:lang w:val="en-US"/>
        </w:rPr>
        <w:t xml:space="preserve"> </w:t>
      </w:r>
      <w:proofErr w:type="gramStart"/>
      <w:r w:rsidRPr="00A02434">
        <w:rPr>
          <w:szCs w:val="24"/>
          <w:lang w:val="en-US"/>
        </w:rPr>
        <w:t>New Research and Developments of Water-Soluble Vitamins, 2018.</w:t>
      </w:r>
      <w:proofErr w:type="gramEnd"/>
      <w:r w:rsidRPr="00A02434">
        <w:rPr>
          <w:szCs w:val="24"/>
          <w:lang w:val="en-US"/>
        </w:rPr>
        <w:t xml:space="preserve"> </w:t>
      </w:r>
      <w:proofErr w:type="gramStart"/>
      <w:r w:rsidRPr="00A02434">
        <w:rPr>
          <w:szCs w:val="24"/>
          <w:lang w:val="en-US"/>
        </w:rPr>
        <w:t>195–213.</w:t>
      </w:r>
      <w:proofErr w:type="gramEnd"/>
      <w:r w:rsidRPr="00A02434">
        <w:rPr>
          <w:szCs w:val="24"/>
          <w:lang w:val="en-US"/>
        </w:rPr>
        <w:t xml:space="preserve"> doi:10.1016/bs.afnr.2017.12.006</w:t>
      </w:r>
    </w:p>
    <w:p w14:paraId="3E14EB7E" w14:textId="77777777" w:rsidR="008249A0" w:rsidRPr="00A02434" w:rsidRDefault="008249A0" w:rsidP="00A02434">
      <w:pPr>
        <w:rPr>
          <w:szCs w:val="24"/>
          <w:lang w:val="en-US"/>
        </w:rPr>
      </w:pPr>
      <w:r w:rsidRPr="00A02434">
        <w:rPr>
          <w:szCs w:val="24"/>
          <w:lang w:val="en-US"/>
        </w:rPr>
        <w:t>6.</w:t>
      </w:r>
      <w:r w:rsidRPr="00A02434">
        <w:rPr>
          <w:szCs w:val="24"/>
          <w:lang w:val="en-US"/>
        </w:rPr>
        <w:tab/>
        <w:t>Ortiz Z, Shea B, Suarez-</w:t>
      </w:r>
      <w:proofErr w:type="spellStart"/>
      <w:r w:rsidRPr="00A02434">
        <w:rPr>
          <w:szCs w:val="24"/>
          <w:lang w:val="en-US"/>
        </w:rPr>
        <w:t>Almazor</w:t>
      </w:r>
      <w:proofErr w:type="spellEnd"/>
      <w:r w:rsidRPr="00A02434">
        <w:rPr>
          <w:szCs w:val="24"/>
          <w:lang w:val="en-US"/>
        </w:rPr>
        <w:t xml:space="preserve"> ME, et al., Folic acid and </w:t>
      </w:r>
      <w:proofErr w:type="spellStart"/>
      <w:r w:rsidRPr="00A02434">
        <w:rPr>
          <w:szCs w:val="24"/>
          <w:lang w:val="en-US"/>
        </w:rPr>
        <w:t>Folinic</w:t>
      </w:r>
      <w:proofErr w:type="spellEnd"/>
      <w:r w:rsidRPr="00A02434">
        <w:rPr>
          <w:szCs w:val="24"/>
          <w:lang w:val="en-US"/>
        </w:rPr>
        <w:t xml:space="preserve"> acid for reducing side effects in patients receiving methotrexate for rheumatoid arthritis (Review). Cochrane Database of Systematic Reviews 1999, Issue 4. Art. No.: CD000951. </w:t>
      </w:r>
    </w:p>
    <w:p w14:paraId="439B191D" w14:textId="77777777" w:rsidR="008249A0" w:rsidRPr="00A02434" w:rsidRDefault="008249A0" w:rsidP="00A02434">
      <w:pPr>
        <w:rPr>
          <w:szCs w:val="24"/>
          <w:lang w:val="en-US"/>
        </w:rPr>
      </w:pPr>
      <w:r w:rsidRPr="00A02434">
        <w:rPr>
          <w:szCs w:val="24"/>
          <w:lang w:val="en-US"/>
        </w:rPr>
        <w:t>7.</w:t>
      </w:r>
      <w:r w:rsidRPr="00A02434">
        <w:rPr>
          <w:szCs w:val="24"/>
          <w:lang w:val="en-US"/>
        </w:rPr>
        <w:tab/>
        <w:t xml:space="preserve">Allen LH. </w:t>
      </w:r>
      <w:proofErr w:type="gramStart"/>
      <w:r w:rsidRPr="00A02434">
        <w:rPr>
          <w:szCs w:val="24"/>
          <w:lang w:val="en-US"/>
        </w:rPr>
        <w:t xml:space="preserve">Causes of vitamin B12 and </w:t>
      </w:r>
      <w:proofErr w:type="spellStart"/>
      <w:r w:rsidRPr="00A02434">
        <w:rPr>
          <w:szCs w:val="24"/>
          <w:lang w:val="en-US"/>
        </w:rPr>
        <w:t>folate</w:t>
      </w:r>
      <w:proofErr w:type="spellEnd"/>
      <w:r w:rsidRPr="00A02434">
        <w:rPr>
          <w:szCs w:val="24"/>
          <w:lang w:val="en-US"/>
        </w:rPr>
        <w:t xml:space="preserve"> deficiency.</w:t>
      </w:r>
      <w:proofErr w:type="gramEnd"/>
      <w:r w:rsidRPr="00A02434">
        <w:rPr>
          <w:szCs w:val="24"/>
          <w:lang w:val="en-US"/>
        </w:rPr>
        <w:t xml:space="preserve"> </w:t>
      </w:r>
      <w:proofErr w:type="gramStart"/>
      <w:r w:rsidRPr="00A02434">
        <w:rPr>
          <w:szCs w:val="24"/>
          <w:lang w:val="en-US"/>
        </w:rPr>
        <w:t xml:space="preserve">Food </w:t>
      </w:r>
      <w:proofErr w:type="spellStart"/>
      <w:r w:rsidRPr="00A02434">
        <w:rPr>
          <w:szCs w:val="24"/>
          <w:lang w:val="en-US"/>
        </w:rPr>
        <w:t>Nutr</w:t>
      </w:r>
      <w:proofErr w:type="spellEnd"/>
      <w:r w:rsidRPr="00A02434">
        <w:rPr>
          <w:szCs w:val="24"/>
          <w:lang w:val="en-US"/>
        </w:rPr>
        <w:t xml:space="preserve"> Bull.</w:t>
      </w:r>
      <w:proofErr w:type="gramEnd"/>
      <w:r w:rsidRPr="00A02434">
        <w:rPr>
          <w:szCs w:val="24"/>
          <w:lang w:val="en-US"/>
        </w:rPr>
        <w:t xml:space="preserve"> 2008</w:t>
      </w:r>
      <w:proofErr w:type="gramStart"/>
      <w:r w:rsidRPr="00A02434">
        <w:rPr>
          <w:szCs w:val="24"/>
          <w:lang w:val="en-US"/>
        </w:rPr>
        <w:t>;29:S20</w:t>
      </w:r>
      <w:proofErr w:type="gramEnd"/>
      <w:r w:rsidRPr="00A02434">
        <w:rPr>
          <w:szCs w:val="24"/>
          <w:lang w:val="en-US"/>
        </w:rPr>
        <w:t>-34.</w:t>
      </w:r>
    </w:p>
    <w:p w14:paraId="301F4D4B" w14:textId="77777777" w:rsidR="008249A0" w:rsidRPr="00A02434" w:rsidRDefault="008249A0" w:rsidP="00A02434">
      <w:pPr>
        <w:rPr>
          <w:szCs w:val="24"/>
          <w:lang w:val="en-US"/>
        </w:rPr>
      </w:pPr>
      <w:r w:rsidRPr="00A02434">
        <w:rPr>
          <w:szCs w:val="24"/>
          <w:lang w:val="en-US"/>
        </w:rPr>
        <w:lastRenderedPageBreak/>
        <w:t>8.</w:t>
      </w:r>
      <w:r w:rsidRPr="00A02434">
        <w:rPr>
          <w:szCs w:val="24"/>
          <w:lang w:val="en-US"/>
        </w:rPr>
        <w:tab/>
        <w:t xml:space="preserve"> “Williams Hematology”, ed. </w:t>
      </w:r>
      <w:proofErr w:type="spellStart"/>
      <w:r w:rsidRPr="00A02434">
        <w:rPr>
          <w:szCs w:val="24"/>
          <w:lang w:val="en-US"/>
        </w:rPr>
        <w:t>E.Butler</w:t>
      </w:r>
      <w:proofErr w:type="spellEnd"/>
      <w:r w:rsidRPr="00A02434">
        <w:rPr>
          <w:szCs w:val="24"/>
          <w:lang w:val="en-US"/>
        </w:rPr>
        <w:t xml:space="preserve">, M.A. </w:t>
      </w:r>
      <w:proofErr w:type="spellStart"/>
      <w:r w:rsidRPr="00A02434">
        <w:rPr>
          <w:szCs w:val="24"/>
          <w:lang w:val="en-US"/>
        </w:rPr>
        <w:t>Lichtman</w:t>
      </w:r>
      <w:proofErr w:type="spellEnd"/>
      <w:r w:rsidRPr="00A02434">
        <w:rPr>
          <w:szCs w:val="24"/>
          <w:lang w:val="en-US"/>
        </w:rPr>
        <w:t xml:space="preserve">, B.S. </w:t>
      </w:r>
      <w:proofErr w:type="spellStart"/>
      <w:r w:rsidRPr="00A02434">
        <w:rPr>
          <w:szCs w:val="24"/>
          <w:lang w:val="en-US"/>
        </w:rPr>
        <w:t>Coller</w:t>
      </w:r>
      <w:proofErr w:type="spellEnd"/>
      <w:r w:rsidRPr="00A02434">
        <w:rPr>
          <w:szCs w:val="24"/>
          <w:lang w:val="en-US"/>
        </w:rPr>
        <w:t xml:space="preserve"> et al., 2001, 6th ed., Chapter 25, </w:t>
      </w:r>
      <w:proofErr w:type="spellStart"/>
      <w:r w:rsidRPr="00A02434">
        <w:rPr>
          <w:szCs w:val="24"/>
          <w:lang w:val="en-US"/>
        </w:rPr>
        <w:t>Babior</w:t>
      </w:r>
      <w:proofErr w:type="spellEnd"/>
      <w:r w:rsidRPr="00A02434">
        <w:rPr>
          <w:szCs w:val="24"/>
          <w:lang w:val="en-US"/>
        </w:rPr>
        <w:t xml:space="preserve"> B.M., Metabolic aspects of folic acid and </w:t>
      </w:r>
      <w:proofErr w:type="spellStart"/>
      <w:r w:rsidRPr="00A02434">
        <w:rPr>
          <w:szCs w:val="24"/>
          <w:lang w:val="en-US"/>
        </w:rPr>
        <w:t>cobalamin</w:t>
      </w:r>
      <w:proofErr w:type="spellEnd"/>
      <w:r w:rsidRPr="00A02434">
        <w:rPr>
          <w:szCs w:val="24"/>
          <w:lang w:val="en-US"/>
        </w:rPr>
        <w:t>. pp. 305 -318</w:t>
      </w:r>
      <w:proofErr w:type="gramStart"/>
      <w:r w:rsidRPr="00A02434">
        <w:rPr>
          <w:szCs w:val="24"/>
          <w:lang w:val="en-US"/>
        </w:rPr>
        <w:t>,  Chapter</w:t>
      </w:r>
      <w:proofErr w:type="gramEnd"/>
      <w:r w:rsidRPr="00A02434">
        <w:rPr>
          <w:szCs w:val="24"/>
          <w:lang w:val="en-US"/>
        </w:rPr>
        <w:t xml:space="preserve"> 37, </w:t>
      </w:r>
      <w:proofErr w:type="spellStart"/>
      <w:r w:rsidRPr="00A02434">
        <w:rPr>
          <w:szCs w:val="24"/>
          <w:lang w:val="en-US"/>
        </w:rPr>
        <w:t>Babior</w:t>
      </w:r>
      <w:proofErr w:type="spellEnd"/>
      <w:r w:rsidRPr="00A02434">
        <w:rPr>
          <w:szCs w:val="24"/>
          <w:lang w:val="en-US"/>
        </w:rPr>
        <w:t xml:space="preserve"> B.M., The </w:t>
      </w:r>
      <w:proofErr w:type="spellStart"/>
      <w:r w:rsidRPr="00A02434">
        <w:rPr>
          <w:szCs w:val="24"/>
          <w:lang w:val="en-US"/>
        </w:rPr>
        <w:t>megaloblastic</w:t>
      </w:r>
      <w:proofErr w:type="spellEnd"/>
      <w:r w:rsidRPr="00A02434">
        <w:rPr>
          <w:szCs w:val="24"/>
          <w:lang w:val="en-US"/>
        </w:rPr>
        <w:t xml:space="preserve"> </w:t>
      </w:r>
      <w:proofErr w:type="spellStart"/>
      <w:r w:rsidRPr="00A02434">
        <w:rPr>
          <w:szCs w:val="24"/>
          <w:lang w:val="en-US"/>
        </w:rPr>
        <w:t>anemias</w:t>
      </w:r>
      <w:proofErr w:type="spellEnd"/>
      <w:r w:rsidRPr="00A02434">
        <w:rPr>
          <w:szCs w:val="24"/>
          <w:lang w:val="en-US"/>
        </w:rPr>
        <w:t>. 425 – 445.</w:t>
      </w:r>
    </w:p>
    <w:p w14:paraId="3BE51555" w14:textId="77777777" w:rsidR="008249A0" w:rsidRPr="00A02434" w:rsidRDefault="008249A0" w:rsidP="00A02434">
      <w:pPr>
        <w:rPr>
          <w:szCs w:val="24"/>
          <w:lang w:val="en-US"/>
        </w:rPr>
      </w:pPr>
      <w:proofErr w:type="gramStart"/>
      <w:r w:rsidRPr="00A02434">
        <w:rPr>
          <w:szCs w:val="24"/>
          <w:lang w:val="en-US"/>
        </w:rPr>
        <w:t>9.</w:t>
      </w:r>
      <w:r w:rsidRPr="00A02434">
        <w:rPr>
          <w:szCs w:val="24"/>
          <w:lang w:val="en-US"/>
        </w:rPr>
        <w:tab/>
      </w:r>
      <w:proofErr w:type="spellStart"/>
      <w:r w:rsidRPr="00A02434">
        <w:rPr>
          <w:szCs w:val="24"/>
          <w:lang w:val="en-US"/>
        </w:rPr>
        <w:t>Zittoun</w:t>
      </w:r>
      <w:proofErr w:type="spellEnd"/>
      <w:r w:rsidRPr="00A02434">
        <w:rPr>
          <w:szCs w:val="24"/>
          <w:lang w:val="en-US"/>
        </w:rPr>
        <w:t xml:space="preserve"> J. Congenital errors of </w:t>
      </w:r>
      <w:proofErr w:type="spellStart"/>
      <w:r w:rsidRPr="00A02434">
        <w:rPr>
          <w:szCs w:val="24"/>
          <w:lang w:val="en-US"/>
        </w:rPr>
        <w:t>folate</w:t>
      </w:r>
      <w:proofErr w:type="spellEnd"/>
      <w:r w:rsidRPr="00A02434">
        <w:rPr>
          <w:szCs w:val="24"/>
          <w:lang w:val="en-US"/>
        </w:rPr>
        <w:t xml:space="preserve"> metabolism.</w:t>
      </w:r>
      <w:proofErr w:type="gramEnd"/>
      <w:r w:rsidRPr="00A02434">
        <w:rPr>
          <w:szCs w:val="24"/>
          <w:lang w:val="en-US"/>
        </w:rPr>
        <w:t xml:space="preserve"> </w:t>
      </w:r>
      <w:proofErr w:type="spellStart"/>
      <w:r w:rsidRPr="00A02434">
        <w:rPr>
          <w:szCs w:val="24"/>
          <w:lang w:val="en-US"/>
        </w:rPr>
        <w:t>Bailliere’s</w:t>
      </w:r>
      <w:proofErr w:type="spellEnd"/>
      <w:r w:rsidRPr="00A02434">
        <w:rPr>
          <w:szCs w:val="24"/>
          <w:lang w:val="en-US"/>
        </w:rPr>
        <w:t xml:space="preserve"> </w:t>
      </w:r>
      <w:proofErr w:type="spellStart"/>
      <w:r w:rsidRPr="00A02434">
        <w:rPr>
          <w:szCs w:val="24"/>
          <w:lang w:val="en-US"/>
        </w:rPr>
        <w:t>Clin</w:t>
      </w:r>
      <w:proofErr w:type="spellEnd"/>
      <w:r w:rsidRPr="00A02434">
        <w:rPr>
          <w:szCs w:val="24"/>
          <w:lang w:val="en-US"/>
        </w:rPr>
        <w:t xml:space="preserve"> </w:t>
      </w:r>
      <w:proofErr w:type="spellStart"/>
      <w:r w:rsidRPr="00A02434">
        <w:rPr>
          <w:szCs w:val="24"/>
          <w:lang w:val="en-US"/>
        </w:rPr>
        <w:t>Haematol</w:t>
      </w:r>
      <w:proofErr w:type="spellEnd"/>
      <w:r w:rsidRPr="00A02434">
        <w:rPr>
          <w:szCs w:val="24"/>
          <w:lang w:val="en-US"/>
        </w:rPr>
        <w:t xml:space="preserve"> 1995; 8(3):603–16.</w:t>
      </w:r>
    </w:p>
    <w:p w14:paraId="5E70249C" w14:textId="77777777" w:rsidR="008249A0" w:rsidRPr="00A02434" w:rsidRDefault="008249A0" w:rsidP="00A02434">
      <w:pPr>
        <w:rPr>
          <w:szCs w:val="24"/>
          <w:lang w:val="en-US"/>
        </w:rPr>
      </w:pPr>
      <w:r w:rsidRPr="00A02434">
        <w:rPr>
          <w:szCs w:val="24"/>
          <w:lang w:val="en-US"/>
        </w:rPr>
        <w:t>10.</w:t>
      </w:r>
      <w:r w:rsidRPr="00A02434">
        <w:rPr>
          <w:szCs w:val="24"/>
          <w:lang w:val="en-US"/>
        </w:rPr>
        <w:tab/>
        <w:t xml:space="preserve">Whitehead VM Acquired and inherited disorders of </w:t>
      </w:r>
      <w:proofErr w:type="spellStart"/>
      <w:r w:rsidRPr="00A02434">
        <w:rPr>
          <w:szCs w:val="24"/>
          <w:lang w:val="en-US"/>
        </w:rPr>
        <w:t>cobalamin</w:t>
      </w:r>
      <w:proofErr w:type="spellEnd"/>
      <w:r w:rsidRPr="00A02434">
        <w:rPr>
          <w:szCs w:val="24"/>
          <w:lang w:val="en-US"/>
        </w:rPr>
        <w:t xml:space="preserve"> and </w:t>
      </w:r>
      <w:proofErr w:type="spellStart"/>
      <w:r w:rsidRPr="00A02434">
        <w:rPr>
          <w:szCs w:val="24"/>
          <w:lang w:val="en-US"/>
        </w:rPr>
        <w:t>folate</w:t>
      </w:r>
      <w:proofErr w:type="spellEnd"/>
      <w:r w:rsidRPr="00A02434">
        <w:rPr>
          <w:szCs w:val="24"/>
          <w:lang w:val="en-US"/>
        </w:rPr>
        <w:t xml:space="preserve"> in children. </w:t>
      </w:r>
      <w:proofErr w:type="gramStart"/>
      <w:r w:rsidRPr="00A02434">
        <w:rPr>
          <w:szCs w:val="24"/>
          <w:lang w:val="en-US"/>
        </w:rPr>
        <w:t xml:space="preserve">Br J </w:t>
      </w:r>
      <w:proofErr w:type="spellStart"/>
      <w:r w:rsidRPr="00A02434">
        <w:rPr>
          <w:szCs w:val="24"/>
          <w:lang w:val="en-US"/>
        </w:rPr>
        <w:t>Haematol</w:t>
      </w:r>
      <w:proofErr w:type="spellEnd"/>
      <w:r w:rsidRPr="00A02434">
        <w:rPr>
          <w:szCs w:val="24"/>
          <w:lang w:val="en-US"/>
        </w:rPr>
        <w:t>.</w:t>
      </w:r>
      <w:proofErr w:type="gramEnd"/>
      <w:r w:rsidRPr="00A02434">
        <w:rPr>
          <w:szCs w:val="24"/>
          <w:lang w:val="en-US"/>
        </w:rPr>
        <w:t xml:space="preserve"> 2006 Jul</w:t>
      </w:r>
      <w:proofErr w:type="gramStart"/>
      <w:r w:rsidRPr="00A02434">
        <w:rPr>
          <w:szCs w:val="24"/>
          <w:lang w:val="en-US"/>
        </w:rPr>
        <w:t>;134</w:t>
      </w:r>
      <w:proofErr w:type="gramEnd"/>
      <w:r w:rsidRPr="00A02434">
        <w:rPr>
          <w:szCs w:val="24"/>
          <w:lang w:val="en-US"/>
        </w:rPr>
        <w:t xml:space="preserve">(2):125-36. </w:t>
      </w:r>
    </w:p>
    <w:p w14:paraId="0F39607F" w14:textId="77777777" w:rsidR="008249A0" w:rsidRPr="00A02434" w:rsidRDefault="008249A0" w:rsidP="00A02434">
      <w:pPr>
        <w:rPr>
          <w:szCs w:val="24"/>
          <w:lang w:val="en-US"/>
        </w:rPr>
      </w:pPr>
      <w:r w:rsidRPr="00A02434">
        <w:rPr>
          <w:szCs w:val="24"/>
          <w:lang w:val="en-US"/>
        </w:rPr>
        <w:t>11.</w:t>
      </w:r>
      <w:r w:rsidRPr="00A02434">
        <w:rPr>
          <w:szCs w:val="24"/>
          <w:lang w:val="en-US"/>
        </w:rPr>
        <w:tab/>
      </w:r>
      <w:proofErr w:type="spellStart"/>
      <w:r w:rsidRPr="00A02434">
        <w:rPr>
          <w:szCs w:val="24"/>
          <w:lang w:val="en-US"/>
        </w:rPr>
        <w:t>Qiu</w:t>
      </w:r>
      <w:proofErr w:type="spellEnd"/>
      <w:r w:rsidRPr="00A02434">
        <w:rPr>
          <w:szCs w:val="24"/>
          <w:lang w:val="en-US"/>
        </w:rPr>
        <w:t xml:space="preserve"> A, Jansen M, </w:t>
      </w:r>
      <w:proofErr w:type="spellStart"/>
      <w:r w:rsidRPr="00A02434">
        <w:rPr>
          <w:szCs w:val="24"/>
          <w:lang w:val="en-US"/>
        </w:rPr>
        <w:t>Sakaris</w:t>
      </w:r>
      <w:proofErr w:type="spellEnd"/>
      <w:r w:rsidRPr="00A02434">
        <w:rPr>
          <w:szCs w:val="24"/>
          <w:lang w:val="en-US"/>
        </w:rPr>
        <w:t xml:space="preserve"> A, et al. Identification of an intestinal </w:t>
      </w:r>
      <w:proofErr w:type="spellStart"/>
      <w:r w:rsidRPr="00A02434">
        <w:rPr>
          <w:szCs w:val="24"/>
          <w:lang w:val="en-US"/>
        </w:rPr>
        <w:t>folate</w:t>
      </w:r>
      <w:proofErr w:type="spellEnd"/>
      <w:r w:rsidRPr="00A02434">
        <w:rPr>
          <w:szCs w:val="24"/>
          <w:lang w:val="en-US"/>
        </w:rPr>
        <w:t xml:space="preserve"> transporter and the molecular basis for hereditary </w:t>
      </w:r>
      <w:proofErr w:type="spellStart"/>
      <w:r w:rsidRPr="00A02434">
        <w:rPr>
          <w:szCs w:val="24"/>
          <w:lang w:val="en-US"/>
        </w:rPr>
        <w:t>folate</w:t>
      </w:r>
      <w:proofErr w:type="spellEnd"/>
      <w:r w:rsidRPr="00A02434">
        <w:rPr>
          <w:szCs w:val="24"/>
          <w:lang w:val="en-US"/>
        </w:rPr>
        <w:t xml:space="preserve"> </w:t>
      </w:r>
      <w:proofErr w:type="spellStart"/>
      <w:r w:rsidRPr="00A02434">
        <w:rPr>
          <w:szCs w:val="24"/>
          <w:lang w:val="en-US"/>
        </w:rPr>
        <w:t>malabsorption</w:t>
      </w:r>
      <w:proofErr w:type="spellEnd"/>
      <w:r w:rsidRPr="00A02434">
        <w:rPr>
          <w:szCs w:val="24"/>
          <w:lang w:val="en-US"/>
        </w:rPr>
        <w:t>. Cell 2006</w:t>
      </w:r>
      <w:proofErr w:type="gramStart"/>
      <w:r w:rsidRPr="00A02434">
        <w:rPr>
          <w:szCs w:val="24"/>
          <w:lang w:val="en-US"/>
        </w:rPr>
        <w:t>;127</w:t>
      </w:r>
      <w:proofErr w:type="gramEnd"/>
      <w:r w:rsidRPr="00A02434">
        <w:rPr>
          <w:szCs w:val="24"/>
          <w:lang w:val="en-US"/>
        </w:rPr>
        <w:t xml:space="preserve">(5):917–28. </w:t>
      </w:r>
    </w:p>
    <w:p w14:paraId="2737AA3A" w14:textId="77777777" w:rsidR="008249A0" w:rsidRPr="00A02434" w:rsidRDefault="008249A0" w:rsidP="00A02434">
      <w:pPr>
        <w:rPr>
          <w:szCs w:val="24"/>
          <w:lang w:val="en-US"/>
        </w:rPr>
      </w:pPr>
      <w:r w:rsidRPr="00A02434">
        <w:rPr>
          <w:szCs w:val="24"/>
          <w:lang w:val="en-US"/>
        </w:rPr>
        <w:t>12.</w:t>
      </w:r>
      <w:r w:rsidRPr="00A02434">
        <w:rPr>
          <w:szCs w:val="24"/>
          <w:lang w:val="en-US"/>
        </w:rPr>
        <w:tab/>
        <w:t xml:space="preserve"> Green R, </w:t>
      </w:r>
      <w:proofErr w:type="spellStart"/>
      <w:r w:rsidRPr="00A02434">
        <w:rPr>
          <w:szCs w:val="24"/>
          <w:lang w:val="en-US"/>
        </w:rPr>
        <w:t>Datta</w:t>
      </w:r>
      <w:proofErr w:type="spellEnd"/>
      <w:r w:rsidRPr="00A02434">
        <w:rPr>
          <w:szCs w:val="24"/>
          <w:lang w:val="en-US"/>
        </w:rPr>
        <w:t xml:space="preserve"> </w:t>
      </w:r>
      <w:proofErr w:type="spellStart"/>
      <w:r w:rsidRPr="00A02434">
        <w:rPr>
          <w:szCs w:val="24"/>
          <w:lang w:val="en-US"/>
        </w:rPr>
        <w:t>Mitra</w:t>
      </w:r>
      <w:proofErr w:type="spellEnd"/>
      <w:r w:rsidRPr="00A02434">
        <w:rPr>
          <w:szCs w:val="24"/>
          <w:lang w:val="en-US"/>
        </w:rPr>
        <w:t xml:space="preserve"> A. </w:t>
      </w:r>
      <w:proofErr w:type="spellStart"/>
      <w:r w:rsidRPr="00A02434">
        <w:rPr>
          <w:szCs w:val="24"/>
          <w:lang w:val="en-US"/>
        </w:rPr>
        <w:t>Megaloblastic</w:t>
      </w:r>
      <w:proofErr w:type="spellEnd"/>
      <w:r w:rsidRPr="00A02434">
        <w:rPr>
          <w:szCs w:val="24"/>
          <w:lang w:val="en-US"/>
        </w:rPr>
        <w:t xml:space="preserve"> </w:t>
      </w:r>
      <w:proofErr w:type="spellStart"/>
      <w:r w:rsidRPr="00A02434">
        <w:rPr>
          <w:szCs w:val="24"/>
          <w:lang w:val="en-US"/>
        </w:rPr>
        <w:t>Anemias</w:t>
      </w:r>
      <w:proofErr w:type="spellEnd"/>
      <w:r w:rsidRPr="00A02434">
        <w:rPr>
          <w:szCs w:val="24"/>
          <w:lang w:val="en-US"/>
        </w:rPr>
        <w:t xml:space="preserve">: Nutritional and Other Causes. Med </w:t>
      </w:r>
      <w:proofErr w:type="spellStart"/>
      <w:r w:rsidRPr="00A02434">
        <w:rPr>
          <w:szCs w:val="24"/>
          <w:lang w:val="en-US"/>
        </w:rPr>
        <w:t>Clin</w:t>
      </w:r>
      <w:proofErr w:type="spellEnd"/>
      <w:r w:rsidRPr="00A02434">
        <w:rPr>
          <w:szCs w:val="24"/>
          <w:lang w:val="en-US"/>
        </w:rPr>
        <w:t xml:space="preserve"> North Am. 2017 Mar</w:t>
      </w:r>
      <w:proofErr w:type="gramStart"/>
      <w:r w:rsidRPr="00A02434">
        <w:rPr>
          <w:szCs w:val="24"/>
          <w:lang w:val="en-US"/>
        </w:rPr>
        <w:t>;101</w:t>
      </w:r>
      <w:proofErr w:type="gramEnd"/>
      <w:r w:rsidRPr="00A02434">
        <w:rPr>
          <w:szCs w:val="24"/>
          <w:lang w:val="en-US"/>
        </w:rPr>
        <w:t>(2):297-317.</w:t>
      </w:r>
    </w:p>
    <w:p w14:paraId="1D8A2E7E" w14:textId="77777777" w:rsidR="008249A0" w:rsidRPr="00A02434" w:rsidRDefault="008249A0" w:rsidP="00A02434">
      <w:pPr>
        <w:rPr>
          <w:szCs w:val="24"/>
          <w:lang w:val="en-US"/>
        </w:rPr>
      </w:pPr>
      <w:r w:rsidRPr="00A02434">
        <w:rPr>
          <w:szCs w:val="24"/>
          <w:lang w:val="en-US"/>
        </w:rPr>
        <w:t>13.</w:t>
      </w:r>
      <w:r w:rsidRPr="00A02434">
        <w:rPr>
          <w:szCs w:val="24"/>
          <w:lang w:val="en-US"/>
        </w:rPr>
        <w:tab/>
        <w:t xml:space="preserve">Green R, </w:t>
      </w:r>
      <w:proofErr w:type="spellStart"/>
      <w:r w:rsidRPr="00A02434">
        <w:rPr>
          <w:szCs w:val="24"/>
          <w:lang w:val="en-US"/>
        </w:rPr>
        <w:t>Dwyre</w:t>
      </w:r>
      <w:proofErr w:type="spellEnd"/>
      <w:r w:rsidRPr="00A02434">
        <w:rPr>
          <w:szCs w:val="24"/>
          <w:lang w:val="en-US"/>
        </w:rPr>
        <w:t xml:space="preserve"> DM. Evaluation of macrocytic </w:t>
      </w:r>
      <w:proofErr w:type="spellStart"/>
      <w:r w:rsidRPr="00A02434">
        <w:rPr>
          <w:szCs w:val="24"/>
          <w:lang w:val="en-US"/>
        </w:rPr>
        <w:t>anemias</w:t>
      </w:r>
      <w:proofErr w:type="spellEnd"/>
      <w:r w:rsidRPr="00A02434">
        <w:rPr>
          <w:szCs w:val="24"/>
          <w:lang w:val="en-US"/>
        </w:rPr>
        <w:t xml:space="preserve">. </w:t>
      </w:r>
      <w:proofErr w:type="spellStart"/>
      <w:r w:rsidRPr="00A02434">
        <w:rPr>
          <w:szCs w:val="24"/>
          <w:lang w:val="en-US"/>
        </w:rPr>
        <w:t>Semin</w:t>
      </w:r>
      <w:proofErr w:type="spellEnd"/>
      <w:r w:rsidRPr="00A02434">
        <w:rPr>
          <w:szCs w:val="24"/>
          <w:lang w:val="en-US"/>
        </w:rPr>
        <w:t xml:space="preserve"> </w:t>
      </w:r>
      <w:proofErr w:type="spellStart"/>
      <w:r w:rsidRPr="00A02434">
        <w:rPr>
          <w:szCs w:val="24"/>
          <w:lang w:val="en-US"/>
        </w:rPr>
        <w:t>Hematol</w:t>
      </w:r>
      <w:proofErr w:type="spellEnd"/>
      <w:r w:rsidRPr="00A02434">
        <w:rPr>
          <w:szCs w:val="24"/>
          <w:lang w:val="en-US"/>
        </w:rPr>
        <w:t xml:space="preserve"> 2015</w:t>
      </w:r>
      <w:proofErr w:type="gramStart"/>
      <w:r w:rsidRPr="00A02434">
        <w:rPr>
          <w:szCs w:val="24"/>
          <w:lang w:val="en-US"/>
        </w:rPr>
        <w:t>;52:279</w:t>
      </w:r>
      <w:proofErr w:type="gramEnd"/>
      <w:r w:rsidRPr="00A02434">
        <w:rPr>
          <w:szCs w:val="24"/>
          <w:lang w:val="en-US"/>
        </w:rPr>
        <w:t xml:space="preserve">–86. </w:t>
      </w:r>
    </w:p>
    <w:p w14:paraId="59264CD2" w14:textId="77777777" w:rsidR="008249A0" w:rsidRPr="00A02434" w:rsidRDefault="008249A0" w:rsidP="00A02434">
      <w:pPr>
        <w:rPr>
          <w:szCs w:val="24"/>
          <w:lang w:val="en-US"/>
        </w:rPr>
      </w:pPr>
      <w:r w:rsidRPr="00A02434">
        <w:rPr>
          <w:szCs w:val="24"/>
          <w:lang w:val="en-US"/>
        </w:rPr>
        <w:t>14.</w:t>
      </w:r>
      <w:r w:rsidRPr="00A02434">
        <w:rPr>
          <w:szCs w:val="24"/>
          <w:lang w:val="en-US"/>
        </w:rPr>
        <w:tab/>
        <w:t xml:space="preserve">Nagao T, </w:t>
      </w:r>
      <w:proofErr w:type="spellStart"/>
      <w:r w:rsidRPr="00A02434">
        <w:rPr>
          <w:szCs w:val="24"/>
          <w:lang w:val="en-US"/>
        </w:rPr>
        <w:t>Hirokawa</w:t>
      </w:r>
      <w:proofErr w:type="spellEnd"/>
      <w:r w:rsidRPr="00A02434">
        <w:rPr>
          <w:szCs w:val="24"/>
          <w:lang w:val="en-US"/>
        </w:rPr>
        <w:t xml:space="preserve"> M. Diagnosis and treatment of macrocytic </w:t>
      </w:r>
      <w:proofErr w:type="spellStart"/>
      <w:r w:rsidRPr="00A02434">
        <w:rPr>
          <w:szCs w:val="24"/>
          <w:lang w:val="en-US"/>
        </w:rPr>
        <w:t>anemias</w:t>
      </w:r>
      <w:proofErr w:type="spellEnd"/>
      <w:r w:rsidRPr="00A02434">
        <w:rPr>
          <w:szCs w:val="24"/>
          <w:lang w:val="en-US"/>
        </w:rPr>
        <w:t xml:space="preserve"> in adults. J Gen </w:t>
      </w:r>
      <w:proofErr w:type="spellStart"/>
      <w:r w:rsidRPr="00A02434">
        <w:rPr>
          <w:szCs w:val="24"/>
          <w:lang w:val="en-US"/>
        </w:rPr>
        <w:t>Fam</w:t>
      </w:r>
      <w:proofErr w:type="spellEnd"/>
      <w:r w:rsidRPr="00A02434">
        <w:rPr>
          <w:szCs w:val="24"/>
          <w:lang w:val="en-US"/>
        </w:rPr>
        <w:t xml:space="preserve"> Med. 2017</w:t>
      </w:r>
      <w:proofErr w:type="gramStart"/>
      <w:r w:rsidRPr="00A02434">
        <w:rPr>
          <w:szCs w:val="24"/>
          <w:lang w:val="en-US"/>
        </w:rPr>
        <w:t>;18:200</w:t>
      </w:r>
      <w:proofErr w:type="gramEnd"/>
      <w:r w:rsidRPr="00A02434">
        <w:rPr>
          <w:szCs w:val="24"/>
          <w:lang w:val="en-US"/>
        </w:rPr>
        <w:t>–204. https://doi.org/10.1002/jgf2.31</w:t>
      </w:r>
    </w:p>
    <w:p w14:paraId="2D5E0535" w14:textId="77777777" w:rsidR="008249A0" w:rsidRPr="00A02434" w:rsidRDefault="008249A0" w:rsidP="00A02434">
      <w:pPr>
        <w:rPr>
          <w:szCs w:val="24"/>
          <w:lang w:val="en-US"/>
        </w:rPr>
      </w:pPr>
      <w:r w:rsidRPr="00A02434">
        <w:rPr>
          <w:szCs w:val="24"/>
          <w:lang w:val="en-US"/>
        </w:rPr>
        <w:t>15.</w:t>
      </w:r>
      <w:r w:rsidRPr="00A02434">
        <w:rPr>
          <w:szCs w:val="24"/>
          <w:lang w:val="en-US"/>
        </w:rPr>
        <w:tab/>
        <w:t xml:space="preserve">De </w:t>
      </w:r>
      <w:proofErr w:type="spellStart"/>
      <w:r w:rsidRPr="00A02434">
        <w:rPr>
          <w:szCs w:val="24"/>
          <w:lang w:val="en-US"/>
        </w:rPr>
        <w:t>Bruyn</w:t>
      </w:r>
      <w:proofErr w:type="spellEnd"/>
      <w:r w:rsidRPr="00A02434">
        <w:rPr>
          <w:szCs w:val="24"/>
          <w:lang w:val="en-US"/>
        </w:rPr>
        <w:t xml:space="preserve"> E, </w:t>
      </w:r>
      <w:proofErr w:type="spellStart"/>
      <w:r w:rsidRPr="00A02434">
        <w:rPr>
          <w:szCs w:val="24"/>
          <w:lang w:val="en-US"/>
        </w:rPr>
        <w:t>Gulbis</w:t>
      </w:r>
      <w:proofErr w:type="spellEnd"/>
      <w:r w:rsidRPr="00A02434">
        <w:rPr>
          <w:szCs w:val="24"/>
          <w:lang w:val="en-US"/>
        </w:rPr>
        <w:t xml:space="preserve"> B, Cotton F. Serum and red blood cell </w:t>
      </w:r>
      <w:proofErr w:type="spellStart"/>
      <w:r w:rsidRPr="00A02434">
        <w:rPr>
          <w:szCs w:val="24"/>
          <w:lang w:val="en-US"/>
        </w:rPr>
        <w:t>folate</w:t>
      </w:r>
      <w:proofErr w:type="spellEnd"/>
      <w:r w:rsidRPr="00A02434">
        <w:rPr>
          <w:szCs w:val="24"/>
          <w:lang w:val="en-US"/>
        </w:rPr>
        <w:t xml:space="preserve"> testing for </w:t>
      </w:r>
      <w:proofErr w:type="spellStart"/>
      <w:r w:rsidRPr="00A02434">
        <w:rPr>
          <w:szCs w:val="24"/>
          <w:lang w:val="en-US"/>
        </w:rPr>
        <w:t>folate</w:t>
      </w:r>
      <w:proofErr w:type="spellEnd"/>
    </w:p>
    <w:p w14:paraId="0AFA91D5" w14:textId="77777777" w:rsidR="008249A0" w:rsidRPr="00A02434" w:rsidRDefault="008249A0" w:rsidP="00A02434">
      <w:pPr>
        <w:rPr>
          <w:szCs w:val="24"/>
          <w:lang w:val="en-US"/>
        </w:rPr>
      </w:pPr>
      <w:proofErr w:type="gramStart"/>
      <w:r w:rsidRPr="00A02434">
        <w:rPr>
          <w:szCs w:val="24"/>
          <w:lang w:val="en-US"/>
        </w:rPr>
        <w:t>deficiency</w:t>
      </w:r>
      <w:proofErr w:type="gramEnd"/>
      <w:r w:rsidRPr="00A02434">
        <w:rPr>
          <w:szCs w:val="24"/>
          <w:lang w:val="en-US"/>
        </w:rPr>
        <w:t xml:space="preserve">: new features? </w:t>
      </w:r>
      <w:proofErr w:type="spellStart"/>
      <w:r w:rsidRPr="00A02434">
        <w:rPr>
          <w:szCs w:val="24"/>
          <w:lang w:val="en-US"/>
        </w:rPr>
        <w:t>Eur</w:t>
      </w:r>
      <w:proofErr w:type="spellEnd"/>
      <w:r w:rsidRPr="00A02434">
        <w:rPr>
          <w:szCs w:val="24"/>
          <w:lang w:val="en-US"/>
        </w:rPr>
        <w:t xml:space="preserve"> J </w:t>
      </w:r>
      <w:proofErr w:type="spellStart"/>
      <w:r w:rsidRPr="00A02434">
        <w:rPr>
          <w:szCs w:val="24"/>
          <w:lang w:val="en-US"/>
        </w:rPr>
        <w:t>Haematol</w:t>
      </w:r>
      <w:proofErr w:type="spellEnd"/>
      <w:r w:rsidRPr="00A02434">
        <w:rPr>
          <w:szCs w:val="24"/>
          <w:lang w:val="en-US"/>
        </w:rPr>
        <w:t xml:space="preserve"> 2014</w:t>
      </w:r>
      <w:proofErr w:type="gramStart"/>
      <w:r w:rsidRPr="00A02434">
        <w:rPr>
          <w:szCs w:val="24"/>
          <w:lang w:val="en-US"/>
        </w:rPr>
        <w:t>;92</w:t>
      </w:r>
      <w:proofErr w:type="gramEnd"/>
      <w:r w:rsidRPr="00A02434">
        <w:rPr>
          <w:szCs w:val="24"/>
          <w:lang w:val="en-US"/>
        </w:rPr>
        <w:t>(4):354–9.</w:t>
      </w:r>
    </w:p>
    <w:p w14:paraId="49B9481C" w14:textId="77777777" w:rsidR="008249A0" w:rsidRPr="00A02434" w:rsidRDefault="008249A0" w:rsidP="00A02434">
      <w:pPr>
        <w:rPr>
          <w:szCs w:val="24"/>
          <w:lang w:val="en-US"/>
        </w:rPr>
      </w:pPr>
      <w:r w:rsidRPr="00A02434">
        <w:rPr>
          <w:szCs w:val="24"/>
          <w:lang w:val="en-US"/>
        </w:rPr>
        <w:t>16.</w:t>
      </w:r>
      <w:r w:rsidRPr="00A02434">
        <w:rPr>
          <w:szCs w:val="24"/>
          <w:lang w:val="en-US"/>
        </w:rPr>
        <w:tab/>
      </w:r>
      <w:proofErr w:type="spellStart"/>
      <w:r w:rsidRPr="00A02434">
        <w:rPr>
          <w:szCs w:val="24"/>
          <w:lang w:val="en-US"/>
        </w:rPr>
        <w:t>Stabler</w:t>
      </w:r>
      <w:proofErr w:type="spellEnd"/>
      <w:r w:rsidRPr="00A02434">
        <w:rPr>
          <w:szCs w:val="24"/>
          <w:lang w:val="en-US"/>
        </w:rPr>
        <w:t xml:space="preserve"> SP, </w:t>
      </w:r>
      <w:proofErr w:type="spellStart"/>
      <w:r w:rsidRPr="00A02434">
        <w:rPr>
          <w:szCs w:val="24"/>
          <w:lang w:val="en-US"/>
        </w:rPr>
        <w:t>Marcell</w:t>
      </w:r>
      <w:proofErr w:type="spellEnd"/>
      <w:r w:rsidRPr="00A02434">
        <w:rPr>
          <w:szCs w:val="24"/>
          <w:lang w:val="en-US"/>
        </w:rPr>
        <w:t xml:space="preserve"> PD, </w:t>
      </w:r>
      <w:proofErr w:type="spellStart"/>
      <w:r w:rsidRPr="00A02434">
        <w:rPr>
          <w:szCs w:val="24"/>
          <w:lang w:val="en-US"/>
        </w:rPr>
        <w:t>Podell</w:t>
      </w:r>
      <w:proofErr w:type="spellEnd"/>
      <w:r w:rsidRPr="00A02434">
        <w:rPr>
          <w:szCs w:val="24"/>
          <w:lang w:val="en-US"/>
        </w:rPr>
        <w:t xml:space="preserve"> ER, et al. Elevation of total </w:t>
      </w:r>
      <w:proofErr w:type="spellStart"/>
      <w:r w:rsidRPr="00A02434">
        <w:rPr>
          <w:szCs w:val="24"/>
          <w:lang w:val="en-US"/>
        </w:rPr>
        <w:t>homocysteine</w:t>
      </w:r>
      <w:proofErr w:type="spellEnd"/>
      <w:r w:rsidRPr="00A02434">
        <w:rPr>
          <w:szCs w:val="24"/>
          <w:lang w:val="en-US"/>
        </w:rPr>
        <w:t xml:space="preserve"> in the serum of patients with </w:t>
      </w:r>
      <w:proofErr w:type="spellStart"/>
      <w:r w:rsidRPr="00A02434">
        <w:rPr>
          <w:szCs w:val="24"/>
          <w:lang w:val="en-US"/>
        </w:rPr>
        <w:t>cobalamin</w:t>
      </w:r>
      <w:proofErr w:type="spellEnd"/>
      <w:r w:rsidRPr="00A02434">
        <w:rPr>
          <w:szCs w:val="24"/>
          <w:lang w:val="en-US"/>
        </w:rPr>
        <w:t xml:space="preserve"> or </w:t>
      </w:r>
      <w:proofErr w:type="spellStart"/>
      <w:r w:rsidRPr="00A02434">
        <w:rPr>
          <w:szCs w:val="24"/>
          <w:lang w:val="en-US"/>
        </w:rPr>
        <w:t>folate</w:t>
      </w:r>
      <w:proofErr w:type="spellEnd"/>
      <w:r w:rsidRPr="00A02434">
        <w:rPr>
          <w:szCs w:val="24"/>
          <w:lang w:val="en-US"/>
        </w:rPr>
        <w:t xml:space="preserve"> deficiency detected by capillary gas chromatography-mass spectrometry. J </w:t>
      </w:r>
      <w:proofErr w:type="spellStart"/>
      <w:r w:rsidRPr="00A02434">
        <w:rPr>
          <w:szCs w:val="24"/>
          <w:lang w:val="en-US"/>
        </w:rPr>
        <w:t>Clin</w:t>
      </w:r>
      <w:proofErr w:type="spellEnd"/>
      <w:r w:rsidRPr="00A02434">
        <w:rPr>
          <w:szCs w:val="24"/>
          <w:lang w:val="en-US"/>
        </w:rPr>
        <w:t xml:space="preserve"> Invest 1988</w:t>
      </w:r>
      <w:proofErr w:type="gramStart"/>
      <w:r w:rsidRPr="00A02434">
        <w:rPr>
          <w:szCs w:val="24"/>
          <w:lang w:val="en-US"/>
        </w:rPr>
        <w:t>;81</w:t>
      </w:r>
      <w:proofErr w:type="gramEnd"/>
      <w:r w:rsidRPr="00A02434">
        <w:rPr>
          <w:szCs w:val="24"/>
          <w:lang w:val="en-US"/>
        </w:rPr>
        <w:t xml:space="preserve">(2):466–74. </w:t>
      </w:r>
    </w:p>
    <w:p w14:paraId="641028B2" w14:textId="77777777" w:rsidR="008249A0" w:rsidRPr="00A02434" w:rsidRDefault="008249A0" w:rsidP="00A02434">
      <w:pPr>
        <w:rPr>
          <w:szCs w:val="24"/>
          <w:lang w:val="en-US"/>
        </w:rPr>
      </w:pPr>
      <w:r w:rsidRPr="00A02434">
        <w:rPr>
          <w:szCs w:val="24"/>
          <w:lang w:val="en-US"/>
        </w:rPr>
        <w:t>17.</w:t>
      </w:r>
      <w:r w:rsidRPr="00A02434">
        <w:rPr>
          <w:szCs w:val="24"/>
          <w:lang w:val="en-US"/>
        </w:rPr>
        <w:tab/>
        <w:t xml:space="preserve">Green R, Miller JW. </w:t>
      </w:r>
      <w:proofErr w:type="spellStart"/>
      <w:r w:rsidRPr="00A02434">
        <w:rPr>
          <w:szCs w:val="24"/>
          <w:lang w:val="en-US"/>
        </w:rPr>
        <w:t>Folate</w:t>
      </w:r>
      <w:proofErr w:type="spellEnd"/>
      <w:r w:rsidRPr="00A02434">
        <w:rPr>
          <w:szCs w:val="24"/>
          <w:lang w:val="en-US"/>
        </w:rPr>
        <w:t xml:space="preserve"> deficiency beyond </w:t>
      </w:r>
      <w:proofErr w:type="spellStart"/>
      <w:r w:rsidRPr="00A02434">
        <w:rPr>
          <w:szCs w:val="24"/>
          <w:lang w:val="en-US"/>
        </w:rPr>
        <w:t>megaloblastic</w:t>
      </w:r>
      <w:proofErr w:type="spellEnd"/>
      <w:r w:rsidRPr="00A02434">
        <w:rPr>
          <w:szCs w:val="24"/>
          <w:lang w:val="en-US"/>
        </w:rPr>
        <w:t xml:space="preserve"> anemia: </w:t>
      </w:r>
      <w:proofErr w:type="spellStart"/>
      <w:r w:rsidRPr="00A02434">
        <w:rPr>
          <w:szCs w:val="24"/>
          <w:lang w:val="en-US"/>
        </w:rPr>
        <w:t>hyperhomocysteinemia</w:t>
      </w:r>
      <w:proofErr w:type="spellEnd"/>
      <w:r w:rsidRPr="00A02434">
        <w:rPr>
          <w:szCs w:val="24"/>
          <w:lang w:val="en-US"/>
        </w:rPr>
        <w:t xml:space="preserve"> and other manifestations of dysfunctional </w:t>
      </w:r>
      <w:proofErr w:type="spellStart"/>
      <w:r w:rsidRPr="00A02434">
        <w:rPr>
          <w:szCs w:val="24"/>
          <w:lang w:val="en-US"/>
        </w:rPr>
        <w:t>folate</w:t>
      </w:r>
      <w:proofErr w:type="spellEnd"/>
      <w:r w:rsidRPr="00A02434">
        <w:rPr>
          <w:szCs w:val="24"/>
          <w:lang w:val="en-US"/>
        </w:rPr>
        <w:t xml:space="preserve"> status. </w:t>
      </w:r>
      <w:proofErr w:type="spellStart"/>
      <w:r w:rsidRPr="00A02434">
        <w:rPr>
          <w:szCs w:val="24"/>
          <w:lang w:val="en-US"/>
        </w:rPr>
        <w:t>Semin</w:t>
      </w:r>
      <w:proofErr w:type="spellEnd"/>
      <w:r w:rsidRPr="00A02434">
        <w:rPr>
          <w:szCs w:val="24"/>
          <w:lang w:val="en-US"/>
        </w:rPr>
        <w:t xml:space="preserve"> </w:t>
      </w:r>
      <w:proofErr w:type="spellStart"/>
      <w:r w:rsidRPr="00A02434">
        <w:rPr>
          <w:szCs w:val="24"/>
          <w:lang w:val="en-US"/>
        </w:rPr>
        <w:t>Hematol</w:t>
      </w:r>
      <w:proofErr w:type="spellEnd"/>
      <w:r w:rsidRPr="00A02434">
        <w:rPr>
          <w:szCs w:val="24"/>
          <w:lang w:val="en-US"/>
        </w:rPr>
        <w:t xml:space="preserve"> 1999</w:t>
      </w:r>
      <w:proofErr w:type="gramStart"/>
      <w:r w:rsidRPr="00A02434">
        <w:rPr>
          <w:szCs w:val="24"/>
          <w:lang w:val="en-US"/>
        </w:rPr>
        <w:t>;36</w:t>
      </w:r>
      <w:proofErr w:type="gramEnd"/>
      <w:r w:rsidRPr="00A02434">
        <w:rPr>
          <w:szCs w:val="24"/>
          <w:lang w:val="en-US"/>
        </w:rPr>
        <w:t xml:space="preserve">(1):47–64. </w:t>
      </w:r>
    </w:p>
    <w:p w14:paraId="5AF61C4A" w14:textId="77777777" w:rsidR="008249A0" w:rsidRPr="00A02434" w:rsidRDefault="008249A0" w:rsidP="00A02434">
      <w:pPr>
        <w:rPr>
          <w:szCs w:val="24"/>
          <w:lang w:val="en-US"/>
        </w:rPr>
      </w:pPr>
      <w:r w:rsidRPr="00A02434">
        <w:rPr>
          <w:szCs w:val="24"/>
          <w:lang w:val="en-US"/>
        </w:rPr>
        <w:t>18.</w:t>
      </w:r>
      <w:r w:rsidRPr="00A02434">
        <w:rPr>
          <w:szCs w:val="24"/>
          <w:lang w:val="en-US"/>
        </w:rPr>
        <w:tab/>
        <w:t xml:space="preserve">  </w:t>
      </w:r>
      <w:proofErr w:type="spellStart"/>
      <w:r w:rsidRPr="00A02434">
        <w:rPr>
          <w:szCs w:val="24"/>
          <w:lang w:val="en-US"/>
        </w:rPr>
        <w:t>Szczepanek-Parulska</w:t>
      </w:r>
      <w:proofErr w:type="spellEnd"/>
      <w:r w:rsidRPr="00A02434">
        <w:rPr>
          <w:szCs w:val="24"/>
          <w:lang w:val="en-US"/>
        </w:rPr>
        <w:t xml:space="preserve"> E, </w:t>
      </w:r>
      <w:proofErr w:type="spellStart"/>
      <w:r w:rsidRPr="00A02434">
        <w:rPr>
          <w:szCs w:val="24"/>
          <w:lang w:val="en-US"/>
        </w:rPr>
        <w:t>Hernik</w:t>
      </w:r>
      <w:proofErr w:type="spellEnd"/>
      <w:r w:rsidRPr="00A02434">
        <w:rPr>
          <w:szCs w:val="24"/>
          <w:lang w:val="en-US"/>
        </w:rPr>
        <w:t xml:space="preserve"> A, </w:t>
      </w:r>
      <w:proofErr w:type="spellStart"/>
      <w:r w:rsidRPr="00A02434">
        <w:rPr>
          <w:szCs w:val="24"/>
          <w:lang w:val="en-US"/>
        </w:rPr>
        <w:t>Ruchała</w:t>
      </w:r>
      <w:proofErr w:type="spellEnd"/>
      <w:r w:rsidRPr="00A02434">
        <w:rPr>
          <w:szCs w:val="24"/>
          <w:lang w:val="en-US"/>
        </w:rPr>
        <w:t xml:space="preserve"> M. Anemia in thyroid diseases. Pol Arch Intern Med. 2017 May 31</w:t>
      </w:r>
      <w:proofErr w:type="gramStart"/>
      <w:r w:rsidRPr="00A02434">
        <w:rPr>
          <w:szCs w:val="24"/>
          <w:lang w:val="en-US"/>
        </w:rPr>
        <w:t>;127</w:t>
      </w:r>
      <w:proofErr w:type="gramEnd"/>
      <w:r w:rsidRPr="00A02434">
        <w:rPr>
          <w:szCs w:val="24"/>
          <w:lang w:val="en-US"/>
        </w:rPr>
        <w:t xml:space="preserve">(5):352-360. </w:t>
      </w:r>
      <w:proofErr w:type="spellStart"/>
      <w:proofErr w:type="gramStart"/>
      <w:r w:rsidRPr="00A02434">
        <w:rPr>
          <w:szCs w:val="24"/>
          <w:lang w:val="en-US"/>
        </w:rPr>
        <w:t>doi</w:t>
      </w:r>
      <w:proofErr w:type="spellEnd"/>
      <w:proofErr w:type="gramEnd"/>
      <w:r w:rsidRPr="00A02434">
        <w:rPr>
          <w:szCs w:val="24"/>
          <w:lang w:val="en-US"/>
        </w:rPr>
        <w:t>: 10.20452/pamw.3985.</w:t>
      </w:r>
    </w:p>
    <w:p w14:paraId="2EA824BE" w14:textId="77777777" w:rsidR="008249A0" w:rsidRPr="00A02434" w:rsidRDefault="008249A0" w:rsidP="00A02434">
      <w:pPr>
        <w:rPr>
          <w:szCs w:val="24"/>
          <w:lang w:val="en-US"/>
        </w:rPr>
      </w:pPr>
      <w:r w:rsidRPr="00A02434">
        <w:rPr>
          <w:szCs w:val="24"/>
          <w:lang w:val="en-US"/>
        </w:rPr>
        <w:t>19.</w:t>
      </w:r>
      <w:r w:rsidRPr="00A02434">
        <w:rPr>
          <w:szCs w:val="24"/>
          <w:lang w:val="en-US"/>
        </w:rPr>
        <w:tab/>
      </w:r>
      <w:proofErr w:type="spellStart"/>
      <w:r w:rsidRPr="00A02434">
        <w:rPr>
          <w:szCs w:val="24"/>
          <w:lang w:val="en-US"/>
        </w:rPr>
        <w:t>Spivak</w:t>
      </w:r>
      <w:proofErr w:type="spellEnd"/>
      <w:r w:rsidRPr="00A02434">
        <w:rPr>
          <w:szCs w:val="24"/>
          <w:lang w:val="en-US"/>
        </w:rPr>
        <w:t xml:space="preserve"> JL. </w:t>
      </w:r>
      <w:proofErr w:type="gramStart"/>
      <w:r w:rsidRPr="00A02434">
        <w:rPr>
          <w:szCs w:val="24"/>
          <w:lang w:val="en-US"/>
        </w:rPr>
        <w:t xml:space="preserve">Masked </w:t>
      </w:r>
      <w:proofErr w:type="spellStart"/>
      <w:r w:rsidRPr="00A02434">
        <w:rPr>
          <w:szCs w:val="24"/>
          <w:lang w:val="en-US"/>
        </w:rPr>
        <w:t>megaloblastic</w:t>
      </w:r>
      <w:proofErr w:type="spellEnd"/>
      <w:r w:rsidRPr="00A02434">
        <w:rPr>
          <w:szCs w:val="24"/>
          <w:lang w:val="en-US"/>
        </w:rPr>
        <w:t xml:space="preserve"> anemia.</w:t>
      </w:r>
      <w:proofErr w:type="gramEnd"/>
      <w:r w:rsidRPr="00A02434">
        <w:rPr>
          <w:szCs w:val="24"/>
          <w:lang w:val="en-US"/>
        </w:rPr>
        <w:t xml:space="preserve"> Arch Intern Med 1982</w:t>
      </w:r>
      <w:proofErr w:type="gramStart"/>
      <w:r w:rsidRPr="00A02434">
        <w:rPr>
          <w:szCs w:val="24"/>
          <w:lang w:val="en-US"/>
        </w:rPr>
        <w:t>;142</w:t>
      </w:r>
      <w:proofErr w:type="gramEnd"/>
      <w:r w:rsidRPr="00A02434">
        <w:rPr>
          <w:szCs w:val="24"/>
          <w:lang w:val="en-US"/>
        </w:rPr>
        <w:t>(12)</w:t>
      </w:r>
    </w:p>
    <w:p w14:paraId="0396490C" w14:textId="77777777" w:rsidR="008249A0" w:rsidRPr="00803BEE" w:rsidRDefault="008249A0" w:rsidP="00A02434">
      <w:pPr>
        <w:rPr>
          <w:szCs w:val="24"/>
        </w:rPr>
      </w:pPr>
      <w:proofErr w:type="gramStart"/>
      <w:r w:rsidRPr="00A02434">
        <w:rPr>
          <w:szCs w:val="24"/>
          <w:lang w:val="en-US"/>
        </w:rPr>
        <w:t>20.         Wilson RD et al. Pre-conception Folic Acid and Multivitamin Supplementation for the Primary and Secondary Prevention of Neural Tube Defects and Other Folic Acid-Sensitive Congenital Anomalies.</w:t>
      </w:r>
      <w:proofErr w:type="gramEnd"/>
      <w:r w:rsidRPr="00A02434">
        <w:rPr>
          <w:szCs w:val="24"/>
          <w:lang w:val="en-US"/>
        </w:rPr>
        <w:t xml:space="preserve">  J</w:t>
      </w:r>
      <w:r w:rsidRPr="00803BEE">
        <w:rPr>
          <w:szCs w:val="24"/>
        </w:rPr>
        <w:t xml:space="preserve"> </w:t>
      </w:r>
      <w:proofErr w:type="spellStart"/>
      <w:r w:rsidRPr="00A02434">
        <w:rPr>
          <w:szCs w:val="24"/>
          <w:lang w:val="en-US"/>
        </w:rPr>
        <w:t>Obstet</w:t>
      </w:r>
      <w:proofErr w:type="spellEnd"/>
      <w:r w:rsidRPr="00803BEE">
        <w:rPr>
          <w:szCs w:val="24"/>
        </w:rPr>
        <w:t xml:space="preserve"> </w:t>
      </w:r>
      <w:proofErr w:type="spellStart"/>
      <w:r w:rsidRPr="00A02434">
        <w:rPr>
          <w:szCs w:val="24"/>
          <w:lang w:val="en-US"/>
        </w:rPr>
        <w:t>Gynaecol</w:t>
      </w:r>
      <w:proofErr w:type="spellEnd"/>
      <w:r w:rsidRPr="00803BEE">
        <w:rPr>
          <w:szCs w:val="24"/>
        </w:rPr>
        <w:t xml:space="preserve"> </w:t>
      </w:r>
      <w:r w:rsidRPr="00A02434">
        <w:rPr>
          <w:szCs w:val="24"/>
          <w:lang w:val="en-US"/>
        </w:rPr>
        <w:t>Can</w:t>
      </w:r>
      <w:r w:rsidRPr="00803BEE">
        <w:rPr>
          <w:szCs w:val="24"/>
        </w:rPr>
        <w:t xml:space="preserve">. 2015 </w:t>
      </w:r>
      <w:r w:rsidRPr="00A02434">
        <w:rPr>
          <w:szCs w:val="24"/>
          <w:lang w:val="en-US"/>
        </w:rPr>
        <w:t>Jun</w:t>
      </w:r>
      <w:proofErr w:type="gramStart"/>
      <w:r w:rsidRPr="00803BEE">
        <w:rPr>
          <w:szCs w:val="24"/>
        </w:rPr>
        <w:t>;37</w:t>
      </w:r>
      <w:proofErr w:type="gramEnd"/>
      <w:r w:rsidRPr="00803BEE">
        <w:rPr>
          <w:szCs w:val="24"/>
        </w:rPr>
        <w:t>(6):534-52.</w:t>
      </w:r>
    </w:p>
    <w:p w14:paraId="377CF16E" w14:textId="77777777" w:rsidR="000414F6" w:rsidRPr="00A02434" w:rsidRDefault="00CB71DA" w:rsidP="00A02434">
      <w:pPr>
        <w:pStyle w:val="aff3"/>
        <w:ind w:firstLine="0"/>
        <w:jc w:val="left"/>
        <w:outlineLvl w:val="0"/>
        <w:rPr>
          <w:b/>
          <w:sz w:val="28"/>
          <w:szCs w:val="28"/>
        </w:rPr>
      </w:pPr>
      <w:r w:rsidRPr="00803BEE">
        <w:br w:type="page"/>
      </w:r>
      <w:bookmarkStart w:id="81" w:name="__RefHeading___doc_a1"/>
      <w:bookmarkStart w:id="82" w:name="_Toc32479225"/>
      <w:r w:rsidRPr="00A02434">
        <w:rPr>
          <w:b/>
          <w:sz w:val="28"/>
          <w:szCs w:val="28"/>
        </w:rPr>
        <w:lastRenderedPageBreak/>
        <w:t>Приложение</w:t>
      </w:r>
      <w:r w:rsidRPr="00803BEE">
        <w:rPr>
          <w:b/>
          <w:sz w:val="28"/>
          <w:szCs w:val="28"/>
        </w:rPr>
        <w:t xml:space="preserve"> </w:t>
      </w:r>
      <w:r w:rsidRPr="00A02434">
        <w:rPr>
          <w:b/>
          <w:sz w:val="28"/>
          <w:szCs w:val="28"/>
        </w:rPr>
        <w:t>А</w:t>
      </w:r>
      <w:proofErr w:type="gramStart"/>
      <w:r w:rsidRPr="00803BEE">
        <w:rPr>
          <w:b/>
          <w:sz w:val="28"/>
          <w:szCs w:val="28"/>
        </w:rPr>
        <w:t>1</w:t>
      </w:r>
      <w:proofErr w:type="gramEnd"/>
      <w:r w:rsidRPr="00803BEE">
        <w:rPr>
          <w:b/>
          <w:sz w:val="28"/>
          <w:szCs w:val="28"/>
        </w:rPr>
        <w:t xml:space="preserve">. </w:t>
      </w:r>
      <w:r w:rsidRPr="00A02434">
        <w:rPr>
          <w:b/>
          <w:sz w:val="28"/>
          <w:szCs w:val="28"/>
        </w:rPr>
        <w:t>Состав рабочей группы</w:t>
      </w:r>
      <w:bookmarkEnd w:id="81"/>
      <w:r w:rsidR="005627B3" w:rsidRPr="00A02434">
        <w:rPr>
          <w:b/>
          <w:sz w:val="28"/>
          <w:szCs w:val="28"/>
        </w:rPr>
        <w:t xml:space="preserve"> по разработке и пересмотру клинических рекомендаций</w:t>
      </w:r>
      <w:bookmarkEnd w:id="82"/>
    </w:p>
    <w:p w14:paraId="4F46D8E9" w14:textId="77777777" w:rsidR="0025228A" w:rsidRDefault="0025228A" w:rsidP="00AF3168"/>
    <w:p w14:paraId="6BFC3537" w14:textId="77777777" w:rsidR="00A82457" w:rsidRPr="0077401E" w:rsidRDefault="00A82457" w:rsidP="00A82457">
      <w:pPr>
        <w:rPr>
          <w:rFonts w:eastAsia="Calibri"/>
          <w:color w:val="000000"/>
        </w:rPr>
      </w:pPr>
      <w:r w:rsidRPr="0077401E">
        <w:rPr>
          <w:rFonts w:eastAsia="Calibri"/>
          <w:color w:val="000000"/>
        </w:rPr>
        <w:t>Члены Национального гематологического общества</w:t>
      </w:r>
    </w:p>
    <w:p w14:paraId="45925F43" w14:textId="77777777" w:rsidR="00A82457" w:rsidRDefault="00A82457" w:rsidP="00294DAB">
      <w:pPr>
        <w:pStyle w:val="afd"/>
        <w:numPr>
          <w:ilvl w:val="0"/>
          <w:numId w:val="6"/>
        </w:numPr>
        <w:rPr>
          <w:rFonts w:eastAsia="Times New Roman" w:cs="Times New Roman"/>
          <w:szCs w:val="24"/>
          <w:lang w:eastAsia="ru-RU"/>
        </w:rPr>
      </w:pPr>
      <w:r w:rsidRPr="0077401E">
        <w:rPr>
          <w:rFonts w:eastAsia="Times New Roman"/>
          <w:lang w:eastAsia="ru-RU"/>
        </w:rPr>
        <w:t>Лукина Е.А.</w:t>
      </w:r>
      <w:r w:rsidRPr="0077401E">
        <w:rPr>
          <w:rFonts w:eastAsia="Times New Roman"/>
          <w:vertAlign w:val="superscript"/>
          <w:lang w:eastAsia="ru-RU"/>
        </w:rPr>
        <w:t>1</w:t>
      </w:r>
      <w:r w:rsidRPr="0077401E">
        <w:rPr>
          <w:rFonts w:eastAsia="Times New Roman"/>
          <w:lang w:eastAsia="ru-RU"/>
        </w:rPr>
        <w:t xml:space="preserve">, д.м.н., профессор, зав. научно-клиническим отделением </w:t>
      </w:r>
      <w:proofErr w:type="spellStart"/>
      <w:r w:rsidRPr="0077401E">
        <w:rPr>
          <w:rFonts w:eastAsia="Times New Roman"/>
          <w:lang w:eastAsia="ru-RU"/>
        </w:rPr>
        <w:t>орфанных</w:t>
      </w:r>
      <w:proofErr w:type="spellEnd"/>
      <w:r w:rsidRPr="0077401E">
        <w:rPr>
          <w:rFonts w:eastAsia="Times New Roman"/>
          <w:lang w:eastAsia="ru-RU"/>
        </w:rPr>
        <w:t xml:space="preserve"> заболеваний </w:t>
      </w:r>
      <w:r w:rsidRPr="0077401E">
        <w:rPr>
          <w:rFonts w:eastAsia="Times New Roman" w:cs="Times New Roman"/>
          <w:szCs w:val="24"/>
          <w:lang w:eastAsia="ru-RU"/>
        </w:rPr>
        <w:t>ФГБУ НМИЦ гематологии Минздрава России</w:t>
      </w:r>
    </w:p>
    <w:p w14:paraId="1B5D76EB" w14:textId="77777777" w:rsidR="001E5F14" w:rsidRPr="00DF2F1B" w:rsidRDefault="001E5F14" w:rsidP="001E5F14">
      <w:pPr>
        <w:pStyle w:val="afd"/>
        <w:numPr>
          <w:ilvl w:val="0"/>
          <w:numId w:val="6"/>
        </w:numPr>
        <w:rPr>
          <w:rFonts w:eastAsia="Calibri" w:cs="Times New Roman"/>
          <w:szCs w:val="24"/>
          <w:shd w:val="clear" w:color="auto" w:fill="FFFFFF"/>
        </w:rPr>
      </w:pPr>
      <w:r w:rsidRPr="00DF2F1B">
        <w:rPr>
          <w:rFonts w:eastAsia="Calibri"/>
          <w:shd w:val="clear" w:color="auto" w:fill="FFFFFF"/>
        </w:rPr>
        <w:t>Цветаева Н.В.</w:t>
      </w:r>
      <w:r w:rsidRPr="00DF2F1B">
        <w:rPr>
          <w:rFonts w:eastAsia="Calibri"/>
          <w:vertAlign w:val="superscript"/>
        </w:rPr>
        <w:t>1</w:t>
      </w:r>
      <w:r w:rsidRPr="00DF2F1B">
        <w:rPr>
          <w:rFonts w:eastAsia="Calibri"/>
          <w:shd w:val="clear" w:color="auto" w:fill="FFFFFF"/>
        </w:rPr>
        <w:t xml:space="preserve">, к.м.н., старший научный сотрудник отделения </w:t>
      </w:r>
      <w:proofErr w:type="spellStart"/>
      <w:r w:rsidRPr="00DF2F1B">
        <w:rPr>
          <w:rFonts w:eastAsia="Calibri"/>
          <w:shd w:val="clear" w:color="auto" w:fill="FFFFFF"/>
        </w:rPr>
        <w:t>орфанных</w:t>
      </w:r>
      <w:proofErr w:type="spellEnd"/>
      <w:r w:rsidRPr="00DF2F1B">
        <w:rPr>
          <w:rFonts w:eastAsia="Calibri"/>
          <w:shd w:val="clear" w:color="auto" w:fill="FFFFFF"/>
        </w:rPr>
        <w:t xml:space="preserve"> заболеваний </w:t>
      </w:r>
      <w:r w:rsidRPr="00DF2F1B">
        <w:rPr>
          <w:rFonts w:eastAsia="Calibri" w:cs="Times New Roman"/>
          <w:szCs w:val="24"/>
          <w:shd w:val="clear" w:color="auto" w:fill="FFFFFF"/>
        </w:rPr>
        <w:t>ФГБУ НМИЦ гематологии Минздрава России</w:t>
      </w:r>
    </w:p>
    <w:p w14:paraId="6BA7C639" w14:textId="77777777" w:rsidR="001E5F14" w:rsidRPr="00DF2F1B" w:rsidRDefault="001E5F14" w:rsidP="001E5F14">
      <w:pPr>
        <w:pStyle w:val="afd"/>
        <w:numPr>
          <w:ilvl w:val="0"/>
          <w:numId w:val="6"/>
        </w:numPr>
        <w:rPr>
          <w:rFonts w:eastAsia="Calibri" w:cs="Times New Roman"/>
          <w:szCs w:val="24"/>
          <w:shd w:val="clear" w:color="auto" w:fill="FFFFFF"/>
        </w:rPr>
      </w:pPr>
      <w:r w:rsidRPr="00DF2F1B">
        <w:rPr>
          <w:rFonts w:eastAsia="Calibri"/>
          <w:shd w:val="clear" w:color="auto" w:fill="FFFFFF"/>
        </w:rPr>
        <w:t>Сысоева Е.П.</w:t>
      </w:r>
      <w:r w:rsidRPr="00DF2F1B">
        <w:rPr>
          <w:rFonts w:eastAsia="Calibri"/>
          <w:vertAlign w:val="superscript"/>
        </w:rPr>
        <w:t>1</w:t>
      </w:r>
      <w:r w:rsidRPr="00DF2F1B">
        <w:rPr>
          <w:rFonts w:eastAsia="Calibri"/>
          <w:shd w:val="clear" w:color="auto" w:fill="FFFFFF"/>
        </w:rPr>
        <w:t xml:space="preserve">, к.м.н., старший научный сотрудник отделения </w:t>
      </w:r>
      <w:proofErr w:type="spellStart"/>
      <w:r w:rsidRPr="00DF2F1B">
        <w:rPr>
          <w:rFonts w:eastAsia="Calibri"/>
          <w:shd w:val="clear" w:color="auto" w:fill="FFFFFF"/>
        </w:rPr>
        <w:t>орфанных</w:t>
      </w:r>
      <w:proofErr w:type="spellEnd"/>
      <w:r w:rsidRPr="00DF2F1B">
        <w:rPr>
          <w:rFonts w:eastAsia="Calibri"/>
          <w:shd w:val="clear" w:color="auto" w:fill="FFFFFF"/>
        </w:rPr>
        <w:t xml:space="preserve"> заболеваний </w:t>
      </w:r>
      <w:r w:rsidRPr="00DF2F1B">
        <w:rPr>
          <w:rFonts w:eastAsia="Calibri" w:cs="Times New Roman"/>
          <w:szCs w:val="24"/>
          <w:shd w:val="clear" w:color="auto" w:fill="FFFFFF"/>
        </w:rPr>
        <w:t>ФГБУ НМИЦ гематологии Минздрава России</w:t>
      </w:r>
    </w:p>
    <w:p w14:paraId="1E6C6308" w14:textId="77777777" w:rsidR="00A82457" w:rsidRPr="0077401E" w:rsidRDefault="00A82457" w:rsidP="00294DAB">
      <w:pPr>
        <w:pStyle w:val="afd"/>
        <w:numPr>
          <w:ilvl w:val="0"/>
          <w:numId w:val="6"/>
        </w:numPr>
        <w:rPr>
          <w:rFonts w:eastAsia="Calibri" w:cs="Times New Roman"/>
          <w:szCs w:val="24"/>
          <w:shd w:val="clear" w:color="auto" w:fill="FFFFFF"/>
        </w:rPr>
      </w:pPr>
      <w:r w:rsidRPr="001E5F14">
        <w:rPr>
          <w:rFonts w:eastAsia="Calibri"/>
          <w:shd w:val="clear" w:color="auto" w:fill="FFFFFF"/>
        </w:rPr>
        <w:t>Пономарев Р.В.</w:t>
      </w:r>
      <w:r w:rsidRPr="001E5F14">
        <w:rPr>
          <w:rFonts w:eastAsia="Calibri"/>
          <w:vertAlign w:val="superscript"/>
        </w:rPr>
        <w:t>1</w:t>
      </w:r>
      <w:r w:rsidRPr="001E5F14">
        <w:rPr>
          <w:rFonts w:eastAsia="Calibri"/>
          <w:shd w:val="clear" w:color="auto" w:fill="FFFFFF"/>
        </w:rPr>
        <w:t>,</w:t>
      </w:r>
      <w:r w:rsidRPr="0077401E">
        <w:rPr>
          <w:rFonts w:eastAsia="Calibri"/>
          <w:shd w:val="clear" w:color="auto" w:fill="FFFFFF"/>
        </w:rPr>
        <w:t xml:space="preserve"> врач-гематолог, аспирант отделения </w:t>
      </w:r>
      <w:proofErr w:type="spellStart"/>
      <w:r w:rsidRPr="0077401E">
        <w:rPr>
          <w:rFonts w:eastAsia="Calibri"/>
          <w:shd w:val="clear" w:color="auto" w:fill="FFFFFF"/>
        </w:rPr>
        <w:t>орфанных</w:t>
      </w:r>
      <w:proofErr w:type="spellEnd"/>
      <w:r w:rsidRPr="0077401E">
        <w:rPr>
          <w:rFonts w:eastAsia="Calibri"/>
          <w:shd w:val="clear" w:color="auto" w:fill="FFFFFF"/>
        </w:rPr>
        <w:t xml:space="preserve"> заболеваний </w:t>
      </w:r>
      <w:r w:rsidRPr="0077401E">
        <w:rPr>
          <w:rFonts w:eastAsia="Calibri" w:cs="Times New Roman"/>
          <w:szCs w:val="24"/>
          <w:shd w:val="clear" w:color="auto" w:fill="FFFFFF"/>
        </w:rPr>
        <w:t>ФГБУ НМИЦ гематологии Минздрава России</w:t>
      </w:r>
    </w:p>
    <w:p w14:paraId="3F1FFA28" w14:textId="77777777" w:rsidR="00A82457" w:rsidRDefault="00A82457" w:rsidP="00294DAB">
      <w:pPr>
        <w:pStyle w:val="afd"/>
        <w:numPr>
          <w:ilvl w:val="0"/>
          <w:numId w:val="6"/>
        </w:numPr>
        <w:rPr>
          <w:rFonts w:eastAsia="Calibri" w:cs="Times New Roman"/>
          <w:szCs w:val="24"/>
          <w:shd w:val="clear" w:color="auto" w:fill="FFFFFF"/>
        </w:rPr>
      </w:pPr>
      <w:proofErr w:type="spellStart"/>
      <w:r w:rsidRPr="00DF2F1B">
        <w:rPr>
          <w:rFonts w:eastAsia="Calibri"/>
          <w:shd w:val="clear" w:color="auto" w:fill="FFFFFF"/>
        </w:rPr>
        <w:t>Двирнык</w:t>
      </w:r>
      <w:proofErr w:type="spellEnd"/>
      <w:r w:rsidRPr="00DF2F1B">
        <w:rPr>
          <w:rFonts w:eastAsia="Calibri"/>
          <w:shd w:val="clear" w:color="auto" w:fill="FFFFFF"/>
        </w:rPr>
        <w:t xml:space="preserve"> В.Н.</w:t>
      </w:r>
      <w:r w:rsidRPr="00DF2F1B">
        <w:rPr>
          <w:rFonts w:eastAsia="Calibri"/>
          <w:vertAlign w:val="superscript"/>
        </w:rPr>
        <w:t>1</w:t>
      </w:r>
      <w:r w:rsidRPr="00DF2F1B">
        <w:rPr>
          <w:rFonts w:eastAsia="Calibri"/>
          <w:shd w:val="clear" w:color="auto" w:fill="FFFFFF"/>
        </w:rPr>
        <w:t xml:space="preserve">, к.м.н., зав. централизованной клинико-диагностической лабораторией </w:t>
      </w:r>
      <w:r w:rsidRPr="00DF2F1B">
        <w:rPr>
          <w:rFonts w:eastAsia="Calibri" w:cs="Times New Roman"/>
          <w:szCs w:val="24"/>
          <w:shd w:val="clear" w:color="auto" w:fill="FFFFFF"/>
        </w:rPr>
        <w:t>ФГБУ НМИЦ гематологии Минздрава России</w:t>
      </w:r>
    </w:p>
    <w:p w14:paraId="48CC989D" w14:textId="77777777" w:rsidR="00A82457" w:rsidRPr="00DF2F1B" w:rsidRDefault="00A82457" w:rsidP="00A82457">
      <w:pPr>
        <w:ind w:left="720"/>
        <w:rPr>
          <w:sz w:val="25"/>
          <w:szCs w:val="25"/>
          <w:shd w:val="clear" w:color="auto" w:fill="FFFFFF"/>
        </w:rPr>
      </w:pPr>
    </w:p>
    <w:p w14:paraId="6C078ED5" w14:textId="77777777" w:rsidR="00A82457" w:rsidRDefault="00A82457" w:rsidP="00A82457">
      <w:pPr>
        <w:pStyle w:val="aff7"/>
      </w:pPr>
      <w:r>
        <w:rPr>
          <w:sz w:val="25"/>
          <w:szCs w:val="25"/>
          <w:shd w:val="clear" w:color="auto" w:fill="FFFFFF"/>
        </w:rPr>
        <w:t xml:space="preserve">Члены </w:t>
      </w:r>
      <w:r>
        <w:t>Национального общества детских гематологов и онкологов</w:t>
      </w:r>
    </w:p>
    <w:p w14:paraId="78FF6C60" w14:textId="77777777" w:rsidR="00A82457" w:rsidRDefault="00A82457" w:rsidP="00A82457">
      <w:pPr>
        <w:pStyle w:val="aff7"/>
      </w:pPr>
    </w:p>
    <w:p w14:paraId="79ED8766" w14:textId="6643161B" w:rsidR="00A82457" w:rsidRPr="0077401E" w:rsidRDefault="00A82457" w:rsidP="00294DAB">
      <w:pPr>
        <w:pStyle w:val="aff7"/>
        <w:numPr>
          <w:ilvl w:val="0"/>
          <w:numId w:val="13"/>
        </w:numPr>
        <w:ind w:left="709" w:hanging="283"/>
      </w:pPr>
      <w:r w:rsidRPr="00C76596">
        <w:t>Румянцев А.Г.</w:t>
      </w:r>
      <w:r w:rsidRPr="00C76596">
        <w:rPr>
          <w:vertAlign w:val="superscript"/>
        </w:rPr>
        <w:t>2</w:t>
      </w:r>
      <w:r w:rsidRPr="00C76596">
        <w:t>,</w:t>
      </w:r>
      <w:r>
        <w:t xml:space="preserve"> </w:t>
      </w:r>
      <w:r w:rsidRPr="0077401E">
        <w:rPr>
          <w:rFonts w:eastAsia="Times New Roman"/>
          <w:lang w:eastAsia="ru-RU"/>
        </w:rPr>
        <w:t>д.м.н.,</w:t>
      </w:r>
      <w:r w:rsidRPr="0077401E">
        <w:rPr>
          <w:color w:val="252525"/>
          <w:shd w:val="clear" w:color="auto" w:fill="FFFFFF"/>
        </w:rPr>
        <w:t xml:space="preserve"> профессор, </w:t>
      </w:r>
      <w:r w:rsidRPr="00DF2F1B">
        <w:rPr>
          <w:color w:val="252525"/>
          <w:shd w:val="clear" w:color="auto" w:fill="FFFFFF"/>
        </w:rPr>
        <w:t>академик РАН</w:t>
      </w:r>
      <w:r>
        <w:rPr>
          <w:color w:val="252525"/>
          <w:shd w:val="clear" w:color="auto" w:fill="FFFFFF"/>
        </w:rPr>
        <w:t>,</w:t>
      </w:r>
      <w:r w:rsidR="001E5F14">
        <w:rPr>
          <w:color w:val="252525"/>
          <w:shd w:val="clear" w:color="auto" w:fill="FFFFFF"/>
        </w:rPr>
        <w:t xml:space="preserve"> </w:t>
      </w:r>
      <w:r w:rsidR="00803BEE">
        <w:rPr>
          <w:color w:val="000000" w:themeColor="text1"/>
          <w:shd w:val="clear" w:color="auto" w:fill="FFFFFF"/>
        </w:rPr>
        <w:t xml:space="preserve">Президент </w:t>
      </w:r>
      <w:r w:rsidRPr="0077401E">
        <w:rPr>
          <w:color w:val="000000" w:themeColor="text1"/>
          <w:shd w:val="clear" w:color="auto" w:fill="FFFFFF"/>
        </w:rPr>
        <w:t xml:space="preserve">ФГБУ «Национальный </w:t>
      </w:r>
      <w:r>
        <w:rPr>
          <w:color w:val="000000" w:themeColor="text1"/>
          <w:shd w:val="clear" w:color="auto" w:fill="FFFFFF"/>
        </w:rPr>
        <w:t xml:space="preserve"> </w:t>
      </w:r>
      <w:r w:rsidRPr="0077401E">
        <w:rPr>
          <w:color w:val="000000" w:themeColor="text1"/>
          <w:shd w:val="clear" w:color="auto" w:fill="FFFFFF"/>
        </w:rPr>
        <w:t xml:space="preserve">медицинский исследовательский центр детской гематологии, онкологии и иммунологии имени Дмитрия Рогачева» Минздрава России, </w:t>
      </w:r>
    </w:p>
    <w:p w14:paraId="28703CE2" w14:textId="77777777" w:rsidR="00A82457" w:rsidRPr="0077401E" w:rsidRDefault="00A82457" w:rsidP="00294DAB">
      <w:pPr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rFonts w:eastAsia="Times New Roman"/>
          <w:lang w:eastAsia="ru-RU"/>
        </w:rPr>
      </w:pPr>
      <w:proofErr w:type="spellStart"/>
      <w:r w:rsidRPr="0077401E">
        <w:rPr>
          <w:rFonts w:eastAsia="Times New Roman"/>
          <w:lang w:eastAsia="ru-RU"/>
        </w:rPr>
        <w:t>Масчан</w:t>
      </w:r>
      <w:proofErr w:type="spellEnd"/>
      <w:r w:rsidRPr="0077401E">
        <w:rPr>
          <w:rFonts w:eastAsia="Times New Roman"/>
          <w:lang w:eastAsia="ru-RU"/>
        </w:rPr>
        <w:t xml:space="preserve"> А.А.</w:t>
      </w:r>
      <w:r w:rsidRPr="00DF2F1B">
        <w:rPr>
          <w:vertAlign w:val="superscript"/>
        </w:rPr>
        <w:t xml:space="preserve"> 2</w:t>
      </w:r>
      <w:r>
        <w:rPr>
          <w:rFonts w:eastAsia="Times New Roman"/>
          <w:lang w:eastAsia="ru-RU"/>
        </w:rPr>
        <w:t xml:space="preserve">, </w:t>
      </w:r>
      <w:r w:rsidRPr="0077401E">
        <w:rPr>
          <w:rFonts w:eastAsia="Times New Roman"/>
          <w:lang w:eastAsia="ru-RU"/>
        </w:rPr>
        <w:t xml:space="preserve">д.м.н., зам. генерального директора ФГБУ ФНКЦ ДГОИ им. Дмитрия Рогачева, профессор кафедры гематологии, онкологии и лучевой терапии педиатрического факультета РНИМУ им. </w:t>
      </w:r>
      <w:proofErr w:type="spellStart"/>
      <w:r w:rsidRPr="0077401E">
        <w:rPr>
          <w:rFonts w:eastAsia="Times New Roman"/>
          <w:lang w:eastAsia="ru-RU"/>
        </w:rPr>
        <w:t>Н.И.Пирогова</w:t>
      </w:r>
      <w:proofErr w:type="spellEnd"/>
      <w:r w:rsidRPr="0077401E">
        <w:rPr>
          <w:rFonts w:eastAsia="Times New Roman"/>
          <w:lang w:eastAsia="ru-RU"/>
        </w:rPr>
        <w:t>, президент Национального общества детских гематологов и онкологов, член Европейского общества гематологов.</w:t>
      </w:r>
    </w:p>
    <w:p w14:paraId="74DC6212" w14:textId="77777777" w:rsidR="00A82457" w:rsidRPr="001E5F14" w:rsidRDefault="00A82457" w:rsidP="00294DAB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709"/>
        <w:contextualSpacing/>
      </w:pPr>
      <w:proofErr w:type="spellStart"/>
      <w:r w:rsidRPr="001E5F14">
        <w:t>Демихов</w:t>
      </w:r>
      <w:proofErr w:type="spellEnd"/>
      <w:r w:rsidRPr="001E5F14">
        <w:t xml:space="preserve"> В.Г.</w:t>
      </w:r>
      <w:r w:rsidRPr="001E5F14">
        <w:rPr>
          <w:vertAlign w:val="superscript"/>
        </w:rPr>
        <w:t>3</w:t>
      </w:r>
      <w:r w:rsidRPr="001E5F14">
        <w:t xml:space="preserve"> — д.м.н., профессор, директор Научно-клинического центра гематологии, онкологии и иммунологии ГБОУ ВПО «Рязанский государственный медицинский университет им. акад. И.П. Павлова» Минздрава России, член Европейской гематологической ассоциации (</w:t>
      </w:r>
      <w:r w:rsidRPr="001E5F14">
        <w:rPr>
          <w:lang w:val="en-US"/>
        </w:rPr>
        <w:t>EHA</w:t>
      </w:r>
      <w:r w:rsidRPr="001E5F14">
        <w:t>).</w:t>
      </w:r>
    </w:p>
    <w:p w14:paraId="45AB40AE" w14:textId="77777777" w:rsidR="00A82457" w:rsidRPr="001E5F14" w:rsidRDefault="00A82457" w:rsidP="00294DAB">
      <w:pPr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rFonts w:eastAsia="Times New Roman"/>
          <w:lang w:eastAsia="ru-RU"/>
        </w:rPr>
      </w:pPr>
      <w:r w:rsidRPr="001E5F14">
        <w:rPr>
          <w:rFonts w:eastAsia="Times New Roman"/>
          <w:lang w:eastAsia="ru-RU"/>
        </w:rPr>
        <w:t>Скобин В.Б.</w:t>
      </w:r>
      <w:r w:rsidRPr="001E5F14">
        <w:rPr>
          <w:rFonts w:eastAsia="Times New Roman"/>
          <w:vertAlign w:val="superscript"/>
          <w:lang w:eastAsia="ru-RU"/>
        </w:rPr>
        <w:t>3</w:t>
      </w:r>
      <w:r w:rsidRPr="001E5F14">
        <w:rPr>
          <w:rFonts w:eastAsia="Times New Roman"/>
          <w:lang w:eastAsia="ru-RU"/>
        </w:rPr>
        <w:t>, к.м.н., врач-гематолог Научно-клинического центра гематологии, онкологии и иммунологии ГБОУ ВПО «Рязанский государственный медицинский университет им. акад. И.П. Павло</w:t>
      </w:r>
      <w:r w:rsidR="001E5F14">
        <w:rPr>
          <w:rFonts w:eastAsia="Times New Roman"/>
          <w:lang w:eastAsia="ru-RU"/>
        </w:rPr>
        <w:t>ва» Минздрава России</w:t>
      </w:r>
      <w:r w:rsidRPr="001E5F14">
        <w:rPr>
          <w:rFonts w:eastAsia="Times New Roman"/>
          <w:lang w:eastAsia="ru-RU"/>
        </w:rPr>
        <w:t xml:space="preserve">. </w:t>
      </w:r>
    </w:p>
    <w:p w14:paraId="0F3F95D1" w14:textId="10017F91" w:rsidR="00A82457" w:rsidRPr="00BD71EF" w:rsidRDefault="00A82457" w:rsidP="00BD71EF">
      <w:pPr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426" w:firstLine="0"/>
        <w:rPr>
          <w:rFonts w:eastAsia="Times New Roman"/>
          <w:lang w:eastAsia="ru-RU"/>
        </w:rPr>
      </w:pPr>
      <w:proofErr w:type="spellStart"/>
      <w:r w:rsidRPr="001E5F14">
        <w:rPr>
          <w:rFonts w:eastAsia="Times New Roman"/>
          <w:lang w:eastAsia="ru-RU"/>
        </w:rPr>
        <w:t>Журина</w:t>
      </w:r>
      <w:proofErr w:type="spellEnd"/>
      <w:r w:rsidRPr="001E5F14">
        <w:rPr>
          <w:rFonts w:eastAsia="Times New Roman"/>
          <w:lang w:eastAsia="ru-RU"/>
        </w:rPr>
        <w:t xml:space="preserve"> О.Н.</w:t>
      </w:r>
      <w:r w:rsidRPr="001E5F14">
        <w:rPr>
          <w:rFonts w:eastAsia="Times New Roman"/>
          <w:vertAlign w:val="superscript"/>
          <w:lang w:eastAsia="ru-RU"/>
        </w:rPr>
        <w:t>3</w:t>
      </w:r>
      <w:r w:rsidRPr="001E5F14">
        <w:rPr>
          <w:rFonts w:eastAsia="Times New Roman"/>
          <w:lang w:eastAsia="ru-RU"/>
        </w:rPr>
        <w:t>, к.м.н., зав. лабораторией Научно-клинического центра гематологии, онкологии и иммунологии ГБОУ ВПО «Рязанский государственный медицинский университет им. акад. И.П. Павло</w:t>
      </w:r>
      <w:r w:rsidR="001E5F14">
        <w:rPr>
          <w:rFonts w:eastAsia="Times New Roman"/>
          <w:lang w:eastAsia="ru-RU"/>
        </w:rPr>
        <w:t>ва» Минздрава России</w:t>
      </w:r>
      <w:r w:rsidRPr="001E5F14">
        <w:rPr>
          <w:rFonts w:eastAsia="Times New Roman"/>
          <w:lang w:eastAsia="ru-RU"/>
        </w:rPr>
        <w:t>.</w:t>
      </w:r>
    </w:p>
    <w:p w14:paraId="156323B5" w14:textId="77777777" w:rsidR="00A82457" w:rsidRDefault="00A82457" w:rsidP="00A82457">
      <w:r>
        <w:lastRenderedPageBreak/>
        <w:t>1.  Федеральное государственное бюджетное учреждение «Национальный медицинский исследовательский центр гематологии» Министерства здравоохранения Российской Федерации</w:t>
      </w:r>
      <w:r w:rsidRPr="00DF2F1B">
        <w:t xml:space="preserve"> </w:t>
      </w:r>
      <w:r>
        <w:t>(</w:t>
      </w:r>
      <w:r w:rsidRPr="00DF2F1B">
        <w:t>ФГБУ НМИЦ гематологии Минздрава России</w:t>
      </w:r>
      <w:r>
        <w:t>)</w:t>
      </w:r>
    </w:p>
    <w:p w14:paraId="175D93C0" w14:textId="77777777" w:rsidR="00A82457" w:rsidRDefault="00A82457" w:rsidP="00A82457">
      <w:r>
        <w:t>2.</w:t>
      </w:r>
      <w:r w:rsidRPr="00DF2F1B">
        <w:t xml:space="preserve"> Федеральное государственное бюджетное учреждение </w:t>
      </w:r>
      <w:r>
        <w:t>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</w:t>
      </w:r>
      <w:r w:rsidRPr="00DF2F1B">
        <w:t xml:space="preserve"> </w:t>
      </w:r>
      <w:r>
        <w:t>(</w:t>
      </w:r>
      <w:r w:rsidRPr="00DF2F1B">
        <w:t xml:space="preserve">ФГБУ </w:t>
      </w:r>
      <w:r>
        <w:t>НМИЦ ДГОИ им. Дмитрия Рогачева)</w:t>
      </w:r>
    </w:p>
    <w:p w14:paraId="7BF9DAAD" w14:textId="77777777" w:rsidR="00A82457" w:rsidRDefault="00A82457" w:rsidP="00A82457">
      <w:pPr>
        <w:rPr>
          <w:highlight w:val="yellow"/>
        </w:rPr>
      </w:pPr>
      <w:r>
        <w:t>3. Федеральное государственное бюджетное образовательное учреждение высш</w:t>
      </w:r>
      <w:r w:rsidR="001E5F14">
        <w:t>его образования «Рязанский госу</w:t>
      </w:r>
      <w:r>
        <w:t>дарственный медицинский университет имени академика И.</w:t>
      </w:r>
      <w:proofErr w:type="gramStart"/>
      <w:r>
        <w:t>П</w:t>
      </w:r>
      <w:proofErr w:type="gramEnd"/>
      <w:r>
        <w:t xml:space="preserve"> Павлова» Министерства здравоохранения Российской Федерации</w:t>
      </w:r>
    </w:p>
    <w:p w14:paraId="3B472C50" w14:textId="77777777" w:rsidR="00A82457" w:rsidRDefault="00A82457" w:rsidP="00A82457">
      <w:pPr>
        <w:ind w:firstLine="0"/>
      </w:pPr>
    </w:p>
    <w:p w14:paraId="347BD081" w14:textId="77777777" w:rsidR="00A82457" w:rsidRDefault="00A82457" w:rsidP="00A82457"/>
    <w:p w14:paraId="0CFABDBB" w14:textId="77777777" w:rsidR="00A82457" w:rsidRDefault="001E5F14" w:rsidP="00A82457">
      <w:r>
        <w:t>Конфликт интересов: у</w:t>
      </w:r>
      <w:r w:rsidR="00A82457">
        <w:t xml:space="preserve"> авторов </w:t>
      </w:r>
      <w:r w:rsidR="00A82457" w:rsidRPr="00C01E1D">
        <w:t>отсутствует</w:t>
      </w:r>
      <w:r w:rsidR="00A82457">
        <w:t xml:space="preserve"> конфликт интересов </w:t>
      </w:r>
    </w:p>
    <w:p w14:paraId="0A4D72BF" w14:textId="77777777" w:rsidR="00A82457" w:rsidRDefault="00A82457" w:rsidP="00AF3168"/>
    <w:p w14:paraId="5837CB9F" w14:textId="77777777" w:rsidR="000414F6" w:rsidRDefault="00CB71DA" w:rsidP="00C4630C">
      <w:pPr>
        <w:pStyle w:val="afff1"/>
      </w:pPr>
      <w:r>
        <w:br w:type="page"/>
      </w:r>
      <w:bookmarkStart w:id="83" w:name="__RefHeading___doc_a2"/>
      <w:bookmarkStart w:id="84" w:name="_Toc32479226"/>
      <w:r>
        <w:lastRenderedPageBreak/>
        <w:t>Приложение А</w:t>
      </w:r>
      <w:proofErr w:type="gramStart"/>
      <w:r>
        <w:t>2</w:t>
      </w:r>
      <w:proofErr w:type="gramEnd"/>
      <w:r>
        <w:t>. Методология разработки клинических рекомендаций</w:t>
      </w:r>
      <w:bookmarkEnd w:id="83"/>
      <w:bookmarkEnd w:id="84"/>
    </w:p>
    <w:p w14:paraId="6F8B827A" w14:textId="77777777" w:rsidR="00275A41" w:rsidRDefault="00CB71DA" w:rsidP="00F756F0">
      <w:pPr>
        <w:pStyle w:val="aff7"/>
        <w:divId w:val="1333020968"/>
      </w:pPr>
      <w:r>
        <w:rPr>
          <w:rStyle w:val="affa"/>
          <w:u w:val="single"/>
        </w:rPr>
        <w:t>Целевая аудитория данных клинических рекомендаций:</w:t>
      </w:r>
    </w:p>
    <w:p w14:paraId="56197BDA" w14:textId="77777777" w:rsidR="00A82457" w:rsidRPr="00B6086A" w:rsidRDefault="00B104EF" w:rsidP="00A82457">
      <w:pPr>
        <w:pStyle w:val="aff7"/>
        <w:divId w:val="1333020968"/>
        <w:rPr>
          <w:rFonts w:cs="Times New Roman"/>
          <w:szCs w:val="24"/>
        </w:rPr>
      </w:pPr>
      <w:r>
        <w:t>1.</w:t>
      </w:r>
      <w:r w:rsidR="004D352A">
        <w:t xml:space="preserve"> </w:t>
      </w:r>
      <w:r w:rsidR="00A82457" w:rsidRPr="00B6086A">
        <w:rPr>
          <w:rFonts w:cs="Times New Roman"/>
          <w:szCs w:val="24"/>
        </w:rPr>
        <w:t>врачи-терапевты</w:t>
      </w:r>
    </w:p>
    <w:p w14:paraId="2AB14C03" w14:textId="77777777" w:rsidR="00A82457" w:rsidRPr="00B6086A" w:rsidRDefault="00A82457" w:rsidP="00A82457">
      <w:pPr>
        <w:pStyle w:val="aff7"/>
        <w:divId w:val="1333020968"/>
        <w:rPr>
          <w:rFonts w:cs="Times New Roman"/>
          <w:szCs w:val="24"/>
        </w:rPr>
      </w:pPr>
      <w:r w:rsidRPr="00B6086A">
        <w:rPr>
          <w:rFonts w:cs="Times New Roman"/>
          <w:szCs w:val="24"/>
        </w:rPr>
        <w:t>2.</w:t>
      </w:r>
      <w:r>
        <w:rPr>
          <w:rFonts w:cs="Times New Roman"/>
          <w:szCs w:val="24"/>
        </w:rPr>
        <w:t xml:space="preserve"> </w:t>
      </w:r>
      <w:r w:rsidRPr="00B6086A">
        <w:rPr>
          <w:rFonts w:cs="Times New Roman"/>
          <w:szCs w:val="24"/>
        </w:rPr>
        <w:t>врачи-педиатры</w:t>
      </w:r>
    </w:p>
    <w:p w14:paraId="6EBDE58E" w14:textId="77777777" w:rsidR="00A82457" w:rsidRPr="00B6086A" w:rsidRDefault="00A82457" w:rsidP="00A82457">
      <w:pPr>
        <w:ind w:firstLine="708"/>
        <w:divId w:val="1333020968"/>
        <w:rPr>
          <w:rFonts w:eastAsia="Times New Roman"/>
          <w:color w:val="000000"/>
        </w:rPr>
      </w:pPr>
      <w:r w:rsidRPr="00B6086A">
        <w:t>3.</w:t>
      </w:r>
      <w:r w:rsidRPr="00B6086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Pr="00B6086A">
        <w:rPr>
          <w:rFonts w:eastAsia="Times New Roman"/>
          <w:color w:val="000000"/>
        </w:rPr>
        <w:t>врачи-акушеры-гинекологи</w:t>
      </w:r>
    </w:p>
    <w:p w14:paraId="061C69F5" w14:textId="77777777" w:rsidR="00A82457" w:rsidRPr="00B6086A" w:rsidRDefault="00A82457" w:rsidP="00A82457">
      <w:pPr>
        <w:ind w:firstLine="708"/>
        <w:divId w:val="1333020968"/>
        <w:rPr>
          <w:rFonts w:eastAsia="Times New Roman"/>
        </w:rPr>
      </w:pPr>
      <w:r w:rsidRPr="00B6086A">
        <w:rPr>
          <w:rFonts w:eastAsia="Times New Roman"/>
          <w:color w:val="000000"/>
        </w:rPr>
        <w:t xml:space="preserve">4. </w:t>
      </w:r>
      <w:r>
        <w:rPr>
          <w:rFonts w:eastAsia="Times New Roman"/>
          <w:color w:val="000000"/>
        </w:rPr>
        <w:t xml:space="preserve"> </w:t>
      </w:r>
      <w:r w:rsidRPr="00B6086A">
        <w:rPr>
          <w:rFonts w:eastAsia="Times New Roman"/>
          <w:color w:val="000000"/>
        </w:rPr>
        <w:t xml:space="preserve">врачи </w:t>
      </w:r>
      <w:proofErr w:type="gramStart"/>
      <w:r w:rsidRPr="00B6086A">
        <w:rPr>
          <w:rFonts w:eastAsia="Times New Roman"/>
          <w:color w:val="000000"/>
        </w:rPr>
        <w:t>-г</w:t>
      </w:r>
      <w:proofErr w:type="gramEnd"/>
      <w:r w:rsidRPr="00B6086A">
        <w:rPr>
          <w:rFonts w:eastAsia="Times New Roman"/>
          <w:color w:val="000000"/>
        </w:rPr>
        <w:t>астроэнтерологи</w:t>
      </w:r>
    </w:p>
    <w:p w14:paraId="0B1988BD" w14:textId="77777777" w:rsidR="00A543B6" w:rsidRDefault="00A82457" w:rsidP="00A82457">
      <w:pPr>
        <w:pStyle w:val="aff7"/>
        <w:divId w:val="1333020968"/>
      </w:pPr>
      <w:r>
        <w:t xml:space="preserve">3.  врачи </w:t>
      </w:r>
      <w:proofErr w:type="gramStart"/>
      <w:r>
        <w:t>-г</w:t>
      </w:r>
      <w:proofErr w:type="gramEnd"/>
      <w:r>
        <w:t>ематологи</w:t>
      </w:r>
    </w:p>
    <w:p w14:paraId="6D9F7EFE" w14:textId="77777777" w:rsidR="00A543B6" w:rsidRDefault="00A543B6" w:rsidP="00A543B6">
      <w:pPr>
        <w:pStyle w:val="a1"/>
        <w:contextualSpacing/>
        <w:divId w:val="1333020968"/>
        <w:rPr>
          <w:lang w:eastAsia="ru-RU"/>
        </w:rPr>
      </w:pPr>
      <w:r>
        <w:t>Методология сбора доказательств</w:t>
      </w:r>
    </w:p>
    <w:p w14:paraId="1AD7C94A" w14:textId="77777777" w:rsidR="00A543B6" w:rsidRDefault="00A543B6" w:rsidP="00A543B6">
      <w:pPr>
        <w:pStyle w:val="affff"/>
        <w:spacing w:line="360" w:lineRule="auto"/>
        <w:ind w:firstLine="709"/>
        <w:contextualSpacing/>
        <w:jc w:val="both"/>
        <w:divId w:val="1333020968"/>
      </w:pPr>
      <w:r>
        <w:rPr>
          <w:b/>
        </w:rPr>
        <w:t>Методы, использованные для сбора / селекции доказательств:</w:t>
      </w:r>
    </w:p>
    <w:p w14:paraId="6351EED4" w14:textId="5663B44B" w:rsidR="00A543B6" w:rsidRDefault="00A543B6" w:rsidP="00294DAB">
      <w:pPr>
        <w:pStyle w:val="affff"/>
        <w:numPr>
          <w:ilvl w:val="0"/>
          <w:numId w:val="7"/>
        </w:numPr>
        <w:spacing w:line="360" w:lineRule="auto"/>
        <w:ind w:firstLine="709"/>
        <w:contextualSpacing/>
        <w:jc w:val="both"/>
        <w:divId w:val="1333020968"/>
      </w:pPr>
      <w:r>
        <w:t xml:space="preserve">Поиск публикаций в специализированных периодических печатных </w:t>
      </w:r>
      <w:r w:rsidR="00802A95">
        <w:t>изданиях</w:t>
      </w:r>
      <w:r>
        <w:t>;</w:t>
      </w:r>
    </w:p>
    <w:p w14:paraId="594417C7" w14:textId="77777777" w:rsidR="00A543B6" w:rsidRDefault="00A543B6" w:rsidP="00294DAB">
      <w:pPr>
        <w:pStyle w:val="affff"/>
        <w:numPr>
          <w:ilvl w:val="0"/>
          <w:numId w:val="7"/>
        </w:numPr>
        <w:spacing w:line="360" w:lineRule="auto"/>
        <w:ind w:firstLine="709"/>
        <w:contextualSpacing/>
        <w:jc w:val="both"/>
        <w:divId w:val="1333020968"/>
      </w:pPr>
      <w:r>
        <w:t>Поиск в электронных базах данных.</w:t>
      </w:r>
    </w:p>
    <w:p w14:paraId="24510230" w14:textId="77777777" w:rsidR="00A543B6" w:rsidRDefault="00A543B6" w:rsidP="00A543B6">
      <w:pPr>
        <w:pStyle w:val="affff"/>
        <w:spacing w:line="360" w:lineRule="auto"/>
        <w:ind w:firstLine="709"/>
        <w:contextualSpacing/>
        <w:jc w:val="both"/>
        <w:divId w:val="1333020968"/>
      </w:pPr>
      <w:r>
        <w:rPr>
          <w:b/>
        </w:rPr>
        <w:t>Базы данных, использованных для сбора / селекции доказательств:</w:t>
      </w:r>
    </w:p>
    <w:p w14:paraId="52CDBD8F" w14:textId="77777777" w:rsidR="00A543B6" w:rsidRDefault="00A543B6" w:rsidP="00A543B6">
      <w:pPr>
        <w:pStyle w:val="affff"/>
        <w:spacing w:line="360" w:lineRule="auto"/>
        <w:ind w:firstLine="709"/>
        <w:contextualSpacing/>
        <w:jc w:val="both"/>
        <w:divId w:val="1333020968"/>
      </w:pPr>
      <w:r>
        <w:t xml:space="preserve">Доказательной базой для рекомендаций являются публикации, вошедшие в </w:t>
      </w:r>
      <w:proofErr w:type="spellStart"/>
      <w:r>
        <w:t>Кохрайновскую</w:t>
      </w:r>
      <w:proofErr w:type="spellEnd"/>
      <w:r>
        <w:t xml:space="preserve"> библиотеку, базы данных </w:t>
      </w:r>
      <w:r>
        <w:rPr>
          <w:lang w:val="en-US"/>
        </w:rPr>
        <w:t>PUBMED</w:t>
      </w:r>
      <w:r>
        <w:t xml:space="preserve"> и </w:t>
      </w:r>
      <w:r>
        <w:rPr>
          <w:lang w:val="en-US"/>
        </w:rPr>
        <w:t>MEDLINE</w:t>
      </w:r>
      <w:r>
        <w:t>. Глубина поиска составляла 30 лет.</w:t>
      </w:r>
    </w:p>
    <w:p w14:paraId="39EDF3C9" w14:textId="77777777" w:rsidR="00A543B6" w:rsidRDefault="00A543B6" w:rsidP="00A543B6">
      <w:pPr>
        <w:pStyle w:val="affff"/>
        <w:spacing w:line="360" w:lineRule="auto"/>
        <w:ind w:firstLine="709"/>
        <w:contextualSpacing/>
        <w:jc w:val="both"/>
        <w:divId w:val="1333020968"/>
      </w:pPr>
      <w:r>
        <w:rPr>
          <w:b/>
        </w:rPr>
        <w:t>Методы, использованные для анализа доказательств:</w:t>
      </w:r>
    </w:p>
    <w:p w14:paraId="78AE41E1" w14:textId="77777777" w:rsidR="00A543B6" w:rsidRPr="00C85130" w:rsidRDefault="00A543B6" w:rsidP="00294DAB">
      <w:pPr>
        <w:pStyle w:val="afd"/>
        <w:numPr>
          <w:ilvl w:val="0"/>
          <w:numId w:val="8"/>
        </w:numPr>
        <w:ind w:firstLine="709"/>
        <w:divId w:val="1333020968"/>
        <w:rPr>
          <w:szCs w:val="24"/>
        </w:rPr>
      </w:pPr>
      <w:r w:rsidRPr="00C85130">
        <w:rPr>
          <w:szCs w:val="24"/>
        </w:rPr>
        <w:t xml:space="preserve">Обзоры </w:t>
      </w:r>
      <w:proofErr w:type="gramStart"/>
      <w:r w:rsidRPr="00C85130">
        <w:rPr>
          <w:szCs w:val="24"/>
        </w:rPr>
        <w:t>опубликованных</w:t>
      </w:r>
      <w:proofErr w:type="gramEnd"/>
      <w:r w:rsidRPr="00C85130">
        <w:rPr>
          <w:szCs w:val="24"/>
        </w:rPr>
        <w:t xml:space="preserve"> мета-анализов;</w:t>
      </w:r>
    </w:p>
    <w:p w14:paraId="5022491A" w14:textId="77777777" w:rsidR="00A543B6" w:rsidRPr="00C85130" w:rsidRDefault="00A543B6" w:rsidP="00294DAB">
      <w:pPr>
        <w:pStyle w:val="afd"/>
        <w:numPr>
          <w:ilvl w:val="0"/>
          <w:numId w:val="8"/>
        </w:numPr>
        <w:ind w:firstLine="709"/>
        <w:divId w:val="1333020968"/>
        <w:rPr>
          <w:szCs w:val="24"/>
        </w:rPr>
      </w:pPr>
      <w:r w:rsidRPr="00C85130">
        <w:rPr>
          <w:szCs w:val="24"/>
        </w:rPr>
        <w:t>Систематические обзоры с таблицами доказательств.</w:t>
      </w:r>
    </w:p>
    <w:p w14:paraId="4E5B47BB" w14:textId="77777777" w:rsidR="00A543B6" w:rsidRDefault="00A543B6" w:rsidP="00A543B6">
      <w:pPr>
        <w:pStyle w:val="affff"/>
        <w:spacing w:line="360" w:lineRule="auto"/>
        <w:ind w:firstLine="709"/>
        <w:contextualSpacing/>
        <w:jc w:val="both"/>
        <w:divId w:val="1333020968"/>
      </w:pPr>
      <w:r>
        <w:rPr>
          <w:b/>
        </w:rPr>
        <w:t>Методы, использованные для качества и силы доказательств:</w:t>
      </w:r>
    </w:p>
    <w:p w14:paraId="1EDBB03F" w14:textId="77777777" w:rsidR="00A543B6" w:rsidRPr="00C85130" w:rsidRDefault="00A543B6" w:rsidP="00294DAB">
      <w:pPr>
        <w:pStyle w:val="afd"/>
        <w:numPr>
          <w:ilvl w:val="0"/>
          <w:numId w:val="9"/>
        </w:numPr>
        <w:ind w:firstLine="709"/>
        <w:divId w:val="1333020968"/>
        <w:rPr>
          <w:szCs w:val="24"/>
        </w:rPr>
      </w:pPr>
      <w:r w:rsidRPr="00C85130">
        <w:rPr>
          <w:szCs w:val="24"/>
        </w:rPr>
        <w:t>Консенсус экспертов;</w:t>
      </w:r>
    </w:p>
    <w:p w14:paraId="7730025A" w14:textId="61CD671D" w:rsidR="00A543B6" w:rsidRPr="006F7C14" w:rsidRDefault="00A543B6" w:rsidP="006F7C14">
      <w:pPr>
        <w:pStyle w:val="afd"/>
        <w:numPr>
          <w:ilvl w:val="0"/>
          <w:numId w:val="9"/>
        </w:numPr>
        <w:ind w:firstLine="709"/>
        <w:divId w:val="1333020968"/>
        <w:rPr>
          <w:szCs w:val="24"/>
        </w:rPr>
      </w:pPr>
      <w:r w:rsidRPr="00C85130">
        <w:rPr>
          <w:szCs w:val="24"/>
        </w:rPr>
        <w:t>Оценка значимости доказатель</w:t>
      </w:r>
      <w:proofErr w:type="gramStart"/>
      <w:r w:rsidRPr="00C85130">
        <w:rPr>
          <w:szCs w:val="24"/>
        </w:rPr>
        <w:t>ств</w:t>
      </w:r>
      <w:r w:rsidR="009B4725">
        <w:rPr>
          <w:szCs w:val="24"/>
        </w:rPr>
        <w:t xml:space="preserve"> пр</w:t>
      </w:r>
      <w:proofErr w:type="gramEnd"/>
      <w:r w:rsidR="009B4725">
        <w:rPr>
          <w:szCs w:val="24"/>
        </w:rPr>
        <w:t>оводилась</w:t>
      </w:r>
      <w:r w:rsidRPr="00C85130">
        <w:rPr>
          <w:szCs w:val="24"/>
        </w:rPr>
        <w:t xml:space="preserve"> в соответствии с</w:t>
      </w:r>
      <w:r w:rsidR="009B4725">
        <w:rPr>
          <w:szCs w:val="24"/>
        </w:rPr>
        <w:t xml:space="preserve">о шкалой оценки уровней достоверности доказательств (УДД) для методов диагностики (Табл. 1) и для методов профилактики, лечения и реабилитации (Табл. 2). </w:t>
      </w:r>
    </w:p>
    <w:p w14:paraId="07D7206C" w14:textId="77777777" w:rsidR="00A91645" w:rsidRPr="007C14EE" w:rsidRDefault="00A91645" w:rsidP="00A91645">
      <w:pPr>
        <w:divId w:val="1333020968"/>
        <w:rPr>
          <w:rFonts w:eastAsia="Calibri"/>
        </w:rPr>
      </w:pPr>
      <w:bookmarkStart w:id="85" w:name="_Ref515967586"/>
      <w:r w:rsidRPr="007C14EE">
        <w:rPr>
          <w:b/>
        </w:rPr>
        <w:t xml:space="preserve">Таблица </w:t>
      </w:r>
      <w:r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Pr="007C14EE">
        <w:rPr>
          <w:b/>
        </w:rPr>
        <w:fldChar w:fldCharType="separate"/>
      </w:r>
      <w:r>
        <w:rPr>
          <w:b/>
          <w:noProof/>
        </w:rPr>
        <w:t>1</w:t>
      </w:r>
      <w:r w:rsidRPr="007C14EE">
        <w:rPr>
          <w:b/>
        </w:rPr>
        <w:fldChar w:fldCharType="end"/>
      </w:r>
      <w:bookmarkEnd w:id="85"/>
      <w:r w:rsidRPr="007C14EE">
        <w:rPr>
          <w:rFonts w:eastAsia="Calibri"/>
          <w:b/>
        </w:rPr>
        <w:t>.</w:t>
      </w:r>
      <w:r w:rsidRPr="00544207">
        <w:rPr>
          <w:rFonts w:eastAsia="Calibri"/>
        </w:rPr>
        <w:t xml:space="preserve"> </w:t>
      </w:r>
      <w:r>
        <w:rPr>
          <w:rFonts w:eastAsia="Calibri"/>
        </w:rPr>
        <w:t>Шкала оценки уровней достоверности доказательств (</w:t>
      </w:r>
      <w:r w:rsidRPr="00544207">
        <w:rPr>
          <w:rFonts w:eastAsia="Calibri"/>
        </w:rPr>
        <w:t>УДД</w:t>
      </w:r>
      <w:r>
        <w:rPr>
          <w:rFonts w:eastAsia="Calibri"/>
        </w:rPr>
        <w:t>)</w:t>
      </w:r>
      <w:r w:rsidRPr="00544207">
        <w:rPr>
          <w:rFonts w:eastAsia="Calibri"/>
        </w:rPr>
        <w:t xml:space="preserve"> </w:t>
      </w:r>
      <w:r>
        <w:rPr>
          <w:rFonts w:eastAsia="Calibri"/>
        </w:rPr>
        <w:t>для методов диагностики</w:t>
      </w:r>
      <w:r w:rsidR="005C7877">
        <w:rPr>
          <w:rFonts w:eastAsia="Calibri"/>
        </w:rPr>
        <w:t xml:space="preserve"> (диагностических вмешательств)</w:t>
      </w: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817"/>
        <w:gridCol w:w="8754"/>
      </w:tblGrid>
      <w:tr w:rsidR="00A91645" w:rsidRPr="005C1B2B" w14:paraId="38AF6B27" w14:textId="77777777" w:rsidTr="00334F6C">
        <w:trPr>
          <w:divId w:val="1333020968"/>
          <w:trHeight w:val="58"/>
        </w:trPr>
        <w:tc>
          <w:tcPr>
            <w:tcW w:w="427" w:type="pct"/>
          </w:tcPr>
          <w:p w14:paraId="63038E19" w14:textId="77777777" w:rsidR="00A91645" w:rsidRPr="005C1B2B" w:rsidRDefault="00A91645" w:rsidP="006F7C14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5C1B2B">
              <w:rPr>
                <w:b/>
                <w:color w:val="000000"/>
              </w:rPr>
              <w:t>УДД</w:t>
            </w:r>
          </w:p>
        </w:tc>
        <w:tc>
          <w:tcPr>
            <w:tcW w:w="4573" w:type="pct"/>
          </w:tcPr>
          <w:p w14:paraId="1A6F3E22" w14:textId="77777777" w:rsidR="00A91645" w:rsidRPr="005C1B2B" w:rsidRDefault="00A91645" w:rsidP="006F7C14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Расшифровка</w:t>
            </w:r>
          </w:p>
        </w:tc>
      </w:tr>
      <w:tr w:rsidR="00A91645" w:rsidRPr="005C1B2B" w14:paraId="26055947" w14:textId="77777777" w:rsidTr="00334F6C">
        <w:trPr>
          <w:divId w:val="1333020968"/>
        </w:trPr>
        <w:tc>
          <w:tcPr>
            <w:tcW w:w="427" w:type="pct"/>
          </w:tcPr>
          <w:p w14:paraId="3CAE97FA" w14:textId="77777777" w:rsidR="00A91645" w:rsidRPr="005C1B2B" w:rsidRDefault="00A91645" w:rsidP="006F7C1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1</w:t>
            </w:r>
          </w:p>
        </w:tc>
        <w:tc>
          <w:tcPr>
            <w:tcW w:w="4573" w:type="pct"/>
          </w:tcPr>
          <w:p w14:paraId="11091F60" w14:textId="77777777" w:rsidR="00A91645" w:rsidRPr="005C1B2B" w:rsidRDefault="00A91645" w:rsidP="006F7C14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C1B2B">
              <w:rPr>
                <w:color w:val="000000"/>
              </w:rPr>
              <w:t xml:space="preserve">истематические обзоры исследований с контролем </w:t>
            </w:r>
            <w:proofErr w:type="spellStart"/>
            <w:r w:rsidRPr="005C1B2B">
              <w:rPr>
                <w:color w:val="000000"/>
              </w:rPr>
              <w:t>референсным</w:t>
            </w:r>
            <w:proofErr w:type="spellEnd"/>
            <w:r w:rsidRPr="005C1B2B">
              <w:rPr>
                <w:color w:val="000000"/>
              </w:rPr>
              <w:t xml:space="preserve"> методом</w:t>
            </w:r>
            <w:r>
              <w:t xml:space="preserve"> или систематический обзор </w:t>
            </w:r>
            <w:proofErr w:type="spellStart"/>
            <w:r w:rsidR="005C7877">
              <w:t>рандомизированных</w:t>
            </w:r>
            <w:proofErr w:type="spellEnd"/>
            <w:r w:rsidR="005C7877">
              <w:t xml:space="preserve"> клинических исследований с применением </w:t>
            </w:r>
            <w:proofErr w:type="gramStart"/>
            <w:r w:rsidR="005C7877">
              <w:t>мета-анализа</w:t>
            </w:r>
            <w:proofErr w:type="gramEnd"/>
          </w:p>
        </w:tc>
      </w:tr>
      <w:tr w:rsidR="00A91645" w:rsidRPr="005C1B2B" w14:paraId="1BF7FA28" w14:textId="77777777" w:rsidTr="00334F6C">
        <w:trPr>
          <w:divId w:val="1333020968"/>
        </w:trPr>
        <w:tc>
          <w:tcPr>
            <w:tcW w:w="427" w:type="pct"/>
          </w:tcPr>
          <w:p w14:paraId="363EC37F" w14:textId="77777777" w:rsidR="00A91645" w:rsidRPr="005C1B2B" w:rsidRDefault="00A91645" w:rsidP="006F7C1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2</w:t>
            </w:r>
          </w:p>
        </w:tc>
        <w:tc>
          <w:tcPr>
            <w:tcW w:w="4573" w:type="pct"/>
          </w:tcPr>
          <w:p w14:paraId="20DEBCA6" w14:textId="77777777" w:rsidR="00A91645" w:rsidRPr="005C1B2B" w:rsidRDefault="00A91645" w:rsidP="006F7C14">
            <w:pPr>
              <w:spacing w:line="240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 xml:space="preserve">Отдельные исследования с контролем </w:t>
            </w:r>
            <w:proofErr w:type="spellStart"/>
            <w:r w:rsidRPr="005C1B2B">
              <w:rPr>
                <w:color w:val="000000"/>
              </w:rPr>
              <w:t>референсным</w:t>
            </w:r>
            <w:proofErr w:type="spellEnd"/>
            <w:r w:rsidRPr="005C1B2B">
              <w:rPr>
                <w:color w:val="000000"/>
              </w:rPr>
              <w:t xml:space="preserve"> методом</w:t>
            </w:r>
            <w:r w:rsidR="005C7877">
              <w:rPr>
                <w:color w:val="000000"/>
              </w:rPr>
              <w:t xml:space="preserve"> или отдельные </w:t>
            </w:r>
            <w:proofErr w:type="spellStart"/>
            <w:r w:rsidR="005C7877">
              <w:rPr>
                <w:color w:val="000000"/>
              </w:rPr>
              <w:t>рандомизированные</w:t>
            </w:r>
            <w:proofErr w:type="spellEnd"/>
            <w:r w:rsidR="005C7877">
              <w:rPr>
                <w:color w:val="000000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="005C7877">
              <w:rPr>
                <w:color w:val="000000"/>
              </w:rPr>
              <w:t>рандомизированных</w:t>
            </w:r>
            <w:proofErr w:type="spellEnd"/>
            <w:r w:rsidR="005C7877">
              <w:rPr>
                <w:color w:val="000000"/>
              </w:rPr>
              <w:t xml:space="preserve"> клинических исследований, с применением </w:t>
            </w:r>
            <w:proofErr w:type="gramStart"/>
            <w:r w:rsidR="005C7877">
              <w:rPr>
                <w:color w:val="000000"/>
              </w:rPr>
              <w:t>мета-анализа</w:t>
            </w:r>
            <w:proofErr w:type="gramEnd"/>
          </w:p>
        </w:tc>
      </w:tr>
      <w:tr w:rsidR="00A91645" w:rsidRPr="005C1B2B" w14:paraId="639F21E1" w14:textId="77777777" w:rsidTr="00334F6C">
        <w:trPr>
          <w:divId w:val="1333020968"/>
        </w:trPr>
        <w:tc>
          <w:tcPr>
            <w:tcW w:w="427" w:type="pct"/>
          </w:tcPr>
          <w:p w14:paraId="13449FCF" w14:textId="77777777" w:rsidR="00A91645" w:rsidRPr="005C1B2B" w:rsidRDefault="00A91645" w:rsidP="006F7C1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lastRenderedPageBreak/>
              <w:t>3</w:t>
            </w:r>
          </w:p>
        </w:tc>
        <w:tc>
          <w:tcPr>
            <w:tcW w:w="4573" w:type="pct"/>
          </w:tcPr>
          <w:p w14:paraId="4AB3826B" w14:textId="77777777" w:rsidR="00A91645" w:rsidRPr="005C1B2B" w:rsidRDefault="00A91645" w:rsidP="006F7C14">
            <w:pPr>
              <w:spacing w:line="240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 xml:space="preserve">Исследования без последовательного контроля </w:t>
            </w:r>
            <w:proofErr w:type="spellStart"/>
            <w:r w:rsidRPr="005C1B2B">
              <w:rPr>
                <w:color w:val="000000"/>
              </w:rPr>
              <w:t>референсным</w:t>
            </w:r>
            <w:proofErr w:type="spellEnd"/>
            <w:r w:rsidRPr="005C1B2B">
              <w:rPr>
                <w:color w:val="000000"/>
              </w:rPr>
              <w:t xml:space="preserve"> методом или исследования с </w:t>
            </w:r>
            <w:proofErr w:type="spellStart"/>
            <w:r w:rsidRPr="005C1B2B">
              <w:rPr>
                <w:color w:val="000000"/>
              </w:rPr>
              <w:t>референсным</w:t>
            </w:r>
            <w:proofErr w:type="spellEnd"/>
            <w:r w:rsidRPr="005C1B2B">
              <w:rPr>
                <w:color w:val="000000"/>
              </w:rPr>
              <w:t xml:space="preserve"> методом, не являющимся независимым от исследуемого метода</w:t>
            </w:r>
            <w:r w:rsidR="005C7877">
              <w:rPr>
                <w:color w:val="000000"/>
              </w:rPr>
              <w:t xml:space="preserve"> или </w:t>
            </w:r>
            <w:proofErr w:type="spellStart"/>
            <w:r w:rsidR="005C7877">
              <w:rPr>
                <w:color w:val="000000"/>
              </w:rPr>
              <w:t>нерандомизированные</w:t>
            </w:r>
            <w:proofErr w:type="spellEnd"/>
            <w:r w:rsidR="005C7877">
              <w:rPr>
                <w:color w:val="000000"/>
              </w:rPr>
              <w:t xml:space="preserve"> сравнительные исследования, в том числе </w:t>
            </w:r>
            <w:proofErr w:type="spellStart"/>
            <w:r w:rsidR="005C7877">
              <w:rPr>
                <w:color w:val="000000"/>
              </w:rPr>
              <w:t>когортные</w:t>
            </w:r>
            <w:proofErr w:type="spellEnd"/>
            <w:r w:rsidR="005C7877">
              <w:rPr>
                <w:color w:val="000000"/>
              </w:rPr>
              <w:t xml:space="preserve"> исследования</w:t>
            </w:r>
          </w:p>
        </w:tc>
      </w:tr>
      <w:tr w:rsidR="00A91645" w:rsidRPr="005C1B2B" w14:paraId="2C4A994C" w14:textId="77777777" w:rsidTr="00334F6C">
        <w:trPr>
          <w:divId w:val="1333020968"/>
        </w:trPr>
        <w:tc>
          <w:tcPr>
            <w:tcW w:w="427" w:type="pct"/>
          </w:tcPr>
          <w:p w14:paraId="6AE39ADD" w14:textId="77777777" w:rsidR="00A91645" w:rsidRPr="005C1B2B" w:rsidRDefault="00A91645" w:rsidP="006F7C1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4</w:t>
            </w:r>
          </w:p>
        </w:tc>
        <w:tc>
          <w:tcPr>
            <w:tcW w:w="4573" w:type="pct"/>
          </w:tcPr>
          <w:p w14:paraId="38B9003B" w14:textId="77777777" w:rsidR="00A91645" w:rsidRPr="005C1B2B" w:rsidRDefault="00A91645" w:rsidP="006F7C14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5C1B2B">
              <w:rPr>
                <w:color w:val="000000"/>
              </w:rPr>
              <w:t>Несравнительные</w:t>
            </w:r>
            <w:proofErr w:type="spellEnd"/>
            <w:r w:rsidRPr="005C1B2B">
              <w:rPr>
                <w:color w:val="000000"/>
              </w:rPr>
              <w:t xml:space="preserve"> исследования, описание клинического случая</w:t>
            </w:r>
          </w:p>
        </w:tc>
      </w:tr>
      <w:tr w:rsidR="00A91645" w:rsidRPr="005C1B2B" w14:paraId="536F2115" w14:textId="77777777" w:rsidTr="00334F6C">
        <w:trPr>
          <w:divId w:val="1333020968"/>
        </w:trPr>
        <w:tc>
          <w:tcPr>
            <w:tcW w:w="427" w:type="pct"/>
          </w:tcPr>
          <w:p w14:paraId="44E7C57C" w14:textId="77777777" w:rsidR="00A91645" w:rsidRPr="005C1B2B" w:rsidRDefault="00A91645" w:rsidP="006F7C1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5</w:t>
            </w:r>
          </w:p>
        </w:tc>
        <w:tc>
          <w:tcPr>
            <w:tcW w:w="4573" w:type="pct"/>
          </w:tcPr>
          <w:p w14:paraId="0A900DD3" w14:textId="77777777" w:rsidR="00A91645" w:rsidRPr="005C1B2B" w:rsidRDefault="00A91645" w:rsidP="006F7C14">
            <w:pPr>
              <w:spacing w:line="240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14:paraId="6954FCC4" w14:textId="77777777" w:rsidR="00A91645" w:rsidRDefault="00A91645" w:rsidP="00F756F0">
      <w:pPr>
        <w:pStyle w:val="aff7"/>
        <w:divId w:val="1333020968"/>
        <w:rPr>
          <w:rStyle w:val="affa"/>
        </w:rPr>
      </w:pPr>
    </w:p>
    <w:p w14:paraId="7C71D8BF" w14:textId="77777777" w:rsidR="005C7877" w:rsidRDefault="00A91645" w:rsidP="005C7877">
      <w:pPr>
        <w:divId w:val="1333020968"/>
      </w:pPr>
      <w:bookmarkStart w:id="86" w:name="_Ref515967623"/>
      <w:r w:rsidRPr="007C14EE">
        <w:rPr>
          <w:b/>
        </w:rPr>
        <w:t xml:space="preserve">Таблица </w:t>
      </w:r>
      <w:r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Pr="007C14EE">
        <w:rPr>
          <w:b/>
        </w:rPr>
        <w:fldChar w:fldCharType="separate"/>
      </w:r>
      <w:r>
        <w:rPr>
          <w:b/>
          <w:noProof/>
        </w:rPr>
        <w:t>2</w:t>
      </w:r>
      <w:r w:rsidRPr="007C14EE">
        <w:rPr>
          <w:b/>
        </w:rPr>
        <w:fldChar w:fldCharType="end"/>
      </w:r>
      <w:bookmarkEnd w:id="86"/>
      <w:r w:rsidRPr="007C14EE">
        <w:rPr>
          <w:rFonts w:eastAsia="Calibri"/>
          <w:b/>
        </w:rPr>
        <w:t>.</w:t>
      </w:r>
      <w:r w:rsidRPr="00E75FC6">
        <w:rPr>
          <w:rFonts w:eastAsia="Calibri"/>
        </w:rPr>
        <w:t xml:space="preserve"> </w:t>
      </w:r>
      <w:r w:rsidR="005C7877" w:rsidRPr="003311A4">
        <w:t xml:space="preserve"> </w:t>
      </w:r>
      <w:r w:rsidR="005C7877">
        <w:t>Шкала оценки уровней достоверности доказательств (</w:t>
      </w:r>
      <w:r w:rsidR="005C7877" w:rsidRPr="003311A4">
        <w:t>УДД</w:t>
      </w:r>
      <w:r w:rsidR="005C7877">
        <w:t>)</w:t>
      </w:r>
      <w:r w:rsidR="005C7877" w:rsidRPr="003311A4">
        <w:t xml:space="preserve"> </w:t>
      </w:r>
      <w:r w:rsidR="005C7877">
        <w:rPr>
          <w:rFonts w:eastAsia="Calibri"/>
        </w:rPr>
        <w:t xml:space="preserve">для методов профилактики, лечения и реабилитации (профилактических, </w:t>
      </w:r>
      <w:r w:rsidR="009C0364">
        <w:rPr>
          <w:rFonts w:eastAsia="Calibri"/>
        </w:rPr>
        <w:t>лечебных, реабилитационных</w:t>
      </w:r>
      <w:r w:rsidR="005C7877" w:rsidRPr="00257C6C">
        <w:rPr>
          <w:rFonts w:eastAsia="Calibri"/>
        </w:rPr>
        <w:t xml:space="preserve"> вмешательств</w:t>
      </w:r>
      <w:r w:rsidR="009C0364">
        <w:rPr>
          <w:rFonts w:eastAsia="Calibri"/>
        </w:rPr>
        <w:t>)</w:t>
      </w:r>
    </w:p>
    <w:tbl>
      <w:tblPr>
        <w:tblStyle w:val="19"/>
        <w:tblW w:w="5074" w:type="pct"/>
        <w:tblLook w:val="04A0" w:firstRow="1" w:lastRow="0" w:firstColumn="1" w:lastColumn="0" w:noHBand="0" w:noVBand="1"/>
      </w:tblPr>
      <w:tblGrid>
        <w:gridCol w:w="723"/>
        <w:gridCol w:w="8990"/>
      </w:tblGrid>
      <w:tr w:rsidR="005C7877" w:rsidRPr="00495C9E" w14:paraId="75D0F203" w14:textId="77777777" w:rsidTr="005C7877">
        <w:trPr>
          <w:divId w:val="1333020968"/>
        </w:trPr>
        <w:tc>
          <w:tcPr>
            <w:tcW w:w="360" w:type="pct"/>
          </w:tcPr>
          <w:p w14:paraId="369506A8" w14:textId="77777777" w:rsidR="005C7877" w:rsidRPr="00495C9E" w:rsidRDefault="005C7877" w:rsidP="006F7C14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495C9E">
              <w:rPr>
                <w:b/>
                <w:color w:val="000000"/>
              </w:rPr>
              <w:t>УДД</w:t>
            </w:r>
          </w:p>
        </w:tc>
        <w:tc>
          <w:tcPr>
            <w:tcW w:w="4640" w:type="pct"/>
          </w:tcPr>
          <w:p w14:paraId="0E2D2AD5" w14:textId="77777777" w:rsidR="005C7877" w:rsidRPr="00495C9E" w:rsidRDefault="005C7877" w:rsidP="006F7C14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495C9E">
              <w:rPr>
                <w:b/>
                <w:color w:val="000000"/>
              </w:rPr>
              <w:t xml:space="preserve"> </w:t>
            </w:r>
            <w:r w:rsidR="009C0364">
              <w:rPr>
                <w:b/>
                <w:color w:val="000000"/>
              </w:rPr>
              <w:t xml:space="preserve">Расшифровка </w:t>
            </w:r>
          </w:p>
        </w:tc>
      </w:tr>
      <w:tr w:rsidR="005C7877" w:rsidRPr="00495C9E" w14:paraId="5EB45641" w14:textId="77777777" w:rsidTr="005C7877">
        <w:trPr>
          <w:divId w:val="1333020968"/>
        </w:trPr>
        <w:tc>
          <w:tcPr>
            <w:tcW w:w="360" w:type="pct"/>
          </w:tcPr>
          <w:p w14:paraId="6BE1459D" w14:textId="77777777" w:rsidR="005C7877" w:rsidRPr="00495C9E" w:rsidRDefault="005C7877" w:rsidP="006F7C1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1</w:t>
            </w:r>
          </w:p>
        </w:tc>
        <w:tc>
          <w:tcPr>
            <w:tcW w:w="4640" w:type="pct"/>
          </w:tcPr>
          <w:p w14:paraId="3C3880DC" w14:textId="77777777" w:rsidR="005C7877" w:rsidRPr="00495C9E" w:rsidRDefault="005C7877" w:rsidP="006F7C14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>Систематический обзор</w:t>
            </w:r>
            <w:r>
              <w:rPr>
                <w:color w:val="000000"/>
              </w:rPr>
              <w:t xml:space="preserve"> РКИ с применением </w:t>
            </w:r>
            <w:proofErr w:type="gramStart"/>
            <w:r>
              <w:rPr>
                <w:color w:val="000000"/>
              </w:rPr>
              <w:t>мета-анализа</w:t>
            </w:r>
            <w:proofErr w:type="gramEnd"/>
          </w:p>
        </w:tc>
      </w:tr>
      <w:tr w:rsidR="005C7877" w:rsidRPr="00495C9E" w14:paraId="5D2EF893" w14:textId="77777777" w:rsidTr="005C7877">
        <w:trPr>
          <w:divId w:val="1333020968"/>
        </w:trPr>
        <w:tc>
          <w:tcPr>
            <w:tcW w:w="360" w:type="pct"/>
          </w:tcPr>
          <w:p w14:paraId="475DEFC1" w14:textId="77777777" w:rsidR="005C7877" w:rsidRPr="00495C9E" w:rsidRDefault="005C7877" w:rsidP="006F7C14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495C9E">
              <w:rPr>
                <w:color w:val="000000"/>
              </w:rPr>
              <w:t>2</w:t>
            </w:r>
          </w:p>
        </w:tc>
        <w:tc>
          <w:tcPr>
            <w:tcW w:w="4640" w:type="pct"/>
          </w:tcPr>
          <w:p w14:paraId="79C3876A" w14:textId="77777777" w:rsidR="005C7877" w:rsidRPr="00495C9E" w:rsidRDefault="005C7877" w:rsidP="006F7C14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 xml:space="preserve">Отдельные РКИ и систематические обзоры исследований любого </w:t>
            </w:r>
            <w:r w:rsidR="009C0364">
              <w:rPr>
                <w:color w:val="000000"/>
              </w:rPr>
              <w:t xml:space="preserve">дизайна, за исключением РКИ, </w:t>
            </w:r>
            <w:r w:rsidRPr="00495C9E">
              <w:rPr>
                <w:color w:val="000000"/>
              </w:rPr>
              <w:t xml:space="preserve">с применением </w:t>
            </w:r>
            <w:proofErr w:type="gramStart"/>
            <w:r w:rsidRPr="00495C9E">
              <w:rPr>
                <w:color w:val="000000"/>
              </w:rPr>
              <w:t>мета-анализа</w:t>
            </w:r>
            <w:proofErr w:type="gramEnd"/>
          </w:p>
        </w:tc>
      </w:tr>
      <w:tr w:rsidR="005C7877" w:rsidRPr="00495C9E" w14:paraId="25097DB5" w14:textId="77777777" w:rsidTr="005C7877">
        <w:trPr>
          <w:divId w:val="1333020968"/>
        </w:trPr>
        <w:tc>
          <w:tcPr>
            <w:tcW w:w="360" w:type="pct"/>
          </w:tcPr>
          <w:p w14:paraId="6E02FE09" w14:textId="77777777" w:rsidR="005C7877" w:rsidRPr="00495C9E" w:rsidRDefault="005C7877" w:rsidP="006F7C1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3</w:t>
            </w:r>
          </w:p>
        </w:tc>
        <w:tc>
          <w:tcPr>
            <w:tcW w:w="4640" w:type="pct"/>
          </w:tcPr>
          <w:p w14:paraId="03D888EC" w14:textId="77777777" w:rsidR="005C7877" w:rsidRPr="00495C9E" w:rsidRDefault="005C7877" w:rsidP="006F7C14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495C9E">
              <w:rPr>
                <w:color w:val="000000"/>
              </w:rPr>
              <w:t>Нерандомизированные</w:t>
            </w:r>
            <w:proofErr w:type="spellEnd"/>
            <w:r w:rsidRPr="00495C9E">
              <w:rPr>
                <w:color w:val="000000"/>
              </w:rPr>
              <w:t xml:space="preserve"> сравнительные исследования, в </w:t>
            </w:r>
            <w:proofErr w:type="spellStart"/>
            <w:r w:rsidRPr="00495C9E">
              <w:rPr>
                <w:color w:val="000000"/>
              </w:rPr>
              <w:t>т.ч</w:t>
            </w:r>
            <w:proofErr w:type="spellEnd"/>
            <w:r w:rsidRPr="00495C9E">
              <w:rPr>
                <w:color w:val="000000"/>
              </w:rPr>
              <w:t xml:space="preserve">. </w:t>
            </w:r>
            <w:proofErr w:type="spellStart"/>
            <w:r w:rsidRPr="00495C9E">
              <w:rPr>
                <w:color w:val="000000"/>
              </w:rPr>
              <w:t>когортные</w:t>
            </w:r>
            <w:proofErr w:type="spellEnd"/>
            <w:r w:rsidRPr="00495C9E">
              <w:rPr>
                <w:color w:val="000000"/>
              </w:rPr>
              <w:t xml:space="preserve"> исследования</w:t>
            </w:r>
          </w:p>
        </w:tc>
      </w:tr>
      <w:tr w:rsidR="005C7877" w:rsidRPr="00495C9E" w14:paraId="2B7395E6" w14:textId="77777777" w:rsidTr="005C7877">
        <w:trPr>
          <w:divId w:val="1333020968"/>
        </w:trPr>
        <w:tc>
          <w:tcPr>
            <w:tcW w:w="360" w:type="pct"/>
          </w:tcPr>
          <w:p w14:paraId="78285687" w14:textId="77777777" w:rsidR="005C7877" w:rsidRPr="00495C9E" w:rsidRDefault="005C7877" w:rsidP="006F7C1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4</w:t>
            </w:r>
          </w:p>
        </w:tc>
        <w:tc>
          <w:tcPr>
            <w:tcW w:w="4640" w:type="pct"/>
          </w:tcPr>
          <w:p w14:paraId="3E8C67B6" w14:textId="77777777" w:rsidR="005C7877" w:rsidRPr="00495C9E" w:rsidRDefault="005C7877" w:rsidP="006F7C14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495C9E">
              <w:rPr>
                <w:color w:val="000000"/>
              </w:rPr>
              <w:t>Несравнительные</w:t>
            </w:r>
            <w:proofErr w:type="spellEnd"/>
            <w:r w:rsidRPr="00495C9E">
              <w:rPr>
                <w:color w:val="000000"/>
              </w:rPr>
              <w:t xml:space="preserve"> исследования, описание клинического случая</w:t>
            </w:r>
            <w:r>
              <w:rPr>
                <w:color w:val="000000"/>
              </w:rPr>
              <w:t xml:space="preserve"> или серии случаев, исследования</w:t>
            </w:r>
            <w:r w:rsidRPr="00495C9E">
              <w:rPr>
                <w:color w:val="000000"/>
              </w:rPr>
              <w:t xml:space="preserve"> «случай-контроль»</w:t>
            </w:r>
          </w:p>
        </w:tc>
      </w:tr>
      <w:tr w:rsidR="005C7877" w:rsidRPr="00495C9E" w14:paraId="597317FD" w14:textId="77777777" w:rsidTr="005C7877">
        <w:trPr>
          <w:divId w:val="1333020968"/>
        </w:trPr>
        <w:tc>
          <w:tcPr>
            <w:tcW w:w="360" w:type="pct"/>
          </w:tcPr>
          <w:p w14:paraId="0C4A57CC" w14:textId="77777777" w:rsidR="005C7877" w:rsidRPr="00495C9E" w:rsidRDefault="005C7877" w:rsidP="006F7C1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5</w:t>
            </w:r>
          </w:p>
        </w:tc>
        <w:tc>
          <w:tcPr>
            <w:tcW w:w="4640" w:type="pct"/>
          </w:tcPr>
          <w:p w14:paraId="1B16EC47" w14:textId="77777777" w:rsidR="005C7877" w:rsidRPr="00495C9E" w:rsidRDefault="005C7877" w:rsidP="006F7C14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14:paraId="2F6C2798" w14:textId="77777777" w:rsidR="005C7877" w:rsidRPr="009B4725" w:rsidRDefault="005C7877" w:rsidP="005C7877">
      <w:pPr>
        <w:pStyle w:val="aff7"/>
        <w:divId w:val="1333020968"/>
        <w:rPr>
          <w:rStyle w:val="affa"/>
        </w:rPr>
      </w:pPr>
    </w:p>
    <w:p w14:paraId="6337AE29" w14:textId="77777777" w:rsidR="009B4725" w:rsidRPr="009B4725" w:rsidRDefault="009B4725" w:rsidP="009B4725">
      <w:pPr>
        <w:pStyle w:val="30"/>
        <w:ind w:firstLine="709"/>
        <w:divId w:val="1333020968"/>
        <w:rPr>
          <w:b/>
          <w:i w:val="0"/>
        </w:rPr>
      </w:pPr>
      <w:r w:rsidRPr="009B4725">
        <w:rPr>
          <w:b/>
          <w:i w:val="0"/>
        </w:rPr>
        <w:t>Описание методики анализа доказательств и разработки рекомендаций:</w:t>
      </w:r>
    </w:p>
    <w:p w14:paraId="6A2140B8" w14:textId="77777777" w:rsidR="009B4725" w:rsidRPr="00534AD5" w:rsidRDefault="009B4725" w:rsidP="009B4725">
      <w:pPr>
        <w:pStyle w:val="afd"/>
        <w:ind w:left="0"/>
        <w:divId w:val="1333020968"/>
        <w:rPr>
          <w:szCs w:val="24"/>
        </w:rPr>
      </w:pPr>
      <w:r w:rsidRPr="00C41A9B">
        <w:rPr>
          <w:szCs w:val="24"/>
        </w:rPr>
        <w:t>При отборе публикаций, как потенциаль</w:t>
      </w:r>
      <w:r w:rsidRPr="00390A12">
        <w:rPr>
          <w:szCs w:val="24"/>
        </w:rPr>
        <w:t>ных источников доказательств, использованная в каждом исследовании методология изучалась для того, чтобы убедиться в соответствии ее принципам доказательной медицины. Результат изучения влиял на уровень доказательности, присваиваемый публикации, что в свою</w:t>
      </w:r>
      <w:r w:rsidRPr="00534AD5">
        <w:rPr>
          <w:szCs w:val="24"/>
        </w:rPr>
        <w:t xml:space="preserve"> очередь влияет на силу, вытекающих из нее рекомендаций.</w:t>
      </w:r>
    </w:p>
    <w:p w14:paraId="18BCCD48" w14:textId="77777777" w:rsidR="009B4725" w:rsidRPr="00447DC8" w:rsidRDefault="009B4725" w:rsidP="009B4725">
      <w:pPr>
        <w:pStyle w:val="afd"/>
        <w:ind w:left="0"/>
        <w:divId w:val="1333020968"/>
        <w:rPr>
          <w:szCs w:val="24"/>
        </w:rPr>
      </w:pPr>
      <w:r w:rsidRPr="00447DC8">
        <w:rPr>
          <w:szCs w:val="24"/>
        </w:rPr>
        <w:t>Методологическое изучение фокусировалось на особенностях дизайна исследования, которые оказывали существенное влияние на качество результатов и выводов.</w:t>
      </w:r>
    </w:p>
    <w:p w14:paraId="1E1BEEFE" w14:textId="77777777" w:rsidR="009B4725" w:rsidRPr="00447DC8" w:rsidRDefault="009B4725" w:rsidP="009B4725">
      <w:pPr>
        <w:pStyle w:val="afd"/>
        <w:ind w:left="0"/>
        <w:divId w:val="1333020968"/>
        <w:rPr>
          <w:szCs w:val="24"/>
        </w:rPr>
      </w:pPr>
      <w:r w:rsidRPr="00447DC8">
        <w:rPr>
          <w:szCs w:val="24"/>
        </w:rPr>
        <w:t>С целью исключения влияния субъективных факторов каждое исследование оценивалось независимо, как минимум двумя независимыми членами авторского коллектива. Различия в оценке обсуждались на совещаниях рабочей группы авторского коллектива данных рекомендаций.</w:t>
      </w:r>
    </w:p>
    <w:p w14:paraId="5BAE9B38" w14:textId="3C95EC49" w:rsidR="009B4725" w:rsidRPr="006F7C14" w:rsidRDefault="009B4725" w:rsidP="006F7C14">
      <w:pPr>
        <w:pStyle w:val="afd"/>
        <w:ind w:left="0"/>
        <w:divId w:val="1333020968"/>
        <w:rPr>
          <w:szCs w:val="24"/>
        </w:rPr>
      </w:pPr>
      <w:r w:rsidRPr="00447DC8">
        <w:rPr>
          <w:szCs w:val="24"/>
        </w:rPr>
        <w:t xml:space="preserve">На основании анализа доказательств последовательно были разработаны разделы клинических рекомендаций с оценкой силы в соответствии с рейтинговой схемой рекомендаций </w:t>
      </w:r>
      <w:r>
        <w:rPr>
          <w:szCs w:val="24"/>
        </w:rPr>
        <w:t>(табл.3</w:t>
      </w:r>
      <w:r w:rsidRPr="00447DC8">
        <w:rPr>
          <w:szCs w:val="24"/>
        </w:rPr>
        <w:t>).</w:t>
      </w:r>
    </w:p>
    <w:p w14:paraId="5485A815" w14:textId="77777777" w:rsidR="009B4725" w:rsidRPr="00447DC8" w:rsidRDefault="009B4725" w:rsidP="009B4725">
      <w:pPr>
        <w:pStyle w:val="30"/>
        <w:divId w:val="1333020968"/>
        <w:rPr>
          <w:i w:val="0"/>
        </w:rPr>
      </w:pPr>
      <w:r w:rsidRPr="00447DC8">
        <w:rPr>
          <w:i w:val="0"/>
        </w:rPr>
        <w:t>Методы, использованные для формулирования рекомендаций:</w:t>
      </w:r>
    </w:p>
    <w:p w14:paraId="268E0752" w14:textId="77777777" w:rsidR="009B4725" w:rsidRPr="00447DC8" w:rsidRDefault="009B4725" w:rsidP="00294DAB">
      <w:pPr>
        <w:pStyle w:val="afd"/>
        <w:numPr>
          <w:ilvl w:val="0"/>
          <w:numId w:val="10"/>
        </w:numPr>
        <w:tabs>
          <w:tab w:val="clear" w:pos="1429"/>
          <w:tab w:val="num" w:pos="-3600"/>
        </w:tabs>
        <w:ind w:left="1080"/>
        <w:divId w:val="1333020968"/>
        <w:rPr>
          <w:szCs w:val="24"/>
        </w:rPr>
      </w:pPr>
      <w:r w:rsidRPr="00447DC8">
        <w:rPr>
          <w:szCs w:val="24"/>
        </w:rPr>
        <w:t>Консенсус экспертов;</w:t>
      </w:r>
    </w:p>
    <w:p w14:paraId="04D72E51" w14:textId="7AC5171A" w:rsidR="009B4725" w:rsidRPr="006F7C14" w:rsidRDefault="009B4725" w:rsidP="006F7C14">
      <w:pPr>
        <w:pStyle w:val="afd"/>
        <w:numPr>
          <w:ilvl w:val="0"/>
          <w:numId w:val="10"/>
        </w:numPr>
        <w:tabs>
          <w:tab w:val="clear" w:pos="1429"/>
          <w:tab w:val="num" w:pos="-3600"/>
        </w:tabs>
        <w:ind w:left="1080"/>
        <w:divId w:val="1333020968"/>
        <w:rPr>
          <w:rStyle w:val="affa"/>
          <w:b w:val="0"/>
          <w:bCs w:val="0"/>
          <w:szCs w:val="24"/>
        </w:rPr>
      </w:pPr>
      <w:r w:rsidRPr="00447DC8">
        <w:rPr>
          <w:szCs w:val="24"/>
        </w:rPr>
        <w:lastRenderedPageBreak/>
        <w:t xml:space="preserve">Оценка значимости рекомендаций в соответствии с рейтинговой схемой (табл. </w:t>
      </w:r>
      <w:r>
        <w:rPr>
          <w:szCs w:val="24"/>
        </w:rPr>
        <w:t>3</w:t>
      </w:r>
      <w:r w:rsidRPr="009B4725">
        <w:rPr>
          <w:szCs w:val="24"/>
        </w:rPr>
        <w:t>).</w:t>
      </w:r>
    </w:p>
    <w:p w14:paraId="4E18808A" w14:textId="77777777" w:rsidR="009C0364" w:rsidRDefault="009C0364" w:rsidP="009C0364">
      <w:pPr>
        <w:divId w:val="1333020968"/>
      </w:pPr>
      <w:bookmarkStart w:id="87" w:name="_Ref515967732"/>
      <w:r w:rsidRPr="00B15720">
        <w:rPr>
          <w:b/>
        </w:rPr>
        <w:t xml:space="preserve">Таблица </w:t>
      </w:r>
      <w:bookmarkEnd w:id="87"/>
      <w:r>
        <w:rPr>
          <w:b/>
        </w:rPr>
        <w:t>3</w:t>
      </w:r>
      <w:r w:rsidRPr="00B15720">
        <w:rPr>
          <w:b/>
        </w:rPr>
        <w:t>.</w:t>
      </w:r>
      <w:r w:rsidRPr="003311A4">
        <w:t xml:space="preserve"> </w:t>
      </w:r>
      <w:r>
        <w:t>Шкала оценки уровней убедительности рекомендаций</w:t>
      </w:r>
      <w:r w:rsidRPr="003311A4">
        <w:t xml:space="preserve"> </w:t>
      </w:r>
      <w:r>
        <w:t>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1363"/>
        <w:gridCol w:w="8208"/>
      </w:tblGrid>
      <w:tr w:rsidR="009C0364" w:rsidRPr="003311A4" w14:paraId="60F1C2A7" w14:textId="77777777" w:rsidTr="000B7A71">
        <w:trPr>
          <w:divId w:val="1333020968"/>
        </w:trPr>
        <w:tc>
          <w:tcPr>
            <w:tcW w:w="712" w:type="pct"/>
          </w:tcPr>
          <w:p w14:paraId="1D0800EE" w14:textId="77777777" w:rsidR="009C0364" w:rsidRPr="003311A4" w:rsidRDefault="009C0364" w:rsidP="006F7C14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311A4">
              <w:rPr>
                <w:b/>
                <w:color w:val="000000" w:themeColor="text1"/>
              </w:rPr>
              <w:t>УУР</w:t>
            </w:r>
          </w:p>
        </w:tc>
        <w:tc>
          <w:tcPr>
            <w:tcW w:w="4288" w:type="pct"/>
          </w:tcPr>
          <w:p w14:paraId="57187949" w14:textId="77777777" w:rsidR="009C0364" w:rsidRPr="003311A4" w:rsidRDefault="009C0364" w:rsidP="006F7C14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311A4">
              <w:rPr>
                <w:b/>
                <w:color w:val="000000" w:themeColor="text1"/>
              </w:rPr>
              <w:t>Расшифровка</w:t>
            </w:r>
          </w:p>
        </w:tc>
      </w:tr>
      <w:tr w:rsidR="009C0364" w:rsidRPr="003311A4" w14:paraId="3257A152" w14:textId="77777777" w:rsidTr="000B7A71">
        <w:trPr>
          <w:divId w:val="1333020968"/>
          <w:trHeight w:val="1060"/>
        </w:trPr>
        <w:tc>
          <w:tcPr>
            <w:tcW w:w="712" w:type="pct"/>
          </w:tcPr>
          <w:p w14:paraId="35C57868" w14:textId="77777777" w:rsidR="009C0364" w:rsidRPr="003311A4" w:rsidRDefault="009C0364" w:rsidP="006F7C14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311A4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4288" w:type="pct"/>
          </w:tcPr>
          <w:p w14:paraId="73A8EB4B" w14:textId="77777777" w:rsidR="009C0364" w:rsidRPr="003311A4" w:rsidRDefault="009C0364" w:rsidP="006F7C14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Сильная</w:t>
            </w:r>
            <w:r w:rsidRPr="003311A4">
              <w:rPr>
                <w:color w:val="000000" w:themeColor="text1"/>
              </w:rPr>
              <w:t xml:space="preserve"> рекомендация (все рассматриваемые критерии эффективности (исходы) являются важными, все исследования имеют высокое или удовлетворите</w:t>
            </w:r>
            <w:r>
              <w:rPr>
                <w:color w:val="000000" w:themeColor="text1"/>
              </w:rPr>
              <w:t>льное методологическое качество</w:t>
            </w:r>
            <w:r w:rsidRPr="003311A4">
              <w:rPr>
                <w:color w:val="000000" w:themeColor="text1"/>
              </w:rPr>
              <w:t xml:space="preserve">, их выводы по интересующим исходам являются согласованными) </w:t>
            </w:r>
          </w:p>
        </w:tc>
      </w:tr>
      <w:tr w:rsidR="009C0364" w:rsidRPr="003311A4" w14:paraId="71467F06" w14:textId="77777777" w:rsidTr="000B7A71">
        <w:trPr>
          <w:divId w:val="1333020968"/>
          <w:trHeight w:val="558"/>
        </w:trPr>
        <w:tc>
          <w:tcPr>
            <w:tcW w:w="712" w:type="pct"/>
          </w:tcPr>
          <w:p w14:paraId="66D4910A" w14:textId="77777777" w:rsidR="009C0364" w:rsidRPr="003311A4" w:rsidRDefault="009C0364" w:rsidP="006F7C14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311A4">
              <w:rPr>
                <w:color w:val="000000" w:themeColor="text1"/>
              </w:rPr>
              <w:t>B</w:t>
            </w:r>
          </w:p>
        </w:tc>
        <w:tc>
          <w:tcPr>
            <w:tcW w:w="4288" w:type="pct"/>
          </w:tcPr>
          <w:p w14:paraId="03CD2D10" w14:textId="77777777" w:rsidR="009C0364" w:rsidRPr="003311A4" w:rsidRDefault="009C0364" w:rsidP="006F7C14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Условная</w:t>
            </w:r>
            <w:r w:rsidRPr="003311A4">
              <w:rPr>
                <w:color w:val="000000" w:themeColor="text1"/>
              </w:rPr>
              <w:t xml:space="preserve">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C0364" w:rsidRPr="003311A4" w14:paraId="71828983" w14:textId="77777777" w:rsidTr="000B7A71">
        <w:trPr>
          <w:divId w:val="1333020968"/>
          <w:trHeight w:val="798"/>
        </w:trPr>
        <w:tc>
          <w:tcPr>
            <w:tcW w:w="712" w:type="pct"/>
          </w:tcPr>
          <w:p w14:paraId="3883FC92" w14:textId="77777777" w:rsidR="009C0364" w:rsidRPr="003311A4" w:rsidRDefault="009C0364" w:rsidP="006F7C14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311A4">
              <w:rPr>
                <w:color w:val="000000" w:themeColor="text1"/>
              </w:rPr>
              <w:t>C</w:t>
            </w:r>
          </w:p>
        </w:tc>
        <w:tc>
          <w:tcPr>
            <w:tcW w:w="4288" w:type="pct"/>
          </w:tcPr>
          <w:p w14:paraId="3A7D3C64" w14:textId="77777777" w:rsidR="009C0364" w:rsidRPr="003311A4" w:rsidRDefault="009C0364" w:rsidP="006F7C14">
            <w:pPr>
              <w:spacing w:line="240" w:lineRule="auto"/>
              <w:ind w:firstLine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Слабая рекомендация (</w:t>
            </w:r>
            <w:r w:rsidRPr="003311A4">
              <w:rPr>
                <w:color w:val="000000" w:themeColor="text1"/>
              </w:rPr>
              <w:t xml:space="preserve">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  <w:proofErr w:type="gramEnd"/>
          </w:p>
        </w:tc>
      </w:tr>
    </w:tbl>
    <w:p w14:paraId="37E267D8" w14:textId="77777777" w:rsidR="001D24E4" w:rsidRDefault="001D24E4" w:rsidP="00F756F0">
      <w:pPr>
        <w:pStyle w:val="aff7"/>
        <w:divId w:val="1333020968"/>
        <w:rPr>
          <w:rStyle w:val="affa"/>
        </w:rPr>
      </w:pPr>
    </w:p>
    <w:p w14:paraId="27ABA24C" w14:textId="77777777" w:rsidR="004C74B1" w:rsidRPr="00447DC8" w:rsidRDefault="004C74B1" w:rsidP="004C74B1">
      <w:pPr>
        <w:pStyle w:val="30"/>
        <w:ind w:firstLine="709"/>
        <w:jc w:val="left"/>
        <w:divId w:val="1333020968"/>
        <w:rPr>
          <w:b/>
          <w:i w:val="0"/>
        </w:rPr>
      </w:pPr>
      <w:r w:rsidRPr="00447DC8">
        <w:rPr>
          <w:b/>
          <w:i w:val="0"/>
        </w:rPr>
        <w:t>Окончательная редакция</w:t>
      </w:r>
    </w:p>
    <w:p w14:paraId="42A4B2FF" w14:textId="761443F1" w:rsidR="009B4725" w:rsidRPr="006F7C14" w:rsidRDefault="004C74B1" w:rsidP="006F7C14">
      <w:pPr>
        <w:pStyle w:val="afd"/>
        <w:ind w:left="0"/>
        <w:divId w:val="1333020968"/>
        <w:rPr>
          <w:rStyle w:val="affa"/>
          <w:b w:val="0"/>
          <w:bCs w:val="0"/>
          <w:szCs w:val="24"/>
        </w:rPr>
      </w:pPr>
      <w:r w:rsidRPr="000C592B">
        <w:rPr>
          <w:szCs w:val="24"/>
        </w:rPr>
        <w:t>Для окончательной редакции и контроля качества рекомендации были повторно проанализированы членами авторского коллектива, которые пришли к заключению, что</w:t>
      </w:r>
      <w:r>
        <w:rPr>
          <w:szCs w:val="24"/>
        </w:rPr>
        <w:t xml:space="preserve"> </w:t>
      </w:r>
      <w:r w:rsidRPr="00C41A9B">
        <w:rPr>
          <w:szCs w:val="24"/>
        </w:rPr>
        <w:t>все существенные замечания и комментарии экспертов приняты во внимание, риск систематических ошибок при разработке сведен к минимуму.</w:t>
      </w:r>
    </w:p>
    <w:p w14:paraId="4373C737" w14:textId="77777777" w:rsidR="00275A41" w:rsidRDefault="00CB71DA" w:rsidP="00F756F0">
      <w:pPr>
        <w:pStyle w:val="aff7"/>
        <w:divId w:val="1333020968"/>
        <w:rPr>
          <w:rFonts w:eastAsiaTheme="minorEastAsia"/>
        </w:rPr>
      </w:pPr>
      <w:r>
        <w:rPr>
          <w:rStyle w:val="affa"/>
        </w:rPr>
        <w:t>Порядок обновления клинических рекомендаций.</w:t>
      </w:r>
    </w:p>
    <w:p w14:paraId="4BAE5602" w14:textId="77777777" w:rsidR="00275A41" w:rsidRDefault="00CB71DA" w:rsidP="00F756F0">
      <w:pPr>
        <w:divId w:val="1333020968"/>
      </w:pPr>
      <w:r>
        <w:t xml:space="preserve">Механизм обновления клинических рекомендаций предусматривает их систематическую актуализацию – не реже чем один раз в три </w:t>
      </w:r>
      <w:r w:rsidR="00221384">
        <w:t>года,</w:t>
      </w:r>
      <w:r>
        <w:t xml:space="preserve"> </w:t>
      </w:r>
      <w:r w:rsidR="00221384">
        <w:t xml:space="preserve">а также </w:t>
      </w:r>
      <w:r>
        <w:t xml:space="preserve">при появлении </w:t>
      </w:r>
      <w:r w:rsidR="00221384"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 w:rsidR="00221384">
        <w:t xml:space="preserve">, </w:t>
      </w:r>
      <w:r w:rsidR="00221384" w:rsidRPr="008F73CB">
        <w:t>наличи</w:t>
      </w:r>
      <w:r w:rsidR="00221384">
        <w:t>и</w:t>
      </w:r>
      <w:r w:rsidR="00221384" w:rsidRPr="008F73CB">
        <w:t xml:space="preserve"> обоснованных дополнений/замечаний к ранее утверждённым </w:t>
      </w:r>
      <w:proofErr w:type="gramStart"/>
      <w:r w:rsidR="00221384" w:rsidRPr="008F73CB">
        <w:t>КР</w:t>
      </w:r>
      <w:proofErr w:type="gramEnd"/>
      <w:r w:rsidR="00221384">
        <w:t>, но не чаще 1 раза в 6 месяцев.</w:t>
      </w:r>
    </w:p>
    <w:p w14:paraId="7A265A13" w14:textId="77777777" w:rsidR="000414F6" w:rsidRDefault="00CB71DA" w:rsidP="008B281D">
      <w:pPr>
        <w:pStyle w:val="afff1"/>
        <w:jc w:val="both"/>
      </w:pPr>
      <w:r>
        <w:br w:type="page"/>
      </w:r>
      <w:bookmarkStart w:id="88" w:name="__RefHeading___doc_a3"/>
      <w:bookmarkStart w:id="89" w:name="_Toc32479227"/>
      <w:r w:rsidRPr="005219AF">
        <w:lastRenderedPageBreak/>
        <w:t xml:space="preserve">Приложение А3. </w:t>
      </w:r>
      <w:bookmarkEnd w:id="88"/>
      <w:r w:rsidR="009C0364" w:rsidRPr="005219AF"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427B0E">
        <w:t>,</w:t>
      </w:r>
      <w:r w:rsidR="009C0364" w:rsidRPr="005219AF">
        <w:t xml:space="preserve"> инструкции по прим</w:t>
      </w:r>
      <w:r w:rsidR="003527A8" w:rsidRPr="005219AF">
        <w:t>енению лекарственного препарата</w:t>
      </w:r>
      <w:bookmarkEnd w:id="89"/>
    </w:p>
    <w:p w14:paraId="2873A856" w14:textId="780DB1E5" w:rsidR="008B281D" w:rsidRPr="008B281D" w:rsidRDefault="008B281D" w:rsidP="00452FED">
      <w:pPr>
        <w:pStyle w:val="afff1"/>
        <w:jc w:val="left"/>
        <w:outlineLvl w:val="9"/>
        <w:rPr>
          <w:b w:val="0"/>
        </w:rPr>
      </w:pPr>
      <w:r w:rsidRPr="008B281D">
        <w:rPr>
          <w:b w:val="0"/>
        </w:rPr>
        <w:t>Нет</w:t>
      </w:r>
    </w:p>
    <w:p w14:paraId="2C5A7274" w14:textId="406EA969" w:rsidR="000414F6" w:rsidRDefault="00CB71DA" w:rsidP="00802A95">
      <w:pPr>
        <w:pStyle w:val="text-muted"/>
        <w:spacing w:line="360" w:lineRule="auto"/>
        <w:ind w:left="714"/>
        <w:jc w:val="both"/>
      </w:pPr>
      <w:r>
        <w:br w:type="page"/>
      </w:r>
    </w:p>
    <w:p w14:paraId="24E5A72E" w14:textId="77777777" w:rsidR="00C4630C" w:rsidRPr="007933DA" w:rsidRDefault="00A82457" w:rsidP="002F1080">
      <w:pPr>
        <w:pStyle w:val="10"/>
        <w:divId w:val="764688137"/>
        <w:rPr>
          <w:rFonts w:eastAsia="Times New Roman"/>
          <w:noProof/>
          <w:sz w:val="28"/>
          <w:szCs w:val="28"/>
          <w:u w:val="none"/>
          <w:lang w:eastAsia="ru-RU"/>
        </w:rPr>
      </w:pPr>
      <w:bookmarkStart w:id="90" w:name="__RefHeading___doc_b"/>
      <w:bookmarkStart w:id="91" w:name="_Toc16510489"/>
      <w:bookmarkStart w:id="92" w:name="_Toc32479228"/>
      <w:r w:rsidRPr="007933DA">
        <w:rPr>
          <w:sz w:val="28"/>
          <w:szCs w:val="28"/>
          <w:u w:val="none"/>
        </w:rPr>
        <w:lastRenderedPageBreak/>
        <w:t xml:space="preserve">Приложение Б. Алгоритмы </w:t>
      </w:r>
      <w:bookmarkEnd w:id="90"/>
      <w:r w:rsidRPr="007933DA">
        <w:rPr>
          <w:sz w:val="28"/>
          <w:szCs w:val="28"/>
          <w:u w:val="none"/>
        </w:rPr>
        <w:t>действий врача</w:t>
      </w:r>
      <w:bookmarkEnd w:id="91"/>
      <w:bookmarkEnd w:id="92"/>
    </w:p>
    <w:p w14:paraId="13B6687A" w14:textId="77777777" w:rsidR="00452FED" w:rsidRDefault="00953873" w:rsidP="00452FED">
      <w:pPr>
        <w:pStyle w:val="CustomContentNormal"/>
        <w:ind w:hanging="1418"/>
        <w:outlineLvl w:val="9"/>
      </w:pPr>
      <w:r>
        <w:rPr>
          <w:noProof/>
          <w:lang w:eastAsia="ru-RU"/>
        </w:rPr>
        <w:drawing>
          <wp:inline distT="0" distB="0" distL="0" distR="0" wp14:anchorId="27C59CEC" wp14:editId="6321C1EE">
            <wp:extent cx="5934075" cy="7981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1DA">
        <w:br w:type="page"/>
      </w:r>
      <w:bookmarkStart w:id="93" w:name="__RefHeading___doc_v"/>
    </w:p>
    <w:p w14:paraId="7B59CC32" w14:textId="57D2C119" w:rsidR="004C74B1" w:rsidRDefault="00CB71DA" w:rsidP="00452FED">
      <w:pPr>
        <w:pStyle w:val="CustomContentNormal"/>
        <w:ind w:hanging="1418"/>
      </w:pPr>
      <w:bookmarkStart w:id="94" w:name="_Toc32479229"/>
      <w:r>
        <w:lastRenderedPageBreak/>
        <w:t>Приложение В. Информация для пациент</w:t>
      </w:r>
      <w:bookmarkEnd w:id="93"/>
      <w:r w:rsidR="003527A8">
        <w:t>а</w:t>
      </w:r>
      <w:bookmarkEnd w:id="94"/>
    </w:p>
    <w:p w14:paraId="3EFB94BF" w14:textId="5CC505BD" w:rsidR="00A82457" w:rsidRPr="007A308B" w:rsidRDefault="00A82457" w:rsidP="00A82457">
      <w:pPr>
        <w:pStyle w:val="17"/>
      </w:pPr>
      <w:r w:rsidRPr="007A308B">
        <w:t xml:space="preserve">Содержание </w:t>
      </w:r>
      <w:proofErr w:type="spellStart"/>
      <w:r w:rsidRPr="007A308B">
        <w:t>фолатов</w:t>
      </w:r>
      <w:proofErr w:type="spellEnd"/>
      <w:r w:rsidRPr="007A308B">
        <w:t xml:space="preserve"> в организме человека составляет 7-22 мг. Истощение их запасов наступает быстро, уже через несколько недель или месяцев с момента поя</w:t>
      </w:r>
      <w:r w:rsidR="00176DB8">
        <w:t xml:space="preserve">вления причины. </w:t>
      </w:r>
      <w:proofErr w:type="spellStart"/>
      <w:proofErr w:type="gramStart"/>
      <w:r w:rsidR="00176DB8">
        <w:t>Фолаты</w:t>
      </w:r>
      <w:proofErr w:type="spellEnd"/>
      <w:r w:rsidR="00176DB8">
        <w:t xml:space="preserve"> содержат</w:t>
      </w:r>
      <w:r w:rsidRPr="007A308B">
        <w:t>ся во многих растительных (помидоры, авокадо, лук, грибы) и животных (печень, мясо) продуктах, но при термической обработке быстро разрушаются.</w:t>
      </w:r>
      <w:proofErr w:type="gramEnd"/>
      <w:r w:rsidRPr="007A308B">
        <w:t xml:space="preserve"> При достаточном количестве свежих овощей и фруктов в рационе питания в сутки с пищей поступает 400 - 600 мкг </w:t>
      </w:r>
      <w:proofErr w:type="spellStart"/>
      <w:r w:rsidRPr="007A308B">
        <w:t>фолатов</w:t>
      </w:r>
      <w:proofErr w:type="spellEnd"/>
      <w:r w:rsidRPr="007A308B">
        <w:t xml:space="preserve">, однако потребность существенно возрастает при беременности, быстром росте ребенка, больших физических нагрузках. </w:t>
      </w:r>
      <w:proofErr w:type="gramStart"/>
      <w:r w:rsidRPr="007A308B">
        <w:t xml:space="preserve">Основными причинами дефицита фолиевой кислоты является недостаточное поступление с пищей  </w:t>
      </w:r>
      <w:r w:rsidRPr="007A308B">
        <w:rPr>
          <w:rFonts w:eastAsiaTheme="minorHAnsi"/>
          <w:lang w:eastAsia="zh-CN"/>
        </w:rPr>
        <w:t>(</w:t>
      </w:r>
      <w:r w:rsidRPr="007A308B">
        <w:rPr>
          <w:lang w:eastAsia="zh-CN"/>
        </w:rPr>
        <w:t xml:space="preserve">частая причина у пожилых людей, </w:t>
      </w:r>
      <w:r w:rsidRPr="007A308B">
        <w:t xml:space="preserve">недостаток употреблении сырых овощей, у новорожденных - вскармливание козьим </w:t>
      </w:r>
      <w:r w:rsidRPr="007A308B">
        <w:rPr>
          <w:rFonts w:eastAsiaTheme="minorHAnsi"/>
          <w:lang w:eastAsia="zh-CN"/>
        </w:rPr>
        <w:t>молоком</w:t>
      </w:r>
      <w:r w:rsidRPr="007A308B">
        <w:t xml:space="preserve">), нарушение всасывания в кишечнике (резекция тощей кишки, </w:t>
      </w:r>
      <w:proofErr w:type="spellStart"/>
      <w:r w:rsidRPr="007A308B">
        <w:t>целиакия</w:t>
      </w:r>
      <w:proofErr w:type="spellEnd"/>
      <w:r w:rsidRPr="007A308B">
        <w:t>, хронические энтериты, амилоидоз, склеродермия опухоли тощей  кишки, хроническая алкогольная интоксикац</w:t>
      </w:r>
      <w:r w:rsidR="00176DB8">
        <w:t>ия), использование медикаментов</w:t>
      </w:r>
      <w:r w:rsidRPr="007A308B">
        <w:t xml:space="preserve">, препятствующим усвоению фолиевой кислоты </w:t>
      </w:r>
      <w:r w:rsidR="00147C46" w:rsidRPr="007A308B">
        <w:t xml:space="preserve">(противосудорожные препараты, </w:t>
      </w:r>
      <w:proofErr w:type="spellStart"/>
      <w:r w:rsidR="00147C46">
        <w:t>фено</w:t>
      </w:r>
      <w:r w:rsidR="00147C46" w:rsidRPr="007A308B">
        <w:t>б</w:t>
      </w:r>
      <w:r w:rsidR="00147C46">
        <w:t>арбитал</w:t>
      </w:r>
      <w:proofErr w:type="spellEnd"/>
      <w:r w:rsidR="00147C46">
        <w:t>**,</w:t>
      </w:r>
      <w:r w:rsidR="00147C46" w:rsidRPr="007A308B">
        <w:t xml:space="preserve"> </w:t>
      </w:r>
      <w:proofErr w:type="spellStart"/>
      <w:r w:rsidR="00147C46" w:rsidRPr="007A308B">
        <w:t>метотрексат</w:t>
      </w:r>
      <w:proofErr w:type="spellEnd"/>
      <w:r w:rsidR="00147C46">
        <w:t>**, ко-</w:t>
      </w:r>
      <w:proofErr w:type="spellStart"/>
      <w:r w:rsidR="00147C46">
        <w:t>тримоксазол</w:t>
      </w:r>
      <w:proofErr w:type="spellEnd"/>
      <w:r w:rsidR="00147C46" w:rsidRPr="00EF283C">
        <w:rPr>
          <w:color w:val="000000"/>
          <w:sz w:val="27"/>
          <w:szCs w:val="27"/>
          <w:shd w:val="clear" w:color="auto" w:fill="FFFFFF"/>
        </w:rPr>
        <w:t xml:space="preserve"> </w:t>
      </w:r>
      <w:r w:rsidR="00147C46" w:rsidRPr="00EF283C">
        <w:rPr>
          <w:color w:val="000000"/>
          <w:shd w:val="clear" w:color="auto" w:fill="FFFFFF"/>
        </w:rPr>
        <w:t>(</w:t>
      </w:r>
      <w:proofErr w:type="spellStart"/>
      <w:r w:rsidR="00147C46" w:rsidRPr="00EF283C">
        <w:rPr>
          <w:color w:val="000000"/>
          <w:shd w:val="clear" w:color="auto" w:fill="FFFFFF"/>
        </w:rPr>
        <w:t>сульфаметоксазол+триметоприм</w:t>
      </w:r>
      <w:proofErr w:type="spellEnd"/>
      <w:r w:rsidR="00147C46" w:rsidRPr="00EF283C">
        <w:rPr>
          <w:color w:val="000000"/>
          <w:shd w:val="clear" w:color="auto" w:fill="FFFFFF"/>
        </w:rPr>
        <w:t>)</w:t>
      </w:r>
      <w:r w:rsidR="00147C46" w:rsidRPr="00EF283C">
        <w:t>**,</w:t>
      </w:r>
      <w:r w:rsidR="00147C46" w:rsidRPr="007A308B">
        <w:t xml:space="preserve"> </w:t>
      </w:r>
      <w:proofErr w:type="spellStart"/>
      <w:r w:rsidR="00147C46" w:rsidRPr="007A308B">
        <w:t>метформин</w:t>
      </w:r>
      <w:proofErr w:type="spellEnd"/>
      <w:r w:rsidR="00147C46">
        <w:t>**</w:t>
      </w:r>
      <w:r w:rsidR="00147C46" w:rsidRPr="007A308B">
        <w:t xml:space="preserve">), </w:t>
      </w:r>
      <w:r w:rsidRPr="007A308B">
        <w:t xml:space="preserve"> повышенная потребность в </w:t>
      </w:r>
      <w:proofErr w:type="spellStart"/>
      <w:r w:rsidRPr="007A308B">
        <w:t>фолатах</w:t>
      </w:r>
      <w:proofErr w:type="spellEnd"/>
      <w:proofErr w:type="gramEnd"/>
      <w:r w:rsidRPr="007A308B">
        <w:t xml:space="preserve"> (беременность, наследственные гемолитические анемии, недоношенность, дефицит веса при рождении), повышенное выведение </w:t>
      </w:r>
      <w:proofErr w:type="spellStart"/>
      <w:r w:rsidRPr="007A308B">
        <w:t>фолатов</w:t>
      </w:r>
      <w:proofErr w:type="spellEnd"/>
      <w:r w:rsidRPr="007A308B">
        <w:t xml:space="preserve"> (гемодиализ). </w:t>
      </w:r>
    </w:p>
    <w:p w14:paraId="54864385" w14:textId="62F49913" w:rsidR="00A82457" w:rsidRPr="007A308B" w:rsidRDefault="00A82457" w:rsidP="00A82457">
      <w:pPr>
        <w:pStyle w:val="17"/>
        <w:ind w:firstLine="0"/>
      </w:pPr>
      <w:r w:rsidRPr="007A308B">
        <w:t>Факторы, провоцирующие фолиевый дефицит</w:t>
      </w:r>
      <w:r w:rsidR="008F2A1C">
        <w:t>,</w:t>
      </w:r>
      <w:r w:rsidRPr="007A308B">
        <w:t xml:space="preserve"> часто комбинируются между собой. </w:t>
      </w:r>
    </w:p>
    <w:p w14:paraId="3DD920E1" w14:textId="77777777" w:rsidR="00A82457" w:rsidRPr="007A308B" w:rsidRDefault="00A82457" w:rsidP="00A82457">
      <w:pPr>
        <w:pStyle w:val="17"/>
        <w:ind w:firstLine="0"/>
        <w:rPr>
          <w:rFonts w:eastAsiaTheme="minorHAnsi"/>
          <w:lang w:eastAsia="zh-CN"/>
        </w:rPr>
      </w:pPr>
      <w:r w:rsidRPr="007A308B">
        <w:rPr>
          <w:rFonts w:eastAsiaTheme="minorHAnsi"/>
          <w:lang w:eastAsia="zh-CN"/>
        </w:rPr>
        <w:t xml:space="preserve">Дефицит </w:t>
      </w:r>
      <w:proofErr w:type="spellStart"/>
      <w:r w:rsidRPr="007A308B">
        <w:rPr>
          <w:rFonts w:eastAsiaTheme="minorHAnsi"/>
          <w:lang w:eastAsia="zh-CN"/>
        </w:rPr>
        <w:t>фолиевои</w:t>
      </w:r>
      <w:proofErr w:type="spellEnd"/>
      <w:r w:rsidRPr="007A308B">
        <w:rPr>
          <w:rFonts w:eastAsiaTheme="minorHAnsi"/>
          <w:lang w:eastAsia="zh-CN"/>
        </w:rPr>
        <w:t xml:space="preserve">̆ кислоты приводит к нарушению образования эритроцитов и снижению уровня гемоглобина в крови – </w:t>
      </w:r>
      <w:proofErr w:type="spellStart"/>
      <w:r w:rsidRPr="007A308B">
        <w:rPr>
          <w:rFonts w:eastAsiaTheme="minorHAnsi"/>
          <w:lang w:eastAsia="zh-CN"/>
        </w:rPr>
        <w:t>фолиеводефицитной</w:t>
      </w:r>
      <w:proofErr w:type="spellEnd"/>
      <w:r w:rsidRPr="007A308B">
        <w:rPr>
          <w:rFonts w:eastAsiaTheme="minorHAnsi"/>
          <w:lang w:eastAsia="zh-CN"/>
        </w:rPr>
        <w:t xml:space="preserve"> анемии.</w:t>
      </w:r>
    </w:p>
    <w:p w14:paraId="4DCF303A" w14:textId="77777777" w:rsidR="00A82457" w:rsidRPr="007A308B" w:rsidRDefault="00A82457" w:rsidP="00A82457">
      <w:pPr>
        <w:pStyle w:val="aff1"/>
        <w:ind w:left="0"/>
        <w:rPr>
          <w:lang w:eastAsia="zh-CN"/>
        </w:rPr>
      </w:pPr>
      <w:r w:rsidRPr="007A308B">
        <w:rPr>
          <w:b w:val="0"/>
        </w:rPr>
        <w:t xml:space="preserve">После начала лечения фолиевой кислотой </w:t>
      </w:r>
      <w:r w:rsidRPr="007A308B">
        <w:rPr>
          <w:rFonts w:eastAsia="Times New Roman"/>
          <w:b w:val="0"/>
          <w:lang w:eastAsia="ru-RU"/>
        </w:rPr>
        <w:t>признаки улучшения состояния пациента, уменьшение «анемических» жалоб, появляются после первой недели приема препарата,</w:t>
      </w:r>
      <w:r w:rsidRPr="007A308B">
        <w:rPr>
          <w:b w:val="0"/>
        </w:rPr>
        <w:t xml:space="preserve"> а нормализация уровня гемоглобина происходит через 4 - 6 недель от начала лечения. </w:t>
      </w:r>
    </w:p>
    <w:p w14:paraId="02352C80" w14:textId="3D918CCA" w:rsidR="00452FED" w:rsidRDefault="00A82457" w:rsidP="00147C46">
      <w:pPr>
        <w:pStyle w:val="17"/>
        <w:ind w:firstLine="0"/>
        <w:rPr>
          <w:rFonts w:eastAsiaTheme="minorHAnsi"/>
          <w:lang w:eastAsia="zh-CN"/>
        </w:rPr>
      </w:pPr>
      <w:r w:rsidRPr="007A308B">
        <w:rPr>
          <w:rFonts w:eastAsiaTheme="minorHAnsi"/>
          <w:lang w:eastAsia="zh-CN"/>
        </w:rPr>
        <w:t>Профилактический прием фолиевой кислоты</w:t>
      </w:r>
      <w:r w:rsidR="00147C46">
        <w:rPr>
          <w:rFonts w:eastAsiaTheme="minorHAnsi"/>
          <w:lang w:eastAsia="zh-CN"/>
        </w:rPr>
        <w:t>**</w:t>
      </w:r>
      <w:r w:rsidRPr="007A308B">
        <w:rPr>
          <w:rFonts w:eastAsiaTheme="minorHAnsi"/>
          <w:lang w:eastAsia="zh-CN"/>
        </w:rPr>
        <w:t xml:space="preserve"> показан детям из группы риска (недоношенные, родив</w:t>
      </w:r>
      <w:r w:rsidR="00176DB8">
        <w:rPr>
          <w:rFonts w:eastAsiaTheme="minorHAnsi"/>
          <w:lang w:eastAsia="zh-CN"/>
        </w:rPr>
        <w:t>шиеся с малым весом</w:t>
      </w:r>
      <w:r w:rsidRPr="007A308B">
        <w:rPr>
          <w:rFonts w:eastAsiaTheme="minorHAnsi"/>
          <w:lang w:eastAsia="zh-CN"/>
        </w:rPr>
        <w:t>)</w:t>
      </w:r>
      <w:r w:rsidR="00176DB8">
        <w:rPr>
          <w:rFonts w:eastAsiaTheme="minorHAnsi"/>
          <w:lang w:eastAsia="zh-CN"/>
        </w:rPr>
        <w:t>,</w:t>
      </w:r>
      <w:r w:rsidRPr="007A308B">
        <w:rPr>
          <w:rFonts w:eastAsiaTheme="minorHAnsi"/>
          <w:lang w:eastAsia="zh-CN"/>
        </w:rPr>
        <w:t xml:space="preserve"> беременным, пациентам с синдромом нарушения всасывания питательных веществ в кишечнике</w:t>
      </w:r>
      <w:r w:rsidRPr="00176DB8">
        <w:rPr>
          <w:rFonts w:eastAsiaTheme="minorHAnsi"/>
          <w:lang w:eastAsia="zh-CN"/>
        </w:rPr>
        <w:t xml:space="preserve">, </w:t>
      </w:r>
      <w:r w:rsidR="00176DB8">
        <w:rPr>
          <w:rFonts w:eastAsiaTheme="minorHAnsi"/>
          <w:lang w:eastAsia="zh-CN"/>
        </w:rPr>
        <w:t xml:space="preserve">с </w:t>
      </w:r>
      <w:r w:rsidRPr="00176DB8">
        <w:rPr>
          <w:rFonts w:eastAsiaTheme="minorHAnsi"/>
          <w:lang w:eastAsia="zh-CN"/>
        </w:rPr>
        <w:t>наследственными гемолитическими анемиями, пациентам на гемодиализе.</w:t>
      </w:r>
      <w:bookmarkStart w:id="95" w:name="__RefHeading___doc_g"/>
      <w:bookmarkStart w:id="96" w:name="_Toc22645540"/>
    </w:p>
    <w:p w14:paraId="507FD7B0" w14:textId="77777777" w:rsidR="00452FED" w:rsidRDefault="00452FED" w:rsidP="00147C46">
      <w:pPr>
        <w:pStyle w:val="afff1"/>
        <w:jc w:val="both"/>
        <w:outlineLvl w:val="9"/>
        <w:rPr>
          <w:rFonts w:eastAsiaTheme="minorHAnsi" w:cs="Times New Roman"/>
          <w:b w:val="0"/>
          <w:sz w:val="24"/>
          <w:szCs w:val="24"/>
          <w:lang w:eastAsia="zh-CN"/>
        </w:rPr>
      </w:pPr>
    </w:p>
    <w:p w14:paraId="31590CA8" w14:textId="77777777" w:rsidR="00147C46" w:rsidRDefault="00147C46" w:rsidP="00147C46">
      <w:pPr>
        <w:pStyle w:val="afff1"/>
        <w:jc w:val="both"/>
        <w:outlineLvl w:val="9"/>
      </w:pPr>
    </w:p>
    <w:p w14:paraId="0C7B2C88" w14:textId="77777777" w:rsidR="00D421ED" w:rsidRDefault="00D421ED" w:rsidP="00D421ED">
      <w:pPr>
        <w:pStyle w:val="afff1"/>
      </w:pPr>
      <w:bookmarkStart w:id="97" w:name="_Toc32479230"/>
      <w:r w:rsidRPr="005219AF">
        <w:t>Приложение</w:t>
      </w:r>
      <w:bookmarkEnd w:id="95"/>
      <w:r>
        <w:t xml:space="preserve"> Г</w:t>
      </w:r>
      <w:r w:rsidRPr="005219AF">
        <w:t>. Шкалы оценки, вопросники и другие оценочные инструменты состояния пациента, приведенные в клинических рекомендациях</w:t>
      </w:r>
      <w:bookmarkEnd w:id="96"/>
      <w:bookmarkEnd w:id="97"/>
    </w:p>
    <w:p w14:paraId="6C68147A" w14:textId="77777777" w:rsidR="00D421ED" w:rsidRDefault="00D421ED" w:rsidP="00D421ED">
      <w:pPr>
        <w:rPr>
          <w:lang w:eastAsia="ru-RU" w:bidi="ru-RU"/>
        </w:rPr>
      </w:pPr>
      <w:bookmarkStart w:id="98" w:name="bookmark6"/>
    </w:p>
    <w:bookmarkEnd w:id="98"/>
    <w:p w14:paraId="6FE67990" w14:textId="77777777" w:rsidR="00D421ED" w:rsidRPr="00343A16" w:rsidRDefault="00D421ED" w:rsidP="00D421ED">
      <w:pPr>
        <w:pStyle w:val="afffa"/>
        <w:ind w:firstLine="0"/>
        <w:rPr>
          <w:i w:val="0"/>
          <w:color w:val="000000" w:themeColor="text1"/>
        </w:rPr>
      </w:pPr>
      <w:proofErr w:type="spellStart"/>
      <w:proofErr w:type="gramStart"/>
      <w:r w:rsidRPr="00343A16">
        <w:rPr>
          <w:i w:val="0"/>
          <w:color w:val="000000" w:themeColor="text1"/>
          <w:lang w:val="en-US"/>
        </w:rPr>
        <w:t>Нет</w:t>
      </w:r>
      <w:proofErr w:type="spellEnd"/>
      <w:r>
        <w:rPr>
          <w:i w:val="0"/>
          <w:color w:val="000000" w:themeColor="text1"/>
        </w:rPr>
        <w:t>.</w:t>
      </w:r>
      <w:proofErr w:type="gramEnd"/>
    </w:p>
    <w:p w14:paraId="7635E410" w14:textId="77777777" w:rsidR="00D421ED" w:rsidRPr="00176DB8" w:rsidRDefault="00D421ED" w:rsidP="00176DB8">
      <w:pPr>
        <w:pStyle w:val="17"/>
        <w:ind w:firstLine="0"/>
        <w:rPr>
          <w:rFonts w:eastAsiaTheme="minorHAnsi"/>
          <w:lang w:eastAsia="zh-CN"/>
        </w:rPr>
      </w:pPr>
    </w:p>
    <w:p w14:paraId="05954C0D" w14:textId="77777777" w:rsidR="00A82457" w:rsidRPr="00583004" w:rsidRDefault="00A82457" w:rsidP="00A82457">
      <w:pPr>
        <w:pStyle w:val="afffa"/>
        <w:ind w:firstLine="0"/>
      </w:pPr>
    </w:p>
    <w:p w14:paraId="4B932FD7" w14:textId="77777777" w:rsidR="00AE3406" w:rsidRPr="00583004" w:rsidRDefault="00AE3406" w:rsidP="00427B0E">
      <w:pPr>
        <w:pStyle w:val="afffa"/>
        <w:ind w:firstLine="0"/>
      </w:pPr>
    </w:p>
    <w:sectPr w:rsidR="00AE3406" w:rsidRPr="00583004" w:rsidSect="00EE59C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6EBCC" w14:textId="77777777" w:rsidR="009C44A2" w:rsidRDefault="009C44A2">
      <w:pPr>
        <w:spacing w:line="240" w:lineRule="auto"/>
      </w:pPr>
      <w:r>
        <w:separator/>
      </w:r>
    </w:p>
    <w:p w14:paraId="5C80D37D" w14:textId="77777777" w:rsidR="009C44A2" w:rsidRDefault="009C44A2"/>
  </w:endnote>
  <w:endnote w:type="continuationSeparator" w:id="0">
    <w:p w14:paraId="52717434" w14:textId="77777777" w:rsidR="009C44A2" w:rsidRDefault="009C44A2">
      <w:pPr>
        <w:spacing w:line="240" w:lineRule="auto"/>
      </w:pPr>
      <w:r>
        <w:continuationSeparator/>
      </w:r>
    </w:p>
    <w:p w14:paraId="6583C176" w14:textId="77777777" w:rsidR="009C44A2" w:rsidRDefault="009C4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631649"/>
      <w:docPartObj>
        <w:docPartGallery w:val="Page Numbers (Bottom of Page)"/>
        <w:docPartUnique/>
      </w:docPartObj>
    </w:sdtPr>
    <w:sdtContent>
      <w:p w14:paraId="79A6D118" w14:textId="31058B8C" w:rsidR="00971258" w:rsidRDefault="00971258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C32C4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E8F11" w14:textId="77777777" w:rsidR="009C44A2" w:rsidRDefault="009C44A2">
      <w:pPr>
        <w:spacing w:line="240" w:lineRule="auto"/>
      </w:pPr>
      <w:r>
        <w:separator/>
      </w:r>
    </w:p>
    <w:p w14:paraId="3FA35DA9" w14:textId="77777777" w:rsidR="009C44A2" w:rsidRDefault="009C44A2"/>
  </w:footnote>
  <w:footnote w:type="continuationSeparator" w:id="0">
    <w:p w14:paraId="18D70A3D" w14:textId="77777777" w:rsidR="009C44A2" w:rsidRDefault="009C44A2">
      <w:pPr>
        <w:spacing w:line="240" w:lineRule="auto"/>
      </w:pPr>
      <w:r>
        <w:continuationSeparator/>
      </w:r>
    </w:p>
    <w:p w14:paraId="0CB08554" w14:textId="77777777" w:rsidR="009C44A2" w:rsidRDefault="009C44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06A1" w14:textId="77777777" w:rsidR="00971258" w:rsidRDefault="00971258" w:rsidP="00186C35">
    <w:pPr>
      <w:pStyle w:val="af9"/>
      <w:ind w:firstLine="0"/>
      <w:rPr>
        <w:i/>
      </w:rPr>
    </w:pPr>
  </w:p>
  <w:p w14:paraId="168FF6CD" w14:textId="77777777" w:rsidR="00971258" w:rsidRDefault="009712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73C30"/>
    <w:multiLevelType w:val="hybridMultilevel"/>
    <w:tmpl w:val="8D72EF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793615"/>
    <w:multiLevelType w:val="hybridMultilevel"/>
    <w:tmpl w:val="EA7C2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B704AD"/>
    <w:multiLevelType w:val="hybridMultilevel"/>
    <w:tmpl w:val="2C8C61B4"/>
    <w:lvl w:ilvl="0" w:tplc="3CDC43AE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3606"/>
    <w:multiLevelType w:val="hybridMultilevel"/>
    <w:tmpl w:val="5732ACD6"/>
    <w:lvl w:ilvl="0" w:tplc="3CDC43AE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40B82"/>
    <w:multiLevelType w:val="multilevel"/>
    <w:tmpl w:val="6A966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27D3BFB"/>
    <w:multiLevelType w:val="hybridMultilevel"/>
    <w:tmpl w:val="91084846"/>
    <w:lvl w:ilvl="0" w:tplc="FFFFFFFF">
      <w:start w:val="1"/>
      <w:numFmt w:val="bullet"/>
      <w:lvlText w:val=""/>
      <w:legacy w:legacy="1" w:legacySpace="0" w:legacyIndent="283"/>
      <w:lvlJc w:val="left"/>
      <w:pPr>
        <w:ind w:left="85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>
    <w:nsid w:val="2A180DC9"/>
    <w:multiLevelType w:val="hybridMultilevel"/>
    <w:tmpl w:val="C14C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F13B36"/>
    <w:multiLevelType w:val="hybridMultilevel"/>
    <w:tmpl w:val="9FDE9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B34933"/>
    <w:multiLevelType w:val="multilevel"/>
    <w:tmpl w:val="C7DA98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0">
    <w:nsid w:val="488D7BC0"/>
    <w:multiLevelType w:val="multilevel"/>
    <w:tmpl w:val="147AF8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9D3CC6"/>
    <w:multiLevelType w:val="hybridMultilevel"/>
    <w:tmpl w:val="56A6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D6389"/>
    <w:multiLevelType w:val="hybridMultilevel"/>
    <w:tmpl w:val="5636ED60"/>
    <w:lvl w:ilvl="0" w:tplc="FFFFFFFF">
      <w:start w:val="1"/>
      <w:numFmt w:val="bullet"/>
      <w:lvlText w:val=""/>
      <w:legacy w:legacy="1" w:legacySpace="0" w:legacyIndent="283"/>
      <w:lvlJc w:val="left"/>
      <w:pPr>
        <w:ind w:left="852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2329A"/>
    <w:multiLevelType w:val="hybridMultilevel"/>
    <w:tmpl w:val="0250F780"/>
    <w:lvl w:ilvl="0" w:tplc="5E9887D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55CEE"/>
    <w:multiLevelType w:val="hybridMultilevel"/>
    <w:tmpl w:val="A432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F1064"/>
    <w:multiLevelType w:val="hybridMultilevel"/>
    <w:tmpl w:val="A48897E0"/>
    <w:lvl w:ilvl="0" w:tplc="3CDC43AE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92089"/>
    <w:multiLevelType w:val="hybridMultilevel"/>
    <w:tmpl w:val="EF4E3CA8"/>
    <w:lvl w:ilvl="0" w:tplc="ADD420C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1546AD"/>
    <w:multiLevelType w:val="hybridMultilevel"/>
    <w:tmpl w:val="55C0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A412B"/>
    <w:multiLevelType w:val="hybridMultilevel"/>
    <w:tmpl w:val="A47E18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EAF5CA5"/>
    <w:multiLevelType w:val="hybridMultilevel"/>
    <w:tmpl w:val="BDF6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7"/>
  </w:num>
  <w:num w:numId="5">
    <w:abstractNumId w:val="10"/>
  </w:num>
  <w:num w:numId="6">
    <w:abstractNumId w:val="16"/>
  </w:num>
  <w:num w:numId="7">
    <w:abstractNumId w:val="17"/>
  </w:num>
  <w:num w:numId="8">
    <w:abstractNumId w:val="4"/>
  </w:num>
  <w:num w:numId="9">
    <w:abstractNumId w:val="3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12">
    <w:abstractNumId w:val="22"/>
  </w:num>
  <w:num w:numId="13">
    <w:abstractNumId w:val="14"/>
  </w:num>
  <w:num w:numId="14">
    <w:abstractNumId w:val="21"/>
  </w:num>
  <w:num w:numId="15">
    <w:abstractNumId w:val="8"/>
  </w:num>
  <w:num w:numId="16">
    <w:abstractNumId w:val="6"/>
  </w:num>
  <w:num w:numId="17">
    <w:abstractNumId w:val="2"/>
  </w:num>
  <w:num w:numId="18">
    <w:abstractNumId w:val="12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A3"/>
    <w:rsid w:val="00001800"/>
    <w:rsid w:val="00015EE5"/>
    <w:rsid w:val="00016D8F"/>
    <w:rsid w:val="00021FEA"/>
    <w:rsid w:val="00033BB5"/>
    <w:rsid w:val="000366BC"/>
    <w:rsid w:val="000414F6"/>
    <w:rsid w:val="00051F38"/>
    <w:rsid w:val="00056E70"/>
    <w:rsid w:val="000613FB"/>
    <w:rsid w:val="00064FEC"/>
    <w:rsid w:val="00065D0C"/>
    <w:rsid w:val="0009045B"/>
    <w:rsid w:val="0009213B"/>
    <w:rsid w:val="00094ED6"/>
    <w:rsid w:val="000A277C"/>
    <w:rsid w:val="000A2BBB"/>
    <w:rsid w:val="000A2D53"/>
    <w:rsid w:val="000B0DCD"/>
    <w:rsid w:val="000B7A71"/>
    <w:rsid w:val="000C0E2A"/>
    <w:rsid w:val="000D11E9"/>
    <w:rsid w:val="000D387A"/>
    <w:rsid w:val="000E14DB"/>
    <w:rsid w:val="000F7041"/>
    <w:rsid w:val="00122110"/>
    <w:rsid w:val="001301B6"/>
    <w:rsid w:val="00144C58"/>
    <w:rsid w:val="00146FA3"/>
    <w:rsid w:val="00147C46"/>
    <w:rsid w:val="00150FA6"/>
    <w:rsid w:val="00153568"/>
    <w:rsid w:val="00171D80"/>
    <w:rsid w:val="00172112"/>
    <w:rsid w:val="00174593"/>
    <w:rsid w:val="0017531C"/>
    <w:rsid w:val="00175C52"/>
    <w:rsid w:val="00176DB8"/>
    <w:rsid w:val="00186C35"/>
    <w:rsid w:val="00187BA3"/>
    <w:rsid w:val="00193832"/>
    <w:rsid w:val="00196C00"/>
    <w:rsid w:val="001C24FD"/>
    <w:rsid w:val="001D02BA"/>
    <w:rsid w:val="001D24E4"/>
    <w:rsid w:val="001D40F8"/>
    <w:rsid w:val="001D484A"/>
    <w:rsid w:val="001E0291"/>
    <w:rsid w:val="001E5F14"/>
    <w:rsid w:val="001F4A3C"/>
    <w:rsid w:val="001F56E3"/>
    <w:rsid w:val="00203B4E"/>
    <w:rsid w:val="00207691"/>
    <w:rsid w:val="0020771B"/>
    <w:rsid w:val="002145F1"/>
    <w:rsid w:val="002165EA"/>
    <w:rsid w:val="0021676E"/>
    <w:rsid w:val="00220F81"/>
    <w:rsid w:val="00221384"/>
    <w:rsid w:val="00237EA2"/>
    <w:rsid w:val="00241B56"/>
    <w:rsid w:val="0025228A"/>
    <w:rsid w:val="00255B40"/>
    <w:rsid w:val="0025652E"/>
    <w:rsid w:val="00260179"/>
    <w:rsid w:val="002651E9"/>
    <w:rsid w:val="002727FA"/>
    <w:rsid w:val="002758A4"/>
    <w:rsid w:val="00275A41"/>
    <w:rsid w:val="00282599"/>
    <w:rsid w:val="002929B1"/>
    <w:rsid w:val="00294DAB"/>
    <w:rsid w:val="00296AA8"/>
    <w:rsid w:val="002A0C02"/>
    <w:rsid w:val="002A14F1"/>
    <w:rsid w:val="002A1864"/>
    <w:rsid w:val="002C165F"/>
    <w:rsid w:val="002D2CF7"/>
    <w:rsid w:val="002E6C4C"/>
    <w:rsid w:val="002F1080"/>
    <w:rsid w:val="002F38B6"/>
    <w:rsid w:val="002F7719"/>
    <w:rsid w:val="00301C01"/>
    <w:rsid w:val="003068FF"/>
    <w:rsid w:val="00311757"/>
    <w:rsid w:val="00315A5D"/>
    <w:rsid w:val="0032061E"/>
    <w:rsid w:val="00334F6C"/>
    <w:rsid w:val="00337A20"/>
    <w:rsid w:val="00341A29"/>
    <w:rsid w:val="00342EE0"/>
    <w:rsid w:val="003503A6"/>
    <w:rsid w:val="003527A8"/>
    <w:rsid w:val="00354395"/>
    <w:rsid w:val="00364741"/>
    <w:rsid w:val="0036727F"/>
    <w:rsid w:val="0037752C"/>
    <w:rsid w:val="00381476"/>
    <w:rsid w:val="00384B6A"/>
    <w:rsid w:val="0038545E"/>
    <w:rsid w:val="00392C10"/>
    <w:rsid w:val="00392FD7"/>
    <w:rsid w:val="003A282F"/>
    <w:rsid w:val="003A4AC3"/>
    <w:rsid w:val="003B0404"/>
    <w:rsid w:val="003B392D"/>
    <w:rsid w:val="003B4246"/>
    <w:rsid w:val="003B5022"/>
    <w:rsid w:val="003B54C4"/>
    <w:rsid w:val="003D781B"/>
    <w:rsid w:val="003E29AE"/>
    <w:rsid w:val="003F0349"/>
    <w:rsid w:val="00401CD5"/>
    <w:rsid w:val="00402480"/>
    <w:rsid w:val="00407213"/>
    <w:rsid w:val="00410741"/>
    <w:rsid w:val="00410836"/>
    <w:rsid w:val="00427B0E"/>
    <w:rsid w:val="0044770A"/>
    <w:rsid w:val="00452FED"/>
    <w:rsid w:val="0046663C"/>
    <w:rsid w:val="00467FA0"/>
    <w:rsid w:val="0047453F"/>
    <w:rsid w:val="004914BD"/>
    <w:rsid w:val="0049584C"/>
    <w:rsid w:val="004978B3"/>
    <w:rsid w:val="004A0BA3"/>
    <w:rsid w:val="004C6DE4"/>
    <w:rsid w:val="004C74B1"/>
    <w:rsid w:val="004D352A"/>
    <w:rsid w:val="004D6B87"/>
    <w:rsid w:val="004E1288"/>
    <w:rsid w:val="004E5E50"/>
    <w:rsid w:val="004F029C"/>
    <w:rsid w:val="004F413D"/>
    <w:rsid w:val="004F4F24"/>
    <w:rsid w:val="005008F9"/>
    <w:rsid w:val="0052193F"/>
    <w:rsid w:val="005219AF"/>
    <w:rsid w:val="00524AD9"/>
    <w:rsid w:val="0052679E"/>
    <w:rsid w:val="0053053E"/>
    <w:rsid w:val="00546EAE"/>
    <w:rsid w:val="00552639"/>
    <w:rsid w:val="005627B3"/>
    <w:rsid w:val="00562845"/>
    <w:rsid w:val="005640C8"/>
    <w:rsid w:val="00577102"/>
    <w:rsid w:val="00580EDF"/>
    <w:rsid w:val="00583004"/>
    <w:rsid w:val="005B043A"/>
    <w:rsid w:val="005B6D15"/>
    <w:rsid w:val="005B7062"/>
    <w:rsid w:val="005C7877"/>
    <w:rsid w:val="005E69D3"/>
    <w:rsid w:val="005F052B"/>
    <w:rsid w:val="005F29E1"/>
    <w:rsid w:val="005F668D"/>
    <w:rsid w:val="006045EA"/>
    <w:rsid w:val="00613512"/>
    <w:rsid w:val="00624531"/>
    <w:rsid w:val="006250AC"/>
    <w:rsid w:val="006315E9"/>
    <w:rsid w:val="006364D5"/>
    <w:rsid w:val="0063758E"/>
    <w:rsid w:val="00640250"/>
    <w:rsid w:val="006425FF"/>
    <w:rsid w:val="006446FF"/>
    <w:rsid w:val="006534F0"/>
    <w:rsid w:val="00653525"/>
    <w:rsid w:val="0066485C"/>
    <w:rsid w:val="0066685E"/>
    <w:rsid w:val="00667103"/>
    <w:rsid w:val="0066740A"/>
    <w:rsid w:val="0067168B"/>
    <w:rsid w:val="00680616"/>
    <w:rsid w:val="0068676A"/>
    <w:rsid w:val="0069039C"/>
    <w:rsid w:val="00690549"/>
    <w:rsid w:val="006A5F00"/>
    <w:rsid w:val="006A7198"/>
    <w:rsid w:val="006C04C9"/>
    <w:rsid w:val="006C1204"/>
    <w:rsid w:val="006D08B4"/>
    <w:rsid w:val="006D5AB8"/>
    <w:rsid w:val="006D76E1"/>
    <w:rsid w:val="006E2310"/>
    <w:rsid w:val="006E4C78"/>
    <w:rsid w:val="006E62D3"/>
    <w:rsid w:val="006F7C14"/>
    <w:rsid w:val="00712AA3"/>
    <w:rsid w:val="00721F93"/>
    <w:rsid w:val="0072615F"/>
    <w:rsid w:val="007271A1"/>
    <w:rsid w:val="007450D0"/>
    <w:rsid w:val="00745B1B"/>
    <w:rsid w:val="0075206A"/>
    <w:rsid w:val="00764398"/>
    <w:rsid w:val="007655D7"/>
    <w:rsid w:val="00783235"/>
    <w:rsid w:val="00792074"/>
    <w:rsid w:val="007933DA"/>
    <w:rsid w:val="00795AA9"/>
    <w:rsid w:val="007965EE"/>
    <w:rsid w:val="007A52E6"/>
    <w:rsid w:val="007B6060"/>
    <w:rsid w:val="007C1C15"/>
    <w:rsid w:val="007D10F3"/>
    <w:rsid w:val="007D42AC"/>
    <w:rsid w:val="007D6E2C"/>
    <w:rsid w:val="007E1018"/>
    <w:rsid w:val="007E172E"/>
    <w:rsid w:val="007E429F"/>
    <w:rsid w:val="007F3233"/>
    <w:rsid w:val="007F529C"/>
    <w:rsid w:val="00802A95"/>
    <w:rsid w:val="00803BEE"/>
    <w:rsid w:val="00813837"/>
    <w:rsid w:val="008141A9"/>
    <w:rsid w:val="008141CB"/>
    <w:rsid w:val="008249A0"/>
    <w:rsid w:val="00833EE7"/>
    <w:rsid w:val="00834AEB"/>
    <w:rsid w:val="008358AE"/>
    <w:rsid w:val="008371F9"/>
    <w:rsid w:val="00845053"/>
    <w:rsid w:val="00860F85"/>
    <w:rsid w:val="008679B5"/>
    <w:rsid w:val="00875A0B"/>
    <w:rsid w:val="00877EF5"/>
    <w:rsid w:val="00880495"/>
    <w:rsid w:val="00890B9B"/>
    <w:rsid w:val="00890C4B"/>
    <w:rsid w:val="00895771"/>
    <w:rsid w:val="008A24EB"/>
    <w:rsid w:val="008B281D"/>
    <w:rsid w:val="008B3DF4"/>
    <w:rsid w:val="008B4220"/>
    <w:rsid w:val="008C06F2"/>
    <w:rsid w:val="008D6C00"/>
    <w:rsid w:val="008D6F8C"/>
    <w:rsid w:val="008E1B7D"/>
    <w:rsid w:val="008F2A1C"/>
    <w:rsid w:val="00906BDC"/>
    <w:rsid w:val="00910303"/>
    <w:rsid w:val="009103C4"/>
    <w:rsid w:val="00913178"/>
    <w:rsid w:val="009131A6"/>
    <w:rsid w:val="0091604A"/>
    <w:rsid w:val="00917644"/>
    <w:rsid w:val="009207A5"/>
    <w:rsid w:val="00923E14"/>
    <w:rsid w:val="009240C4"/>
    <w:rsid w:val="00924161"/>
    <w:rsid w:val="00926A30"/>
    <w:rsid w:val="009318D0"/>
    <w:rsid w:val="009423C8"/>
    <w:rsid w:val="009470C1"/>
    <w:rsid w:val="00953873"/>
    <w:rsid w:val="00971258"/>
    <w:rsid w:val="00972835"/>
    <w:rsid w:val="0097294B"/>
    <w:rsid w:val="00985814"/>
    <w:rsid w:val="00985FE3"/>
    <w:rsid w:val="00986A3D"/>
    <w:rsid w:val="00991BF8"/>
    <w:rsid w:val="0099346B"/>
    <w:rsid w:val="00996E07"/>
    <w:rsid w:val="009B4039"/>
    <w:rsid w:val="009B4725"/>
    <w:rsid w:val="009C0364"/>
    <w:rsid w:val="009C1582"/>
    <w:rsid w:val="009C44A2"/>
    <w:rsid w:val="009C6B5A"/>
    <w:rsid w:val="009D1DCF"/>
    <w:rsid w:val="009E2C2B"/>
    <w:rsid w:val="009E685D"/>
    <w:rsid w:val="009F2091"/>
    <w:rsid w:val="00A02434"/>
    <w:rsid w:val="00A054AC"/>
    <w:rsid w:val="00A14329"/>
    <w:rsid w:val="00A16E51"/>
    <w:rsid w:val="00A311CB"/>
    <w:rsid w:val="00A43CE5"/>
    <w:rsid w:val="00A53CD4"/>
    <w:rsid w:val="00A543B6"/>
    <w:rsid w:val="00A571EA"/>
    <w:rsid w:val="00A70F44"/>
    <w:rsid w:val="00A80022"/>
    <w:rsid w:val="00A82457"/>
    <w:rsid w:val="00A84901"/>
    <w:rsid w:val="00A8531D"/>
    <w:rsid w:val="00A859D3"/>
    <w:rsid w:val="00A86E5F"/>
    <w:rsid w:val="00A91645"/>
    <w:rsid w:val="00A976F7"/>
    <w:rsid w:val="00AA40D7"/>
    <w:rsid w:val="00AA49EC"/>
    <w:rsid w:val="00AB384B"/>
    <w:rsid w:val="00AD7BD2"/>
    <w:rsid w:val="00AE3406"/>
    <w:rsid w:val="00AF3168"/>
    <w:rsid w:val="00B027F2"/>
    <w:rsid w:val="00B0565A"/>
    <w:rsid w:val="00B104EF"/>
    <w:rsid w:val="00B115A8"/>
    <w:rsid w:val="00B13ED9"/>
    <w:rsid w:val="00B17250"/>
    <w:rsid w:val="00B23363"/>
    <w:rsid w:val="00B26BDA"/>
    <w:rsid w:val="00B324AA"/>
    <w:rsid w:val="00B46390"/>
    <w:rsid w:val="00B5190D"/>
    <w:rsid w:val="00B53340"/>
    <w:rsid w:val="00B5705D"/>
    <w:rsid w:val="00B63446"/>
    <w:rsid w:val="00B6445C"/>
    <w:rsid w:val="00B65A2B"/>
    <w:rsid w:val="00B73E32"/>
    <w:rsid w:val="00B7479D"/>
    <w:rsid w:val="00B8195D"/>
    <w:rsid w:val="00B8218A"/>
    <w:rsid w:val="00B8401B"/>
    <w:rsid w:val="00B8507B"/>
    <w:rsid w:val="00B91708"/>
    <w:rsid w:val="00BA46B4"/>
    <w:rsid w:val="00BB091D"/>
    <w:rsid w:val="00BC0F0B"/>
    <w:rsid w:val="00BC3002"/>
    <w:rsid w:val="00BC6B34"/>
    <w:rsid w:val="00BD71EF"/>
    <w:rsid w:val="00BE32DD"/>
    <w:rsid w:val="00BE5A4F"/>
    <w:rsid w:val="00BF1B99"/>
    <w:rsid w:val="00BF3A59"/>
    <w:rsid w:val="00C02D7C"/>
    <w:rsid w:val="00C10D41"/>
    <w:rsid w:val="00C20DD2"/>
    <w:rsid w:val="00C347AA"/>
    <w:rsid w:val="00C34847"/>
    <w:rsid w:val="00C4630C"/>
    <w:rsid w:val="00C46AA3"/>
    <w:rsid w:val="00C471AA"/>
    <w:rsid w:val="00C50E9F"/>
    <w:rsid w:val="00C7631F"/>
    <w:rsid w:val="00C76596"/>
    <w:rsid w:val="00C76650"/>
    <w:rsid w:val="00C85A73"/>
    <w:rsid w:val="00C95A71"/>
    <w:rsid w:val="00CA0F87"/>
    <w:rsid w:val="00CA6CFC"/>
    <w:rsid w:val="00CB29F4"/>
    <w:rsid w:val="00CB304E"/>
    <w:rsid w:val="00CB391C"/>
    <w:rsid w:val="00CB40E9"/>
    <w:rsid w:val="00CB562F"/>
    <w:rsid w:val="00CB6FFD"/>
    <w:rsid w:val="00CB71DA"/>
    <w:rsid w:val="00CC2142"/>
    <w:rsid w:val="00CC5156"/>
    <w:rsid w:val="00CC5BAC"/>
    <w:rsid w:val="00CC7701"/>
    <w:rsid w:val="00CC79F4"/>
    <w:rsid w:val="00CD2797"/>
    <w:rsid w:val="00CD75E6"/>
    <w:rsid w:val="00CD77AA"/>
    <w:rsid w:val="00CE701C"/>
    <w:rsid w:val="00D07C36"/>
    <w:rsid w:val="00D2153B"/>
    <w:rsid w:val="00D2226B"/>
    <w:rsid w:val="00D33795"/>
    <w:rsid w:val="00D34B02"/>
    <w:rsid w:val="00D421ED"/>
    <w:rsid w:val="00D5176B"/>
    <w:rsid w:val="00D570F8"/>
    <w:rsid w:val="00D74813"/>
    <w:rsid w:val="00D77470"/>
    <w:rsid w:val="00D827C1"/>
    <w:rsid w:val="00D96EAB"/>
    <w:rsid w:val="00D97283"/>
    <w:rsid w:val="00DA786F"/>
    <w:rsid w:val="00DC1F88"/>
    <w:rsid w:val="00DC6460"/>
    <w:rsid w:val="00DD741F"/>
    <w:rsid w:val="00E0145A"/>
    <w:rsid w:val="00E072AE"/>
    <w:rsid w:val="00E10DBD"/>
    <w:rsid w:val="00E30AEE"/>
    <w:rsid w:val="00E4137C"/>
    <w:rsid w:val="00E4471C"/>
    <w:rsid w:val="00E5589D"/>
    <w:rsid w:val="00E55C77"/>
    <w:rsid w:val="00E606F0"/>
    <w:rsid w:val="00E65564"/>
    <w:rsid w:val="00E77D45"/>
    <w:rsid w:val="00E80EBD"/>
    <w:rsid w:val="00E94C83"/>
    <w:rsid w:val="00EA255E"/>
    <w:rsid w:val="00EA4C3C"/>
    <w:rsid w:val="00EB0E9D"/>
    <w:rsid w:val="00EB28D4"/>
    <w:rsid w:val="00EB2B59"/>
    <w:rsid w:val="00EB78B2"/>
    <w:rsid w:val="00EC3CC4"/>
    <w:rsid w:val="00EC7700"/>
    <w:rsid w:val="00ED5598"/>
    <w:rsid w:val="00EE59C2"/>
    <w:rsid w:val="00EF593D"/>
    <w:rsid w:val="00F00F4B"/>
    <w:rsid w:val="00F201E7"/>
    <w:rsid w:val="00F24A8B"/>
    <w:rsid w:val="00F52E87"/>
    <w:rsid w:val="00F756F0"/>
    <w:rsid w:val="00F76439"/>
    <w:rsid w:val="00F80DBE"/>
    <w:rsid w:val="00F81529"/>
    <w:rsid w:val="00F81854"/>
    <w:rsid w:val="00F8226D"/>
    <w:rsid w:val="00F85C97"/>
    <w:rsid w:val="00F90BA0"/>
    <w:rsid w:val="00F90E30"/>
    <w:rsid w:val="00FA1C71"/>
    <w:rsid w:val="00FB199F"/>
    <w:rsid w:val="00FC31C8"/>
    <w:rsid w:val="00FC32C4"/>
    <w:rsid w:val="00FC49E2"/>
    <w:rsid w:val="00FC7C18"/>
    <w:rsid w:val="00FD4952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9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763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EC7700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 w:cs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0">
    <w:name w:val="Основной текст 21"/>
    <w:basedOn w:val="a0"/>
    <w:rsid w:val="00A976F7"/>
    <w:pPr>
      <w:suppressAutoHyphens/>
      <w:spacing w:line="240" w:lineRule="auto"/>
      <w:ind w:firstLine="0"/>
    </w:pPr>
    <w:rPr>
      <w:rFonts w:eastAsia="Times New Roman" w:cs="Times New Roman"/>
      <w:sz w:val="28"/>
      <w:szCs w:val="24"/>
      <w:lang w:eastAsia="ar-SA"/>
    </w:rPr>
  </w:style>
  <w:style w:type="paragraph" w:customStyle="1" w:styleId="PlainText1">
    <w:name w:val="Plain Text1"/>
    <w:basedOn w:val="a0"/>
    <w:rsid w:val="00A976F7"/>
    <w:pPr>
      <w:widowControl w:val="0"/>
      <w:suppressAutoHyphens/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WW8Num11z0">
    <w:name w:val="WW8Num11z0"/>
    <w:rsid w:val="00296AA8"/>
    <w:rPr>
      <w:rFonts w:ascii="Symbol" w:hAnsi="Symbol"/>
      <w:color w:val="auto"/>
    </w:rPr>
  </w:style>
  <w:style w:type="character" w:customStyle="1" w:styleId="WW8Num28z2">
    <w:name w:val="WW8Num28z2"/>
    <w:rsid w:val="009C1582"/>
    <w:rPr>
      <w:rFonts w:ascii="Wingdings" w:hAnsi="Wingdings"/>
    </w:rPr>
  </w:style>
  <w:style w:type="character" w:customStyle="1" w:styleId="WW8Num1z3">
    <w:name w:val="WW8Num1z3"/>
    <w:rsid w:val="009C1582"/>
    <w:rPr>
      <w:u w:val="single"/>
    </w:rPr>
  </w:style>
  <w:style w:type="paragraph" w:customStyle="1" w:styleId="31">
    <w:name w:val="Основной текст с отступом 31"/>
    <w:basedOn w:val="a0"/>
    <w:rsid w:val="00193832"/>
    <w:pPr>
      <w:suppressAutoHyphens/>
      <w:ind w:firstLine="720"/>
    </w:pPr>
    <w:rPr>
      <w:rFonts w:eastAsia="Times New Roman" w:cs="Times New Roman"/>
      <w:szCs w:val="20"/>
      <w:lang w:val="en-GB" w:eastAsia="ar-SA"/>
    </w:rPr>
  </w:style>
  <w:style w:type="paragraph" w:customStyle="1" w:styleId="211">
    <w:name w:val="Основной текст с отступом 21"/>
    <w:basedOn w:val="a0"/>
    <w:rsid w:val="00EB0E9D"/>
    <w:pPr>
      <w:suppressAutoHyphens/>
      <w:spacing w:line="240" w:lineRule="auto"/>
      <w:ind w:left="720" w:hanging="360"/>
    </w:pPr>
    <w:rPr>
      <w:rFonts w:eastAsia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C7631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WW8Num16z1">
    <w:name w:val="WW8Num16z1"/>
    <w:rsid w:val="005B043A"/>
    <w:rPr>
      <w:b/>
    </w:rPr>
  </w:style>
  <w:style w:type="paragraph" w:customStyle="1" w:styleId="EndNoteBibliography">
    <w:name w:val="EndNote Bibliography"/>
    <w:basedOn w:val="a0"/>
    <w:link w:val="EndNoteBibliographyChar"/>
    <w:rsid w:val="005B043A"/>
    <w:pPr>
      <w:spacing w:after="160" w:line="240" w:lineRule="auto"/>
      <w:ind w:firstLine="0"/>
      <w:jc w:val="left"/>
    </w:pPr>
    <w:rPr>
      <w:rFonts w:ascii="Courier New" w:eastAsia="Times New Roman" w:hAnsi="Courier New" w:cs="Courier New"/>
      <w:noProof/>
      <w:sz w:val="20"/>
      <w:lang w:val="en-US" w:eastAsia="zh-CN"/>
    </w:rPr>
  </w:style>
  <w:style w:type="character" w:customStyle="1" w:styleId="EndNoteBibliographyChar">
    <w:name w:val="EndNote Bibliography Char"/>
    <w:link w:val="EndNoteBibliography"/>
    <w:rsid w:val="005B043A"/>
    <w:rPr>
      <w:rFonts w:ascii="Courier New" w:eastAsia="Times New Roman" w:hAnsi="Courier New" w:cs="Courier New"/>
      <w:noProof/>
      <w:lang w:val="en-US" w:eastAsia="zh-CN"/>
    </w:rPr>
  </w:style>
  <w:style w:type="paragraph" w:customStyle="1" w:styleId="affff">
    <w:name w:val="Базовый"/>
    <w:uiPriority w:val="99"/>
    <w:rsid w:val="00A543B6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0">
    <w:name w:val="КР3"/>
    <w:basedOn w:val="afd"/>
    <w:next w:val="a0"/>
    <w:link w:val="32"/>
    <w:rsid w:val="009B4725"/>
    <w:pPr>
      <w:ind w:left="0" w:firstLine="0"/>
    </w:pPr>
    <w:rPr>
      <w:rFonts w:eastAsia="SimSun" w:cs="Times New Roman"/>
      <w:i/>
      <w:szCs w:val="24"/>
    </w:rPr>
  </w:style>
  <w:style w:type="character" w:customStyle="1" w:styleId="32">
    <w:name w:val="КР3 Знак"/>
    <w:link w:val="30"/>
    <w:rsid w:val="009B4725"/>
    <w:rPr>
      <w:rFonts w:ascii="Times New Roman" w:eastAsia="SimSun" w:hAnsi="Times New Roman" w:cs="Times New Roman"/>
      <w:i/>
      <w:sz w:val="24"/>
      <w:szCs w:val="24"/>
    </w:rPr>
  </w:style>
  <w:style w:type="paragraph" w:customStyle="1" w:styleId="text-muted">
    <w:name w:val="text-muted"/>
    <w:basedOn w:val="a0"/>
    <w:rsid w:val="004C74B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763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EC7700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 w:cs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0">
    <w:name w:val="Основной текст 21"/>
    <w:basedOn w:val="a0"/>
    <w:rsid w:val="00A976F7"/>
    <w:pPr>
      <w:suppressAutoHyphens/>
      <w:spacing w:line="240" w:lineRule="auto"/>
      <w:ind w:firstLine="0"/>
    </w:pPr>
    <w:rPr>
      <w:rFonts w:eastAsia="Times New Roman" w:cs="Times New Roman"/>
      <w:sz w:val="28"/>
      <w:szCs w:val="24"/>
      <w:lang w:eastAsia="ar-SA"/>
    </w:rPr>
  </w:style>
  <w:style w:type="paragraph" w:customStyle="1" w:styleId="PlainText1">
    <w:name w:val="Plain Text1"/>
    <w:basedOn w:val="a0"/>
    <w:rsid w:val="00A976F7"/>
    <w:pPr>
      <w:widowControl w:val="0"/>
      <w:suppressAutoHyphens/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WW8Num11z0">
    <w:name w:val="WW8Num11z0"/>
    <w:rsid w:val="00296AA8"/>
    <w:rPr>
      <w:rFonts w:ascii="Symbol" w:hAnsi="Symbol"/>
      <w:color w:val="auto"/>
    </w:rPr>
  </w:style>
  <w:style w:type="character" w:customStyle="1" w:styleId="WW8Num28z2">
    <w:name w:val="WW8Num28z2"/>
    <w:rsid w:val="009C1582"/>
    <w:rPr>
      <w:rFonts w:ascii="Wingdings" w:hAnsi="Wingdings"/>
    </w:rPr>
  </w:style>
  <w:style w:type="character" w:customStyle="1" w:styleId="WW8Num1z3">
    <w:name w:val="WW8Num1z3"/>
    <w:rsid w:val="009C1582"/>
    <w:rPr>
      <w:u w:val="single"/>
    </w:rPr>
  </w:style>
  <w:style w:type="paragraph" w:customStyle="1" w:styleId="31">
    <w:name w:val="Основной текст с отступом 31"/>
    <w:basedOn w:val="a0"/>
    <w:rsid w:val="00193832"/>
    <w:pPr>
      <w:suppressAutoHyphens/>
      <w:ind w:firstLine="720"/>
    </w:pPr>
    <w:rPr>
      <w:rFonts w:eastAsia="Times New Roman" w:cs="Times New Roman"/>
      <w:szCs w:val="20"/>
      <w:lang w:val="en-GB" w:eastAsia="ar-SA"/>
    </w:rPr>
  </w:style>
  <w:style w:type="paragraph" w:customStyle="1" w:styleId="211">
    <w:name w:val="Основной текст с отступом 21"/>
    <w:basedOn w:val="a0"/>
    <w:rsid w:val="00EB0E9D"/>
    <w:pPr>
      <w:suppressAutoHyphens/>
      <w:spacing w:line="240" w:lineRule="auto"/>
      <w:ind w:left="720" w:hanging="360"/>
    </w:pPr>
    <w:rPr>
      <w:rFonts w:eastAsia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C7631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WW8Num16z1">
    <w:name w:val="WW8Num16z1"/>
    <w:rsid w:val="005B043A"/>
    <w:rPr>
      <w:b/>
    </w:rPr>
  </w:style>
  <w:style w:type="paragraph" w:customStyle="1" w:styleId="EndNoteBibliography">
    <w:name w:val="EndNote Bibliography"/>
    <w:basedOn w:val="a0"/>
    <w:link w:val="EndNoteBibliographyChar"/>
    <w:rsid w:val="005B043A"/>
    <w:pPr>
      <w:spacing w:after="160" w:line="240" w:lineRule="auto"/>
      <w:ind w:firstLine="0"/>
      <w:jc w:val="left"/>
    </w:pPr>
    <w:rPr>
      <w:rFonts w:ascii="Courier New" w:eastAsia="Times New Roman" w:hAnsi="Courier New" w:cs="Courier New"/>
      <w:noProof/>
      <w:sz w:val="20"/>
      <w:lang w:val="en-US" w:eastAsia="zh-CN"/>
    </w:rPr>
  </w:style>
  <w:style w:type="character" w:customStyle="1" w:styleId="EndNoteBibliographyChar">
    <w:name w:val="EndNote Bibliography Char"/>
    <w:link w:val="EndNoteBibliography"/>
    <w:rsid w:val="005B043A"/>
    <w:rPr>
      <w:rFonts w:ascii="Courier New" w:eastAsia="Times New Roman" w:hAnsi="Courier New" w:cs="Courier New"/>
      <w:noProof/>
      <w:lang w:val="en-US" w:eastAsia="zh-CN"/>
    </w:rPr>
  </w:style>
  <w:style w:type="paragraph" w:customStyle="1" w:styleId="affff">
    <w:name w:val="Базовый"/>
    <w:uiPriority w:val="99"/>
    <w:rsid w:val="00A543B6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0">
    <w:name w:val="КР3"/>
    <w:basedOn w:val="afd"/>
    <w:next w:val="a0"/>
    <w:link w:val="32"/>
    <w:rsid w:val="009B4725"/>
    <w:pPr>
      <w:ind w:left="0" w:firstLine="0"/>
    </w:pPr>
    <w:rPr>
      <w:rFonts w:eastAsia="SimSun" w:cs="Times New Roman"/>
      <w:i/>
      <w:szCs w:val="24"/>
    </w:rPr>
  </w:style>
  <w:style w:type="character" w:customStyle="1" w:styleId="32">
    <w:name w:val="КР3 Знак"/>
    <w:link w:val="30"/>
    <w:rsid w:val="009B4725"/>
    <w:rPr>
      <w:rFonts w:ascii="Times New Roman" w:eastAsia="SimSun" w:hAnsi="Times New Roman" w:cs="Times New Roman"/>
      <w:i/>
      <w:sz w:val="24"/>
      <w:szCs w:val="24"/>
    </w:rPr>
  </w:style>
  <w:style w:type="paragraph" w:customStyle="1" w:styleId="text-muted">
    <w:name w:val="text-muted"/>
    <w:basedOn w:val="a0"/>
    <w:rsid w:val="004C74B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BF9A-6AA8-4450-83B0-4EDC25E2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6390</Words>
  <Characters>36424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alradi</cp:lastModifiedBy>
  <cp:revision>2</cp:revision>
  <cp:lastPrinted>2016-10-07T09:24:00Z</cp:lastPrinted>
  <dcterms:created xsi:type="dcterms:W3CDTF">2020-02-14T08:11:00Z</dcterms:created>
  <dcterms:modified xsi:type="dcterms:W3CDTF">2020-02-14T08:11:00Z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