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D9CA48" w14:textId="77777777" w:rsidR="00EE59C2" w:rsidRDefault="00CC5156" w:rsidP="00EE59C2">
      <w:pPr>
        <w:pStyle w:val="aff7"/>
      </w:pPr>
      <w:r>
        <w:rPr>
          <w:noProof/>
          <w:lang w:eastAsia="ru-RU"/>
        </w:rPr>
        <mc:AlternateContent>
          <mc:Choice Requires="wps">
            <w:drawing>
              <wp:anchor distT="0" distB="0" distL="114300" distR="114300" simplePos="0" relativeHeight="251660288" behindDoc="1" locked="0" layoutInCell="1" allowOverlap="1" wp14:anchorId="6C58C02A" wp14:editId="23D10013">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759DE358" w14:textId="13ED0EE1" w:rsidR="008E2063" w:rsidRDefault="008E2063" w:rsidP="00F8226D">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58C02A" id="Прямоугольник 3" o:spid="_x0000_s1026" style="position:absolute;left:0;text-align:left;margin-left:-64.8pt;margin-top:-38.7pt;width:551.25pt;height:6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fillcolor="white [3212]" stroked="f">
                <v:path arrowok="t"/>
                <v:textbox>
                  <w:txbxContent>
                    <w:p w14:paraId="759DE358" w14:textId="13ED0EE1" w:rsidR="008E2063" w:rsidRDefault="008E2063" w:rsidP="00F8226D">
                      <w:pPr>
                        <w:jc w:val="center"/>
                      </w:pPr>
                      <w:r>
                        <w:t>\9</w:t>
                      </w:r>
                    </w:p>
                  </w:txbxContent>
                </v:textbox>
              </v:rect>
            </w:pict>
          </mc:Fallback>
        </mc:AlternateContent>
      </w:r>
      <w:r w:rsidR="00F756F0">
        <w:rPr>
          <w:noProof/>
          <w:lang w:eastAsia="ru-RU"/>
        </w:rPr>
        <mc:AlternateContent>
          <mc:Choice Requires="wps">
            <w:drawing>
              <wp:anchor distT="0" distB="0" distL="114300" distR="114300" simplePos="0" relativeHeight="251659264" behindDoc="1" locked="0" layoutInCell="1" allowOverlap="1" wp14:anchorId="23FC9346" wp14:editId="2BAAAB04">
                <wp:simplePos x="0" y="0"/>
                <wp:positionH relativeFrom="page">
                  <wp:posOffset>-35560</wp:posOffset>
                </wp:positionH>
                <wp:positionV relativeFrom="paragraph">
                  <wp:posOffset>-1113790</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E424F0" id="Прямоугольник 3" o:spid="_x0000_s1026" style="position:absolute;margin-left:-2.8pt;margin-top:-87.7pt;width:598.55pt;height:86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" fillcolor="#0b595d" stroked="f" strokeweight="1pt">
                <v:fill opacity="6682f"/>
                <v:path arrowok="t"/>
                <w10:wrap anchorx="page"/>
              </v:rect>
            </w:pict>
          </mc:Fallback>
        </mc:AlternateContent>
      </w:r>
    </w:p>
    <w:p w14:paraId="67320864" w14:textId="77777777" w:rsidR="00EE59C2" w:rsidRDefault="00EE59C2" w:rsidP="00EE59C2">
      <w:pPr>
        <w:pStyle w:val="aff7"/>
      </w:pPr>
    </w:p>
    <w:p w14:paraId="0578D52D" w14:textId="77777777" w:rsidR="002145F1" w:rsidRDefault="002145F1" w:rsidP="002145F1"/>
    <w:p w14:paraId="0796C198" w14:textId="77777777" w:rsidR="002145F1" w:rsidRDefault="002145F1" w:rsidP="002145F1"/>
    <w:p w14:paraId="3D8D9812" w14:textId="77777777" w:rsidR="002145F1" w:rsidRDefault="002145F1" w:rsidP="002145F1"/>
    <w:p w14:paraId="7C0FB8B0" w14:textId="77777777" w:rsidR="002145F1" w:rsidRDefault="002145F1" w:rsidP="002145F1"/>
    <w:tbl>
      <w:tblPr>
        <w:tblStyle w:val="aff8"/>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14:paraId="18A7D33E" w14:textId="77777777" w:rsidTr="00172112">
        <w:tc>
          <w:tcPr>
            <w:tcW w:w="9525" w:type="dxa"/>
            <w:gridSpan w:val="2"/>
          </w:tcPr>
          <w:p w14:paraId="022D2317" w14:textId="77777777" w:rsidR="00172112" w:rsidRDefault="00172112" w:rsidP="00172112">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172112" w14:paraId="6860561C" w14:textId="77777777" w:rsidTr="00172112">
        <w:trPr>
          <w:trHeight w:val="1907"/>
        </w:trPr>
        <w:tc>
          <w:tcPr>
            <w:tcW w:w="9525" w:type="dxa"/>
            <w:gridSpan w:val="2"/>
          </w:tcPr>
          <w:p w14:paraId="795FB99B" w14:textId="0D5C86EA" w:rsidR="00172112" w:rsidRDefault="005D0E1E" w:rsidP="00C57D5D">
            <w:pPr>
              <w:tabs>
                <w:tab w:val="left" w:pos="6135"/>
              </w:tabs>
              <w:rPr>
                <w:sz w:val="28"/>
                <w:szCs w:val="28"/>
              </w:rPr>
            </w:pPr>
            <w:r>
              <w:rPr>
                <w:b/>
                <w:color w:val="000000"/>
                <w:sz w:val="44"/>
                <w:szCs w:val="44"/>
              </w:rPr>
              <w:t>Пароксизмальная</w:t>
            </w:r>
            <w:r w:rsidR="00C57D5D">
              <w:rPr>
                <w:b/>
                <w:color w:val="000000"/>
                <w:sz w:val="44"/>
                <w:szCs w:val="44"/>
              </w:rPr>
              <w:t> </w:t>
            </w:r>
            <w:r>
              <w:rPr>
                <w:b/>
                <w:color w:val="000000"/>
                <w:sz w:val="44"/>
                <w:szCs w:val="44"/>
              </w:rPr>
              <w:t>ночная</w:t>
            </w:r>
            <w:r w:rsidR="00C57D5D">
              <w:rPr>
                <w:b/>
                <w:color w:val="000000"/>
                <w:sz w:val="44"/>
                <w:szCs w:val="44"/>
              </w:rPr>
              <w:t> </w:t>
            </w:r>
            <w:r>
              <w:rPr>
                <w:b/>
                <w:color w:val="000000"/>
                <w:sz w:val="44"/>
                <w:szCs w:val="44"/>
              </w:rPr>
              <w:t>гемоглобинурия: диагностика и лечение</w:t>
            </w:r>
          </w:p>
        </w:tc>
      </w:tr>
      <w:tr w:rsidR="00221384" w14:paraId="56CFDB8E" w14:textId="77777777" w:rsidTr="00221384">
        <w:trPr>
          <w:trHeight w:val="815"/>
        </w:trPr>
        <w:tc>
          <w:tcPr>
            <w:tcW w:w="3686" w:type="dxa"/>
          </w:tcPr>
          <w:p w14:paraId="52D4521A" w14:textId="77777777" w:rsidR="00221384" w:rsidRPr="002758A4" w:rsidRDefault="00221384" w:rsidP="00221384">
            <w:pPr>
              <w:tabs>
                <w:tab w:val="left" w:pos="6135"/>
              </w:tabs>
              <w:spacing w:line="276" w:lineRule="auto"/>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365E98CC" w14:textId="77777777" w:rsidR="00221384" w:rsidRPr="002758A4" w:rsidRDefault="00221384" w:rsidP="00221384">
            <w:pPr>
              <w:pStyle w:val="aff3"/>
              <w:spacing w:line="276" w:lineRule="auto"/>
              <w:ind w:firstLine="0"/>
              <w:jc w:val="right"/>
              <w:rPr>
                <w:sz w:val="24"/>
                <w:szCs w:val="28"/>
              </w:rPr>
            </w:pPr>
          </w:p>
        </w:tc>
        <w:tc>
          <w:tcPr>
            <w:tcW w:w="5839" w:type="dxa"/>
          </w:tcPr>
          <w:p w14:paraId="66188C6B" w14:textId="7A46781A" w:rsidR="00221384" w:rsidRPr="005D0E1E" w:rsidRDefault="005D0E1E" w:rsidP="00221384">
            <w:pPr>
              <w:tabs>
                <w:tab w:val="left" w:pos="6135"/>
              </w:tabs>
              <w:spacing w:line="276" w:lineRule="auto"/>
              <w:ind w:firstLine="0"/>
              <w:jc w:val="left"/>
              <w:rPr>
                <w:szCs w:val="28"/>
              </w:rPr>
            </w:pPr>
            <w:r>
              <w:rPr>
                <w:szCs w:val="28"/>
                <w:lang w:val="en-US"/>
              </w:rPr>
              <w:t>D59.5</w:t>
            </w:r>
          </w:p>
        </w:tc>
      </w:tr>
      <w:tr w:rsidR="00221384" w14:paraId="0300C360" w14:textId="77777777" w:rsidTr="00221384">
        <w:trPr>
          <w:trHeight w:val="815"/>
        </w:trPr>
        <w:tc>
          <w:tcPr>
            <w:tcW w:w="3686" w:type="dxa"/>
          </w:tcPr>
          <w:p w14:paraId="7F26CBFF"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
        </w:tc>
        <w:tc>
          <w:tcPr>
            <w:tcW w:w="5839" w:type="dxa"/>
          </w:tcPr>
          <w:p w14:paraId="0E6CE7AE" w14:textId="78DCCF7D" w:rsidR="00221384" w:rsidRPr="005D0E1E" w:rsidRDefault="00A60340" w:rsidP="00221384">
            <w:pPr>
              <w:tabs>
                <w:tab w:val="left" w:pos="6135"/>
              </w:tabs>
              <w:spacing w:line="276" w:lineRule="auto"/>
              <w:ind w:firstLine="0"/>
              <w:jc w:val="left"/>
              <w:rPr>
                <w:color w:val="808080" w:themeColor="background1" w:themeShade="80"/>
                <w:szCs w:val="28"/>
              </w:rPr>
            </w:pPr>
            <w:r>
              <w:rPr>
                <w:color w:val="808080" w:themeColor="background1" w:themeShade="80"/>
                <w:szCs w:val="28"/>
              </w:rPr>
              <w:t>дети</w:t>
            </w:r>
            <w:r>
              <w:rPr>
                <w:color w:val="808080" w:themeColor="background1" w:themeShade="80"/>
                <w:szCs w:val="28"/>
                <w:lang w:val="en-US"/>
              </w:rPr>
              <w:t>/</w:t>
            </w:r>
            <w:r w:rsidR="005D0E1E">
              <w:rPr>
                <w:color w:val="808080" w:themeColor="background1" w:themeShade="80"/>
                <w:szCs w:val="28"/>
              </w:rPr>
              <w:t>взрослые</w:t>
            </w:r>
          </w:p>
        </w:tc>
      </w:tr>
      <w:tr w:rsidR="00221384" w14:paraId="2E6C3AE5" w14:textId="77777777" w:rsidTr="00221384">
        <w:trPr>
          <w:trHeight w:val="815"/>
        </w:trPr>
        <w:tc>
          <w:tcPr>
            <w:tcW w:w="3686" w:type="dxa"/>
          </w:tcPr>
          <w:p w14:paraId="4F53E016"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color w:val="808080" w:themeColor="background1" w:themeShade="80"/>
              </w:rPr>
              <w:t>Год утверждения:</w:t>
            </w:r>
          </w:p>
        </w:tc>
        <w:tc>
          <w:tcPr>
            <w:tcW w:w="5839" w:type="dxa"/>
          </w:tcPr>
          <w:p w14:paraId="5FC89E42" w14:textId="77777777" w:rsidR="00221384" w:rsidRPr="00221384" w:rsidRDefault="00221384" w:rsidP="00221384">
            <w:pPr>
              <w:tabs>
                <w:tab w:val="left" w:pos="6135"/>
              </w:tabs>
              <w:spacing w:line="276" w:lineRule="auto"/>
              <w:ind w:firstLine="0"/>
              <w:jc w:val="left"/>
              <w:rPr>
                <w:b/>
              </w:rPr>
            </w:pPr>
            <w:r>
              <w:rPr>
                <w:b/>
              </w:rPr>
              <w:t>201_</w:t>
            </w:r>
          </w:p>
        </w:tc>
      </w:tr>
      <w:tr w:rsidR="00172112" w14:paraId="19D45F4C" w14:textId="77777777" w:rsidTr="00172112">
        <w:tc>
          <w:tcPr>
            <w:tcW w:w="9525" w:type="dxa"/>
            <w:gridSpan w:val="2"/>
          </w:tcPr>
          <w:p w14:paraId="091C32C5" w14:textId="77777777" w:rsidR="00172112" w:rsidRPr="002758A4" w:rsidRDefault="00301C01" w:rsidP="00221384">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00172112">
              <w:rPr>
                <w:color w:val="808080" w:themeColor="background1" w:themeShade="80"/>
              </w:rPr>
              <w:t>:</w:t>
            </w:r>
            <w:r w:rsidR="00094ED6" w:rsidRPr="00094ED6">
              <w:rPr>
                <w:rFonts w:cs="Times New Roman"/>
                <w:color w:val="FF0000"/>
                <w:sz w:val="20"/>
                <w:szCs w:val="20"/>
              </w:rPr>
              <w:t xml:space="preserve"> </w:t>
            </w:r>
          </w:p>
        </w:tc>
      </w:tr>
      <w:tr w:rsidR="00172112" w14:paraId="2D846235" w14:textId="77777777" w:rsidTr="00172112">
        <w:trPr>
          <w:trHeight w:val="4170"/>
        </w:trPr>
        <w:tc>
          <w:tcPr>
            <w:tcW w:w="9525" w:type="dxa"/>
            <w:gridSpan w:val="2"/>
          </w:tcPr>
          <w:p w14:paraId="0B594C8D" w14:textId="7F765742" w:rsidR="005D0E1E" w:rsidRPr="007E0C74" w:rsidRDefault="005D0E1E" w:rsidP="005D0E1E">
            <w:pPr>
              <w:pStyle w:val="aff7"/>
              <w:numPr>
                <w:ilvl w:val="0"/>
                <w:numId w:val="2"/>
              </w:numPr>
              <w:rPr>
                <w:b/>
                <w:sz w:val="28"/>
              </w:rPr>
            </w:pPr>
            <w:r>
              <w:t>Национальное гематологическое общество</w:t>
            </w:r>
          </w:p>
          <w:p w14:paraId="79FE83AC" w14:textId="1FF52233" w:rsidR="007E0C74" w:rsidRPr="00A80465" w:rsidRDefault="007E0C74" w:rsidP="005D0E1E">
            <w:pPr>
              <w:pStyle w:val="aff7"/>
              <w:numPr>
                <w:ilvl w:val="0"/>
                <w:numId w:val="2"/>
              </w:numPr>
              <w:rPr>
                <w:b/>
                <w:sz w:val="28"/>
              </w:rPr>
            </w:pPr>
            <w:r>
              <w:t>Национальное общество детских гематологов и онкологов</w:t>
            </w:r>
          </w:p>
          <w:p w14:paraId="2815A1EA" w14:textId="49AFEF35" w:rsidR="00A80465" w:rsidRPr="00EE59C2" w:rsidRDefault="00A80465" w:rsidP="005D0E1E">
            <w:pPr>
              <w:pStyle w:val="aff7"/>
              <w:numPr>
                <w:ilvl w:val="0"/>
                <w:numId w:val="2"/>
              </w:numPr>
              <w:rPr>
                <w:b/>
                <w:sz w:val="28"/>
              </w:rPr>
            </w:pPr>
            <w:r>
              <w:rPr>
                <w:szCs w:val="24"/>
              </w:rPr>
              <w:t>Федерация лабораторной медицины</w:t>
            </w:r>
          </w:p>
          <w:p w14:paraId="4E088761" w14:textId="77777777" w:rsidR="00174593" w:rsidRPr="00EE59C2" w:rsidRDefault="00174593" w:rsidP="00174593">
            <w:pPr>
              <w:pStyle w:val="aff7"/>
              <w:rPr>
                <w:b/>
                <w:sz w:val="28"/>
              </w:rPr>
            </w:pPr>
          </w:p>
          <w:p w14:paraId="6E1EC54F" w14:textId="77777777" w:rsidR="00CC5156" w:rsidRPr="005F668D" w:rsidRDefault="00CC5156" w:rsidP="00CC5156">
            <w:pPr>
              <w:pStyle w:val="aff7"/>
              <w:ind w:firstLine="0"/>
              <w:rPr>
                <w:b/>
                <w:sz w:val="28"/>
              </w:rPr>
            </w:pPr>
          </w:p>
        </w:tc>
      </w:tr>
    </w:tbl>
    <w:bookmarkStart w:id="1"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14:paraId="09AD53C7" w14:textId="1E5E09C2" w:rsidR="00CA4145" w:rsidRDefault="00CA4145" w:rsidP="00CA4145">
          <w:pPr>
            <w:pStyle w:val="afe"/>
            <w:rPr>
              <w:rFonts w:cstheme="minorBidi"/>
              <w:b w:val="0"/>
              <w:szCs w:val="22"/>
              <w:u w:val="none"/>
            </w:rPr>
          </w:pPr>
        </w:p>
        <w:p w14:paraId="1EF41C6D" w14:textId="77777777" w:rsidR="00094ED6" w:rsidRDefault="00094ED6">
          <w:pPr>
            <w:spacing w:line="240" w:lineRule="auto"/>
            <w:ind w:firstLine="0"/>
            <w:jc w:val="left"/>
          </w:pPr>
          <w:r>
            <w:rPr>
              <w:b/>
            </w:rPr>
            <w:br w:type="page"/>
          </w:r>
        </w:p>
        <w:p w14:paraId="15F35598" w14:textId="77777777" w:rsidR="00172112" w:rsidRDefault="00172112" w:rsidP="00172112">
          <w:pPr>
            <w:pStyle w:val="afe"/>
            <w:jc w:val="center"/>
            <w:rPr>
              <w:sz w:val="28"/>
              <w:u w:val="none"/>
            </w:rPr>
          </w:pPr>
          <w:bookmarkStart w:id="2" w:name="_Toc24641943"/>
          <w:r w:rsidRPr="00172112">
            <w:rPr>
              <w:sz w:val="28"/>
              <w:u w:val="none"/>
            </w:rPr>
            <w:lastRenderedPageBreak/>
            <w:t>Оглавление</w:t>
          </w:r>
          <w:bookmarkEnd w:id="1"/>
          <w:bookmarkEnd w:id="2"/>
        </w:p>
        <w:p w14:paraId="44857AAD" w14:textId="2A250EE4" w:rsidR="00833BD0" w:rsidRDefault="00172112">
          <w:pPr>
            <w:pStyle w:val="15"/>
            <w:rPr>
              <w:rFonts w:asciiTheme="minorHAnsi" w:eastAsiaTheme="minorEastAsia" w:hAnsiTheme="minorHAnsi"/>
              <w:noProof/>
              <w:sz w:val="22"/>
              <w:lang w:eastAsia="ru-RU"/>
            </w:rPr>
          </w:pPr>
          <w:r w:rsidRPr="00877EF5">
            <w:rPr>
              <w:rFonts w:cs="Times New Roman"/>
              <w:szCs w:val="24"/>
            </w:rPr>
            <w:fldChar w:fldCharType="begin"/>
          </w:r>
          <w:r w:rsidRPr="00877EF5">
            <w:rPr>
              <w:rFonts w:cs="Times New Roman"/>
              <w:szCs w:val="24"/>
            </w:rPr>
            <w:instrText xml:space="preserve"> TOC \o "1-3" \h \z \u </w:instrText>
          </w:r>
          <w:r w:rsidRPr="00877EF5">
            <w:rPr>
              <w:rFonts w:cs="Times New Roman"/>
              <w:szCs w:val="24"/>
            </w:rPr>
            <w:fldChar w:fldCharType="separate"/>
          </w:r>
          <w:hyperlink w:anchor="_Toc24641943" w:history="1">
            <w:r w:rsidR="00833BD0" w:rsidRPr="00EA5146">
              <w:rPr>
                <w:rStyle w:val="affc"/>
                <w:noProof/>
              </w:rPr>
              <w:t>Оглавление</w:t>
            </w:r>
            <w:r w:rsidR="00833BD0">
              <w:rPr>
                <w:noProof/>
                <w:webHidden/>
              </w:rPr>
              <w:tab/>
            </w:r>
            <w:r w:rsidR="00833BD0">
              <w:rPr>
                <w:noProof/>
                <w:webHidden/>
              </w:rPr>
              <w:fldChar w:fldCharType="begin"/>
            </w:r>
            <w:r w:rsidR="00833BD0">
              <w:rPr>
                <w:noProof/>
                <w:webHidden/>
              </w:rPr>
              <w:instrText xml:space="preserve"> PAGEREF _Toc24641943 \h </w:instrText>
            </w:r>
            <w:r w:rsidR="00833BD0">
              <w:rPr>
                <w:noProof/>
                <w:webHidden/>
              </w:rPr>
            </w:r>
            <w:r w:rsidR="00833BD0">
              <w:rPr>
                <w:noProof/>
                <w:webHidden/>
              </w:rPr>
              <w:fldChar w:fldCharType="separate"/>
            </w:r>
            <w:r w:rsidR="00E806E9">
              <w:rPr>
                <w:noProof/>
                <w:webHidden/>
              </w:rPr>
              <w:t>2</w:t>
            </w:r>
            <w:r w:rsidR="00833BD0">
              <w:rPr>
                <w:noProof/>
                <w:webHidden/>
              </w:rPr>
              <w:fldChar w:fldCharType="end"/>
            </w:r>
          </w:hyperlink>
        </w:p>
        <w:p w14:paraId="4FC007E7" w14:textId="4C29DF26" w:rsidR="00833BD0" w:rsidRDefault="00C44D66">
          <w:pPr>
            <w:pStyle w:val="15"/>
            <w:rPr>
              <w:rFonts w:asciiTheme="minorHAnsi" w:eastAsiaTheme="minorEastAsia" w:hAnsiTheme="minorHAnsi"/>
              <w:noProof/>
              <w:sz w:val="22"/>
              <w:lang w:eastAsia="ru-RU"/>
            </w:rPr>
          </w:pPr>
          <w:hyperlink w:anchor="_Toc24641944" w:history="1">
            <w:r w:rsidR="00833BD0" w:rsidRPr="00EA5146">
              <w:rPr>
                <w:rStyle w:val="affc"/>
                <w:noProof/>
              </w:rPr>
              <w:t>Список сокращений</w:t>
            </w:r>
            <w:r w:rsidR="00833BD0">
              <w:rPr>
                <w:noProof/>
                <w:webHidden/>
              </w:rPr>
              <w:tab/>
            </w:r>
            <w:r w:rsidR="00833BD0">
              <w:rPr>
                <w:noProof/>
                <w:webHidden/>
              </w:rPr>
              <w:fldChar w:fldCharType="begin"/>
            </w:r>
            <w:r w:rsidR="00833BD0">
              <w:rPr>
                <w:noProof/>
                <w:webHidden/>
              </w:rPr>
              <w:instrText xml:space="preserve"> PAGEREF _Toc24641944 \h </w:instrText>
            </w:r>
            <w:r w:rsidR="00833BD0">
              <w:rPr>
                <w:noProof/>
                <w:webHidden/>
              </w:rPr>
            </w:r>
            <w:r w:rsidR="00833BD0">
              <w:rPr>
                <w:noProof/>
                <w:webHidden/>
              </w:rPr>
              <w:fldChar w:fldCharType="separate"/>
            </w:r>
            <w:r w:rsidR="00E806E9">
              <w:rPr>
                <w:noProof/>
                <w:webHidden/>
              </w:rPr>
              <w:t>4</w:t>
            </w:r>
            <w:r w:rsidR="00833BD0">
              <w:rPr>
                <w:noProof/>
                <w:webHidden/>
              </w:rPr>
              <w:fldChar w:fldCharType="end"/>
            </w:r>
          </w:hyperlink>
        </w:p>
        <w:p w14:paraId="14FC0695" w14:textId="09C4D79F" w:rsidR="00833BD0" w:rsidRDefault="00C44D66">
          <w:pPr>
            <w:pStyle w:val="21"/>
            <w:rPr>
              <w:rFonts w:asciiTheme="minorHAnsi" w:eastAsiaTheme="minorEastAsia" w:hAnsiTheme="minorHAnsi" w:cstheme="minorBidi"/>
              <w:noProof/>
              <w:lang w:eastAsia="ru-RU"/>
            </w:rPr>
          </w:pPr>
          <w:hyperlink w:anchor="_Toc24641945" w:history="1">
            <w:r w:rsidR="00833BD0" w:rsidRPr="00EA5146">
              <w:rPr>
                <w:rStyle w:val="affc"/>
                <w:noProof/>
              </w:rPr>
              <w:t>Термины и определения</w:t>
            </w:r>
            <w:r w:rsidR="00833BD0">
              <w:rPr>
                <w:noProof/>
                <w:webHidden/>
              </w:rPr>
              <w:tab/>
            </w:r>
            <w:r w:rsidR="00833BD0">
              <w:rPr>
                <w:noProof/>
                <w:webHidden/>
              </w:rPr>
              <w:fldChar w:fldCharType="begin"/>
            </w:r>
            <w:r w:rsidR="00833BD0">
              <w:rPr>
                <w:noProof/>
                <w:webHidden/>
              </w:rPr>
              <w:instrText xml:space="preserve"> PAGEREF _Toc24641945 \h </w:instrText>
            </w:r>
            <w:r w:rsidR="00833BD0">
              <w:rPr>
                <w:noProof/>
                <w:webHidden/>
              </w:rPr>
            </w:r>
            <w:r w:rsidR="00833BD0">
              <w:rPr>
                <w:noProof/>
                <w:webHidden/>
              </w:rPr>
              <w:fldChar w:fldCharType="separate"/>
            </w:r>
            <w:r w:rsidR="00E806E9">
              <w:rPr>
                <w:noProof/>
                <w:webHidden/>
              </w:rPr>
              <w:t>5</w:t>
            </w:r>
            <w:r w:rsidR="00833BD0">
              <w:rPr>
                <w:noProof/>
                <w:webHidden/>
              </w:rPr>
              <w:fldChar w:fldCharType="end"/>
            </w:r>
          </w:hyperlink>
        </w:p>
        <w:p w14:paraId="2395378E" w14:textId="4CAA251A" w:rsidR="00833BD0" w:rsidRDefault="00C44D66">
          <w:pPr>
            <w:pStyle w:val="15"/>
            <w:rPr>
              <w:rFonts w:asciiTheme="minorHAnsi" w:eastAsiaTheme="minorEastAsia" w:hAnsiTheme="minorHAnsi"/>
              <w:noProof/>
              <w:sz w:val="22"/>
              <w:lang w:eastAsia="ru-RU"/>
            </w:rPr>
          </w:pPr>
          <w:hyperlink w:anchor="_Toc24641946" w:history="1">
            <w:r w:rsidR="00833BD0" w:rsidRPr="00EA5146">
              <w:rPr>
                <w:rStyle w:val="affc"/>
                <w:noProof/>
              </w:rPr>
              <w:t>1. Краткая информация по заболеванию</w:t>
            </w:r>
            <w:r w:rsidR="00833BD0">
              <w:rPr>
                <w:noProof/>
                <w:webHidden/>
              </w:rPr>
              <w:tab/>
            </w:r>
            <w:r w:rsidR="00833BD0">
              <w:rPr>
                <w:noProof/>
                <w:webHidden/>
              </w:rPr>
              <w:fldChar w:fldCharType="begin"/>
            </w:r>
            <w:r w:rsidR="00833BD0">
              <w:rPr>
                <w:noProof/>
                <w:webHidden/>
              </w:rPr>
              <w:instrText xml:space="preserve"> PAGEREF _Toc24641946 \h </w:instrText>
            </w:r>
            <w:r w:rsidR="00833BD0">
              <w:rPr>
                <w:noProof/>
                <w:webHidden/>
              </w:rPr>
            </w:r>
            <w:r w:rsidR="00833BD0">
              <w:rPr>
                <w:noProof/>
                <w:webHidden/>
              </w:rPr>
              <w:fldChar w:fldCharType="separate"/>
            </w:r>
            <w:r w:rsidR="00E806E9">
              <w:rPr>
                <w:noProof/>
                <w:webHidden/>
              </w:rPr>
              <w:t>5</w:t>
            </w:r>
            <w:r w:rsidR="00833BD0">
              <w:rPr>
                <w:noProof/>
                <w:webHidden/>
              </w:rPr>
              <w:fldChar w:fldCharType="end"/>
            </w:r>
          </w:hyperlink>
        </w:p>
        <w:p w14:paraId="2E81099F" w14:textId="435C58CB" w:rsidR="00833BD0" w:rsidRDefault="00C44D66">
          <w:pPr>
            <w:pStyle w:val="21"/>
            <w:rPr>
              <w:rFonts w:asciiTheme="minorHAnsi" w:eastAsiaTheme="minorEastAsia" w:hAnsiTheme="minorHAnsi" w:cstheme="minorBidi"/>
              <w:noProof/>
              <w:lang w:eastAsia="ru-RU"/>
            </w:rPr>
          </w:pPr>
          <w:hyperlink w:anchor="_Toc24641947" w:history="1">
            <w:r w:rsidR="00833BD0" w:rsidRPr="00EA5146">
              <w:rPr>
                <w:rStyle w:val="affc"/>
                <w:noProof/>
              </w:rPr>
              <w:t>1.1 Определение</w:t>
            </w:r>
            <w:r w:rsidR="00833BD0">
              <w:rPr>
                <w:noProof/>
                <w:webHidden/>
              </w:rPr>
              <w:tab/>
            </w:r>
            <w:r w:rsidR="00833BD0">
              <w:rPr>
                <w:noProof/>
                <w:webHidden/>
              </w:rPr>
              <w:fldChar w:fldCharType="begin"/>
            </w:r>
            <w:r w:rsidR="00833BD0">
              <w:rPr>
                <w:noProof/>
                <w:webHidden/>
              </w:rPr>
              <w:instrText xml:space="preserve"> PAGEREF _Toc24641947 \h </w:instrText>
            </w:r>
            <w:r w:rsidR="00833BD0">
              <w:rPr>
                <w:noProof/>
                <w:webHidden/>
              </w:rPr>
            </w:r>
            <w:r w:rsidR="00833BD0">
              <w:rPr>
                <w:noProof/>
                <w:webHidden/>
              </w:rPr>
              <w:fldChar w:fldCharType="separate"/>
            </w:r>
            <w:r w:rsidR="00E806E9">
              <w:rPr>
                <w:noProof/>
                <w:webHidden/>
              </w:rPr>
              <w:t>5</w:t>
            </w:r>
            <w:r w:rsidR="00833BD0">
              <w:rPr>
                <w:noProof/>
                <w:webHidden/>
              </w:rPr>
              <w:fldChar w:fldCharType="end"/>
            </w:r>
          </w:hyperlink>
        </w:p>
        <w:p w14:paraId="275AD3BB" w14:textId="57AEEC93" w:rsidR="00833BD0" w:rsidRDefault="00C44D66">
          <w:pPr>
            <w:pStyle w:val="21"/>
            <w:rPr>
              <w:rFonts w:asciiTheme="minorHAnsi" w:eastAsiaTheme="minorEastAsia" w:hAnsiTheme="minorHAnsi" w:cstheme="minorBidi"/>
              <w:noProof/>
              <w:lang w:eastAsia="ru-RU"/>
            </w:rPr>
          </w:pPr>
          <w:hyperlink w:anchor="_Toc24641948" w:history="1">
            <w:r w:rsidR="00833BD0" w:rsidRPr="00EA5146">
              <w:rPr>
                <w:rStyle w:val="affc"/>
                <w:noProof/>
              </w:rPr>
              <w:t>1.2 Этиология и патогенез</w:t>
            </w:r>
            <w:r w:rsidR="00833BD0">
              <w:rPr>
                <w:noProof/>
                <w:webHidden/>
              </w:rPr>
              <w:tab/>
            </w:r>
            <w:r w:rsidR="00833BD0">
              <w:rPr>
                <w:noProof/>
                <w:webHidden/>
              </w:rPr>
              <w:fldChar w:fldCharType="begin"/>
            </w:r>
            <w:r w:rsidR="00833BD0">
              <w:rPr>
                <w:noProof/>
                <w:webHidden/>
              </w:rPr>
              <w:instrText xml:space="preserve"> PAGEREF _Toc24641948 \h </w:instrText>
            </w:r>
            <w:r w:rsidR="00833BD0">
              <w:rPr>
                <w:noProof/>
                <w:webHidden/>
              </w:rPr>
            </w:r>
            <w:r w:rsidR="00833BD0">
              <w:rPr>
                <w:noProof/>
                <w:webHidden/>
              </w:rPr>
              <w:fldChar w:fldCharType="separate"/>
            </w:r>
            <w:r w:rsidR="00E806E9">
              <w:rPr>
                <w:noProof/>
                <w:webHidden/>
              </w:rPr>
              <w:t>5</w:t>
            </w:r>
            <w:r w:rsidR="00833BD0">
              <w:rPr>
                <w:noProof/>
                <w:webHidden/>
              </w:rPr>
              <w:fldChar w:fldCharType="end"/>
            </w:r>
          </w:hyperlink>
        </w:p>
        <w:p w14:paraId="627984E6" w14:textId="2D474648" w:rsidR="00833BD0" w:rsidRDefault="00C44D66">
          <w:pPr>
            <w:pStyle w:val="21"/>
            <w:rPr>
              <w:rFonts w:asciiTheme="minorHAnsi" w:eastAsiaTheme="minorEastAsia" w:hAnsiTheme="minorHAnsi" w:cstheme="minorBidi"/>
              <w:noProof/>
              <w:lang w:eastAsia="ru-RU"/>
            </w:rPr>
          </w:pPr>
          <w:hyperlink w:anchor="_Toc24641949" w:history="1">
            <w:r w:rsidR="00833BD0" w:rsidRPr="00EA5146">
              <w:rPr>
                <w:rStyle w:val="affc"/>
                <w:noProof/>
              </w:rPr>
              <w:t>1.3 Эпидемиология</w:t>
            </w:r>
            <w:r w:rsidR="00833BD0">
              <w:rPr>
                <w:noProof/>
                <w:webHidden/>
              </w:rPr>
              <w:tab/>
            </w:r>
            <w:r w:rsidR="00833BD0">
              <w:rPr>
                <w:noProof/>
                <w:webHidden/>
              </w:rPr>
              <w:fldChar w:fldCharType="begin"/>
            </w:r>
            <w:r w:rsidR="00833BD0">
              <w:rPr>
                <w:noProof/>
                <w:webHidden/>
              </w:rPr>
              <w:instrText xml:space="preserve"> PAGEREF _Toc24641949 \h </w:instrText>
            </w:r>
            <w:r w:rsidR="00833BD0">
              <w:rPr>
                <w:noProof/>
                <w:webHidden/>
              </w:rPr>
            </w:r>
            <w:r w:rsidR="00833BD0">
              <w:rPr>
                <w:noProof/>
                <w:webHidden/>
              </w:rPr>
              <w:fldChar w:fldCharType="separate"/>
            </w:r>
            <w:r w:rsidR="00E806E9">
              <w:rPr>
                <w:noProof/>
                <w:webHidden/>
              </w:rPr>
              <w:t>7</w:t>
            </w:r>
            <w:r w:rsidR="00833BD0">
              <w:rPr>
                <w:noProof/>
                <w:webHidden/>
              </w:rPr>
              <w:fldChar w:fldCharType="end"/>
            </w:r>
          </w:hyperlink>
        </w:p>
        <w:p w14:paraId="6AEC4ED5" w14:textId="7D9F1781" w:rsidR="00833BD0" w:rsidRDefault="00C44D66">
          <w:pPr>
            <w:pStyle w:val="21"/>
            <w:rPr>
              <w:rFonts w:asciiTheme="minorHAnsi" w:eastAsiaTheme="minorEastAsia" w:hAnsiTheme="minorHAnsi" w:cstheme="minorBidi"/>
              <w:noProof/>
              <w:lang w:eastAsia="ru-RU"/>
            </w:rPr>
          </w:pPr>
          <w:hyperlink w:anchor="_Toc24641950" w:history="1">
            <w:r w:rsidR="00833BD0" w:rsidRPr="00EA5146">
              <w:rPr>
                <w:rStyle w:val="affc"/>
                <w:noProof/>
              </w:rPr>
              <w:t xml:space="preserve">1.4 </w:t>
            </w:r>
            <w:r w:rsidR="00833BD0" w:rsidRPr="00EA5146">
              <w:rPr>
                <w:rStyle w:val="affc"/>
                <w:noProof/>
                <w:shd w:val="clear" w:color="auto" w:fill="FFFFFF"/>
              </w:rPr>
              <w:t>Особенности кодирования</w:t>
            </w:r>
            <w:r w:rsidR="00833BD0">
              <w:rPr>
                <w:noProof/>
                <w:webHidden/>
              </w:rPr>
              <w:tab/>
            </w:r>
            <w:r w:rsidR="00833BD0">
              <w:rPr>
                <w:noProof/>
                <w:webHidden/>
              </w:rPr>
              <w:fldChar w:fldCharType="begin"/>
            </w:r>
            <w:r w:rsidR="00833BD0">
              <w:rPr>
                <w:noProof/>
                <w:webHidden/>
              </w:rPr>
              <w:instrText xml:space="preserve"> PAGEREF _Toc24641950 \h </w:instrText>
            </w:r>
            <w:r w:rsidR="00833BD0">
              <w:rPr>
                <w:noProof/>
                <w:webHidden/>
              </w:rPr>
            </w:r>
            <w:r w:rsidR="00833BD0">
              <w:rPr>
                <w:noProof/>
                <w:webHidden/>
              </w:rPr>
              <w:fldChar w:fldCharType="separate"/>
            </w:r>
            <w:r w:rsidR="00E806E9">
              <w:rPr>
                <w:noProof/>
                <w:webHidden/>
              </w:rPr>
              <w:t>7</w:t>
            </w:r>
            <w:r w:rsidR="00833BD0">
              <w:rPr>
                <w:noProof/>
                <w:webHidden/>
              </w:rPr>
              <w:fldChar w:fldCharType="end"/>
            </w:r>
          </w:hyperlink>
        </w:p>
        <w:p w14:paraId="06993512" w14:textId="7116A227" w:rsidR="00833BD0" w:rsidRDefault="00C44D66">
          <w:pPr>
            <w:pStyle w:val="21"/>
            <w:rPr>
              <w:rFonts w:asciiTheme="minorHAnsi" w:eastAsiaTheme="minorEastAsia" w:hAnsiTheme="minorHAnsi" w:cstheme="minorBidi"/>
              <w:noProof/>
              <w:lang w:eastAsia="ru-RU"/>
            </w:rPr>
          </w:pPr>
          <w:hyperlink w:anchor="_Toc24641951" w:history="1">
            <w:r w:rsidR="00833BD0" w:rsidRPr="00EA5146">
              <w:rPr>
                <w:rStyle w:val="affc"/>
                <w:noProof/>
              </w:rPr>
              <w:t>1.5 Классификация</w:t>
            </w:r>
            <w:r w:rsidR="00833BD0">
              <w:rPr>
                <w:noProof/>
                <w:webHidden/>
              </w:rPr>
              <w:tab/>
            </w:r>
            <w:r w:rsidR="00833BD0">
              <w:rPr>
                <w:noProof/>
                <w:webHidden/>
              </w:rPr>
              <w:fldChar w:fldCharType="begin"/>
            </w:r>
            <w:r w:rsidR="00833BD0">
              <w:rPr>
                <w:noProof/>
                <w:webHidden/>
              </w:rPr>
              <w:instrText xml:space="preserve"> PAGEREF _Toc24641951 \h </w:instrText>
            </w:r>
            <w:r w:rsidR="00833BD0">
              <w:rPr>
                <w:noProof/>
                <w:webHidden/>
              </w:rPr>
            </w:r>
            <w:r w:rsidR="00833BD0">
              <w:rPr>
                <w:noProof/>
                <w:webHidden/>
              </w:rPr>
              <w:fldChar w:fldCharType="separate"/>
            </w:r>
            <w:r w:rsidR="00E806E9">
              <w:rPr>
                <w:noProof/>
                <w:webHidden/>
              </w:rPr>
              <w:t>7</w:t>
            </w:r>
            <w:r w:rsidR="00833BD0">
              <w:rPr>
                <w:noProof/>
                <w:webHidden/>
              </w:rPr>
              <w:fldChar w:fldCharType="end"/>
            </w:r>
          </w:hyperlink>
        </w:p>
        <w:p w14:paraId="3E95B866" w14:textId="72B982AF" w:rsidR="00833BD0" w:rsidRDefault="00C44D66">
          <w:pPr>
            <w:pStyle w:val="21"/>
            <w:rPr>
              <w:rFonts w:asciiTheme="minorHAnsi" w:eastAsiaTheme="minorEastAsia" w:hAnsiTheme="minorHAnsi" w:cstheme="minorBidi"/>
              <w:noProof/>
              <w:lang w:eastAsia="ru-RU"/>
            </w:rPr>
          </w:pPr>
          <w:hyperlink w:anchor="_Toc24641952" w:history="1">
            <w:r w:rsidR="00833BD0" w:rsidRPr="00EA5146">
              <w:rPr>
                <w:rStyle w:val="affc"/>
                <w:noProof/>
              </w:rPr>
              <w:t>1.6 Клиническая картина</w:t>
            </w:r>
            <w:r w:rsidR="00833BD0">
              <w:rPr>
                <w:noProof/>
                <w:webHidden/>
              </w:rPr>
              <w:tab/>
            </w:r>
            <w:r w:rsidR="00833BD0">
              <w:rPr>
                <w:noProof/>
                <w:webHidden/>
              </w:rPr>
              <w:fldChar w:fldCharType="begin"/>
            </w:r>
            <w:r w:rsidR="00833BD0">
              <w:rPr>
                <w:noProof/>
                <w:webHidden/>
              </w:rPr>
              <w:instrText xml:space="preserve"> PAGEREF _Toc24641952 \h </w:instrText>
            </w:r>
            <w:r w:rsidR="00833BD0">
              <w:rPr>
                <w:noProof/>
                <w:webHidden/>
              </w:rPr>
            </w:r>
            <w:r w:rsidR="00833BD0">
              <w:rPr>
                <w:noProof/>
                <w:webHidden/>
              </w:rPr>
              <w:fldChar w:fldCharType="separate"/>
            </w:r>
            <w:r w:rsidR="00E806E9">
              <w:rPr>
                <w:noProof/>
                <w:webHidden/>
              </w:rPr>
              <w:t>8</w:t>
            </w:r>
            <w:r w:rsidR="00833BD0">
              <w:rPr>
                <w:noProof/>
                <w:webHidden/>
              </w:rPr>
              <w:fldChar w:fldCharType="end"/>
            </w:r>
          </w:hyperlink>
        </w:p>
        <w:p w14:paraId="10CFF820" w14:textId="14B1A7C4" w:rsidR="00833BD0" w:rsidRDefault="00C44D66">
          <w:pPr>
            <w:pStyle w:val="15"/>
            <w:rPr>
              <w:rFonts w:asciiTheme="minorHAnsi" w:eastAsiaTheme="minorEastAsia" w:hAnsiTheme="minorHAnsi"/>
              <w:noProof/>
              <w:sz w:val="22"/>
              <w:lang w:eastAsia="ru-RU"/>
            </w:rPr>
          </w:pPr>
          <w:hyperlink w:anchor="_Toc24641953" w:history="1">
            <w:r w:rsidR="00833BD0" w:rsidRPr="00EA5146">
              <w:rPr>
                <w:rStyle w:val="affc"/>
                <w:noProof/>
              </w:rPr>
              <w:t>2. Диагностика</w:t>
            </w:r>
            <w:r w:rsidR="00833BD0">
              <w:rPr>
                <w:noProof/>
                <w:webHidden/>
              </w:rPr>
              <w:tab/>
            </w:r>
            <w:r w:rsidR="00833BD0">
              <w:rPr>
                <w:noProof/>
                <w:webHidden/>
              </w:rPr>
              <w:fldChar w:fldCharType="begin"/>
            </w:r>
            <w:r w:rsidR="00833BD0">
              <w:rPr>
                <w:noProof/>
                <w:webHidden/>
              </w:rPr>
              <w:instrText xml:space="preserve"> PAGEREF _Toc24641953 \h </w:instrText>
            </w:r>
            <w:r w:rsidR="00833BD0">
              <w:rPr>
                <w:noProof/>
                <w:webHidden/>
              </w:rPr>
            </w:r>
            <w:r w:rsidR="00833BD0">
              <w:rPr>
                <w:noProof/>
                <w:webHidden/>
              </w:rPr>
              <w:fldChar w:fldCharType="separate"/>
            </w:r>
            <w:r w:rsidR="00E806E9">
              <w:rPr>
                <w:noProof/>
                <w:webHidden/>
              </w:rPr>
              <w:t>9</w:t>
            </w:r>
            <w:r w:rsidR="00833BD0">
              <w:rPr>
                <w:noProof/>
                <w:webHidden/>
              </w:rPr>
              <w:fldChar w:fldCharType="end"/>
            </w:r>
          </w:hyperlink>
        </w:p>
        <w:p w14:paraId="156E99A7" w14:textId="5DD57787" w:rsidR="00833BD0" w:rsidRDefault="00C44D66">
          <w:pPr>
            <w:pStyle w:val="21"/>
            <w:rPr>
              <w:rFonts w:asciiTheme="minorHAnsi" w:eastAsiaTheme="minorEastAsia" w:hAnsiTheme="minorHAnsi" w:cstheme="minorBidi"/>
              <w:noProof/>
              <w:lang w:eastAsia="ru-RU"/>
            </w:rPr>
          </w:pPr>
          <w:hyperlink w:anchor="_Toc24641954" w:history="1">
            <w:r w:rsidR="00833BD0" w:rsidRPr="00EA5146">
              <w:rPr>
                <w:rStyle w:val="affc"/>
                <w:noProof/>
              </w:rPr>
              <w:t>2.1 Жалобы и анамнез</w:t>
            </w:r>
            <w:r w:rsidR="00833BD0">
              <w:rPr>
                <w:noProof/>
                <w:webHidden/>
              </w:rPr>
              <w:tab/>
            </w:r>
            <w:r w:rsidR="00833BD0">
              <w:rPr>
                <w:noProof/>
                <w:webHidden/>
              </w:rPr>
              <w:fldChar w:fldCharType="begin"/>
            </w:r>
            <w:r w:rsidR="00833BD0">
              <w:rPr>
                <w:noProof/>
                <w:webHidden/>
              </w:rPr>
              <w:instrText xml:space="preserve"> PAGEREF _Toc24641954 \h </w:instrText>
            </w:r>
            <w:r w:rsidR="00833BD0">
              <w:rPr>
                <w:noProof/>
                <w:webHidden/>
              </w:rPr>
            </w:r>
            <w:r w:rsidR="00833BD0">
              <w:rPr>
                <w:noProof/>
                <w:webHidden/>
              </w:rPr>
              <w:fldChar w:fldCharType="separate"/>
            </w:r>
            <w:r w:rsidR="00E806E9">
              <w:rPr>
                <w:noProof/>
                <w:webHidden/>
              </w:rPr>
              <w:t>9</w:t>
            </w:r>
            <w:r w:rsidR="00833BD0">
              <w:rPr>
                <w:noProof/>
                <w:webHidden/>
              </w:rPr>
              <w:fldChar w:fldCharType="end"/>
            </w:r>
          </w:hyperlink>
        </w:p>
        <w:p w14:paraId="4F094DB8" w14:textId="461F3C51" w:rsidR="00833BD0" w:rsidRDefault="00C44D66">
          <w:pPr>
            <w:pStyle w:val="21"/>
            <w:rPr>
              <w:rFonts w:asciiTheme="minorHAnsi" w:eastAsiaTheme="minorEastAsia" w:hAnsiTheme="minorHAnsi" w:cstheme="minorBidi"/>
              <w:noProof/>
              <w:lang w:eastAsia="ru-RU"/>
            </w:rPr>
          </w:pPr>
          <w:hyperlink w:anchor="_Toc24641955" w:history="1">
            <w:r w:rsidR="00833BD0" w:rsidRPr="00EA5146">
              <w:rPr>
                <w:rStyle w:val="affc"/>
                <w:noProof/>
              </w:rPr>
              <w:t>2.2 Физикальное обследование</w:t>
            </w:r>
            <w:r w:rsidR="00833BD0">
              <w:rPr>
                <w:noProof/>
                <w:webHidden/>
              </w:rPr>
              <w:tab/>
            </w:r>
            <w:r w:rsidR="00833BD0">
              <w:rPr>
                <w:noProof/>
                <w:webHidden/>
              </w:rPr>
              <w:fldChar w:fldCharType="begin"/>
            </w:r>
            <w:r w:rsidR="00833BD0">
              <w:rPr>
                <w:noProof/>
                <w:webHidden/>
              </w:rPr>
              <w:instrText xml:space="preserve"> PAGEREF _Toc24641955 \h </w:instrText>
            </w:r>
            <w:r w:rsidR="00833BD0">
              <w:rPr>
                <w:noProof/>
                <w:webHidden/>
              </w:rPr>
            </w:r>
            <w:r w:rsidR="00833BD0">
              <w:rPr>
                <w:noProof/>
                <w:webHidden/>
              </w:rPr>
              <w:fldChar w:fldCharType="separate"/>
            </w:r>
            <w:r w:rsidR="00E806E9">
              <w:rPr>
                <w:noProof/>
                <w:webHidden/>
              </w:rPr>
              <w:t>9</w:t>
            </w:r>
            <w:r w:rsidR="00833BD0">
              <w:rPr>
                <w:noProof/>
                <w:webHidden/>
              </w:rPr>
              <w:fldChar w:fldCharType="end"/>
            </w:r>
          </w:hyperlink>
        </w:p>
        <w:p w14:paraId="32F77292" w14:textId="5542E325" w:rsidR="00833BD0" w:rsidRDefault="00C44D66">
          <w:pPr>
            <w:pStyle w:val="21"/>
            <w:rPr>
              <w:rFonts w:asciiTheme="minorHAnsi" w:eastAsiaTheme="minorEastAsia" w:hAnsiTheme="minorHAnsi" w:cstheme="minorBidi"/>
              <w:noProof/>
              <w:lang w:eastAsia="ru-RU"/>
            </w:rPr>
          </w:pPr>
          <w:hyperlink w:anchor="_Toc24641956" w:history="1">
            <w:r w:rsidR="00833BD0" w:rsidRPr="00EA5146">
              <w:rPr>
                <w:rStyle w:val="affc"/>
                <w:noProof/>
              </w:rPr>
              <w:t>2.3 Лабораторные диагностические исследования</w:t>
            </w:r>
            <w:r w:rsidR="00833BD0">
              <w:rPr>
                <w:noProof/>
                <w:webHidden/>
              </w:rPr>
              <w:tab/>
            </w:r>
            <w:r w:rsidR="00833BD0">
              <w:rPr>
                <w:noProof/>
                <w:webHidden/>
              </w:rPr>
              <w:fldChar w:fldCharType="begin"/>
            </w:r>
            <w:r w:rsidR="00833BD0">
              <w:rPr>
                <w:noProof/>
                <w:webHidden/>
              </w:rPr>
              <w:instrText xml:space="preserve"> PAGEREF _Toc24641956 \h </w:instrText>
            </w:r>
            <w:r w:rsidR="00833BD0">
              <w:rPr>
                <w:noProof/>
                <w:webHidden/>
              </w:rPr>
            </w:r>
            <w:r w:rsidR="00833BD0">
              <w:rPr>
                <w:noProof/>
                <w:webHidden/>
              </w:rPr>
              <w:fldChar w:fldCharType="separate"/>
            </w:r>
            <w:r w:rsidR="00E806E9">
              <w:rPr>
                <w:noProof/>
                <w:webHidden/>
              </w:rPr>
              <w:t>9</w:t>
            </w:r>
            <w:r w:rsidR="00833BD0">
              <w:rPr>
                <w:noProof/>
                <w:webHidden/>
              </w:rPr>
              <w:fldChar w:fldCharType="end"/>
            </w:r>
          </w:hyperlink>
        </w:p>
        <w:p w14:paraId="59F32600" w14:textId="25014FBF" w:rsidR="00833BD0" w:rsidRDefault="00C44D66">
          <w:pPr>
            <w:pStyle w:val="21"/>
            <w:rPr>
              <w:rFonts w:asciiTheme="minorHAnsi" w:eastAsiaTheme="minorEastAsia" w:hAnsiTheme="minorHAnsi" w:cstheme="minorBidi"/>
              <w:noProof/>
              <w:lang w:eastAsia="ru-RU"/>
            </w:rPr>
          </w:pPr>
          <w:hyperlink w:anchor="_Toc24641957" w:history="1">
            <w:r w:rsidR="00833BD0" w:rsidRPr="00EA5146">
              <w:rPr>
                <w:rStyle w:val="affc"/>
                <w:noProof/>
              </w:rPr>
              <w:t>2.3.1 Диагностика анемии и внутрисосудистого гемолиза</w:t>
            </w:r>
            <w:r w:rsidR="00833BD0">
              <w:rPr>
                <w:noProof/>
                <w:webHidden/>
              </w:rPr>
              <w:tab/>
            </w:r>
            <w:r w:rsidR="00833BD0">
              <w:rPr>
                <w:noProof/>
                <w:webHidden/>
              </w:rPr>
              <w:fldChar w:fldCharType="begin"/>
            </w:r>
            <w:r w:rsidR="00833BD0">
              <w:rPr>
                <w:noProof/>
                <w:webHidden/>
              </w:rPr>
              <w:instrText xml:space="preserve"> PAGEREF _Toc24641957 \h </w:instrText>
            </w:r>
            <w:r w:rsidR="00833BD0">
              <w:rPr>
                <w:noProof/>
                <w:webHidden/>
              </w:rPr>
            </w:r>
            <w:r w:rsidR="00833BD0">
              <w:rPr>
                <w:noProof/>
                <w:webHidden/>
              </w:rPr>
              <w:fldChar w:fldCharType="separate"/>
            </w:r>
            <w:r w:rsidR="00E806E9">
              <w:rPr>
                <w:noProof/>
                <w:webHidden/>
              </w:rPr>
              <w:t>9</w:t>
            </w:r>
            <w:r w:rsidR="00833BD0">
              <w:rPr>
                <w:noProof/>
                <w:webHidden/>
              </w:rPr>
              <w:fldChar w:fldCharType="end"/>
            </w:r>
          </w:hyperlink>
        </w:p>
        <w:p w14:paraId="6005BB78" w14:textId="752DDF6C" w:rsidR="00833BD0" w:rsidRDefault="00C44D66">
          <w:pPr>
            <w:pStyle w:val="21"/>
            <w:rPr>
              <w:rFonts w:asciiTheme="minorHAnsi" w:eastAsiaTheme="minorEastAsia" w:hAnsiTheme="minorHAnsi" w:cstheme="minorBidi"/>
              <w:noProof/>
              <w:lang w:eastAsia="ru-RU"/>
            </w:rPr>
          </w:pPr>
          <w:hyperlink w:anchor="_Toc24641958" w:history="1">
            <w:r w:rsidR="00833BD0" w:rsidRPr="00EA5146">
              <w:rPr>
                <w:rStyle w:val="affc"/>
                <w:noProof/>
              </w:rPr>
              <w:t>2.3.2 Диагностика ПНГ-клона</w:t>
            </w:r>
            <w:r w:rsidR="00833BD0">
              <w:rPr>
                <w:noProof/>
                <w:webHidden/>
              </w:rPr>
              <w:tab/>
            </w:r>
            <w:r w:rsidR="00833BD0">
              <w:rPr>
                <w:noProof/>
                <w:webHidden/>
              </w:rPr>
              <w:fldChar w:fldCharType="begin"/>
            </w:r>
            <w:r w:rsidR="00833BD0">
              <w:rPr>
                <w:noProof/>
                <w:webHidden/>
              </w:rPr>
              <w:instrText xml:space="preserve"> PAGEREF _Toc24641958 \h </w:instrText>
            </w:r>
            <w:r w:rsidR="00833BD0">
              <w:rPr>
                <w:noProof/>
                <w:webHidden/>
              </w:rPr>
            </w:r>
            <w:r w:rsidR="00833BD0">
              <w:rPr>
                <w:noProof/>
                <w:webHidden/>
              </w:rPr>
              <w:fldChar w:fldCharType="separate"/>
            </w:r>
            <w:r w:rsidR="00E806E9">
              <w:rPr>
                <w:noProof/>
                <w:webHidden/>
              </w:rPr>
              <w:t>10</w:t>
            </w:r>
            <w:r w:rsidR="00833BD0">
              <w:rPr>
                <w:noProof/>
                <w:webHidden/>
              </w:rPr>
              <w:fldChar w:fldCharType="end"/>
            </w:r>
          </w:hyperlink>
        </w:p>
        <w:p w14:paraId="56F5D2E5" w14:textId="27FE44C8" w:rsidR="00833BD0" w:rsidRDefault="00C44D66">
          <w:pPr>
            <w:pStyle w:val="21"/>
            <w:rPr>
              <w:rFonts w:asciiTheme="minorHAnsi" w:eastAsiaTheme="minorEastAsia" w:hAnsiTheme="minorHAnsi" w:cstheme="minorBidi"/>
              <w:noProof/>
              <w:lang w:eastAsia="ru-RU"/>
            </w:rPr>
          </w:pPr>
          <w:hyperlink w:anchor="_Toc24641959" w:history="1">
            <w:r w:rsidR="00833BD0" w:rsidRPr="00EA5146">
              <w:rPr>
                <w:rStyle w:val="affc"/>
                <w:noProof/>
              </w:rPr>
              <w:t>2.4 Инструментальные диагностические исследования</w:t>
            </w:r>
            <w:r w:rsidR="00833BD0">
              <w:rPr>
                <w:noProof/>
                <w:webHidden/>
              </w:rPr>
              <w:tab/>
            </w:r>
            <w:r w:rsidR="00833BD0">
              <w:rPr>
                <w:noProof/>
                <w:webHidden/>
              </w:rPr>
              <w:fldChar w:fldCharType="begin"/>
            </w:r>
            <w:r w:rsidR="00833BD0">
              <w:rPr>
                <w:noProof/>
                <w:webHidden/>
              </w:rPr>
              <w:instrText xml:space="preserve"> PAGEREF _Toc24641959 \h </w:instrText>
            </w:r>
            <w:r w:rsidR="00833BD0">
              <w:rPr>
                <w:noProof/>
                <w:webHidden/>
              </w:rPr>
            </w:r>
            <w:r w:rsidR="00833BD0">
              <w:rPr>
                <w:noProof/>
                <w:webHidden/>
              </w:rPr>
              <w:fldChar w:fldCharType="separate"/>
            </w:r>
            <w:r w:rsidR="00E806E9">
              <w:rPr>
                <w:noProof/>
                <w:webHidden/>
              </w:rPr>
              <w:t>12</w:t>
            </w:r>
            <w:r w:rsidR="00833BD0">
              <w:rPr>
                <w:noProof/>
                <w:webHidden/>
              </w:rPr>
              <w:fldChar w:fldCharType="end"/>
            </w:r>
          </w:hyperlink>
        </w:p>
        <w:p w14:paraId="2FA86F0A" w14:textId="60DCDA88" w:rsidR="00833BD0" w:rsidRDefault="00C44D66">
          <w:pPr>
            <w:pStyle w:val="15"/>
            <w:rPr>
              <w:rFonts w:asciiTheme="minorHAnsi" w:eastAsiaTheme="minorEastAsia" w:hAnsiTheme="minorHAnsi"/>
              <w:noProof/>
              <w:sz w:val="22"/>
              <w:lang w:eastAsia="ru-RU"/>
            </w:rPr>
          </w:pPr>
          <w:hyperlink w:anchor="_Toc24641960" w:history="1">
            <w:r w:rsidR="00833BD0" w:rsidRPr="00EA5146">
              <w:rPr>
                <w:rStyle w:val="affc"/>
                <w:noProof/>
              </w:rPr>
              <w:t>3. Лечение</w:t>
            </w:r>
            <w:r w:rsidR="00833BD0">
              <w:rPr>
                <w:noProof/>
                <w:webHidden/>
              </w:rPr>
              <w:tab/>
            </w:r>
            <w:r w:rsidR="00833BD0">
              <w:rPr>
                <w:noProof/>
                <w:webHidden/>
              </w:rPr>
              <w:fldChar w:fldCharType="begin"/>
            </w:r>
            <w:r w:rsidR="00833BD0">
              <w:rPr>
                <w:noProof/>
                <w:webHidden/>
              </w:rPr>
              <w:instrText xml:space="preserve"> PAGEREF _Toc24641960 \h </w:instrText>
            </w:r>
            <w:r w:rsidR="00833BD0">
              <w:rPr>
                <w:noProof/>
                <w:webHidden/>
              </w:rPr>
            </w:r>
            <w:r w:rsidR="00833BD0">
              <w:rPr>
                <w:noProof/>
                <w:webHidden/>
              </w:rPr>
              <w:fldChar w:fldCharType="separate"/>
            </w:r>
            <w:r w:rsidR="00E806E9">
              <w:rPr>
                <w:noProof/>
                <w:webHidden/>
              </w:rPr>
              <w:t>13</w:t>
            </w:r>
            <w:r w:rsidR="00833BD0">
              <w:rPr>
                <w:noProof/>
                <w:webHidden/>
              </w:rPr>
              <w:fldChar w:fldCharType="end"/>
            </w:r>
          </w:hyperlink>
        </w:p>
        <w:p w14:paraId="6BB88FEC" w14:textId="11F0C60F" w:rsidR="00833BD0" w:rsidRDefault="00C44D66">
          <w:pPr>
            <w:pStyle w:val="21"/>
            <w:rPr>
              <w:rFonts w:asciiTheme="minorHAnsi" w:eastAsiaTheme="minorEastAsia" w:hAnsiTheme="minorHAnsi" w:cstheme="minorBidi"/>
              <w:noProof/>
              <w:lang w:eastAsia="ru-RU"/>
            </w:rPr>
          </w:pPr>
          <w:hyperlink w:anchor="_Toc24641961" w:history="1">
            <w:r w:rsidR="00833BD0" w:rsidRPr="00EA5146">
              <w:rPr>
                <w:rStyle w:val="affc"/>
                <w:rFonts w:eastAsia="Times New Roman"/>
                <w:noProof/>
              </w:rPr>
              <w:t>3.1 Патогенетическая терапия</w:t>
            </w:r>
            <w:r w:rsidR="00833BD0">
              <w:rPr>
                <w:noProof/>
                <w:webHidden/>
              </w:rPr>
              <w:tab/>
            </w:r>
            <w:r w:rsidR="00833BD0">
              <w:rPr>
                <w:noProof/>
                <w:webHidden/>
              </w:rPr>
              <w:fldChar w:fldCharType="begin"/>
            </w:r>
            <w:r w:rsidR="00833BD0">
              <w:rPr>
                <w:noProof/>
                <w:webHidden/>
              </w:rPr>
              <w:instrText xml:space="preserve"> PAGEREF _Toc24641961 \h </w:instrText>
            </w:r>
            <w:r w:rsidR="00833BD0">
              <w:rPr>
                <w:noProof/>
                <w:webHidden/>
              </w:rPr>
            </w:r>
            <w:r w:rsidR="00833BD0">
              <w:rPr>
                <w:noProof/>
                <w:webHidden/>
              </w:rPr>
              <w:fldChar w:fldCharType="separate"/>
            </w:r>
            <w:r w:rsidR="00E806E9">
              <w:rPr>
                <w:noProof/>
                <w:webHidden/>
              </w:rPr>
              <w:t>13</w:t>
            </w:r>
            <w:r w:rsidR="00833BD0">
              <w:rPr>
                <w:noProof/>
                <w:webHidden/>
              </w:rPr>
              <w:fldChar w:fldCharType="end"/>
            </w:r>
          </w:hyperlink>
        </w:p>
        <w:p w14:paraId="227640E7" w14:textId="31907983" w:rsidR="00833BD0" w:rsidRDefault="00C44D66">
          <w:pPr>
            <w:pStyle w:val="21"/>
            <w:rPr>
              <w:rFonts w:asciiTheme="minorHAnsi" w:eastAsiaTheme="minorEastAsia" w:hAnsiTheme="minorHAnsi" w:cstheme="minorBidi"/>
              <w:noProof/>
              <w:lang w:eastAsia="ru-RU"/>
            </w:rPr>
          </w:pPr>
          <w:hyperlink w:anchor="_Toc24641962" w:history="1">
            <w:r w:rsidR="00833BD0" w:rsidRPr="00EA5146">
              <w:rPr>
                <w:rStyle w:val="affc"/>
                <w:rFonts w:eastAsia="Times New Roman"/>
                <w:noProof/>
              </w:rPr>
              <w:t>3.</w:t>
            </w:r>
            <w:r w:rsidR="00833BD0" w:rsidRPr="00EA5146">
              <w:rPr>
                <w:rStyle w:val="affc"/>
                <w:noProof/>
              </w:rPr>
              <w:t xml:space="preserve"> </w:t>
            </w:r>
            <w:r w:rsidR="00833BD0" w:rsidRPr="00EA5146">
              <w:rPr>
                <w:rStyle w:val="affc"/>
                <w:rFonts w:eastAsia="Times New Roman"/>
                <w:noProof/>
              </w:rPr>
              <w:t>2 Трансплантация костного мозга</w:t>
            </w:r>
            <w:r w:rsidR="00833BD0">
              <w:rPr>
                <w:noProof/>
                <w:webHidden/>
              </w:rPr>
              <w:tab/>
            </w:r>
            <w:r w:rsidR="00833BD0">
              <w:rPr>
                <w:noProof/>
                <w:webHidden/>
              </w:rPr>
              <w:fldChar w:fldCharType="begin"/>
            </w:r>
            <w:r w:rsidR="00833BD0">
              <w:rPr>
                <w:noProof/>
                <w:webHidden/>
              </w:rPr>
              <w:instrText xml:space="preserve"> PAGEREF _Toc24641962 \h </w:instrText>
            </w:r>
            <w:r w:rsidR="00833BD0">
              <w:rPr>
                <w:noProof/>
                <w:webHidden/>
              </w:rPr>
            </w:r>
            <w:r w:rsidR="00833BD0">
              <w:rPr>
                <w:noProof/>
                <w:webHidden/>
              </w:rPr>
              <w:fldChar w:fldCharType="separate"/>
            </w:r>
            <w:r w:rsidR="00E806E9">
              <w:rPr>
                <w:noProof/>
                <w:webHidden/>
              </w:rPr>
              <w:t>14</w:t>
            </w:r>
            <w:r w:rsidR="00833BD0">
              <w:rPr>
                <w:noProof/>
                <w:webHidden/>
              </w:rPr>
              <w:fldChar w:fldCharType="end"/>
            </w:r>
          </w:hyperlink>
        </w:p>
        <w:p w14:paraId="2DA4B49D" w14:textId="50C51BEB" w:rsidR="00833BD0" w:rsidRDefault="00C44D66">
          <w:pPr>
            <w:pStyle w:val="21"/>
            <w:rPr>
              <w:rFonts w:asciiTheme="minorHAnsi" w:eastAsiaTheme="minorEastAsia" w:hAnsiTheme="minorHAnsi" w:cstheme="minorBidi"/>
              <w:noProof/>
              <w:lang w:eastAsia="ru-RU"/>
            </w:rPr>
          </w:pPr>
          <w:hyperlink w:anchor="_Toc24641963" w:history="1">
            <w:r w:rsidR="00833BD0" w:rsidRPr="00EA5146">
              <w:rPr>
                <w:rStyle w:val="affc"/>
                <w:noProof/>
              </w:rPr>
              <w:t>3.3 Сопроводительная терапия</w:t>
            </w:r>
            <w:r w:rsidR="00833BD0">
              <w:rPr>
                <w:noProof/>
                <w:webHidden/>
              </w:rPr>
              <w:tab/>
            </w:r>
            <w:r w:rsidR="00833BD0">
              <w:rPr>
                <w:noProof/>
                <w:webHidden/>
              </w:rPr>
              <w:fldChar w:fldCharType="begin"/>
            </w:r>
            <w:r w:rsidR="00833BD0">
              <w:rPr>
                <w:noProof/>
                <w:webHidden/>
              </w:rPr>
              <w:instrText xml:space="preserve"> PAGEREF _Toc24641963 \h </w:instrText>
            </w:r>
            <w:r w:rsidR="00833BD0">
              <w:rPr>
                <w:noProof/>
                <w:webHidden/>
              </w:rPr>
            </w:r>
            <w:r w:rsidR="00833BD0">
              <w:rPr>
                <w:noProof/>
                <w:webHidden/>
              </w:rPr>
              <w:fldChar w:fldCharType="separate"/>
            </w:r>
            <w:r w:rsidR="00E806E9">
              <w:rPr>
                <w:noProof/>
                <w:webHidden/>
              </w:rPr>
              <w:t>15</w:t>
            </w:r>
            <w:r w:rsidR="00833BD0">
              <w:rPr>
                <w:noProof/>
                <w:webHidden/>
              </w:rPr>
              <w:fldChar w:fldCharType="end"/>
            </w:r>
          </w:hyperlink>
        </w:p>
        <w:p w14:paraId="22B1A495" w14:textId="3CCB0DAB" w:rsidR="00833BD0" w:rsidRDefault="00C44D66">
          <w:pPr>
            <w:pStyle w:val="15"/>
            <w:rPr>
              <w:rFonts w:asciiTheme="minorHAnsi" w:eastAsiaTheme="minorEastAsia" w:hAnsiTheme="minorHAnsi"/>
              <w:noProof/>
              <w:sz w:val="22"/>
              <w:lang w:eastAsia="ru-RU"/>
            </w:rPr>
          </w:pPr>
          <w:hyperlink w:anchor="_Toc24641964" w:history="1">
            <w:r w:rsidR="00833BD0" w:rsidRPr="00EA5146">
              <w:rPr>
                <w:rStyle w:val="affc"/>
                <w:noProof/>
              </w:rPr>
              <w:t>4. Медицинская реабилитация</w:t>
            </w:r>
            <w:r w:rsidR="00833BD0">
              <w:rPr>
                <w:noProof/>
                <w:webHidden/>
              </w:rPr>
              <w:tab/>
            </w:r>
            <w:r w:rsidR="00833BD0">
              <w:rPr>
                <w:noProof/>
                <w:webHidden/>
              </w:rPr>
              <w:fldChar w:fldCharType="begin"/>
            </w:r>
            <w:r w:rsidR="00833BD0">
              <w:rPr>
                <w:noProof/>
                <w:webHidden/>
              </w:rPr>
              <w:instrText xml:space="preserve"> PAGEREF _Toc24641964 \h </w:instrText>
            </w:r>
            <w:r w:rsidR="00833BD0">
              <w:rPr>
                <w:noProof/>
                <w:webHidden/>
              </w:rPr>
            </w:r>
            <w:r w:rsidR="00833BD0">
              <w:rPr>
                <w:noProof/>
                <w:webHidden/>
              </w:rPr>
              <w:fldChar w:fldCharType="separate"/>
            </w:r>
            <w:r w:rsidR="00E806E9">
              <w:rPr>
                <w:noProof/>
                <w:webHidden/>
              </w:rPr>
              <w:t>17</w:t>
            </w:r>
            <w:r w:rsidR="00833BD0">
              <w:rPr>
                <w:noProof/>
                <w:webHidden/>
              </w:rPr>
              <w:fldChar w:fldCharType="end"/>
            </w:r>
          </w:hyperlink>
        </w:p>
        <w:p w14:paraId="1403AECA" w14:textId="56B342EF" w:rsidR="00833BD0" w:rsidRDefault="00C44D66">
          <w:pPr>
            <w:pStyle w:val="15"/>
            <w:rPr>
              <w:rFonts w:asciiTheme="minorHAnsi" w:eastAsiaTheme="minorEastAsia" w:hAnsiTheme="minorHAnsi"/>
              <w:noProof/>
              <w:sz w:val="22"/>
              <w:lang w:eastAsia="ru-RU"/>
            </w:rPr>
          </w:pPr>
          <w:hyperlink w:anchor="_Toc24641965" w:history="1">
            <w:r w:rsidR="00833BD0" w:rsidRPr="00EA5146">
              <w:rPr>
                <w:rStyle w:val="affc"/>
                <w:noProof/>
              </w:rPr>
              <w:t>5. Профилактика и диспансерное наблюдение</w:t>
            </w:r>
            <w:r w:rsidR="00833BD0">
              <w:rPr>
                <w:noProof/>
                <w:webHidden/>
              </w:rPr>
              <w:tab/>
            </w:r>
            <w:r w:rsidR="00833BD0">
              <w:rPr>
                <w:noProof/>
                <w:webHidden/>
              </w:rPr>
              <w:fldChar w:fldCharType="begin"/>
            </w:r>
            <w:r w:rsidR="00833BD0">
              <w:rPr>
                <w:noProof/>
                <w:webHidden/>
              </w:rPr>
              <w:instrText xml:space="preserve"> PAGEREF _Toc24641965 \h </w:instrText>
            </w:r>
            <w:r w:rsidR="00833BD0">
              <w:rPr>
                <w:noProof/>
                <w:webHidden/>
              </w:rPr>
            </w:r>
            <w:r w:rsidR="00833BD0">
              <w:rPr>
                <w:noProof/>
                <w:webHidden/>
              </w:rPr>
              <w:fldChar w:fldCharType="separate"/>
            </w:r>
            <w:r w:rsidR="00E806E9">
              <w:rPr>
                <w:noProof/>
                <w:webHidden/>
              </w:rPr>
              <w:t>17</w:t>
            </w:r>
            <w:r w:rsidR="00833BD0">
              <w:rPr>
                <w:noProof/>
                <w:webHidden/>
              </w:rPr>
              <w:fldChar w:fldCharType="end"/>
            </w:r>
          </w:hyperlink>
        </w:p>
        <w:p w14:paraId="6C5539DF" w14:textId="4F43DBD6" w:rsidR="00833BD0" w:rsidRDefault="00C44D66">
          <w:pPr>
            <w:pStyle w:val="15"/>
            <w:rPr>
              <w:rFonts w:asciiTheme="minorHAnsi" w:eastAsiaTheme="minorEastAsia" w:hAnsiTheme="minorHAnsi"/>
              <w:noProof/>
              <w:sz w:val="22"/>
              <w:lang w:eastAsia="ru-RU"/>
            </w:rPr>
          </w:pPr>
          <w:hyperlink w:anchor="_Toc24641966" w:history="1">
            <w:r w:rsidR="00833BD0" w:rsidRPr="00EA5146">
              <w:rPr>
                <w:rStyle w:val="affc"/>
                <w:noProof/>
              </w:rPr>
              <w:t>6. Организация медицинской помощи</w:t>
            </w:r>
            <w:r w:rsidR="00833BD0">
              <w:rPr>
                <w:noProof/>
                <w:webHidden/>
              </w:rPr>
              <w:tab/>
            </w:r>
            <w:r w:rsidR="00833BD0">
              <w:rPr>
                <w:noProof/>
                <w:webHidden/>
              </w:rPr>
              <w:fldChar w:fldCharType="begin"/>
            </w:r>
            <w:r w:rsidR="00833BD0">
              <w:rPr>
                <w:noProof/>
                <w:webHidden/>
              </w:rPr>
              <w:instrText xml:space="preserve"> PAGEREF _Toc24641966 \h </w:instrText>
            </w:r>
            <w:r w:rsidR="00833BD0">
              <w:rPr>
                <w:noProof/>
                <w:webHidden/>
              </w:rPr>
            </w:r>
            <w:r w:rsidR="00833BD0">
              <w:rPr>
                <w:noProof/>
                <w:webHidden/>
              </w:rPr>
              <w:fldChar w:fldCharType="separate"/>
            </w:r>
            <w:r w:rsidR="00E806E9">
              <w:rPr>
                <w:noProof/>
                <w:webHidden/>
              </w:rPr>
              <w:t>18</w:t>
            </w:r>
            <w:r w:rsidR="00833BD0">
              <w:rPr>
                <w:noProof/>
                <w:webHidden/>
              </w:rPr>
              <w:fldChar w:fldCharType="end"/>
            </w:r>
          </w:hyperlink>
        </w:p>
        <w:p w14:paraId="1C9A0C96" w14:textId="589C4162" w:rsidR="00833BD0" w:rsidRDefault="00C44D66">
          <w:pPr>
            <w:pStyle w:val="15"/>
            <w:rPr>
              <w:rFonts w:asciiTheme="minorHAnsi" w:eastAsiaTheme="minorEastAsia" w:hAnsiTheme="minorHAnsi"/>
              <w:noProof/>
              <w:sz w:val="22"/>
              <w:lang w:eastAsia="ru-RU"/>
            </w:rPr>
          </w:pPr>
          <w:hyperlink w:anchor="_Toc24641967" w:history="1">
            <w:r w:rsidR="00833BD0" w:rsidRPr="00EA5146">
              <w:rPr>
                <w:rStyle w:val="affc"/>
                <w:noProof/>
              </w:rPr>
              <w:t>Критерии оценки качества медицинской помощи</w:t>
            </w:r>
            <w:r w:rsidR="00833BD0">
              <w:rPr>
                <w:noProof/>
                <w:webHidden/>
              </w:rPr>
              <w:tab/>
            </w:r>
            <w:r w:rsidR="00833BD0">
              <w:rPr>
                <w:noProof/>
                <w:webHidden/>
              </w:rPr>
              <w:fldChar w:fldCharType="begin"/>
            </w:r>
            <w:r w:rsidR="00833BD0">
              <w:rPr>
                <w:noProof/>
                <w:webHidden/>
              </w:rPr>
              <w:instrText xml:space="preserve"> PAGEREF _Toc24641967 \h </w:instrText>
            </w:r>
            <w:r w:rsidR="00833BD0">
              <w:rPr>
                <w:noProof/>
                <w:webHidden/>
              </w:rPr>
            </w:r>
            <w:r w:rsidR="00833BD0">
              <w:rPr>
                <w:noProof/>
                <w:webHidden/>
              </w:rPr>
              <w:fldChar w:fldCharType="separate"/>
            </w:r>
            <w:r w:rsidR="00E806E9">
              <w:rPr>
                <w:noProof/>
                <w:webHidden/>
              </w:rPr>
              <w:t>19</w:t>
            </w:r>
            <w:r w:rsidR="00833BD0">
              <w:rPr>
                <w:noProof/>
                <w:webHidden/>
              </w:rPr>
              <w:fldChar w:fldCharType="end"/>
            </w:r>
          </w:hyperlink>
        </w:p>
        <w:p w14:paraId="5CE1919C" w14:textId="5468092B" w:rsidR="00833BD0" w:rsidRDefault="00C44D66">
          <w:pPr>
            <w:pStyle w:val="15"/>
            <w:rPr>
              <w:rFonts w:asciiTheme="minorHAnsi" w:eastAsiaTheme="minorEastAsia" w:hAnsiTheme="minorHAnsi"/>
              <w:noProof/>
              <w:sz w:val="22"/>
              <w:lang w:eastAsia="ru-RU"/>
            </w:rPr>
          </w:pPr>
          <w:hyperlink w:anchor="_Toc24641968" w:history="1">
            <w:r w:rsidR="00833BD0" w:rsidRPr="00EA5146">
              <w:rPr>
                <w:rStyle w:val="affc"/>
                <w:noProof/>
              </w:rPr>
              <w:t>Список литературы</w:t>
            </w:r>
            <w:r w:rsidR="00833BD0">
              <w:rPr>
                <w:noProof/>
                <w:webHidden/>
              </w:rPr>
              <w:tab/>
            </w:r>
            <w:r w:rsidR="00833BD0">
              <w:rPr>
                <w:noProof/>
                <w:webHidden/>
              </w:rPr>
              <w:fldChar w:fldCharType="begin"/>
            </w:r>
            <w:r w:rsidR="00833BD0">
              <w:rPr>
                <w:noProof/>
                <w:webHidden/>
              </w:rPr>
              <w:instrText xml:space="preserve"> PAGEREF _Toc24641968 \h </w:instrText>
            </w:r>
            <w:r w:rsidR="00833BD0">
              <w:rPr>
                <w:noProof/>
                <w:webHidden/>
              </w:rPr>
            </w:r>
            <w:r w:rsidR="00833BD0">
              <w:rPr>
                <w:noProof/>
                <w:webHidden/>
              </w:rPr>
              <w:fldChar w:fldCharType="separate"/>
            </w:r>
            <w:r w:rsidR="00E806E9">
              <w:rPr>
                <w:noProof/>
                <w:webHidden/>
              </w:rPr>
              <w:t>19</w:t>
            </w:r>
            <w:r w:rsidR="00833BD0">
              <w:rPr>
                <w:noProof/>
                <w:webHidden/>
              </w:rPr>
              <w:fldChar w:fldCharType="end"/>
            </w:r>
          </w:hyperlink>
        </w:p>
        <w:p w14:paraId="549BF393" w14:textId="1E3FE69F" w:rsidR="00833BD0" w:rsidRDefault="00C44D66">
          <w:pPr>
            <w:pStyle w:val="15"/>
            <w:rPr>
              <w:rFonts w:asciiTheme="minorHAnsi" w:eastAsiaTheme="minorEastAsia" w:hAnsiTheme="minorHAnsi"/>
              <w:noProof/>
              <w:sz w:val="22"/>
              <w:lang w:eastAsia="ru-RU"/>
            </w:rPr>
          </w:pPr>
          <w:hyperlink w:anchor="_Toc24641969" w:history="1">
            <w:r w:rsidR="00833BD0" w:rsidRPr="00EA5146">
              <w:rPr>
                <w:rStyle w:val="affc"/>
                <w:noProof/>
              </w:rPr>
              <w:t>Приложение А1. Состав рабочей группы по разработке и пересмотру клинических рекомендаций</w:t>
            </w:r>
            <w:r w:rsidR="00833BD0">
              <w:rPr>
                <w:noProof/>
                <w:webHidden/>
              </w:rPr>
              <w:tab/>
            </w:r>
            <w:r w:rsidR="00833BD0">
              <w:rPr>
                <w:noProof/>
                <w:webHidden/>
              </w:rPr>
              <w:fldChar w:fldCharType="begin"/>
            </w:r>
            <w:r w:rsidR="00833BD0">
              <w:rPr>
                <w:noProof/>
                <w:webHidden/>
              </w:rPr>
              <w:instrText xml:space="preserve"> PAGEREF _Toc24641969 \h </w:instrText>
            </w:r>
            <w:r w:rsidR="00833BD0">
              <w:rPr>
                <w:noProof/>
                <w:webHidden/>
              </w:rPr>
            </w:r>
            <w:r w:rsidR="00833BD0">
              <w:rPr>
                <w:noProof/>
                <w:webHidden/>
              </w:rPr>
              <w:fldChar w:fldCharType="separate"/>
            </w:r>
            <w:r w:rsidR="00E806E9">
              <w:rPr>
                <w:noProof/>
                <w:webHidden/>
              </w:rPr>
              <w:t>25</w:t>
            </w:r>
            <w:r w:rsidR="00833BD0">
              <w:rPr>
                <w:noProof/>
                <w:webHidden/>
              </w:rPr>
              <w:fldChar w:fldCharType="end"/>
            </w:r>
          </w:hyperlink>
        </w:p>
        <w:p w14:paraId="7DDC2970" w14:textId="2B733135" w:rsidR="00833BD0" w:rsidRDefault="00C44D66">
          <w:pPr>
            <w:pStyle w:val="15"/>
            <w:rPr>
              <w:rFonts w:asciiTheme="minorHAnsi" w:eastAsiaTheme="minorEastAsia" w:hAnsiTheme="minorHAnsi"/>
              <w:noProof/>
              <w:sz w:val="22"/>
              <w:lang w:eastAsia="ru-RU"/>
            </w:rPr>
          </w:pPr>
          <w:hyperlink w:anchor="_Toc24641970" w:history="1">
            <w:r w:rsidR="00833BD0" w:rsidRPr="00EA5146">
              <w:rPr>
                <w:rStyle w:val="affc"/>
                <w:noProof/>
              </w:rPr>
              <w:t>Приложение А2. Методология разработки клинических рекомендаций</w:t>
            </w:r>
            <w:r w:rsidR="00833BD0">
              <w:rPr>
                <w:noProof/>
                <w:webHidden/>
              </w:rPr>
              <w:tab/>
            </w:r>
            <w:r w:rsidR="00833BD0">
              <w:rPr>
                <w:noProof/>
                <w:webHidden/>
              </w:rPr>
              <w:fldChar w:fldCharType="begin"/>
            </w:r>
            <w:r w:rsidR="00833BD0">
              <w:rPr>
                <w:noProof/>
                <w:webHidden/>
              </w:rPr>
              <w:instrText xml:space="preserve"> PAGEREF _Toc24641970 \h </w:instrText>
            </w:r>
            <w:r w:rsidR="00833BD0">
              <w:rPr>
                <w:noProof/>
                <w:webHidden/>
              </w:rPr>
            </w:r>
            <w:r w:rsidR="00833BD0">
              <w:rPr>
                <w:noProof/>
                <w:webHidden/>
              </w:rPr>
              <w:fldChar w:fldCharType="separate"/>
            </w:r>
            <w:r w:rsidR="00E806E9">
              <w:rPr>
                <w:noProof/>
                <w:webHidden/>
              </w:rPr>
              <w:t>27</w:t>
            </w:r>
            <w:r w:rsidR="00833BD0">
              <w:rPr>
                <w:noProof/>
                <w:webHidden/>
              </w:rPr>
              <w:fldChar w:fldCharType="end"/>
            </w:r>
          </w:hyperlink>
        </w:p>
        <w:p w14:paraId="022EA221" w14:textId="1CD51AEE" w:rsidR="00833BD0" w:rsidRDefault="00C44D66">
          <w:pPr>
            <w:pStyle w:val="15"/>
            <w:rPr>
              <w:rFonts w:asciiTheme="minorHAnsi" w:eastAsiaTheme="minorEastAsia" w:hAnsiTheme="minorHAnsi"/>
              <w:noProof/>
              <w:sz w:val="22"/>
              <w:lang w:eastAsia="ru-RU"/>
            </w:rPr>
          </w:pPr>
          <w:hyperlink w:anchor="_Toc24641971" w:history="1">
            <w:r w:rsidR="00833BD0" w:rsidRPr="00EA5146">
              <w:rPr>
                <w:rStyle w:val="affc"/>
                <w:noProof/>
              </w:rPr>
              <w:t>Приложение А3. Краткая инструкция по применению экулизумаба.</w:t>
            </w:r>
            <w:r w:rsidR="00833BD0">
              <w:rPr>
                <w:noProof/>
                <w:webHidden/>
              </w:rPr>
              <w:tab/>
            </w:r>
            <w:r w:rsidR="00833BD0">
              <w:rPr>
                <w:noProof/>
                <w:webHidden/>
              </w:rPr>
              <w:fldChar w:fldCharType="begin"/>
            </w:r>
            <w:r w:rsidR="00833BD0">
              <w:rPr>
                <w:noProof/>
                <w:webHidden/>
              </w:rPr>
              <w:instrText xml:space="preserve"> PAGEREF _Toc24641971 \h </w:instrText>
            </w:r>
            <w:r w:rsidR="00833BD0">
              <w:rPr>
                <w:noProof/>
                <w:webHidden/>
              </w:rPr>
            </w:r>
            <w:r w:rsidR="00833BD0">
              <w:rPr>
                <w:noProof/>
                <w:webHidden/>
              </w:rPr>
              <w:fldChar w:fldCharType="separate"/>
            </w:r>
            <w:r w:rsidR="00E806E9">
              <w:rPr>
                <w:noProof/>
                <w:webHidden/>
              </w:rPr>
              <w:t>30</w:t>
            </w:r>
            <w:r w:rsidR="00833BD0">
              <w:rPr>
                <w:noProof/>
                <w:webHidden/>
              </w:rPr>
              <w:fldChar w:fldCharType="end"/>
            </w:r>
          </w:hyperlink>
        </w:p>
        <w:p w14:paraId="6AC47160" w14:textId="3D8AB240" w:rsidR="00833BD0" w:rsidRDefault="00C44D66">
          <w:pPr>
            <w:pStyle w:val="15"/>
            <w:rPr>
              <w:rFonts w:asciiTheme="minorHAnsi" w:eastAsiaTheme="minorEastAsia" w:hAnsiTheme="minorHAnsi"/>
              <w:noProof/>
              <w:sz w:val="22"/>
              <w:lang w:eastAsia="ru-RU"/>
            </w:rPr>
          </w:pPr>
          <w:hyperlink w:anchor="_Toc24641980" w:history="1">
            <w:r w:rsidR="00833BD0" w:rsidRPr="00EA5146">
              <w:rPr>
                <w:rStyle w:val="affc"/>
                <w:noProof/>
              </w:rPr>
              <w:t>Приложение Б. Алгоритмы действий врача</w:t>
            </w:r>
            <w:r w:rsidR="00833BD0">
              <w:rPr>
                <w:noProof/>
                <w:webHidden/>
              </w:rPr>
              <w:tab/>
            </w:r>
            <w:r w:rsidR="00833BD0">
              <w:rPr>
                <w:noProof/>
                <w:webHidden/>
              </w:rPr>
              <w:fldChar w:fldCharType="begin"/>
            </w:r>
            <w:r w:rsidR="00833BD0">
              <w:rPr>
                <w:noProof/>
                <w:webHidden/>
              </w:rPr>
              <w:instrText xml:space="preserve"> PAGEREF _Toc24641980 \h </w:instrText>
            </w:r>
            <w:r w:rsidR="00833BD0">
              <w:rPr>
                <w:noProof/>
                <w:webHidden/>
              </w:rPr>
            </w:r>
            <w:r w:rsidR="00833BD0">
              <w:rPr>
                <w:noProof/>
                <w:webHidden/>
              </w:rPr>
              <w:fldChar w:fldCharType="separate"/>
            </w:r>
            <w:r w:rsidR="00E806E9">
              <w:rPr>
                <w:noProof/>
                <w:webHidden/>
              </w:rPr>
              <w:t>32</w:t>
            </w:r>
            <w:r w:rsidR="00833BD0">
              <w:rPr>
                <w:noProof/>
                <w:webHidden/>
              </w:rPr>
              <w:fldChar w:fldCharType="end"/>
            </w:r>
          </w:hyperlink>
        </w:p>
        <w:p w14:paraId="0D3E6BBC" w14:textId="482A097D" w:rsidR="00833BD0" w:rsidRDefault="00C44D66">
          <w:pPr>
            <w:pStyle w:val="15"/>
            <w:rPr>
              <w:rFonts w:asciiTheme="minorHAnsi" w:eastAsiaTheme="minorEastAsia" w:hAnsiTheme="minorHAnsi"/>
              <w:noProof/>
              <w:sz w:val="22"/>
              <w:lang w:eastAsia="ru-RU"/>
            </w:rPr>
          </w:pPr>
          <w:hyperlink w:anchor="_Toc24641981" w:history="1">
            <w:r w:rsidR="00833BD0" w:rsidRPr="00EA5146">
              <w:rPr>
                <w:rStyle w:val="affc"/>
                <w:noProof/>
              </w:rPr>
              <w:t>Приложение В. Информация для пациента</w:t>
            </w:r>
            <w:r w:rsidR="00833BD0">
              <w:rPr>
                <w:noProof/>
                <w:webHidden/>
              </w:rPr>
              <w:tab/>
            </w:r>
            <w:r w:rsidR="00833BD0">
              <w:rPr>
                <w:noProof/>
                <w:webHidden/>
              </w:rPr>
              <w:fldChar w:fldCharType="begin"/>
            </w:r>
            <w:r w:rsidR="00833BD0">
              <w:rPr>
                <w:noProof/>
                <w:webHidden/>
              </w:rPr>
              <w:instrText xml:space="preserve"> PAGEREF _Toc24641981 \h </w:instrText>
            </w:r>
            <w:r w:rsidR="00833BD0">
              <w:rPr>
                <w:noProof/>
                <w:webHidden/>
              </w:rPr>
            </w:r>
            <w:r w:rsidR="00833BD0">
              <w:rPr>
                <w:noProof/>
                <w:webHidden/>
              </w:rPr>
              <w:fldChar w:fldCharType="separate"/>
            </w:r>
            <w:r w:rsidR="00E806E9">
              <w:rPr>
                <w:noProof/>
                <w:webHidden/>
              </w:rPr>
              <w:t>32</w:t>
            </w:r>
            <w:r w:rsidR="00833BD0">
              <w:rPr>
                <w:noProof/>
                <w:webHidden/>
              </w:rPr>
              <w:fldChar w:fldCharType="end"/>
            </w:r>
          </w:hyperlink>
        </w:p>
        <w:p w14:paraId="250B25BB" w14:textId="45896F73" w:rsidR="00172112" w:rsidRDefault="00172112" w:rsidP="00A86E5F">
          <w:r w:rsidRPr="00877EF5">
            <w:rPr>
              <w:rFonts w:cs="Times New Roman"/>
              <w:b/>
              <w:bCs/>
              <w:szCs w:val="24"/>
            </w:rPr>
            <w:fldChar w:fldCharType="end"/>
          </w:r>
        </w:p>
      </w:sdtContent>
    </w:sdt>
    <w:p w14:paraId="37B34A68" w14:textId="77777777" w:rsidR="00172112" w:rsidRDefault="00172112" w:rsidP="00172112"/>
    <w:p w14:paraId="743A4F98" w14:textId="77777777" w:rsidR="00172112" w:rsidRDefault="00172112" w:rsidP="00F756F0">
      <w:pPr>
        <w:pStyle w:val="aff9"/>
        <w:rPr>
          <w:sz w:val="28"/>
        </w:rPr>
      </w:pPr>
      <w:r>
        <w:br w:type="page"/>
      </w:r>
    </w:p>
    <w:p w14:paraId="7C0C75EC" w14:textId="1D3CA524" w:rsidR="000414F6" w:rsidRDefault="00CB71DA" w:rsidP="00C4630C">
      <w:pPr>
        <w:pStyle w:val="afff1"/>
      </w:pPr>
      <w:bookmarkStart w:id="3" w:name="__RefHeading___doc_abbreviation"/>
      <w:bookmarkStart w:id="4" w:name="_Toc24641944"/>
      <w:r>
        <w:lastRenderedPageBreak/>
        <w:t>Список сокращений</w:t>
      </w:r>
      <w:bookmarkEnd w:id="3"/>
      <w:bookmarkEnd w:id="4"/>
    </w:p>
    <w:p w14:paraId="217A7D4F" w14:textId="3C301D1D" w:rsidR="00275A41" w:rsidRDefault="00634486" w:rsidP="0021676E">
      <w:pPr>
        <w:pStyle w:val="afff"/>
        <w:divId w:val="1653948401"/>
      </w:pPr>
      <w:r>
        <w:t>ПНГ</w:t>
      </w:r>
      <w:r w:rsidR="00CB71DA">
        <w:t xml:space="preserve"> </w:t>
      </w:r>
      <w:r>
        <w:t>–</w:t>
      </w:r>
      <w:r w:rsidR="00CB71DA">
        <w:t xml:space="preserve"> </w:t>
      </w:r>
      <w:r>
        <w:rPr>
          <w:rStyle w:val="af4"/>
        </w:rPr>
        <w:t>пароксизмальная ночная гемоглобинурия</w:t>
      </w:r>
    </w:p>
    <w:p w14:paraId="7325F4D2" w14:textId="351990AA" w:rsidR="00B46390" w:rsidRDefault="00634486" w:rsidP="0021676E">
      <w:pPr>
        <w:pStyle w:val="afff"/>
        <w:divId w:val="1653948401"/>
      </w:pPr>
      <w:r>
        <w:t xml:space="preserve">АА – </w:t>
      </w:r>
      <w:proofErr w:type="spellStart"/>
      <w:r>
        <w:t>апластическая</w:t>
      </w:r>
      <w:proofErr w:type="spellEnd"/>
      <w:r>
        <w:t xml:space="preserve"> анемия</w:t>
      </w:r>
    </w:p>
    <w:p w14:paraId="30CF961C" w14:textId="64320371" w:rsidR="00634486" w:rsidRDefault="00634486" w:rsidP="0021676E">
      <w:pPr>
        <w:pStyle w:val="afff"/>
        <w:divId w:val="1653948401"/>
      </w:pPr>
      <w:r>
        <w:t xml:space="preserve">МДС – </w:t>
      </w:r>
      <w:proofErr w:type="spellStart"/>
      <w:r>
        <w:t>миелодиспластический</w:t>
      </w:r>
      <w:proofErr w:type="spellEnd"/>
      <w:r>
        <w:t xml:space="preserve"> синдром</w:t>
      </w:r>
    </w:p>
    <w:p w14:paraId="6DBAE56F" w14:textId="41ADAD8B" w:rsidR="00634486" w:rsidRDefault="00634486" w:rsidP="0021676E">
      <w:pPr>
        <w:pStyle w:val="afff"/>
        <w:divId w:val="1653948401"/>
      </w:pPr>
      <w:r>
        <w:t>СКК – стволовая клетка крови</w:t>
      </w:r>
    </w:p>
    <w:p w14:paraId="3EE77B7F" w14:textId="6D79224D" w:rsidR="00634486" w:rsidRDefault="00634486" w:rsidP="0021676E">
      <w:pPr>
        <w:pStyle w:val="afff"/>
        <w:divId w:val="1653948401"/>
      </w:pPr>
      <w:r>
        <w:t xml:space="preserve">МАК – </w:t>
      </w:r>
      <w:proofErr w:type="spellStart"/>
      <w:r>
        <w:t>мембраноатакующий</w:t>
      </w:r>
      <w:proofErr w:type="spellEnd"/>
      <w:r>
        <w:t xml:space="preserve"> комплекс</w:t>
      </w:r>
    </w:p>
    <w:p w14:paraId="122E142D" w14:textId="63CAFF3C" w:rsidR="008A24EB" w:rsidRPr="004A1BCA" w:rsidRDefault="001E68AB" w:rsidP="001E68AB">
      <w:pPr>
        <w:pStyle w:val="afff"/>
        <w:divId w:val="1653948401"/>
      </w:pPr>
      <w:r>
        <w:rPr>
          <w:lang w:val="en-US"/>
        </w:rPr>
        <w:t>GPI</w:t>
      </w:r>
      <w:r w:rsidRPr="004A1BCA">
        <w:t xml:space="preserve"> - </w:t>
      </w:r>
      <w:proofErr w:type="spellStart"/>
      <w:r>
        <w:rPr>
          <w:rFonts w:cs="Times New Roman"/>
          <w:szCs w:val="24"/>
        </w:rPr>
        <w:t>гликозилинозитолфосфат</w:t>
      </w:r>
      <w:proofErr w:type="spellEnd"/>
    </w:p>
    <w:p w14:paraId="0CC8CDCE" w14:textId="2D002014" w:rsidR="008A24EB" w:rsidRDefault="00052E33" w:rsidP="0021676E">
      <w:pPr>
        <w:pStyle w:val="afff"/>
        <w:divId w:val="1653948401"/>
      </w:pPr>
      <w:r>
        <w:t>СДЛА – систолическое давление в легочной артерии</w:t>
      </w:r>
    </w:p>
    <w:p w14:paraId="78DB6937" w14:textId="591E3C11" w:rsidR="00C31AE6" w:rsidRDefault="00C31AE6" w:rsidP="0021676E">
      <w:pPr>
        <w:pStyle w:val="afff"/>
        <w:divId w:val="1653948401"/>
      </w:pPr>
      <w:r>
        <w:t>ХБП – хроническая болезнь почек</w:t>
      </w:r>
    </w:p>
    <w:p w14:paraId="7FFB2CA2" w14:textId="77777777" w:rsidR="00052E33" w:rsidRDefault="00052E33" w:rsidP="00052E33">
      <w:pPr>
        <w:pStyle w:val="afff"/>
        <w:ind w:firstLine="0"/>
        <w:divId w:val="1653948401"/>
      </w:pPr>
    </w:p>
    <w:p w14:paraId="033801EC" w14:textId="77777777" w:rsidR="00D02526" w:rsidRDefault="00CB71DA" w:rsidP="00C50E9F">
      <w:pPr>
        <w:pStyle w:val="CustomContentNormal"/>
        <w:outlineLvl w:val="1"/>
      </w:pPr>
      <w:r>
        <w:br w:type="page"/>
      </w:r>
      <w:bookmarkStart w:id="5" w:name="__RefHeading___doc_terms"/>
      <w:bookmarkStart w:id="6" w:name="_Toc24641945"/>
    </w:p>
    <w:p w14:paraId="7A5709E0" w14:textId="77777777" w:rsidR="00D02526" w:rsidRPr="0032632E" w:rsidRDefault="00D02526" w:rsidP="00D02526">
      <w:pPr>
        <w:pStyle w:val="CustomContentNormal"/>
        <w:outlineLvl w:val="1"/>
      </w:pPr>
      <w:r w:rsidRPr="0032632E">
        <w:lastRenderedPageBreak/>
        <w:t>Термины и определения</w:t>
      </w:r>
    </w:p>
    <w:p w14:paraId="059D306A" w14:textId="77777777" w:rsidR="00D02526" w:rsidRPr="00D02526" w:rsidRDefault="00D02526" w:rsidP="00D02526">
      <w:pPr>
        <w:pStyle w:val="17"/>
        <w:rPr>
          <w:b/>
        </w:rPr>
      </w:pPr>
    </w:p>
    <w:p w14:paraId="3CAD0075" w14:textId="77777777" w:rsidR="00D02526" w:rsidRPr="0021676E" w:rsidRDefault="00D02526" w:rsidP="00D02526">
      <w:pPr>
        <w:pStyle w:val="17"/>
      </w:pPr>
      <w:r w:rsidRPr="00D02526">
        <w:rPr>
          <w:b/>
        </w:rPr>
        <w:t>Пароксизмальная ночная гемоглобинурия (ПНГ)</w:t>
      </w:r>
      <w:r w:rsidRPr="003924E1">
        <w:t xml:space="preserve"> – </w:t>
      </w:r>
      <w:r w:rsidRPr="009D0040">
        <w:t xml:space="preserve">это редкое приобретенное </w:t>
      </w:r>
      <w:proofErr w:type="spellStart"/>
      <w:r w:rsidRPr="009D0040">
        <w:t>клональное</w:t>
      </w:r>
      <w:proofErr w:type="spellEnd"/>
      <w:r w:rsidRPr="009D0040">
        <w:t xml:space="preserve"> заболевание системы крови, характеризующееся внутрисосудистым гемолизом, дисфункцией костного мозга и повышенным риском тромботических осложнений.</w:t>
      </w:r>
    </w:p>
    <w:p w14:paraId="53F75142" w14:textId="77777777" w:rsidR="00D02526" w:rsidRPr="00C25B13" w:rsidRDefault="00D02526" w:rsidP="00D02526">
      <w:r w:rsidRPr="00D02526">
        <w:rPr>
          <w:b/>
        </w:rPr>
        <w:t xml:space="preserve">Внутрисосудистый гемолиз </w:t>
      </w:r>
      <w:r w:rsidRPr="003924E1">
        <w:t>– это п</w:t>
      </w:r>
      <w:r>
        <w:t xml:space="preserve">роцесс разрушения собственных эритроцитов в сосудистом русле, обусловленный, преимущественно, </w:t>
      </w:r>
      <w:proofErr w:type="gramStart"/>
      <w:r>
        <w:t>комплемент-опосредованными</w:t>
      </w:r>
      <w:proofErr w:type="gramEnd"/>
      <w:r>
        <w:t xml:space="preserve"> механизмами и ассоциированный с высвобождением большого количества свободного гемоглобина в плазму крови.</w:t>
      </w:r>
    </w:p>
    <w:p w14:paraId="51F53920" w14:textId="63D4682D" w:rsidR="00D02526" w:rsidRDefault="00D02526" w:rsidP="00D02526">
      <w:pPr>
        <w:rPr>
          <w:szCs w:val="24"/>
        </w:rPr>
      </w:pPr>
      <w:r w:rsidRPr="00D02526">
        <w:rPr>
          <w:b/>
          <w:szCs w:val="24"/>
        </w:rPr>
        <w:t>Гемолитический криз –</w:t>
      </w:r>
      <w:r>
        <w:rPr>
          <w:szCs w:val="24"/>
        </w:rPr>
        <w:t xml:space="preserve"> резкое снижение показателей гемоглобина и эритроцитов, сопровождающееся повышением лабораторн</w:t>
      </w:r>
      <w:r w:rsidR="0042202D">
        <w:rPr>
          <w:szCs w:val="24"/>
        </w:rPr>
        <w:t>ых маркеров активности гемолиза</w:t>
      </w:r>
      <w:r>
        <w:rPr>
          <w:szCs w:val="24"/>
        </w:rPr>
        <w:t xml:space="preserve"> (непрямого билирубина, ЛДГ, числа </w:t>
      </w:r>
      <w:proofErr w:type="spellStart"/>
      <w:r>
        <w:rPr>
          <w:szCs w:val="24"/>
        </w:rPr>
        <w:t>ретикулоцитов</w:t>
      </w:r>
      <w:proofErr w:type="spellEnd"/>
      <w:r>
        <w:rPr>
          <w:szCs w:val="24"/>
        </w:rPr>
        <w:t>), что в большинстве случаев связано с предшествующим воздействием провоцирующих факторов (инфекция, применение некоторых лекарственных препаратов и др.)</w:t>
      </w:r>
    </w:p>
    <w:bookmarkEnd w:id="5"/>
    <w:bookmarkEnd w:id="6"/>
    <w:p w14:paraId="5495DC9B" w14:textId="63BCB405" w:rsidR="00C31AE6" w:rsidRDefault="00C31AE6" w:rsidP="0021676E">
      <w:r w:rsidRPr="00C31AE6">
        <w:rPr>
          <w:b/>
        </w:rPr>
        <w:t>Прорывной гемолиз</w:t>
      </w:r>
      <w:r>
        <w:t xml:space="preserve"> – гемоли</w:t>
      </w:r>
      <w:r w:rsidR="00216CE3">
        <w:t>тический криз</w:t>
      </w:r>
      <w:r>
        <w:t xml:space="preserve">, </w:t>
      </w:r>
      <w:r w:rsidR="00216CE3">
        <w:t>развивающийся</w:t>
      </w:r>
      <w:r>
        <w:t xml:space="preserve"> на фоне патогенетической терапии </w:t>
      </w:r>
      <w:r w:rsidR="00216CE3">
        <w:t>ПНГ (</w:t>
      </w:r>
      <w:r>
        <w:t xml:space="preserve">в период между </w:t>
      </w:r>
      <w:r w:rsidR="00216CE3">
        <w:t xml:space="preserve">плановыми </w:t>
      </w:r>
      <w:r>
        <w:t xml:space="preserve">введениями </w:t>
      </w:r>
      <w:proofErr w:type="spellStart"/>
      <w:r w:rsidR="00216CE3">
        <w:t>экулизумаба</w:t>
      </w:r>
      <w:proofErr w:type="spellEnd"/>
      <w:r w:rsidR="00216CE3">
        <w:t>)</w:t>
      </w:r>
      <w:r>
        <w:t xml:space="preserve">. </w:t>
      </w:r>
    </w:p>
    <w:p w14:paraId="3E26CEB8" w14:textId="66229BA4" w:rsidR="00216CE3" w:rsidRPr="0032632E" w:rsidRDefault="00216CE3" w:rsidP="00216CE3">
      <w:pPr>
        <w:pStyle w:val="17"/>
      </w:pPr>
      <w:r w:rsidRPr="006934C9">
        <w:rPr>
          <w:b/>
        </w:rPr>
        <w:t>ПНГ-клон</w:t>
      </w:r>
      <w:r w:rsidRPr="0032632E">
        <w:t xml:space="preserve"> - </w:t>
      </w:r>
      <w:r>
        <w:t xml:space="preserve">клетки-потомки стволовой клетки крови с мутацией в </w:t>
      </w:r>
      <w:r w:rsidRPr="006934C9">
        <w:rPr>
          <w:i/>
        </w:rPr>
        <w:t>PIGA</w:t>
      </w:r>
      <w:r>
        <w:t xml:space="preserve"> гене, в результате которой нарушается синтез мембранных белков, </w:t>
      </w:r>
      <w:r w:rsidR="00225B06">
        <w:t xml:space="preserve">в том числе </w:t>
      </w:r>
      <w:r>
        <w:t>защищающих клетки от разрушения системой комп</w:t>
      </w:r>
      <w:r w:rsidR="00225B06">
        <w:t>лемента.</w:t>
      </w:r>
    </w:p>
    <w:p w14:paraId="3F41109B" w14:textId="77777777" w:rsidR="00216CE3" w:rsidRPr="0032632E" w:rsidRDefault="00216CE3" w:rsidP="0021676E"/>
    <w:p w14:paraId="326C84D3" w14:textId="14D7EBB7" w:rsidR="007E0C74" w:rsidRDefault="007E0C74" w:rsidP="007E0C74">
      <w:pPr>
        <w:pStyle w:val="afff1"/>
        <w:jc w:val="both"/>
      </w:pPr>
      <w:bookmarkStart w:id="7" w:name="__RefHeading___doc_1"/>
      <w:bookmarkStart w:id="8" w:name="_Toc24641946"/>
    </w:p>
    <w:p w14:paraId="1424FCD6" w14:textId="11C48A86" w:rsidR="000414F6" w:rsidRDefault="00CB71DA" w:rsidP="00C4630C">
      <w:pPr>
        <w:pStyle w:val="afff1"/>
      </w:pPr>
      <w:r>
        <w:t>1. Краткая информация</w:t>
      </w:r>
      <w:bookmarkEnd w:id="7"/>
      <w:r w:rsidR="00384B6A">
        <w:t xml:space="preserve"> по заболеванию</w:t>
      </w:r>
      <w:bookmarkEnd w:id="8"/>
    </w:p>
    <w:p w14:paraId="6A046958" w14:textId="20F8542A" w:rsidR="00B46390" w:rsidRPr="00311757" w:rsidRDefault="00B46390" w:rsidP="0021676E">
      <w:pPr>
        <w:pStyle w:val="2"/>
      </w:pPr>
      <w:bookmarkStart w:id="9" w:name="_Toc469402330"/>
      <w:bookmarkStart w:id="10" w:name="_Toc468273527"/>
      <w:bookmarkStart w:id="11" w:name="_Toc468273445"/>
      <w:bookmarkStart w:id="12" w:name="_Toc24641947"/>
      <w:bookmarkStart w:id="13" w:name="__RefHeading___doc_2"/>
      <w:bookmarkEnd w:id="9"/>
      <w:bookmarkEnd w:id="10"/>
      <w:bookmarkEnd w:id="11"/>
      <w:r w:rsidRPr="00B46390">
        <w:t xml:space="preserve">1.1 </w:t>
      </w:r>
      <w:r w:rsidRPr="00311757">
        <w:t>Определение</w:t>
      </w:r>
      <w:bookmarkEnd w:id="12"/>
      <w:r w:rsidR="00311757" w:rsidRPr="00311757">
        <w:t xml:space="preserve"> </w:t>
      </w:r>
    </w:p>
    <w:p w14:paraId="7EDB72FB" w14:textId="386E086E" w:rsidR="00EE59C2" w:rsidRPr="00B104EF" w:rsidRDefault="00804A9E" w:rsidP="0021676E">
      <w:pPr>
        <w:pStyle w:val="17"/>
      </w:pPr>
      <w:r w:rsidRPr="00804A9E">
        <w:rPr>
          <w:b/>
          <w:bCs/>
        </w:rPr>
        <w:t>Пароксизмальная ночная гемоглобинурия (ПНГ)</w:t>
      </w:r>
      <w:r w:rsidRPr="009D0040">
        <w:t xml:space="preserve"> – это редкое приобретенное </w:t>
      </w:r>
      <w:proofErr w:type="spellStart"/>
      <w:r w:rsidRPr="009D0040">
        <w:t>клональное</w:t>
      </w:r>
      <w:proofErr w:type="spellEnd"/>
      <w:r w:rsidRPr="009D0040">
        <w:t xml:space="preserve"> заболевание системы крови, характеризующееся внутрисосудистым гемолизом, дисфункцией костного мозга и повышенным риском тромботических осложнений.</w:t>
      </w:r>
    </w:p>
    <w:p w14:paraId="43D70A3C" w14:textId="46DAD2EB" w:rsidR="00B46390" w:rsidRPr="00311757" w:rsidRDefault="00B46390" w:rsidP="00172112">
      <w:pPr>
        <w:pStyle w:val="2"/>
      </w:pPr>
      <w:bookmarkStart w:id="14" w:name="_Toc24641948"/>
      <w:r w:rsidRPr="00B46390">
        <w:t xml:space="preserve">1.2 </w:t>
      </w:r>
      <w:r w:rsidRPr="00311757">
        <w:t>Этиология и патогенез</w:t>
      </w:r>
      <w:bookmarkEnd w:id="14"/>
      <w:r w:rsidR="00311757" w:rsidRPr="00311757">
        <w:t xml:space="preserve"> </w:t>
      </w:r>
    </w:p>
    <w:p w14:paraId="19F164A4" w14:textId="77777777" w:rsidR="00804A9E" w:rsidRPr="009D0040" w:rsidRDefault="00804A9E" w:rsidP="00804A9E">
      <w:pPr>
        <w:rPr>
          <w:rFonts w:cs="Times New Roman"/>
          <w:szCs w:val="24"/>
        </w:rPr>
      </w:pPr>
      <w:r w:rsidRPr="009D0040">
        <w:rPr>
          <w:rFonts w:cs="Times New Roman"/>
          <w:szCs w:val="24"/>
        </w:rPr>
        <w:t xml:space="preserve">В основе патогенеза ПНГ лежит </w:t>
      </w:r>
      <w:proofErr w:type="gramStart"/>
      <w:r w:rsidRPr="009D0040">
        <w:rPr>
          <w:rFonts w:cs="Times New Roman"/>
          <w:szCs w:val="24"/>
        </w:rPr>
        <w:t>комплемент-опосредованный</w:t>
      </w:r>
      <w:proofErr w:type="gramEnd"/>
      <w:r w:rsidRPr="009D0040">
        <w:rPr>
          <w:rFonts w:cs="Times New Roman"/>
          <w:color w:val="FF0000"/>
          <w:szCs w:val="24"/>
        </w:rPr>
        <w:t xml:space="preserve"> </w:t>
      </w:r>
      <w:r w:rsidRPr="009D0040">
        <w:rPr>
          <w:rFonts w:cs="Times New Roman"/>
          <w:szCs w:val="24"/>
        </w:rPr>
        <w:t>лизис эритроцитов, обусловленный приобретенным генетическим дефектом, приводящим к нарушению синтеза и экспрессии на поверхности клеток важнейших регуляторных гликопротеинов.</w:t>
      </w:r>
    </w:p>
    <w:p w14:paraId="5CAEB26E" w14:textId="77777777" w:rsidR="00804A9E" w:rsidRPr="009D0040" w:rsidRDefault="00804A9E" w:rsidP="00804A9E">
      <w:pPr>
        <w:rPr>
          <w:rFonts w:cs="Times New Roman"/>
          <w:i/>
          <w:szCs w:val="24"/>
        </w:rPr>
      </w:pPr>
      <w:r w:rsidRPr="009D0040">
        <w:rPr>
          <w:rFonts w:cs="Times New Roman"/>
          <w:i/>
          <w:szCs w:val="24"/>
        </w:rPr>
        <w:lastRenderedPageBreak/>
        <w:t>Генетические мутации</w:t>
      </w:r>
    </w:p>
    <w:p w14:paraId="35001169" w14:textId="304F5D48" w:rsidR="00804A9E" w:rsidRPr="009D0040" w:rsidRDefault="00804A9E" w:rsidP="00804A9E">
      <w:pPr>
        <w:rPr>
          <w:rFonts w:cs="Times New Roman"/>
          <w:szCs w:val="24"/>
        </w:rPr>
      </w:pPr>
      <w:proofErr w:type="gramStart"/>
      <w:r w:rsidRPr="009D0040">
        <w:rPr>
          <w:rFonts w:cs="Times New Roman"/>
          <w:szCs w:val="24"/>
        </w:rPr>
        <w:t>Согласно современной концепции патогенеза ПНГ, в стволовой кроветворной клетке (СКК) происходит соматическая мутация гена</w:t>
      </w:r>
      <w:r w:rsidRPr="009D0040">
        <w:rPr>
          <w:rFonts w:cs="Times New Roman"/>
          <w:color w:val="FF0000"/>
          <w:szCs w:val="24"/>
        </w:rPr>
        <w:t xml:space="preserve"> </w:t>
      </w:r>
      <w:r w:rsidRPr="009D0040">
        <w:rPr>
          <w:rFonts w:cs="Times New Roman"/>
          <w:i/>
          <w:szCs w:val="24"/>
          <w:lang w:val="en-US"/>
        </w:rPr>
        <w:t>PIGA</w:t>
      </w:r>
      <w:r w:rsidRPr="009D0040">
        <w:rPr>
          <w:rFonts w:cs="Times New Roman"/>
          <w:szCs w:val="24"/>
        </w:rPr>
        <w:t xml:space="preserve">, локализованном на </w:t>
      </w:r>
      <w:r w:rsidRPr="009D0040">
        <w:rPr>
          <w:rFonts w:cs="Times New Roman"/>
          <w:szCs w:val="24"/>
          <w:lang w:val="en-US"/>
        </w:rPr>
        <w:t>X</w:t>
      </w:r>
      <w:r w:rsidRPr="009D0040">
        <w:rPr>
          <w:rFonts w:cs="Times New Roman"/>
          <w:szCs w:val="24"/>
        </w:rPr>
        <w:t>-хромосоме</w:t>
      </w:r>
      <w:proofErr w:type="gramEnd"/>
      <w:r w:rsidRPr="009B0AED">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"DOI" : "10.1002/j.1460-2075.1994.tb06240.x", "ISSN" : "0261-4189", "PMID" : "8306954", "abstract" : "Paroxysmal nocturnal haemoglobinuria (PNH), an acquired clonal blood disorder, is caused by the absence of glycosyl phosphatidylinositol (GPI)-anchored surface proteins due to a defect in a specific step of GPI-anchor synthesis. The cDNA of the X-linked gene, PIG-A, which encodes a protein required for this step has recently been isolated. We have carried out a molecular and functional analysis of the PIG-A gene in four cell lines deficient in GPI-linked proteins, obtained by Epstein-Barr virus (EBV) transformation of affected B-lymphocytes from PNH patients. In all four cell lines transfection with PIG-A cDNA restored normal expression of GPI-linked proteins. In three of the four cell lines the primary lesion is a frameshift mutation. In two of these there is a reduction in the amount of full-length mRNA. The fourth cell line contains a missense mutation in PIG-A. In each case the mutation was present in the affected granulocytes from peripheral blood of the patients, but not in normal sister cell lines from the same patient. These data prove that PNH is caused in most patients by a single mutation in the PIG-A gene. The nature of the mutation can vary and most likely occurs on the active X-chromosome in an early haematopoietic stem cell.", "author" : [ { "dropping-particle" : "", "family" : "Bessler", "given" : "M.", "non-dropping-particle" : "", "parse-names" : false, "suffix" : "" }, { "dropping-particle" : "", "family" : "Mason", "given" : "P.J.", "non-dropping-particle" : "", "parse-names" : false, "suffix" : "" }, { "dropping-particle" : "", "family" : "Hillmen", "given" : "P.", "non-dropping-particle" : "", "parse-names" : false, "suffix" : "" }, { "dropping-particle" : "", "family" : "Miyata", "given" : "T.", "non-dropping-particle" : "", "parse-names" : false, "suffix" : "" }, { "dropping-particle" : "", "family" : "Yamada", "given" : "N.", "non-dropping-particle" : "", "parse-names" : false, "suffix" : "" }, { "dropping-particle" : "", "family" : "Takeda", "given" : "J.", "non-dropping-particle" : "", "parse-names" : false, "suffix" : "" }, { "dropping-particle" : "", "family" : "Luzzatto", "given" : "L.", "non-dropping-particle" : "", "parse-names" : false, "suffix" : "" }, { "dropping-particle" : "", "family" : "Kinoshita", "given" : "T.", "non-dropping-particle" : "", "parse-names" : false, "suffix" : "" } ], "container-title" : "The EMBO Journal", "id" : "ITEM-1", "issue" : "1", "issued" : { "date-parts" : [ [ "1994" ] ] }, "page" : "110-117", "title" : "Paroxysmal nocturnal haemoglobinuria (PNH) is caused by somatic mutations in the PIG-A gene.", "type" : "article-journal", "volume" : "13" }, "uris" : [ "http://www.mendeley.com/documents/?uuid=a612bfb1-9b4b-4187-9dd1-3d3a4e9add04" ] }, { "id" : "ITEM-2", "itemData" : { "DOI" : "10.1016/0092-8674(93)90250-T", "ISSN" : "00928674", "author" : [ { "dropping-particle" : "", "family" : "Takeda", "given" : "Junji", "non-dropping-particle" : "", "parse-names" : false, "suffix" : "" }, { "dropping-particle" : "", "family" : "Miyata", "given" : "Toshio", "non-dropping-particle" : "", "parse-names" : false, "suffix" : "" }, { "dropping-particle" : "", "family" : "Kawagoe", "given" : "Kazuyoshi", "non-dropping-particle" : "", "parse-names" : false, "suffix" : "" }, { "dropping-particle" : "", "family" : "Iida", "given" : "Yoshiyasu", "non-dropping-particle" : "", "parse-names" : false, "suffix" : "" }, { "dropping-particle" : "", "family" : "Endo", "given" : "Yuichi", "non-dropping-particle" : "", "parse-names" : false, "suffix" : "" }, { "dropping-particle" : "", "family" : "Fujita", "given" : "Teizo", "non-dropping-particle" : "", "parse-names" : false, "suffix" : "" }, { "dropping-particle" : "", "family" : "Takahashi", "given" : "Minoru", "non-dropping-particle" : "", "parse-names" : false, "suffix" : "" }, { "dropping-particle" : "", "family" : "Kitani", "given" : "Teruo", "non-dropping-particle" : "", "parse-names" : false, "suffix" : "" }, { "dropping-particle" : "", "family" : "Kinoshita", "given" : "Taroh", "non-dropping-particle" : "", "parse-names" : false, "suffix" : "" } ], "container-title" : "Cell", "id" : "ITEM-2", "issue" : "4", "issued" : { "date-parts" : [ [ "1993", "5" ] ] }, "page" : "703-711", "title" : "Deficiency of the GPI anchor caused by a somatic mutation of the PIG-A gene in paroxysmal nocturnal hemoglobinuria", "type" : "article-journal", "volume" : "73" }, "uris" : [ "http://www.mendeley.com/documents/?uuid=579e3570-71e7-4f90-b754-3f266ddd534e" ] } ], "mendeley" : { "formattedCitation" : "[1,2]", "plainTextFormattedCitation" : "[1,2]", "previouslyFormattedCitation" : "[1,2]"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[1,2]</w:t>
      </w:r>
      <w:r>
        <w:rPr>
          <w:rFonts w:cs="Times New Roman"/>
          <w:szCs w:val="24"/>
        </w:rPr>
        <w:fldChar w:fldCharType="end"/>
      </w:r>
      <w:r w:rsidRPr="009D0040">
        <w:rPr>
          <w:rFonts w:cs="Times New Roman"/>
          <w:szCs w:val="24"/>
        </w:rPr>
        <w:t xml:space="preserve">. В результате этой приобретенной мутации нарушается биосинтез </w:t>
      </w:r>
      <w:proofErr w:type="spellStart"/>
      <w:r w:rsidRPr="009D0040">
        <w:rPr>
          <w:rFonts w:cs="Times New Roman"/>
          <w:szCs w:val="24"/>
        </w:rPr>
        <w:t>гликозилинозитолфосфата</w:t>
      </w:r>
      <w:proofErr w:type="spellEnd"/>
      <w:r w:rsidRPr="009D0040">
        <w:rPr>
          <w:rFonts w:cs="Times New Roman"/>
          <w:szCs w:val="24"/>
        </w:rPr>
        <w:t xml:space="preserve"> (</w:t>
      </w:r>
      <w:r w:rsidRPr="009D0040">
        <w:rPr>
          <w:rFonts w:cs="Times New Roman"/>
          <w:szCs w:val="24"/>
          <w:lang w:val="en-US"/>
        </w:rPr>
        <w:t>GPI</w:t>
      </w:r>
      <w:r w:rsidRPr="009D0040">
        <w:rPr>
          <w:rFonts w:cs="Times New Roman"/>
          <w:szCs w:val="24"/>
        </w:rPr>
        <w:t xml:space="preserve">) – липидной структуры, служащей «якорем» для фиксации на поверхности клеток гликопротеинов, регулирующих активность комплемента. Следствием этого является полная или частичная утрата клетками-потомками мутантной СКК поверхностных </w:t>
      </w:r>
      <w:r w:rsidRPr="009D0040">
        <w:rPr>
          <w:rFonts w:cs="Times New Roman"/>
          <w:szCs w:val="24"/>
          <w:lang w:val="en-US"/>
        </w:rPr>
        <w:t>GPI</w:t>
      </w:r>
      <w:r w:rsidRPr="009D0040">
        <w:rPr>
          <w:rFonts w:cs="Times New Roman"/>
          <w:szCs w:val="24"/>
        </w:rPr>
        <w:t xml:space="preserve">-связанных белков - </w:t>
      </w:r>
      <w:r w:rsidRPr="009D0040">
        <w:rPr>
          <w:rFonts w:cs="Times New Roman"/>
          <w:szCs w:val="24"/>
          <w:lang w:val="en-US"/>
        </w:rPr>
        <w:t>CD</w:t>
      </w:r>
      <w:r w:rsidRPr="009D0040">
        <w:rPr>
          <w:rFonts w:cs="Times New Roman"/>
          <w:szCs w:val="24"/>
        </w:rPr>
        <w:t xml:space="preserve">55 и </w:t>
      </w:r>
      <w:r w:rsidRPr="009D0040">
        <w:rPr>
          <w:rFonts w:cs="Times New Roman"/>
          <w:szCs w:val="24"/>
          <w:lang w:val="en-US"/>
        </w:rPr>
        <w:t>CD</w:t>
      </w:r>
      <w:r w:rsidRPr="009D0040">
        <w:rPr>
          <w:rFonts w:cs="Times New Roman"/>
          <w:szCs w:val="24"/>
        </w:rPr>
        <w:t>59, защищающих клетки от комплемент-обусловленного лизиса</w:t>
      </w:r>
      <w:r w:rsidRPr="00E93590">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"author" : [ { "dropping-particle" : "", "family" : "Medof", "given" : "B Y M Edward", "non-dropping-particle" : "", "parse-names" : false, "suffix" : "" }, { "dropping-particle" : "", "family" : "Kinoshita", "given" : "Taroh", "non-dropping-particle" : "", "parse-names" : false, "suffix" : "" }, { "dropping-particle" : "", "family" : "Nussenzweig", "given" : "Victor", "non-dropping-particle" : "", "parse-names" : false, "suffix" : "" } ], "id" : "ITEM-1", "issue" : "November", "issued" : { "date-parts" : [ [ "1984" ] ] }, "page" : "1558-1578", "title" : "INHIBITION OF COMPLEMENT OF CELLS AFTER ACTIVATION ON THE OF INCORPORATION ( DAF ) INTO THEIR MEMBRANES A key step in complement activation on targets is the deposition of C4b and / or C3b fragments . These major cleavage products of C3 and C4 can associa", "type" : "article-journal", "volume" : "160" }, "uris" : [ "http://www.mendeley.com/documents/?uuid=84549106-0518-4910-bea1-a2bd06b71f4f" ] }, { "id" : "ITEM-2", "itemData" : { "DOI" : "10.1146/annurev.iy.07.040189.000343", "ISSN" : "0732-0582", "author" : [ { "dropping-particle" : "", "family" : "Lublin", "given" : "D M", "non-dropping-particle" : "", "parse-names" : false, "suffix" : "" }, { "dropping-particle" : "", "family" : "Atkinson", "given" : "J P", "non-dropping-particle" : "", "parse-names" : false, "suffix" : "" } ], "container-title" : "Annual Review of Immunology", "id" : "ITEM-2", "issue" : "1", "issued" : { "date-parts" : [ [ "1989", "4" ] ] }, "page" : "35-58", "title" : "Decay-Accelerating Factor: Biochemistry, Molecular Biology, and Function", "type" : "article-journal", "volume" : "7" }, "uris" : [ "http://www.mendeley.com/documents/?uuid=21cada14-b46d-4cd0-bab8-e903958cd5d7" ] }, { "id" : "ITEM-3", "itemData" : { "abstract" : "A human E membrane protein that inhibits lysis by the purified human C5b-9 proteins was isolated and characterized. After final purification, the protein migrated as an 18- to 20-kDa band by SDS-PAGE. Elution from gel slices and functional assay after SDS-PAGE (nonreduced) confirmed that all C5b-9 inhibitory activity of the purified protein resided in the 18- to 20-kDa band. Phosphatidylinositol-specific phospholipase C digestion of the purified protein abolished 50% of its C5b-9 inhibitory activity, and removed approximately 15% of the protein from human E. Western blots of normal and paroxysmal nocturnal hemoglobinuria E revealed an absence of the 18- to 20-kDa protein in the paroxysmal nocturnal hemoglobinuria E cells. The identity of this E protein with leukocyte Ag CD59 (P18, HRF20) was confirmed immunochemically and by N-terminal amino acid sequence analysis. A blocking antibody raised against the purified protein reacted with a single 18- to 20-kDa band on Western blots of human erythrocyte membranes. Prior incubation of human E with the F(ab) of this antibody increased subsequent lysis by the purified human C5b-9 proteins. Potentiation of C5b-9-mediated lysis was observed when erythrocytes were preincubated with this blocking antibody before C5b-9 assembly was initiated, or, when this antibody was added after 30 min, 0 degrees C incubation of C5b-8-treated E with C9. Chicken E incubated with purified CD59 were used to further characterize the mechanism of its C-inhibitory activity. Preincorporation of CD59 into these cells inhibited lysis by C5b-9, regardless of whether CD59 was added before or after assembly of the C5b-8 complex. When incorporated into the membrane, CD59 inhibited binding of 125I-C9 to membrane C5b-8 and reduced the extent of formation of SDS-resistant C9 polymer. The inhibitory effect of CD59 on 125I-C9 incorporation was most pronounced at near-saturating input of C9 (to C5b-8). By contrast, CD59 did not inhibit either C5b67 deposition onto the cell surface, or, binding of 125I-C8 to preassembled membrane C5b67. Taken together, these data suggest that CD59 exerts its C-inhibitory activity by limiting incorporation of multiple C9 into the membrane C5b-9 complex.", "author" : [ { "dropping-particle" : "", "family" : "Rollins", "given" : "S A", "non-dropping-particle" : "", "parse-names" : false, "suffix" : "" }, { "dropping-particle" : "", "family" : "Sims", "given" : "P J", "non-dropping-particle" : "", "parse-names" : false, "suffix" : "" } ], "container-title" : "The Journal of Immunology", "id" : "ITEM-3", "issue" : "9", "issued" : { "date-parts" : [ [ "1990", "5", "1" ] ] }, "page" : "3478 LP  - 3483", "title" : "The complement-inhibitory activity of CD59 resides in its capacity to block incorporation of C9 into membrane C5b-9.", "type" : "article-journal", "volume" : "144" }, "uris" : [ "http://www.mendeley.com/documents/?uuid=f91766a5-e26f-40a2-b792-d56dbccda94f" ] }, { "id" : "ITEM-4", "itemData" : { "DOI" : "10.1002/j.1460-2075.1994.tb06240.x", "ISSN" : "0261-4189", "PMID" : "8306954", "abstract" : "Paroxysmal nocturnal haemoglobinuria (PNH), an acquired clonal blood disorder, is caused by the absence of glycosyl phosphatidylinositol (GPI)-anchored surface proteins due to a defect in a specific step of GPI-anchor synthesis. The cDNA of the X-linked gene, PIG-A, which encodes a protein required for this step has recently been isolated. We have carried out a molecular and functional analysis of the PIG-A gene in four cell lines deficient in GPI-linked proteins, obtained by Epstein-Barr virus (EBV) transformation of affected B-lymphocytes from PNH patients. In all four cell lines transfection with PIG-A cDNA restored normal expression of GPI-linked proteins. In three of the four cell lines the primary lesion is a frameshift mutation. In two of these there is a reduction in the amount of full-length mRNA. The fourth cell line contains a missense mutation in PIG-A. In each case the mutation was present in the affected granulocytes from peripheral blood of the patients, but not in normal sister cell lines from the same patient. These data prove that PNH is caused in most patients by a single mutation in the PIG-A gene. The nature of the mutation can vary and most likely occurs on the active X-chromosome in an early haematopoietic stem cell.", "author" : [ { "dropping-particle" : "", "family" : "Bessler", "given" : "M.", "non-dropping-particle" : "", "parse-names" : false, "suffix" : "" }, { "dropping-particle" : "", "family" : "Mason", "given" : "P.J.", "non-dropping-particle" : "", "parse-names" : false, "suffix" : "" }, { "dropping-particle" : "", "family" : "Hillmen", "given" : "P.", "non-dropping-particle" : "", "parse-names" : false, "suffix" : "" }, { "dropping-particle" : "", "family" : "Miyata", "given" : "T.", "non-dropping-particle" : "", "parse-names" : false, "suffix" : "" }, { "dropping-particle" : "", "family" : "Yamada", "given" : "N.", "non-dropping-particle" : "", "parse-names" : false, "suffix" : "" }, { "dropping-particle" : "", "family" : "Takeda", "given" : "J.", "non-dropping-particle" : "", "parse-names" : false, "suffix" : "" }, { "dropping-particle" : "", "family" : "Luzzatto", "given" : "L.", "non-dropping-particle" : "", "parse-names" : false, "suffix" : "" }, { "dropping-particle" : "", "family" : "Kinoshita", "given" : "T.", "non-dropping-particle" : "", "parse-names" : false, "suffix" : "" } ], "container-title" : "The EMBO Journal", "id" : "ITEM-4", "issue" : "1", "issued" : { "date-parts" : [ [ "1994" ] ] }, "page" : "110-117", "title" : "Paroxysmal nocturnal haemoglobinuria (PNH) is caused by somatic mutations in the PIG-A gene.", "type" : "article-journal", "volume" : "13" }, "uris" : [ "http://www.mendeley.com/documents/?uuid=a612bfb1-9b4b-4187-9dd1-3d3a4e9add04" ] }, { "id" : "ITEM-5", "itemData" : { "DOI" : "10.1016/0092-8674(93)90250-T", "ISSN" : "00928674", "author" : [ { "dropping-particle" : "", "family" : "Takeda", "given" : "Junji", "non-dropping-particle" : "", "parse-names" : false, "suffix" : "" }, { "dropping-particle" : "", "family" : "Miyata", "given" : "Toshio", "non-dropping-particle" : "", "parse-names" : false, "suffix" : "" }, { "dropping-particle" : "", "family" : "Kawagoe", "given" : "Kazuyoshi", "non-dropping-particle" : "", "parse-names" : false, "suffix" : "" }, { "dropping-particle" : "", "family" : "Iida", "given" : "Yoshiyasu", "non-dropping-particle" : "", "parse-names" : false, "suffix" : "" }, { "dropping-particle" : "", "family" : "Endo", "given" : "Yuichi", "non-dropping-particle" : "", "parse-names" : false, "suffix" : "" }, { "dropping-particle" : "", "family" : "Fujita", "given" : "Teizo", "non-dropping-particle" : "", "parse-names" : false, "suffix" : "" }, { "dropping-particle" : "", "family" : "Takahashi", "given" : "Minoru", "non-dropping-particle" : "", "parse-names" : false, "suffix" : "" }, { "dropping-particle" : "", "family" : "Kitani", "given" : "Teruo", "non-dropping-particle" : "", "parse-names" : false, "suffix" : "" }, { "dropping-particle" : "", "family" : "Kinoshita", "given" : "Taroh", "non-dropping-particle" : "", "parse-names" : false, "suffix" : "" } ], "container-title" : "Cell", "id" : "ITEM-5", "issue" : "4", "issued" : { "date-parts" : [ [ "1993", "5" ] ] }, "page" : "703-711", "title" : "Deficiency of the GPI anchor caused by a somatic mutation of the PIG-A gene in paroxysmal nocturnal hemoglobinuria", "type" : "article-journal", "volume" : "73" }, "uris" : [ "http://www.mendeley.com/documents/?uuid=579e3570-71e7-4f90-b754-3f266ddd534e" ] } ], "mendeley" : { "formattedCitation" : "[1\u20135]", "plainTextFormattedCitation" : "[1\u20135]", "previouslyFormattedCitation" : "[1\u20135]"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[1–5]</w:t>
      </w:r>
      <w:r>
        <w:rPr>
          <w:rFonts w:cs="Times New Roman"/>
          <w:szCs w:val="24"/>
        </w:rPr>
        <w:fldChar w:fldCharType="end"/>
      </w:r>
      <w:r w:rsidRPr="009D0040">
        <w:rPr>
          <w:rFonts w:cs="Times New Roman"/>
          <w:szCs w:val="24"/>
        </w:rPr>
        <w:t xml:space="preserve">. </w:t>
      </w:r>
    </w:p>
    <w:p w14:paraId="5EA8AEC0" w14:textId="5AA86229" w:rsidR="00804A9E" w:rsidRPr="009D0040" w:rsidRDefault="00804A9E" w:rsidP="00804A9E">
      <w:pPr>
        <w:rPr>
          <w:rFonts w:cs="Times New Roman"/>
          <w:szCs w:val="24"/>
        </w:rPr>
      </w:pPr>
      <w:r w:rsidRPr="009D0040">
        <w:rPr>
          <w:rFonts w:cs="Times New Roman"/>
          <w:szCs w:val="24"/>
        </w:rPr>
        <w:t xml:space="preserve">Соматическая мутация в гене </w:t>
      </w:r>
      <w:r w:rsidRPr="009D0040">
        <w:rPr>
          <w:rFonts w:cs="Times New Roman"/>
          <w:i/>
          <w:szCs w:val="24"/>
          <w:lang w:val="en-US"/>
        </w:rPr>
        <w:t>PIGA</w:t>
      </w:r>
      <w:r w:rsidRPr="009D0040">
        <w:rPr>
          <w:rFonts w:cs="Times New Roman"/>
          <w:szCs w:val="24"/>
        </w:rPr>
        <w:t xml:space="preserve"> может происходить в одной или нескольких СКК. В дальнейшем, мутантные СКК получают </w:t>
      </w:r>
      <w:proofErr w:type="spellStart"/>
      <w:r w:rsidRPr="009D0040">
        <w:rPr>
          <w:rFonts w:cs="Times New Roman"/>
          <w:szCs w:val="24"/>
        </w:rPr>
        <w:t>клональное</w:t>
      </w:r>
      <w:proofErr w:type="spellEnd"/>
      <w:r w:rsidRPr="009D0040">
        <w:rPr>
          <w:rFonts w:cs="Times New Roman"/>
          <w:szCs w:val="24"/>
        </w:rPr>
        <w:t xml:space="preserve"> преимущество, по сравнению с нормальными клетками, что ведет к развитию и манифестации ПНГ. Предполагаемыми механизмами экспансии патологических СКК служат </w:t>
      </w:r>
      <w:proofErr w:type="spellStart"/>
      <w:r w:rsidRPr="009D0040">
        <w:rPr>
          <w:rFonts w:cs="Times New Roman"/>
          <w:szCs w:val="24"/>
        </w:rPr>
        <w:t>клональная</w:t>
      </w:r>
      <w:proofErr w:type="spellEnd"/>
      <w:r w:rsidRPr="009D0040">
        <w:rPr>
          <w:rFonts w:cs="Times New Roman"/>
          <w:szCs w:val="24"/>
        </w:rPr>
        <w:t xml:space="preserve"> селекция под влиянием внешних факторов и внутренняя </w:t>
      </w:r>
      <w:proofErr w:type="spellStart"/>
      <w:r w:rsidRPr="009D0040">
        <w:rPr>
          <w:rFonts w:cs="Times New Roman"/>
          <w:szCs w:val="24"/>
        </w:rPr>
        <w:t>клональная</w:t>
      </w:r>
      <w:proofErr w:type="spellEnd"/>
      <w:r w:rsidRPr="009D0040">
        <w:rPr>
          <w:rFonts w:cs="Times New Roman"/>
          <w:szCs w:val="24"/>
        </w:rPr>
        <w:t xml:space="preserve"> эволюция. </w:t>
      </w:r>
    </w:p>
    <w:p w14:paraId="0844F224" w14:textId="77777777" w:rsidR="00804A9E" w:rsidRPr="009D0040" w:rsidRDefault="00804A9E" w:rsidP="00804A9E">
      <w:pPr>
        <w:rPr>
          <w:rFonts w:cs="Times New Roman"/>
          <w:i/>
          <w:szCs w:val="24"/>
        </w:rPr>
      </w:pPr>
      <w:r w:rsidRPr="009D0040">
        <w:rPr>
          <w:rFonts w:cs="Times New Roman"/>
          <w:i/>
          <w:szCs w:val="24"/>
        </w:rPr>
        <w:t xml:space="preserve">Система комплемента и роль поверхностных гликопротеинов </w:t>
      </w:r>
      <w:r w:rsidRPr="009D0040">
        <w:rPr>
          <w:rFonts w:cs="Times New Roman"/>
          <w:i/>
          <w:szCs w:val="24"/>
          <w:lang w:val="en-US"/>
        </w:rPr>
        <w:t>CD</w:t>
      </w:r>
      <w:r w:rsidRPr="009D0040">
        <w:rPr>
          <w:rFonts w:cs="Times New Roman"/>
          <w:i/>
          <w:szCs w:val="24"/>
        </w:rPr>
        <w:t xml:space="preserve">55 и </w:t>
      </w:r>
      <w:r w:rsidRPr="009D0040">
        <w:rPr>
          <w:rFonts w:cs="Times New Roman"/>
          <w:i/>
          <w:szCs w:val="24"/>
          <w:lang w:val="en-US"/>
        </w:rPr>
        <w:t>CD</w:t>
      </w:r>
      <w:r w:rsidRPr="009D0040">
        <w:rPr>
          <w:rFonts w:cs="Times New Roman"/>
          <w:i/>
          <w:szCs w:val="24"/>
        </w:rPr>
        <w:t>59</w:t>
      </w:r>
    </w:p>
    <w:p w14:paraId="580A0241" w14:textId="5427E914" w:rsidR="00804A9E" w:rsidRPr="009D0040" w:rsidRDefault="00804A9E" w:rsidP="00804A9E">
      <w:pPr>
        <w:rPr>
          <w:rFonts w:cs="Times New Roman"/>
          <w:szCs w:val="24"/>
        </w:rPr>
      </w:pPr>
      <w:r w:rsidRPr="009D0040">
        <w:rPr>
          <w:rFonts w:cs="Times New Roman"/>
          <w:szCs w:val="24"/>
        </w:rPr>
        <w:t xml:space="preserve">Система комплемента представляет собой важный компонент врожденного иммунитета, играющий ключевую роль в защите от инфекций и элиминации собственных поврежденных клеток. В нормальных условиях активность системы комплемента строго регулируется рядом растворимых белков, а также гликопротеинами на поверхности клеток, в том числе </w:t>
      </w:r>
      <w:r w:rsidRPr="009D0040">
        <w:rPr>
          <w:rFonts w:cs="Times New Roman"/>
          <w:szCs w:val="24"/>
          <w:lang w:val="en-US"/>
        </w:rPr>
        <w:t>CD</w:t>
      </w:r>
      <w:r w:rsidRPr="009D0040">
        <w:rPr>
          <w:rFonts w:cs="Times New Roman"/>
          <w:szCs w:val="24"/>
        </w:rPr>
        <w:t xml:space="preserve">55 и </w:t>
      </w:r>
      <w:r w:rsidRPr="009D0040">
        <w:rPr>
          <w:rFonts w:cs="Times New Roman"/>
          <w:szCs w:val="24"/>
          <w:lang w:val="en-US"/>
        </w:rPr>
        <w:t>CD</w:t>
      </w:r>
      <w:r w:rsidRPr="009D0040">
        <w:rPr>
          <w:rFonts w:cs="Times New Roman"/>
          <w:szCs w:val="24"/>
        </w:rPr>
        <w:t xml:space="preserve">59. Активация системы комплемента обеспечивается тремя разными путями: классическим, </w:t>
      </w:r>
      <w:proofErr w:type="spellStart"/>
      <w:r w:rsidRPr="009D0040">
        <w:rPr>
          <w:rFonts w:cs="Times New Roman"/>
          <w:szCs w:val="24"/>
        </w:rPr>
        <w:t>лектиновым</w:t>
      </w:r>
      <w:proofErr w:type="spellEnd"/>
      <w:r w:rsidRPr="009D0040">
        <w:rPr>
          <w:rFonts w:cs="Times New Roman"/>
          <w:szCs w:val="24"/>
        </w:rPr>
        <w:t xml:space="preserve"> и альтернативным. Несмотря на различия в триггерах, необходимых для активации каждого из путей комплемента, после каскада реакций все пути приводят к образованию С3-конвертазы, </w:t>
      </w:r>
      <w:proofErr w:type="gramStart"/>
      <w:r w:rsidRPr="009D0040">
        <w:rPr>
          <w:rFonts w:cs="Times New Roman"/>
          <w:szCs w:val="24"/>
        </w:rPr>
        <w:t>которая</w:t>
      </w:r>
      <w:proofErr w:type="gramEnd"/>
      <w:r w:rsidRPr="009D0040">
        <w:rPr>
          <w:rFonts w:cs="Times New Roman"/>
          <w:szCs w:val="24"/>
        </w:rPr>
        <w:t xml:space="preserve"> расщепляет С3-компонент на два фрагмента: С3а, </w:t>
      </w:r>
      <w:proofErr w:type="gramStart"/>
      <w:r w:rsidRPr="009D0040">
        <w:rPr>
          <w:rFonts w:cs="Times New Roman"/>
          <w:szCs w:val="24"/>
        </w:rPr>
        <w:t>являющийся</w:t>
      </w:r>
      <w:proofErr w:type="gramEnd"/>
      <w:r w:rsidRPr="009D0040">
        <w:rPr>
          <w:rFonts w:cs="Times New Roman"/>
          <w:szCs w:val="24"/>
        </w:rPr>
        <w:t xml:space="preserve"> </w:t>
      </w:r>
      <w:proofErr w:type="spellStart"/>
      <w:r w:rsidRPr="009D0040">
        <w:rPr>
          <w:rFonts w:cs="Times New Roman"/>
          <w:szCs w:val="24"/>
        </w:rPr>
        <w:t>провоспалительным</w:t>
      </w:r>
      <w:proofErr w:type="spellEnd"/>
      <w:r w:rsidRPr="009D0040">
        <w:rPr>
          <w:rFonts w:cs="Times New Roman"/>
          <w:szCs w:val="24"/>
        </w:rPr>
        <w:t xml:space="preserve"> </w:t>
      </w:r>
      <w:proofErr w:type="spellStart"/>
      <w:r w:rsidRPr="009D0040">
        <w:rPr>
          <w:rFonts w:cs="Times New Roman"/>
          <w:szCs w:val="24"/>
        </w:rPr>
        <w:t>анафилотоксином</w:t>
      </w:r>
      <w:proofErr w:type="spellEnd"/>
      <w:r w:rsidRPr="009D0040">
        <w:rPr>
          <w:rFonts w:cs="Times New Roman"/>
          <w:szCs w:val="24"/>
        </w:rPr>
        <w:t>, и С3</w:t>
      </w:r>
      <w:r w:rsidRPr="009D0040">
        <w:rPr>
          <w:rFonts w:cs="Times New Roman"/>
          <w:szCs w:val="24"/>
          <w:lang w:val="en-US"/>
        </w:rPr>
        <w:t>b</w:t>
      </w:r>
      <w:r w:rsidRPr="009D0040">
        <w:rPr>
          <w:rFonts w:cs="Times New Roman"/>
          <w:szCs w:val="24"/>
        </w:rPr>
        <w:t>. Функции компонента С3</w:t>
      </w:r>
      <w:r w:rsidRPr="009D0040">
        <w:rPr>
          <w:rFonts w:cs="Times New Roman"/>
          <w:szCs w:val="24"/>
          <w:lang w:val="en-US"/>
        </w:rPr>
        <w:t>b</w:t>
      </w:r>
      <w:r w:rsidRPr="009D0040">
        <w:rPr>
          <w:rFonts w:cs="Times New Roman"/>
          <w:szCs w:val="24"/>
        </w:rPr>
        <w:t xml:space="preserve"> включают </w:t>
      </w:r>
      <w:proofErr w:type="spellStart"/>
      <w:r w:rsidRPr="009D0040">
        <w:rPr>
          <w:rFonts w:cs="Times New Roman"/>
          <w:szCs w:val="24"/>
        </w:rPr>
        <w:t>опсонизацию</w:t>
      </w:r>
      <w:proofErr w:type="spellEnd"/>
      <w:r w:rsidRPr="009D0040">
        <w:rPr>
          <w:rFonts w:cs="Times New Roman"/>
          <w:szCs w:val="24"/>
        </w:rPr>
        <w:t xml:space="preserve"> патогенов и собственных дефектных клеток, а также активацию следующего этапа каскада комплемента – терминального пути. </w:t>
      </w:r>
      <w:proofErr w:type="gramStart"/>
      <w:r w:rsidRPr="009D0040">
        <w:rPr>
          <w:rFonts w:cs="Times New Roman"/>
          <w:szCs w:val="24"/>
        </w:rPr>
        <w:t>Наличие С3</w:t>
      </w:r>
      <w:r w:rsidRPr="009D0040">
        <w:rPr>
          <w:rFonts w:cs="Times New Roman"/>
          <w:szCs w:val="24"/>
          <w:lang w:val="en-US"/>
        </w:rPr>
        <w:t>b</w:t>
      </w:r>
      <w:r w:rsidRPr="009D0040">
        <w:rPr>
          <w:rFonts w:cs="Times New Roman"/>
          <w:szCs w:val="24"/>
        </w:rPr>
        <w:t xml:space="preserve"> необходимо для образования С5-конвертазы, которая расщепляет С5-компонент комплемента на С5а – </w:t>
      </w:r>
      <w:proofErr w:type="spellStart"/>
      <w:r w:rsidRPr="009D0040">
        <w:rPr>
          <w:rFonts w:cs="Times New Roman"/>
          <w:szCs w:val="24"/>
        </w:rPr>
        <w:t>провоспалительный</w:t>
      </w:r>
      <w:proofErr w:type="spellEnd"/>
      <w:r w:rsidRPr="009D0040">
        <w:rPr>
          <w:rFonts w:cs="Times New Roman"/>
          <w:szCs w:val="24"/>
        </w:rPr>
        <w:t xml:space="preserve"> медиатор, и С5</w:t>
      </w:r>
      <w:r w:rsidRPr="009D0040">
        <w:rPr>
          <w:rFonts w:cs="Times New Roman"/>
          <w:szCs w:val="24"/>
          <w:lang w:val="en-US"/>
        </w:rPr>
        <w:t>b</w:t>
      </w:r>
      <w:r w:rsidRPr="009D0040">
        <w:rPr>
          <w:rFonts w:cs="Times New Roman"/>
          <w:szCs w:val="24"/>
        </w:rPr>
        <w:t xml:space="preserve"> – инициирующий сборку </w:t>
      </w:r>
      <w:proofErr w:type="spellStart"/>
      <w:r w:rsidRPr="009D0040">
        <w:rPr>
          <w:rFonts w:cs="Times New Roman"/>
          <w:szCs w:val="24"/>
        </w:rPr>
        <w:t>мембраноатакующего</w:t>
      </w:r>
      <w:proofErr w:type="spellEnd"/>
      <w:r w:rsidRPr="009D0040">
        <w:rPr>
          <w:rFonts w:cs="Times New Roman"/>
          <w:szCs w:val="24"/>
        </w:rPr>
        <w:t xml:space="preserve"> комплекс (МАК) на поверхности клетки</w:t>
      </w:r>
      <w:proofErr w:type="gramEnd"/>
      <w:r w:rsidRPr="004A2243">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"DOI" : "10.1016/j.semnephrol.2013.08.001", "ISSN" : "02709295", "PMID" : "24161035", "abstract" : "Complement is an important component of the innate immune system that is crucial for defense from microbial infections and for clearance of immune complexes and injured cells. In normal conditions complement is tightly controlled by a number of fluid-phase and cell surface proteins to avoid injury to autologous tissues. When complement is hyperactivated, as occurs in autoimmune diseases or in subjects with dysfunctional regulatory proteins, it drives a severe inflammatory response in numerous organs. The kidney appears to be particularly vulnerable to complement-mediated inflammatory injury. Injury may derive from deposition of circulating active complement fragments in glomeruli, but complement locally produced and activated in the kidney also may have a role. Many kidney disorders have been linked to abnormal complement activation, including immune-complex-mediated glomerulonephritis and rare genetic kidney diseases, but also tubulointerstitial injury associated with progressive proteinuric diseases or ischemia-reperfusion. \u00a9 2013 Elsevier Inc.", "author" : [ { "dropping-particle" : "", "family" : "Noris", "given" : "Marina", "non-dropping-particle" : "", "parse-names" : false, "suffix" : "" }, { "dropping-particle" : "", "family" : "Remuzzi", "given" : "Giuseppe", "non-dropping-particle" : "", "parse-names" : false, "suffix" : "" } ], "container-title" : "Seminars in Nephrology", "id" : "ITEM-1", "issue" : "6", "issued" : { "date-parts" : [ [ "2013" ] ] }, "page" : "479-492", "publisher" : "Elsevier", "title" : "Overview of complement activation and regulation", "type" : "article-journal", "volume" : "33" }, "uris" : [ "http://www.mendeley.com/documents/?uuid=ba312864-593a-4335-beae-94e153d9efdd" ] } ], "mendeley" : { "formattedCitation" : "[6]", "plainTextFormattedCitation" : "[6]", "previouslyFormattedCitation" : "[6]"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[6]</w:t>
      </w:r>
      <w:r>
        <w:rPr>
          <w:rFonts w:cs="Times New Roman"/>
          <w:szCs w:val="24"/>
        </w:rPr>
        <w:fldChar w:fldCharType="end"/>
      </w:r>
      <w:r w:rsidRPr="009D0040">
        <w:rPr>
          <w:rFonts w:cs="Times New Roman"/>
          <w:szCs w:val="24"/>
        </w:rPr>
        <w:t>. После завершения сборки МАК создает трансмембранный канал в клетке, что приводит к ее гибели</w:t>
      </w:r>
      <w:r w:rsidRPr="004A2243">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"DOI" : "10.1007/s12026-011-8239-5", "ISSN" : "0257-277X", "author" : [ { "dropping-particle" : "", "family" : "Tegla", "given" : "Cosmin A.", "non-dropping-particle" : "", "parse-names" : false, "suffix" : "" }, { "dropping-particle" : "", "family" : "Cudrici", "given" : "Cornelia", "non-dropping-particle" : "", "parse-names" : false, "suffix" : "" }, { "dropping-particle" : "", "family" : "Patel", "given" : "Snehal", "non-dropping-particle" : "", "parse-names" : false, "suffix" : "" }, { "dropping-particle" : "", "family" : "Trippe", "given" : "Richard", "non-dropping-particle" : "", "parse-names" : false, "suffix" : "" }, { "dropping-particle" : "", "family" : "Rus", "given" : "Violeta", "non-dropping-particle" : "", "parse-names" : false, "suffix" : "" }, { "dropping-particle" : "", "family" : "Niculescu", "given" : "Florin", "non-dropping-particle" : "", "parse-names" : false, "suffix" : "" }, { "dropping-particle" : "", "family" : "Rus", "given" : "Horea", "non-dropping-particle" : "", "parse-names" : false, "suffix" : "" } ], "container-title" : "Immunologic Research", "id" : "ITEM-1", "issue" : "1", "issued" : { "date-parts" : [ [ "2011", "10", "18" ] ] }, "page" : "45-60", "title" : "Membrane attack by complement: the assembly and biology of terminal complement complexes", "type" : "article-journal", "volume" : "51" }, "uris" : [ "http://www.mendeley.com/documents/?uuid=262175e5-3395-4ea3-8eee-5017321de989" ] }, { "id" : "ITEM-2", "itemData" : { "DOI" : "10.1038/ncomms10587", "ISSN" : "20411723", "abstract" : "In response to complement activation, the membrane attack complex (MAC) assembles from fluid-phase proteins to form pores in lipid bilayers. MAC directly lyses pathogens by a 'multi-hit' mechanism; however, sublytic MAC pores on host cells activate signalling pathways. Previous studies have described the structures of individual MAC components and subcomplexes; however, the molecular details of its assembly and mechanism of action remain unresolved. Here we report the electron cryo-microscopy structure of human MAC at subnanometre resolution. Structural analyses define the stoichiometry of the complete pore and identify a network of interaction interfaces that determine its assembly mechanism. MAC adopts a 'split-washer' configuration, in contrast to the predicted closed ring observed for perforin and cholesterol-dependent cytolysins. Assembly precursors partially penetrate the lipid bilayer, resulting in an irregular \u03b2-barrel pore. Our results demonstrate how differences in symmetric and asymmetric components of the MAC underpin a molecular basis for pore formation and suggest a mechanism of action that extends beyond membrane penetration.", "author" : [ { "dropping-particle" : "", "family" : "Serna", "given" : "Marina", "non-dropping-particle" : "", "parse-names" : false, "suffix" : "" }, { "dropping-particle" : "", "family" : "Giles", "given" : "Joanna L.", "non-dropping-particle" : "", "parse-names" : false, "suffix" : "" }, { "dropping-particle" : "", "family" : "Morgan", "given" : "B. Paul", "non-dropping-particle" : "", "parse-names" : false, "suffix" : "" }, { "dropping-particle" : "", "family" : "Bubeck", "given" : "Doryen", "non-dropping-particle" : "", "parse-names" : false, "suffix" : "" } ], "container-title" : "Nature Communications", "id" : "ITEM-2", "issued" : { "date-parts" : [ [ "2016" ] ] }, "page" : "1-7", "publisher" : "Nature Publishing Group", "title" : "Structural basis of complement membrane attack complex formation", "type" : "article-journal", "volume" : "7" }, "uris" : [ "http://www.mendeley.com/documents/?uuid=7c87d80d-9268-4e1a-9b0f-65f9546d7f78" ] } ], "mendeley" : { "formattedCitation" : "[7,8]", "plainTextFormattedCitation" : "[7,8]", "previouslyFormattedCitation" : "[7,8]"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[7,8]</w:t>
      </w:r>
      <w:r>
        <w:rPr>
          <w:rFonts w:cs="Times New Roman"/>
          <w:szCs w:val="24"/>
        </w:rPr>
        <w:fldChar w:fldCharType="end"/>
      </w:r>
      <w:r w:rsidRPr="009D0040">
        <w:rPr>
          <w:rFonts w:cs="Times New Roman"/>
          <w:szCs w:val="24"/>
        </w:rPr>
        <w:t xml:space="preserve">. В норме активность </w:t>
      </w:r>
      <w:r w:rsidRPr="009D0040">
        <w:rPr>
          <w:rFonts w:cs="Times New Roman"/>
          <w:szCs w:val="24"/>
          <w:lang w:val="en-US"/>
        </w:rPr>
        <w:t>C</w:t>
      </w:r>
      <w:r w:rsidRPr="009D0040">
        <w:rPr>
          <w:rFonts w:cs="Times New Roman"/>
          <w:szCs w:val="24"/>
        </w:rPr>
        <w:t xml:space="preserve">3-конвертазы регулируется </w:t>
      </w:r>
      <w:r w:rsidRPr="009D0040">
        <w:rPr>
          <w:rFonts w:cs="Times New Roman"/>
          <w:szCs w:val="24"/>
          <w:lang w:val="en-US"/>
        </w:rPr>
        <w:t>GPI</w:t>
      </w:r>
      <w:r w:rsidRPr="009D0040">
        <w:rPr>
          <w:rFonts w:cs="Times New Roman"/>
          <w:szCs w:val="24"/>
        </w:rPr>
        <w:t xml:space="preserve">-связанным гликопротеином </w:t>
      </w:r>
      <w:r w:rsidRPr="009D0040">
        <w:rPr>
          <w:rFonts w:cs="Times New Roman"/>
          <w:szCs w:val="24"/>
          <w:lang w:val="en-US"/>
        </w:rPr>
        <w:t>CD</w:t>
      </w:r>
      <w:r w:rsidRPr="009D0040">
        <w:rPr>
          <w:rFonts w:cs="Times New Roman"/>
          <w:szCs w:val="24"/>
        </w:rPr>
        <w:t xml:space="preserve">55, а сборку МАК на поверхности клеток блокирует другой </w:t>
      </w:r>
      <w:r w:rsidRPr="009D0040">
        <w:rPr>
          <w:rFonts w:cs="Times New Roman"/>
          <w:szCs w:val="24"/>
          <w:lang w:val="en-US"/>
        </w:rPr>
        <w:t>GPI</w:t>
      </w:r>
      <w:r w:rsidRPr="009D0040">
        <w:rPr>
          <w:rFonts w:cs="Times New Roman"/>
          <w:szCs w:val="24"/>
        </w:rPr>
        <w:t xml:space="preserve">-связанный ингибитор – </w:t>
      </w:r>
      <w:r w:rsidRPr="009D0040">
        <w:rPr>
          <w:rFonts w:cs="Times New Roman"/>
          <w:szCs w:val="24"/>
          <w:lang w:val="en-US"/>
        </w:rPr>
        <w:t>CD</w:t>
      </w:r>
      <w:r w:rsidRPr="009D0040">
        <w:rPr>
          <w:rFonts w:cs="Times New Roman"/>
          <w:szCs w:val="24"/>
        </w:rPr>
        <w:t>59</w:t>
      </w:r>
      <w:r w:rsidRPr="004A2243">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"DOI" : "10.1073/pnas.96.2.628", "ISSN" : "00278424", "abstract" : "Decay-accelerating factor (DAF) is a glycosylphosphatidylinositol (GPI)- anchored membrane protein that inhibits both the classical and the alternative pathways of complement activation. DAF has been studied extensively in humans under two clinical settings: when absent from the erythrocytes of paroxysmal nocturnal hemoglobinuria (PNH) patients, who suffer from complement-mediated hemolytic anemia, and in transgenic pigs expressing human DAF, which have been developed to help overcome complement- mediated hyperacute rejection in xenotransplantation. Nevertheless, the exact role of DAF in regulating complement activation in vivo on the cell surface and the species specificity of this molecule remain to be fully characterized. To address these issues, we have used gene targeting to produce mice lacking GPI-anchored DAF. We found that erythrocytes from mice deficient in GPI-anchored DAF showed no increase in spontaneous complement activation in vivo but exhibited impaired regulation of zymosan-initiated bystander and antibody-triggered classical pathway complement activation in vitro, resulting in enhanced complement deposition. Despite a high level of C3 fixation, no homologous hemolysis occurred. It is noteworthy that GPI- linked DAF knockout erythrocytes, when tested with human and guinea pig sera, were more susceptible to heterologous complement lysis than were normal erythrocytes. These results suggest that DAF is capable of regulating homologous as well as heterologous complement activation via the alternative or the classical pathway. They also indicate that DAF deficiency alone is not sufficient to cause homologous hemolysis. In contrast, when the assembly of the membrane-attack complex is not properly regulated, as in the case of heterologous complement activation or in PNH patients, impaired erythrocyte DAF activity and enhanced C3 deposition could lead to increased hemolytic reaction.", "author" : [ { "dropping-particle" : "", "family" : "Sun", "given" : "Xiujun", "non-dropping-particle" : "", "parse-names" : false, "suffix" : "" }, { "dropping-particle" : "", "family" : "Funk", "given" : "Colin D.", "non-dropping-particle" : "", "parse-names" : false, "suffix" : "" }, { "dropping-particle" : "", "family" : "Deng", "given" : "Chengjun", "non-dropping-particle" : "", "parse-names" : false, "suffix" : "" }, { "dropping-particle" : "", "family" : "Sahu", "given" : "Arvind", "non-dropping-particle" : "", "parse-names" : false, "suffix" : "" }, { "dropping-particle" : "", "family" : "Lambris", "given" : "John D.", "non-dropping-particle" : "", "parse-names" : false, "suffix" : "" }, { "dropping-particle" : "", "family" : "Song", "given" : "Wen Chao", "non-dropping-particle" : "", "parse-names" : false, "suffix" : "" } ], "container-title" : "Proceedings of the National Academy of Sciences of the United States of America", "id" : "ITEM-1", "issue" : "2", "issued" : { "date-parts" : [ [ "1999" ] ] }, "page" : "628-633", "title" : "Role of decay-accelerating factor in regulating complement activation on the erythrocyte surface as revealed by gene targeting", "type" : "article-journal", "volume" : "96" }, "uris" : [ "http://www.mendeley.com/documents/?uuid=9e57e09f-2620-4664-a63c-ef813afcff81" ] }, { "id" : "ITEM-2", "itemData" : { "DOI" : "10.1046/j.1365-2567.2000.00086.x", "ISSN" : "00192805", "abstract" : "The decay-accelerating factor (DAF) contains four complement control protein repeats (CCPs) with a single N-linked glycan positioned between CCPs 1 and 2. In previous studies we found that the classical pathway regulatory activity of DAF resides in CCPs 2 and 3 while its alternative pathway regulatory activity resides in CCPs 2, 3 and 4. Molecular modelling of the protein predicted that a positively charged surface area on CCPs 2 and 3 (including KKK125-127) and nearby exposed hydrophobic residues (L147F148) on CCP3 may function as ligand-binding sites. To assess the roles of the N-linked glycan and the above two sets of amino acids in the function of DAF, we mutated N61 to Q, KKK125-127 to TTT and L147F148 to SS. Following expression of the mutated cDNAs in Chinese hamster ovary cells, the glycosylphosphatidylinositol (GPI)-anchored mutant proteins were affinity purified and their functions were assessed. In initial assays, the proteins were incorporated into sheep and rabbit erythrocytes and the effects of the mutations on regulation of classical and alternative C3 convertase activity were quantified by measuring C3b deposition. Since DAF also functions on C5 convertases, comparative haemolytic assays of cells bearing each mutant protein were performed. Finally, to establish if spatial orientation between DAF and the convertases on the cell surface played any role in the observed effects, fluid-phase C3a generation assays were performed. All three assays gave equivalent results and showed that the N-linked glycan of DAF is not involved in its regulatory function; that L147F148 in a hydrophobic area of CCP3 is essential in both classical and alternative pathway C3 convertase regulation; and that KKK125-127 in the positively charged pocket between CCPs 2 and 3 is necessary for the regulatory activity of DAF on the alternative pathway C3 convertase but plays a lesser role in its activity on the classical pathway enzyme.", "author" : [ { "dropping-particle" : "", "family" : "Brodbeck", "given" : "W. G.", "non-dropping-particle" : "", "parse-names" : false, "suffix" : "" }, { "dropping-particle" : "", "family" : "Kuttner-Kondo", "given" : "L.", "non-dropping-particle" : "", "parse-names" : false, "suffix" : "" }, { "dropping-particle" : "", "family" : "Mold", "given" : "C.", "non-dropping-particle" : "", "parse-names" : false, "suffix" : "" }, { "dropping-particle" : "", "family" : "Medof", "given" : "M. E.", "non-dropping-particle" : "", "parse-names" : false, "suffix" : "" } ], "container-title" : "Immunology", "id" : "ITEM-2", "issue" : "1", "issued" : { "date-parts" : [ [ "2000" ] ] }, "page" : "104-111", "title" : "Structure/function studies of human decay-accelerating factor", "type" : "article-journal", "volume" : "101" }, "uris" : [ "http://www.mendeley.com/documents/?uuid=67fd9ae0-555c-4e13-8c57-e3c9d2e76881" ] }, { "id" : "ITEM-3", "itemData" : { "DOI" : "10.1113/jphysiol.2001.013381", "ISSN" : "00223751", "author" : [ { "dropping-particle" : "", "family" : "Farkas", "given" : "Imre", "non-dropping-particle" : "", "parse-names" : false, "suffix" : "" }, { "dropping-particle" : "", "family" : "Baranyi", "given" : "Lajos", "non-dropping-particle" : "", "parse-names" : false, "suffix" : "" }, { "dropping-particle" : "", "family" : "Ishikawa", "given" : "Yasushige", "non-dropping-particle" : "", "parse-names" : false, "suffix" : "" }, { "dropping-particle" : "", "family" : "Okada", "given" : "Noriko", "non-dropping-particle" : "", "parse-names" : false, "suffix" : "" }, { "dropping-particle" : "", "family" : "Bohata", "given" : "Csaba", "non-dropping-particle" : "", "parse-names" : false, "suffix" : "" }, { "dropping-particle" : "", "family" : "Budai", "given" : "Denes", "non-dropping-particle" : "", "parse-names" : false, "suffix" : "" }, { "dropping-particle" : "", "family" : "Fukuda", "given" : "Atsuo", "non-dropping-particle" : "", "parse-names" : false, "suffix" : "" }, { "dropping-particle" : "", "family" : "Imai", "given" : "Masaki", "non-dropping-particle" : "", "parse-names" : false, "suffix" : "" }, { "dropping-particle" : "", "family" : "Okada", "given" : "Hidechika", "non-dropping-particle" : "", "parse-names" : false, "suffix" : "" } ], "container-title" : "The Journal of Physiology", "id" : "ITEM-3", "issue" : "2", "issued" : { "date-parts" : [ [ "2002", "3" ] ] }, "page" : "537-545", "title" : "CD59 blocks not only the insertion of C9 into MAC but inhibits ion channel formation by homologous C5b-8 as well as C5b-9", "type" : "article-journal", "volume" : "539" }, "uris" : [ "http://www.mendeley.com/documents/?uuid=ac3eaf83-8a8a-4b0d-a179-51ac76373fae" ] } ], "mendeley" : { "formattedCitation" : "[9\u201311]", "plainTextFormattedCitation" : "[9\u201311]", "previouslyFormattedCitation" : "[9\u201311]" }, "properties" : { "noteIndex" : 0 }, "schema" : "https://github.com/citation-style-language/schema/raw/master/csl-citation.json" }</w:instrText>
      </w:r>
      <w:r>
        <w:rPr>
          <w:rFonts w:cs="Times New Roman"/>
          <w:szCs w:val="24"/>
        </w:rPr>
        <w:fldChar w:fldCharType="separate"/>
      </w:r>
      <w:proofErr w:type="gramStart"/>
      <w:r w:rsidR="00102A6A" w:rsidRPr="00102A6A">
        <w:rPr>
          <w:rFonts w:cs="Times New Roman"/>
          <w:noProof/>
          <w:szCs w:val="24"/>
        </w:rPr>
        <w:t>[9–11]</w:t>
      </w:r>
      <w:r>
        <w:rPr>
          <w:rFonts w:cs="Times New Roman"/>
          <w:szCs w:val="24"/>
        </w:rPr>
        <w:fldChar w:fldCharType="end"/>
      </w:r>
      <w:r w:rsidRPr="009D0040">
        <w:rPr>
          <w:rFonts w:cs="Times New Roman"/>
          <w:szCs w:val="24"/>
        </w:rPr>
        <w:t xml:space="preserve">. В отсутствие </w:t>
      </w:r>
      <w:r w:rsidRPr="009D0040">
        <w:rPr>
          <w:rFonts w:cs="Times New Roman"/>
          <w:szCs w:val="24"/>
          <w:lang w:val="en-US"/>
        </w:rPr>
        <w:t>CD</w:t>
      </w:r>
      <w:r w:rsidRPr="009D0040">
        <w:rPr>
          <w:rFonts w:cs="Times New Roman"/>
          <w:szCs w:val="24"/>
        </w:rPr>
        <w:t xml:space="preserve">55 и </w:t>
      </w:r>
      <w:r w:rsidRPr="009D0040">
        <w:rPr>
          <w:rFonts w:cs="Times New Roman"/>
          <w:szCs w:val="24"/>
          <w:lang w:val="en-US"/>
        </w:rPr>
        <w:t>CD</w:t>
      </w:r>
      <w:r w:rsidRPr="009D0040">
        <w:rPr>
          <w:rFonts w:cs="Times New Roman"/>
          <w:szCs w:val="24"/>
        </w:rPr>
        <w:t xml:space="preserve">59 на поверхности клеток </w:t>
      </w:r>
      <w:r w:rsidRPr="009D0040">
        <w:rPr>
          <w:rFonts w:cs="Times New Roman"/>
          <w:szCs w:val="24"/>
        </w:rPr>
        <w:lastRenderedPageBreak/>
        <w:t>происходит неконтролируемая активация компонентов комплемента и сборка МАК с последующим лизисом клетки</w:t>
      </w:r>
      <w:proofErr w:type="gramEnd"/>
      <w:r w:rsidRPr="00C82267">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"DOI" : "10.1182/asheducation-2008.1.104", "ISSN" : "15204391", "abstract" : "Paroxysmal nocturnal hemoglobinuria (PNH) is an acquired hemolytic anemia caused by the expansion of a hematopoietic progenitor cell that has acquired a mutation in the X-linked PIGA gene. PNH occurs on the background of bone marrow failure. Bone marrow failure and the presence of the abnormal cells account for the clinical phenotype of patients with PNH including hemolysis, cytopenia, and thrombophilia. PIGA is essential for the synthesis of glycosyl phosphatidylinositol (GPI) anchor molecules. PNH blood cells are therefore deficient in all proteins that use such an anchor molecule for attachment to the cell membrane. Two of these proteins regulate complement activation on the cell surface. Their deficiency therefore explains the exquisite sensitivity of PNH red blood cells to complement-mediated lysis. Complement-mediated lysis of red blood cells is intravascular, and intravascular hemolysis contributes significantly to the morbidity and mortality in patients with this condition. PNH is an outstanding example of how an increased understanding of pathophysiology may directly improve the diagnosis, care, and treatment of disease.", "author" : [ { "dropping-particle" : "", "family" : "Bessler", "given" : "Monica", "non-dropping-particle" : "", "parse-names" : false, "suffix" : "" }, { "dropping-particle" : "", "family" : "Hiken", "given" : "Jeffrey", "non-dropping-particle" : "", "parse-names" : false, "suffix" : "" } ], "container-title" : "Hematology / the Education Program of the American Society of Hematology. American Society of Hematology. Education Program", "id" : "ITEM-1", "issued" : { "date-parts" : [ [ "2008" ] ] }, "page" : "104-110", "title" : "The pathophysiology of disease in patients with paroxysmal nocturnal hemoglobinuria.", "type" : "article-journal" }, "uris" : [ "http://www.mendeley.com/documents/?uuid=b2d6c562-019b-4d33-89dd-5db668c6192f" ] } ], "mendeley" : { "formattedCitation" : "[12]", "plainTextFormattedCitation" : "[12]", "previouslyFormattedCitation" : "[12]"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[12]</w:t>
      </w:r>
      <w:r>
        <w:rPr>
          <w:rFonts w:cs="Times New Roman"/>
          <w:szCs w:val="24"/>
        </w:rPr>
        <w:fldChar w:fldCharType="end"/>
      </w:r>
      <w:r w:rsidRPr="009D0040">
        <w:rPr>
          <w:rFonts w:cs="Times New Roman"/>
          <w:szCs w:val="24"/>
        </w:rPr>
        <w:t>.</w:t>
      </w:r>
    </w:p>
    <w:p w14:paraId="130553C7" w14:textId="77777777" w:rsidR="00804A9E" w:rsidRPr="009D0040" w:rsidRDefault="00804A9E" w:rsidP="00804A9E">
      <w:pPr>
        <w:rPr>
          <w:rFonts w:cs="Times New Roman"/>
          <w:i/>
          <w:szCs w:val="24"/>
        </w:rPr>
      </w:pPr>
      <w:r w:rsidRPr="009D0040">
        <w:rPr>
          <w:rFonts w:cs="Times New Roman"/>
          <w:i/>
          <w:szCs w:val="24"/>
        </w:rPr>
        <w:t>Система свертывания крови при ПНГ</w:t>
      </w:r>
    </w:p>
    <w:p w14:paraId="31D02A3E" w14:textId="6D7B8678" w:rsidR="00804A9E" w:rsidRPr="00804A9E" w:rsidRDefault="00804A9E" w:rsidP="00804A9E">
      <w:pPr>
        <w:rPr>
          <w:rFonts w:cs="Times New Roman"/>
          <w:szCs w:val="24"/>
        </w:rPr>
      </w:pPr>
      <w:proofErr w:type="gramStart"/>
      <w:r w:rsidRPr="009D0040">
        <w:rPr>
          <w:rFonts w:cs="Times New Roman"/>
          <w:szCs w:val="24"/>
        </w:rPr>
        <w:t xml:space="preserve">Механизмы выраженного повышения </w:t>
      </w:r>
      <w:proofErr w:type="spellStart"/>
      <w:r w:rsidRPr="009D0040">
        <w:rPr>
          <w:rFonts w:cs="Times New Roman"/>
          <w:szCs w:val="24"/>
        </w:rPr>
        <w:t>тромбогенности</w:t>
      </w:r>
      <w:proofErr w:type="spellEnd"/>
      <w:r w:rsidRPr="009D0040">
        <w:rPr>
          <w:rFonts w:cs="Times New Roman"/>
          <w:szCs w:val="24"/>
        </w:rPr>
        <w:t xml:space="preserve"> при ПНГ изучены недостаточно</w:t>
      </w:r>
      <w:proofErr w:type="gramEnd"/>
      <w:r>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"DOI" : "10.1182/blood-2012-09-311381", "ISSN" : "15280020", "PMID" : "23610373", "abstract" : "The most frequent and feared complication of paroxysmal nocturnal hemoglobinuria (PNH) is thrombosis. Recent research has demonstrated that the complement and coagulation systems are closely integrated with each influencing the activity of the other to the extent that thrombin itself has recently been shown to activate the alternative pathway of complement. This may explain some of the complexity of the thrombosis in PNH. In this review, the recent changes in our understanding of the pathophysiology of thrombosis in PNH, as well as the treatment of thrombosis, will be discussed. Mechanisms explored include platelet activation, toxicity of free hemoglobin, nitric oxide depletion, absence of other glycosylphosphatidylinositol-linked proteins such as urokinase-type plasminogen activator receptor and endothelial dysfunction. Complement inhibition with eculizumab has a dramatic effect in PNH and has amajor impact in the prevention of thrombosis as well as its management in this disease.", "author" : [ { "dropping-particle" : "", "family" : "Hill", "given" : "Anita", "non-dropping-particle" : "", "parse-names" : false, "suffix" : "" }, { "dropping-particle" : "", "family" : "Kelly", "given" : "Richard J.", "non-dropping-particle" : "", "parse-names" : false, "suffix" : "" }, { "dropping-particle" : "", "family" : "Hillmen", "given" : "Peter", "non-dropping-particle" : "", "parse-names" : false, "suffix" : "" } ], "container-title" : "Blood", "id" : "ITEM-1", "issue" : "25", "issued" : { "date-parts" : [ [ "2013" ] ] }, "page" : "4985-4996", "title" : "Thrombosis in paroxysmal nocturnal hemoglobinuria", "type" : "article-journal", "volume" : "121" }, "uris" : [ "http://www.mendeley.com/documents/?uuid=ab63285b-ace1-45e4-9625-1d9196ea210b" ] } ], "mendeley" : { "formattedCitation" : "[13]", "plainTextFormattedCitation" : "[13]", "previouslyFormattedCitation" : "[13]"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[13]</w:t>
      </w:r>
      <w:r>
        <w:rPr>
          <w:rFonts w:cs="Times New Roman"/>
          <w:szCs w:val="24"/>
        </w:rPr>
        <w:fldChar w:fldCharType="end"/>
      </w:r>
      <w:r w:rsidRPr="009D0040">
        <w:rPr>
          <w:rFonts w:cs="Times New Roman"/>
          <w:szCs w:val="24"/>
        </w:rPr>
        <w:t>. В процессе гемолиза происходит выброс в сосудистое русло большого количества продуктов распада эритроцитов, в том числе свободного гемоглобина</w:t>
      </w:r>
      <w:r>
        <w:rPr>
          <w:rFonts w:cs="Times New Roman"/>
          <w:szCs w:val="24"/>
        </w:rPr>
        <w:t xml:space="preserve">, который </w:t>
      </w:r>
      <w:r w:rsidRPr="009D0040">
        <w:rPr>
          <w:rFonts w:cs="Times New Roman"/>
          <w:szCs w:val="24"/>
        </w:rPr>
        <w:t xml:space="preserve">обладает способностью вызывать активацию тромбоцитов и приводить к истощению запасов оксида азота, развитию локального тромбофлебита и снижению количества </w:t>
      </w:r>
      <w:proofErr w:type="spellStart"/>
      <w:r w:rsidRPr="009D0040">
        <w:rPr>
          <w:rFonts w:cs="Times New Roman"/>
          <w:szCs w:val="24"/>
        </w:rPr>
        <w:t>металлопротеиназы</w:t>
      </w:r>
      <w:proofErr w:type="spellEnd"/>
      <w:r w:rsidRPr="009D0040">
        <w:rPr>
          <w:rFonts w:cs="Times New Roman"/>
          <w:szCs w:val="24"/>
        </w:rPr>
        <w:t xml:space="preserve"> </w:t>
      </w:r>
      <w:r w:rsidRPr="009D0040">
        <w:rPr>
          <w:rFonts w:cs="Times New Roman"/>
          <w:szCs w:val="24"/>
          <w:lang w:val="en-US"/>
        </w:rPr>
        <w:t>ADAMTS</w:t>
      </w:r>
      <w:r w:rsidRPr="009D0040">
        <w:rPr>
          <w:rFonts w:cs="Times New Roman"/>
          <w:szCs w:val="24"/>
        </w:rPr>
        <w:t>13</w:t>
      </w:r>
      <w:r w:rsidRPr="00B21B95">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"DOI" : "10.1001/jama.293.13.1653", "ISSN" : "0098-7484", "author" : [ { "dropping-particle" : "", "family" : "Rother", "given" : "Russell P.", "non-dropping-particle" : "", "parse-names" : false, "suffix" : "" }, { "dropping-particle" : "", "family" : "Bell", "given" : "Leonard", "non-dropping-particle" : "", "parse-names" : false, "suffix" : "" }, { "dropping-particle" : "", "family" : "Hillmen", "given" : "Peter", "non-dropping-particle" : "", "parse-names" : false, "suffix" : "" }, { "dropping-particle" : "", "family" : "Gladwin", "given" : "Mark T.", "non-dropping-particle" : "", "parse-names" : false, "suffix" : "" } ], "container-title" : "JAMA", "id" : "ITEM-1", "issue" : "13", "issued" : { "date-parts" : [ [ "2005", "4", "6" ] ] }, "page" : "1653", "title" : "The Clinical Sequelae of Intravascular Hemolysis and Extracellular Plasma Hemoglobin", "type" : "article-journal", "volume" : "293" }, "uris" : [ "http://www.mendeley.com/documents/?uuid=6c25a089-77b3-4c9d-bddb-8b630ae9652c" ] }, { "id" : "ITEM-2", "itemData" : { "DOI" : "10.1161/01.CIR.93.2.327", "ISSN" : "0009-7322", "author" : [ { "dropping-particle" : "", "family" : "Olsen", "given" : "Stephen B.", "non-dropping-particle" : "", "parse-names" : false, "suffix" : "" }, { "dropping-particle" : "", "family" : "Tang", "given" : "Douglas B.", "non-dropping-particle" : "", "parse-names" : false, "suffix" : "" }, { "dropping-particle" : "", "family" : "Jackson", "given" : "Mark R.", "non-dropping-particle" : "", "parse-names" : false, "suffix" : "" }, { "dropping-particle" : "", "family" : "Gomez", "given" : "Edward R.", "non-dropping-particle" : "", "parse-names" : false, "suffix" : "" }, { "dropping-particle" : "", "family" : "Ayala", "given" : "Benjamin", "non-dropping-particle" : "", "parse-names" : false, "suffix" : "" }, { "dropping-particle" : "", "family" : "Alving", "given" : "Barbara M.", "non-dropping-particle" : "", "parse-names" : false, "suffix" : "" } ], "container-title" : "Circulation", "id" : "ITEM-2", "issue" : "2", "issued" : { "date-parts" : [ [ "1996", "1", "15" ] ] }, "page" : "327-332", "title" : "Enhancement of Platelet Deposition by Cross-Linked Hemoglobin in a Rat Carotid Endarterectomy Model", "type" : "article-journal", "volume" : "93" }, "uris" : [ "http://www.mendeley.com/documents/?uuid=32a9b25d-4904-4607-940f-56cbb49ef44b" ] }, { "id" : "ITEM-3", "itemData" : { "DOI" : "10.1016/S0002-9343(88)80092-5", "ISSN" : "00029343", "author" : [ { "dropping-particle" : "", "family" : "Simionatto", "given" : "Creuza S.", "non-dropping-particle" : "", "parse-names" : false, "suffix" : "" }, { "dropping-particle" : "", "family" : "Cabal", "given" : "Rafael", "non-dropping-particle" : "", "parse-names" : false, "suffix" : "" }, { "dropping-particle" : "", "family" : "Jones", "given" : "Robert L.", "non-dropping-particle" : "", "parse-names" : false, "suffix" : "" }, { "dropping-particle" : "", "family" : "Galbraith", "given" : "Richard A.", "non-dropping-particle" : "", "parse-names" : false, "suffix" : "" } ], "container-title" : "The American Journal of Medicine", "id" : "ITEM-3", "issue" : "4", "issued" : { "date-parts" : [ [ "1988", "10" ] ] }, "page" : "538-540", "title" : "Thrombophlebitis and disturbed hemostasis following administration of intravenous hematin in normal volunteers", "type" : "article-journal", "volume" : "85" }, "uris" : [ "http://www.mendeley.com/documents/?uuid=dec8c7c4-bfaf-4892-9740-0d689cdc30dc" ] }, { "id" : "ITEM-4", "itemData" : { "DOI" : "10.1182/blood-2004-06-2096", "ISSN" : "0006-4971", "abstract" : "Severe ADAMTS13 deficiency in thrombotic thrombocytopenic purpura (TTP) is either constitutional and caused by ADAMTS13 mutations, or acquired and most often due to ADAMTS13 inhibitory autoantibodies. In strongly hemolytic serum of a pediatric patient, diagnosed with TTP postmortem, ADAMTS13 activity was less than 3%. Both parents had an ADAMTS13 activity of approximately 50%. Sequencing of the ADAMTS13 gene revealed an intronic 687-2A&gt;G substitution affecting exon 7, homozygous in the propositus and heterozygous in both parents, confirming constitutional ADAMTS13 deficiency. ADAMTS13 activity of normal plasma was inhibited by incubation with the propositus' serum, suggesting alloantibody formation to ADAMTS13. However, immunoglobulin purified from serum had no ADAMTS13 inhibitory effect, whereas the immunoglobulin-depleted hemolytic serum inhibited ADAMTS13 activity of normal plasma, suggesting an inhibitory effect of hemolysis products. Incubation of hemoglobin, recombinant and from lysed erythrocytes, with normal plasma revealed an ADAMTS13 inhibitory effect at hemoglobin concentrations of 2 g/L or higher.", "author" : [ { "dropping-particle" : "", "family" : "Studt", "given" : "Jan-Dirk", "non-dropping-particle" : "", "parse-names" : false, "suffix" : "" }, { "dropping-particle" : "", "family" : "Hovinga", "given" : "Johanna A. Kremer", "non-dropping-particle" : "", "parse-names" : false, "suffix" : "" }, { "dropping-particle" : "", "family" : "Antoine", "given" : "Gerhard", "non-dropping-particle" : "", "parse-names" : false, "suffix" : "" }, { "dropping-particle" : "", "family" : "Hermann", "given" : "Martin", "non-dropping-particle" : "", "parse-names" : false, "suffix" : "" }, { "dropping-particle" : "", "family" : "Rieger", "given" : "Manfred", "non-dropping-particle" : "", "parse-names" : false, "suffix" : "" }, { "dropping-particle" : "", "family" : "Scheiflinger", "given" : "Friedrich", "non-dropping-particle" : "", "parse-names" : false, "suffix" : "" }, { "dropping-particle" : "", "family" : "La\u0308mmle", "given" : "Bernhard", "non-dropping-particle" : "", "parse-names" : false, "suffix" : "" } ], "container-title" : "Blood", "id" : "ITEM-4", "issue" : "2", "issued" : { "date-parts" : [ [ "2005", "1", "15" ] ] }, "page" : "542-544", "title" : "Fatal congenital thrombotic thrombocytopenic purpura with apparent ADAMTS13 inhibitor: in vitro inhibition of ADAMTS13 activity by hemoglobin", "type" : "article-journal", "volume" : "105" }, "uris" : [ "http://www.mendeley.com/documents/?uuid=a1485452-1411-4c7c-af5a-60da9d4d48e9" ] } ], "mendeley" : { "formattedCitation" : "[14\u201317]", "plainTextFormattedCitation" : "[14\u201317]", "previouslyFormattedCitation" : "[14\u201317]"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[14–17]</w:t>
      </w:r>
      <w:r>
        <w:rPr>
          <w:rFonts w:cs="Times New Roman"/>
          <w:szCs w:val="24"/>
        </w:rPr>
        <w:fldChar w:fldCharType="end"/>
      </w:r>
      <w:r w:rsidRPr="009D0040">
        <w:rPr>
          <w:rFonts w:cs="Times New Roman"/>
          <w:szCs w:val="24"/>
        </w:rPr>
        <w:t xml:space="preserve">. Все перечисленные факторы ассоциируются с повышенным риском </w:t>
      </w:r>
      <w:proofErr w:type="spellStart"/>
      <w:r w:rsidRPr="009D0040">
        <w:rPr>
          <w:rFonts w:cs="Times New Roman"/>
          <w:szCs w:val="24"/>
        </w:rPr>
        <w:t>тромбообразования</w:t>
      </w:r>
      <w:proofErr w:type="spellEnd"/>
      <w:r w:rsidRPr="009D0040">
        <w:rPr>
          <w:rFonts w:cs="Times New Roman"/>
          <w:szCs w:val="24"/>
        </w:rPr>
        <w:t xml:space="preserve">. </w:t>
      </w:r>
      <w:proofErr w:type="gramStart"/>
      <w:r w:rsidRPr="009D0040">
        <w:rPr>
          <w:rFonts w:cs="Times New Roman"/>
          <w:szCs w:val="24"/>
        </w:rPr>
        <w:t xml:space="preserve">Помимо </w:t>
      </w:r>
      <w:proofErr w:type="spellStart"/>
      <w:r w:rsidRPr="009D0040">
        <w:rPr>
          <w:rFonts w:cs="Times New Roman"/>
          <w:szCs w:val="24"/>
        </w:rPr>
        <w:t>протромбогенных</w:t>
      </w:r>
      <w:proofErr w:type="spellEnd"/>
      <w:r w:rsidRPr="009D0040">
        <w:rPr>
          <w:rFonts w:cs="Times New Roman"/>
          <w:szCs w:val="24"/>
        </w:rPr>
        <w:t xml:space="preserve"> эффектов продуктов распада эритроцитов существуют также прямые взаимодействия между системой комплемента и системой свертывания</w:t>
      </w:r>
      <w:r w:rsidRPr="009A4104">
        <w:rPr>
          <w:rFonts w:cs="Times New Roman"/>
          <w:szCs w:val="24"/>
        </w:rPr>
        <w:t xml:space="preserve"> </w:t>
      </w:r>
      <w:r>
        <w:rPr>
          <w:rFonts w:cs="Times New Roman"/>
          <w:szCs w:val="24"/>
        </w:rPr>
        <w:t xml:space="preserve">крови: компонент С5а способен индуцировать экспрессию лейкоцитами тканевого фактора и ингибитора активатора </w:t>
      </w:r>
      <w:proofErr w:type="spellStart"/>
      <w:r>
        <w:rPr>
          <w:rFonts w:cs="Times New Roman"/>
          <w:szCs w:val="24"/>
        </w:rPr>
        <w:t>плазминогена</w:t>
      </w:r>
      <w:proofErr w:type="spellEnd"/>
      <w:r>
        <w:rPr>
          <w:rFonts w:cs="Times New Roman"/>
          <w:szCs w:val="24"/>
        </w:rPr>
        <w:t xml:space="preserve"> 1 типа</w:t>
      </w:r>
      <w:proofErr w:type="gramEnd"/>
      <w:r>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"DOI" : "10.4049/jimmunol.177.7.4794", "ISSN" : "0022-1767", "abstract" : "Neutrophils and complement are key sentinels of innate immunity and mediators of acute inflammation. Recent studies have suggested that inflammatory processes modulate thrombogenic pathways. To date, the potential cross-talk between innate immunity and thrombosis and the precise molecular pathway by which complement and neatrophils trigger the coagulation process have remained elusive. In this study, we demonstrate that antiphospholipid Ab-induced complement activation and downstream signaling via C5a receptors in neutrophils leads to the induction of tissue factor (TF), a key initiating component of the blood coagulation cascade, TF expression by neutrophils was associated with an enhanced procoagulant activity, as verified by a modified prothrombin time assay inhibited by anti-TF mAb. Inhibition studies using the complement inhibitor compstatin revealed that complement activation is triggered by antiphospholipid syndrome (APS) IgG and leads to the induction of a TF-dependent coagulant activity. Blockade studies using a selective C5a receptor antagonist and stimulation of neutrophils with recombinant human C5a demonstrated that C5a, and its receptor C5aR, mediate the expression of TF in neutrophils and thereby significantly enhance the procoagulant activity of neutrophils exposed to APS serum. These results identify a novel cross-talk between the complement and coagulation cascades that can potentially be exploited therapeutically in the treatment of APS and other complement-associated thrombolic diseases. Copyright \u00a9 2006 by The American Association of Immunologists, Inc.", "author" : [ { "dropping-particle" : "", "family" : "Ritis", "given" : "Konstantinos", "non-dropping-particle" : "", "parse-names" : false, "suffix" : "" }, { "dropping-particle" : "", "family" : "Doumas", "given" : "Michael", "non-dropping-particle" : "", "parse-names" : false, "suffix" : "" }, { "dropping-particle" : "", "family" : "Mastellos", "given" : "Dimitrios", "non-dropping-particle" : "", "parse-names" : false, "suffix" : "" }, { "dropping-particle" : "", "family" : "Micheli", "given" : "Anastasia", "non-dropping-particle" : "", "parse-names" : false, "suffix" : "" }, { "dropping-particle" : "", "family" : "Giaglis", "given" : "Stavros", "non-dropping-particle" : "", "parse-names" : false, "suffix" : "" }, { "dropping-particle" : "", "family" : "Magotti", "given" : "Paola", "non-dropping-particle" : "", "parse-names" : false, "suffix" : "" }, { "dropping-particle" : "", "family" : "Rafail", "given" : "Stavros", "non-dropping-particle" : "", "parse-names" : false, "suffix" : "" }, { "dropping-particle" : "", "family" : "Kartalis", "given" : "Georgios", "non-dropping-particle" : "", "parse-names" : false, "suffix" : "" }, { "dropping-particle" : "", "family" : "Sideras", "given" : "Paschalis", "non-dropping-particle" : "", "parse-names" : false, "suffix" : "" }, { "dropping-particle" : "", "family" : "Lambris", "given" : "John D.", "non-dropping-particle" : "", "parse-names" : false, "suffix" : "" } ], "container-title" : "The Journal of Immunology", "id" : "ITEM-1", "issue" : "7", "issued" : { "date-parts" : [ [ "2006" ] ] }, "page" : "4794-4802", "title" : "A Novel C5a Receptor-Tissue Factor Cross-Talk in Neutrophils Links Innate Immunity to Coagulation Pathways", "type" : "article-journal", "volume" : "177" }, "uris" : [ "http://www.mendeley.com/documents/?uuid=48133d49-29e4-4f1b-aa08-2d90428635d0" ] }, { "id" : "ITEM-2", "itemData" : { "DOI" : "10.1182/blood.V100.2.517", "ISSN" : "1528-0020", "abstract" : "We have recently shown that resting human mast cells (MCs) produce tissue-type plasminogen activator (t-PA) without simultaneously expressing plasminogen activator inhibitor 1 (PAI-1). In the present study we have identified the anaphylatoxin rhC5a as a potent inducer of PAI-1 expression in human MCs and basophils. In primary human skin MCs and primary blood basophils, exposure to rhC5a was followed by an increase from undetectable to significant levels of PAI-1. In addition, rhC5a induced a concentration- and time-dependent increase in PAI-1 antigen in the MC line HMC-1 and the basophil cell line KU-812 and increased the expression of PAI-1 mRNA in HMC-1. In conditioned media of HMC-1 treated with rhC5a, active PAI-1 could be detected. A simultaneous loss of t-PA activity in conditioned media from the same cells indicated that rhC5a-induced PAI-1 was capable of inhibiting the enzymatic activity of coproduced t-PA. Correspondingly, the levels of t-PA\u2013PAI-1 complexes increased in rhC5a-treated cells. When HMC-1 cells were incubated with pertussis toxin or anti-C5a receptor antibodies, the effect of rhC5a on PAI-1 production was completely abolished. Treatment of C5a with plasmin resulted in loss of its ability to induce PAI-1 production in MCs. Considering the suggested role for MCs and components of the complement system in the development of cardiovascular diseases, we hypothesize that MCs, by producing t-PA in a resting state and by expressing PAI-1 when activated by C5a, might participate in the modulation of the balance between proteases and protease inhibitors regulating tissue injury and repair in such disease processes.", "author" : [ { "dropping-particle" : "", "family" : "Wojta", "given" : "Johann", "non-dropping-particle" : "", "parse-names" : false, "suffix" : "" }, { "dropping-particle" : "", "family" : "Kaun", "given" : "Christoph", "non-dropping-particle" : "", "parse-names" : false, "suffix" : "" }, { "dropping-particle" : "", "family" : "Zorn", "given" : "Gerlinde", "non-dropping-particle" : "", "parse-names" : false, "suffix" : "" }, { "dropping-particle" : "", "family" : "Ghannadan", "given" : "Minoo", "non-dropping-particle" : "", "parse-names" : false, "suffix" : "" }, { "dropping-particle" : "", "family" : "Hauswirth", "given" : "Alexander W.", "non-dropping-particle" : "", "parse-names" : false, "suffix" : "" }, { "dropping-particle" : "", "family" : "Sperr", "given" : "Wolfgang R.", "non-dropping-particle" : "", "parse-names" : false, "suffix" : "" }, { "dropping-particle" : "", "family" : "Fritsch", "given" : "Gerhard", "non-dropping-particle" : "", "parse-names" : false, "suffix" : "" }, { "dropping-particle" : "", "family" : "Printz", "given" : "Dieter", "non-dropping-particle" : "", "parse-names" : false, "suffix" : "" }, { "dropping-particle" : "", "family" : "Binder", "given" : "Bernd R.", "non-dropping-particle" : "", "parse-names" : false, "suffix" : "" }, { "dropping-particle" : "", "family" : "Schatzl", "given" : "Georg", "non-dropping-particle" : "", "parse-names" : false, "suffix" : "" }, { "dropping-particle" : "", "family" : "Zwirner", "given" : "Joerg", "non-dropping-particle" : "", "parse-names" : false, "suffix" : "" }, { "dropping-particle" : "", "family" : "Maurer", "given" : "Gerald", "non-dropping-particle" : "", "parse-names" : false, "suffix" : "" }, { "dropping-particle" : "", "family" : "Huber", "given" : "Kurt", "non-dropping-particle" : "", "parse-names" : false, "suffix" : "" }, { "dropping-particle" : "", "family" : "Valent", "given" : "Peter", "non-dropping-particle" : "", "parse-names" : false, "suffix" : "" } ], "container-title" : "Blood", "id" : "ITEM-2", "issue" : "2", "issued" : { "date-parts" : [ [ "2002", "7", "15" ] ] }, "page" : "517-523", "title" : "C5a stimulates production of plasminogen activator inhibitor-1 in human mast cells and basophils", "type" : "article-journal", "volume" : "100" }, "uris" : [ "http://www.mendeley.com/documents/?uuid=502e45fe-9872-4e2f-89a4-3694e30768f7" ] } ], "mendeley" : { "formattedCitation" : "[18,19]", "plainTextFormattedCitation" : "[18,19]", "previouslyFormattedCitation" : "[18,19]"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[18,19]</w:t>
      </w:r>
      <w:r>
        <w:rPr>
          <w:rFonts w:cs="Times New Roman"/>
          <w:szCs w:val="24"/>
        </w:rPr>
        <w:fldChar w:fldCharType="end"/>
      </w:r>
      <w:r w:rsidRPr="009D0040">
        <w:rPr>
          <w:rFonts w:cs="Times New Roman"/>
          <w:szCs w:val="24"/>
        </w:rPr>
        <w:t>.</w:t>
      </w:r>
    </w:p>
    <w:p w14:paraId="2A710852" w14:textId="021AB971" w:rsidR="00B46390" w:rsidRPr="00311757" w:rsidRDefault="00B46390" w:rsidP="00172112">
      <w:pPr>
        <w:pStyle w:val="2"/>
      </w:pPr>
      <w:bookmarkStart w:id="15" w:name="_Toc24641949"/>
      <w:r w:rsidRPr="00B46390">
        <w:t xml:space="preserve">1.3 </w:t>
      </w:r>
      <w:r w:rsidRPr="00311757">
        <w:t>Эпидемиология</w:t>
      </w:r>
      <w:bookmarkEnd w:id="15"/>
      <w:r w:rsidR="00311757" w:rsidRPr="00311757">
        <w:t xml:space="preserve"> </w:t>
      </w:r>
    </w:p>
    <w:p w14:paraId="02F3457A" w14:textId="749C5268" w:rsidR="00094ED6" w:rsidRPr="00804A9E" w:rsidRDefault="00804A9E" w:rsidP="00804A9E">
      <w:pPr>
        <w:rPr>
          <w:rFonts w:cs="Times New Roman"/>
          <w:szCs w:val="24"/>
        </w:rPr>
      </w:pPr>
      <w:r>
        <w:rPr>
          <w:rFonts w:cs="Times New Roman"/>
          <w:szCs w:val="24"/>
        </w:rPr>
        <w:t xml:space="preserve">ПНГ является крайне редким заболеванием. </w:t>
      </w:r>
      <w:proofErr w:type="gramStart"/>
      <w:r w:rsidRPr="009D0040">
        <w:rPr>
          <w:rFonts w:cs="Times New Roman"/>
          <w:szCs w:val="24"/>
        </w:rPr>
        <w:t>По данным международного Регистра ПНГ, инициированного в 2003 г., заболеваемость ПНГ составляет 1-1,5 на 1.000.000 населения в год</w:t>
      </w:r>
      <w:proofErr w:type="gramEnd"/>
      <w:r w:rsidRPr="00573518">
        <w:rPr>
          <w:rFonts w:cs="Times New Roman"/>
          <w:szCs w:val="24"/>
        </w:rPr>
        <w:t xml:space="preserve"> </w:t>
      </w:r>
      <w:r>
        <w:rPr>
          <w:rFonts w:cs="Times New Roman"/>
          <w:szCs w:val="24"/>
        </w:rPr>
        <w:fldChar w:fldCharType="begin" w:fldLock="1"/>
      </w:r>
      <w:r w:rsidR="000727C4">
        <w:rPr>
          <w:rFonts w:cs="Times New Roman"/>
          <w:szCs w:val="24"/>
        </w:rPr>
        <w:instrText>ADDIN CSL_CITATION { "citationItems" : [ { "id" : "ITEM-1", "itemData" : { "DOI" : "10.1007/s12185-016-1995-1", "ISSN" : "18653774", "PMID" : "27059871", "abstract" : "To accurately analyze the clinical characteristics of paroxysmal nocturnal hemoglobinuria (PNH) in different ethnic backgrounds, we retrieved all retrospective studies on clinical characteristics of PNH with a median follow-up period &gt;60\u00a0months published after 2000, analyzed the clinical characteristics of PNH patients in Asia and European/America, and statistically compared enumeration data in these studies. We included 1665 patients in this analysis. The proportion of female patients in Asia was significantly lower than that in Europe/America (P\u00a0=\u00a00.000). Incidence rates of hemoglobinuria and thromboembolism in Asia were significantly lower than in Europe/America (both P values were 0.000). Within the subgroups of patients with thromboembolism, Asian patients had a higher proportion of arterial thrombosis while Western patients had a higher proportion of abdominal venous thrombosis. Bone marrow failure was not clearly defined in most studies. The proportion of patients with pancytopenia was higher in China than in France (P\u00a0=\u00a00.048). The total death rates were similar in both ethnic groups (P\u00a0&gt;\u00a00.05). In Europe/America the major cause of death was thromboembolism and in Asian countries was serious infections. Differences in population characteristics of PNH patients among different ethnic groups indicate the possibility of differential pathogenesis and may be informative for treatment decisions.", "author" : [ { "dropping-particle" : "", "family" : "Yu", "given" : "Fan", "non-dropping-particle" : "", "parse-names" : false, "suffix" : "" }, { "dropping-particle" : "", "family" : "Du", "given" : "Yali", "non-dropping-particle" : "", "parse-names" : false, "suffix" : "" }, { "dropping-particle" : "", "family" : "Han", "given" : "Bing", "non-dropping-particle" : "", "parse-names" : false, "suffix" : "" } ], "container-title" : "International Journal of Hematology", "id" : "ITEM-1", "issue" : "6", "issued" : { "date-parts" : [ [ "2016" ] ] }, "page" : "649-654", "publisher" : "Springer Japan", "title" : "A comparative analysis of clinical characteristics of patients with paroxysmal nocturnal hemoglobinuria between Asia and Europe/America", "type" : "article-journal", "volume" : "103" }, "uris" : [ "http://www.mendeley.com/documents/?uuid=dc8a5912-636f-4ded-aeca-39ee21b0c029" ] }, { "id" : "ITEM-2", "itemData" : { "DOI" : "10.1038/nrdp.2017.28", "ISSN" : "2056-676X", "abstract" : "Paroxysmal nocturnal haemoglobinuria (PNH) is a clonal haematopoietic stem cell (HSC) disease that presents with haemolytic anaemia, thrombosis and smooth muscle dystonias, as well as bone marrow failure in some cases. PNH is caused by somatic mutations in PIGA (which encodes phosphatidylinositol N-acetylglucosaminyltransferase subunit A) in one or more HSC clones. The gene product of PIGA is required for the biosynthesis of glycosylphosphatidylinositol (GPI) anchors; thus, PIGA mutations lead to a deficiency of GPI-anchored proteins, such as complement decay-accelerating factor (also known as CD55) and CD59 glycoprotein (CD59), which are both complement inhibitors. Clinical manifestations of PNH occur when a HSC clone carrying somatic PIGA mutations acquires a growth advantage and differentiates, generating mature blood cells that are deficient of GPI-anchored proteins. The loss of CD55 and CD59 renders PNH erythrocytes susceptible to intravascular haemolysis, which can lead to thrombosis and to much of the morbidity and mortality of PNH. The accumulation of anaphylatoxins (such as C5a) from complement activation might also have a role. The natural history of PNH is highly variable, ranging from quiescent to life-threatening. Therapeutic strategies include terminal complement blockade and bone marrow transplantation. Eculizumab, a monoclonal antibody complement inhibitor, is highly effective and the only licensed therapy for PNH.", "author" : [ { "dropping-particle" : "", "family" : "Hill", "given" : "Anita", "non-dropping-particle" : "", "parse-names" : false, "suffix" : "" }, { "dropping-particle" : "", "family" : "DeZern", "given" : "Amy E", "non-dropping-particle" : "", "parse-names" : false, "suffix" : "" }, { "dropping-particle" : "", "family" : "Kinoshita", "given" : "Taroh", "non-dropping-particle" : "", "parse-names" : false, "suffix" : "" }, { "dropping-particle" : "", "family" : "Brodsky", "given" : "Robert A", "non-dropping-particle" : "", "parse-names" : false, "suffix" : "" } ], "container-title" : "Nature Reviews Disease Primers", "id" : "ITEM-2", "issue" : "1", "issued" : { "date-parts" : [ [ "2017" ] ] }, "page" : "17028", "title" : "Paroxysmal nocturnal haemoglobinuria", "type" : "article-journal", "volume" : "3" }, "uris" : [ "http://www.mendeley.com/documents/?uuid=e30db082-f62d-4ff5-8af4-079643fe61f3" ] } ], "mendeley" : { "formattedCitation" : "[20,21]", "plainTextFormattedCitation" : "[20,21]", "previouslyFormattedCitation" : "[20,21]"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[20,21]</w:t>
      </w:r>
      <w:r>
        <w:rPr>
          <w:rFonts w:cs="Times New Roman"/>
          <w:szCs w:val="24"/>
        </w:rPr>
        <w:fldChar w:fldCharType="end"/>
      </w:r>
      <w:r w:rsidRPr="009D0040">
        <w:rPr>
          <w:rFonts w:cs="Times New Roman"/>
          <w:szCs w:val="24"/>
        </w:rPr>
        <w:t xml:space="preserve">. </w:t>
      </w:r>
      <w:r>
        <w:rPr>
          <w:rFonts w:cs="Times New Roman"/>
          <w:szCs w:val="24"/>
        </w:rPr>
        <w:t>Распространенность составляет 1,59 на 100.000</w:t>
      </w:r>
      <w:r>
        <w:rPr>
          <w:rFonts w:cs="Times New Roman"/>
          <w:szCs w:val="24"/>
          <w:lang w:val="en-US"/>
        </w:rPr>
        <w:t xml:space="preserve"> </w:t>
      </w:r>
      <w:r>
        <w:rPr>
          <w:rFonts w:cs="Times New Roman"/>
          <w:szCs w:val="24"/>
        </w:rPr>
        <w:fldChar w:fldCharType="begin" w:fldLock="1"/>
      </w:r>
      <w:r w:rsidR="000727C4">
        <w:rPr>
          <w:rFonts w:cs="Times New Roman"/>
          <w:szCs w:val="24"/>
        </w:rPr>
        <w:instrText>ADDIN CSL_CITATION { "citationItems" : [ { "id" : "ITEM-1", "itemData" : { "ISSN" : "0007-1048", "abstract" : "Paroxysmal nocturnal hemoglobinuria (PNH) is an acquired clonal stem cell disorder characterized by the expansion of a population of blood cells deficient in glycosylphosphatidylinositol (GPI) linked proteins. This results in the classical clinical features of intravascular hemolysis and thrombosis. PNH is known to be a rare disorder, but its incidence and prevalence have so far been poorly defined with very few studies. In order to better define the incidence and prevalence of PNH, survival data was collected on all patients diagnosed with PNH in the strategic health authorities of North and East Yorkshire, Northern Lincolnshire and West Yorkshire between January 1991 and July 2006. All patients were diagnosed by flow cytometry for GPIlinked antigens on red cells and neutrophils at a single reference laboratory (HMDS). The population of the study region is 3,742,835 (based on the 2001 census of Britain). 76 PNH patients were diagnosed during this time period giving an incidence of 0.13/100,000/year. Based on incidence and survival rates, the estimated 15 year prevalence of PNH is 1.59 per 100,000 resulting in a predicted prevalence of 59 patients in the study region. We have previously demonstrated that a neutrophil clone size &gt;50% is a predictor of increased thrombotic risk\u037e the current study predicts that 25% of patients will have &gt;50% PNH neutrophil clone size, 43% with &gt;10%, and 82% with &gt;1%. Platelet count &gt;100 x 109/L has been used as a criteria to consider primary prophylactic anticoagulation in PNH patients with substantial hemolysis if the neutrophil clone size is &gt;50%. In the current study, the platelet count is &gt;100 x 109/L in 32% of patients and &lt;30 x 109/L in 27%. The primary clinical manifestation of PNH is intravascular hemolysis and although levels of hemolysis vary considerably between patients even those with relatively small PNH clones will have some degree of hemolysis. Levels of LDH (a sensitive marker of hemolysis) were elevated above the upper limit of the normal range in 82.5% of patients. Of the 59 patients in the study region, 33% reported hemoglobinuria. Overall survival was 78% with a median followup of 6.25 years (range 0 to 15 years). Survival was compared between patients with a) hemoglobinuria (89%) vs. those without (76%)\u037e b) neutrophil clone size 50% (81%) vs. &lt;50% (80%) and c) Platelet counts &lt;30 x 109/L (61%) vs. 30 x 109/L (86%) by univariate analysis. Hazard ratios and 95% confidence intervals were estimated using \u2026", "author" : [ { "dropping-particle" : "", "family" : "Hill", "given" : "Anita", "non-dropping-particle" : "", "parse-names" : false, "suffix" : "" }, { "dropping-particle" : "", "family" : "Platts", "given" : "Philip John", "non-dropping-particle" : "", "parse-names" : false, "suffix" : "" }, { "dropping-particle" : "", "family" : "Smith", "given" : "Alex", "non-dropping-particle" : "", "parse-names" : false, "suffix" : "" }, { "dropping-particle" : "", "family" : "Richards", "given" : "Stephen J.", "non-dropping-particle" : "", "parse-names" : false, "suffix" : "" }, { "dropping-particle" : "", "family" : "Cullen", "given" : "Matthew J.", "non-dropping-particle" : "", "parse-names" : false, "suffix" : "" }, { "dropping-particle" : "", "family" : "Hill", "given" : "Quentin a.", "non-dropping-particle" : "", "parse-names" : false, "suffix" : "" }, { "dropping-particle" : "", "family" : "Roman", "given" : "Eve", "non-dropping-particle" : "", "parse-names" : false, "suffix" : "" }, { "dropping-particle" : "", "family" : "Hillmen", "given" : "Peter", "non-dropping-particle" : "", "parse-names" : false, "suffix" : "" } ], "container-title" : "Blood", "id" : "ITEM-1", "issue" : "September 2018", "issued" : { "date-parts" : [ [ "2006" ] ] }, "page" : "Abstract 985", "title" : "The incidence and prevalence of paroxysmal nocturnal hemoglobinuria (PNH) and survival of patients in Yorkshire.", "type" : "article-journal", "volume" : "108" }, "uris" : [ "http://www.mendeley.com/documents/?uuid=fa3bca33-f0b8-4d3d-910f-6368bacd450b" ] } ], "mendeley" : { "formattedCitation" : "[22]", "plainTextFormattedCitation" : "[22]", "previouslyFormattedCitation" : "[22]" }, "properties" : { "noteIndex" : 0 }, "schema" : "https://github.com/citation-style-language/schema/raw/master/csl-citation.json" }</w:instrText>
      </w:r>
      <w:r>
        <w:rPr>
          <w:rFonts w:cs="Times New Roman"/>
          <w:szCs w:val="24"/>
        </w:rPr>
        <w:fldChar w:fldCharType="separate"/>
      </w:r>
      <w:r w:rsidR="00102A6A" w:rsidRPr="00102A6A">
        <w:rPr>
          <w:rFonts w:cs="Times New Roman"/>
          <w:noProof/>
          <w:szCs w:val="24"/>
        </w:rPr>
        <w:t>[22]</w:t>
      </w:r>
      <w:r>
        <w:rPr>
          <w:rFonts w:cs="Times New Roman"/>
          <w:szCs w:val="24"/>
        </w:rPr>
        <w:fldChar w:fldCharType="end"/>
      </w:r>
      <w:r>
        <w:rPr>
          <w:rFonts w:cs="Times New Roman"/>
          <w:szCs w:val="24"/>
        </w:rPr>
        <w:t>.</w:t>
      </w:r>
    </w:p>
    <w:p w14:paraId="49BCF9C4" w14:textId="55723990" w:rsidR="00311757" w:rsidRPr="00311757" w:rsidRDefault="00B46390" w:rsidP="00311757">
      <w:pPr>
        <w:pStyle w:val="2"/>
      </w:pPr>
      <w:bookmarkStart w:id="16" w:name="_Toc24641950"/>
      <w:r w:rsidRPr="00B46390">
        <w:t xml:space="preserve">1.4 </w:t>
      </w:r>
      <w:r w:rsidR="00311757" w:rsidRPr="00311757">
        <w:rPr>
          <w:color w:val="333333"/>
          <w:shd w:val="clear" w:color="auto" w:fill="FFFFFF"/>
        </w:rPr>
        <w:t>Особенности кодирования</w:t>
      </w:r>
      <w:bookmarkEnd w:id="16"/>
    </w:p>
    <w:p w14:paraId="71C6A0A1" w14:textId="14429531" w:rsidR="00315A5D" w:rsidRDefault="00066A45" w:rsidP="00A70F44">
      <w:r>
        <w:t>Пароксизмальная ночная гемоглобинурия</w:t>
      </w:r>
      <w:r w:rsidRPr="00066A45">
        <w:t xml:space="preserve"> </w:t>
      </w:r>
      <w:r>
        <w:t>сог</w:t>
      </w:r>
      <w:r w:rsidR="001E68AB">
        <w:t>ласно МКБ-10 соответствует коду</w:t>
      </w:r>
      <w:r>
        <w:t xml:space="preserve"> </w:t>
      </w:r>
      <w:r>
        <w:rPr>
          <w:lang w:val="en-US"/>
        </w:rPr>
        <w:t>D</w:t>
      </w:r>
      <w:r w:rsidRPr="00066A45">
        <w:t xml:space="preserve">59.5 </w:t>
      </w:r>
      <w:r>
        <w:t>«Пароксизмальная ночная гемоглобинурия».</w:t>
      </w:r>
    </w:p>
    <w:p w14:paraId="41E3249D" w14:textId="31C97EB6" w:rsidR="0032632E" w:rsidRPr="00066A45" w:rsidRDefault="0032632E" w:rsidP="00C57D5D">
      <w:pPr>
        <w:ind w:firstLine="0"/>
      </w:pPr>
    </w:p>
    <w:p w14:paraId="6C0D3BD1" w14:textId="7E3F1EE7" w:rsidR="00B46390" w:rsidRDefault="00B46390" w:rsidP="00311757">
      <w:pPr>
        <w:pStyle w:val="2"/>
      </w:pPr>
      <w:bookmarkStart w:id="17" w:name="_Toc24641951"/>
      <w:r w:rsidRPr="00B46390">
        <w:t>1.5 Классификация</w:t>
      </w:r>
      <w:bookmarkEnd w:id="17"/>
      <w:r w:rsidR="00311757">
        <w:t xml:space="preserve"> </w:t>
      </w:r>
    </w:p>
    <w:p w14:paraId="60997D5A" w14:textId="77777777" w:rsidR="00066A45" w:rsidRPr="00066A45" w:rsidRDefault="00066A45" w:rsidP="00066A45">
      <w:pPr>
        <w:pStyle w:val="17"/>
      </w:pPr>
      <w:r w:rsidRPr="00066A45">
        <w:t>ПНГ целесообразно разделить на 2 основные формы: классическую и ассоциированную с другими гематологическими заболеваниями, характеризующимися дисфункцией костного мозга.</w:t>
      </w:r>
    </w:p>
    <w:p w14:paraId="4C8CF68C" w14:textId="549607CA" w:rsidR="00066A45" w:rsidRPr="00066A45" w:rsidRDefault="00066A45" w:rsidP="00634486">
      <w:pPr>
        <w:pStyle w:val="17"/>
      </w:pPr>
      <w:r w:rsidRPr="00066A45">
        <w:t xml:space="preserve">1. </w:t>
      </w:r>
      <w:r w:rsidRPr="00066A45">
        <w:rPr>
          <w:b/>
          <w:bCs/>
        </w:rPr>
        <w:t xml:space="preserve">Классическая форма </w:t>
      </w:r>
      <w:r w:rsidRPr="00066A45">
        <w:t>характеризуется клинико-лабораторными признаками внутрисосудистого гемолиза без признаков других заболеваний, связанных с недостаточностью костного мозга (</w:t>
      </w:r>
      <w:proofErr w:type="spellStart"/>
      <w:r w:rsidRPr="00066A45">
        <w:t>апластическая</w:t>
      </w:r>
      <w:proofErr w:type="spellEnd"/>
      <w:r w:rsidRPr="00066A45">
        <w:t xml:space="preserve"> анемия (АА), </w:t>
      </w:r>
      <w:proofErr w:type="spellStart"/>
      <w:r w:rsidRPr="00066A45">
        <w:t>миелодиспластический</w:t>
      </w:r>
      <w:proofErr w:type="spellEnd"/>
      <w:r w:rsidRPr="00066A45">
        <w:t xml:space="preserve"> синдром (МДС), идиопатический </w:t>
      </w:r>
      <w:proofErr w:type="spellStart"/>
      <w:r w:rsidRPr="00066A45">
        <w:t>миелофиброз</w:t>
      </w:r>
      <w:proofErr w:type="spellEnd"/>
      <w:r w:rsidRPr="00066A45">
        <w:t>).</w:t>
      </w:r>
    </w:p>
    <w:p w14:paraId="352BAC8F" w14:textId="5B25CF7E" w:rsidR="00066A45" w:rsidRPr="00066A45" w:rsidRDefault="00066A45" w:rsidP="00634486">
      <w:pPr>
        <w:pStyle w:val="17"/>
      </w:pPr>
      <w:r w:rsidRPr="00066A45">
        <w:t xml:space="preserve">2. ПНГ, </w:t>
      </w:r>
      <w:proofErr w:type="gramStart"/>
      <w:r w:rsidRPr="00066A45">
        <w:t>ассоциированная</w:t>
      </w:r>
      <w:proofErr w:type="gramEnd"/>
      <w:r w:rsidRPr="00066A45">
        <w:t xml:space="preserve"> с </w:t>
      </w:r>
      <w:proofErr w:type="spellStart"/>
      <w:r w:rsidRPr="00066A45">
        <w:t>апластической</w:t>
      </w:r>
      <w:proofErr w:type="spellEnd"/>
      <w:r w:rsidRPr="00066A45">
        <w:t xml:space="preserve"> анемией, </w:t>
      </w:r>
      <w:r w:rsidRPr="00066A45">
        <w:rPr>
          <w:b/>
          <w:bCs/>
        </w:rPr>
        <w:t>(АА / ПНГ)</w:t>
      </w:r>
      <w:r w:rsidRPr="00066A45">
        <w:t xml:space="preserve">, </w:t>
      </w:r>
      <w:proofErr w:type="spellStart"/>
      <w:r w:rsidRPr="00066A45">
        <w:t>миелодиспластическим</w:t>
      </w:r>
      <w:proofErr w:type="spellEnd"/>
      <w:r w:rsidRPr="00066A45">
        <w:t xml:space="preserve"> синдромом </w:t>
      </w:r>
      <w:r w:rsidRPr="00066A45">
        <w:rPr>
          <w:b/>
          <w:bCs/>
        </w:rPr>
        <w:t>(МДС /ПНГ)</w:t>
      </w:r>
      <w:r w:rsidRPr="00066A45">
        <w:t xml:space="preserve"> и, крайне редко, </w:t>
      </w:r>
      <w:proofErr w:type="spellStart"/>
      <w:r w:rsidRPr="00066A45">
        <w:t>миелофиброзом</w:t>
      </w:r>
      <w:proofErr w:type="spellEnd"/>
      <w:r w:rsidRPr="00066A45">
        <w:t xml:space="preserve"> (</w:t>
      </w:r>
      <w:r w:rsidRPr="00066A45">
        <w:rPr>
          <w:b/>
          <w:bCs/>
        </w:rPr>
        <w:t xml:space="preserve">идиопатический </w:t>
      </w:r>
      <w:proofErr w:type="spellStart"/>
      <w:r w:rsidRPr="00066A45">
        <w:rPr>
          <w:b/>
          <w:bCs/>
        </w:rPr>
        <w:t>миелофиброз</w:t>
      </w:r>
      <w:proofErr w:type="spellEnd"/>
      <w:r w:rsidRPr="00066A45">
        <w:rPr>
          <w:b/>
          <w:bCs/>
        </w:rPr>
        <w:t xml:space="preserve"> /ПНГ</w:t>
      </w:r>
      <w:r w:rsidRPr="00066A45">
        <w:t xml:space="preserve">). В этих случаях у пациентов с гематологической </w:t>
      </w:r>
      <w:r w:rsidRPr="00066A45">
        <w:lastRenderedPageBreak/>
        <w:t>картиной перечисленных заболеваний имеются клинические и лабораторные признаки внутрисосудистого гемолиза, а в периферической крови определяется клон клеток с ПНГ-фенотипом.</w:t>
      </w:r>
    </w:p>
    <w:p w14:paraId="6787B58D" w14:textId="1B2996A6" w:rsidR="00066A45" w:rsidRPr="00066A45" w:rsidRDefault="00066A45" w:rsidP="00066A45">
      <w:pPr>
        <w:pStyle w:val="17"/>
      </w:pPr>
      <w:proofErr w:type="gramStart"/>
      <w:r w:rsidRPr="00066A45">
        <w:t>Применение данной классификации зачастую затруднено, так как почти у всех пациентов с классической ПНГ имеет место костномозговая недостаточность различной степени выраженности</w:t>
      </w:r>
      <w:proofErr w:type="gramEnd"/>
      <w:r w:rsidRPr="00066A45">
        <w:t xml:space="preserve"> </w:t>
      </w:r>
      <w:r w:rsidRPr="00066A45">
        <w:fldChar w:fldCharType="begin" w:fldLock="1"/>
      </w:r>
      <w:r w:rsidR="000727C4">
        <w:instrText>ADDIN CSL_CITATION { "citationItems" : [ { "id" : "ITEM-1", "itemData" : { "DOI" : "10.1182/blood-2014-02-522128", "ISSN" : "0006-4971", "abstract" : "Paroxysmal nocturnal hemoglobinuria (PNH) is a rare bone marrow failure disorder that manifests with hemolytic anemia, thrombosis, and peripheral blood cytopenias. The absence of two glycosylphosphatidylinositol (GPI)-anchored proteins, CD55 and CD59, leads to uncontrolled complement activation that accounts for hemolysis and other PNH manifestations. GPI anchor protein deficiency is almost always due to somatic mutations in phosphatidylinositol glycan class A (PIGA), a gene involved in the first step of GPI anchor biosynthesis; however, alternative mutations that cause PNH have recently been discovered. In addition, hypomorphic germ-line PIGA mutations that do not cause PNH have been shown to be responsible for a condition known as multiple congenital anomalies-hypotonia-seizures syndrome 2. Eculizumab, a first-in-class monoclonal antibody that inhibits terminal complement, is the treatment of choice for patients with severe manifestations of PNH. Bone marrow transplantation remains the only cure for PNH but should be reserved for patients with suboptimal response to eculizumab.", "author" : [ { "dropping-particle" : "", "family" : "Brodsky", "given" : "Robert A", "non-dropping-particle" : "", "parse-names" : false, "suffix" : "" } ], "container-title" : "Blood", "id" : "ITEM-1", "issue" : "18", "issued" : { "date-parts" : [ [ "2014", "10", "30" ] ] }, "page" : "2804-2811", "title" : "Paroxysmal nocturnal hemoglobinuria", "type" : "article-journal", "volume" : "124" }, "uris" : [ "http://www.mendeley.com/documents/?uuid=9220df6e-246a-4107-9d01-72671666f5ff" ] } ], "mendeley" : { "formattedCitation" : "[23]", "plainTextFormattedCitation" : "[23]", "previouslyFormattedCitation" : "[23]" }, "properties" : { "noteIndex" : 0 }, "schema" : "https://github.com/citation-style-language/schema/raw/master/csl-citation.json" }</w:instrText>
      </w:r>
      <w:r w:rsidRPr="00066A45">
        <w:fldChar w:fldCharType="separate"/>
      </w:r>
      <w:r w:rsidR="00102A6A" w:rsidRPr="00102A6A">
        <w:rPr>
          <w:noProof/>
        </w:rPr>
        <w:t>[23]</w:t>
      </w:r>
      <w:r w:rsidRPr="00066A45">
        <w:fldChar w:fldCharType="end"/>
      </w:r>
      <w:r w:rsidRPr="00066A45">
        <w:t>.</w:t>
      </w:r>
    </w:p>
    <w:p w14:paraId="78D5B183" w14:textId="3D54C7AE" w:rsidR="00364741" w:rsidRPr="00066A45" w:rsidRDefault="00066A45" w:rsidP="00066A45">
      <w:pPr>
        <w:pStyle w:val="17"/>
        <w:rPr>
          <w:bCs/>
        </w:rPr>
      </w:pPr>
      <w:r w:rsidRPr="00066A45">
        <w:rPr>
          <w:bCs/>
        </w:rPr>
        <w:t>В ряде зарубежных классификаций и в предыдущей версии российских клинических рекомендаций выделяется «</w:t>
      </w:r>
      <w:r w:rsidR="00CA4145">
        <w:rPr>
          <w:bCs/>
        </w:rPr>
        <w:t>субклиническая</w:t>
      </w:r>
      <w:r w:rsidRPr="00066A45">
        <w:rPr>
          <w:bCs/>
        </w:rPr>
        <w:t xml:space="preserve"> форма ПНГ», характеризующаяся присутствием в крови пациентов минорного клона ПНГ в отсутствии клинических и лабораторных признаков гемолиза. </w:t>
      </w:r>
      <w:proofErr w:type="gramStart"/>
      <w:r w:rsidRPr="00066A45">
        <w:rPr>
          <w:bCs/>
        </w:rPr>
        <w:t>По мнению авторов, данную ситуацию следует рассматривать не как форму заболевания, а как приобретенное носительство патологической мутации и, как следствие, минорного ПНГ-клона, требующее динамического наблюдения специалистов-гематологов</w:t>
      </w:r>
      <w:r w:rsidR="00102A6A">
        <w:rPr>
          <w:bCs/>
        </w:rPr>
        <w:t xml:space="preserve"> п</w:t>
      </w:r>
      <w:r w:rsidRPr="00102A6A">
        <w:rPr>
          <w:bCs/>
        </w:rPr>
        <w:t xml:space="preserve">о аналогии с </w:t>
      </w:r>
      <w:proofErr w:type="spellStart"/>
      <w:r w:rsidRPr="00102A6A">
        <w:rPr>
          <w:bCs/>
        </w:rPr>
        <w:t>моноклональной</w:t>
      </w:r>
      <w:proofErr w:type="spellEnd"/>
      <w:r w:rsidRPr="00102A6A">
        <w:rPr>
          <w:bCs/>
        </w:rPr>
        <w:t xml:space="preserve"> </w:t>
      </w:r>
      <w:proofErr w:type="spellStart"/>
      <w:r w:rsidRPr="00102A6A">
        <w:rPr>
          <w:bCs/>
        </w:rPr>
        <w:t>гаммапатией</w:t>
      </w:r>
      <w:proofErr w:type="spellEnd"/>
      <w:r w:rsidRPr="00102A6A">
        <w:rPr>
          <w:bCs/>
        </w:rPr>
        <w:t xml:space="preserve"> неустановленного значения или носительства мутаций гена наследственного </w:t>
      </w:r>
      <w:proofErr w:type="spellStart"/>
      <w:r w:rsidRPr="00102A6A">
        <w:rPr>
          <w:bCs/>
        </w:rPr>
        <w:t>гемохроматоза</w:t>
      </w:r>
      <w:proofErr w:type="spellEnd"/>
      <w:r w:rsidRPr="00102A6A">
        <w:rPr>
          <w:bCs/>
        </w:rPr>
        <w:t xml:space="preserve"> 1 типа без развития перегрузки железом.</w:t>
      </w:r>
      <w:proofErr w:type="gramEnd"/>
    </w:p>
    <w:p w14:paraId="3907D6F7" w14:textId="4A145D1C" w:rsidR="00A70F44" w:rsidRPr="00311757" w:rsidRDefault="00B46390" w:rsidP="00A70F44">
      <w:pPr>
        <w:pStyle w:val="2"/>
      </w:pPr>
      <w:bookmarkStart w:id="18" w:name="_Toc24641952"/>
      <w:r w:rsidRPr="00B46390">
        <w:t>1.6 Клиническая картина</w:t>
      </w:r>
      <w:bookmarkEnd w:id="18"/>
      <w:r w:rsidR="00A70F44">
        <w:t xml:space="preserve"> </w:t>
      </w:r>
    </w:p>
    <w:p w14:paraId="2950381A" w14:textId="77777777" w:rsidR="00066A45" w:rsidRPr="00066A45" w:rsidRDefault="00066A45" w:rsidP="005F276F">
      <w:pPr>
        <w:pStyle w:val="17"/>
        <w:ind w:firstLine="708"/>
      </w:pPr>
      <w:r w:rsidRPr="00066A45">
        <w:t>ПНГ в большинстве случаев развивается постепенно в виде медленно нарастающей слабости, утомляемости, эпизодов желтухи и темной мочи, иногда с субфебрильной температурой. Выраженное ухудшение состояния может наступать в момент гемолитического криза.</w:t>
      </w:r>
    </w:p>
    <w:p w14:paraId="0584F9B1" w14:textId="77777777" w:rsidR="00066A45" w:rsidRPr="00066A45" w:rsidRDefault="00066A45" w:rsidP="00066A45">
      <w:pPr>
        <w:pStyle w:val="17"/>
      </w:pPr>
      <w:r w:rsidRPr="00066A45">
        <w:t>Клинические проявления ПНГ целесообразно разделить на несколько категорий:</w:t>
      </w:r>
    </w:p>
    <w:p w14:paraId="596BB046" w14:textId="0C22D77C" w:rsidR="00066A45" w:rsidRPr="00066A45" w:rsidRDefault="00066A45" w:rsidP="00071AB3">
      <w:pPr>
        <w:pStyle w:val="17"/>
        <w:numPr>
          <w:ilvl w:val="0"/>
          <w:numId w:val="9"/>
        </w:numPr>
      </w:pPr>
      <w:r w:rsidRPr="00066A45">
        <w:t>Симптомы, обусловленные гемолитической анемией</w:t>
      </w:r>
      <w:r w:rsidR="008C3517">
        <w:t>.</w:t>
      </w:r>
    </w:p>
    <w:p w14:paraId="7262F7EE" w14:textId="415658CF" w:rsidR="00066A45" w:rsidRPr="00066A45" w:rsidRDefault="00066A45" w:rsidP="00066A45">
      <w:pPr>
        <w:pStyle w:val="17"/>
      </w:pPr>
      <w:r w:rsidRPr="00066A45">
        <w:t xml:space="preserve">Пациенты жалуются на повышенную утомляемость, одышку, тахикардию, желтушность кожи и слизистых, потемнение мочи (вплоть </w:t>
      </w:r>
      <w:proofErr w:type="gramStart"/>
      <w:r w:rsidRPr="00066A45">
        <w:t>до</w:t>
      </w:r>
      <w:proofErr w:type="gramEnd"/>
      <w:r w:rsidRPr="00066A45">
        <w:t xml:space="preserve"> черной). Состояние может значительно ухудшаться во время гемолитических кризов, развитие которых зачастую провоцируется инфекциями. </w:t>
      </w:r>
    </w:p>
    <w:p w14:paraId="5D80E38B" w14:textId="4191D0E1" w:rsidR="00066A45" w:rsidRPr="00066A45" w:rsidRDefault="00066A45" w:rsidP="00071AB3">
      <w:pPr>
        <w:pStyle w:val="17"/>
        <w:numPr>
          <w:ilvl w:val="0"/>
          <w:numId w:val="9"/>
        </w:numPr>
      </w:pPr>
      <w:r w:rsidRPr="00066A45">
        <w:t>Симптомы, обусловленные тромботическими осложнениями</w:t>
      </w:r>
      <w:r w:rsidR="008C3517">
        <w:t>.</w:t>
      </w:r>
    </w:p>
    <w:p w14:paraId="34A6215D" w14:textId="77777777" w:rsidR="00066A45" w:rsidRPr="00066A45" w:rsidRDefault="00066A45" w:rsidP="00066A45">
      <w:pPr>
        <w:pStyle w:val="17"/>
      </w:pPr>
      <w:r w:rsidRPr="00066A45">
        <w:t xml:space="preserve">Тромбозы являются наиболее частой причиной смерти пациентов с ПНГ. Венозные тромбозы встречаются несколько чаще артериальных и характеризуются необычной локализацией: тромбозы собственных вен печени (синдром </w:t>
      </w:r>
      <w:proofErr w:type="spellStart"/>
      <w:r w:rsidRPr="00066A45">
        <w:t>Бадда-Киари</w:t>
      </w:r>
      <w:proofErr w:type="spellEnd"/>
      <w:r w:rsidRPr="00066A45">
        <w:t>), сосудов портальной системы, венозных синусов головного мозга. Симптоматика в данных случаях определяется локализацией тромбоза.</w:t>
      </w:r>
    </w:p>
    <w:p w14:paraId="645ACCC4" w14:textId="37D38E9A" w:rsidR="00066A45" w:rsidRPr="00066A45" w:rsidRDefault="00066A45" w:rsidP="00071AB3">
      <w:pPr>
        <w:pStyle w:val="17"/>
        <w:numPr>
          <w:ilvl w:val="0"/>
          <w:numId w:val="9"/>
        </w:numPr>
      </w:pPr>
      <w:r w:rsidRPr="00066A45">
        <w:t>Симптомы, обусловленные гладкомышечной дистонией</w:t>
      </w:r>
      <w:r w:rsidR="008C3517">
        <w:t>.</w:t>
      </w:r>
    </w:p>
    <w:p w14:paraId="0A6E6F32" w14:textId="29BE4741" w:rsidR="00066A45" w:rsidRPr="00066A45" w:rsidRDefault="00066A45" w:rsidP="00066A45">
      <w:pPr>
        <w:pStyle w:val="17"/>
      </w:pPr>
      <w:r w:rsidRPr="00066A45">
        <w:lastRenderedPageBreak/>
        <w:t xml:space="preserve">Предположительно </w:t>
      </w:r>
      <w:r w:rsidR="00D72FDD">
        <w:t>д</w:t>
      </w:r>
      <w:r w:rsidRPr="00066A45">
        <w:t xml:space="preserve">анная категория симптомов обусловлена истощением запасов оксида азота (NO) на фоне выраженного увеличения концентрации свободного гемоглобина в плазме крови. Наиболее характерными клиническими проявлениями гладкомышечной дистонии у </w:t>
      </w:r>
      <w:r w:rsidR="00045FAD">
        <w:t>пациентов с</w:t>
      </w:r>
      <w:r w:rsidRPr="00066A45">
        <w:t xml:space="preserve"> ПНГ являются: дисфагия и спазм пищевода, абдоминальные боли, </w:t>
      </w:r>
      <w:proofErr w:type="spellStart"/>
      <w:r w:rsidRPr="00066A45">
        <w:t>эректильная</w:t>
      </w:r>
      <w:proofErr w:type="spellEnd"/>
      <w:r w:rsidRPr="00066A45">
        <w:t xml:space="preserve"> дисфункция.</w:t>
      </w:r>
    </w:p>
    <w:p w14:paraId="49AC8B88" w14:textId="406E0930" w:rsidR="00066A45" w:rsidRPr="00066A45" w:rsidRDefault="00066A45" w:rsidP="00071AB3">
      <w:pPr>
        <w:pStyle w:val="17"/>
        <w:numPr>
          <w:ilvl w:val="0"/>
          <w:numId w:val="9"/>
        </w:numPr>
      </w:pPr>
      <w:r w:rsidRPr="00066A45">
        <w:t>Другие симптомы</w:t>
      </w:r>
      <w:r w:rsidR="008C3517">
        <w:t>.</w:t>
      </w:r>
    </w:p>
    <w:p w14:paraId="7B71CD59" w14:textId="4806AAD6" w:rsidR="00066A45" w:rsidRPr="00066A45" w:rsidRDefault="00066A45" w:rsidP="00066A45">
      <w:pPr>
        <w:pStyle w:val="17"/>
      </w:pPr>
      <w:proofErr w:type="gramStart"/>
      <w:r w:rsidRPr="00066A45">
        <w:t>Пациенты с ПНГ имеют в 6 раз более высокий риск развития хронической болезни почек (ХБП), что может быть обусловлено как тромбозами микрососудов почек, так и повреждающим действием депозитов железа, накапливающегося в паренхиме почек в результате распада эритроцитов</w:t>
      </w:r>
      <w:proofErr w:type="gramEnd"/>
      <w:r w:rsidRPr="00066A45">
        <w:t xml:space="preserve"> </w:t>
      </w:r>
      <w:r w:rsidRPr="00066A45">
        <w:fldChar w:fldCharType="begin" w:fldLock="1"/>
      </w:r>
      <w:r w:rsidR="000727C4">
        <w:instrText>ADDIN CSL_CITATION { "citationItems" : [ { "id" : "ITEM-1", "itemData" : { "DOI" : "10.1002/ajh.21757", "ISSN" : "03618609", "PMID" : "20658586", "abstract" : "Paroxysmal nocturnal hemoglobinuria (PNH) is a debilitating and life-threatening disease in which lysis of PNH red blood cells frequently manifests with chronic hemolysis, anemia, and thrombosis. Renal damage in PNH is associated with chronic hemosiderosis and/or microvascular thrombosis. We determined the incidence of renal dysfunction or damage, defined by stages of chronic kidney disease (CKD), in a large cohort of PNH patients and evaluated the safety and efficacy of the complement inhibitor eculizumab in altering its progression. Renal dysfunction or damage was observed in 65% of the study population at baseline with 21% of patients with later stage CKD or kidney failure (glomerular filtration rate [GFR] \u226460 ml/min/1.73 m2; Stage 3, 4, or 5). Eculizumab treatment was safe and well-tolerated in patients with renal dysfunction or damage and resulted in the likelihood of improvement as defined as categorical reduction in CKD stage (P &lt; 0.001) compared with baseline and to placebo (P = 0.04). Improvement in renal function was more commonly seen in patients with baseline CKD Stages 1-2 (67.1% improvement, P &lt; 0.001) although improvement was also observed in patients with CKD Stages 3-4 (P = 0.05). Improvements occurred quickly and were sustained for at least 18 months of treatment. Patients categorized at CKD Stages 3-5 did not worsen during treatment with eculizumab. Overall, 40 (21%) of 195 patients who demonstrated renal dysfunction or damage at baseline were no longer classified as such after 18 months of treatment. Administration of eculizumab to patients with renal dysfunction or damage was well tolerated and was usually associated with clinical improvement. \u00a9 2010 Wiley-Liss, Inc.", "author" : [ { "dropping-particle" : "", "family" : "Hillmen", "given" : "Peter", "non-dropping-particle" : "", "parse-names" : false, "suffix" : "" }, { "dropping-particle" : "", "family" : "Elebute", "given" : "Modupe", "non-dropping-particle" : "", "parse-names" : false, "suffix" : "" }, { "dropping-particle" : "", "family" : "Kelly", "given" : "Richard", "non-dropping-particle" : "", "parse-names" : false, "suffix" : "" }, { "dropping-particle" : "", "family" : "Urbano-Ispizua", "given" : "Alvaro", "non-dropping-particle" : "", "parse-names" : false, "suffix" : "" }, { "dropping-particle" : "", "family" : "Hill", "given" : "Anita", "non-dropping-particle" : "", "parse-names" : false, "suffix" : "" }, { "dropping-particle" : "", "family" : "Rother", "given" : "Russell P.", "non-dropping-particle" : "", "parse-names" : false, "suffix" : "" }, { "dropping-particle" : "", "family" : "Khursigara", "given" : "Gus", "non-dropping-particle" : "", "parse-names" : false, "suffix" : "" }, { "dropping-particle" : "", "family" : "Fu", "given" : "Chieh Lin", "non-dropping-particle" : "", "parse-names" : false, "suffix" : "" }, { "dropping-particle" : "", "family" : "Omine", "given" : "Mitsuhiro", "non-dropping-particle" : "", "parse-names" : false, "suffix" : "" }, { "dropping-particle" : "", "family" : "Browne", "given" : "Paul", "non-dropping-particle" : "", "parse-names" : false, "suffix" : "" }, { "dropping-particle" : "", "family" : "Rosse", "given" : "Wendell", "non-dropping-particle" : "", "parse-names" : false, "suffix" : "" } ], "container-title" : "American Journal of Hematology", "id" : "ITEM-1", "issue" : "8", "issued" : { "date-parts" : [ [ "2010" ] ] }, "page" : "553-559", "title" : "Long-term effect of the complement inhibitor eculizumab on kidney function in patients with paroxysmal nocturnal hemoglobinuria", "type" : "article-journal", "volume" : "85" }, "uris" : [ "http://www.mendeley.com/documents/?uuid=f6272b36-bb41-46d6-9a53-786d5ff8505a" ] } ], "mendeley" : { "formattedCitation" : "[24]", "plainTextFormattedCitation" : "[24]", "previouslyFormattedCitation" : "[24]" }, "properties" : { "noteIndex" : 0 }, "schema" : "https://github.com/citation-style-language/schema/raw/master/csl-citation.json" }</w:instrText>
      </w:r>
      <w:r w:rsidRPr="00066A45">
        <w:fldChar w:fldCharType="separate"/>
      </w:r>
      <w:r w:rsidR="00102A6A" w:rsidRPr="00102A6A">
        <w:rPr>
          <w:noProof/>
        </w:rPr>
        <w:t>[24]</w:t>
      </w:r>
      <w:r w:rsidRPr="00066A45">
        <w:fldChar w:fldCharType="end"/>
      </w:r>
      <w:r w:rsidRPr="00066A45">
        <w:t xml:space="preserve">. </w:t>
      </w:r>
    </w:p>
    <w:p w14:paraId="40C4C588" w14:textId="27F91413" w:rsidR="00066A45" w:rsidRPr="00066A45" w:rsidRDefault="00066A45" w:rsidP="00066A45">
      <w:pPr>
        <w:pStyle w:val="17"/>
      </w:pPr>
      <w:r w:rsidRPr="00066A45">
        <w:t xml:space="preserve">Примерно у 1/3 пациентов с ПНГ, не получающих патогенетической терапии, развиваются симптомы легочной гипертензии. Основной жалобой пациентов в данном случае является одышка. </w:t>
      </w:r>
      <w:proofErr w:type="gramStart"/>
      <w:r w:rsidRPr="00066A45">
        <w:t>Вероятными причинами развития легочной гипертензии могут служить как истощение запасов оксида азота в результате активного гемолиза, так и тромбозы мелких ветвей легочной артерии</w:t>
      </w:r>
      <w:proofErr w:type="gramEnd"/>
      <w:r w:rsidRPr="00066A45">
        <w:t xml:space="preserve"> </w:t>
      </w:r>
      <w:r w:rsidRPr="00066A45">
        <w:fldChar w:fldCharType="begin" w:fldLock="1"/>
      </w:r>
      <w:r w:rsidR="000727C4">
        <w:instrText>ADDIN CSL_CITATION { "citationItems" : [ { "id" : "ITEM-1", "itemData" : { "DOI" : "10.1111/j.1365-2141.2012.09166.x", "ISSN" : "00071048", "PMID" : "22639982", "abstract" : "Pulmonary hypertension is becoming a recognized complication of the hereditary and acquired haemolytic anaemias, associated with a poor prognosis. Recently we reported that patients with paroxysmal nocturnal haemoglobinuria (PNH) have high levels of N-terminal pro-brain natriuretic peptide (NT-proBNP), a biomarker associated with both right and left ventricular dysfunction and cardiac dysfunction. In the current study we evaluated a cohort of patients (N = 29) with haemolytic PNH for elevated pulmonary artery systolic pressure and cardiac function by Doppler-echocardiography. Of the 29 patients, eight were further studied using cardiac magnetic resonance imaging (MRI), as well as two additional patients (number of patients studied using cardiac MRI = 10). Plasma from the first cohort (N = 29) demonstrated intravascular haemolysis associated with a 12-fold increase in median nitric oxide (NO) consumption when compared with healthy volunteers (P &lt; 0\u00b7001). Doppler echocardiography demonstrated normal left ventricular function and elevated pulmonary artery systolic pressure in 41% of patients. Cardiac MRI from the second cohort (N = 10) demonstrated depressed right ventricular function in 80% of PNH patients tested, and 60% had findings suggestive of subclinical small pulmonary emboli. Together, these data suggest a high prevalence of haemolysis-associated NO scavenging, Doppler-estimated systolic pulmonary hypertension, and depressed right ventricular function in patients with PNH. \u00a9 2012 Blackwell Publishing Ltd.", "author" : [ { "dropping-particle" : "", "family" : "Hill", "given" : "Anita", "non-dropping-particle" : "", "parse-names" : false, "suffix" : "" }, { "dropping-particle" : "", "family" : "Sapsford", "given" : "Robert J.", "non-dropping-particle" : "", "parse-names" : false, "suffix" : "" }, { "dropping-particle" : "", "family" : "Scally", "given" : "Andrew", "non-dropping-particle" : "", "parse-names" : false, "suffix" : "" }, { "dropping-particle" : "", "family" : "Kelly", "given" : "Richard", "non-dropping-particle" : "", "parse-names" : false, "suffix" : "" }, { "dropping-particle" : "", "family" : "Richards", "given" : "Stephen J.", "non-dropping-particle" : "", "parse-names" : false, "suffix" : "" }, { "dropping-particle" : "", "family" : "Khurisgara", "given" : "Gus", "non-dropping-particle" : "", "parse-names" : false, "suffix" : "" }, { "dropping-particle" : "", "family" : "Sivananthan", "given" : "Mohan U.", "non-dropping-particle" : "", "parse-names" : false, "suffix" : "" }, { "dropping-particle" : "", "family" : "Hillmen", "given" : "Peter", "non-dropping-particle" : "", "parse-names" : false, "suffix" : "" } ], "container-title" : "British Journal of Haematology", "id" : "ITEM-1", "issue" : "3", "issued" : { "date-parts" : [ [ "2012" ] ] }, "page" : "409-414", "title" : "Under-recognized complications in patients with paroxysmal nocturnal haemoglobinuria: Raised pulmonary pressure and reduced right ventricular function", "type" : "article-journal", "volume" : "158" }, "uris" : [ "http://www.mendeley.com/documents/?uuid=c38f53fc-3713-47fd-a436-037a90bfb05f" ] } ], "mendeley" : { "formattedCitation" : "[25]", "plainTextFormattedCitation" : "[25]", "previouslyFormattedCitation" : "[25]" }, "properties" : { "noteIndex" : 0 }, "schema" : "https://github.com/citation-style-language/schema/raw/master/csl-citation.json" }</w:instrText>
      </w:r>
      <w:r w:rsidRPr="00066A45">
        <w:fldChar w:fldCharType="separate"/>
      </w:r>
      <w:r w:rsidR="00102A6A" w:rsidRPr="00102A6A">
        <w:rPr>
          <w:noProof/>
        </w:rPr>
        <w:t>[25]</w:t>
      </w:r>
      <w:r w:rsidRPr="00066A45">
        <w:fldChar w:fldCharType="end"/>
      </w:r>
      <w:r w:rsidRPr="00066A45">
        <w:t>.</w:t>
      </w:r>
    </w:p>
    <w:p w14:paraId="6DA4D60E" w14:textId="52E1E4B4" w:rsidR="000414F6" w:rsidRDefault="00B46390" w:rsidP="00C4630C">
      <w:pPr>
        <w:pStyle w:val="afff1"/>
      </w:pPr>
      <w:bookmarkStart w:id="19" w:name="_Toc24641953"/>
      <w:r>
        <w:t xml:space="preserve">2. </w:t>
      </w:r>
      <w:r w:rsidR="00CB71DA">
        <w:t>Диагностика</w:t>
      </w:r>
      <w:bookmarkEnd w:id="13"/>
      <w:bookmarkEnd w:id="19"/>
      <w:r w:rsidR="0038545E">
        <w:t xml:space="preserve"> </w:t>
      </w:r>
    </w:p>
    <w:p w14:paraId="0CFD3274" w14:textId="715DE4CC" w:rsidR="00CC5156" w:rsidRPr="00D74813" w:rsidRDefault="00ED5598" w:rsidP="008C3517">
      <w:pPr>
        <w:pStyle w:val="2-6"/>
        <w:ind w:firstLine="708"/>
        <w:rPr>
          <w:i/>
        </w:rPr>
      </w:pPr>
      <w:r w:rsidRPr="00D74813">
        <w:rPr>
          <w:b/>
          <w:i/>
        </w:rPr>
        <w:t xml:space="preserve"> </w:t>
      </w:r>
      <w:r w:rsidR="008C3517">
        <w:rPr>
          <w:i/>
        </w:rPr>
        <w:t>Д</w:t>
      </w:r>
      <w:r w:rsidR="00102A6A">
        <w:rPr>
          <w:i/>
        </w:rPr>
        <w:t>иагноз</w:t>
      </w:r>
      <w:r w:rsidR="008C3517">
        <w:rPr>
          <w:i/>
        </w:rPr>
        <w:t xml:space="preserve"> ПНГ</w:t>
      </w:r>
      <w:r w:rsidR="00102A6A">
        <w:rPr>
          <w:i/>
        </w:rPr>
        <w:t xml:space="preserve"> устанавливается на основании</w:t>
      </w:r>
      <w:r w:rsidR="008C3517" w:rsidRPr="008C3517">
        <w:rPr>
          <w:i/>
        </w:rPr>
        <w:t xml:space="preserve"> </w:t>
      </w:r>
      <w:r w:rsidR="008C3517">
        <w:rPr>
          <w:i/>
        </w:rPr>
        <w:t>характерной клинической и лабораторной картины внутрисосудистого гемолиза и</w:t>
      </w:r>
      <w:r w:rsidR="00102A6A">
        <w:rPr>
          <w:i/>
        </w:rPr>
        <w:t xml:space="preserve"> выявления в периферической крови ПНГ-клона методом проточной </w:t>
      </w:r>
      <w:proofErr w:type="spellStart"/>
      <w:r w:rsidR="00102A6A">
        <w:rPr>
          <w:i/>
        </w:rPr>
        <w:t>цитометрии</w:t>
      </w:r>
      <w:proofErr w:type="spellEnd"/>
      <w:r w:rsidR="008C3517">
        <w:rPr>
          <w:i/>
        </w:rPr>
        <w:t>.</w:t>
      </w:r>
    </w:p>
    <w:p w14:paraId="28B21869" w14:textId="1AA49A0C" w:rsidR="0052679E" w:rsidRDefault="00B46390" w:rsidP="00D72FDD">
      <w:pPr>
        <w:pStyle w:val="2"/>
        <w:divId w:val="266810958"/>
      </w:pPr>
      <w:bookmarkStart w:id="20" w:name="_Toc469402336"/>
      <w:bookmarkStart w:id="21" w:name="_Toc468273531"/>
      <w:bookmarkStart w:id="22" w:name="_Toc468273449"/>
      <w:bookmarkStart w:id="23" w:name="_Toc24641954"/>
      <w:bookmarkEnd w:id="20"/>
      <w:bookmarkEnd w:id="21"/>
      <w:bookmarkEnd w:id="22"/>
      <w:r w:rsidRPr="00B46390">
        <w:t>2.1 Жалобы и анамнез</w:t>
      </w:r>
      <w:bookmarkEnd w:id="23"/>
    </w:p>
    <w:p w14:paraId="535F2F1D" w14:textId="5D2F8507" w:rsidR="00F756F0" w:rsidRPr="00D74813" w:rsidRDefault="00D72FDD" w:rsidP="00334F6C">
      <w:pPr>
        <w:pStyle w:val="2-6"/>
        <w:divId w:val="266810958"/>
        <w:rPr>
          <w:rStyle w:val="affb"/>
          <w:iCs w:val="0"/>
        </w:rPr>
      </w:pPr>
      <w:r>
        <w:rPr>
          <w:rStyle w:val="afffb"/>
          <w:rFonts w:eastAsiaTheme="minorHAnsi" w:cstheme="minorBidi"/>
          <w:color w:val="auto"/>
          <w:sz w:val="24"/>
        </w:rPr>
        <w:t>См. раздел «Клиническая картина»</w:t>
      </w:r>
    </w:p>
    <w:p w14:paraId="3C28C168" w14:textId="5168FB91" w:rsidR="00B46390" w:rsidRDefault="00B46390" w:rsidP="0021676E">
      <w:pPr>
        <w:pStyle w:val="2"/>
        <w:divId w:val="266810958"/>
      </w:pPr>
      <w:bookmarkStart w:id="24" w:name="_Toc24641955"/>
      <w:r w:rsidRPr="00B46390">
        <w:t xml:space="preserve">2.2 </w:t>
      </w:r>
      <w:proofErr w:type="spellStart"/>
      <w:r w:rsidRPr="0021676E">
        <w:t>Физикальное</w:t>
      </w:r>
      <w:proofErr w:type="spellEnd"/>
      <w:r w:rsidRPr="00B46390">
        <w:t xml:space="preserve"> обследование</w:t>
      </w:r>
      <w:bookmarkEnd w:id="24"/>
    </w:p>
    <w:p w14:paraId="344BEE65" w14:textId="77777777" w:rsidR="00D72FDD" w:rsidRPr="00D74813" w:rsidRDefault="00D72FDD" w:rsidP="008C3517">
      <w:pPr>
        <w:pStyle w:val="2-6"/>
        <w:ind w:firstLine="708"/>
        <w:divId w:val="266810958"/>
        <w:rPr>
          <w:rStyle w:val="affb"/>
          <w:iCs w:val="0"/>
        </w:rPr>
      </w:pPr>
      <w:r>
        <w:rPr>
          <w:rStyle w:val="afffb"/>
          <w:rFonts w:eastAsiaTheme="minorHAnsi" w:cstheme="minorBidi"/>
          <w:color w:val="auto"/>
          <w:sz w:val="24"/>
        </w:rPr>
        <w:t>См. раздел «Клиническая картина»</w:t>
      </w:r>
    </w:p>
    <w:p w14:paraId="14517C54" w14:textId="6A741D05" w:rsidR="00B46390" w:rsidRDefault="00B46390" w:rsidP="008C3517">
      <w:pPr>
        <w:pStyle w:val="2"/>
        <w:divId w:val="266810958"/>
      </w:pPr>
      <w:bookmarkStart w:id="25" w:name="_Toc24641956"/>
      <w:r w:rsidRPr="00B46390">
        <w:t>2.3 Лабораторн</w:t>
      </w:r>
      <w:r w:rsidR="00A70F44">
        <w:t>ые диагностические исследования</w:t>
      </w:r>
      <w:bookmarkEnd w:id="25"/>
      <w:r w:rsidR="00174593" w:rsidRPr="00A571EA">
        <w:t xml:space="preserve"> </w:t>
      </w:r>
    </w:p>
    <w:p w14:paraId="24A123EA" w14:textId="167C033F" w:rsidR="00764826" w:rsidRPr="00764826" w:rsidRDefault="00764826" w:rsidP="00764826">
      <w:pPr>
        <w:pStyle w:val="1"/>
        <w:numPr>
          <w:ilvl w:val="0"/>
          <w:numId w:val="0"/>
        </w:numPr>
        <w:ind w:left="284" w:firstLine="424"/>
        <w:divId w:val="266810958"/>
        <w:rPr>
          <w:i/>
          <w:iCs/>
        </w:rPr>
      </w:pPr>
      <w:r w:rsidRPr="004B0562">
        <w:rPr>
          <w:i/>
          <w:iCs/>
        </w:rPr>
        <w:t xml:space="preserve">Золотым стандартом диагностики ПНГ </w:t>
      </w:r>
      <w:r>
        <w:rPr>
          <w:i/>
          <w:iCs/>
        </w:rPr>
        <w:t xml:space="preserve">у пациентов с клинической и лабораторной картиной внутрисосудистого гемолиза </w:t>
      </w:r>
      <w:r w:rsidRPr="004B0562">
        <w:rPr>
          <w:i/>
          <w:iCs/>
        </w:rPr>
        <w:t xml:space="preserve">является определение </w:t>
      </w:r>
      <w:r w:rsidRPr="004B0562">
        <w:rPr>
          <w:i/>
          <w:iCs/>
          <w:lang w:val="en-US"/>
        </w:rPr>
        <w:t>GPI</w:t>
      </w:r>
      <w:r w:rsidRPr="004B0562">
        <w:rPr>
          <w:i/>
          <w:iCs/>
        </w:rPr>
        <w:t>-связанных гликопротеинов на поверхности эритроцитов (</w:t>
      </w:r>
      <w:r w:rsidRPr="004B0562">
        <w:rPr>
          <w:i/>
          <w:iCs/>
          <w:lang w:val="en-US"/>
        </w:rPr>
        <w:t>CD</w:t>
      </w:r>
      <w:r w:rsidRPr="004B0562">
        <w:rPr>
          <w:i/>
          <w:iCs/>
        </w:rPr>
        <w:t xml:space="preserve">55, </w:t>
      </w:r>
      <w:r w:rsidRPr="004B0562">
        <w:rPr>
          <w:i/>
          <w:iCs/>
          <w:lang w:val="en-US"/>
        </w:rPr>
        <w:t>CD</w:t>
      </w:r>
      <w:r w:rsidRPr="004B0562">
        <w:rPr>
          <w:i/>
          <w:iCs/>
        </w:rPr>
        <w:t>59), нейтрофилов (</w:t>
      </w:r>
      <w:r w:rsidRPr="004B0562">
        <w:rPr>
          <w:i/>
          <w:iCs/>
          <w:lang w:val="en-US"/>
        </w:rPr>
        <w:t>CD</w:t>
      </w:r>
      <w:r w:rsidRPr="004B0562">
        <w:rPr>
          <w:i/>
          <w:iCs/>
        </w:rPr>
        <w:t>24/</w:t>
      </w:r>
      <w:r w:rsidRPr="004B0562">
        <w:rPr>
          <w:i/>
          <w:iCs/>
          <w:lang w:val="en-US"/>
        </w:rPr>
        <w:t>FLAER</w:t>
      </w:r>
      <w:r w:rsidRPr="004B0562">
        <w:rPr>
          <w:i/>
          <w:iCs/>
        </w:rPr>
        <w:t>), моноцитов (</w:t>
      </w:r>
      <w:r w:rsidRPr="004B0562">
        <w:rPr>
          <w:i/>
          <w:iCs/>
          <w:lang w:val="en-US"/>
        </w:rPr>
        <w:t>CD</w:t>
      </w:r>
      <w:r w:rsidRPr="004B0562">
        <w:rPr>
          <w:i/>
          <w:iCs/>
        </w:rPr>
        <w:t>14/</w:t>
      </w:r>
      <w:r w:rsidRPr="004B0562">
        <w:rPr>
          <w:i/>
          <w:iCs/>
          <w:lang w:val="en-US"/>
        </w:rPr>
        <w:t>FLAER</w:t>
      </w:r>
      <w:r w:rsidRPr="004B0562">
        <w:rPr>
          <w:i/>
          <w:iCs/>
        </w:rPr>
        <w:t xml:space="preserve">) методом проточной </w:t>
      </w:r>
      <w:proofErr w:type="spellStart"/>
      <w:r w:rsidRPr="004B0562">
        <w:rPr>
          <w:i/>
          <w:iCs/>
        </w:rPr>
        <w:t>цитометрии</w:t>
      </w:r>
      <w:proofErr w:type="spellEnd"/>
      <w:r w:rsidRPr="004B0562">
        <w:rPr>
          <w:i/>
          <w:iCs/>
        </w:rPr>
        <w:t xml:space="preserve">. Ранее использовавшиеся пробы </w:t>
      </w:r>
      <w:proofErr w:type="spellStart"/>
      <w:r w:rsidRPr="004B0562">
        <w:rPr>
          <w:i/>
          <w:iCs/>
        </w:rPr>
        <w:t>Хема</w:t>
      </w:r>
      <w:proofErr w:type="spellEnd"/>
      <w:r w:rsidRPr="004B0562">
        <w:rPr>
          <w:i/>
          <w:iCs/>
        </w:rPr>
        <w:t xml:space="preserve"> (кислотная проба) и </w:t>
      </w:r>
      <w:proofErr w:type="spellStart"/>
      <w:r w:rsidRPr="004B0562">
        <w:rPr>
          <w:i/>
          <w:iCs/>
        </w:rPr>
        <w:t>Хартмана</w:t>
      </w:r>
      <w:proofErr w:type="spellEnd"/>
      <w:r w:rsidRPr="004B0562">
        <w:rPr>
          <w:i/>
          <w:iCs/>
        </w:rPr>
        <w:t xml:space="preserve"> (сахарозная проба) в настоящее время имеют лишь историческое значение</w:t>
      </w:r>
      <w:r w:rsidR="00C31AE6">
        <w:rPr>
          <w:i/>
          <w:iCs/>
        </w:rPr>
        <w:t>.</w:t>
      </w:r>
    </w:p>
    <w:p w14:paraId="602CB28E" w14:textId="6D4E184C" w:rsidR="005F276F" w:rsidRDefault="005F276F" w:rsidP="008C3517">
      <w:pPr>
        <w:pStyle w:val="2"/>
        <w:divId w:val="266810958"/>
        <w:rPr>
          <w:u w:val="none"/>
        </w:rPr>
      </w:pPr>
      <w:bookmarkStart w:id="26" w:name="_Toc24641957"/>
      <w:r w:rsidRPr="005F276F">
        <w:rPr>
          <w:u w:val="none"/>
        </w:rPr>
        <w:t>2.3.1 Диагностика анемии и внутрисосудистого гемолиза</w:t>
      </w:r>
      <w:bookmarkEnd w:id="26"/>
    </w:p>
    <w:p w14:paraId="5475C15C" w14:textId="518D4D6B" w:rsidR="00764826" w:rsidRPr="00764826" w:rsidRDefault="00764826" w:rsidP="00764826">
      <w:pPr>
        <w:spacing w:after="160"/>
        <w:ind w:firstLine="708"/>
        <w:divId w:val="266810958"/>
        <w:rPr>
          <w:bCs/>
        </w:rPr>
      </w:pPr>
      <w:proofErr w:type="gramStart"/>
      <w:r w:rsidRPr="00AD49E9">
        <w:rPr>
          <w:b/>
        </w:rPr>
        <w:lastRenderedPageBreak/>
        <w:t xml:space="preserve">Рекомендуется </w:t>
      </w:r>
      <w:r w:rsidRPr="00AD49E9">
        <w:t xml:space="preserve">всем </w:t>
      </w:r>
      <w:r w:rsidR="00150BAE">
        <w:t>пациентам</w:t>
      </w:r>
      <w:r w:rsidRPr="00AD49E9">
        <w:t xml:space="preserve"> с </w:t>
      </w:r>
      <w:r>
        <w:t xml:space="preserve">подозрением на ПНГ или впервые установленным </w:t>
      </w:r>
      <w:r w:rsidRPr="00AD49E9">
        <w:t>диагнозом</w:t>
      </w:r>
      <w:r>
        <w:t xml:space="preserve"> </w:t>
      </w:r>
      <w:r w:rsidRPr="00AD49E9">
        <w:t>П</w:t>
      </w:r>
      <w:r>
        <w:t>НГ</w:t>
      </w:r>
      <w:r w:rsidRPr="00AD49E9">
        <w:t xml:space="preserve"> исследование рутинных лабораторных показателей с целью </w:t>
      </w:r>
      <w:r>
        <w:t xml:space="preserve">диагностики гемолитической анемии, </w:t>
      </w:r>
      <w:r w:rsidRPr="00AD49E9">
        <w:t xml:space="preserve">оценки функционального состояния внутренних органов (печени и почек), электролитного состава крови, углеводного обмена, сывороточных показателей метаболизма железа, </w:t>
      </w:r>
      <w:r w:rsidRPr="00764826">
        <w:t>системы гемостаза</w:t>
      </w:r>
      <w:r w:rsidR="00C52D41">
        <w:t>, маркеров хронических</w:t>
      </w:r>
      <w:r w:rsidRPr="00AD49E9">
        <w:t xml:space="preserve"> и</w:t>
      </w:r>
      <w:r>
        <w:t>нфекций.</w:t>
      </w:r>
      <w:proofErr w:type="gramEnd"/>
      <w:r>
        <w:t xml:space="preserve"> </w:t>
      </w:r>
      <w:proofErr w:type="gramStart"/>
      <w:r>
        <w:t>Обязательными исследованиями</w:t>
      </w:r>
      <w:r w:rsidRPr="00AD49E9">
        <w:t xml:space="preserve"> являются</w:t>
      </w:r>
      <w:proofErr w:type="gramEnd"/>
      <w:r>
        <w:t xml:space="preserve"> </w:t>
      </w:r>
      <w:r>
        <w:rPr>
          <w:bCs/>
        </w:rPr>
        <w:fldChar w:fldCharType="begin" w:fldLock="1"/>
      </w:r>
      <w:r w:rsidR="00034578">
        <w:rPr>
          <w:bCs/>
        </w:rPr>
        <w:instrText>ADDIN CSL_CITATION { "citationItems" : [ { "id" : "ITEM-1", "itemData" : { "DOI" : "10.1038/nrdp.2017.28", "ISSN" : "2056-676X", "abstract" : "Paroxysmal nocturnal haemoglobinuria (PNH) is a clonal haematopoietic stem cell (HSC) disease that presents with haemolytic anaemia, thrombosis and smooth muscle dystonias, as well as bone marrow failure in some cases. PNH is caused by somatic mutations in PIGA (which encodes phosphatidylinositol N-acetylglucosaminyltransferase subunit A) in one or more HSC clones. The gene product of PIGA is required for the biosynthesis of glycosylphosphatidylinositol (GPI) anchors; thus, PIGA mutations lead to a deficiency of GPI-anchored proteins, such as complement decay-accelerating factor (also known as CD55) and CD59 glycoprotein (CD59), which are both complement inhibitors. Clinical manifestations of PNH occur when a HSC clone carrying somatic PIGA mutations acquires a growth advantage and differentiates, generating mature blood cells that are deficient of GPI-anchored proteins. The loss of CD55 and CD59 renders PNH erythrocytes susceptible to intravascular haemolysis, which can lead to thrombosis and to much of the morbidity and mortality of PNH. The accumulation of anaphylatoxins (such as C5a) from complement activation might also have a role. The natural history of PNH is highly variable, ranging from quiescent to life-threatening. Therapeutic strategies include terminal complement blockade and bone marrow transplantation. Eculizumab, a monoclonal antibody complement inhibitor, is highly effective and the only licensed therapy for PNH.", "author" : [ { "dropping-particle" : "", "family" : "Hill", "given" : "Anita", "non-dropping-particle" : "", "parse-names" : false, "suffix" : "" }, { "dropping-particle" : "", "family" : "DeZern", "given" : "Amy E", "non-dropping-particle" : "", "parse-names" : false, "suffix" : "" }, { "dropping-particle" : "", "family" : "Kinoshita", "given" : "Taroh", "non-dropping-particle" : "", "parse-names" : false, "suffix" : "" }, { "dropping-particle" : "", "family" : "Brodsky", "given" : "Robert A", "non-dropping-particle" : "", "parse-names" : false, "suffix" : "" } ], "container-title" : "Nature Reviews Disease Primers", "id" : "ITEM-1", "issue" : "1", "issued" : { "date-parts" : [ [ "2017" ] ] }, "page" : "17028", "title" : "Paroxysmal nocturnal haemoglobinuria", "type" : "article-journal", "volume" : "3" }, "uris" : [ "http://www.mendeley.com/documents/?uuid=e30db082-f62d-4ff5-8af4-079643fe61f3" ] }, { "id" : "ITEM-2", "itemData" : { "DOI" : "10.1182/blood-2014-02-522128", "ISSN" : "0006-4971", "abstract" : "Paroxysmal nocturnal hemoglobinuria (PNH) is a rare bone marrow failure disorder that manifests with hemolytic anemia, thrombosis, and peripheral blood cytopenias. The absence of two glycosylphosphatidylinositol (GPI)-anchored proteins, CD55 and CD59, leads to uncontrolled complement activation that accounts for hemolysis and other PNH manifestations. GPI anchor protein deficiency is almost always due to somatic mutations in phosphatidylinositol glycan class A (PIGA), a gene involved in the first step of GPI anchor biosynthesis; however, alternative mutations that cause PNH have recently been discovered. In addition, hypomorphic germ-line PIGA mutations that do not cause PNH have been shown to be responsible for a condition known as multiple congenital anomalies-hypotonia-seizures syndrome 2. Eculizumab, a first-in-class monoclonal antibody that inhibits terminal complement, is the treatment of choice for patients with severe manifestations of PNH. Bone marrow transplantation remains the only cure for PNH but should be reserved for patients with suboptimal response to eculizumab.", "author" : [ { "dropping-particle" : "", "family" : "Brodsky", "given" : "Robert A", "non-dropping-particle" : "", "parse-names" : false, "suffix" : "" } ], "container-title" : "Blood", "id" : "ITEM-2", "issue" : "18", "issued" : { "date-parts" : [ [ "2014", "10", "30" ] ] }, "page" : "2804-2811", "title" : "Paroxysmal nocturnal hemoglobinuria", "type" : "article-journal", "volume" : "124" }, "uris" : [ "http://www.mendeley.com/documents/?uuid=9220df6e-246a-4107-9d01-72671666f5ff" ] }, { "id" : "ITEM-3", "itemData" : { "author" : [ { "dropping-particle" : "", "family" : "Sahin", "given" : "Fahri", "non-dropping-particle" : "", "parse-names" : false, "suffix" : "" }, { "dropping-particle" : "", "family" : "Akay", "given" : "Olga Meltem", "non-dropping-particle" : "", "parse-names" : false, "suffix" : "" }, { "dropping-particle" : "", "family" : "Ayer", "given" : "Mesut", "non-dropping-particle" : "", "parse-names" : false, "suffix" : "" }, { "dropping-particle" : "", "family" : "Dal", "given" : "Mehmet Sinan", "non-dropping-particle" : "", "parse-names" : false, "suffix" : "" }, { "dropping-particle" : "", "family" : "Ertop", "given" : "Sehmus", "non-dropping-particle" : "", "parse-names" : false, "suffix" : "" }, { "dropping-particle" : "", "family" : "Ilhan", "given" : "Osman", "non-dropping-particle" : "", "parse-names" : false, "suffix" : "" } ], "id" : "ITEM-3", "issue" : "2", "issued" : { "date-parts" : [ [ "2016" ] ] }, "page" : "19-27", "title" : "Pesg PNH diagnosis , follow-up and treatment guidelines", "type" : "article-journal", "volume" : "6" }, "uris" : [ "http://www.mendeley.com/documents/?uuid=53525ab1-7ece-42da-82a9-4094da57443f" ] } ], "mendeley" : { "formattedCitation" : "[21,23,26]", "plainTextFormattedCitation" : "[21,23,26]", "previouslyFormattedCitation" : "[21,23,26]" }, "properties" : { "noteIndex" : 0 }, "schema" : "https://github.com/citation-style-language/schema/raw/master/csl-citation.json" }</w:instrText>
      </w:r>
      <w:r>
        <w:rPr>
          <w:bCs/>
        </w:rPr>
        <w:fldChar w:fldCharType="separate"/>
      </w:r>
      <w:r w:rsidR="000727C4" w:rsidRPr="000727C4">
        <w:rPr>
          <w:bCs/>
          <w:noProof/>
        </w:rPr>
        <w:t>[21,23,26]</w:t>
      </w:r>
      <w:r>
        <w:rPr>
          <w:bCs/>
        </w:rPr>
        <w:fldChar w:fldCharType="end"/>
      </w:r>
      <w:r>
        <w:rPr>
          <w:bCs/>
        </w:rPr>
        <w:t xml:space="preserve">: </w:t>
      </w:r>
    </w:p>
    <w:p w14:paraId="4487CE46" w14:textId="10F4050C" w:rsidR="00764826" w:rsidRPr="00341A29" w:rsidRDefault="00764826" w:rsidP="00071AB3">
      <w:pPr>
        <w:numPr>
          <w:ilvl w:val="0"/>
          <w:numId w:val="11"/>
        </w:numPr>
        <w:divId w:val="266810958"/>
        <w:rPr>
          <w:szCs w:val="24"/>
        </w:rPr>
      </w:pPr>
      <w:r w:rsidRPr="00447DC8">
        <w:rPr>
          <w:szCs w:val="24"/>
        </w:rPr>
        <w:t xml:space="preserve">общий анализ крови </w:t>
      </w:r>
      <w:r>
        <w:rPr>
          <w:szCs w:val="24"/>
        </w:rPr>
        <w:t xml:space="preserve">с подсчетом </w:t>
      </w:r>
      <w:proofErr w:type="spellStart"/>
      <w:r>
        <w:rPr>
          <w:szCs w:val="24"/>
        </w:rPr>
        <w:t>ретикулоцитов</w:t>
      </w:r>
      <w:proofErr w:type="spellEnd"/>
      <w:r>
        <w:rPr>
          <w:szCs w:val="24"/>
        </w:rPr>
        <w:t xml:space="preserve"> и определением </w:t>
      </w:r>
      <w:proofErr w:type="spellStart"/>
      <w:r>
        <w:rPr>
          <w:szCs w:val="24"/>
        </w:rPr>
        <w:t>эритроцитарных</w:t>
      </w:r>
      <w:proofErr w:type="spellEnd"/>
      <w:r>
        <w:rPr>
          <w:szCs w:val="24"/>
        </w:rPr>
        <w:t xml:space="preserve"> индексов</w:t>
      </w:r>
    </w:p>
    <w:p w14:paraId="290123D4" w14:textId="5FC7DF67" w:rsidR="00764826" w:rsidRDefault="00764826" w:rsidP="00071AB3">
      <w:pPr>
        <w:numPr>
          <w:ilvl w:val="0"/>
          <w:numId w:val="11"/>
        </w:numPr>
        <w:divId w:val="266810958"/>
        <w:rPr>
          <w:szCs w:val="24"/>
        </w:rPr>
      </w:pPr>
      <w:r>
        <w:rPr>
          <w:szCs w:val="24"/>
        </w:rPr>
        <w:t>б</w:t>
      </w:r>
      <w:r w:rsidRPr="00447DC8">
        <w:rPr>
          <w:szCs w:val="24"/>
        </w:rPr>
        <w:t xml:space="preserve">иохимический анализ крови (электролиты, печеночные </w:t>
      </w:r>
      <w:proofErr w:type="spellStart"/>
      <w:r w:rsidRPr="00447DC8">
        <w:rPr>
          <w:szCs w:val="24"/>
        </w:rPr>
        <w:t>трансаминазы</w:t>
      </w:r>
      <w:proofErr w:type="spellEnd"/>
      <w:r w:rsidRPr="00447DC8">
        <w:rPr>
          <w:szCs w:val="24"/>
        </w:rPr>
        <w:t xml:space="preserve">, </w:t>
      </w:r>
      <w:r>
        <w:rPr>
          <w:szCs w:val="24"/>
        </w:rPr>
        <w:t xml:space="preserve">ЛДГ, </w:t>
      </w:r>
      <w:r w:rsidRPr="00447DC8">
        <w:rPr>
          <w:szCs w:val="24"/>
        </w:rPr>
        <w:t xml:space="preserve">глюкоза, </w:t>
      </w:r>
      <w:proofErr w:type="spellStart"/>
      <w:r w:rsidRPr="00447DC8">
        <w:rPr>
          <w:szCs w:val="24"/>
        </w:rPr>
        <w:t>креатинин</w:t>
      </w:r>
      <w:proofErr w:type="spellEnd"/>
      <w:r w:rsidRPr="00447DC8">
        <w:rPr>
          <w:szCs w:val="24"/>
        </w:rPr>
        <w:t xml:space="preserve">, мочевина, общий белок, альбумин, </w:t>
      </w:r>
      <w:r>
        <w:rPr>
          <w:szCs w:val="24"/>
        </w:rPr>
        <w:t>билирубин прямой и непрямой,</w:t>
      </w:r>
      <w:r w:rsidRPr="00447DC8">
        <w:rPr>
          <w:szCs w:val="24"/>
        </w:rPr>
        <w:t xml:space="preserve"> </w:t>
      </w:r>
      <w:proofErr w:type="spellStart"/>
      <w:r w:rsidRPr="00447DC8">
        <w:rPr>
          <w:szCs w:val="24"/>
        </w:rPr>
        <w:t>феррит</w:t>
      </w:r>
      <w:r>
        <w:rPr>
          <w:szCs w:val="24"/>
        </w:rPr>
        <w:t>ин</w:t>
      </w:r>
      <w:proofErr w:type="spellEnd"/>
      <w:r>
        <w:rPr>
          <w:szCs w:val="24"/>
        </w:rPr>
        <w:t xml:space="preserve">, ОЖСС, </w:t>
      </w:r>
      <w:proofErr w:type="spellStart"/>
      <w:r>
        <w:rPr>
          <w:szCs w:val="24"/>
        </w:rPr>
        <w:t>трансферрин</w:t>
      </w:r>
      <w:proofErr w:type="spellEnd"/>
      <w:r>
        <w:rPr>
          <w:szCs w:val="24"/>
        </w:rPr>
        <w:t xml:space="preserve">, железо, свободный гемоглобин плазмы, при доступности – </w:t>
      </w:r>
      <w:proofErr w:type="spellStart"/>
      <w:r>
        <w:rPr>
          <w:szCs w:val="24"/>
        </w:rPr>
        <w:t>гаптоглобин</w:t>
      </w:r>
      <w:proofErr w:type="spellEnd"/>
      <w:r>
        <w:rPr>
          <w:szCs w:val="24"/>
        </w:rPr>
        <w:t xml:space="preserve"> плазмы)</w:t>
      </w:r>
    </w:p>
    <w:p w14:paraId="6E528606" w14:textId="16543AEE" w:rsidR="00052E33" w:rsidRPr="00052E33" w:rsidRDefault="00052E33" w:rsidP="00071AB3">
      <w:pPr>
        <w:numPr>
          <w:ilvl w:val="0"/>
          <w:numId w:val="11"/>
        </w:numPr>
        <w:divId w:val="266810958"/>
        <w:rPr>
          <w:szCs w:val="24"/>
        </w:rPr>
      </w:pPr>
      <w:r w:rsidRPr="00052E33">
        <w:rPr>
          <w:szCs w:val="24"/>
        </w:rPr>
        <w:t xml:space="preserve">прямая проба </w:t>
      </w:r>
      <w:proofErr w:type="spellStart"/>
      <w:r w:rsidRPr="00052E33">
        <w:rPr>
          <w:szCs w:val="24"/>
        </w:rPr>
        <w:t>Кумбса</w:t>
      </w:r>
      <w:proofErr w:type="spellEnd"/>
      <w:r w:rsidRPr="00052E33">
        <w:rPr>
          <w:szCs w:val="24"/>
        </w:rPr>
        <w:t xml:space="preserve"> </w:t>
      </w:r>
    </w:p>
    <w:p w14:paraId="11D25B52" w14:textId="0628CEBE" w:rsidR="00764826" w:rsidRPr="00052E33" w:rsidRDefault="00764826" w:rsidP="00071AB3">
      <w:pPr>
        <w:numPr>
          <w:ilvl w:val="0"/>
          <w:numId w:val="11"/>
        </w:numPr>
        <w:divId w:val="266810958"/>
        <w:rPr>
          <w:szCs w:val="24"/>
        </w:rPr>
      </w:pPr>
      <w:r w:rsidRPr="00052E33">
        <w:rPr>
          <w:szCs w:val="24"/>
        </w:rPr>
        <w:t xml:space="preserve">непрямая проба </w:t>
      </w:r>
      <w:proofErr w:type="spellStart"/>
      <w:r w:rsidRPr="00052E33">
        <w:rPr>
          <w:szCs w:val="24"/>
        </w:rPr>
        <w:t>Кумбса</w:t>
      </w:r>
      <w:proofErr w:type="spellEnd"/>
      <w:r w:rsidR="00C31AE6">
        <w:rPr>
          <w:szCs w:val="24"/>
        </w:rPr>
        <w:t>*</w:t>
      </w:r>
    </w:p>
    <w:p w14:paraId="2BC85209" w14:textId="3C4D0D38" w:rsidR="00764826" w:rsidRPr="00764826" w:rsidRDefault="00764826" w:rsidP="00071AB3">
      <w:pPr>
        <w:numPr>
          <w:ilvl w:val="0"/>
          <w:numId w:val="11"/>
        </w:numPr>
        <w:divId w:val="266810958"/>
        <w:rPr>
          <w:szCs w:val="24"/>
        </w:rPr>
      </w:pPr>
      <w:proofErr w:type="spellStart"/>
      <w:r w:rsidRPr="00764826">
        <w:rPr>
          <w:szCs w:val="24"/>
        </w:rPr>
        <w:t>коагулограмма</w:t>
      </w:r>
      <w:proofErr w:type="spellEnd"/>
    </w:p>
    <w:p w14:paraId="7300FB87" w14:textId="7E004CCC" w:rsidR="00764826" w:rsidRPr="00764826" w:rsidRDefault="00764826" w:rsidP="00071AB3">
      <w:pPr>
        <w:numPr>
          <w:ilvl w:val="0"/>
          <w:numId w:val="11"/>
        </w:numPr>
        <w:divId w:val="266810958"/>
        <w:rPr>
          <w:szCs w:val="24"/>
        </w:rPr>
      </w:pPr>
      <w:r w:rsidRPr="00764826">
        <w:rPr>
          <w:szCs w:val="24"/>
        </w:rPr>
        <w:t xml:space="preserve">анализ мочи общий с определением </w:t>
      </w:r>
      <w:proofErr w:type="spellStart"/>
      <w:r w:rsidRPr="00764826">
        <w:rPr>
          <w:bCs/>
          <w:iCs/>
        </w:rPr>
        <w:t>гемосидерина</w:t>
      </w:r>
      <w:proofErr w:type="spellEnd"/>
    </w:p>
    <w:p w14:paraId="3EFFEAD4" w14:textId="3423172F" w:rsidR="00764826" w:rsidRDefault="00764826" w:rsidP="00764826">
      <w:pPr>
        <w:shd w:val="clear" w:color="auto" w:fill="FFFFFF"/>
        <w:spacing w:after="200"/>
        <w:divId w:val="266810958"/>
        <w:rPr>
          <w:b/>
          <w:szCs w:val="24"/>
        </w:rPr>
      </w:pPr>
      <w:r w:rsidRPr="00783235">
        <w:rPr>
          <w:b/>
          <w:szCs w:val="24"/>
        </w:rPr>
        <w:t>Уровень убедительности рекомендаций</w:t>
      </w:r>
      <w:proofErr w:type="gramStart"/>
      <w:r w:rsidRPr="00783235">
        <w:rPr>
          <w:b/>
          <w:szCs w:val="24"/>
        </w:rPr>
        <w:t xml:space="preserve"> </w:t>
      </w:r>
      <w:r>
        <w:rPr>
          <w:b/>
          <w:szCs w:val="24"/>
        </w:rPr>
        <w:t>С</w:t>
      </w:r>
      <w:proofErr w:type="gramEnd"/>
      <w:r w:rsidRPr="00783235">
        <w:rPr>
          <w:b/>
          <w:szCs w:val="24"/>
        </w:rPr>
        <w:t xml:space="preserve"> (уровень достоверности доказательств – </w:t>
      </w:r>
      <w:r>
        <w:rPr>
          <w:b/>
          <w:szCs w:val="24"/>
        </w:rPr>
        <w:t>5</w:t>
      </w:r>
      <w:r w:rsidRPr="00783235">
        <w:rPr>
          <w:b/>
          <w:szCs w:val="24"/>
        </w:rPr>
        <w:t>)</w:t>
      </w:r>
    </w:p>
    <w:p w14:paraId="2BD9C0E1" w14:textId="77777777" w:rsidR="00C31AE6" w:rsidRDefault="00764826" w:rsidP="00764826">
      <w:pPr>
        <w:pStyle w:val="aff1"/>
        <w:ind w:left="0" w:firstLine="708"/>
        <w:divId w:val="266810958"/>
        <w:rPr>
          <w:b w:val="0"/>
          <w:bCs/>
          <w:i/>
          <w:iCs/>
        </w:rPr>
      </w:pPr>
      <w:r w:rsidRPr="00823CF4">
        <w:rPr>
          <w:bCs/>
        </w:rPr>
        <w:t>Комментарии</w:t>
      </w:r>
      <w:r w:rsidRPr="00EA6709">
        <w:rPr>
          <w:b w:val="0"/>
        </w:rPr>
        <w:t xml:space="preserve">: </w:t>
      </w:r>
      <w:r>
        <w:rPr>
          <w:b w:val="0"/>
          <w:bCs/>
          <w:i/>
          <w:iCs/>
        </w:rPr>
        <w:t xml:space="preserve">для активного внутрисосудистого гемолиза характерно повышение ЛДГ, общего билирубина за счет непрямой фракции, свободного гемоглобина плазмы, а также истощение </w:t>
      </w:r>
      <w:proofErr w:type="spellStart"/>
      <w:r>
        <w:rPr>
          <w:b w:val="0"/>
          <w:bCs/>
          <w:i/>
          <w:iCs/>
        </w:rPr>
        <w:t>гаптоглобина</w:t>
      </w:r>
      <w:proofErr w:type="spellEnd"/>
      <w:r>
        <w:rPr>
          <w:b w:val="0"/>
          <w:bCs/>
          <w:i/>
          <w:iCs/>
        </w:rPr>
        <w:t xml:space="preserve"> и появление </w:t>
      </w:r>
      <w:proofErr w:type="spellStart"/>
      <w:r>
        <w:rPr>
          <w:b w:val="0"/>
          <w:bCs/>
          <w:i/>
          <w:iCs/>
        </w:rPr>
        <w:t>гемосидерина</w:t>
      </w:r>
      <w:proofErr w:type="spellEnd"/>
      <w:r>
        <w:rPr>
          <w:b w:val="0"/>
          <w:bCs/>
          <w:i/>
          <w:iCs/>
        </w:rPr>
        <w:t xml:space="preserve"> в моче.</w:t>
      </w:r>
      <w:r w:rsidR="00052E33">
        <w:rPr>
          <w:b w:val="0"/>
          <w:bCs/>
          <w:i/>
          <w:iCs/>
        </w:rPr>
        <w:t xml:space="preserve"> </w:t>
      </w:r>
    </w:p>
    <w:p w14:paraId="7CBFB7DB" w14:textId="55BA6336" w:rsidR="00764826" w:rsidRPr="00B104EF" w:rsidRDefault="00C31AE6" w:rsidP="00764826">
      <w:pPr>
        <w:pStyle w:val="aff1"/>
        <w:ind w:left="0" w:firstLine="708"/>
        <w:divId w:val="266810958"/>
      </w:pPr>
      <w:r>
        <w:rPr>
          <w:b w:val="0"/>
          <w:bCs/>
          <w:i/>
          <w:iCs/>
        </w:rPr>
        <w:t>*</w:t>
      </w:r>
      <w:r w:rsidR="00052E33">
        <w:rPr>
          <w:b w:val="0"/>
          <w:bCs/>
          <w:i/>
          <w:iCs/>
        </w:rPr>
        <w:t xml:space="preserve">Непрямая проба </w:t>
      </w:r>
      <w:proofErr w:type="spellStart"/>
      <w:r w:rsidR="00052E33">
        <w:rPr>
          <w:b w:val="0"/>
          <w:bCs/>
          <w:i/>
          <w:iCs/>
        </w:rPr>
        <w:t>Кумбса</w:t>
      </w:r>
      <w:proofErr w:type="spellEnd"/>
      <w:r w:rsidR="00052E33">
        <w:rPr>
          <w:b w:val="0"/>
          <w:bCs/>
          <w:i/>
          <w:iCs/>
        </w:rPr>
        <w:t xml:space="preserve"> проводится только </w:t>
      </w:r>
      <w:r w:rsidR="00150BAE">
        <w:rPr>
          <w:b w:val="0"/>
          <w:bCs/>
          <w:i/>
          <w:iCs/>
        </w:rPr>
        <w:t>пациентам</w:t>
      </w:r>
      <w:r w:rsidR="00052E33">
        <w:rPr>
          <w:b w:val="0"/>
          <w:bCs/>
          <w:i/>
          <w:iCs/>
        </w:rPr>
        <w:t xml:space="preserve">, получающим </w:t>
      </w:r>
      <w:r>
        <w:rPr>
          <w:b w:val="0"/>
          <w:bCs/>
          <w:i/>
          <w:iCs/>
        </w:rPr>
        <w:t xml:space="preserve">заместительные </w:t>
      </w:r>
      <w:r w:rsidR="00052E33">
        <w:rPr>
          <w:b w:val="0"/>
          <w:bCs/>
          <w:i/>
          <w:iCs/>
        </w:rPr>
        <w:t>гемотрансфузии.</w:t>
      </w:r>
    </w:p>
    <w:p w14:paraId="61FD530E" w14:textId="56BF10D7" w:rsidR="00764826" w:rsidRDefault="00764826" w:rsidP="00764826">
      <w:pPr>
        <w:pStyle w:val="aff1"/>
        <w:ind w:left="0" w:firstLine="708"/>
        <w:divId w:val="266810958"/>
      </w:pPr>
    </w:p>
    <w:p w14:paraId="6FD3A5E3" w14:textId="16FBDAF9" w:rsidR="00764826" w:rsidRDefault="00764826" w:rsidP="00764826">
      <w:pPr>
        <w:pStyle w:val="2"/>
        <w:divId w:val="266810958"/>
        <w:rPr>
          <w:u w:val="none"/>
        </w:rPr>
      </w:pPr>
      <w:bookmarkStart w:id="27" w:name="_Toc24641958"/>
      <w:r w:rsidRPr="005F276F">
        <w:rPr>
          <w:u w:val="none"/>
        </w:rPr>
        <w:t>2.3.</w:t>
      </w:r>
      <w:r>
        <w:rPr>
          <w:u w:val="none"/>
        </w:rPr>
        <w:t>2</w:t>
      </w:r>
      <w:r w:rsidRPr="005F276F">
        <w:rPr>
          <w:u w:val="none"/>
        </w:rPr>
        <w:t xml:space="preserve"> Диагностика </w:t>
      </w:r>
      <w:r>
        <w:rPr>
          <w:u w:val="none"/>
        </w:rPr>
        <w:t>ПНГ-клона</w:t>
      </w:r>
      <w:bookmarkEnd w:id="27"/>
    </w:p>
    <w:p w14:paraId="38788F3D" w14:textId="63903C98" w:rsidR="00920E28" w:rsidRDefault="004B0562" w:rsidP="00764826">
      <w:pPr>
        <w:spacing w:after="160"/>
        <w:ind w:firstLine="360"/>
        <w:divId w:val="266810958"/>
        <w:rPr>
          <w:bCs/>
        </w:rPr>
      </w:pPr>
      <w:proofErr w:type="gramStart"/>
      <w:r w:rsidRPr="004B0562">
        <w:rPr>
          <w:b/>
        </w:rPr>
        <w:t>Рекомендуется</w:t>
      </w:r>
      <w:r w:rsidR="00764826">
        <w:rPr>
          <w:b/>
        </w:rPr>
        <w:t>:</w:t>
      </w:r>
      <w:r w:rsidRPr="004B0562">
        <w:rPr>
          <w:b/>
        </w:rPr>
        <w:t xml:space="preserve"> </w:t>
      </w:r>
      <w:r w:rsidR="00C31AE6" w:rsidRPr="004B0562">
        <w:rPr>
          <w:bCs/>
        </w:rPr>
        <w:t>проведение</w:t>
      </w:r>
      <w:r w:rsidR="00C31AE6">
        <w:rPr>
          <w:bCs/>
        </w:rPr>
        <w:t xml:space="preserve"> </w:t>
      </w:r>
      <w:proofErr w:type="spellStart"/>
      <w:r w:rsidR="00C31AE6">
        <w:rPr>
          <w:bCs/>
        </w:rPr>
        <w:t>иммунофенотипирования</w:t>
      </w:r>
      <w:proofErr w:type="spellEnd"/>
      <w:r w:rsidR="00C31AE6" w:rsidRPr="004B0562">
        <w:rPr>
          <w:bCs/>
        </w:rPr>
        <w:t xml:space="preserve"> </w:t>
      </w:r>
      <w:r w:rsidR="00C31AE6">
        <w:rPr>
          <w:bCs/>
        </w:rPr>
        <w:t xml:space="preserve">клеток крови </w:t>
      </w:r>
      <w:r w:rsidR="003A55CC">
        <w:rPr>
          <w:bCs/>
        </w:rPr>
        <w:t>с целью выявления патологического</w:t>
      </w:r>
      <w:r w:rsidR="00C31AE6" w:rsidRPr="004B0562">
        <w:rPr>
          <w:bCs/>
        </w:rPr>
        <w:t xml:space="preserve"> ПНГ</w:t>
      </w:r>
      <w:r w:rsidR="003A55CC">
        <w:rPr>
          <w:bCs/>
        </w:rPr>
        <w:t>-</w:t>
      </w:r>
      <w:r w:rsidR="00C31AE6" w:rsidRPr="004B0562">
        <w:rPr>
          <w:bCs/>
        </w:rPr>
        <w:t xml:space="preserve">клона </w:t>
      </w:r>
      <w:r w:rsidR="00C31AE6">
        <w:rPr>
          <w:bCs/>
        </w:rPr>
        <w:t>(</w:t>
      </w:r>
      <w:r w:rsidR="00C31AE6" w:rsidRPr="004B0562">
        <w:rPr>
          <w:bCs/>
        </w:rPr>
        <w:t xml:space="preserve">методом проточной </w:t>
      </w:r>
      <w:proofErr w:type="spellStart"/>
      <w:r w:rsidR="00C31AE6" w:rsidRPr="004B0562">
        <w:rPr>
          <w:bCs/>
        </w:rPr>
        <w:t>цитометрии</w:t>
      </w:r>
      <w:proofErr w:type="spellEnd"/>
      <w:r w:rsidR="00C31AE6">
        <w:rPr>
          <w:bCs/>
        </w:rPr>
        <w:t xml:space="preserve">) </w:t>
      </w:r>
      <w:r w:rsidR="00C31AE6" w:rsidRPr="004B0562">
        <w:rPr>
          <w:bCs/>
        </w:rPr>
        <w:t xml:space="preserve"> пациентам </w:t>
      </w:r>
      <w:r w:rsidR="00C31AE6">
        <w:rPr>
          <w:bCs/>
        </w:rPr>
        <w:t>с подозрением на ПНГ</w:t>
      </w:r>
      <w:proofErr w:type="gramEnd"/>
      <w:r w:rsidR="002D3311">
        <w:rPr>
          <w:rFonts w:cs="Times New Roman"/>
          <w:szCs w:val="24"/>
        </w:rPr>
        <w:t xml:space="preserve"> </w:t>
      </w:r>
      <w:r w:rsidR="002D3311">
        <w:rPr>
          <w:rFonts w:cs="Times New Roman"/>
          <w:szCs w:val="24"/>
        </w:rPr>
        <w:fldChar w:fldCharType="begin" w:fldLock="1"/>
      </w:r>
      <w:r w:rsidR="00034578">
        <w:rPr>
          <w:rFonts w:cs="Times New Roman"/>
          <w:szCs w:val="24"/>
        </w:rPr>
        <w:instrText>ADDIN CSL_CITATION { "citationItems" : [ { "id" : "ITEM-1", "itemData" : { "DOI" : "10.1002/cyto.b.20525", "ISSN" : "15524957", "abstract" : "Background: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 \u00a9 2010 Clinical Cytometry Society.", "author" : [ { "dropping-particle" : "", "family" : "Borowitz", "given" : "Michael J.", "non-dropping-particle" : "", "parse-names" : false, "suffix" : "" }, { "dropping-particle" : "", "family" : "Craig", "given" : "Fiona E.", "non-dropping-particle" : "", "parse-names" : false, "suffix" : "" }, { "dropping-particle" : "", "family" : "DiGiuseppe", "given" : "Joseph A.", "non-dropping-particle" : "", "parse-names" : false, "suffix" : "" }, { "dropping-particle" : "", "family" : "Illingworth", "given" : "Andrea J.", "non-dropping-particle" : "", "parse-names" : false, "suffix" : "" }, { "dropping-particle" : "", "family" : "Rosse", "given" : "Wendell", "non-dropping-particle" : "", "parse-names" : false, "suffix" : "" }, { "dropping-particle" : "", "family" : "Sutherland", "given" : "D. Robert", "non-dropping-particle" : "", "parse-names" : false, "suffix" : "" }, { "dropping-particle" : "", "family" : "Wittwer", "given" : "Carl T.", "non-dropping-particle" : "", "parse-names" : false, "suffix" : "" }, { "dropping-particle" : "", "family" : "Richards", "given" : "Stephen J.", "non-dropping-particle" : "", "parse-names" : false, "suffix" : "" } ], "container-title" : "Cytometry Part B - Clinical Cytometry", "id" : "ITEM-1", "issue" : "4", "issued" : { "date-parts" : [ [ "2010" ] ] }, "page" : "211-230", "title" : "Guidelines for the diagnosis and monitoring of paroxysmal nocturnal hemoglobinuria and related disorders by flow cytometry", "type" : "article-journal", "volume" : "78" }, "uris" : [ "http://www.mendeley.com/documents/?uuid=82b1fd42-bedd-4a5b-b01e-6e3b6012b2c1" ] }, { "id" : "ITEM-2", "itemData" : { "DOI" : "10.1007/s12288-017-0868-y", "ISSN" : "09740449", "abstract" : "Paroxysmal nocturnal hemoglobinuria (PNH) is an acquired clonal hematopoietic stem cell disorder with its protean clinical manifestations. This is due to partial or complete absence of \u2018glycophosphatidyl-inositol-anchor proteins\u2019 (GPI-AP). The main aim of this review is to highlight various diagnostic modalities available, basic principle of each test and recent advances in the diagnosis of PNH. Recently among various tests available, the flow cytometry has become \u2018the gold standard\u2019 for PNH testing. In order to overcome the difficulties encountered by the testing and research laboratories throughout the world, International Clinical Cytometry Society has come up with guidelines regarding the indications for testing, protocol for sample collection, processing, panel of antibodies as well as gating strategies to be used, how to interpret the test and reporting format to be used. It is essential to test at least two GPI-linked markers on at least two different lineages particularly on red cells and granulocytes/monocytes. The fluorescent aerolysin combined with other monoclonal antibodies in multicolour flow cytometry offered an improved assay not only for diagnosis but also for monitoring of PNH clones. It is equally important to diagnose this rare entity with high index of suspicion.", "author" : [ { "dropping-particle" : "", "family" : "Manivannan", "given" : "Prabhu", "non-dropping-particle" : "", "parse-names" : false, "suffix" : "" }, { "dropping-particle" : "", "family" : "Ahuja", "given" : "Ankur", "non-dropping-particle" : "", "parse-names" : false, "suffix" : "" }, { "dropping-particle" : "", "family" : "Pati", "given" : "Hara Prasad", "non-dropping-particle" : "", "parse-names" : false, "suffix" : "" } ], "container-title" : "Indian Journal of Hematology and Blood Transfusion", "id" : "ITEM-2", "issue" : "4", "issued" : { "date-parts" : [ [ "2017" ] ] }, "page" : "453-462", "publisher" : "Springer India", "title" : "Diagnosis of Paroxysmal Nocturnal Hemoglobinuria: Recent Advances", "type" : "article-journal", "volume" : "33" }, "uris" : [ "http://www.mendeley.com/documents/?uuid=e8e58576-7c4b-4f83-82e6-9d2f877ce7c6" ] }, { "id" : "ITEM-3", "itemData" : { "DOI" : "10.1182/blood.V118.21.1033.1033", "ISSN" : "0006-4971", "abstract" : "Abstract 1033", "author" : [ { "dropping-particle" : "", "family" : "Movalia", "given" : "Mayur K", "non-dropping-particle" : "", "parse-names" : false, "suffix" : "" }, { "dropping-particle" : "", "family" : "Weitz", "given" : "Ilene c", "non-dropping-particle" : "", "parse-names" : false, "suffix" : "" }, { "dropping-particle" : "", "family" : "Lim", "given" : "Seah H", "non-dropping-particle" : "", "parse-names" : false, "suffix" : "" }, { "dropping-particle" : "", "family" : "Illingworth", "given" : "Andrea", "non-dropping-particle" : "", "parse-names" : false, "suffix" : "" } ], "container-title" : "Blood", "id" : "ITEM-3", "issue" : "21", "issued" : { "date-parts" : [ [ "2011", "11", "18" ] ] }, "page" : "1033-1033", "title" : "Incidence of PNH Clones by Diagnostic Code Utilizing High Sensitivity Flow Cytometry", "type" : "article-journal", "volume" : "118" }, "uris" : [ "http://www.mendeley.com/documents/?uuid=95527c0a-61c0-4ee1-b16a-2b2e3a491a7d" ] } ], "mendeley" : { "formattedCitation" : "[27\u201329]", "plainTextFormattedCitation" : "[27\u201329]", "previouslyFormattedCitation" : "[27\u201329]" }, "properties" : { "noteIndex" : 0 }, "schema" : "https://github.com/citation-style-language/schema/raw/master/csl-citation.json" }</w:instrText>
      </w:r>
      <w:r w:rsidR="002D3311">
        <w:rPr>
          <w:rFonts w:cs="Times New Roman"/>
          <w:szCs w:val="24"/>
        </w:rPr>
        <w:fldChar w:fldCharType="separate"/>
      </w:r>
      <w:r w:rsidR="00034578" w:rsidRPr="00034578">
        <w:rPr>
          <w:rFonts w:cs="Times New Roman"/>
          <w:noProof/>
          <w:szCs w:val="24"/>
        </w:rPr>
        <w:t>[27–29]</w:t>
      </w:r>
      <w:r w:rsidR="002D3311">
        <w:rPr>
          <w:rFonts w:cs="Times New Roman"/>
          <w:szCs w:val="24"/>
        </w:rPr>
        <w:fldChar w:fldCharType="end"/>
      </w:r>
      <w:r w:rsidR="003A55CC">
        <w:rPr>
          <w:rFonts w:cs="Times New Roman"/>
          <w:szCs w:val="24"/>
        </w:rPr>
        <w:t>.</w:t>
      </w:r>
    </w:p>
    <w:p w14:paraId="3313D30C" w14:textId="56BD8AE1" w:rsidR="00EA6709" w:rsidRPr="006E5D66" w:rsidRDefault="00EA6709" w:rsidP="00EA6709">
      <w:pPr>
        <w:pStyle w:val="aff1"/>
        <w:ind w:left="0" w:firstLine="708"/>
        <w:divId w:val="266810958"/>
      </w:pPr>
      <w:proofErr w:type="gramStart"/>
      <w:r w:rsidRPr="00B104EF">
        <w:t xml:space="preserve">Уровень убедительности рекомендаций </w:t>
      </w:r>
      <w:r w:rsidR="006E5D66">
        <w:rPr>
          <w:lang w:val="en-US"/>
        </w:rPr>
        <w:t>B</w:t>
      </w:r>
      <w:r w:rsidRPr="00B104EF">
        <w:t xml:space="preserve"> (уровень достоверности доказательств – </w:t>
      </w:r>
      <w:r w:rsidR="006E5D66" w:rsidRPr="006E5D66">
        <w:t>3</w:t>
      </w:r>
      <w:proofErr w:type="gramEnd"/>
    </w:p>
    <w:p w14:paraId="67560209" w14:textId="041989E0" w:rsidR="00DC531E" w:rsidRPr="00DC531E" w:rsidRDefault="00EA6709" w:rsidP="00DC531E">
      <w:pPr>
        <w:ind w:firstLine="708"/>
        <w:divId w:val="266810958"/>
        <w:rPr>
          <w:rFonts w:cs="Times New Roman"/>
          <w:i/>
          <w:iCs/>
          <w:szCs w:val="24"/>
        </w:rPr>
      </w:pPr>
      <w:r w:rsidRPr="00EA6709">
        <w:rPr>
          <w:b/>
        </w:rPr>
        <w:t xml:space="preserve">Комментарии: </w:t>
      </w:r>
      <w:bookmarkStart w:id="28" w:name="_Hlk24197990"/>
      <w:r w:rsidR="003A55CC" w:rsidRPr="003A55CC">
        <w:rPr>
          <w:i/>
        </w:rPr>
        <w:t>д</w:t>
      </w:r>
      <w:r w:rsidR="00DC531E">
        <w:rPr>
          <w:rFonts w:cs="Times New Roman"/>
          <w:i/>
          <w:iCs/>
          <w:szCs w:val="24"/>
        </w:rPr>
        <w:t>иагн</w:t>
      </w:r>
      <w:r w:rsidR="007E0C74">
        <w:rPr>
          <w:rFonts w:cs="Times New Roman"/>
          <w:i/>
          <w:iCs/>
          <w:szCs w:val="24"/>
        </w:rPr>
        <w:t>оз ПНГ следует заподозрить у пациентов</w:t>
      </w:r>
      <w:r w:rsidR="00DC531E">
        <w:rPr>
          <w:rFonts w:cs="Times New Roman"/>
          <w:i/>
          <w:iCs/>
          <w:szCs w:val="24"/>
        </w:rPr>
        <w:t xml:space="preserve"> со следующими клиническими и лабораторными проявлениями заболевания:</w:t>
      </w:r>
    </w:p>
    <w:p w14:paraId="471445E5" w14:textId="16F755BA" w:rsidR="00DC531E" w:rsidRPr="003A55CC" w:rsidRDefault="00DC531E" w:rsidP="00DC531E">
      <w:pPr>
        <w:numPr>
          <w:ilvl w:val="0"/>
          <w:numId w:val="10"/>
        </w:numPr>
        <w:spacing w:after="160" w:line="259" w:lineRule="auto"/>
        <w:divId w:val="266810958"/>
        <w:rPr>
          <w:rFonts w:cs="Times New Roman"/>
          <w:i/>
          <w:szCs w:val="24"/>
        </w:rPr>
      </w:pPr>
      <w:r w:rsidRPr="003A55CC">
        <w:rPr>
          <w:rFonts w:cs="Times New Roman"/>
          <w:i/>
          <w:szCs w:val="24"/>
        </w:rPr>
        <w:lastRenderedPageBreak/>
        <w:t>Наличие признаков внутрисосудистого гемолиза</w:t>
      </w:r>
    </w:p>
    <w:p w14:paraId="6FCA362F" w14:textId="3D21081B" w:rsidR="00DC531E" w:rsidRPr="003A55CC" w:rsidRDefault="00DC531E" w:rsidP="00DC531E">
      <w:pPr>
        <w:numPr>
          <w:ilvl w:val="0"/>
          <w:numId w:val="10"/>
        </w:numPr>
        <w:spacing w:after="160" w:line="259" w:lineRule="auto"/>
        <w:divId w:val="266810958"/>
        <w:rPr>
          <w:rFonts w:cs="Times New Roman"/>
          <w:i/>
          <w:szCs w:val="24"/>
        </w:rPr>
      </w:pPr>
      <w:r w:rsidRPr="003A55CC">
        <w:rPr>
          <w:rFonts w:cs="Times New Roman"/>
          <w:i/>
          <w:szCs w:val="24"/>
        </w:rPr>
        <w:t xml:space="preserve">Наличие признаков гемолиза в комбинации </w:t>
      </w:r>
      <w:proofErr w:type="gramStart"/>
      <w:r w:rsidRPr="003A55CC">
        <w:rPr>
          <w:rFonts w:cs="Times New Roman"/>
          <w:i/>
          <w:szCs w:val="24"/>
        </w:rPr>
        <w:t>с</w:t>
      </w:r>
      <w:proofErr w:type="gramEnd"/>
      <w:r w:rsidRPr="003A55CC">
        <w:rPr>
          <w:rFonts w:cs="Times New Roman"/>
          <w:i/>
          <w:szCs w:val="24"/>
        </w:rPr>
        <w:t>:</w:t>
      </w:r>
    </w:p>
    <w:p w14:paraId="3B8D9AAB" w14:textId="618C3401" w:rsidR="00DC531E" w:rsidRPr="003A55CC" w:rsidRDefault="00DC531E" w:rsidP="00DC531E">
      <w:pPr>
        <w:numPr>
          <w:ilvl w:val="1"/>
          <w:numId w:val="10"/>
        </w:numPr>
        <w:spacing w:after="160" w:line="259" w:lineRule="auto"/>
        <w:divId w:val="266810958"/>
        <w:rPr>
          <w:rFonts w:cs="Times New Roman"/>
          <w:i/>
          <w:szCs w:val="24"/>
        </w:rPr>
      </w:pPr>
      <w:r w:rsidRPr="003A55CC">
        <w:rPr>
          <w:rFonts w:cs="Times New Roman"/>
          <w:i/>
          <w:szCs w:val="24"/>
        </w:rPr>
        <w:t xml:space="preserve">Гипохромной и/или </w:t>
      </w:r>
      <w:proofErr w:type="spellStart"/>
      <w:r w:rsidRPr="003A55CC">
        <w:rPr>
          <w:rFonts w:cs="Times New Roman"/>
          <w:i/>
          <w:szCs w:val="24"/>
        </w:rPr>
        <w:t>микроцитарной</w:t>
      </w:r>
      <w:proofErr w:type="spellEnd"/>
      <w:r w:rsidRPr="003A55CC">
        <w:rPr>
          <w:rFonts w:cs="Times New Roman"/>
          <w:i/>
          <w:szCs w:val="24"/>
        </w:rPr>
        <w:t xml:space="preserve"> анемией</w:t>
      </w:r>
    </w:p>
    <w:p w14:paraId="427353AF" w14:textId="77777777" w:rsidR="00DC531E" w:rsidRPr="003A55CC" w:rsidRDefault="00DC531E" w:rsidP="00DC531E">
      <w:pPr>
        <w:numPr>
          <w:ilvl w:val="1"/>
          <w:numId w:val="10"/>
        </w:numPr>
        <w:spacing w:after="160" w:line="259" w:lineRule="auto"/>
        <w:divId w:val="266810958"/>
        <w:rPr>
          <w:rFonts w:cs="Times New Roman"/>
          <w:i/>
          <w:szCs w:val="24"/>
        </w:rPr>
      </w:pPr>
      <w:r w:rsidRPr="003A55CC">
        <w:rPr>
          <w:rFonts w:cs="Times New Roman"/>
          <w:i/>
          <w:szCs w:val="24"/>
        </w:rPr>
        <w:t xml:space="preserve">Абдоминальными болями </w:t>
      </w:r>
    </w:p>
    <w:p w14:paraId="5D5E37F0" w14:textId="77777777" w:rsidR="00DC531E" w:rsidRPr="003A55CC" w:rsidRDefault="00DC531E" w:rsidP="00DC531E">
      <w:pPr>
        <w:numPr>
          <w:ilvl w:val="1"/>
          <w:numId w:val="10"/>
        </w:numPr>
        <w:spacing w:after="160" w:line="259" w:lineRule="auto"/>
        <w:divId w:val="266810958"/>
        <w:rPr>
          <w:rFonts w:cs="Times New Roman"/>
          <w:i/>
          <w:szCs w:val="24"/>
        </w:rPr>
      </w:pPr>
      <w:r w:rsidRPr="003A55CC">
        <w:rPr>
          <w:rFonts w:cs="Times New Roman"/>
          <w:i/>
          <w:szCs w:val="24"/>
        </w:rPr>
        <w:t>Дисфагией</w:t>
      </w:r>
    </w:p>
    <w:p w14:paraId="0294EA74" w14:textId="77777777" w:rsidR="00DC531E" w:rsidRPr="003A55CC" w:rsidRDefault="00DC531E" w:rsidP="00DC531E">
      <w:pPr>
        <w:numPr>
          <w:ilvl w:val="1"/>
          <w:numId w:val="10"/>
        </w:numPr>
        <w:spacing w:after="160" w:line="259" w:lineRule="auto"/>
        <w:divId w:val="266810958"/>
        <w:rPr>
          <w:rFonts w:cs="Times New Roman"/>
          <w:i/>
          <w:szCs w:val="24"/>
        </w:rPr>
      </w:pPr>
      <w:r w:rsidRPr="003A55CC">
        <w:rPr>
          <w:rFonts w:cs="Times New Roman"/>
          <w:i/>
          <w:szCs w:val="24"/>
        </w:rPr>
        <w:t>Тромбозами</w:t>
      </w:r>
    </w:p>
    <w:p w14:paraId="25F305B6" w14:textId="0AE5A340" w:rsidR="00DC531E" w:rsidRPr="003A55CC" w:rsidRDefault="003A55CC" w:rsidP="00DC531E">
      <w:pPr>
        <w:numPr>
          <w:ilvl w:val="1"/>
          <w:numId w:val="10"/>
        </w:numPr>
        <w:spacing w:after="160" w:line="259" w:lineRule="auto"/>
        <w:divId w:val="266810958"/>
        <w:rPr>
          <w:rFonts w:cs="Times New Roman"/>
          <w:i/>
          <w:szCs w:val="24"/>
        </w:rPr>
      </w:pPr>
      <w:proofErr w:type="spellStart"/>
      <w:r>
        <w:rPr>
          <w:rFonts w:cs="Times New Roman"/>
          <w:i/>
          <w:szCs w:val="24"/>
        </w:rPr>
        <w:t>Гр</w:t>
      </w:r>
      <w:r w:rsidR="00DC531E" w:rsidRPr="003A55CC">
        <w:rPr>
          <w:rFonts w:cs="Times New Roman"/>
          <w:i/>
          <w:szCs w:val="24"/>
        </w:rPr>
        <w:t>анул</w:t>
      </w:r>
      <w:proofErr w:type="gramStart"/>
      <w:r w:rsidR="00DC531E" w:rsidRPr="003A55CC">
        <w:rPr>
          <w:rFonts w:cs="Times New Roman"/>
          <w:i/>
          <w:szCs w:val="24"/>
        </w:rPr>
        <w:t>о</w:t>
      </w:r>
      <w:proofErr w:type="spellEnd"/>
      <w:r w:rsidR="00DC531E" w:rsidRPr="003A55CC">
        <w:rPr>
          <w:rFonts w:cs="Times New Roman"/>
          <w:i/>
          <w:szCs w:val="24"/>
        </w:rPr>
        <w:t>-</w:t>
      </w:r>
      <w:proofErr w:type="gramEnd"/>
      <w:r w:rsidR="00DC531E" w:rsidRPr="003A55CC">
        <w:rPr>
          <w:rFonts w:cs="Times New Roman"/>
          <w:i/>
          <w:szCs w:val="24"/>
        </w:rPr>
        <w:t xml:space="preserve"> или тромбоцитопенией</w:t>
      </w:r>
    </w:p>
    <w:p w14:paraId="772ED8FA" w14:textId="7A532EA0" w:rsidR="00DC531E" w:rsidRPr="003A55CC" w:rsidRDefault="00DC531E" w:rsidP="00DC531E">
      <w:pPr>
        <w:numPr>
          <w:ilvl w:val="0"/>
          <w:numId w:val="10"/>
        </w:numPr>
        <w:spacing w:after="160" w:line="259" w:lineRule="auto"/>
        <w:divId w:val="266810958"/>
        <w:rPr>
          <w:rFonts w:cs="Times New Roman"/>
          <w:i/>
          <w:szCs w:val="24"/>
        </w:rPr>
      </w:pPr>
      <w:r w:rsidRPr="003A55CC">
        <w:rPr>
          <w:rFonts w:cs="Times New Roman"/>
          <w:i/>
          <w:szCs w:val="24"/>
        </w:rPr>
        <w:t>Тромбозы редких локализаций или с необычными проявлениями:</w:t>
      </w:r>
    </w:p>
    <w:p w14:paraId="79551908" w14:textId="77777777" w:rsidR="00DC531E" w:rsidRPr="003A55CC" w:rsidRDefault="00DC531E" w:rsidP="00DC531E">
      <w:pPr>
        <w:numPr>
          <w:ilvl w:val="1"/>
          <w:numId w:val="10"/>
        </w:numPr>
        <w:spacing w:after="160" w:line="259" w:lineRule="auto"/>
        <w:divId w:val="266810958"/>
        <w:rPr>
          <w:rFonts w:cs="Times New Roman"/>
          <w:i/>
          <w:szCs w:val="24"/>
        </w:rPr>
      </w:pPr>
      <w:proofErr w:type="gramStart"/>
      <w:r w:rsidRPr="003A55CC">
        <w:rPr>
          <w:rFonts w:cs="Times New Roman"/>
          <w:i/>
          <w:szCs w:val="24"/>
        </w:rPr>
        <w:t xml:space="preserve">Тромбозы собственных вен печени (синдром </w:t>
      </w:r>
      <w:proofErr w:type="spellStart"/>
      <w:r w:rsidRPr="003A55CC">
        <w:rPr>
          <w:rFonts w:cs="Times New Roman"/>
          <w:i/>
          <w:szCs w:val="24"/>
        </w:rPr>
        <w:t>Бадда-Киари</w:t>
      </w:r>
      <w:proofErr w:type="spellEnd"/>
      <w:r w:rsidRPr="003A55CC">
        <w:rPr>
          <w:rFonts w:cs="Times New Roman"/>
          <w:i/>
          <w:szCs w:val="24"/>
        </w:rPr>
        <w:t>), тромбозы сосудов портальной системы, венозных синусов головного мозга, вен кожи)</w:t>
      </w:r>
      <w:proofErr w:type="gramEnd"/>
    </w:p>
    <w:p w14:paraId="50AE3B4C" w14:textId="77777777" w:rsidR="00DC531E" w:rsidRPr="003A55CC" w:rsidRDefault="00DC531E" w:rsidP="00DC531E">
      <w:pPr>
        <w:numPr>
          <w:ilvl w:val="1"/>
          <w:numId w:val="10"/>
        </w:numPr>
        <w:spacing w:after="160" w:line="259" w:lineRule="auto"/>
        <w:divId w:val="266810958"/>
        <w:rPr>
          <w:rFonts w:cs="Times New Roman"/>
          <w:i/>
          <w:szCs w:val="24"/>
        </w:rPr>
      </w:pPr>
      <w:r w:rsidRPr="003A55CC">
        <w:rPr>
          <w:rFonts w:cs="Times New Roman"/>
          <w:i/>
          <w:szCs w:val="24"/>
        </w:rPr>
        <w:t>Сопутствующая гемолитическая анемия</w:t>
      </w:r>
    </w:p>
    <w:p w14:paraId="4725A1F5" w14:textId="77777777" w:rsidR="00DC531E" w:rsidRPr="003A55CC" w:rsidRDefault="00DC531E" w:rsidP="00DC531E">
      <w:pPr>
        <w:numPr>
          <w:ilvl w:val="1"/>
          <w:numId w:val="10"/>
        </w:numPr>
        <w:spacing w:after="160" w:line="259" w:lineRule="auto"/>
        <w:divId w:val="266810958"/>
        <w:rPr>
          <w:rFonts w:cs="Times New Roman"/>
          <w:i/>
          <w:szCs w:val="24"/>
        </w:rPr>
      </w:pPr>
      <w:r w:rsidRPr="003A55CC">
        <w:rPr>
          <w:rFonts w:cs="Times New Roman"/>
          <w:i/>
          <w:szCs w:val="24"/>
        </w:rPr>
        <w:t xml:space="preserve">Неясная </w:t>
      </w:r>
      <w:proofErr w:type="spellStart"/>
      <w:r w:rsidRPr="003A55CC">
        <w:rPr>
          <w:rFonts w:cs="Times New Roman"/>
          <w:i/>
          <w:szCs w:val="24"/>
        </w:rPr>
        <w:t>цитопения</w:t>
      </w:r>
      <w:proofErr w:type="spellEnd"/>
    </w:p>
    <w:p w14:paraId="7B76FBC6" w14:textId="77777777" w:rsidR="00DC531E" w:rsidRPr="003A55CC" w:rsidRDefault="00DC531E" w:rsidP="00DC531E">
      <w:pPr>
        <w:numPr>
          <w:ilvl w:val="0"/>
          <w:numId w:val="10"/>
        </w:numPr>
        <w:spacing w:after="160" w:line="259" w:lineRule="auto"/>
        <w:divId w:val="266810958"/>
        <w:rPr>
          <w:rFonts w:cs="Times New Roman"/>
          <w:i/>
          <w:szCs w:val="24"/>
        </w:rPr>
      </w:pPr>
      <w:r w:rsidRPr="003A55CC">
        <w:rPr>
          <w:rFonts w:cs="Times New Roman"/>
          <w:i/>
          <w:szCs w:val="24"/>
        </w:rPr>
        <w:t>Признаки костномозговой недостаточности</w:t>
      </w:r>
    </w:p>
    <w:p w14:paraId="1EA5E83F" w14:textId="77777777" w:rsidR="00DC531E" w:rsidRPr="003A55CC" w:rsidRDefault="00DC531E" w:rsidP="00DC531E">
      <w:pPr>
        <w:numPr>
          <w:ilvl w:val="1"/>
          <w:numId w:val="10"/>
        </w:numPr>
        <w:spacing w:after="160" w:line="259" w:lineRule="auto"/>
        <w:divId w:val="266810958"/>
        <w:rPr>
          <w:rFonts w:cs="Times New Roman"/>
          <w:i/>
          <w:szCs w:val="24"/>
        </w:rPr>
      </w:pPr>
      <w:proofErr w:type="gramStart"/>
      <w:r w:rsidRPr="003A55CC">
        <w:rPr>
          <w:rFonts w:cs="Times New Roman"/>
          <w:i/>
          <w:szCs w:val="24"/>
        </w:rPr>
        <w:t>Предполагаемая</w:t>
      </w:r>
      <w:proofErr w:type="gramEnd"/>
      <w:r w:rsidRPr="003A55CC">
        <w:rPr>
          <w:rFonts w:cs="Times New Roman"/>
          <w:i/>
          <w:szCs w:val="24"/>
        </w:rPr>
        <w:t xml:space="preserve"> или доказанная АА</w:t>
      </w:r>
    </w:p>
    <w:p w14:paraId="5DCB828A" w14:textId="77777777" w:rsidR="00DC531E" w:rsidRPr="003A55CC" w:rsidRDefault="00DC531E" w:rsidP="00DC531E">
      <w:pPr>
        <w:numPr>
          <w:ilvl w:val="1"/>
          <w:numId w:val="10"/>
        </w:numPr>
        <w:spacing w:after="160" w:line="259" w:lineRule="auto"/>
        <w:divId w:val="266810958"/>
        <w:rPr>
          <w:rFonts w:cs="Times New Roman"/>
          <w:i/>
          <w:szCs w:val="24"/>
        </w:rPr>
      </w:pPr>
      <w:proofErr w:type="gramStart"/>
      <w:r w:rsidRPr="003A55CC">
        <w:rPr>
          <w:rFonts w:cs="Times New Roman"/>
          <w:i/>
          <w:szCs w:val="24"/>
        </w:rPr>
        <w:t>Предполагаемый</w:t>
      </w:r>
      <w:proofErr w:type="gramEnd"/>
      <w:r w:rsidRPr="003A55CC">
        <w:rPr>
          <w:rFonts w:cs="Times New Roman"/>
          <w:i/>
          <w:szCs w:val="24"/>
        </w:rPr>
        <w:t xml:space="preserve"> или доказанный МДС</w:t>
      </w:r>
    </w:p>
    <w:p w14:paraId="635BD72D" w14:textId="62CA7C2F" w:rsidR="00DC531E" w:rsidRPr="003A55CC" w:rsidRDefault="00DC531E" w:rsidP="00DC531E">
      <w:pPr>
        <w:numPr>
          <w:ilvl w:val="1"/>
          <w:numId w:val="10"/>
        </w:numPr>
        <w:spacing w:after="160" w:line="259" w:lineRule="auto"/>
        <w:divId w:val="266810958"/>
        <w:rPr>
          <w:rFonts w:cs="Times New Roman"/>
          <w:i/>
          <w:szCs w:val="24"/>
        </w:rPr>
      </w:pPr>
      <w:proofErr w:type="spellStart"/>
      <w:r w:rsidRPr="003A55CC">
        <w:rPr>
          <w:rFonts w:cs="Times New Roman"/>
          <w:i/>
          <w:szCs w:val="24"/>
        </w:rPr>
        <w:t>Цитопенические</w:t>
      </w:r>
      <w:proofErr w:type="spellEnd"/>
      <w:r w:rsidRPr="003A55CC">
        <w:rPr>
          <w:rFonts w:cs="Times New Roman"/>
          <w:i/>
          <w:szCs w:val="24"/>
        </w:rPr>
        <w:t xml:space="preserve"> синдромы,</w:t>
      </w:r>
      <w:r w:rsidR="00784572" w:rsidRPr="003A55CC">
        <w:rPr>
          <w:rFonts w:cs="Times New Roman"/>
          <w:i/>
          <w:szCs w:val="24"/>
        </w:rPr>
        <w:t xml:space="preserve"> этиология</w:t>
      </w:r>
      <w:r w:rsidRPr="003A55CC">
        <w:rPr>
          <w:rFonts w:cs="Times New Roman"/>
          <w:i/>
          <w:szCs w:val="24"/>
        </w:rPr>
        <w:t xml:space="preserve"> которых осталась не ясной после </w:t>
      </w:r>
      <w:r w:rsidR="003A55CC" w:rsidRPr="007E0C74">
        <w:rPr>
          <w:rFonts w:cs="Times New Roman"/>
          <w:i/>
          <w:szCs w:val="24"/>
        </w:rPr>
        <w:t>полноценного</w:t>
      </w:r>
      <w:r w:rsidRPr="003A55CC">
        <w:rPr>
          <w:rFonts w:cs="Times New Roman"/>
          <w:i/>
          <w:szCs w:val="24"/>
        </w:rPr>
        <w:t xml:space="preserve"> гематологического обследования.</w:t>
      </w:r>
    </w:p>
    <w:p w14:paraId="7DAEAF62" w14:textId="1CCB3024" w:rsidR="00C52D41" w:rsidRDefault="007E0C74" w:rsidP="0042202D">
      <w:pPr>
        <w:ind w:firstLine="708"/>
        <w:divId w:val="266810958"/>
        <w:rPr>
          <w:rFonts w:cs="Times New Roman"/>
          <w:i/>
          <w:iCs/>
          <w:szCs w:val="24"/>
        </w:rPr>
      </w:pPr>
      <w:proofErr w:type="gramStart"/>
      <w:r>
        <w:rPr>
          <w:rFonts w:cs="Times New Roman"/>
          <w:i/>
          <w:iCs/>
          <w:szCs w:val="24"/>
        </w:rPr>
        <w:t>Проточная</w:t>
      </w:r>
      <w:proofErr w:type="gramEnd"/>
      <w:r>
        <w:rPr>
          <w:rFonts w:cs="Times New Roman"/>
          <w:i/>
          <w:iCs/>
          <w:szCs w:val="24"/>
        </w:rPr>
        <w:t xml:space="preserve"> </w:t>
      </w:r>
      <w:proofErr w:type="spellStart"/>
      <w:r>
        <w:rPr>
          <w:rFonts w:cs="Times New Roman"/>
          <w:i/>
          <w:iCs/>
          <w:szCs w:val="24"/>
        </w:rPr>
        <w:t>цитометрия</w:t>
      </w:r>
      <w:proofErr w:type="spellEnd"/>
      <w:r>
        <w:rPr>
          <w:rFonts w:cs="Times New Roman"/>
          <w:i/>
          <w:iCs/>
          <w:szCs w:val="24"/>
        </w:rPr>
        <w:t xml:space="preserve"> позволяет выявить процент клеток с дефицитом или полным отсутствием </w:t>
      </w:r>
      <w:r>
        <w:rPr>
          <w:rFonts w:cs="Times New Roman"/>
          <w:i/>
          <w:iCs/>
          <w:szCs w:val="24"/>
          <w:lang w:val="en-US"/>
        </w:rPr>
        <w:t>GPI</w:t>
      </w:r>
      <w:r w:rsidRPr="007E0C74">
        <w:rPr>
          <w:rFonts w:cs="Times New Roman"/>
          <w:i/>
          <w:iCs/>
          <w:szCs w:val="24"/>
        </w:rPr>
        <w:t>-</w:t>
      </w:r>
      <w:r>
        <w:rPr>
          <w:rFonts w:cs="Times New Roman"/>
          <w:i/>
          <w:iCs/>
          <w:szCs w:val="24"/>
        </w:rPr>
        <w:t xml:space="preserve">связанных </w:t>
      </w:r>
      <w:proofErr w:type="spellStart"/>
      <w:r>
        <w:rPr>
          <w:rFonts w:cs="Times New Roman"/>
          <w:i/>
          <w:iCs/>
          <w:szCs w:val="24"/>
        </w:rPr>
        <w:t>гликопротенинов</w:t>
      </w:r>
      <w:proofErr w:type="spellEnd"/>
      <w:r>
        <w:rPr>
          <w:rFonts w:cs="Times New Roman"/>
          <w:i/>
          <w:iCs/>
          <w:szCs w:val="24"/>
        </w:rPr>
        <w:t xml:space="preserve"> (</w:t>
      </w:r>
      <w:r>
        <w:rPr>
          <w:rFonts w:cs="Times New Roman"/>
          <w:i/>
          <w:iCs/>
          <w:szCs w:val="24"/>
          <w:lang w:val="en-US"/>
        </w:rPr>
        <w:t>GPI</w:t>
      </w:r>
      <w:r w:rsidRPr="007E0C74">
        <w:rPr>
          <w:rFonts w:cs="Times New Roman"/>
          <w:i/>
          <w:iCs/>
          <w:szCs w:val="24"/>
        </w:rPr>
        <w:t>-</w:t>
      </w:r>
      <w:r>
        <w:rPr>
          <w:rFonts w:cs="Times New Roman"/>
          <w:i/>
          <w:iCs/>
          <w:szCs w:val="24"/>
          <w:lang w:val="en-US"/>
        </w:rPr>
        <w:t>AP</w:t>
      </w:r>
      <w:r w:rsidRPr="007E0C74">
        <w:rPr>
          <w:rFonts w:cs="Times New Roman"/>
          <w:i/>
          <w:iCs/>
          <w:szCs w:val="24"/>
        </w:rPr>
        <w:t>)</w:t>
      </w:r>
      <w:r>
        <w:rPr>
          <w:rFonts w:cs="Times New Roman"/>
          <w:i/>
          <w:iCs/>
          <w:szCs w:val="24"/>
        </w:rPr>
        <w:t xml:space="preserve">. Выделяют 3 типа эритроцитов: эритроциты с нормальной экспрессией </w:t>
      </w:r>
      <w:r>
        <w:rPr>
          <w:rFonts w:cs="Times New Roman"/>
          <w:i/>
          <w:iCs/>
          <w:szCs w:val="24"/>
          <w:lang w:val="en-US"/>
        </w:rPr>
        <w:t>GPI</w:t>
      </w:r>
      <w:r w:rsidRPr="007E0C74">
        <w:rPr>
          <w:rFonts w:cs="Times New Roman"/>
          <w:i/>
          <w:iCs/>
          <w:szCs w:val="24"/>
        </w:rPr>
        <w:t>-</w:t>
      </w:r>
      <w:r>
        <w:rPr>
          <w:rFonts w:cs="Times New Roman"/>
          <w:i/>
          <w:iCs/>
          <w:szCs w:val="24"/>
          <w:lang w:val="en-US"/>
        </w:rPr>
        <w:t>AP</w:t>
      </w:r>
      <w:r w:rsidRPr="007E0C74">
        <w:rPr>
          <w:rFonts w:cs="Times New Roman"/>
          <w:i/>
          <w:iCs/>
          <w:szCs w:val="24"/>
        </w:rPr>
        <w:t xml:space="preserve"> (</w:t>
      </w:r>
      <w:r>
        <w:rPr>
          <w:rFonts w:cs="Times New Roman"/>
          <w:i/>
          <w:iCs/>
          <w:szCs w:val="24"/>
          <w:lang w:val="en-US"/>
        </w:rPr>
        <w:t>I</w:t>
      </w:r>
      <w:r w:rsidRPr="007E0C74">
        <w:rPr>
          <w:rFonts w:cs="Times New Roman"/>
          <w:i/>
          <w:iCs/>
          <w:szCs w:val="24"/>
        </w:rPr>
        <w:t xml:space="preserve"> </w:t>
      </w:r>
      <w:r>
        <w:rPr>
          <w:rFonts w:cs="Times New Roman"/>
          <w:i/>
          <w:iCs/>
          <w:szCs w:val="24"/>
        </w:rPr>
        <w:t xml:space="preserve">типа), эритроциты с частичным дефицитом </w:t>
      </w:r>
      <w:r>
        <w:rPr>
          <w:rFonts w:cs="Times New Roman"/>
          <w:i/>
          <w:iCs/>
          <w:szCs w:val="24"/>
          <w:lang w:val="en-US"/>
        </w:rPr>
        <w:t>GPI</w:t>
      </w:r>
      <w:r w:rsidRPr="007E0C74">
        <w:rPr>
          <w:rFonts w:cs="Times New Roman"/>
          <w:i/>
          <w:iCs/>
          <w:szCs w:val="24"/>
        </w:rPr>
        <w:t>-</w:t>
      </w:r>
      <w:r>
        <w:rPr>
          <w:rFonts w:cs="Times New Roman"/>
          <w:i/>
          <w:iCs/>
          <w:szCs w:val="24"/>
          <w:lang w:val="en-US"/>
        </w:rPr>
        <w:t>AP</w:t>
      </w:r>
      <w:r w:rsidRPr="007E0C74">
        <w:rPr>
          <w:rFonts w:cs="Times New Roman"/>
          <w:i/>
          <w:iCs/>
          <w:szCs w:val="24"/>
        </w:rPr>
        <w:t xml:space="preserve"> (</w:t>
      </w:r>
      <w:r>
        <w:rPr>
          <w:rFonts w:cs="Times New Roman"/>
          <w:i/>
          <w:iCs/>
          <w:szCs w:val="24"/>
          <w:lang w:val="en-US"/>
        </w:rPr>
        <w:t>II</w:t>
      </w:r>
      <w:r w:rsidRPr="007E0C74">
        <w:rPr>
          <w:rFonts w:cs="Times New Roman"/>
          <w:i/>
          <w:iCs/>
          <w:szCs w:val="24"/>
        </w:rPr>
        <w:t xml:space="preserve"> </w:t>
      </w:r>
      <w:r>
        <w:rPr>
          <w:rFonts w:cs="Times New Roman"/>
          <w:i/>
          <w:iCs/>
          <w:szCs w:val="24"/>
        </w:rPr>
        <w:t xml:space="preserve">типа), эритроциты с полным отсутствием </w:t>
      </w:r>
      <w:r>
        <w:rPr>
          <w:rFonts w:cs="Times New Roman"/>
          <w:i/>
          <w:iCs/>
          <w:szCs w:val="24"/>
          <w:lang w:val="en-US"/>
        </w:rPr>
        <w:t>GPI</w:t>
      </w:r>
      <w:r w:rsidRPr="007E0C74">
        <w:rPr>
          <w:rFonts w:cs="Times New Roman"/>
          <w:i/>
          <w:iCs/>
          <w:szCs w:val="24"/>
        </w:rPr>
        <w:t>-</w:t>
      </w:r>
      <w:r>
        <w:rPr>
          <w:rFonts w:cs="Times New Roman"/>
          <w:i/>
          <w:iCs/>
          <w:szCs w:val="24"/>
          <w:lang w:val="en-US"/>
        </w:rPr>
        <w:t>AP</w:t>
      </w:r>
      <w:r w:rsidRPr="007E0C74">
        <w:rPr>
          <w:rFonts w:cs="Times New Roman"/>
          <w:i/>
          <w:iCs/>
          <w:szCs w:val="24"/>
        </w:rPr>
        <w:t xml:space="preserve"> (</w:t>
      </w:r>
      <w:r>
        <w:rPr>
          <w:rFonts w:cs="Times New Roman"/>
          <w:i/>
          <w:iCs/>
          <w:szCs w:val="24"/>
          <w:lang w:val="en-US"/>
        </w:rPr>
        <w:t>III</w:t>
      </w:r>
      <w:r w:rsidRPr="007E0C74">
        <w:rPr>
          <w:rFonts w:cs="Times New Roman"/>
          <w:i/>
          <w:iCs/>
          <w:szCs w:val="24"/>
        </w:rPr>
        <w:t xml:space="preserve"> </w:t>
      </w:r>
      <w:r>
        <w:rPr>
          <w:rFonts w:cs="Times New Roman"/>
          <w:i/>
          <w:iCs/>
          <w:szCs w:val="24"/>
        </w:rPr>
        <w:t xml:space="preserve">типа). </w:t>
      </w:r>
      <w:r w:rsidR="00C52D41">
        <w:rPr>
          <w:rFonts w:cs="Times New Roman"/>
          <w:i/>
          <w:iCs/>
          <w:szCs w:val="24"/>
        </w:rPr>
        <w:t xml:space="preserve">Ответ дается лабораторией в виде процентного содержания того или иного типа клеток в периферической крови. </w:t>
      </w:r>
      <w:proofErr w:type="gramStart"/>
      <w:r w:rsidR="00C52D41" w:rsidRPr="00EA6709">
        <w:rPr>
          <w:i/>
          <w:iCs/>
        </w:rPr>
        <w:t xml:space="preserve">При проведении исследования ПНГ-клона методом проточной </w:t>
      </w:r>
      <w:proofErr w:type="spellStart"/>
      <w:r w:rsidR="00C52D41" w:rsidRPr="00EA6709">
        <w:rPr>
          <w:i/>
          <w:iCs/>
        </w:rPr>
        <w:t>цитометрии</w:t>
      </w:r>
      <w:proofErr w:type="spellEnd"/>
      <w:r w:rsidR="00C52D41" w:rsidRPr="00EA6709">
        <w:rPr>
          <w:i/>
          <w:iCs/>
        </w:rPr>
        <w:t xml:space="preserve"> необходимо руководствоваться рекомендациями международного общества клинической </w:t>
      </w:r>
      <w:proofErr w:type="spellStart"/>
      <w:r w:rsidR="00C52D41" w:rsidRPr="00EA6709">
        <w:rPr>
          <w:i/>
          <w:iCs/>
        </w:rPr>
        <w:t>цитометрии</w:t>
      </w:r>
      <w:proofErr w:type="spellEnd"/>
      <w:r w:rsidR="00C52D41" w:rsidRPr="00EA6709">
        <w:rPr>
          <w:i/>
          <w:iCs/>
        </w:rPr>
        <w:t xml:space="preserve"> (</w:t>
      </w:r>
      <w:r w:rsidR="00C52D41" w:rsidRPr="00EA6709">
        <w:rPr>
          <w:i/>
          <w:iCs/>
          <w:lang w:val="en-US"/>
        </w:rPr>
        <w:t>ICCS</w:t>
      </w:r>
      <w:r w:rsidR="00C52D41" w:rsidRPr="00EA6709">
        <w:rPr>
          <w:i/>
          <w:iCs/>
        </w:rPr>
        <w:t>) от 2018 г.</w:t>
      </w:r>
      <w:proofErr w:type="gramEnd"/>
      <w:r w:rsidR="00C52D41" w:rsidRPr="00EA6709">
        <w:rPr>
          <w:i/>
          <w:iCs/>
        </w:rPr>
        <w:t xml:space="preserve"> </w:t>
      </w:r>
      <w:r w:rsidR="00C52D41" w:rsidRPr="00EA6709">
        <w:rPr>
          <w:i/>
          <w:iCs/>
        </w:rPr>
        <w:fldChar w:fldCharType="begin" w:fldLock="1"/>
      </w:r>
      <w:r w:rsidR="00C52D41">
        <w:rPr>
          <w:i/>
          <w:iCs/>
        </w:rPr>
        <w:instrText>ADDIN CSL_CITATION { "citationItems" : [ { "id" : "ITEM-1", "itemData" : { "DOI" : "10.1002/cyto.b.21608", "ISSN" : "15524957", "abstract" : "Paroxysmal nocturnal hemoglobinuria (PNH) arises as a consequence of the non-malignant clonal expansion of one or more hematopoietic stem cells with an acquired somatic mutation of the PIGA gene (Brodsky RA. Blood 113 (2009) 6522\u20136527). Progeny of affected stem cells are deficient in glycosyl phosphatidylinositol\u2013anchored proteins (GPI-APs). This deficiency is readily detected by flow cytometry. Though this seems straightforward, the clinical utility of this testing requires that the ordering clinician understand not only the characteristics of the test, but also the biology of the underlying disease, and the clinical and laboratory manifestations in the individual patient. When interpreted correctly, the results from PNH flow cytometry testing, including presence and size of the clonal populations and the cell types involved, can allow the clinician to classify the disease appropriately; evaluate the risk of disease progression; and subsequently monitor response to therapy. In these guidelines, we discuss the evaluation of a patient with suspected PNH or other bone marrow failure disorders, with specific emphasis on the contribution of this testing to the diagnosis, classification, and monitoring of patients. For convenience we will commonly refer to these flow cytometry studies as \u201cPNH testing\u201d recognizing that an abnormal result is not diagnostic of PNH; rather both laboratory and clinical features are used to establish this diagnosis. \u00a9 2017 International Clinical Cytometry Society.", "author" : [ { "dropping-particle" : "", "family" : "Dezern", "given" : "Amy E.", "non-dropping-particle" : "", "parse-names" : false, "suffix" : "" }, { "dropping-particle" : "", "family" : "Borowitz", "given" : "Michael J.", "non-dropping-particle" : "", "parse-names" : false, "suffix" : "" } ], "container-title" : "Cytometry Part B - Clinical Cytometry", "id" : "ITEM-1", "issue" : "1", "issued" : { "date-parts" : [ [ "2018" ] ] }, "page" : "16-22", "title" : "ICCS/ESCCA consensus guidelines to detect GPI-deficient cells in paroxysmal nocturnal hemoglobinuria (PNH) and related disorders part 1 \u2013 clinical utility", "type" : "article-journal", "volume" : "94" }, "uris" : [ "http://www.mendeley.com/documents/?uuid=02e922bf-fc6a-4ec8-9304-8b717d805db1" ] }, { "id" : "ITEM-2", "itemData" : { "DOI" : "10.1002/cyto.b.21610", "ISSN" : "15524957", "abstract" : "Since publication in 2010 of the International Clinical Cytometry Society (ICCS) Consensus Guidelines for detection of Paroxysmal nocturnal hemoglobinuria (PNH) by flow cytometery, a great deal of work has been performed to develop, optimize, and validate a number of high-sensitivity assays to detect PNH phenotypes in both red blood cells (RBCs) and white blood cells (WBCs, neutrophils, and monocytes). This section (Part 2) of the updated ICCS PNH Consensus Guidelines will focus on specific instrument setup for these PNH assays, the identification and proper testing of appropriate antibody conjugates and combinations therof, and basic assay design. \u00a9 2017 International Clinical Cytometry Society.", "author" : [ { "dropping-particle" : "", "family" : "Sutherland", "given" : "D. Robert", "non-dropping-particle" : "", "parse-names" : false, "suffix" : "" }, { "dropping-particle" : "", "family" : "Illingworth", "given" : "Andrea", "non-dropping-particle" : "", "parse-names" : false, "suffix" : "" }, { "dropping-particle" : "", "family" : "Marinov", "given" : "Iuri", "non-dropping-particle" : "", "parse-names" : false, "suffix" : "" }, { "dropping-particle" : "", "family" : "Ortiz", "given" : "Fernando", "non-dropping-particle" : "", "parse-names" : false, "suffix" : "" }, { "dropping-particle" : "", "family" : "Andreasen", "given" : "John", "non-dropping-particle" : "", "parse-names" : false, "suffix" : "" }, { "dropping-particle" : "", "family" : "Payne", "given" : "Dan", "non-dropping-particle" : "", "parse-names" : false, "suffix" : "" }, { "dropping-particle" : "", "family" : "Wallace", "given" : "Paul K.", "non-dropping-particle" : "", "parse-names" : false, "suffix" : "" }, { "dropping-particle" : "", "family" : "Keeney", "given" : "Michael", "non-dropping-particle" : "", "parse-names" : false, "suffix" : "" } ], "container-title" : "Cytometry Part B - Clinical Cytometry", "id" : "ITEM-2", "issue" : "1", "issued" : { "date-parts" : [ [ "2018" ] ] }, "page" : "23-48", "title" : "ICCS/ESCCA consensus guidelines to detect GPI-deficient cells in paroxysmal nocturnal hemoglobinuria (PNH) and related disorders part 2 \u2013 reagent selection and assay optimization for high-sensitivity testing", "type" : "article-journal", "volume" : "94" }, "uris" : [ "http://www.mendeley.com/documents/?uuid=a01f2e63-d340-4f4b-a80f-4a82150f2205" ] } ], "mendeley" : { "formattedCitation" : "[30,31]", "plainTextFormattedCitation" : "[30,31]", "previouslyFormattedCitation" : "[30,31]" }, "properties" : { "noteIndex" : 0 }, "schema" : "https://github.com/citation-style-language/schema/raw/master/csl-citation.json" }</w:instrText>
      </w:r>
      <w:r w:rsidR="00C52D41" w:rsidRPr="00EA6709">
        <w:rPr>
          <w:i/>
          <w:iCs/>
        </w:rPr>
        <w:fldChar w:fldCharType="separate"/>
      </w:r>
      <w:r w:rsidR="00C52D41" w:rsidRPr="00034578">
        <w:rPr>
          <w:iCs/>
          <w:noProof/>
        </w:rPr>
        <w:t>[30,31]</w:t>
      </w:r>
      <w:r w:rsidR="00C52D41" w:rsidRPr="00EA6709">
        <w:rPr>
          <w:i/>
          <w:iCs/>
        </w:rPr>
        <w:fldChar w:fldCharType="end"/>
      </w:r>
      <w:r w:rsidR="00C52D41" w:rsidRPr="00EA6709">
        <w:rPr>
          <w:i/>
          <w:iCs/>
        </w:rPr>
        <w:t xml:space="preserve">. </w:t>
      </w:r>
      <w:r w:rsidR="00C52D41" w:rsidRPr="00EA6709">
        <w:rPr>
          <w:rFonts w:cs="Times New Roman"/>
          <w:i/>
          <w:iCs/>
          <w:szCs w:val="24"/>
        </w:rPr>
        <w:t xml:space="preserve">Для более точной диагностики ПНГ-клона исследование целесообразно проводить сразу на нескольких клеточных линиях (эритроциты, нейтрофилы, моноциты). При исследовании только лишь эритроцитов возможно искажение истинного размера ПНГ-клона в результате предшествующих гемотрансфузий или комплемент-опосредованного лизиса дефектных эритроцитов. Продолжительность жизни </w:t>
      </w:r>
      <w:r w:rsidR="00C52D41" w:rsidRPr="00EA6709">
        <w:rPr>
          <w:rFonts w:cs="Times New Roman"/>
          <w:i/>
          <w:iCs/>
          <w:szCs w:val="24"/>
          <w:lang w:val="en-US"/>
        </w:rPr>
        <w:t>GPI</w:t>
      </w:r>
      <w:r w:rsidR="00C52D41" w:rsidRPr="00EA6709">
        <w:rPr>
          <w:rFonts w:cs="Times New Roman"/>
          <w:i/>
          <w:iCs/>
          <w:szCs w:val="24"/>
        </w:rPr>
        <w:t>-дефицитных лейкоцитов не отличается от нормальной, что делает их эталоном для определения истинного размера ПНГ-клона</w:t>
      </w:r>
      <w:r w:rsidR="00C52D41">
        <w:rPr>
          <w:rFonts w:cs="Times New Roman"/>
          <w:i/>
          <w:iCs/>
          <w:szCs w:val="24"/>
        </w:rPr>
        <w:t xml:space="preserve"> </w:t>
      </w:r>
      <w:r w:rsidR="00C52D41">
        <w:rPr>
          <w:rFonts w:cs="Times New Roman"/>
          <w:i/>
          <w:iCs/>
          <w:szCs w:val="24"/>
        </w:rPr>
        <w:fldChar w:fldCharType="begin" w:fldLock="1"/>
      </w:r>
      <w:r w:rsidR="00C52D41">
        <w:rPr>
          <w:rFonts w:cs="Times New Roman"/>
          <w:i/>
          <w:iCs/>
          <w:szCs w:val="24"/>
        </w:rPr>
        <w:instrText>ADDIN CSL_CITATION { "citationItems" : [ { "id" : "ITEM-1", "itemData" : { "ISSN" : "00064971", "abstract" : "We have studied neutrophil intravascular life span in six patients with paroxysmal nocturnal hemoglobinuria (PNH); four had normal neutrophil counts when studied and two were neutropenic. Five patients had enough circulating neutrophils to isolate for tests in vitro. Lysis of labeled neutrophils was greatly increased, compared to that of normal volunteers, when these neutrophils were incubated with acidified fresh serum as a source of active complement plus serum containing antineutrophil antibodies (from three different sources). Despite the in vitro lesion, however, each of these patients had a normal neutrophil intravascular life span as measured by the 32P-diisopropylfluorophosphate technique. One neutropenic patient, who had a normal neutrophil life span, had shift shify of cells from the circulating to marginated pool of sufficient degree to cause the neutropenia. A second (severely) neutropenic patient was found to have developed extreme marrow hypoplasia, also explaining the neutropenia. Thus, in contrast to the shortened red cell life span, we have been unable to find a shortened neutrophil life span in PNH.", "author" : [ { "dropping-particle" : "", "family" : "Brubaker", "given" : "L. H.", "non-dropping-particle" : "", "parse-names" : false, "suffix" : "" }, { "dropping-particle" : "", "family" : "Essig", "given" : "L. R J", "non-dropping-particle" : "", "parse-names" : false, "suffix" : "" }, { "dropping-particle" : "", "family" : "Mengel", "given" : "C. E.", "non-dropping-particle" : "", "parse-names" : false, "suffix" : "" } ], "container-title" : "Blood", "id" : "ITEM-1", "issue" : "4", "issued" : { "date-parts" : [ [ "1977" ] ] }, "page" : "657-662", "title" : "Neutrophil life span in paroxysmal nocturnal hemoglobinuria", "type" : "article-journal", "volume" : "50" }, "uris" : [ "http://www.mendeley.com/documents/?uuid=ba630d70-c8b5-49c3-9646-de6ee00f56ca" ] } ], "mendeley" : { "formattedCitation" : "[32]", "plainTextFormattedCitation" : "[32]", "previouslyFormattedCitation" : "[32]" }, "properties" : { "noteIndex" : 0 }, "schema" : "https://github.com/citation-style-language/schema/raw/master/csl-citation.json" }</w:instrText>
      </w:r>
      <w:r w:rsidR="00C52D41">
        <w:rPr>
          <w:rFonts w:cs="Times New Roman"/>
          <w:i/>
          <w:iCs/>
          <w:szCs w:val="24"/>
        </w:rPr>
        <w:fldChar w:fldCharType="separate"/>
      </w:r>
      <w:r w:rsidR="00C52D41" w:rsidRPr="00034578">
        <w:rPr>
          <w:rFonts w:cs="Times New Roman"/>
          <w:iCs/>
          <w:noProof/>
          <w:szCs w:val="24"/>
        </w:rPr>
        <w:t>[32]</w:t>
      </w:r>
      <w:r w:rsidR="00C52D41">
        <w:rPr>
          <w:rFonts w:cs="Times New Roman"/>
          <w:i/>
          <w:iCs/>
          <w:szCs w:val="24"/>
        </w:rPr>
        <w:fldChar w:fldCharType="end"/>
      </w:r>
      <w:r w:rsidR="00C52D41" w:rsidRPr="00EA6709">
        <w:rPr>
          <w:rFonts w:cs="Times New Roman"/>
          <w:i/>
          <w:iCs/>
          <w:szCs w:val="24"/>
        </w:rPr>
        <w:t xml:space="preserve">. Высокочувствительная проточная </w:t>
      </w:r>
      <w:proofErr w:type="spellStart"/>
      <w:r w:rsidR="00C52D41" w:rsidRPr="00EA6709">
        <w:rPr>
          <w:rFonts w:cs="Times New Roman"/>
          <w:i/>
          <w:iCs/>
          <w:szCs w:val="24"/>
        </w:rPr>
        <w:t>цитометрия</w:t>
      </w:r>
      <w:proofErr w:type="spellEnd"/>
      <w:r w:rsidR="00C52D41" w:rsidRPr="00EA6709">
        <w:rPr>
          <w:rFonts w:cs="Times New Roman"/>
          <w:i/>
          <w:iCs/>
          <w:szCs w:val="24"/>
        </w:rPr>
        <w:t xml:space="preserve"> позволяет выявлять ПНГ-клон размером 0,01%.</w:t>
      </w:r>
    </w:p>
    <w:p w14:paraId="418CB6C2" w14:textId="5FC7EC57" w:rsidR="007C7431" w:rsidRPr="007E0C74" w:rsidRDefault="007C7431" w:rsidP="00C52D41">
      <w:pPr>
        <w:ind w:left="360" w:firstLine="0"/>
        <w:divId w:val="266810958"/>
        <w:rPr>
          <w:rFonts w:cs="Times New Roman"/>
          <w:i/>
          <w:iCs/>
          <w:szCs w:val="24"/>
        </w:rPr>
      </w:pPr>
    </w:p>
    <w:p w14:paraId="0E95513F" w14:textId="77777777" w:rsidR="00784572" w:rsidRPr="003A55CC" w:rsidRDefault="00784572" w:rsidP="00784572">
      <w:pPr>
        <w:pStyle w:val="1"/>
        <w:divId w:val="266810958"/>
        <w:rPr>
          <w:b/>
        </w:rPr>
      </w:pPr>
      <w:proofErr w:type="gramStart"/>
      <w:r w:rsidRPr="003A55CC">
        <w:rPr>
          <w:b/>
        </w:rPr>
        <w:t>Рекомендуется</w:t>
      </w:r>
      <w:r w:rsidRPr="003A55CC">
        <w:t xml:space="preserve"> проведение исследований костного мозга (гистологическое исследование </w:t>
      </w:r>
      <w:proofErr w:type="spellStart"/>
      <w:r w:rsidRPr="003A55CC">
        <w:t>трепанобиоптата</w:t>
      </w:r>
      <w:proofErr w:type="spellEnd"/>
      <w:r w:rsidRPr="003A55CC">
        <w:t xml:space="preserve">, цитологическое исследование аспирата костного мозга, стандартное цитогенетическое исследование) у пациентов с подозрением на ПНГ или с впервые выявленным ПНГ-клоном с целью дифференциальной диагностики классической ПНГ и АА/ПНГ, МДС/ПНГ и </w:t>
      </w:r>
      <w:proofErr w:type="spellStart"/>
      <w:r w:rsidRPr="003A55CC">
        <w:t>миелофиброз</w:t>
      </w:r>
      <w:proofErr w:type="spellEnd"/>
      <w:r w:rsidRPr="003A55CC">
        <w:t>/ПНГ.</w:t>
      </w:r>
      <w:proofErr w:type="gramEnd"/>
    </w:p>
    <w:p w14:paraId="115A8EAB" w14:textId="77777777" w:rsidR="00784572" w:rsidRPr="00B104EF" w:rsidRDefault="00784572" w:rsidP="00784572">
      <w:pPr>
        <w:pStyle w:val="aff1"/>
        <w:divId w:val="266810958"/>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r w:rsidRPr="00B104EF">
        <w:t>)</w:t>
      </w:r>
    </w:p>
    <w:p w14:paraId="5A1FF31D" w14:textId="77777777" w:rsidR="00784572" w:rsidRPr="003A55CC" w:rsidRDefault="00784572" w:rsidP="00784572">
      <w:pPr>
        <w:pStyle w:val="aff1"/>
        <w:divId w:val="266810958"/>
        <w:rPr>
          <w:b w:val="0"/>
          <w:i/>
        </w:rPr>
      </w:pPr>
      <w:r w:rsidRPr="00EE59C2">
        <w:t>Комментарии</w:t>
      </w:r>
      <w:r w:rsidRPr="001D40F8">
        <w:t xml:space="preserve">: </w:t>
      </w:r>
      <w:r w:rsidRPr="003A55CC">
        <w:rPr>
          <w:b w:val="0"/>
          <w:i/>
        </w:rPr>
        <w:t xml:space="preserve">исследование костного мозга должно включать морфологическое, цитохимическое, </w:t>
      </w:r>
      <w:proofErr w:type="spellStart"/>
      <w:r w:rsidRPr="003A55CC">
        <w:rPr>
          <w:b w:val="0"/>
          <w:i/>
        </w:rPr>
        <w:t>кариологическое</w:t>
      </w:r>
      <w:proofErr w:type="spellEnd"/>
      <w:r w:rsidRPr="003A55CC">
        <w:rPr>
          <w:b w:val="0"/>
          <w:i/>
        </w:rPr>
        <w:t xml:space="preserve"> и, </w:t>
      </w:r>
      <w:proofErr w:type="spellStart"/>
      <w:r w:rsidRPr="003A55CC">
        <w:rPr>
          <w:b w:val="0"/>
          <w:i/>
        </w:rPr>
        <w:t>по-возможности</w:t>
      </w:r>
      <w:proofErr w:type="spellEnd"/>
      <w:r w:rsidRPr="003A55CC">
        <w:rPr>
          <w:b w:val="0"/>
          <w:i/>
        </w:rPr>
        <w:t xml:space="preserve">, молекулярное исследование </w:t>
      </w:r>
      <w:proofErr w:type="spellStart"/>
      <w:r w:rsidRPr="003A55CC">
        <w:rPr>
          <w:b w:val="0"/>
          <w:i/>
        </w:rPr>
        <w:t>миелокариоцитов</w:t>
      </w:r>
      <w:proofErr w:type="spellEnd"/>
      <w:r w:rsidRPr="003A55CC">
        <w:rPr>
          <w:b w:val="0"/>
          <w:i/>
        </w:rPr>
        <w:t xml:space="preserve"> для дифференциальной диагностики классической ПНГ и формы, ассоциированной с другим гематологическим заболеванием (АА, МДС, </w:t>
      </w:r>
      <w:proofErr w:type="spellStart"/>
      <w:r w:rsidRPr="003A55CC">
        <w:rPr>
          <w:b w:val="0"/>
          <w:i/>
        </w:rPr>
        <w:t>миелофиброз</w:t>
      </w:r>
      <w:proofErr w:type="spellEnd"/>
      <w:r w:rsidRPr="003A55CC">
        <w:rPr>
          <w:b w:val="0"/>
          <w:i/>
        </w:rPr>
        <w:t>).</w:t>
      </w:r>
    </w:p>
    <w:p w14:paraId="558CB82D" w14:textId="4731DA3E" w:rsidR="007C7431" w:rsidRPr="00052E33" w:rsidRDefault="00784572" w:rsidP="007C7431">
      <w:pPr>
        <w:pStyle w:val="aff1"/>
        <w:divId w:val="266810958"/>
        <w:rPr>
          <w:b w:val="0"/>
          <w:i/>
        </w:rPr>
      </w:pPr>
      <w:r w:rsidRPr="003A55CC">
        <w:rPr>
          <w:b w:val="0"/>
          <w:i/>
        </w:rPr>
        <w:t>П</w:t>
      </w:r>
      <w:r w:rsidR="00052E33" w:rsidRPr="003A55CC">
        <w:rPr>
          <w:b w:val="0"/>
          <w:i/>
        </w:rPr>
        <w:t xml:space="preserve">ри подозрении на </w:t>
      </w:r>
      <w:proofErr w:type="spellStart"/>
      <w:r w:rsidR="00052E33" w:rsidRPr="003A55CC">
        <w:rPr>
          <w:b w:val="0"/>
          <w:i/>
        </w:rPr>
        <w:t>апластическую</w:t>
      </w:r>
      <w:proofErr w:type="spellEnd"/>
      <w:r w:rsidR="00052E33" w:rsidRPr="003A55CC">
        <w:rPr>
          <w:b w:val="0"/>
          <w:i/>
        </w:rPr>
        <w:t xml:space="preserve"> анемию или МДС необходимо проведение двусторонней </w:t>
      </w:r>
      <w:proofErr w:type="spellStart"/>
      <w:r w:rsidR="00052E33" w:rsidRPr="003A55CC">
        <w:rPr>
          <w:b w:val="0"/>
          <w:i/>
        </w:rPr>
        <w:t>трепанобиопсии</w:t>
      </w:r>
      <w:proofErr w:type="spellEnd"/>
      <w:r w:rsidR="00052E33" w:rsidRPr="003A55CC">
        <w:rPr>
          <w:b w:val="0"/>
          <w:i/>
        </w:rPr>
        <w:t xml:space="preserve"> и выполнение </w:t>
      </w:r>
      <w:r w:rsidR="00052E33" w:rsidRPr="003A55CC">
        <w:rPr>
          <w:b w:val="0"/>
          <w:i/>
          <w:lang w:val="en-US"/>
        </w:rPr>
        <w:t>FISH</w:t>
      </w:r>
      <w:r w:rsidR="00052E33" w:rsidRPr="003A55CC">
        <w:rPr>
          <w:b w:val="0"/>
          <w:i/>
        </w:rPr>
        <w:t>-исследований согласно рекомендациям при соответствующих заболеваниях.</w:t>
      </w:r>
    </w:p>
    <w:p w14:paraId="3705E58F" w14:textId="77777777" w:rsidR="007C7431" w:rsidRPr="007C7431" w:rsidRDefault="007C7431" w:rsidP="007C7431">
      <w:pPr>
        <w:ind w:firstLine="0"/>
        <w:divId w:val="266810958"/>
        <w:rPr>
          <w:rFonts w:cs="Times New Roman"/>
          <w:i/>
          <w:iCs/>
          <w:szCs w:val="24"/>
        </w:rPr>
      </w:pPr>
    </w:p>
    <w:p w14:paraId="532A942A" w14:textId="59BBBDA4" w:rsidR="00B46390" w:rsidRDefault="00B46390" w:rsidP="0021676E">
      <w:pPr>
        <w:pStyle w:val="2"/>
        <w:divId w:val="266810958"/>
      </w:pPr>
      <w:bookmarkStart w:id="29" w:name="_Toc24641959"/>
      <w:bookmarkEnd w:id="28"/>
      <w:r w:rsidRPr="00B46390">
        <w:t xml:space="preserve">2.4 </w:t>
      </w:r>
      <w:r w:rsidR="00A70F44">
        <w:t xml:space="preserve">Инструментальные </w:t>
      </w:r>
      <w:r w:rsidRPr="00B46390">
        <w:t>диагно</w:t>
      </w:r>
      <w:r w:rsidR="00A70F44">
        <w:t>стические исследования</w:t>
      </w:r>
      <w:bookmarkEnd w:id="29"/>
    </w:p>
    <w:p w14:paraId="7B0E116F" w14:textId="3DC4A6F9" w:rsidR="00634486" w:rsidRPr="00D74813" w:rsidRDefault="00634486" w:rsidP="00634486">
      <w:pPr>
        <w:pStyle w:val="2-6"/>
        <w:divId w:val="266810958"/>
        <w:rPr>
          <w:rStyle w:val="affb"/>
          <w:iCs w:val="0"/>
        </w:rPr>
      </w:pPr>
      <w:r>
        <w:rPr>
          <w:rStyle w:val="affb"/>
          <w:iCs w:val="0"/>
        </w:rPr>
        <w:t xml:space="preserve">Инструментальные исследования при ПНГ </w:t>
      </w:r>
      <w:r w:rsidR="00D75007">
        <w:rPr>
          <w:rStyle w:val="affb"/>
          <w:iCs w:val="0"/>
        </w:rPr>
        <w:t>применяются</w:t>
      </w:r>
      <w:r>
        <w:rPr>
          <w:rStyle w:val="affb"/>
          <w:iCs w:val="0"/>
        </w:rPr>
        <w:t xml:space="preserve"> для диагностики вероятных осложнений заболевания</w:t>
      </w:r>
      <w:r w:rsidR="00FD1B95">
        <w:rPr>
          <w:rStyle w:val="affb"/>
          <w:iCs w:val="0"/>
        </w:rPr>
        <w:t>, а также выявления сопутствующей патологии, которая может оказывать влияние на течение и прогноз основного заболевания.</w:t>
      </w:r>
    </w:p>
    <w:p w14:paraId="01E78452" w14:textId="044A4FFE" w:rsidR="00764826" w:rsidRPr="00764826" w:rsidRDefault="00634486" w:rsidP="00634486">
      <w:pPr>
        <w:pStyle w:val="afff7"/>
        <w:divId w:val="266810958"/>
        <w:rPr>
          <w:b/>
        </w:rPr>
      </w:pPr>
      <w:proofErr w:type="gramStart"/>
      <w:r w:rsidRPr="00D74813">
        <w:rPr>
          <w:b/>
        </w:rPr>
        <w:t>Рекомендуется</w:t>
      </w:r>
      <w:r w:rsidRPr="00AA1FFD">
        <w:t>:</w:t>
      </w:r>
      <w:r w:rsidR="003D75B1">
        <w:t xml:space="preserve"> всем</w:t>
      </w:r>
      <w:r w:rsidRPr="00AA1FFD">
        <w:t xml:space="preserve"> пациент</w:t>
      </w:r>
      <w:r w:rsidR="003D75B1">
        <w:t>ам</w:t>
      </w:r>
      <w:r w:rsidRPr="00AA1FFD">
        <w:t xml:space="preserve"> с </w:t>
      </w:r>
      <w:r w:rsidR="00764826">
        <w:t xml:space="preserve">впервые установленным диагнозом </w:t>
      </w:r>
      <w:r w:rsidRPr="00AA1FFD">
        <w:t>ПНГ проводить</w:t>
      </w:r>
      <w:r w:rsidR="00764826" w:rsidRPr="00764826">
        <w:t xml:space="preserve"> </w:t>
      </w:r>
      <w:r w:rsidR="00764826">
        <w:t>рутинное обследование, с целью выявления осложнений (тромботических, легочной гипертензии) и выявления сопутствующей патологии, включающее</w:t>
      </w:r>
      <w:proofErr w:type="gramEnd"/>
      <w:r w:rsidR="00764826">
        <w:t xml:space="preserve"> </w:t>
      </w:r>
      <w:r w:rsidR="00764826">
        <w:fldChar w:fldCharType="begin" w:fldLock="1"/>
      </w:r>
      <w:r w:rsidR="00034578">
        <w:instrText>ADDIN CSL_CITATION { "citationItems" : [ { "id" : "ITEM-1", "itemData" : { "DOI" : "10.1182/blood-2012-09-311381", "ISSN" : "15280020", "PMID" : "23610373", "abstract" : "The most frequent and feared complication of paroxysmal nocturnal hemoglobinuria (PNH) is thrombosis. Recent research has demonstrated that the complement and coagulation systems are closely integrated with each influencing the activity of the other to the extent that thrombin itself has recently been shown to activate the alternative pathway of complement. This may explain some of the complexity of the thrombosis in PNH. In this review, the recent changes in our understanding of the pathophysiology of thrombosis in PNH, as well as the treatment of thrombosis, will be discussed. Mechanisms explored include platelet activation, toxicity of free hemoglobin, nitric oxide depletion, absence of other glycosylphosphatidylinositol-linked proteins such as urokinase-type plasminogen activator receptor and endothelial dysfunction. Complement inhibition with eculizumab has a dramatic effect in PNH and has amajor impact in the prevention of thrombosis as well as its management in this disease.", "author" : [ { "dropping-particle" : "", "family" : "Hill", "given" : "Anita", "non-dropping-particle" : "", "parse-names" : false, "suffix" : "" }, { "dropping-particle" : "", "family" : "Kelly", "given" : "Richard J.", "non-dropping-particle" : "", "parse-names" : false, "suffix" : "" }, { "dropping-particle" : "", "family" : "Hillmen", "given" : "Peter", "non-dropping-particle" : "", "parse-names" : false, "suffix" : "" } ], "container-title" : "Blood", "id" : "ITEM-1", "issue" : "25", "issued" : { "date-parts" : [ [ "2013" ] ] }, "page" : "4985-4996", "title" : "Thrombosis in paroxysmal nocturnal hemoglobinuria", "type" : "article-journal", "volume" : "121" }, "uris" : [ "http://www.mendeley.com/documents/?uuid=ab63285b-ace1-45e4-9625-1d9196ea210b" ] } ], "mendeley" : { "formattedCitation" : "[13]", "plainTextFormattedCitation" : "[13]", "previouslyFormattedCitation" : "[13]" }, "properties" : { "noteIndex" : 0 }, "schema" : "https://github.com/citation-style-language/schema/raw/master/csl-citation.json" }</w:instrText>
      </w:r>
      <w:r w:rsidR="00764826">
        <w:fldChar w:fldCharType="separate"/>
      </w:r>
      <w:r w:rsidR="000727C4" w:rsidRPr="000727C4">
        <w:rPr>
          <w:noProof/>
        </w:rPr>
        <w:t>[13]</w:t>
      </w:r>
      <w:r w:rsidR="00764826">
        <w:fldChar w:fldCharType="end"/>
      </w:r>
      <w:r w:rsidR="00764826">
        <w:t>:</w:t>
      </w:r>
    </w:p>
    <w:p w14:paraId="7FC6EDB5" w14:textId="28D2395C" w:rsidR="00634486" w:rsidRPr="00764826" w:rsidRDefault="00634486" w:rsidP="00764826">
      <w:pPr>
        <w:pStyle w:val="afff7"/>
        <w:numPr>
          <w:ilvl w:val="1"/>
          <w:numId w:val="1"/>
        </w:numPr>
        <w:divId w:val="266810958"/>
        <w:rPr>
          <w:b/>
        </w:rPr>
      </w:pPr>
      <w:r w:rsidRPr="00AA1FFD">
        <w:t xml:space="preserve"> </w:t>
      </w:r>
      <w:r>
        <w:t>УЗИ-исследование органов брюшной полости с допплерографией сосудов брюшной полости</w:t>
      </w:r>
      <w:r w:rsidR="00764826">
        <w:t xml:space="preserve">; </w:t>
      </w:r>
    </w:p>
    <w:p w14:paraId="4E10E1EC" w14:textId="4B8C6C1A" w:rsidR="00764826" w:rsidRPr="00764826" w:rsidRDefault="00764826" w:rsidP="00764826">
      <w:pPr>
        <w:pStyle w:val="afff7"/>
        <w:numPr>
          <w:ilvl w:val="1"/>
          <w:numId w:val="1"/>
        </w:numPr>
        <w:divId w:val="266810958"/>
        <w:rPr>
          <w:b/>
        </w:rPr>
      </w:pPr>
      <w:r>
        <w:t xml:space="preserve">рентгенографию или КТ органов грудной клетки;  </w:t>
      </w:r>
    </w:p>
    <w:p w14:paraId="393C9D4E" w14:textId="2AE63F6C" w:rsidR="00764826" w:rsidRPr="00764826" w:rsidRDefault="00764826" w:rsidP="00764826">
      <w:pPr>
        <w:pStyle w:val="afff7"/>
        <w:numPr>
          <w:ilvl w:val="1"/>
          <w:numId w:val="1"/>
        </w:numPr>
        <w:divId w:val="266810958"/>
        <w:rPr>
          <w:b/>
        </w:rPr>
      </w:pPr>
      <w:r>
        <w:t xml:space="preserve"> электрокардиографию; </w:t>
      </w:r>
    </w:p>
    <w:p w14:paraId="0ECB7CB4" w14:textId="6369571F" w:rsidR="00764826" w:rsidRDefault="00764826" w:rsidP="004E3A5B">
      <w:pPr>
        <w:pStyle w:val="afff7"/>
        <w:numPr>
          <w:ilvl w:val="1"/>
          <w:numId w:val="1"/>
        </w:numPr>
        <w:divId w:val="266810958"/>
      </w:pPr>
      <w:proofErr w:type="spellStart"/>
      <w:r w:rsidRPr="00AA1FFD">
        <w:t>допплер</w:t>
      </w:r>
      <w:proofErr w:type="spellEnd"/>
      <w:r w:rsidRPr="00AA1FFD">
        <w:t>-эхокардиографи</w:t>
      </w:r>
      <w:r>
        <w:t>я</w:t>
      </w:r>
      <w:r w:rsidRPr="00AA1FFD">
        <w:t xml:space="preserve"> </w:t>
      </w:r>
    </w:p>
    <w:p w14:paraId="36704557" w14:textId="77777777" w:rsidR="00764826" w:rsidRDefault="00764826" w:rsidP="00764826">
      <w:pPr>
        <w:pStyle w:val="aff1"/>
        <w:ind w:left="0"/>
        <w:divId w:val="266810958"/>
      </w:pPr>
    </w:p>
    <w:p w14:paraId="0D9A2FE5" w14:textId="2F7BAB88" w:rsidR="00634486" w:rsidRPr="00B104EF" w:rsidRDefault="00634486" w:rsidP="00634486">
      <w:pPr>
        <w:pStyle w:val="aff1"/>
        <w:divId w:val="266810958"/>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18D81BEE" w14:textId="33A5FBCA" w:rsidR="00764826" w:rsidRPr="003A55CC" w:rsidRDefault="00634486" w:rsidP="00634486">
      <w:pPr>
        <w:pStyle w:val="aff2"/>
        <w:divId w:val="266810958"/>
        <w:rPr>
          <w:i/>
        </w:rPr>
      </w:pPr>
      <w:r w:rsidRPr="00ED5598">
        <w:rPr>
          <w:b/>
        </w:rPr>
        <w:t>Комментарии:</w:t>
      </w:r>
      <w:r w:rsidR="00764826">
        <w:rPr>
          <w:b/>
        </w:rPr>
        <w:t xml:space="preserve"> </w:t>
      </w:r>
      <w:r w:rsidR="00764826" w:rsidRPr="003A55CC">
        <w:rPr>
          <w:i/>
        </w:rPr>
        <w:t>при выявлении</w:t>
      </w:r>
      <w:r w:rsidR="00764826" w:rsidRPr="003A55CC">
        <w:rPr>
          <w:b/>
          <w:i/>
        </w:rPr>
        <w:t xml:space="preserve"> </w:t>
      </w:r>
      <w:r w:rsidR="00764826" w:rsidRPr="003A55CC">
        <w:rPr>
          <w:i/>
        </w:rPr>
        <w:t>у пациентов с</w:t>
      </w:r>
      <w:r w:rsidR="00764826" w:rsidRPr="003A55CC">
        <w:rPr>
          <w:b/>
          <w:i/>
        </w:rPr>
        <w:t xml:space="preserve"> </w:t>
      </w:r>
      <w:r w:rsidR="00764826" w:rsidRPr="003A55CC">
        <w:rPr>
          <w:i/>
        </w:rPr>
        <w:t xml:space="preserve">ПНГ характерных осложнений - легочной гипертензии и тромбозов центральных вен различных локализаций, проводится </w:t>
      </w:r>
      <w:proofErr w:type="spellStart"/>
      <w:r w:rsidR="00764826" w:rsidRPr="003A55CC">
        <w:rPr>
          <w:i/>
        </w:rPr>
        <w:t>дообследование</w:t>
      </w:r>
      <w:proofErr w:type="spellEnd"/>
      <w:r w:rsidR="00764826" w:rsidRPr="003A55CC">
        <w:rPr>
          <w:i/>
        </w:rPr>
        <w:t xml:space="preserve">, </w:t>
      </w:r>
      <w:proofErr w:type="gramStart"/>
      <w:r w:rsidR="00764826" w:rsidRPr="003A55CC">
        <w:rPr>
          <w:i/>
        </w:rPr>
        <w:t>включающее</w:t>
      </w:r>
      <w:proofErr w:type="gramEnd"/>
      <w:r w:rsidR="00764826" w:rsidRPr="003A55CC">
        <w:rPr>
          <w:i/>
        </w:rPr>
        <w:t xml:space="preserve"> </w:t>
      </w:r>
    </w:p>
    <w:p w14:paraId="27443C38" w14:textId="59804578" w:rsidR="00634486" w:rsidRPr="003A55CC" w:rsidRDefault="00764826" w:rsidP="00634486">
      <w:pPr>
        <w:pStyle w:val="aff2"/>
        <w:divId w:val="266810958"/>
        <w:rPr>
          <w:i/>
        </w:rPr>
      </w:pPr>
      <w:proofErr w:type="gramStart"/>
      <w:r w:rsidRPr="003A55CC">
        <w:rPr>
          <w:b/>
          <w:i/>
        </w:rPr>
        <w:t>-</w:t>
      </w:r>
      <w:r w:rsidRPr="003A55CC">
        <w:rPr>
          <w:i/>
        </w:rPr>
        <w:t xml:space="preserve"> </w:t>
      </w:r>
      <w:r w:rsidR="00052E33" w:rsidRPr="003A55CC">
        <w:rPr>
          <w:i/>
        </w:rPr>
        <w:t>определение</w:t>
      </w:r>
      <w:r w:rsidRPr="003A55CC">
        <w:rPr>
          <w:i/>
        </w:rPr>
        <w:t xml:space="preserve"> СДЛА методом </w:t>
      </w:r>
      <w:proofErr w:type="spellStart"/>
      <w:r w:rsidRPr="003A55CC">
        <w:rPr>
          <w:i/>
        </w:rPr>
        <w:t>допплер</w:t>
      </w:r>
      <w:proofErr w:type="spellEnd"/>
      <w:r w:rsidRPr="003A55CC">
        <w:rPr>
          <w:i/>
        </w:rPr>
        <w:t>-эхокардиографии с целью первичной оценки легочной гипертензии</w:t>
      </w:r>
      <w:proofErr w:type="gramEnd"/>
      <w:r w:rsidRPr="003A55CC">
        <w:rPr>
          <w:i/>
        </w:rPr>
        <w:t xml:space="preserve"> </w:t>
      </w:r>
      <w:r w:rsidRPr="003A55CC">
        <w:rPr>
          <w:i/>
        </w:rPr>
        <w:fldChar w:fldCharType="begin" w:fldLock="1"/>
      </w:r>
      <w:r w:rsidR="000727C4" w:rsidRPr="003A55CC">
        <w:rPr>
          <w:i/>
        </w:rPr>
        <w:instrText>ADDIN CSL_CITATION { "citationItems" : [ { "id" : "ITEM-1", "itemData" : { "DOI" : "10.1111/j.1365-2141.2012.09166.x", "ISSN" : "00071048", "PMID" : "22639982", "abstract" : "Pulmonary hypertension is becoming a recognized complication of the hereditary and acquired haemolytic anaemias, associated with a poor prognosis. Recently we reported that patients with paroxysmal nocturnal haemoglobinuria (PNH) have high levels of N-terminal pro-brain natriuretic peptide (NT-proBNP), a biomarker associated with both right and left ventricular dysfunction and cardiac dysfunction. In the current study we evaluated a cohort of patients (N = 29) with haemolytic PNH for elevated pulmonary artery systolic pressure and cardiac function by Doppler-echocardiography. Of the 29 patients, eight were further studied using cardiac magnetic resonance imaging (MRI), as well as two additional patients (number of patients studied using cardiac MRI = 10). Plasma from the first cohort (N = 29) demonstrated intravascular haemolysis associated with a 12-fold increase in median nitric oxide (NO) consumption when compared with healthy volunteers (P &lt; 0\u00b7001). Doppler echocardiography demonstrated normal left ventricular function and elevated pulmonary artery systolic pressure in 41% of patients. Cardiac MRI from the second cohort (N = 10) demonstrated depressed right ventricular function in 80% of PNH patients tested, and 60% had findings suggestive of subclinical small pulmonary emboli. Together, these data suggest a high prevalence of haemolysis-associated NO scavenging, Doppler-estimated systolic pulmonary hypertension, and depressed right ventricular function in patients with PNH. \u00a9 2012 Blackwell Publishing Ltd.", "author" : [ { "dropping-particle" : "", "family" : "Hill", "given" : "Anita", "non-dropping-particle" : "", "parse-names" : false, "suffix" : "" }, { "dropping-particle" : "", "family" : "Sapsford", "given" : "Robert J.", "non-dropping-particle" : "", "parse-names" : false, "suffix" : "" }, { "dropping-particle" : "", "family" : "Scally", "given" : "Andrew", "non-dropping-particle" : "", "parse-names" : false, "suffix" : "" }, { "dropping-particle" : "", "family" : "Kelly", "given" : "Richard", "non-dropping-particle" : "", "parse-names" : false, "suffix" : "" }, { "dropping-particle" : "", "family" : "Richards", "given" : "Stephen J.", "non-dropping-particle" : "", "parse-names" : false, "suffix" : "" }, { "dropping-particle" : "", "family" : "Khurisgara", "given" : "Gus", "non-dropping-particle" : "", "parse-names" : false, "suffix" : "" }, { "dropping-particle" : "", "family" : "Sivananthan", "given" : "Mohan U.", "non-dropping-particle" : "", "parse-names" : false, "suffix" : "" }, { "dropping-particle" : "", "family" : "Hillmen", "given" : "Peter", "non-dropping-particle" : "", "parse-names" : false, "suffix" : "" } ], "container-title" : "British Journal of Haematology", "id" : "ITEM-1", "issue" : "3", "issued" : { "date-parts" : [ [ "2012" ] ] }, "page" : "409-414", "title" : "Under-recognized complications in patients with paroxysmal nocturnal haemoglobinuria: Raised pulmonary pressure and reduced right ventricular function", "type" : "article-journal", "volume" : "158" }, "uris" : [ "http://www.mendeley.com/documents/?uuid=c38f53fc-3713-47fd-a436-037a90bfb05f" ] } ], "mendeley" : { "formattedCitation" : "[25]", "plainTextFormattedCitation" : "[25]", "previouslyFormattedCitation" : "[25]" }, "properties" : { "noteIndex" : 0 }, "schema" : "https://github.com/citation-style-language/schema/raw/master/csl-citation.json" }</w:instrText>
      </w:r>
      <w:r w:rsidRPr="003A55CC">
        <w:rPr>
          <w:i/>
        </w:rPr>
        <w:fldChar w:fldCharType="separate"/>
      </w:r>
      <w:r w:rsidRPr="003A55CC">
        <w:rPr>
          <w:i/>
          <w:noProof/>
        </w:rPr>
        <w:t>[25]</w:t>
      </w:r>
      <w:r w:rsidRPr="003A55CC">
        <w:rPr>
          <w:i/>
        </w:rPr>
        <w:fldChar w:fldCharType="end"/>
      </w:r>
      <w:r w:rsidRPr="003A55CC">
        <w:rPr>
          <w:i/>
        </w:rPr>
        <w:t>;</w:t>
      </w:r>
    </w:p>
    <w:p w14:paraId="79366617" w14:textId="27FB8ADE" w:rsidR="00764826" w:rsidRPr="003A55CC" w:rsidRDefault="00764826" w:rsidP="00764826">
      <w:pPr>
        <w:pStyle w:val="afff7"/>
        <w:numPr>
          <w:ilvl w:val="0"/>
          <w:numId w:val="0"/>
        </w:numPr>
        <w:ind w:left="708"/>
        <w:divId w:val="266810958"/>
        <w:rPr>
          <w:b/>
          <w:i/>
        </w:rPr>
      </w:pPr>
      <w:proofErr w:type="gramStart"/>
      <w:r w:rsidRPr="003A55CC">
        <w:rPr>
          <w:rFonts w:eastAsiaTheme="minorHAnsi" w:cs="Times New Roman"/>
          <w:i/>
          <w:szCs w:val="24"/>
        </w:rPr>
        <w:t>- МРТ/КТ с внутривенным контрастированием для подтверждения тромбоза и определения его точной локализации</w:t>
      </w:r>
      <w:proofErr w:type="gramEnd"/>
      <w:r w:rsidRPr="003A55CC">
        <w:rPr>
          <w:rFonts w:eastAsiaTheme="minorHAnsi" w:cs="Times New Roman"/>
          <w:i/>
          <w:szCs w:val="24"/>
        </w:rPr>
        <w:t xml:space="preserve"> </w:t>
      </w:r>
      <w:r w:rsidRPr="003A55CC">
        <w:rPr>
          <w:rFonts w:eastAsiaTheme="minorHAnsi" w:cs="Times New Roman"/>
          <w:i/>
          <w:szCs w:val="24"/>
        </w:rPr>
        <w:fldChar w:fldCharType="begin" w:fldLock="1"/>
      </w:r>
      <w:r w:rsidR="000727C4" w:rsidRPr="003A55CC">
        <w:rPr>
          <w:rFonts w:eastAsiaTheme="minorHAnsi" w:cs="Times New Roman"/>
          <w:i/>
          <w:szCs w:val="24"/>
        </w:rPr>
        <w:instrText>ADDIN CSL_CITATION { "citationItems" : [ { "id" : "ITEM-1", "itemData" : { "DOI" : "10.1182/blood-2012-09-311381", "ISSN" : "15280020", "PMID" : "23610373", "abstract" : "The most frequent and feared complication of paroxysmal nocturnal hemoglobinuria (PNH) is thrombosis. Recent research has demonstrated that the complement and coagulation systems are closely integrated with each influencing the activity of the other to the extent that thrombin itself has recently been shown to activate the alternative pathway of complement. This may explain some of the complexity of the thrombosis in PNH. In this review, the recent changes in our understanding of the pathophysiology of thrombosis in PNH, as well as the treatment of thrombosis, will be discussed. Mechanisms explored include platelet activation, toxicity of free hemoglobin, nitric oxide depletion, absence of other glycosylphosphatidylinositol-linked proteins such as urokinase-type plasminogen activator receptor and endothelial dysfunction. Complement inhibition with eculizumab has a dramatic effect in PNH and has amajor impact in the prevention of thrombosis as well as its management in this disease.", "author" : [ { "dropping-particle" : "", "family" : "Hill", "given" : "Anita", "non-dropping-particle" : "", "parse-names" : false, "suffix" : "" }, { "dropping-particle" : "", "family" : "Kelly", "given" : "Richard J.", "non-dropping-particle" : "", "parse-names" : false, "suffix" : "" }, { "dropping-particle" : "", "family" : "Hillmen", "given" : "Peter", "non-dropping-particle" : "", "parse-names" : false, "suffix" : "" } ], "container-title" : "Blood", "id" : "ITEM-1", "issue" : "25", "issued" : { "date-parts" : [ [ "2013" ] ] }, "page" : "4985-4996", "title" : "Thrombosis in paroxysmal nocturnal hemoglobinuria", "type" : "article-journal", "volume" : "121" }, "uris" : [ "http://www.mendeley.com/documents/?uuid=ab63285b-ace1-45e4-9625-1d9196ea210b" ] } ], "mendeley" : { "formattedCitation" : "[13]", "plainTextFormattedCitation" : "[13]", "previouslyFormattedCitation" : "[13]" }, "properties" : { "noteIndex" : 0 }, "schema" : "https://github.com/citation-style-language/schema/raw/master/csl-citation.json" }</w:instrText>
      </w:r>
      <w:r w:rsidRPr="003A55CC">
        <w:rPr>
          <w:rFonts w:eastAsiaTheme="minorHAnsi" w:cs="Times New Roman"/>
          <w:i/>
          <w:szCs w:val="24"/>
        </w:rPr>
        <w:fldChar w:fldCharType="separate"/>
      </w:r>
      <w:r w:rsidRPr="003A55CC">
        <w:rPr>
          <w:rFonts w:eastAsiaTheme="minorHAnsi" w:cs="Times New Roman"/>
          <w:i/>
          <w:noProof/>
          <w:szCs w:val="24"/>
        </w:rPr>
        <w:t>[13]</w:t>
      </w:r>
      <w:r w:rsidRPr="003A55CC">
        <w:rPr>
          <w:rFonts w:eastAsiaTheme="minorHAnsi" w:cs="Times New Roman"/>
          <w:i/>
          <w:szCs w:val="24"/>
        </w:rPr>
        <w:fldChar w:fldCharType="end"/>
      </w:r>
      <w:r w:rsidRPr="003A55CC">
        <w:rPr>
          <w:i/>
        </w:rPr>
        <w:t>.</w:t>
      </w:r>
    </w:p>
    <w:p w14:paraId="6CF2D472" w14:textId="77777777" w:rsidR="00634486" w:rsidRPr="001D40F8" w:rsidRDefault="00634486" w:rsidP="00094ED6">
      <w:pPr>
        <w:pStyle w:val="aff2"/>
        <w:divId w:val="266810958"/>
      </w:pPr>
    </w:p>
    <w:p w14:paraId="3D40472F" w14:textId="0F984922" w:rsidR="000414F6" w:rsidRDefault="00CB71DA" w:rsidP="00C4630C">
      <w:pPr>
        <w:pStyle w:val="afff1"/>
      </w:pPr>
      <w:bookmarkStart w:id="30" w:name="__RefHeading___doc_3"/>
      <w:bookmarkStart w:id="31" w:name="_Toc24641960"/>
      <w:r>
        <w:t xml:space="preserve">3. </w:t>
      </w:r>
      <w:r w:rsidRPr="00B104EF">
        <w:t>Лечение</w:t>
      </w:r>
      <w:bookmarkEnd w:id="30"/>
      <w:bookmarkEnd w:id="31"/>
    </w:p>
    <w:p w14:paraId="399F87C3" w14:textId="7F6DD46F" w:rsidR="00CC5156" w:rsidRPr="00AC3B80" w:rsidRDefault="008C3517" w:rsidP="00334F6C">
      <w:pPr>
        <w:pStyle w:val="2-6"/>
        <w:divId w:val="1767193717"/>
      </w:pPr>
      <w:r>
        <w:rPr>
          <w:rStyle w:val="afffb"/>
          <w:rFonts w:eastAsiaTheme="minorHAnsi" w:cstheme="minorBidi"/>
          <w:color w:val="auto"/>
          <w:sz w:val="24"/>
        </w:rPr>
        <w:t>В настоящее время для</w:t>
      </w:r>
      <w:r w:rsidR="00AC3B80">
        <w:rPr>
          <w:rStyle w:val="afffb"/>
          <w:rFonts w:eastAsiaTheme="minorHAnsi" w:cstheme="minorBidi"/>
          <w:color w:val="auto"/>
          <w:sz w:val="24"/>
        </w:rPr>
        <w:t xml:space="preserve"> </w:t>
      </w:r>
      <w:r>
        <w:rPr>
          <w:rStyle w:val="afffb"/>
          <w:rFonts w:eastAsiaTheme="minorHAnsi" w:cstheme="minorBidi"/>
          <w:color w:val="auto"/>
          <w:sz w:val="24"/>
        </w:rPr>
        <w:t>патогенетической терапии</w:t>
      </w:r>
      <w:r w:rsidR="00AC3B80">
        <w:rPr>
          <w:rStyle w:val="afffb"/>
          <w:rFonts w:eastAsiaTheme="minorHAnsi" w:cstheme="minorBidi"/>
          <w:color w:val="auto"/>
          <w:sz w:val="24"/>
        </w:rPr>
        <w:t xml:space="preserve"> ПНГ </w:t>
      </w:r>
      <w:r>
        <w:rPr>
          <w:rStyle w:val="afffb"/>
          <w:rFonts w:eastAsiaTheme="minorHAnsi" w:cstheme="minorBidi"/>
          <w:color w:val="auto"/>
          <w:sz w:val="24"/>
        </w:rPr>
        <w:t>применяются</w:t>
      </w:r>
      <w:r w:rsidR="00AC3B80">
        <w:rPr>
          <w:rStyle w:val="afffb"/>
          <w:rFonts w:eastAsiaTheme="minorHAnsi" w:cstheme="minorBidi"/>
          <w:color w:val="auto"/>
          <w:sz w:val="24"/>
        </w:rPr>
        <w:t xml:space="preserve"> препарат</w:t>
      </w:r>
      <w:r>
        <w:rPr>
          <w:rStyle w:val="afffb"/>
          <w:rFonts w:eastAsiaTheme="minorHAnsi" w:cstheme="minorBidi"/>
          <w:color w:val="auto"/>
          <w:sz w:val="24"/>
        </w:rPr>
        <w:t>ы</w:t>
      </w:r>
      <w:r w:rsidR="00AC3B80">
        <w:rPr>
          <w:rStyle w:val="afffb"/>
          <w:rFonts w:eastAsiaTheme="minorHAnsi" w:cstheme="minorBidi"/>
          <w:color w:val="auto"/>
          <w:sz w:val="24"/>
        </w:rPr>
        <w:t>, подавляющи</w:t>
      </w:r>
      <w:r>
        <w:rPr>
          <w:rStyle w:val="afffb"/>
          <w:rFonts w:eastAsiaTheme="minorHAnsi" w:cstheme="minorBidi"/>
          <w:color w:val="auto"/>
          <w:sz w:val="24"/>
        </w:rPr>
        <w:t>е</w:t>
      </w:r>
      <w:r w:rsidR="00AC3B80">
        <w:rPr>
          <w:rStyle w:val="afffb"/>
          <w:rFonts w:eastAsiaTheme="minorHAnsi" w:cstheme="minorBidi"/>
          <w:color w:val="auto"/>
          <w:sz w:val="24"/>
        </w:rPr>
        <w:t xml:space="preserve"> активность системы комплемента</w:t>
      </w:r>
      <w:r>
        <w:rPr>
          <w:rStyle w:val="afffb"/>
          <w:rFonts w:eastAsiaTheme="minorHAnsi" w:cstheme="minorBidi"/>
          <w:color w:val="auto"/>
          <w:sz w:val="24"/>
        </w:rPr>
        <w:t xml:space="preserve"> и, соответственно, предотвращающие </w:t>
      </w:r>
      <w:proofErr w:type="gramStart"/>
      <w:r>
        <w:rPr>
          <w:rStyle w:val="afffb"/>
          <w:rFonts w:eastAsiaTheme="minorHAnsi" w:cstheme="minorBidi"/>
          <w:color w:val="auto"/>
          <w:sz w:val="24"/>
        </w:rPr>
        <w:t>комплемент-зависимый</w:t>
      </w:r>
      <w:proofErr w:type="gramEnd"/>
      <w:r>
        <w:rPr>
          <w:rStyle w:val="afffb"/>
          <w:rFonts w:eastAsiaTheme="minorHAnsi" w:cstheme="minorBidi"/>
          <w:color w:val="auto"/>
          <w:sz w:val="24"/>
        </w:rPr>
        <w:t xml:space="preserve"> лизис эритроцитов в кровеносном русле</w:t>
      </w:r>
      <w:r w:rsidR="00AC3B80">
        <w:rPr>
          <w:rStyle w:val="afffb"/>
          <w:rFonts w:eastAsiaTheme="minorHAnsi" w:cstheme="minorBidi"/>
          <w:color w:val="auto"/>
          <w:sz w:val="24"/>
        </w:rPr>
        <w:t xml:space="preserve">. </w:t>
      </w:r>
    </w:p>
    <w:p w14:paraId="38281969" w14:textId="3ABBCA4C" w:rsidR="002929B1" w:rsidRDefault="004E1288" w:rsidP="002929B1">
      <w:pPr>
        <w:pStyle w:val="2"/>
        <w:spacing w:before="0"/>
        <w:divId w:val="1767193717"/>
        <w:rPr>
          <w:rFonts w:eastAsia="Times New Roman"/>
        </w:rPr>
      </w:pPr>
      <w:bookmarkStart w:id="32" w:name="_Toc24641961"/>
      <w:r w:rsidRPr="004E1288">
        <w:rPr>
          <w:rFonts w:eastAsia="Times New Roman"/>
        </w:rPr>
        <w:t>3.1</w:t>
      </w:r>
      <w:r w:rsidR="002929B1">
        <w:rPr>
          <w:rFonts w:eastAsia="Times New Roman"/>
        </w:rPr>
        <w:t xml:space="preserve"> </w:t>
      </w:r>
      <w:r w:rsidR="00A94DF7">
        <w:rPr>
          <w:rFonts w:eastAsia="Times New Roman"/>
        </w:rPr>
        <w:t>Патогенетическая терапия</w:t>
      </w:r>
      <w:bookmarkEnd w:id="32"/>
    </w:p>
    <w:p w14:paraId="79718A21" w14:textId="7925E190" w:rsidR="00AC3B80" w:rsidRPr="00AC3B80" w:rsidRDefault="00AC3B80" w:rsidP="00AC3B80">
      <w:pPr>
        <w:divId w:val="1767193717"/>
        <w:rPr>
          <w:i/>
          <w:iCs/>
        </w:rPr>
      </w:pPr>
      <w:proofErr w:type="spellStart"/>
      <w:r w:rsidRPr="00AC3B80">
        <w:rPr>
          <w:rFonts w:cs="Times New Roman"/>
          <w:i/>
          <w:iCs/>
          <w:szCs w:val="24"/>
        </w:rPr>
        <w:t>Экулизумаб</w:t>
      </w:r>
      <w:proofErr w:type="spellEnd"/>
      <w:r w:rsidR="00764826" w:rsidRPr="0068676A">
        <w:rPr>
          <w:szCs w:val="18"/>
        </w:rPr>
        <w:t>**</w:t>
      </w:r>
      <w:r w:rsidRPr="00AC3B80">
        <w:rPr>
          <w:rFonts w:cs="Times New Roman"/>
          <w:i/>
          <w:iCs/>
          <w:szCs w:val="24"/>
        </w:rPr>
        <w:t xml:space="preserve"> представляет собой </w:t>
      </w:r>
      <w:proofErr w:type="spellStart"/>
      <w:r w:rsidRPr="00AC3B80">
        <w:rPr>
          <w:rFonts w:cs="Times New Roman"/>
          <w:i/>
          <w:iCs/>
          <w:szCs w:val="24"/>
        </w:rPr>
        <w:t>гуманизированное</w:t>
      </w:r>
      <w:proofErr w:type="spellEnd"/>
      <w:r w:rsidRPr="00AC3B80">
        <w:rPr>
          <w:rFonts w:cs="Times New Roman"/>
          <w:i/>
          <w:iCs/>
          <w:szCs w:val="24"/>
        </w:rPr>
        <w:t xml:space="preserve"> </w:t>
      </w:r>
      <w:proofErr w:type="spellStart"/>
      <w:r w:rsidRPr="00AC3B80">
        <w:rPr>
          <w:rFonts w:cs="Times New Roman"/>
          <w:i/>
          <w:iCs/>
          <w:szCs w:val="24"/>
        </w:rPr>
        <w:t>моноклональное</w:t>
      </w:r>
      <w:proofErr w:type="spellEnd"/>
      <w:r w:rsidRPr="00AC3B80">
        <w:rPr>
          <w:rFonts w:cs="Times New Roman"/>
          <w:i/>
          <w:iCs/>
          <w:szCs w:val="24"/>
        </w:rPr>
        <w:t xml:space="preserve"> антитело против С5-компонента комплемента.</w:t>
      </w:r>
      <w:r w:rsidR="008C3517">
        <w:rPr>
          <w:rFonts w:cs="Times New Roman"/>
          <w:i/>
          <w:iCs/>
          <w:szCs w:val="24"/>
        </w:rPr>
        <w:t xml:space="preserve"> </w:t>
      </w:r>
      <w:r w:rsidR="008C3517" w:rsidRPr="00B120E2">
        <w:rPr>
          <w:rFonts w:cs="Times New Roman"/>
          <w:i/>
          <w:iCs/>
          <w:szCs w:val="24"/>
        </w:rPr>
        <w:t xml:space="preserve">В настоящее время в Российской Федерации зарегистрированы 2 лекарственных препарата </w:t>
      </w:r>
      <w:proofErr w:type="spellStart"/>
      <w:r w:rsidR="008C3517" w:rsidRPr="00B120E2">
        <w:rPr>
          <w:rFonts w:cs="Times New Roman"/>
          <w:i/>
          <w:iCs/>
          <w:szCs w:val="24"/>
        </w:rPr>
        <w:t>экулизумаба</w:t>
      </w:r>
      <w:proofErr w:type="spellEnd"/>
      <w:r w:rsidR="00764826" w:rsidRPr="00B120E2">
        <w:rPr>
          <w:szCs w:val="18"/>
        </w:rPr>
        <w:t>**</w:t>
      </w:r>
      <w:r w:rsidR="008C3517" w:rsidRPr="00B120E2">
        <w:rPr>
          <w:rFonts w:cs="Times New Roman"/>
          <w:i/>
          <w:iCs/>
          <w:szCs w:val="24"/>
        </w:rPr>
        <w:t xml:space="preserve"> – </w:t>
      </w:r>
      <w:proofErr w:type="spellStart"/>
      <w:r w:rsidR="008C3517" w:rsidRPr="00B120E2">
        <w:rPr>
          <w:rFonts w:cs="Times New Roman"/>
          <w:i/>
          <w:iCs/>
          <w:szCs w:val="24"/>
        </w:rPr>
        <w:t>Солирис</w:t>
      </w:r>
      <w:proofErr w:type="spellEnd"/>
      <w:r w:rsidR="008C3517" w:rsidRPr="00B120E2">
        <w:rPr>
          <w:rFonts w:cs="Times New Roman"/>
          <w:i/>
          <w:iCs/>
          <w:szCs w:val="24"/>
        </w:rPr>
        <w:t xml:space="preserve">, производства </w:t>
      </w:r>
      <w:proofErr w:type="spellStart"/>
      <w:r w:rsidR="008C3517" w:rsidRPr="00B120E2">
        <w:rPr>
          <w:rFonts w:cs="Times New Roman"/>
          <w:i/>
          <w:iCs/>
          <w:szCs w:val="24"/>
        </w:rPr>
        <w:t>фармкомпани</w:t>
      </w:r>
      <w:r w:rsidR="00764826" w:rsidRPr="00B120E2">
        <w:rPr>
          <w:rFonts w:cs="Times New Roman"/>
          <w:i/>
          <w:iCs/>
          <w:szCs w:val="24"/>
        </w:rPr>
        <w:t>и</w:t>
      </w:r>
      <w:proofErr w:type="spellEnd"/>
      <w:r w:rsidR="008C3517" w:rsidRPr="00B120E2">
        <w:rPr>
          <w:rFonts w:cs="Times New Roman"/>
          <w:i/>
          <w:iCs/>
          <w:szCs w:val="24"/>
        </w:rPr>
        <w:t xml:space="preserve"> «</w:t>
      </w:r>
      <w:proofErr w:type="spellStart"/>
      <w:r w:rsidR="008C3517" w:rsidRPr="00B120E2">
        <w:rPr>
          <w:rFonts w:cs="Times New Roman"/>
          <w:i/>
          <w:iCs/>
          <w:szCs w:val="24"/>
        </w:rPr>
        <w:t>Алексион</w:t>
      </w:r>
      <w:proofErr w:type="spellEnd"/>
      <w:r w:rsidR="008C3517" w:rsidRPr="00B120E2">
        <w:rPr>
          <w:rFonts w:cs="Times New Roman"/>
          <w:i/>
          <w:iCs/>
          <w:szCs w:val="24"/>
        </w:rPr>
        <w:t xml:space="preserve">» и </w:t>
      </w:r>
      <w:proofErr w:type="spellStart"/>
      <w:r w:rsidR="008C3517" w:rsidRPr="00B120E2">
        <w:rPr>
          <w:rFonts w:cs="Times New Roman"/>
          <w:i/>
          <w:iCs/>
          <w:szCs w:val="24"/>
        </w:rPr>
        <w:t>Элизария</w:t>
      </w:r>
      <w:proofErr w:type="spellEnd"/>
      <w:r w:rsidR="008C3517" w:rsidRPr="00B120E2">
        <w:rPr>
          <w:rFonts w:cs="Times New Roman"/>
          <w:i/>
          <w:iCs/>
          <w:szCs w:val="24"/>
        </w:rPr>
        <w:t>, производства - АО «</w:t>
      </w:r>
      <w:proofErr w:type="spellStart"/>
      <w:r w:rsidR="008C3517" w:rsidRPr="00B120E2">
        <w:rPr>
          <w:rFonts w:cs="Times New Roman"/>
          <w:i/>
          <w:iCs/>
          <w:szCs w:val="24"/>
        </w:rPr>
        <w:t>Генериум</w:t>
      </w:r>
      <w:proofErr w:type="spellEnd"/>
      <w:r w:rsidR="008C3517" w:rsidRPr="00B120E2">
        <w:rPr>
          <w:rFonts w:cs="Times New Roman"/>
          <w:i/>
          <w:iCs/>
          <w:szCs w:val="24"/>
        </w:rPr>
        <w:t>».</w:t>
      </w:r>
    </w:p>
    <w:p w14:paraId="13CD0CDA" w14:textId="7F9DC862" w:rsidR="00AC3B80" w:rsidRPr="00AC3B80" w:rsidRDefault="008C3517" w:rsidP="00AC3B80">
      <w:pPr>
        <w:divId w:val="1767193717"/>
        <w:rPr>
          <w:rFonts w:cs="Times New Roman"/>
          <w:i/>
          <w:iCs/>
          <w:szCs w:val="24"/>
        </w:rPr>
      </w:pPr>
      <w:proofErr w:type="gramStart"/>
      <w:r>
        <w:rPr>
          <w:rFonts w:cs="Times New Roman"/>
          <w:i/>
          <w:iCs/>
          <w:szCs w:val="24"/>
        </w:rPr>
        <w:t>Лечение</w:t>
      </w:r>
      <w:r w:rsidR="00AC3B80" w:rsidRPr="00AC3B80">
        <w:rPr>
          <w:rFonts w:cs="Times New Roman"/>
          <w:i/>
          <w:iCs/>
          <w:szCs w:val="24"/>
        </w:rPr>
        <w:t xml:space="preserve"> </w:t>
      </w:r>
      <w:proofErr w:type="spellStart"/>
      <w:r w:rsidR="00AC3B80" w:rsidRPr="00AC3B80">
        <w:rPr>
          <w:rFonts w:cs="Times New Roman"/>
          <w:i/>
          <w:iCs/>
          <w:szCs w:val="24"/>
        </w:rPr>
        <w:t>экулизумабом</w:t>
      </w:r>
      <w:proofErr w:type="spellEnd"/>
      <w:r w:rsidR="00764826" w:rsidRPr="0068676A">
        <w:rPr>
          <w:szCs w:val="18"/>
        </w:rPr>
        <w:t>**</w:t>
      </w:r>
      <w:r w:rsidR="00AC3B80" w:rsidRPr="00AC3B80">
        <w:rPr>
          <w:rFonts w:cs="Times New Roman"/>
          <w:i/>
          <w:iCs/>
          <w:szCs w:val="24"/>
        </w:rPr>
        <w:t xml:space="preserve"> приводит к остановке внутрисосудистого гемолиза, </w:t>
      </w:r>
      <w:r>
        <w:rPr>
          <w:rFonts w:cs="Times New Roman"/>
          <w:i/>
          <w:iCs/>
          <w:szCs w:val="24"/>
        </w:rPr>
        <w:t xml:space="preserve">исчезновению или </w:t>
      </w:r>
      <w:r w:rsidR="00AC3B80" w:rsidRPr="00AC3B80">
        <w:rPr>
          <w:rFonts w:cs="Times New Roman"/>
          <w:i/>
          <w:iCs/>
          <w:szCs w:val="24"/>
        </w:rPr>
        <w:t xml:space="preserve">уменьшению </w:t>
      </w:r>
      <w:proofErr w:type="spellStart"/>
      <w:r w:rsidR="00AC3B80" w:rsidRPr="00AC3B80">
        <w:rPr>
          <w:rFonts w:cs="Times New Roman"/>
          <w:i/>
          <w:iCs/>
          <w:szCs w:val="24"/>
        </w:rPr>
        <w:t>трансфузионной</w:t>
      </w:r>
      <w:proofErr w:type="spellEnd"/>
      <w:r w:rsidR="00AC3B80" w:rsidRPr="00AC3B80">
        <w:rPr>
          <w:rFonts w:cs="Times New Roman"/>
          <w:i/>
          <w:iCs/>
          <w:szCs w:val="24"/>
        </w:rPr>
        <w:t xml:space="preserve"> зависимости, снижению частоты тромботических осложнений, улучшению или стабилизации функции почек, снижению выраженности легочной гипертензии и</w:t>
      </w:r>
      <w:r>
        <w:rPr>
          <w:rFonts w:cs="Times New Roman"/>
          <w:i/>
          <w:iCs/>
          <w:szCs w:val="24"/>
        </w:rPr>
        <w:t>, в целом, к достоверному</w:t>
      </w:r>
      <w:r w:rsidR="00AC3B80" w:rsidRPr="00AC3B80">
        <w:rPr>
          <w:rFonts w:cs="Times New Roman"/>
          <w:i/>
          <w:iCs/>
          <w:szCs w:val="24"/>
        </w:rPr>
        <w:t xml:space="preserve"> увеличению продолжительности жизни</w:t>
      </w:r>
      <w:r>
        <w:rPr>
          <w:rFonts w:cs="Times New Roman"/>
          <w:i/>
          <w:iCs/>
          <w:szCs w:val="24"/>
        </w:rPr>
        <w:t xml:space="preserve"> пациентов с ПНГ</w:t>
      </w:r>
      <w:proofErr w:type="gramEnd"/>
      <w:r w:rsidR="00AC3B80" w:rsidRPr="00AC3B80">
        <w:rPr>
          <w:rFonts w:cs="Times New Roman"/>
          <w:i/>
          <w:iCs/>
          <w:szCs w:val="24"/>
        </w:rPr>
        <w:t xml:space="preserve"> </w:t>
      </w:r>
      <w:r w:rsidR="00C04023">
        <w:rPr>
          <w:rFonts w:cs="Times New Roman"/>
          <w:i/>
          <w:iCs/>
          <w:szCs w:val="24"/>
        </w:rPr>
        <w:fldChar w:fldCharType="begin" w:fldLock="1"/>
      </w:r>
      <w:r w:rsidR="00034578">
        <w:rPr>
          <w:rFonts w:cs="Times New Roman"/>
          <w:i/>
          <w:iCs/>
          <w:szCs w:val="24"/>
        </w:rPr>
        <w:instrText>ADDIN CSL_CITATION { "citationItems" : [ { "id" : "ITEM-1", "itemData" : { "DOI" : "10.1111/j.1365-2141.2012.09166.x", "ISSN" : "00071048", "PMID" : "22639982", "abstract" : "Pulmonary hypertension is becoming a recognized complication of the hereditary and acquired haemolytic anaemias, associated with a poor prognosis. Recently we reported that patients with paroxysmal nocturnal haemoglobinuria (PNH) have high levels of N-terminal pro-brain natriuretic peptide (NT-proBNP), a biomarker associated with both right and left ventricular dysfunction and cardiac dysfunction. In the current study we evaluated a cohort of patients (N = 29) with haemolytic PNH for elevated pulmonary artery systolic pressure and cardiac function by Doppler-echocardiography. Of the 29 patients, eight were further studied using cardiac magnetic resonance imaging (MRI), as well as two additional patients (number of patients studied using cardiac MRI = 10). Plasma from the first cohort (N = 29) demonstrated intravascular haemolysis associated with a 12-fold increase in median nitric oxide (NO) consumption when compared with healthy volunteers (P &lt; 0\u00b7001). Doppler echocardiography demonstrated normal left ventricular function and elevated pulmonary artery systolic pressure in 41% of patients. Cardiac MRI from the second cohort (N = 10) demonstrated depressed right ventricular function in 80% of PNH patients tested, and 60% had findings suggestive of subclinical small pulmonary emboli. Together, these data suggest a high prevalence of haemolysis-associated NO scavenging, Doppler-estimated systolic pulmonary hypertension, and depressed right ventricular function in patients with PNH. \u00a9 2012 Blackwell Publishing Ltd.", "author" : [ { "dropping-particle" : "", "family" : "Hill", "given" : "Anita", "non-dropping-particle" : "", "parse-names" : false, "suffix" : "" }, { "dropping-particle" : "", "family" : "Sapsford", "given" : "Robert J.", "non-dropping-particle" : "", "parse-names" : false, "suffix" : "" }, { "dropping-particle" : "", "family" : "Scally", "given" : "Andrew", "non-dropping-particle" : "", "parse-names" : false, "suffix" : "" }, { "dropping-particle" : "", "family" : "Kelly", "given" : "Richard", "non-dropping-particle" : "", "parse-names" : false, "suffix" : "" }, { "dropping-particle" : "", "family" : "Richards", "given" : "Stephen J.", "non-dropping-particle" : "", "parse-names" : false, "suffix" : "" }, { "dropping-particle" : "", "family" : "Khurisgara", "given" : "Gus", "non-dropping-particle" : "", "parse-names" : false, "suffix" : "" }, { "dropping-particle" : "", "family" : "Sivananthan", "given" : "Mohan U.", "non-dropping-particle" : "", "parse-names" : false, "suffix" : "" }, { "dropping-particle" : "", "family" : "Hillmen", "given" : "Peter", "non-dropping-particle" : "", "parse-names" : false, "suffix" : "" } ], "container-title" : "British Journal of Haematology", "id" : "ITEM-1", "issue" : "3", "issued" : { "date-parts" : [ [ "2012" ] ] }, "page" : "409-414", "title" : "Under-recognized complications in patients with paroxysmal nocturnal haemoglobinuria: Raised pulmonary pressure and reduced right ventricular function", "type" : "article-journal", "volume" : "158" }, "uris" : [ "http://www.mendeley.com/documents/?uuid=c38f53fc-3713-47fd-a436-037a90bfb05f" ] }, { "id" : "ITEM-2", "itemData" : { "DOI" : "10.1002/ajh.21757", "ISSN" : "03618609", "PMID" : "20658586", "abstract" : "Paroxysmal nocturnal hemoglobinuria (PNH) is a debilitating and life-threatening disease in which lysis of PNH red blood cells frequently manifests with chronic hemolysis, anemia, and thrombosis. Renal damage in PNH is associated with chronic hemosiderosis and/or microvascular thrombosis. We determined the incidence of renal dysfunction or damage, defined by stages of chronic kidney disease (CKD), in a large cohort of PNH patients and evaluated the safety and efficacy of the complement inhibitor eculizumab in altering its progression. Renal dysfunction or damage was observed in 65% of the study population at baseline with 21% of patients with later stage CKD or kidney failure (glomerular filtration rate [GFR] \u226460 ml/min/1.73 m2; Stage 3, 4, or 5). Eculizumab treatment was safe and well-tolerated in patients with renal dysfunction or damage and resulted in the likelihood of improvement as defined as categorical reduction in CKD stage (P &lt; 0.001) compared with baseline and to placebo (P = 0.04). Improvement in renal function was more commonly seen in patients with baseline CKD Stages 1-2 (67.1% improvement, P &lt; 0.001) although improvement was also observed in patients with CKD Stages 3-4 (P = 0.05). Improvements occurred quickly and were sustained for at least 18 months of treatment. Patients categorized at CKD Stages 3-5 did not worsen during treatment with eculizumab. Overall, 40 (21%) of 195 patients who demonstrated renal dysfunction or damage at baseline were no longer classified as such after 18 months of treatment. Administration of eculizumab to patients with renal dysfunction or damage was well tolerated and was usually associated with clinical improvement. \u00a9 2010 Wiley-Liss, Inc.", "author" : [ { "dropping-particle" : "", "family" : "Hillmen", "given" : "Peter", "non-dropping-particle" : "", "parse-names" : false, "suffix" : "" }, { "dropping-particle" : "", "family" : "Elebute", "given" : "Modupe", "non-dropping-particle" : "", "parse-names" : false, "suffix" : "" }, { "dropping-particle" : "", "family" : "Kelly", "given" : "Richard", "non-dropping-particle" : "", "parse-names" : false, "suffix" : "" }, { "dropping-particle" : "", "family" : "Urbano-Ispizua", "given" : "Alvaro", "non-dropping-particle" : "", "parse-names" : false, "suffix" : "" }, { "dropping-particle" : "", "family" : "Hill", "given" : "Anita", "non-dropping-particle" : "", "parse-names" : false, "suffix" : "" }, { "dropping-particle" : "", "family" : "Rother", "given" : "Russell P.", "non-dropping-particle" : "", "parse-names" : false, "suffix" : "" }, { "dropping-particle" : "", "family" : "Khursigara", "given" : "Gus", "non-dropping-particle" : "", "parse-names" : false, "suffix" : "" }, { "dropping-particle" : "", "family" : "Fu", "given" : "Chieh Lin", "non-dropping-particle" : "", "parse-names" : false, "suffix" : "" }, { "dropping-particle" : "", "family" : "Omine", "given" : "Mitsuhiro", "non-dropping-particle" : "", "parse-names" : false, "suffix" : "" }, { "dropping-particle" : "", "family" : "Browne", "given" : "Paul", "non-dropping-particle" : "", "parse-names" : false, "suffix" : "" }, { "dropping-particle" : "", "family" : "Rosse", "given" : "Wendell", "non-dropping-particle" : "", "parse-names" : false, "suffix" : "" } ], "container-title" : "American Journal of Hematology", "id" : "ITEM-2", "issue" : "8", "issued" : { "date-parts" : [ [ "2010" ] ] }, "page" : "553-559", "title" : "Long-term effect of the complement inhibitor eculizumab on kidney function in patients with paroxysmal nocturnal hemoglobinuria", "type" : "article-journal", "volume" : "85" }, "uris" : [ "http://www.mendeley.com/documents/?uuid=f6272b36-bb41-46d6-9a53-786d5ff8505a" ] }, { "id" : "ITEM-3", "itemData" : { "DOI" : "10.1182/blood-2005-02-0564", "ISSN" : "0006-4971", "abstract" : "Paroxysmal nocturnal hemoglobinuria (PNH) is a hematologic disorder characterized by clonal expansion of red blood cells (RBCs) lacking the ability to inhibit complement-mediated hemolysis. Eculizumab, a humanized monoclonal antibody that binds the C5 complement protein, blocks serum hemolytic activity. This study evaluated the long-term safety and efficacy of eculizumab in 11 patients with PNH during an open-label extension trial. After completion of an initial 12-week study, all patients chose to participate in the 52-week extension study. Eculizumab, administered at 900 mg every 12 to 14 days, was sufficient to completely and consistently block complement activity in all patients. A dramatic reduction in hemolysis was maintained throughout the study, with a decrease in lactate dehydrogenase (LDH) levels from 3110.7 IU/L before treatment to 622.4 IU/L (P = .002). The proportion of PNH type III RBCs increased from 36.7% at baseline to 58.4% (P = .005). The paroxysm rate of days with gross evidence of hemoglobinuria per patient each month decreased from 3.0 during screening to 0.2 (P &lt; .001) during treatment. The median transfusion rate decreased from 1.8 U per patient each month before eculizumab treatment to 0.3 U per patient each month (P = .001) during treatment. Statistically significant improvements in quality-of-life measures were also maintained during the extension study. Eculizumab continued to be safe and well tolerated, and all patients completed the study. The close relationship between sustained terminal complement inhibition, hemolysis, and symptoms was demonstrated. (Blood. 2005; 106:2559-2565)", "author" : [ { "dropping-particle" : "", "family" : "Hill", "given" : "Anita", "non-dropping-particle" : "", "parse-names" : false, "suffix" : "" }, { "dropping-particle" : "", "family" : "Hillmen", "given" : "Peter", "non-dropping-particle" : "", "parse-names" : false, "suffix" : "" }, { "dropping-particle" : "", "family" : "Richards", "given" : "Stephen J.", "non-dropping-particle" : "", "parse-names" : false, "suffix" : "" }, { "dropping-particle" : "", "family" : "Elebute", "given" : "Dupe", "non-dropping-particle" : "", "parse-names" : false, "suffix" : "" }, { "dropping-particle" : "", "family" : "Marsh", "given" : "Judith C.", "non-dropping-particle" : "", "parse-names" : false, "suffix" : "" }, { "dropping-particle" : "", "family" : "Chan", "given" : "Jason", "non-dropping-particle" : "", "parse-names" : false, "suffix" : "" }, { "dropping-particle" : "", "family" : "Mojcik", "given" : "Christopher F.", "non-dropping-particle" : "", "parse-names" : false, "suffix" : "" }, { "dropping-particle" : "", "family" : "Rother", "given" : "Russell P.", "non-dropping-particle" : "", "parse-names" : false, "suffix" : "" } ], "container-title" : "Blood", "id" : "ITEM-3", "issue" : "7", "issued" : { "date-parts" : [ [ "2005", "10", "1" ] ] }, "page" : "2559-2565", "title" : "Sustained response and long-term safety of eculizumab in paroxysmal nocturnal hemoglobinuria", "type" : "article-journal", "volume" : "106" }, "uris" : [ "http://www.mendeley.com/documents/?uuid=b7ed99ea-ac92-4a3c-94f3-11a89a8feb81" ] }, { "id" : "ITEM-4", "itemData" : { "DOI" : "10.1056/NEJMoa061648", "ISSN" : "0028-4793", "author" : [ { "dropping-particle" : "", "family" : "Hillmen", "given" : "Peter", "non-dropping-particle" : "", "parse-names" : false, "suffix" : "" }, { "dropping-particle" : "", "family" : "Young", "given" : "Neal S.", "non-dropping-particle" : "", "parse-names" : false, "suffix" : "" }, { "dropping-particle" : "", "family" : "Schubert", "given" : "J\u00f6rg", "non-dropping-particle" : "", "parse-names" : false, "suffix" : "" }, { "dropping-particle" : "", "family" : "Brodsky", "given" : "Robert A.", "non-dropping-particle" : "", "parse-names" : false, "suffix" : "" }, { "dropping-particle" : "", "family" : "Soci\u00e9", "given" : "Gerard", "non-dropping-particle" : "", "parse-names" : false, "suffix" : "" }, { "dropping-particle" : "", "family" : "Muus", "given" : "Petra", "non-dropping-particle" : "", "parse-names" : false, "suffix" : "" }, { "dropping-particle" : "", "family" : "R\u00f6th", "given" : "Alexander", "non-dropping-particle" : "", "parse-names" : false, "suffix" : "" }, { "dropping-particle" : "", "family" : "Szer", "given" : "Jeffrey", "non-dropping-particle" : "", "parse-names" : false, "suffix" : "" }, { "dropping-particle" : "", "family" : "Elebute", "given" : "Modupe O.", "non-dropping-particle" : "", "parse-names" : false, "suffix" : "" }, { "dropping-particle" : "", "family" : "Nakamura", "given" : "Ryotaro", "non-dropping-particle" : "", "parse-names" : false, "suffix" : "" }, { "dropping-particle" : "", "family" : "Browne", "given" : "Paul", "non-dropping-particle" : "", "parse-names" : false, "suffix" : "" }, { "dropping-particle" : "", "family" : "Risitano", "given" : "Antonio M.", "non-dropping-particle" : "", "parse-names" : false, "suffix" : "" }, { "dropping-particle" : "", "family" : "Hill", "given" : "Anita", "non-dropping-particle" : "", "parse-names" : false, "suffix" : "" }, { "dropping-particle" : "", "family" : "Schrezenmeier", "given" : "Hubert", "non-dropping-particle" : "", "parse-names" : false, "suffix" : "" }, { "dropping-particle" : "", "family" : "Fu", "given" : "Chieh-Lin", "non-dropping-particle" : "", "parse-names" : false, "suffix" : "" }, { "dropping-particle" : "", "family" : "Maciejewski", "given" : "Jaroslaw", "non-dropping-particle" : "", "parse-names" : false, "suffix" : "" }, { "dropping-particle" : "", "family" : "Rollins", "given" : "Scott A.", "non-dropping-particle" : "", "parse-names" : false, "suffix" : "" }, { "dropping-particle" : "", "family" : "Mojcik", "given" : "Christopher F.", "non-dropping-particle" : "", "parse-names" : false, "suffix" : "" }, { "dropping-particle" : "", "family" : "Rother", "given" : "Russell P.", "non-dropping-particle" : "", "parse-names" : false, "suffix" : "" }, { "dropping-particle" : "", "family" : "Luzzatto", "given" : "Lucio", "non-dropping-particle" : "", "parse-names" : false, "suffix" : "" } ], "container-title" : "New England Journal of Medicine", "id" : "ITEM-4", "issue" : "12", "issued" : { "date-parts" : [ [ "2006", "9", "21" ] ] }, "page" : "1233-1243", "title" : "The Complement Inhibitor Eculizumab in Paroxysmal Nocturnal Hemoglobinuria", "type" : "article-journal", "volume" : "355" }, "uris" : [ "http://www.mendeley.com/documents/?uuid=2b10cc46-8ae0-425c-8c41-b368782b3a14" ] }, { "id" : "ITEM-5", "itemData" : { "DOI" : "10.1182/blood-2007-06-094136.The", "author" : [ { "dropping-particle" : "", "family" : "Savva", "given" : "Stefania", "non-dropping-particle" : "", "parse-names" : false, "suffix" : "" } ], "id" : "ITEM-5", "issue" : "4", "issued" : { "date-parts" : [ [ "2016" ] ] }, "page" : "1840-1848", "title" : "The Potential of a Museum-School Partnership to Support Diversity and Multiliteracies-Based Pedagogy for the 21st Century", "type" : "article-journal", "volume" : "111" }, "uris" : [ "http://www.mendeley.com/documents/?uuid=6b34fac9-c1e4-4a43-8a91-999fde4a7ae3" ] }, { "id" : "ITEM-6", "itemData" : { "DOI" : "10.1056/NEJMoa031688", "ISSN" : "0028-4793", "author" : [ { "dropping-particle" : "", "family" : "Hillmen", "given" : "Peter", "non-dropping-particle" : "", "parse-names" : false, "suffix" : "" }, { "dropping-particle" : "", "family" : "Hall", "given" : "Claire", "non-dropping-particle" : "", "parse-names" : false, "suffix" : "" }, { "dropping-particle" : "", "family" : "Marsh", "given" : "Judith C.W.", "non-dropping-particle" : "", "parse-names" : false, "suffix" : "" }, { "dropping-particle" : "", "family" : "Elebute", "given" : "Modupe", "non-dropping-particle" : "", "parse-names" : false, "suffix" : "" }, { "dropping-particle" : "", "family" : "Bombara", "given" : "Michael P.", "non-dropping-particle" : "", "parse-names" : false, "suffix" : "" }, { "dropping-particle" : "", "family" : "Petro", "given" : "Beth E.", "non-dropping-particle" : "", "parse-names" : false, "suffix" : "" }, { "dropping-particle" : "", "family" : "Cullen", "given" : "Matthew J.", "non-dropping-particle" : "", "parse-names" : false, "suffix" : "" }, { "dropping-particle" : "", "family" : "Richards", "given" : "Stephen J.", "non-dropping-particle" : "", "parse-names" : false, "suffix" : "" }, { "dropping-particle" : "", "family" : "Rollins", "given" : "Scott A.", "non-dropping-particle" : "", "parse-names" : false, "suffix" : "" }, { "dropping-particle" : "", "family" : "Mojcik", "given" : "Christopher F.", "non-dropping-particle" : "", "parse-names" : false, "suffix" : "" }, { "dropping-particle" : "", "family" : "Rother", "given" : "Russell P.", "non-dropping-particle" : "", "parse-names" : false, "suffix" : "" } ], "container-title" : "New England Journal of Medicine", "id" : "ITEM-6", "issue" : "6", "issued" : { "date-parts" : [ [ "2004", "2", "5" ] ] }, "page" : "552-559", "title" : "Effect of Eculizumab on Hemolysis and Transfusion Requirements in Patients with Paroxysmal Nocturnal Hemoglobinuria", "type" : "article-journal", "volume" : "350" }, "uris" : [ "http://www.mendeley.com/documents/?uuid=f751f21e-1b8f-497a-b215-8a3d732b584d" ] } ], "mendeley" : { "formattedCitation" : "[24,25,33\u201336]", "plainTextFormattedCitation" : "[24,25,33\u201336]", "previouslyFormattedCitation" : "[24,25,33\u201336]" }, "properties" : { "noteIndex" : 0 }, "schema" : "https://github.com/citation-style-language/schema/raw/master/csl-citation.json" }</w:instrText>
      </w:r>
      <w:r w:rsidR="00C04023">
        <w:rPr>
          <w:rFonts w:cs="Times New Roman"/>
          <w:i/>
          <w:iCs/>
          <w:szCs w:val="24"/>
        </w:rPr>
        <w:fldChar w:fldCharType="separate"/>
      </w:r>
      <w:r w:rsidR="00034578" w:rsidRPr="00034578">
        <w:rPr>
          <w:rFonts w:cs="Times New Roman"/>
          <w:iCs/>
          <w:noProof/>
          <w:szCs w:val="24"/>
        </w:rPr>
        <w:t>[24,25,33–36]</w:t>
      </w:r>
      <w:r w:rsidR="00C04023">
        <w:rPr>
          <w:rFonts w:cs="Times New Roman"/>
          <w:i/>
          <w:iCs/>
          <w:szCs w:val="24"/>
        </w:rPr>
        <w:fldChar w:fldCharType="end"/>
      </w:r>
      <w:r w:rsidR="00C04023">
        <w:rPr>
          <w:rFonts w:cs="Times New Roman"/>
          <w:i/>
          <w:iCs/>
          <w:szCs w:val="24"/>
        </w:rPr>
        <w:t>.</w:t>
      </w:r>
    </w:p>
    <w:p w14:paraId="4E9C95F8" w14:textId="3D12F25B" w:rsidR="00730394" w:rsidRPr="00730394" w:rsidRDefault="00B104EF" w:rsidP="00B104EF">
      <w:pPr>
        <w:pStyle w:val="1"/>
        <w:divId w:val="1767193717"/>
        <w:rPr>
          <w:b/>
        </w:rPr>
      </w:pPr>
      <w:proofErr w:type="gramStart"/>
      <w:r w:rsidRPr="00D74813">
        <w:rPr>
          <w:b/>
        </w:rPr>
        <w:t>Рекомендуется</w:t>
      </w:r>
      <w:r w:rsidR="007C7431">
        <w:rPr>
          <w:b/>
        </w:rPr>
        <w:t>:</w:t>
      </w:r>
      <w:r w:rsidRPr="00D74813">
        <w:rPr>
          <w:b/>
        </w:rPr>
        <w:t xml:space="preserve"> </w:t>
      </w:r>
      <w:r w:rsidR="00784572">
        <w:rPr>
          <w:bCs/>
        </w:rPr>
        <w:t>патогенетическая терапия</w:t>
      </w:r>
      <w:r w:rsidR="00730394" w:rsidRPr="00730394">
        <w:rPr>
          <w:bCs/>
        </w:rPr>
        <w:t xml:space="preserve"> </w:t>
      </w:r>
      <w:proofErr w:type="spellStart"/>
      <w:r w:rsidR="00730394" w:rsidRPr="00730394">
        <w:rPr>
          <w:bCs/>
        </w:rPr>
        <w:t>экулизумабом</w:t>
      </w:r>
      <w:proofErr w:type="spellEnd"/>
      <w:r w:rsidR="00764826" w:rsidRPr="0068676A">
        <w:rPr>
          <w:szCs w:val="18"/>
        </w:rPr>
        <w:t>**</w:t>
      </w:r>
      <w:r w:rsidR="00730394">
        <w:rPr>
          <w:b/>
        </w:rPr>
        <w:t xml:space="preserve"> </w:t>
      </w:r>
      <w:r w:rsidR="00784572">
        <w:rPr>
          <w:b/>
        </w:rPr>
        <w:t xml:space="preserve">у </w:t>
      </w:r>
      <w:r w:rsidR="00784572">
        <w:rPr>
          <w:bCs/>
        </w:rPr>
        <w:t>пациентов</w:t>
      </w:r>
      <w:r w:rsidR="00730394">
        <w:rPr>
          <w:bCs/>
        </w:rPr>
        <w:t xml:space="preserve"> с</w:t>
      </w:r>
      <w:r w:rsidR="00C04023" w:rsidRPr="00C04023">
        <w:rPr>
          <w:bCs/>
        </w:rPr>
        <w:t xml:space="preserve"> ПНГ</w:t>
      </w:r>
      <w:r w:rsidR="00730394">
        <w:rPr>
          <w:bCs/>
        </w:rPr>
        <w:t xml:space="preserve"> в следующих клинических ситуациях</w:t>
      </w:r>
      <w:proofErr w:type="gramEnd"/>
      <w:r w:rsidR="00730394">
        <w:rPr>
          <w:bCs/>
        </w:rPr>
        <w:t xml:space="preserve"> </w:t>
      </w:r>
      <w:r w:rsidR="00730394" w:rsidRPr="00C04023">
        <w:t xml:space="preserve"> </w:t>
      </w:r>
      <w:r w:rsidR="00730394">
        <w:fldChar w:fldCharType="begin" w:fldLock="1"/>
      </w:r>
      <w:r w:rsidR="00034578">
        <w:instrText>ADDIN CSL_CITATION { "citationItems" : [ { "id" : "ITEM-1", "itemData" : { "DOI" : "10.1111/j.1365-2141.2012.09166.x", "ISSN" : "00071048", "PMID" : "22639982", "abstract" : "Pulmonary hypertension is becoming a recognized complication of the hereditary and acquired haemolytic anaemias, associated with a poor prognosis. Recently we reported that patients with paroxysmal nocturnal haemoglobinuria (PNH) have high levels of N-terminal pro-brain natriuretic peptide (NT-proBNP), a biomarker associated with both right and left ventricular dysfunction and cardiac dysfunction. In the current study we evaluated a cohort of patients (N = 29) with haemolytic PNH for elevated pulmonary artery systolic pressure and cardiac function by Doppler-echocardiography. Of the 29 patients, eight were further studied using cardiac magnetic resonance imaging (MRI), as well as two additional patients (number of patients studied using cardiac MRI = 10). Plasma from the first cohort (N = 29) demonstrated intravascular haemolysis associated with a 12-fold increase in median nitric oxide (NO) consumption when compared with healthy volunteers (P &lt; 0\u00b7001). Doppler echocardiography demonstrated normal left ventricular function and elevated pulmonary artery systolic pressure in 41% of patients. Cardiac MRI from the second cohort (N = 10) demonstrated depressed right ventricular function in 80% of PNH patients tested, and 60% had findings suggestive of subclinical small pulmonary emboli. Together, these data suggest a high prevalence of haemolysis-associated NO scavenging, Doppler-estimated systolic pulmonary hypertension, and depressed right ventricular function in patients with PNH. \u00a9 2012 Blackwell Publishing Ltd.", "author" : [ { "dropping-particle" : "", "family" : "Hill", "given" : "Anita", "non-dropping-particle" : "", "parse-names" : false, "suffix" : "" }, { "dropping-particle" : "", "family" : "Sapsford", "given" : "Robert J.", "non-dropping-particle" : "", "parse-names" : false, "suffix" : "" }, { "dropping-particle" : "", "family" : "Scally", "given" : "Andrew", "non-dropping-particle" : "", "parse-names" : false, "suffix" : "" }, { "dropping-particle" : "", "family" : "Kelly", "given" : "Richard", "non-dropping-particle" : "", "parse-names" : false, "suffix" : "" }, { "dropping-particle" : "", "family" : "Richards", "given" : "Stephen J.", "non-dropping-particle" : "", "parse-names" : false, "suffix" : "" }, { "dropping-particle" : "", "family" : "Khurisgara", "given" : "Gus", "non-dropping-particle" : "", "parse-names" : false, "suffix" : "" }, { "dropping-particle" : "", "family" : "Sivananthan", "given" : "Mohan U.", "non-dropping-particle" : "", "parse-names" : false, "suffix" : "" }, { "dropping-particle" : "", "family" : "Hillmen", "given" : "Peter", "non-dropping-particle" : "", "parse-names" : false, "suffix" : "" } ], "container-title" : "British Journal of Haematology", "id" : "ITEM-1", "issue" : "3", "issued" : { "date-parts" : [ [ "2012" ] ] }, "page" : "409-414", "title" : "Under-recognized complications in patients with paroxysmal nocturnal haemoglobinuria: Raised pulmonary pressure and reduced right ventricular function", "type" : "article-journal", "volume" : "158" }, "uris" : [ "http://www.mendeley.com/documents/?uuid=c38f53fc-3713-47fd-a436-037a90bfb05f" ] }, { "id" : "ITEM-2", "itemData" : { "DOI" : "10.1002/ajh.21757", "ISSN" : "03618609", "PMID" : "20658586", "abstract" : "Paroxysmal nocturnal hemoglobinuria (PNH) is a debilitating and life-threatening disease in which lysis of PNH red blood cells frequently manifests with chronic hemolysis, anemia, and thrombosis. Renal damage in PNH is associated with chronic hemosiderosis and/or microvascular thrombosis. We determined the incidence of renal dysfunction or damage, defined by stages of chronic kidney disease (CKD), in a large cohort of PNH patients and evaluated the safety and efficacy of the complement inhibitor eculizumab in altering its progression. Renal dysfunction or damage was observed in 65% of the study population at baseline with 21% of patients with later stage CKD or kidney failure (glomerular filtration rate [GFR] \u226460 ml/min/1.73 m2; Stage 3, 4, or 5). Eculizumab treatment was safe and well-tolerated in patients with renal dysfunction or damage and resulted in the likelihood of improvement as defined as categorical reduction in CKD stage (P &lt; 0.001) compared with baseline and to placebo (P = 0.04). Improvement in renal function was more commonly seen in patients with baseline CKD Stages 1-2 (67.1% improvement, P &lt; 0.001) although improvement was also observed in patients with CKD Stages 3-4 (P = 0.05). Improvements occurred quickly and were sustained for at least 18 months of treatment. Patients categorized at CKD Stages 3-5 did not worsen during treatment with eculizumab. Overall, 40 (21%) of 195 patients who demonstrated renal dysfunction or damage at baseline were no longer classified as such after 18 months of treatment. Administration of eculizumab to patients with renal dysfunction or damage was well tolerated and was usually associated with clinical improvement. \u00a9 2010 Wiley-Liss, Inc.", "author" : [ { "dropping-particle" : "", "family" : "Hillmen", "given" : "Peter", "non-dropping-particle" : "", "parse-names" : false, "suffix" : "" }, { "dropping-particle" : "", "family" : "Elebute", "given" : "Modupe", "non-dropping-particle" : "", "parse-names" : false, "suffix" : "" }, { "dropping-particle" : "", "family" : "Kelly", "given" : "Richard", "non-dropping-particle" : "", "parse-names" : false, "suffix" : "" }, { "dropping-particle" : "", "family" : "Urbano-Ispizua", "given" : "Alvaro", "non-dropping-particle" : "", "parse-names" : false, "suffix" : "" }, { "dropping-particle" : "", "family" : "Hill", "given" : "Anita", "non-dropping-particle" : "", "parse-names" : false, "suffix" : "" }, { "dropping-particle" : "", "family" : "Rother", "given" : "Russell P.", "non-dropping-particle" : "", "parse-names" : false, "suffix" : "" }, { "dropping-particle" : "", "family" : "Khursigara", "given" : "Gus", "non-dropping-particle" : "", "parse-names" : false, "suffix" : "" }, { "dropping-particle" : "", "family" : "Fu", "given" : "Chieh Lin", "non-dropping-particle" : "", "parse-names" : false, "suffix" : "" }, { "dropping-particle" : "", "family" : "Omine", "given" : "Mitsuhiro", "non-dropping-particle" : "", "parse-names" : false, "suffix" : "" }, { "dropping-particle" : "", "family" : "Browne", "given" : "Paul", "non-dropping-particle" : "", "parse-names" : false, "suffix" : "" }, { "dropping-particle" : "", "family" : "Rosse", "given" : "Wendell", "non-dropping-particle" : "", "parse-names" : false, "suffix" : "" } ], "container-title" : "American Journal of Hematology", "id" : "ITEM-2", "issue" : "8", "issued" : { "date-parts" : [ [ "2010" ] ] }, "page" : "553-559", "title" : "Long-term effect of the complement inhibitor eculizumab on kidney function in patients with paroxysmal nocturnal hemoglobinuria", "type" : "article-journal", "volume" : "85" }, "uris" : [ "http://www.mendeley.com/documents/?uuid=f6272b36-bb41-46d6-9a53-786d5ff8505a" ] }, { "id" : "ITEM-3", "itemData" : { "DOI" : "10.1182/blood-2005-02-0564", "ISSN" : "0006-4971", "abstract" : "Paroxysmal nocturnal hemoglobinuria (PNH) is a hematologic disorder characterized by clonal expansion of red blood cells (RBCs) lacking the ability to inhibit complement-mediated hemolysis. Eculizumab, a humanized monoclonal antibody that binds the C5 complement protein, blocks serum hemolytic activity. This study evaluated the long-term safety and efficacy of eculizumab in 11 patients with PNH during an open-label extension trial. After completion of an initial 12-week study, all patients chose to participate in the 52-week extension study. Eculizumab, administered at 900 mg every 12 to 14 days, was sufficient to completely and consistently block complement activity in all patients. A dramatic reduction in hemolysis was maintained throughout the study, with a decrease in lactate dehydrogenase (LDH) levels from 3110.7 IU/L before treatment to 622.4 IU/L (P = .002). The proportion of PNH type III RBCs increased from 36.7% at baseline to 58.4% (P = .005). The paroxysm rate of days with gross evidence of hemoglobinuria per patient each month decreased from 3.0 during screening to 0.2 (P &lt; .001) during treatment. The median transfusion rate decreased from 1.8 U per patient each month before eculizumab treatment to 0.3 U per patient each month (P = .001) during treatment. Statistically significant improvements in quality-of-life measures were also maintained during the extension study. Eculizumab continued to be safe and well tolerated, and all patients completed the study. The close relationship between sustained terminal complement inhibition, hemolysis, and symptoms was demonstrated. (Blood. 2005; 106:2559-2565)", "author" : [ { "dropping-particle" : "", "family" : "Hill", "given" : "Anita", "non-dropping-particle" : "", "parse-names" : false, "suffix" : "" }, { "dropping-particle" : "", "family" : "Hillmen", "given" : "Peter", "non-dropping-particle" : "", "parse-names" : false, "suffix" : "" }, { "dropping-particle" : "", "family" : "Richards", "given" : "Stephen J.", "non-dropping-particle" : "", "parse-names" : false, "suffix" : "" }, { "dropping-particle" : "", "family" : "Elebute", "given" : "Dupe", "non-dropping-particle" : "", "parse-names" : false, "suffix" : "" }, { "dropping-particle" : "", "family" : "Marsh", "given" : "Judith C.", "non-dropping-particle" : "", "parse-names" : false, "suffix" : "" }, { "dropping-particle" : "", "family" : "Chan", "given" : "Jason", "non-dropping-particle" : "", "parse-names" : false, "suffix" : "" }, { "dropping-particle" : "", "family" : "Mojcik", "given" : "Christopher F.", "non-dropping-particle" : "", "parse-names" : false, "suffix" : "" }, { "dropping-particle" : "", "family" : "Rother", "given" : "Russell P.", "non-dropping-particle" : "", "parse-names" : false, "suffix" : "" } ], "container-title" : "Blood", "id" : "ITEM-3", "issue" : "7", "issued" : { "date-parts" : [ [ "2005", "10", "1" ] ] }, "page" : "2559-2565", "title" : "Sustained response and long-term safety of eculizumab in paroxysmal nocturnal hemoglobinuria", "type" : "article-journal", "volume" : "106" }, "uris" : [ "http://www.mendeley.com/documents/?uuid=b7ed99ea-ac92-4a3c-94f3-11a89a8feb81" ] }, { "id" : "ITEM-4", "itemData" : { "DOI" : "10.1056/NEJMoa061648", "ISSN" : "0028-4793", "author" : [ { "dropping-particle" : "", "family" : "Hillmen", "given" : "Peter", "non-dropping-particle" : "", "parse-names" : false, "suffix" : "" }, { "dropping-particle" : "", "family" : "Young", "given" : "Neal S.", "non-dropping-particle" : "", "parse-names" : false, "suffix" : "" }, { "dropping-particle" : "", "family" : "Schubert", "given" : "J\u00f6rg", "non-dropping-particle" : "", "parse-names" : false, "suffix" : "" }, { "dropping-particle" : "", "family" : "Brodsky", "given" : "Robert A.", "non-dropping-particle" : "", "parse-names" : false, "suffix" : "" }, { "dropping-particle" : "", "family" : "Soci\u00e9", "given" : "Gerard", "non-dropping-particle" : "", "parse-names" : false, "suffix" : "" }, { "dropping-particle" : "", "family" : "Muus", "given" : "Petra", "non-dropping-particle" : "", "parse-names" : false, "suffix" : "" }, { "dropping-particle" : "", "family" : "R\u00f6th", "given" : "Alexander", "non-dropping-particle" : "", "parse-names" : false, "suffix" : "" }, { "dropping-particle" : "", "family" : "Szer", "given" : "Jeffrey", "non-dropping-particle" : "", "parse-names" : false, "suffix" : "" }, { "dropping-particle" : "", "family" : "Elebute", "given" : "Modupe O.", "non-dropping-particle" : "", "parse-names" : false, "suffix" : "" }, { "dropping-particle" : "", "family" : "Nakamura", "given" : "Ryotaro", "non-dropping-particle" : "", "parse-names" : false, "suffix" : "" }, { "dropping-particle" : "", "family" : "Browne", "given" : "Paul", "non-dropping-particle" : "", "parse-names" : false, "suffix" : "" }, { "dropping-particle" : "", "family" : "Risitano", "given" : "Antonio M.", "non-dropping-particle" : "", "parse-names" : false, "suffix" : "" }, { "dropping-particle" : "", "family" : "Hill", "given" : "Anita", "non-dropping-particle" : "", "parse-names" : false, "suffix" : "" }, { "dropping-particle" : "", "family" : "Schrezenmeier", "given" : "Hubert", "non-dropping-particle" : "", "parse-names" : false, "suffix" : "" }, { "dropping-particle" : "", "family" : "Fu", "given" : "Chieh-Lin", "non-dropping-particle" : "", "parse-names" : false, "suffix" : "" }, { "dropping-particle" : "", "family" : "Maciejewski", "given" : "Jaroslaw", "non-dropping-particle" : "", "parse-names" : false, "suffix" : "" }, { "dropping-particle" : "", "family" : "Rollins", "given" : "Scott A.", "non-dropping-particle" : "", "parse-names" : false, "suffix" : "" }, { "dropping-particle" : "", "family" : "Mojcik", "given" : "Christopher F.", "non-dropping-particle" : "", "parse-names" : false, "suffix" : "" }, { "dropping-particle" : "", "family" : "Rother", "given" : "Russell P.", "non-dropping-particle" : "", "parse-names" : false, "suffix" : "" }, { "dropping-particle" : "", "family" : "Luzzatto", "given" : "Lucio", "non-dropping-particle" : "", "parse-names" : false, "suffix" : "" } ], "container-title" : "New England Journal of Medicine", "id" : "ITEM-4", "issue" : "12", "issued" : { "date-parts" : [ [ "2006", "9", "21" ] ] }, "page" : "1233-1243", "title" : "The Complement Inhibitor Eculizumab in Paroxysmal Nocturnal Hemoglobinuria", "type" : "article-journal", "volume" : "355" }, "uris" : [ "http://www.mendeley.com/documents/?uuid=2b10cc46-8ae0-425c-8c41-b368782b3a14" ] }, { "id" : "ITEM-5", "itemData" : { "DOI" : "10.1182/blood-2007-06-094136.The", "author" : [ { "dropping-particle" : "", "family" : "Savva", "given" : "Stefania", "non-dropping-particle" : "", "parse-names" : false, "suffix" : "" } ], "id" : "ITEM-5", "issue" : "4", "issued" : { "date-parts" : [ [ "2016" ] ] }, "page" : "1840-1848", "title" : "The Potential of a Museum-School Partnership to Support Diversity and Multiliteracies-Based Pedagogy for the 21st Century", "type" : "article-journal", "volume" : "111" }, "uris" : [ "http://www.mendeley.com/documents/?uuid=6b34fac9-c1e4-4a43-8a91-999fde4a7ae3" ] }, { "id" : "ITEM-6", "itemData" : { "DOI" : "10.1056/NEJMoa031688", "ISSN" : "0028-4793", "author" : [ { "dropping-particle" : "", "family" : "Hillmen", "given" : "Peter", "non-dropping-particle" : "", "parse-names" : false, "suffix" : "" }, { "dropping-particle" : "", "family" : "Hall", "given" : "Claire", "non-dropping-particle" : "", "parse-names" : false, "suffix" : "" }, { "dropping-particle" : "", "family" : "Marsh", "given" : "Judith C.W.", "non-dropping-particle" : "", "parse-names" : false, "suffix" : "" }, { "dropping-particle" : "", "family" : "Elebute", "given" : "Modupe", "non-dropping-particle" : "", "parse-names" : false, "suffix" : "" }, { "dropping-particle" : "", "family" : "Bombara", "given" : "Michael P.", "non-dropping-particle" : "", "parse-names" : false, "suffix" : "" }, { "dropping-particle" : "", "family" : "Petro", "given" : "Beth E.", "non-dropping-particle" : "", "parse-names" : false, "suffix" : "" }, { "dropping-particle" : "", "family" : "Cullen", "given" : "Matthew J.", "non-dropping-particle" : "", "parse-names" : false, "suffix" : "" }, { "dropping-particle" : "", "family" : "Richards", "given" : "Stephen J.", "non-dropping-particle" : "", "parse-names" : false, "suffix" : "" }, { "dropping-particle" : "", "family" : "Rollins", "given" : "Scott A.", "non-dropping-particle" : "", "parse-names" : false, "suffix" : "" }, { "dropping-particle" : "", "family" : "Mojcik", "given" : "Christopher F.", "non-dropping-particle" : "", "parse-names" : false, "suffix" : "" }, { "dropping-particle" : "", "family" : "Rother", "given" : "Russell P.", "non-dropping-particle" : "", "parse-names" : false, "suffix" : "" } ], "container-title" : "New England Journal of Medicine", "id" : "ITEM-6", "issue" : "6", "issued" : { "date-parts" : [ [ "2004", "2", "5" ] ] }, "page" : "552-559", "title" : "Effect of Eculizumab on Hemolysis and Transfusion Requirements in Patients with Paroxysmal Nocturnal Hemoglobinuria", "type" : "article-journal", "volume" : "350" }, "uris" : [ "http://www.mendeley.com/documents/?uuid=f751f21e-1b8f-497a-b215-8a3d732b584d" ] } ], "mendeley" : { "formattedCitation" : "[24,25,33\u201336]", "plainTextFormattedCitation" : "[24,25,33\u201336]", "previouslyFormattedCitation" : "[24,25,33\u201336]" }, "properties" : { "noteIndex" : 0 }, "schema" : "https://github.com/citation-style-language/schema/raw/master/csl-citation.json" }</w:instrText>
      </w:r>
      <w:r w:rsidR="00730394">
        <w:fldChar w:fldCharType="separate"/>
      </w:r>
      <w:r w:rsidR="00034578" w:rsidRPr="00034578">
        <w:rPr>
          <w:noProof/>
        </w:rPr>
        <w:t>[24,25,33–36]</w:t>
      </w:r>
      <w:r w:rsidR="00730394">
        <w:fldChar w:fldCharType="end"/>
      </w:r>
      <w:r w:rsidR="00730394">
        <w:rPr>
          <w:bCs/>
        </w:rPr>
        <w:t xml:space="preserve">: </w:t>
      </w:r>
    </w:p>
    <w:p w14:paraId="21BF5568" w14:textId="0DA25440" w:rsidR="00730394" w:rsidRPr="009D0040" w:rsidRDefault="00730394" w:rsidP="007C7431">
      <w:pPr>
        <w:pStyle w:val="1"/>
        <w:numPr>
          <w:ilvl w:val="1"/>
          <w:numId w:val="1"/>
        </w:numPr>
        <w:divId w:val="1767193717"/>
      </w:pPr>
      <w:r w:rsidRPr="009D0040">
        <w:t>Наличие</w:t>
      </w:r>
      <w:r w:rsidR="00784572">
        <w:t xml:space="preserve"> </w:t>
      </w:r>
      <w:r w:rsidRPr="009D0040">
        <w:t>в анамнезе тромботических осложнений</w:t>
      </w:r>
      <w:r w:rsidR="00B4376C">
        <w:t xml:space="preserve">, </w:t>
      </w:r>
      <w:r w:rsidR="00B4376C" w:rsidRPr="001E68AB">
        <w:t>в развитии которых ведущую роль играет внутрисосудистый гемолиз</w:t>
      </w:r>
    </w:p>
    <w:p w14:paraId="3F899489" w14:textId="170B1373" w:rsidR="00764826" w:rsidRPr="00052E33" w:rsidRDefault="00730394" w:rsidP="007C7431">
      <w:pPr>
        <w:pStyle w:val="1"/>
        <w:numPr>
          <w:ilvl w:val="1"/>
          <w:numId w:val="1"/>
        </w:numPr>
        <w:divId w:val="1767193717"/>
      </w:pPr>
      <w:r w:rsidRPr="00052E33">
        <w:t xml:space="preserve">Выраженная </w:t>
      </w:r>
      <w:proofErr w:type="spellStart"/>
      <w:r w:rsidRPr="00052E33">
        <w:t>трансфузионная</w:t>
      </w:r>
      <w:proofErr w:type="spellEnd"/>
      <w:r w:rsidRPr="00052E33">
        <w:t xml:space="preserve"> зависимость вследствие хронического гемолиза</w:t>
      </w:r>
    </w:p>
    <w:p w14:paraId="55A37B53" w14:textId="7BB2FABB" w:rsidR="00730394" w:rsidRPr="009D0040" w:rsidRDefault="00730394" w:rsidP="007C7431">
      <w:pPr>
        <w:pStyle w:val="1"/>
        <w:numPr>
          <w:ilvl w:val="1"/>
          <w:numId w:val="1"/>
        </w:numPr>
        <w:divId w:val="1767193717"/>
      </w:pPr>
      <w:r w:rsidRPr="009D0040">
        <w:lastRenderedPageBreak/>
        <w:t>Наличие выраженных</w:t>
      </w:r>
      <w:r w:rsidR="00B4376C">
        <w:t xml:space="preserve"> симптомов</w:t>
      </w:r>
      <w:r w:rsidR="00B4376C" w:rsidRPr="00066A45">
        <w:t xml:space="preserve"> гладкомышечной дистони</w:t>
      </w:r>
      <w:r w:rsidR="00B4376C">
        <w:t xml:space="preserve">и, </w:t>
      </w:r>
      <w:r w:rsidRPr="009D0040">
        <w:t>обусловленных гемолизом (дисфагия, абдоминальные боли, боли в груди и др.)</w:t>
      </w:r>
    </w:p>
    <w:p w14:paraId="7BBF0ABF" w14:textId="5D2562D6" w:rsidR="00730394" w:rsidRPr="009D0040" w:rsidRDefault="00730394" w:rsidP="007C7431">
      <w:pPr>
        <w:pStyle w:val="1"/>
        <w:numPr>
          <w:ilvl w:val="1"/>
          <w:numId w:val="1"/>
        </w:numPr>
        <w:divId w:val="1767193717"/>
      </w:pPr>
      <w:r w:rsidRPr="009D0040">
        <w:t>Снижение функци</w:t>
      </w:r>
      <w:r w:rsidR="00B4376C">
        <w:t>ональной способности</w:t>
      </w:r>
      <w:r w:rsidRPr="009D0040">
        <w:t xml:space="preserve"> почек, обусловленное хроническим гемолизом</w:t>
      </w:r>
    </w:p>
    <w:p w14:paraId="410B7A17" w14:textId="77777777" w:rsidR="007E0C74" w:rsidRDefault="00B104EF" w:rsidP="007E0C74">
      <w:pPr>
        <w:pStyle w:val="aff1"/>
        <w:ind w:left="284"/>
        <w:divId w:val="1767193717"/>
      </w:pPr>
      <w:r w:rsidRPr="00B104EF">
        <w:t>Уровень убедительности рекомендаций</w:t>
      </w:r>
      <w:proofErr w:type="gramStart"/>
      <w:r w:rsidRPr="00B104EF">
        <w:t xml:space="preserve"> </w:t>
      </w:r>
      <w:r w:rsidR="00C04023">
        <w:t>А</w:t>
      </w:r>
      <w:proofErr w:type="gramEnd"/>
      <w:r w:rsidRPr="00B104EF">
        <w:t xml:space="preserve"> (уровень достоверности доказательств – </w:t>
      </w:r>
      <w:r w:rsidR="00C04023">
        <w:t>2)</w:t>
      </w:r>
    </w:p>
    <w:p w14:paraId="1F3327E3" w14:textId="1419E8FA" w:rsidR="00052E33" w:rsidRDefault="00052E33" w:rsidP="007E0C74">
      <w:pPr>
        <w:pStyle w:val="aff1"/>
        <w:ind w:left="284"/>
        <w:divId w:val="1767193717"/>
      </w:pPr>
      <w:r w:rsidRPr="00052E33">
        <w:t>Комментарий:</w:t>
      </w:r>
      <w:r>
        <w:rPr>
          <w:b w:val="0"/>
          <w:i/>
        </w:rPr>
        <w:t xml:space="preserve"> </w:t>
      </w:r>
      <w:r w:rsidR="007E0C74">
        <w:rPr>
          <w:b w:val="0"/>
          <w:i/>
        </w:rPr>
        <w:t>т</w:t>
      </w:r>
      <w:r w:rsidR="007E0C74" w:rsidRPr="00730394">
        <w:rPr>
          <w:b w:val="0"/>
          <w:i/>
        </w:rPr>
        <w:t xml:space="preserve">ерапия </w:t>
      </w:r>
      <w:proofErr w:type="spellStart"/>
      <w:r w:rsidR="007E0C74" w:rsidRPr="00730394">
        <w:rPr>
          <w:b w:val="0"/>
          <w:i/>
        </w:rPr>
        <w:t>экулизумабом</w:t>
      </w:r>
      <w:proofErr w:type="spellEnd"/>
      <w:r w:rsidR="007E0C74" w:rsidRPr="0068676A">
        <w:rPr>
          <w:szCs w:val="18"/>
        </w:rPr>
        <w:t>**</w:t>
      </w:r>
      <w:r w:rsidR="007E0C74" w:rsidRPr="00730394">
        <w:rPr>
          <w:b w:val="0"/>
          <w:i/>
        </w:rPr>
        <w:t xml:space="preserve"> и другими препаратами, блокирующими активность терминального комплемента, сопряжена с повышенным риском развития </w:t>
      </w:r>
      <w:r w:rsidR="007E0C74">
        <w:rPr>
          <w:b w:val="0"/>
          <w:i/>
        </w:rPr>
        <w:t xml:space="preserve">инфекционных осложнений, </w:t>
      </w:r>
      <w:r w:rsidR="007E0C74" w:rsidRPr="00052E33">
        <w:rPr>
          <w:b w:val="0"/>
          <w:i/>
        </w:rPr>
        <w:t>прежде всего</w:t>
      </w:r>
      <w:r w:rsidR="007E0C74">
        <w:rPr>
          <w:b w:val="0"/>
          <w:i/>
        </w:rPr>
        <w:t>,</w:t>
      </w:r>
      <w:r w:rsidR="007E0C74" w:rsidRPr="00052E33">
        <w:rPr>
          <w:b w:val="0"/>
          <w:i/>
        </w:rPr>
        <w:t xml:space="preserve"> менингококковой инфекции (</w:t>
      </w:r>
      <w:proofErr w:type="spellStart"/>
      <w:r w:rsidR="007E0C74" w:rsidRPr="00052E33">
        <w:rPr>
          <w:b w:val="0"/>
          <w:i/>
        </w:rPr>
        <w:t>Neisseria</w:t>
      </w:r>
      <w:proofErr w:type="spellEnd"/>
      <w:r w:rsidR="007E0C74" w:rsidRPr="00052E33">
        <w:rPr>
          <w:b w:val="0"/>
          <w:i/>
        </w:rPr>
        <w:t xml:space="preserve"> </w:t>
      </w:r>
      <w:proofErr w:type="spellStart"/>
      <w:r w:rsidR="007E0C74" w:rsidRPr="00052E33">
        <w:rPr>
          <w:b w:val="0"/>
          <w:i/>
        </w:rPr>
        <w:t>meningitidis</w:t>
      </w:r>
      <w:proofErr w:type="spellEnd"/>
      <w:r w:rsidR="007E0C74" w:rsidRPr="00052E33">
        <w:rPr>
          <w:b w:val="0"/>
          <w:i/>
        </w:rPr>
        <w:t>).</w:t>
      </w:r>
      <w:r w:rsidR="007E0C74" w:rsidRPr="00730394">
        <w:rPr>
          <w:b w:val="0"/>
          <w:i/>
        </w:rPr>
        <w:t xml:space="preserve"> В</w:t>
      </w:r>
      <w:r w:rsidR="007E0C74">
        <w:rPr>
          <w:b w:val="0"/>
          <w:i/>
        </w:rPr>
        <w:t xml:space="preserve"> соответствии с этим,</w:t>
      </w:r>
      <w:r w:rsidR="007E0C74" w:rsidRPr="00730394">
        <w:rPr>
          <w:b w:val="0"/>
          <w:i/>
        </w:rPr>
        <w:t xml:space="preserve"> пациентам</w:t>
      </w:r>
      <w:r w:rsidR="007E0C74">
        <w:rPr>
          <w:b w:val="0"/>
          <w:i/>
        </w:rPr>
        <w:t>,</w:t>
      </w:r>
      <w:r w:rsidR="007E0C74" w:rsidRPr="00730394">
        <w:rPr>
          <w:b w:val="0"/>
          <w:i/>
        </w:rPr>
        <w:t xml:space="preserve"> не менее чем за 2 недели до начала терапии </w:t>
      </w:r>
      <w:proofErr w:type="spellStart"/>
      <w:r w:rsidR="007E0C74" w:rsidRPr="00730394">
        <w:rPr>
          <w:b w:val="0"/>
          <w:i/>
        </w:rPr>
        <w:t>экулизумабом</w:t>
      </w:r>
      <w:proofErr w:type="spellEnd"/>
      <w:r w:rsidR="007E0C74">
        <w:rPr>
          <w:b w:val="0"/>
          <w:i/>
        </w:rPr>
        <w:t>,</w:t>
      </w:r>
      <w:r w:rsidR="007E0C74" w:rsidRPr="00730394">
        <w:rPr>
          <w:b w:val="0"/>
          <w:i/>
        </w:rPr>
        <w:t xml:space="preserve"> показана вакцинация поливалентной </w:t>
      </w:r>
      <w:proofErr w:type="spellStart"/>
      <w:r w:rsidR="007E0C74" w:rsidRPr="00730394">
        <w:rPr>
          <w:b w:val="0"/>
          <w:i/>
        </w:rPr>
        <w:t>менинкогокковой</w:t>
      </w:r>
      <w:proofErr w:type="spellEnd"/>
      <w:r w:rsidR="007E0C74" w:rsidRPr="00730394">
        <w:rPr>
          <w:b w:val="0"/>
          <w:i/>
        </w:rPr>
        <w:t xml:space="preserve"> вакциной, с последующей ревакцинацией </w:t>
      </w:r>
      <w:r w:rsidR="007E0C74">
        <w:rPr>
          <w:b w:val="0"/>
          <w:i/>
        </w:rPr>
        <w:t>в соответствии с существующими в РФ стандартами</w:t>
      </w:r>
      <w:r w:rsidR="007E0C74" w:rsidRPr="00730394">
        <w:rPr>
          <w:b w:val="0"/>
          <w:i/>
        </w:rPr>
        <w:t xml:space="preserve">. </w:t>
      </w:r>
      <w:proofErr w:type="gramStart"/>
      <w:r w:rsidR="007E0C74" w:rsidRPr="00730394">
        <w:rPr>
          <w:b w:val="0"/>
          <w:i/>
        </w:rPr>
        <w:t xml:space="preserve">В экстренных случаях, когда терапию </w:t>
      </w:r>
      <w:proofErr w:type="spellStart"/>
      <w:r w:rsidR="007E0C74" w:rsidRPr="00730394">
        <w:rPr>
          <w:b w:val="0"/>
          <w:i/>
        </w:rPr>
        <w:t>экулизумабом</w:t>
      </w:r>
      <w:proofErr w:type="spellEnd"/>
      <w:r w:rsidR="007E0C74" w:rsidRPr="00730394">
        <w:rPr>
          <w:b w:val="0"/>
          <w:i/>
        </w:rPr>
        <w:t xml:space="preserve"> необходимо начать раньше, чем через 2 недели после вакцинации</w:t>
      </w:r>
      <w:r w:rsidR="007E0C74">
        <w:rPr>
          <w:b w:val="0"/>
          <w:i/>
        </w:rPr>
        <w:t>,</w:t>
      </w:r>
      <w:r w:rsidR="007E0C74" w:rsidRPr="00730394">
        <w:rPr>
          <w:b w:val="0"/>
          <w:i/>
        </w:rPr>
        <w:t xml:space="preserve"> пациент</w:t>
      </w:r>
      <w:r w:rsidR="007E0C74">
        <w:rPr>
          <w:b w:val="0"/>
          <w:i/>
        </w:rPr>
        <w:t>у</w:t>
      </w:r>
      <w:r w:rsidR="007E0C74" w:rsidRPr="00730394">
        <w:rPr>
          <w:b w:val="0"/>
          <w:i/>
        </w:rPr>
        <w:t xml:space="preserve"> </w:t>
      </w:r>
      <w:r w:rsidR="007E0C74">
        <w:rPr>
          <w:b w:val="0"/>
          <w:i/>
        </w:rPr>
        <w:t xml:space="preserve">следует назначить </w:t>
      </w:r>
      <w:r w:rsidR="007E0C74" w:rsidRPr="00730394">
        <w:rPr>
          <w:b w:val="0"/>
          <w:i/>
        </w:rPr>
        <w:t>профилактическую антибактериальную терапию</w:t>
      </w:r>
      <w:proofErr w:type="gramEnd"/>
      <w:r w:rsidR="007E0C74" w:rsidRPr="00730394">
        <w:rPr>
          <w:b w:val="0"/>
          <w:i/>
        </w:rPr>
        <w:t xml:space="preserve"> </w:t>
      </w:r>
      <w:r w:rsidR="007E0C74">
        <w:rPr>
          <w:b w:val="0"/>
          <w:i/>
        </w:rPr>
        <w:fldChar w:fldCharType="begin" w:fldLock="1"/>
      </w:r>
      <w:r w:rsidR="007E0C74">
        <w:rPr>
          <w:b w:val="0"/>
          <w:i/>
        </w:rPr>
        <w:instrText>ADDIN CSL_CITATION { "citationItems" : [ { "id" : "ITEM-1", "itemData" : { "DOI" : "10.15585/mmwr.mm6627e1", "ISSN" : "0149-2195", "author" : [ { "dropping-particle" : "", "family" : "McNamara", "given" : "Lucy A.", "non-dropping-particle" : "", "parse-names" : false, "suffix" : "" }, { "dropping-particle" : "", "family" : "Topaz", "given" : "Nadav", "non-dropping-particle" : "", "parse-names" : false, "suffix" : "" }, { "dropping-particle" : "", "family" : "Wang", "given" : "Xin", "non-dropping-particle" : "", "parse-names" : false, "suffix" : "" }, { "dropping-particle" : "", "family" : "Hariri", "given" : "Susan", "non-dropping-particle" : "", "parse-names" : false, "suffix" : "" }, { "dropping-particle" : "", "family" : "Fox", "given" : "LeAnne", "non-dropping-particle" : "", "parse-names" : false, "suffix" : "" }, { "dropping-particle" : "", "family" : "MacNeil", "given" : "Jessica R.", "non-dropping-particle" : "", "parse-names" : false, "suffix" : "" } ], "container-title" : "MMWR. Morbidity and Mortality Weekly Report", "id" : "ITEM-1", "issue" : "27", "issued" : { "date-parts" : [ [ "2017", "7", "14" ] ] }, "page" : "734-737", "title" : "High Risk for Invasive Meningococcal Disease Among Patients Receiving Eculizumab (Soliris) Despite Receipt of Meningococcal Vaccine", "type" : "article-journal", "volume" : "66" }, "uris" : [ "http://www.mendeley.com/documents/?uuid=78a73acf-9866-4224-8a4e-a32d20a3f777" ] } ], "mendeley" : { "formattedCitation" : "[37]", "plainTextFormattedCitation" : "[37]", "previouslyFormattedCitation" : "[37]" }, "properties" : { "noteIndex" : 0 }, "schema" : "https://github.com/citation-style-language/schema/raw/master/csl-citation.json" }</w:instrText>
      </w:r>
      <w:r w:rsidR="007E0C74">
        <w:rPr>
          <w:b w:val="0"/>
          <w:i/>
        </w:rPr>
        <w:fldChar w:fldCharType="separate"/>
      </w:r>
      <w:r w:rsidR="007E0C74" w:rsidRPr="00034578">
        <w:rPr>
          <w:b w:val="0"/>
          <w:noProof/>
        </w:rPr>
        <w:t>[37]</w:t>
      </w:r>
      <w:r w:rsidR="007E0C74">
        <w:rPr>
          <w:b w:val="0"/>
          <w:i/>
        </w:rPr>
        <w:fldChar w:fldCharType="end"/>
      </w:r>
      <w:r w:rsidR="007E0C74">
        <w:rPr>
          <w:b w:val="0"/>
          <w:i/>
        </w:rPr>
        <w:t>. В</w:t>
      </w:r>
      <w:r w:rsidR="00784572" w:rsidRPr="00B120E2">
        <w:rPr>
          <w:b w:val="0"/>
          <w:i/>
        </w:rPr>
        <w:t xml:space="preserve"> случае</w:t>
      </w:r>
      <w:r w:rsidR="00784572" w:rsidRPr="00B120E2">
        <w:rPr>
          <w:i/>
        </w:rPr>
        <w:t xml:space="preserve"> </w:t>
      </w:r>
      <w:r w:rsidR="00784572" w:rsidRPr="00B120E2">
        <w:rPr>
          <w:b w:val="0"/>
          <w:i/>
        </w:rPr>
        <w:t xml:space="preserve">наступления беременности у пациентки с ПНГ решение о начале и длительности патогенетической терапии </w:t>
      </w:r>
      <w:proofErr w:type="spellStart"/>
      <w:r w:rsidR="00784572" w:rsidRPr="00B120E2">
        <w:rPr>
          <w:b w:val="0"/>
          <w:i/>
        </w:rPr>
        <w:t>экулизумабом</w:t>
      </w:r>
      <w:proofErr w:type="spellEnd"/>
      <w:r w:rsidR="00784572" w:rsidRPr="00B120E2">
        <w:rPr>
          <w:b w:val="0"/>
          <w:i/>
        </w:rPr>
        <w:t xml:space="preserve"> принимается врачебной комиссией с участием гематологов-экспертов в лечении ПНГ.</w:t>
      </w:r>
    </w:p>
    <w:p w14:paraId="2C6D42CD" w14:textId="77777777" w:rsidR="00764826" w:rsidRDefault="00764826" w:rsidP="00764826">
      <w:pPr>
        <w:pStyle w:val="aff1"/>
        <w:divId w:val="1767193717"/>
      </w:pPr>
    </w:p>
    <w:p w14:paraId="0BCA516D" w14:textId="5E793D6B" w:rsidR="004E1288" w:rsidRPr="00A86E5F" w:rsidRDefault="004E1288" w:rsidP="00764826">
      <w:pPr>
        <w:pStyle w:val="2"/>
        <w:ind w:firstLine="708"/>
        <w:divId w:val="1767193717"/>
        <w:rPr>
          <w:rFonts w:eastAsia="Times New Roman"/>
        </w:rPr>
      </w:pPr>
      <w:bookmarkStart w:id="33" w:name="_Toc24641962"/>
      <w:r w:rsidRPr="004E1288">
        <w:rPr>
          <w:rFonts w:eastAsia="Times New Roman"/>
        </w:rPr>
        <w:t>3.</w:t>
      </w:r>
      <w:r w:rsidR="00A86E5F" w:rsidRPr="00A86E5F">
        <w:t xml:space="preserve"> </w:t>
      </w:r>
      <w:r w:rsidR="00A94DF7">
        <w:rPr>
          <w:rFonts w:eastAsia="Times New Roman"/>
        </w:rPr>
        <w:t>2</w:t>
      </w:r>
      <w:r w:rsidRPr="004E1288">
        <w:rPr>
          <w:rFonts w:eastAsia="Times New Roman"/>
        </w:rPr>
        <w:t xml:space="preserve"> </w:t>
      </w:r>
      <w:r w:rsidR="00A94DF7">
        <w:rPr>
          <w:rFonts w:eastAsia="Times New Roman"/>
        </w:rPr>
        <w:t>Трансплантация костного мозга</w:t>
      </w:r>
      <w:bookmarkEnd w:id="33"/>
    </w:p>
    <w:p w14:paraId="466AAE47" w14:textId="55CF9060" w:rsidR="00B4376C" w:rsidRDefault="00B4376C" w:rsidP="00B4376C">
      <w:pPr>
        <w:pStyle w:val="1"/>
        <w:numPr>
          <w:ilvl w:val="0"/>
          <w:numId w:val="0"/>
        </w:numPr>
        <w:ind w:left="284" w:firstLine="424"/>
        <w:divId w:val="1767193717"/>
        <w:rPr>
          <w:b/>
        </w:rPr>
      </w:pPr>
      <w:r w:rsidRPr="004C0EDD">
        <w:rPr>
          <w:i/>
        </w:rPr>
        <w:t xml:space="preserve">Трансплантация костного мозга (ТКМ) </w:t>
      </w:r>
      <w:r>
        <w:rPr>
          <w:i/>
        </w:rPr>
        <w:t xml:space="preserve">в настоящее время </w:t>
      </w:r>
      <w:r w:rsidRPr="004C0EDD">
        <w:rPr>
          <w:i/>
        </w:rPr>
        <w:t xml:space="preserve">является единственным радикальным способом лечения ПНГ, однако </w:t>
      </w:r>
      <w:r>
        <w:rPr>
          <w:i/>
        </w:rPr>
        <w:t xml:space="preserve">проведение ТКМ взрослым пациентам </w:t>
      </w:r>
      <w:r w:rsidRPr="004C0EDD">
        <w:rPr>
          <w:i/>
        </w:rPr>
        <w:t>ассоции</w:t>
      </w:r>
      <w:r>
        <w:rPr>
          <w:i/>
        </w:rPr>
        <w:t>руется</w:t>
      </w:r>
      <w:r w:rsidR="007C7431">
        <w:rPr>
          <w:i/>
        </w:rPr>
        <w:t xml:space="preserve"> с высокой</w:t>
      </w:r>
      <w:r w:rsidRPr="004C0EDD">
        <w:rPr>
          <w:i/>
        </w:rPr>
        <w:t xml:space="preserve"> частотой </w:t>
      </w:r>
      <w:r>
        <w:rPr>
          <w:i/>
        </w:rPr>
        <w:t>тяжелых осложнений и, соответственно, высокой летальностью</w:t>
      </w:r>
      <w:r w:rsidRPr="004C0EDD">
        <w:rPr>
          <w:i/>
        </w:rPr>
        <w:t>. В данной связи «классическая» форма ПНГ более не является показанием для трансплантации костного мозга при условии доступности патогенетического лечения.</w:t>
      </w:r>
    </w:p>
    <w:p w14:paraId="54E8ADEF" w14:textId="12676EA6" w:rsidR="006425FF" w:rsidRDefault="004C0EDD" w:rsidP="006425FF">
      <w:pPr>
        <w:pStyle w:val="1"/>
        <w:divId w:val="1767193717"/>
        <w:rPr>
          <w:b/>
        </w:rPr>
      </w:pPr>
      <w:proofErr w:type="gramStart"/>
      <w:r>
        <w:rPr>
          <w:b/>
        </w:rPr>
        <w:t>Н</w:t>
      </w:r>
      <w:r w:rsidR="006425FF" w:rsidRPr="00D74813">
        <w:rPr>
          <w:b/>
        </w:rPr>
        <w:t>е рекомендуется</w:t>
      </w:r>
      <w:r w:rsidR="00D74813">
        <w:t xml:space="preserve"> </w:t>
      </w:r>
      <w:r>
        <w:t xml:space="preserve">проведение трансплантации костного мозга </w:t>
      </w:r>
      <w:r w:rsidR="00B4376C" w:rsidRPr="007C7431">
        <w:t>взрослым</w:t>
      </w:r>
      <w:r w:rsidR="00B4376C">
        <w:t xml:space="preserve"> </w:t>
      </w:r>
      <w:r>
        <w:t>пациентам с классической формой ПНГ</w:t>
      </w:r>
      <w:proofErr w:type="gramEnd"/>
      <w:r>
        <w:t xml:space="preserve"> </w:t>
      </w:r>
      <w:r w:rsidR="006425FF" w:rsidRPr="001D40F8">
        <w:t xml:space="preserve"> </w:t>
      </w:r>
      <w:r w:rsidRPr="00AC3B80">
        <w:rPr>
          <w:i/>
          <w:iCs/>
        </w:rPr>
        <w:fldChar w:fldCharType="begin" w:fldLock="1"/>
      </w:r>
      <w:r w:rsidR="00034578">
        <w:rPr>
          <w:i/>
          <w:iCs/>
        </w:rPr>
        <w:instrText>ADDIN CSL_CITATION { "citationItems" : [ { "id" : "ITEM-1", "itemData" : { "DOI" : "10.3324/haematol.2010.023176", "author" : [ { "dropping-particle" : "", "family" : "Brodsky", "given" : "Robert A", "non-dropping-particle" : "", "parse-names" : false, "suffix" : "" } ], "id" : "ITEM-1", "issue" : "6", "issued" : { "date-parts" : [ [ "2010" ] ] }, "page" : "855-856", "title" : "Stem cell transplantation for paroxysmal nocturnal hemoglobinuria", "type" : "article-journal", "volume" : "95" }, "uris" : [ "http://www.mendeley.com/documents/?uuid=a6c2924c-1ace-4416-b707-0b5a029c3d45" ] }, { "id" : "ITEM-2", "itemData" : { "DOI" : "10.3324/haematol.2012.062828", "ISSN" : "03906078", "abstract" : "Background In the era of eculizumab, identifying patients with paroxysmal nocturnal hemoglobinuria who may benefit from allogeneic stem cell transplantation is challenging. Design and Methods We describe the characteristics and overall survival of 211 patients transplanted for paroxysmal nocturnal hemoglobinuria in 83 EBMT centers from 1978 to 2007. Next, we conducted a comparison with a cohort of 402 non-transplanted patients with paroxysmal nocturnal hemoglobinuria diagnosed between 1950 and 2005 in 92 French centers. We compared the occurrence of complications (i.e. thromboembolism and aplastic anemia) using either an individual or a stratum- matching procedure. Results After a median follow-up of 5 years, the 5-year overall survival rate \u00b1 standard error (%) was 68\u00b13 in the transplanted group (54\u00b17 in the case of thromboembolism, 69\u00b15 in the case of aplastic anemia without thromboembolism and 86\u00b16 in the case of recurrent hemolytic anemia without thromboembolism or aplastic anemia). Only thromboembolism as the indication for transplantation was associated with worse outcome (P=0.03). We identified 24 pairs of transplanted and non-transplanted patients with thromboembolism for the matched comparison, with worse overall survival for the transplanted patients (hazard ratio=10.0; 95% confidence interval, 1.3-78.1; P=0.007). This was confirmed by the global matching procedure (P=0.03). As regards aplastic anemia without thromboembolism, 30 pairs were identified for the matched comparison. It was not observed that transplanted patients had a significantly worse overall survival (hazard ratio=4.0; 95% confidence interval, 0.9-18.9; P=0.06). A global matching procedure was not feasible. Conclusions Allogeneic stem cell transplantation is probably not a suitable treatment option for life-threatening thromboembolism in paroxysmal nocturnal hemoglobinuria. \u00a92012 Ferrata Storti Foundation.", "author" : [ { "dropping-particle" : "", "family" : "Latour", "given" : "R\u00e9gis Peffault", "non-dropping-particle" : "de", "parse-names" : false, "suffix" : "" }, { "dropping-particle" : "", "family" : "Schrezenmeier", "given" : "Hubert", "non-dropping-particle" : "", "parse-names" : false, "suffix" : "" }, { "dropping-particle" : "", "family" : "Bacigalupo", "given" : "Andrea", "non-dropping-particle" : "", "parse-names" : false, "suffix" : "" }, { "dropping-particle" : "", "family" : "Blaise", "given" : "Didier", "non-dropping-particle" : "", "parse-names" : false, "suffix" : "" }, { "dropping-particle" : "", "family" : "Souza", "given" : "Carmino A.", "non-dropping-particle" : "de", "parse-names" : false, "suffix" : "" }, { "dropping-particle" : "", "family" : "Vigouroux", "given" : "Stephane", "non-dropping-particle" : "", "parse-names" : false, "suffix" : "" }, { "dropping-particle" : "", "family" : "Willemze", "given" : "Roelf", "non-dropping-particle" : "", "parse-names" : false, "suffix" : "" }, { "dropping-particle" : "", "family" : "Terriou", "given" : "Louis", "non-dropping-particle" : "", "parse-names" : false, "suffix" : "" }, { "dropping-particle" : "", "family" : "Tichelli", "given" : "Andre", "non-dropping-particle" : "", "parse-names" : false, "suffix" : "" }, { "dropping-particle" : "", "family" : "Mohty", "given" : "Mohamad", "non-dropping-particle" : "", "parse-names" : false, "suffix" : "" }, { "dropping-particle" : "", "family" : "Guibert", "given" : "Sophie", "non-dropping-particle" : "de", "parse-names" : false, "suffix" : "" }, { "dropping-particle" : "", "family" : "Marsh", "given" : "Judith C.", "non-dropping-particle" : "", "parse-names" : false, "suffix" : "" }, { "dropping-particle" : "", "family" : "Passweg", "given" : "Jakob", "non-dropping-particle" : "", "parse-names" : false, "suffix" : "" }, { "dropping-particle" : "", "family" : "Mary", "given" : "Jean Yves", "non-dropping-particle" : "", "parse-names" : false, "suffix" : "" }, { "dropping-particle" : "", "family" : "Soci\u00e9", "given" : "Gerard", "non-dropping-particle" : "", "parse-names" : false, "suffix" : "" } ], "container-title" : "Haematologica", "id" : "ITEM-2", "issue" : "11", "issued" : { "date-parts" : [ [ "2012" ] ] }, "page" : "1666-1673", "title" : "Allogeneic stem cell transplantation in paroxysmal nocturnal hemoglobinuria", "type" : "article-journal", "volume" : "97" }, "uris" : [ "http://www.mendeley.com/documents/?uuid=72b172e2-f811-4839-814b-a52b8093127c" ] } ], "mendeley" : { "formattedCitation" : "[38,39]", "plainTextFormattedCitation" : "[38,39]", "previouslyFormattedCitation" : "[38,39]" }, "properties" : { "noteIndex" : 0 }, "schema" : "https://github.com/citation-style-language/schema/raw/master/csl-citation.json" }</w:instrText>
      </w:r>
      <w:r w:rsidRPr="00AC3B80">
        <w:rPr>
          <w:i/>
          <w:iCs/>
        </w:rPr>
        <w:fldChar w:fldCharType="separate"/>
      </w:r>
      <w:r w:rsidR="00034578" w:rsidRPr="00034578">
        <w:rPr>
          <w:iCs/>
          <w:noProof/>
        </w:rPr>
        <w:t>[38,39]</w:t>
      </w:r>
      <w:r w:rsidRPr="00AC3B80">
        <w:rPr>
          <w:i/>
          <w:iCs/>
        </w:rPr>
        <w:fldChar w:fldCharType="end"/>
      </w:r>
      <w:r w:rsidRPr="00AC3B80">
        <w:rPr>
          <w:i/>
          <w:iCs/>
        </w:rPr>
        <w:t>.</w:t>
      </w:r>
    </w:p>
    <w:p w14:paraId="7D657E44" w14:textId="4DA055D5" w:rsidR="006425FF" w:rsidRPr="00B104EF" w:rsidRDefault="006425FF" w:rsidP="006425FF">
      <w:pPr>
        <w:pStyle w:val="aff1"/>
        <w:divId w:val="1767193717"/>
      </w:pPr>
      <w:r w:rsidRPr="00B104EF">
        <w:t>Уровень убедительности рекомендаций</w:t>
      </w:r>
      <w:proofErr w:type="gramStart"/>
      <w:r w:rsidRPr="00B104EF">
        <w:t xml:space="preserve"> </w:t>
      </w:r>
      <w:r w:rsidR="004C0EDD">
        <w:t>В</w:t>
      </w:r>
      <w:proofErr w:type="gramEnd"/>
      <w:r w:rsidRPr="00B104EF">
        <w:t xml:space="preserve"> (уровень достоверности доказательств – </w:t>
      </w:r>
      <w:r w:rsidR="00045FAD">
        <w:t>3</w:t>
      </w:r>
      <w:r w:rsidRPr="00B104EF">
        <w:t>)</w:t>
      </w:r>
    </w:p>
    <w:p w14:paraId="39A9EBBE" w14:textId="4003D41A" w:rsidR="006425FF" w:rsidRPr="001D40F8" w:rsidRDefault="006425FF" w:rsidP="006425FF">
      <w:pPr>
        <w:pStyle w:val="aff1"/>
        <w:divId w:val="1767193717"/>
      </w:pPr>
      <w:r w:rsidRPr="00EE59C2">
        <w:lastRenderedPageBreak/>
        <w:t>Комментарии</w:t>
      </w:r>
      <w:r w:rsidRPr="001D40F8">
        <w:t xml:space="preserve">: </w:t>
      </w:r>
      <w:proofErr w:type="gramStart"/>
      <w:r w:rsidR="004C0EDD" w:rsidRPr="004C0EDD">
        <w:rPr>
          <w:b w:val="0"/>
          <w:i/>
        </w:rPr>
        <w:t>При ПНГ</w:t>
      </w:r>
      <w:r w:rsidR="00B4376C">
        <w:rPr>
          <w:b w:val="0"/>
          <w:i/>
        </w:rPr>
        <w:t>,</w:t>
      </w:r>
      <w:r w:rsidR="004C0EDD" w:rsidRPr="004C0EDD">
        <w:rPr>
          <w:b w:val="0"/>
          <w:i/>
        </w:rPr>
        <w:t xml:space="preserve"> ассоциированно</w:t>
      </w:r>
      <w:r w:rsidR="00B4376C">
        <w:rPr>
          <w:b w:val="0"/>
          <w:i/>
        </w:rPr>
        <w:t>й с другим</w:t>
      </w:r>
      <w:r w:rsidR="00764826">
        <w:rPr>
          <w:b w:val="0"/>
          <w:i/>
        </w:rPr>
        <w:t>и</w:t>
      </w:r>
      <w:r w:rsidR="004C0EDD" w:rsidRPr="004C0EDD">
        <w:rPr>
          <w:b w:val="0"/>
          <w:i/>
        </w:rPr>
        <w:t xml:space="preserve"> гематологическ</w:t>
      </w:r>
      <w:r w:rsidR="00B4376C">
        <w:rPr>
          <w:b w:val="0"/>
          <w:i/>
        </w:rPr>
        <w:t>им</w:t>
      </w:r>
      <w:r w:rsidR="00764826">
        <w:rPr>
          <w:b w:val="0"/>
          <w:i/>
        </w:rPr>
        <w:t>и</w:t>
      </w:r>
      <w:r w:rsidR="004C0EDD" w:rsidRPr="004C0EDD">
        <w:rPr>
          <w:b w:val="0"/>
          <w:i/>
        </w:rPr>
        <w:t xml:space="preserve"> заболевани</w:t>
      </w:r>
      <w:r w:rsidR="00764826">
        <w:rPr>
          <w:b w:val="0"/>
          <w:i/>
        </w:rPr>
        <w:t>я</w:t>
      </w:r>
      <w:r w:rsidR="00B4376C">
        <w:rPr>
          <w:b w:val="0"/>
          <w:i/>
        </w:rPr>
        <w:t>м</w:t>
      </w:r>
      <w:r w:rsidR="00764826">
        <w:rPr>
          <w:b w:val="0"/>
          <w:i/>
        </w:rPr>
        <w:t xml:space="preserve">и </w:t>
      </w:r>
      <w:r w:rsidR="004C0EDD" w:rsidRPr="004C0EDD">
        <w:rPr>
          <w:b w:val="0"/>
          <w:i/>
        </w:rPr>
        <w:t>(АА, МДС)</w:t>
      </w:r>
      <w:r w:rsidR="00B4376C">
        <w:rPr>
          <w:b w:val="0"/>
          <w:i/>
        </w:rPr>
        <w:t>,</w:t>
      </w:r>
      <w:r w:rsidR="004C0EDD" w:rsidRPr="004C0EDD">
        <w:rPr>
          <w:b w:val="0"/>
          <w:i/>
        </w:rPr>
        <w:t xml:space="preserve"> про</w:t>
      </w:r>
      <w:r w:rsidR="00764826">
        <w:rPr>
          <w:b w:val="0"/>
          <w:i/>
        </w:rPr>
        <w:t>ведение</w:t>
      </w:r>
      <w:r w:rsidR="004C0EDD" w:rsidRPr="004C0EDD">
        <w:rPr>
          <w:b w:val="0"/>
          <w:i/>
        </w:rPr>
        <w:t xml:space="preserve"> ТКМ может рассматриваться в качестве</w:t>
      </w:r>
      <w:r w:rsidR="00B4376C">
        <w:rPr>
          <w:b w:val="0"/>
          <w:i/>
        </w:rPr>
        <w:t xml:space="preserve"> лечебной опции,</w:t>
      </w:r>
      <w:r w:rsidR="004C0EDD" w:rsidRPr="004C0EDD">
        <w:rPr>
          <w:b w:val="0"/>
          <w:i/>
        </w:rPr>
        <w:t xml:space="preserve"> согласно </w:t>
      </w:r>
      <w:r w:rsidR="00764826">
        <w:rPr>
          <w:b w:val="0"/>
          <w:i/>
        </w:rPr>
        <w:t>показаниям, принятых</w:t>
      </w:r>
      <w:r w:rsidR="004C0EDD" w:rsidRPr="004C0EDD">
        <w:rPr>
          <w:b w:val="0"/>
          <w:i/>
        </w:rPr>
        <w:t xml:space="preserve"> при данных заболеваниях</w:t>
      </w:r>
      <w:proofErr w:type="gramEnd"/>
      <w:r w:rsidR="004C0EDD" w:rsidRPr="004C0EDD">
        <w:rPr>
          <w:b w:val="0"/>
          <w:i/>
        </w:rPr>
        <w:t xml:space="preserve"> </w:t>
      </w:r>
      <w:r w:rsidR="004C0EDD" w:rsidRPr="004C0EDD">
        <w:rPr>
          <w:b w:val="0"/>
          <w:bCs/>
          <w:i/>
          <w:iCs/>
        </w:rPr>
        <w:fldChar w:fldCharType="begin" w:fldLock="1"/>
      </w:r>
      <w:r w:rsidR="00034578">
        <w:rPr>
          <w:b w:val="0"/>
          <w:bCs/>
          <w:i/>
          <w:iCs/>
        </w:rPr>
        <w:instrText>ADDIN CSL_CITATION { "citationItems" : [ { "id" : "ITEM-1", "itemData" : { "DOI" : "10.3324/haematol.2010.023176", "author" : [ { "dropping-particle" : "", "family" : "Brodsky", "given" : "Robert A", "non-dropping-particle" : "", "parse-names" : false, "suffix" : "" } ], "id" : "ITEM-1", "issue" : "6", "issued" : { "date-parts" : [ [ "2010" ] ] }, "page" : "855-856", "title" : "Stem cell transplantation for paroxysmal nocturnal hemoglobinuria", "type" : "article-journal", "volume" : "95" }, "uris" : [ "http://www.mendeley.com/documents/?uuid=a6c2924c-1ace-4416-b707-0b5a029c3d45" ] }, { "id" : "ITEM-2", "itemData" : { "DOI" : "10.3324/haematol.2012.062828", "ISSN" : "03906078", "abstract" : "Background In the era of eculizumab, identifying patients with paroxysmal nocturnal hemoglobinuria who may benefit from allogeneic stem cell transplantation is challenging. Design and Methods We describe the characteristics and overall survival of 211 patients transplanted for paroxysmal nocturnal hemoglobinuria in 83 EBMT centers from 1978 to 2007. Next, we conducted a comparison with a cohort of 402 non-transplanted patients with paroxysmal nocturnal hemoglobinuria diagnosed between 1950 and 2005 in 92 French centers. We compared the occurrence of complications (i.e. thromboembolism and aplastic anemia) using either an individual or a stratum- matching procedure. Results After a median follow-up of 5 years, the 5-year overall survival rate \u00b1 standard error (%) was 68\u00b13 in the transplanted group (54\u00b17 in the case of thromboembolism, 69\u00b15 in the case of aplastic anemia without thromboembolism and 86\u00b16 in the case of recurrent hemolytic anemia without thromboembolism or aplastic anemia). Only thromboembolism as the indication for transplantation was associated with worse outcome (P=0.03). We identified 24 pairs of transplanted and non-transplanted patients with thromboembolism for the matched comparison, with worse overall survival for the transplanted patients (hazard ratio=10.0; 95% confidence interval, 1.3-78.1; P=0.007). This was confirmed by the global matching procedure (P=0.03). As regards aplastic anemia without thromboembolism, 30 pairs were identified for the matched comparison. It was not observed that transplanted patients had a significantly worse overall survival (hazard ratio=4.0; 95% confidence interval, 0.9-18.9; P=0.06). A global matching procedure was not feasible. Conclusions Allogeneic stem cell transplantation is probably not a suitable treatment option for life-threatening thromboembolism in paroxysmal nocturnal hemoglobinuria. \u00a92012 Ferrata Storti Foundation.", "author" : [ { "dropping-particle" : "", "family" : "Latour", "given" : "R\u00e9gis Peffault", "non-dropping-particle" : "de", "parse-names" : false, "suffix" : "" }, { "dropping-particle" : "", "family" : "Schrezenmeier", "given" : "Hubert", "non-dropping-particle" : "", "parse-names" : false, "suffix" : "" }, { "dropping-particle" : "", "family" : "Bacigalupo", "given" : "Andrea", "non-dropping-particle" : "", "parse-names" : false, "suffix" : "" }, { "dropping-particle" : "", "family" : "Blaise", "given" : "Didier", "non-dropping-particle" : "", "parse-names" : false, "suffix" : "" }, { "dropping-particle" : "", "family" : "Souza", "given" : "Carmino A.", "non-dropping-particle" : "de", "parse-names" : false, "suffix" : "" }, { "dropping-particle" : "", "family" : "Vigouroux", "given" : "Stephane", "non-dropping-particle" : "", "parse-names" : false, "suffix" : "" }, { "dropping-particle" : "", "family" : "Willemze", "given" : "Roelf", "non-dropping-particle" : "", "parse-names" : false, "suffix" : "" }, { "dropping-particle" : "", "family" : "Terriou", "given" : "Louis", "non-dropping-particle" : "", "parse-names" : false, "suffix" : "" }, { "dropping-particle" : "", "family" : "Tichelli", "given" : "Andre", "non-dropping-particle" : "", "parse-names" : false, "suffix" : "" }, { "dropping-particle" : "", "family" : "Mohty", "given" : "Mohamad", "non-dropping-particle" : "", "parse-names" : false, "suffix" : "" }, { "dropping-particle" : "", "family" : "Guibert", "given" : "Sophie", "non-dropping-particle" : "de", "parse-names" : false, "suffix" : "" }, { "dropping-particle" : "", "family" : "Marsh", "given" : "Judith C.", "non-dropping-particle" : "", "parse-names" : false, "suffix" : "" }, { "dropping-particle" : "", "family" : "Passweg", "given" : "Jakob", "non-dropping-particle" : "", "parse-names" : false, "suffix" : "" }, { "dropping-particle" : "", "family" : "Mary", "given" : "Jean Yves", "non-dropping-particle" : "", "parse-names" : false, "suffix" : "" }, { "dropping-particle" : "", "family" : "Soci\u00e9", "given" : "Gerard", "non-dropping-particle" : "", "parse-names" : false, "suffix" : "" } ], "container-title" : "Haematologica", "id" : "ITEM-2", "issue" : "11", "issued" : { "date-parts" : [ [ "2012" ] ] }, "page" : "1666-1673", "title" : "Allogeneic stem cell transplantation in paroxysmal nocturnal hemoglobinuria", "type" : "article-journal", "volume" : "97" }, "uris" : [ "http://www.mendeley.com/documents/?uuid=72b172e2-f811-4839-814b-a52b8093127c" ] } ], "mendeley" : { "formattedCitation" : "[38,39]", "plainTextFormattedCitation" : "[38,39]", "previouslyFormattedCitation" : "[38,39]" }, "properties" : { "noteIndex" : 0 }, "schema" : "https://github.com/citation-style-language/schema/raw/master/csl-citation.json" }</w:instrText>
      </w:r>
      <w:r w:rsidR="004C0EDD" w:rsidRPr="004C0EDD">
        <w:rPr>
          <w:b w:val="0"/>
          <w:bCs/>
          <w:i/>
          <w:iCs/>
        </w:rPr>
        <w:fldChar w:fldCharType="separate"/>
      </w:r>
      <w:r w:rsidR="00034578" w:rsidRPr="00034578">
        <w:rPr>
          <w:b w:val="0"/>
          <w:bCs/>
          <w:iCs/>
          <w:noProof/>
        </w:rPr>
        <w:t>[38,39]</w:t>
      </w:r>
      <w:r w:rsidR="004C0EDD" w:rsidRPr="004C0EDD">
        <w:rPr>
          <w:b w:val="0"/>
          <w:bCs/>
          <w:i/>
          <w:iCs/>
        </w:rPr>
        <w:fldChar w:fldCharType="end"/>
      </w:r>
      <w:r w:rsidR="004C0EDD" w:rsidRPr="004C0EDD">
        <w:rPr>
          <w:b w:val="0"/>
          <w:bCs/>
          <w:i/>
          <w:iCs/>
        </w:rPr>
        <w:t>.</w:t>
      </w:r>
    </w:p>
    <w:p w14:paraId="46C5A75F" w14:textId="397C8235" w:rsidR="004E1288" w:rsidRPr="00A94DF7" w:rsidRDefault="004E1288" w:rsidP="006425FF">
      <w:pPr>
        <w:pStyle w:val="2"/>
        <w:divId w:val="1767193717"/>
      </w:pPr>
      <w:bookmarkStart w:id="34" w:name="_Toc24641963"/>
      <w:r w:rsidRPr="004E1288">
        <w:t>3.</w:t>
      </w:r>
      <w:r w:rsidR="00A94DF7">
        <w:t>3 Сопроводительная терапия</w:t>
      </w:r>
      <w:bookmarkEnd w:id="34"/>
    </w:p>
    <w:p w14:paraId="5D4927C3" w14:textId="77777777" w:rsidR="00784572" w:rsidRDefault="00784572" w:rsidP="00784572">
      <w:pPr>
        <w:pStyle w:val="1"/>
        <w:numPr>
          <w:ilvl w:val="0"/>
          <w:numId w:val="0"/>
        </w:numPr>
        <w:ind w:left="720"/>
        <w:rPr>
          <w:rStyle w:val="affb"/>
          <w:iCs w:val="0"/>
        </w:rPr>
      </w:pPr>
      <w:bookmarkStart w:id="35" w:name="__RefHeading___doc_4"/>
      <w:r>
        <w:rPr>
          <w:rStyle w:val="affb"/>
          <w:iCs w:val="0"/>
        </w:rPr>
        <w:t>Пациенты с нетяжелым течением ПНГ, при отсутствии показаний к началу патогенетической терапии, наблюдаются гематологом по месту жительства с регулярным мониторингом основных лабораторных показателей, отражающих степень анемии, активность гемолиза, функциональную способность печени и почек, состояние свертывающей системы и метаболизма железа.</w:t>
      </w:r>
    </w:p>
    <w:p w14:paraId="18B9F527" w14:textId="02DAF3BD" w:rsidR="004804EF" w:rsidRPr="00764826" w:rsidRDefault="004804EF" w:rsidP="004804EF">
      <w:pPr>
        <w:pStyle w:val="1"/>
        <w:rPr>
          <w:b/>
        </w:rPr>
      </w:pPr>
      <w:r>
        <w:rPr>
          <w:b/>
        </w:rPr>
        <w:t>Р</w:t>
      </w:r>
      <w:r w:rsidRPr="00D74813">
        <w:rPr>
          <w:b/>
        </w:rPr>
        <w:t>екомендуется</w:t>
      </w:r>
      <w:r>
        <w:t xml:space="preserve"> проведение заместительных гемотрансфузий пациентам с ПНГ</w:t>
      </w:r>
      <w:r w:rsidR="00A141CF">
        <w:t xml:space="preserve"> при </w:t>
      </w:r>
      <w:r w:rsidR="00784572">
        <w:t>наличии выраженных симптомов гипоксии по индивидуальным показаниям.</w:t>
      </w:r>
    </w:p>
    <w:p w14:paraId="30FE866D" w14:textId="77777777" w:rsidR="004804EF" w:rsidRPr="00B104EF" w:rsidRDefault="004804EF" w:rsidP="004804EF">
      <w:pPr>
        <w:pStyle w:val="aff1"/>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r w:rsidRPr="00B104EF">
        <w:t>)</w:t>
      </w:r>
    </w:p>
    <w:p w14:paraId="2F77D259" w14:textId="40DFEC07" w:rsidR="004804EF" w:rsidRDefault="004804EF" w:rsidP="004804EF">
      <w:pPr>
        <w:pStyle w:val="aff1"/>
        <w:rPr>
          <w:b w:val="0"/>
          <w:i/>
        </w:rPr>
      </w:pPr>
      <w:r w:rsidRPr="00EE59C2">
        <w:t>Комментарии</w:t>
      </w:r>
      <w:r w:rsidRPr="001D40F8">
        <w:t xml:space="preserve">: </w:t>
      </w:r>
      <w:r>
        <w:rPr>
          <w:b w:val="0"/>
          <w:i/>
        </w:rPr>
        <w:t xml:space="preserve">при гемотрансфузиях пациентам с ПНГ необходимо руководствоваться существующими в РФ стандартами и рекомендациями по трансфузиологии. </w:t>
      </w:r>
      <w:proofErr w:type="gramStart"/>
      <w:r w:rsidR="0003014C">
        <w:rPr>
          <w:b w:val="0"/>
          <w:i/>
        </w:rPr>
        <w:t>Ранее существовавшая теория о необходимости примен</w:t>
      </w:r>
      <w:r w:rsidR="001654F7">
        <w:rPr>
          <w:b w:val="0"/>
          <w:i/>
        </w:rPr>
        <w:t xml:space="preserve">ения в качестве </w:t>
      </w:r>
      <w:proofErr w:type="spellStart"/>
      <w:r w:rsidR="001654F7">
        <w:rPr>
          <w:b w:val="0"/>
          <w:i/>
        </w:rPr>
        <w:t>трансфузионной</w:t>
      </w:r>
      <w:proofErr w:type="spellEnd"/>
      <w:r w:rsidR="001654F7">
        <w:rPr>
          <w:b w:val="0"/>
          <w:i/>
        </w:rPr>
        <w:t xml:space="preserve"> среды только отмытых эритроцитов не нашла своего подтверждения в клинических исследованиях</w:t>
      </w:r>
      <w:r w:rsidR="000727C4">
        <w:rPr>
          <w:b w:val="0"/>
          <w:i/>
        </w:rPr>
        <w:t xml:space="preserve"> </w:t>
      </w:r>
      <w:r w:rsidR="000727C4">
        <w:rPr>
          <w:b w:val="0"/>
          <w:i/>
        </w:rPr>
        <w:fldChar w:fldCharType="begin" w:fldLock="1"/>
      </w:r>
      <w:r w:rsidR="00034578">
        <w:rPr>
          <w:b w:val="0"/>
          <w:i/>
        </w:rPr>
        <w:instrText>ADDIN CSL_CITATION { "citationItems" : [ { "id" : "ITEM-1", "itemData" : { "DOI" : "10.1046/j.1537-2995.1989.29890020439.x", "ISSN" : "0041-1132", "author" : [ { "dropping-particle" : "", "family" : "Brecher", "given" : "ME", "non-dropping-particle" : "", "parse-names" : false, "suffix" : "" }, { "dropping-particle" : "", "family" : "Taswell", "given" : "HF", "non-dropping-particle" : "", "parse-names" : false, "suffix" : "" } ], "container-title" : "Transfusion", "id" : "ITEM-1", "issue" : "8", "issued" : { "date-parts" : [ [ "1989", "10" ] ] }, "page" : "681-685", "title" : "Paroxysmal nocturnal hemoglobinuria and the transfusion of washed red cells. A myth revisited", "type" : "article-journal", "volume" : "29" }, "uris" : [ "http://www.mendeley.com/documents/?uuid=0ec3572e-b57e-4c63-9d1d-ff3d201db91d" ] } ], "mendeley" : { "formattedCitation" : "[40]", "plainTextFormattedCitation" : "[40]", "previouslyFormattedCitation" : "[40]" }, "properties" : { "noteIndex" : 0 }, "schema" : "https://github.com/citation-style-language/schema/raw/master/csl-citation.json" }</w:instrText>
      </w:r>
      <w:r w:rsidR="000727C4">
        <w:rPr>
          <w:b w:val="0"/>
          <w:i/>
        </w:rPr>
        <w:fldChar w:fldCharType="separate"/>
      </w:r>
      <w:r w:rsidR="00034578" w:rsidRPr="00034578">
        <w:rPr>
          <w:b w:val="0"/>
          <w:noProof/>
        </w:rPr>
        <w:t>[40]</w:t>
      </w:r>
      <w:r w:rsidR="000727C4">
        <w:rPr>
          <w:b w:val="0"/>
          <w:i/>
        </w:rPr>
        <w:fldChar w:fldCharType="end"/>
      </w:r>
      <w:r w:rsidR="001654F7">
        <w:rPr>
          <w:b w:val="0"/>
          <w:i/>
        </w:rPr>
        <w:t xml:space="preserve">. Для переливания могут </w:t>
      </w:r>
      <w:r w:rsidR="000727C4">
        <w:rPr>
          <w:b w:val="0"/>
          <w:i/>
        </w:rPr>
        <w:t>использоваться</w:t>
      </w:r>
      <w:r w:rsidR="001654F7">
        <w:rPr>
          <w:b w:val="0"/>
          <w:i/>
        </w:rPr>
        <w:t xml:space="preserve"> любые эритроцит-содержащие </w:t>
      </w:r>
      <w:r w:rsidR="00A141CF">
        <w:rPr>
          <w:b w:val="0"/>
          <w:i/>
        </w:rPr>
        <w:t>компоненты крови</w:t>
      </w:r>
      <w:r w:rsidR="001654F7">
        <w:rPr>
          <w:b w:val="0"/>
          <w:i/>
        </w:rPr>
        <w:t xml:space="preserve">, однако необходимо помнить, что у пациентов с выраженной </w:t>
      </w:r>
      <w:proofErr w:type="spellStart"/>
      <w:r w:rsidR="001654F7">
        <w:rPr>
          <w:b w:val="0"/>
          <w:i/>
        </w:rPr>
        <w:t>трансфузионной</w:t>
      </w:r>
      <w:proofErr w:type="spellEnd"/>
      <w:r w:rsidR="001654F7">
        <w:rPr>
          <w:b w:val="0"/>
          <w:i/>
        </w:rPr>
        <w:t xml:space="preserve"> зависимостью со временем может </w:t>
      </w:r>
      <w:r w:rsidR="000727C4">
        <w:rPr>
          <w:b w:val="0"/>
          <w:i/>
        </w:rPr>
        <w:t>развиваться</w:t>
      </w:r>
      <w:r w:rsidR="001654F7">
        <w:rPr>
          <w:b w:val="0"/>
          <w:i/>
        </w:rPr>
        <w:t xml:space="preserve"> </w:t>
      </w:r>
      <w:proofErr w:type="spellStart"/>
      <w:r w:rsidR="001654F7">
        <w:rPr>
          <w:b w:val="0"/>
          <w:i/>
        </w:rPr>
        <w:t>аллосеснсебилизация</w:t>
      </w:r>
      <w:proofErr w:type="spellEnd"/>
      <w:r w:rsidR="001654F7">
        <w:rPr>
          <w:b w:val="0"/>
          <w:i/>
        </w:rPr>
        <w:t xml:space="preserve">, в связи с чем предпочтение необходимо отдавать </w:t>
      </w:r>
      <w:proofErr w:type="spellStart"/>
      <w:r w:rsidR="001654F7">
        <w:rPr>
          <w:b w:val="0"/>
          <w:i/>
        </w:rPr>
        <w:t>лейкоредуцированным</w:t>
      </w:r>
      <w:proofErr w:type="spellEnd"/>
      <w:r w:rsidR="001654F7">
        <w:rPr>
          <w:b w:val="0"/>
          <w:i/>
        </w:rPr>
        <w:t xml:space="preserve"> компонентам крови.</w:t>
      </w:r>
      <w:proofErr w:type="gramEnd"/>
      <w:r w:rsidR="001654F7">
        <w:rPr>
          <w:b w:val="0"/>
          <w:i/>
        </w:rPr>
        <w:t xml:space="preserve"> Необ</w:t>
      </w:r>
      <w:r w:rsidR="00A141CF">
        <w:rPr>
          <w:b w:val="0"/>
          <w:i/>
        </w:rPr>
        <w:t>х</w:t>
      </w:r>
      <w:r w:rsidR="00784572">
        <w:rPr>
          <w:b w:val="0"/>
          <w:i/>
        </w:rPr>
        <w:t>одимо также помнить о</w:t>
      </w:r>
      <w:r w:rsidR="002B3050">
        <w:rPr>
          <w:b w:val="0"/>
          <w:i/>
        </w:rPr>
        <w:t xml:space="preserve"> </w:t>
      </w:r>
      <w:r w:rsidR="00784572">
        <w:rPr>
          <w:b w:val="0"/>
          <w:i/>
        </w:rPr>
        <w:t>возможном</w:t>
      </w:r>
      <w:r w:rsidR="00A141CF">
        <w:rPr>
          <w:b w:val="0"/>
          <w:i/>
        </w:rPr>
        <w:t xml:space="preserve"> развити</w:t>
      </w:r>
      <w:r w:rsidR="002B3050">
        <w:rPr>
          <w:b w:val="0"/>
          <w:i/>
        </w:rPr>
        <w:t>и</w:t>
      </w:r>
      <w:r w:rsidR="000727C4">
        <w:rPr>
          <w:b w:val="0"/>
          <w:i/>
        </w:rPr>
        <w:t xml:space="preserve"> посттрансфузионной перегрузки</w:t>
      </w:r>
      <w:r w:rsidR="001654F7">
        <w:rPr>
          <w:b w:val="0"/>
          <w:i/>
        </w:rPr>
        <w:t xml:space="preserve"> железом у пациентов, регулярно получающих переливания крови.</w:t>
      </w:r>
    </w:p>
    <w:p w14:paraId="2E713EAD" w14:textId="4843BE26" w:rsidR="00784572" w:rsidRPr="00784572" w:rsidRDefault="00784572" w:rsidP="00784572">
      <w:pPr>
        <w:pStyle w:val="aff1"/>
        <w:rPr>
          <w:b w:val="0"/>
          <w:i/>
        </w:rPr>
      </w:pPr>
      <w:r w:rsidRPr="00784572">
        <w:rPr>
          <w:b w:val="0"/>
          <w:i/>
        </w:rPr>
        <w:t>При оценке показаний к заместительным гемотрансфузиям необходимо учитывать совокупность факторов: возраст пациента, наличие сопутствующих и интеркуррентных заболеваний, переносимость гипоксии, социальные факторы (работоспособность, профессия и др.)</w:t>
      </w:r>
    </w:p>
    <w:p w14:paraId="555AD569" w14:textId="77777777" w:rsidR="004804EF" w:rsidRDefault="004804EF" w:rsidP="00334F6C">
      <w:pPr>
        <w:pStyle w:val="2-6"/>
        <w:rPr>
          <w:color w:val="000000" w:themeColor="text1"/>
        </w:rPr>
      </w:pPr>
    </w:p>
    <w:p w14:paraId="1F675092" w14:textId="68CC6B47" w:rsidR="00D85A1E" w:rsidRPr="00764826" w:rsidRDefault="00D85A1E" w:rsidP="00D85A1E">
      <w:pPr>
        <w:pStyle w:val="1"/>
        <w:rPr>
          <w:b/>
        </w:rPr>
      </w:pPr>
      <w:proofErr w:type="gramStart"/>
      <w:r>
        <w:rPr>
          <w:b/>
        </w:rPr>
        <w:t>Р</w:t>
      </w:r>
      <w:r w:rsidRPr="00D74813">
        <w:rPr>
          <w:b/>
        </w:rPr>
        <w:t>екомендуется</w:t>
      </w:r>
      <w:r>
        <w:t xml:space="preserve"> </w:t>
      </w:r>
      <w:r w:rsidR="00A141CF">
        <w:t xml:space="preserve">как можно быстрее </w:t>
      </w:r>
      <w:r>
        <w:t xml:space="preserve">начинать </w:t>
      </w:r>
      <w:proofErr w:type="spellStart"/>
      <w:r>
        <w:t>антикоагулянтную</w:t>
      </w:r>
      <w:proofErr w:type="spellEnd"/>
      <w:r>
        <w:t xml:space="preserve"> пациентам с ПНГ, осложнившейся</w:t>
      </w:r>
      <w:r w:rsidR="00784572">
        <w:t xml:space="preserve"> развитием острых тромбозов</w:t>
      </w:r>
      <w:r>
        <w:t xml:space="preserve"> любой локализации</w:t>
      </w:r>
      <w:proofErr w:type="gramEnd"/>
      <w:r w:rsidR="00A141CF">
        <w:t xml:space="preserve"> </w:t>
      </w:r>
      <w:r w:rsidR="00A141CF">
        <w:fldChar w:fldCharType="begin" w:fldLock="1"/>
      </w:r>
      <w:r w:rsidR="00150BAE">
        <w:instrText>ADDIN CSL_CITATION { "citationItems" : [ { "id" : "ITEM-1", "itemData" : { "DOI" : "10.1182/blood-2012-09-311381", "ISSN" : "15280020", "PMID" : "23610373", "abstract" : "The most frequent and feared complication of paroxysmal nocturnal hemoglobinuria (PNH) is thrombosis. Recent research has demonstrated that the complement and coagulation systems are closely integrated with each influencing the activity of the other to the extent that thrombin itself has recently been shown to activate the alternative pathway of complement. This may explain some of the complexity of the thrombosis in PNH. In this review, the recent changes in our understanding of the pathophysiology of thrombosis in PNH, as well as the treatment of thrombosis, will be discussed. Mechanisms explored include platelet activation, toxicity of free hemoglobin, nitric oxide depletion, absence of other glycosylphosphatidylinositol-linked proteins such as urokinase-type plasminogen activator receptor and endothelial dysfunction. Complement inhibition with eculizumab has a dramatic effect in PNH and has amajor impact in the prevention of thrombosis as well as its management in this disease.", "author" : [ { "dropping-particle" : "", "family" : "Hill", "given" : "Anita", "non-dropping-particle" : "", "parse-names" : false, "suffix" : "" }, { "dropping-particle" : "", "family" : "Kelly", "given" : "Richard J.", "non-dropping-particle" : "", "parse-names" : false, "suffix" : "" }, { "dropping-particle" : "", "family" : "Hillmen", "given" : "Peter", "non-dropping-particle" : "", "parse-names" : false, "suffix" : "" } ], "container-title" : "Blood", "id" : "ITEM-1", "issue" : "25", "issued" : { "date-parts" : [ [ "2013" ] ] }, "page" : "4985-4996", "title" : "Thrombosis in paroxysmal nocturnal hemoglobinuria", "type" : "article-journal", "volume" : "121" }, "uris" : [ "http://www.mendeley.com/documents/?uuid=ab63285b-ace1-45e4-9625-1d9196ea210b" ] } ], "mendeley" : { "formattedCitation" : "[13]", "plainTextFormattedCitation" : "[13]", "previouslyFormattedCitation" : "[13]" }, "properties" : { "noteIndex" : 0 }, "schema" : "https://github.com/citation-style-language/schema/raw/master/csl-citation.json" }</w:instrText>
      </w:r>
      <w:r w:rsidR="00A141CF">
        <w:fldChar w:fldCharType="separate"/>
      </w:r>
      <w:r w:rsidR="00A141CF" w:rsidRPr="00A141CF">
        <w:rPr>
          <w:noProof/>
        </w:rPr>
        <w:t>[13]</w:t>
      </w:r>
      <w:r w:rsidR="00A141CF">
        <w:fldChar w:fldCharType="end"/>
      </w:r>
      <w:r w:rsidR="00A141CF">
        <w:t>.</w:t>
      </w:r>
    </w:p>
    <w:p w14:paraId="598AA351" w14:textId="77777777" w:rsidR="00D85A1E" w:rsidRPr="00B104EF" w:rsidRDefault="00D85A1E" w:rsidP="00D85A1E">
      <w:pPr>
        <w:pStyle w:val="aff1"/>
      </w:pPr>
      <w:r w:rsidRPr="00B104EF">
        <w:lastRenderedPageBreak/>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r w:rsidRPr="00B104EF">
        <w:t>)</w:t>
      </w:r>
    </w:p>
    <w:p w14:paraId="472CCF2E" w14:textId="6E9314F2" w:rsidR="00784572" w:rsidRPr="002248A8" w:rsidRDefault="00D85A1E" w:rsidP="00784572">
      <w:pPr>
        <w:pStyle w:val="aff1"/>
        <w:rPr>
          <w:b w:val="0"/>
          <w:i/>
        </w:rPr>
      </w:pPr>
      <w:r w:rsidRPr="00EE59C2">
        <w:t>Комментарии</w:t>
      </w:r>
      <w:r>
        <w:t xml:space="preserve">: </w:t>
      </w:r>
      <w:r w:rsidRPr="002248A8">
        <w:rPr>
          <w:b w:val="0"/>
          <w:i/>
        </w:rPr>
        <w:t xml:space="preserve">рецидивирующие тромбозы являются частым осложнением ПНГ. В случае развития острого тромбоза любой локализации необходима госпитализация в стационар и немедленное начало </w:t>
      </w:r>
      <w:proofErr w:type="spellStart"/>
      <w:r w:rsidRPr="002248A8">
        <w:rPr>
          <w:b w:val="0"/>
          <w:i/>
        </w:rPr>
        <w:t>антикоагулянтной</w:t>
      </w:r>
      <w:proofErr w:type="spellEnd"/>
      <w:r w:rsidRPr="002248A8">
        <w:rPr>
          <w:b w:val="0"/>
          <w:i/>
        </w:rPr>
        <w:t xml:space="preserve"> терапии. </w:t>
      </w:r>
      <w:r w:rsidR="00A141CF">
        <w:rPr>
          <w:b w:val="0"/>
          <w:i/>
        </w:rPr>
        <w:t>Предпочтительно использование низкомолекулярных гепаринов</w:t>
      </w:r>
      <w:r w:rsidR="00784572">
        <w:rPr>
          <w:b w:val="0"/>
          <w:i/>
        </w:rPr>
        <w:t xml:space="preserve"> в лечебной дозе</w:t>
      </w:r>
      <w:r w:rsidR="00A141CF">
        <w:rPr>
          <w:b w:val="0"/>
          <w:i/>
        </w:rPr>
        <w:t xml:space="preserve">. </w:t>
      </w:r>
      <w:r w:rsidR="00784572">
        <w:rPr>
          <w:b w:val="0"/>
          <w:i/>
        </w:rPr>
        <w:t xml:space="preserve">Решение о длительности </w:t>
      </w:r>
      <w:proofErr w:type="spellStart"/>
      <w:r w:rsidR="00784572">
        <w:rPr>
          <w:b w:val="0"/>
          <w:i/>
        </w:rPr>
        <w:t>антикоагулянтной</w:t>
      </w:r>
      <w:proofErr w:type="spellEnd"/>
      <w:r w:rsidR="00784572">
        <w:rPr>
          <w:b w:val="0"/>
          <w:i/>
        </w:rPr>
        <w:t xml:space="preserve"> терапии, в том числе профилактической после разрешения тромбоза, должно приниматься индивидуально, с учетом сопутствующих заболеваний, степени тромбоцитопении</w:t>
      </w:r>
      <w:r w:rsidR="00784572" w:rsidRPr="002248A8">
        <w:rPr>
          <w:b w:val="0"/>
          <w:i/>
        </w:rPr>
        <w:t xml:space="preserve"> </w:t>
      </w:r>
      <w:r w:rsidR="00784572">
        <w:rPr>
          <w:b w:val="0"/>
          <w:i/>
        </w:rPr>
        <w:t xml:space="preserve">и доступности патогенетической терапии, так как стандартные режимы профилактической </w:t>
      </w:r>
      <w:proofErr w:type="spellStart"/>
      <w:r w:rsidR="00784572">
        <w:rPr>
          <w:b w:val="0"/>
          <w:i/>
        </w:rPr>
        <w:t>антикоагуляции</w:t>
      </w:r>
      <w:proofErr w:type="spellEnd"/>
      <w:r w:rsidR="00784572">
        <w:rPr>
          <w:b w:val="0"/>
          <w:i/>
        </w:rPr>
        <w:t xml:space="preserve"> на данный момент не разработаны. Как правило, на фоне лечения </w:t>
      </w:r>
      <w:proofErr w:type="spellStart"/>
      <w:r w:rsidR="00784572">
        <w:rPr>
          <w:b w:val="0"/>
          <w:i/>
        </w:rPr>
        <w:t>экулизумабом</w:t>
      </w:r>
      <w:proofErr w:type="spellEnd"/>
      <w:r w:rsidR="00784572">
        <w:rPr>
          <w:b w:val="0"/>
          <w:i/>
        </w:rPr>
        <w:t xml:space="preserve"> тромботические осложнения являются редким событием. </w:t>
      </w:r>
      <w:proofErr w:type="gramStart"/>
      <w:r w:rsidR="00784572">
        <w:rPr>
          <w:b w:val="0"/>
          <w:i/>
        </w:rPr>
        <w:t xml:space="preserve">Данные по использованию новых оральных </w:t>
      </w:r>
      <w:proofErr w:type="spellStart"/>
      <w:r w:rsidR="00784572">
        <w:rPr>
          <w:b w:val="0"/>
          <w:i/>
        </w:rPr>
        <w:t>антикоагулянтнов</w:t>
      </w:r>
      <w:proofErr w:type="spellEnd"/>
      <w:r w:rsidR="00784572">
        <w:rPr>
          <w:b w:val="0"/>
          <w:i/>
        </w:rPr>
        <w:t xml:space="preserve"> у пациентов с ПНГ на данный момент ограничены отдельными сообщениями.</w:t>
      </w:r>
      <w:proofErr w:type="gramEnd"/>
    </w:p>
    <w:p w14:paraId="36A82FB2" w14:textId="7EE58BB0" w:rsidR="00D85A1E" w:rsidRPr="002248A8" w:rsidRDefault="00D85A1E" w:rsidP="00D85A1E">
      <w:pPr>
        <w:pStyle w:val="aff1"/>
        <w:rPr>
          <w:b w:val="0"/>
          <w:i/>
        </w:rPr>
      </w:pPr>
    </w:p>
    <w:p w14:paraId="501DEA54" w14:textId="77777777" w:rsidR="00764826" w:rsidRPr="00764826" w:rsidRDefault="00764826" w:rsidP="006425FF">
      <w:pPr>
        <w:pStyle w:val="1"/>
        <w:rPr>
          <w:b/>
        </w:rPr>
      </w:pPr>
      <w:proofErr w:type="gramStart"/>
      <w:r>
        <w:rPr>
          <w:b/>
        </w:rPr>
        <w:t>Н</w:t>
      </w:r>
      <w:r w:rsidR="006425FF" w:rsidRPr="00D74813">
        <w:rPr>
          <w:b/>
        </w:rPr>
        <w:t>е рекомендуется</w:t>
      </w:r>
      <w:r w:rsidR="00D74813">
        <w:t xml:space="preserve"> </w:t>
      </w:r>
      <w:r>
        <w:t>назначение кортикостероидов пациентам с доказанной ПНГ с целью купирования гемолиза.</w:t>
      </w:r>
      <w:proofErr w:type="gramEnd"/>
    </w:p>
    <w:p w14:paraId="258C56C4" w14:textId="77777777" w:rsidR="00764826" w:rsidRPr="00764826" w:rsidRDefault="00764826" w:rsidP="00764826">
      <w:pPr>
        <w:pStyle w:val="1"/>
        <w:rPr>
          <w:b/>
        </w:rPr>
      </w:pPr>
      <w:r w:rsidRPr="00764826">
        <w:rPr>
          <w:b/>
        </w:rPr>
        <w:t>Уровень убедительности рекомендаций</w:t>
      </w:r>
      <w:proofErr w:type="gramStart"/>
      <w:r w:rsidRPr="00764826">
        <w:rPr>
          <w:b/>
        </w:rPr>
        <w:t xml:space="preserve"> С</w:t>
      </w:r>
      <w:proofErr w:type="gramEnd"/>
      <w:r w:rsidRPr="00764826">
        <w:rPr>
          <w:b/>
        </w:rPr>
        <w:t xml:space="preserve"> (уровень достоверности доказательств – 5)</w:t>
      </w:r>
    </w:p>
    <w:p w14:paraId="4DE356F8" w14:textId="00B6BA41" w:rsidR="00764826" w:rsidRPr="00764826" w:rsidRDefault="00764826" w:rsidP="006425FF">
      <w:pPr>
        <w:pStyle w:val="1"/>
        <w:rPr>
          <w:b/>
        </w:rPr>
      </w:pPr>
      <w:r>
        <w:rPr>
          <w:b/>
        </w:rPr>
        <w:t>Н</w:t>
      </w:r>
      <w:r w:rsidRPr="00D74813">
        <w:rPr>
          <w:b/>
        </w:rPr>
        <w:t>е рекомендуется</w:t>
      </w:r>
      <w:r>
        <w:t xml:space="preserve"> назначение препаратов железа пациентам с ПНГ с целью лечения гипохромной анемии без надежных доказательств наличия абсолютного дефицита железа.</w:t>
      </w:r>
    </w:p>
    <w:p w14:paraId="7A4953B3" w14:textId="0A452226" w:rsidR="006425FF" w:rsidRPr="00A141CF" w:rsidRDefault="006425FF" w:rsidP="00A141CF">
      <w:pPr>
        <w:pStyle w:val="1"/>
        <w:rPr>
          <w:b/>
        </w:rPr>
      </w:pPr>
      <w:r w:rsidRPr="00A141CF">
        <w:rPr>
          <w:b/>
        </w:rPr>
        <w:t>Уровень убедительности рекомендаций</w:t>
      </w:r>
      <w:proofErr w:type="gramStart"/>
      <w:r w:rsidRPr="00A141CF">
        <w:rPr>
          <w:b/>
        </w:rPr>
        <w:t xml:space="preserve"> </w:t>
      </w:r>
      <w:r w:rsidR="00764826" w:rsidRPr="00A141CF">
        <w:rPr>
          <w:b/>
        </w:rPr>
        <w:t>С</w:t>
      </w:r>
      <w:proofErr w:type="gramEnd"/>
      <w:r w:rsidRPr="00A141CF">
        <w:rPr>
          <w:b/>
        </w:rPr>
        <w:t xml:space="preserve"> (уровень достоверности доказательств – </w:t>
      </w:r>
      <w:r w:rsidR="00764826" w:rsidRPr="00A141CF">
        <w:rPr>
          <w:b/>
        </w:rPr>
        <w:t>5</w:t>
      </w:r>
      <w:r w:rsidRPr="00A141CF">
        <w:rPr>
          <w:b/>
        </w:rPr>
        <w:t>)</w:t>
      </w:r>
    </w:p>
    <w:p w14:paraId="56290E5F" w14:textId="5777BCF8" w:rsidR="00764826" w:rsidRPr="00784572" w:rsidRDefault="006425FF" w:rsidP="00784572">
      <w:pPr>
        <w:pStyle w:val="aff1"/>
        <w:rPr>
          <w:b w:val="0"/>
        </w:rPr>
      </w:pPr>
      <w:r w:rsidRPr="00EE59C2">
        <w:t>Комментарии</w:t>
      </w:r>
      <w:r w:rsidRPr="001D40F8">
        <w:t xml:space="preserve">: </w:t>
      </w:r>
      <w:r w:rsidR="00764826" w:rsidRPr="004804EF">
        <w:rPr>
          <w:b w:val="0"/>
          <w:i/>
        </w:rPr>
        <w:t xml:space="preserve">назначение кортикостероидов и препаратов железа пациентам с ПНГ ассоциируется с повышенной частотой развития тяжелых осложнений: инфекций, тромбозов, почечной недостаточности, </w:t>
      </w:r>
      <w:r w:rsidR="00784572">
        <w:rPr>
          <w:b w:val="0"/>
          <w:i/>
        </w:rPr>
        <w:t>увеличением</w:t>
      </w:r>
      <w:r w:rsidR="00764826" w:rsidRPr="004804EF">
        <w:rPr>
          <w:b w:val="0"/>
          <w:i/>
        </w:rPr>
        <w:t xml:space="preserve"> </w:t>
      </w:r>
      <w:proofErr w:type="spellStart"/>
      <w:r w:rsidR="00764826" w:rsidRPr="004804EF">
        <w:rPr>
          <w:b w:val="0"/>
          <w:i/>
        </w:rPr>
        <w:t>трансфузионной</w:t>
      </w:r>
      <w:proofErr w:type="spellEnd"/>
      <w:r w:rsidR="00764826" w:rsidRPr="004804EF">
        <w:rPr>
          <w:b w:val="0"/>
          <w:i/>
        </w:rPr>
        <w:t xml:space="preserve"> зависимости.</w:t>
      </w:r>
    </w:p>
    <w:p w14:paraId="59D911A2" w14:textId="60FED027" w:rsidR="00A141CF" w:rsidRPr="009857DE" w:rsidRDefault="00A141CF" w:rsidP="00A141CF">
      <w:pPr>
        <w:pStyle w:val="1"/>
        <w:rPr>
          <w:b/>
        </w:rPr>
      </w:pPr>
      <w:r w:rsidRPr="009857DE">
        <w:rPr>
          <w:b/>
        </w:rPr>
        <w:t xml:space="preserve">Рекомендуется: </w:t>
      </w:r>
      <w:r w:rsidRPr="009857DE">
        <w:t xml:space="preserve">проводить терапию фолиевой кислотой и </w:t>
      </w:r>
      <w:proofErr w:type="spellStart"/>
      <w:r w:rsidRPr="009857DE">
        <w:t>цианокобаламином</w:t>
      </w:r>
      <w:proofErr w:type="spellEnd"/>
      <w:r w:rsidR="00150BAE" w:rsidRPr="009857DE">
        <w:t xml:space="preserve"> (при дефиците)</w:t>
      </w:r>
      <w:r w:rsidRPr="009857DE">
        <w:t xml:space="preserve"> у пациентов с ПНГ </w:t>
      </w:r>
      <w:r w:rsidR="00150BAE" w:rsidRPr="009857DE">
        <w:t xml:space="preserve">в стандартных дозировках </w:t>
      </w:r>
      <w:r w:rsidR="00150BAE" w:rsidRPr="009857DE">
        <w:fldChar w:fldCharType="begin" w:fldLock="1"/>
      </w:r>
      <w:r w:rsidR="00951496" w:rsidRPr="009857DE">
        <w:instrText>ADDIN CSL_CITATION { "citationItems" : [ { "id" : "ITEM-1", "itemData" : { "author" : [ { "dropping-particle" : "", "family" : "Sahin", "given" : "Fahri", "non-dropping-particle" : "", "parse-names" : false, "suffix" : "" }, { "dropping-particle" : "", "family" : "Akay", "given" : "Olga Meltem", "non-dropping-particle" : "", "parse-names" : false, "suffix" : "" }, { "dropping-particle" : "", "family" : "Ayer", "given" : "Mesut", "non-dropping-particle" : "", "parse-names" : false, "suffix" : "" }, { "dropping-particle" : "", "family" : "Dal", "given" : "Mehmet Sinan", "non-dropping-particle" : "", "parse-names" : false, "suffix" : "" }, { "dropping-particle" : "", "family" : "Ertop", "given" : "Sehmus", "non-dropping-particle" : "", "parse-names" : false, "suffix" : "" }, { "dropping-particle" : "", "family" : "Ilhan", "given" : "Osman", "non-dropping-particle" : "", "parse-names" : false, "suffix" : "" } ], "id" : "ITEM-1", "issue" : "2", "issued" : { "date-parts" : [ [ "2016" ] ] }, "page" : "19-27", "title" : "Pesg PNH diagnosis , follow-up and treatment guidelines", "type" : "article-journal", "volume" : "6" }, "uris" : [ "http://www.mendeley.com/documents/?uuid=53525ab1-7ece-42da-82a9-4094da57443f" ] } ], "mendeley" : { "formattedCitation" : "[26]", "plainTextFormattedCitation" : "[26]", "previouslyFormattedCitation" : "[26]" }, "properties" : { "noteIndex" : 0 }, "schema" : "https://github.com/citation-style-language/schema/raw/master/csl-citation.json" }</w:instrText>
      </w:r>
      <w:r w:rsidR="00150BAE" w:rsidRPr="009857DE">
        <w:fldChar w:fldCharType="separate"/>
      </w:r>
      <w:r w:rsidR="00150BAE" w:rsidRPr="009857DE">
        <w:rPr>
          <w:noProof/>
        </w:rPr>
        <w:t>[26]</w:t>
      </w:r>
      <w:r w:rsidR="00150BAE" w:rsidRPr="009857DE">
        <w:fldChar w:fldCharType="end"/>
      </w:r>
      <w:r w:rsidR="00150BAE" w:rsidRPr="009857DE">
        <w:t>.</w:t>
      </w:r>
    </w:p>
    <w:p w14:paraId="77865FE5" w14:textId="77777777" w:rsidR="00A141CF" w:rsidRPr="009857DE" w:rsidRDefault="00A141CF" w:rsidP="00A141CF">
      <w:pPr>
        <w:pStyle w:val="1"/>
        <w:rPr>
          <w:b/>
        </w:rPr>
      </w:pPr>
      <w:r w:rsidRPr="009857DE">
        <w:rPr>
          <w:b/>
        </w:rPr>
        <w:lastRenderedPageBreak/>
        <w:t>Уровень убедительности рекомендаций</w:t>
      </w:r>
      <w:proofErr w:type="gramStart"/>
      <w:r w:rsidRPr="009857DE">
        <w:rPr>
          <w:b/>
        </w:rPr>
        <w:t xml:space="preserve"> С</w:t>
      </w:r>
      <w:proofErr w:type="gramEnd"/>
      <w:r w:rsidRPr="009857DE">
        <w:rPr>
          <w:b/>
        </w:rPr>
        <w:t xml:space="preserve"> (уровень достоверности доказательств – 5)</w:t>
      </w:r>
    </w:p>
    <w:p w14:paraId="7919D18B" w14:textId="074A6E2D" w:rsidR="00A141CF" w:rsidRPr="004E3A5B" w:rsidRDefault="00A141CF" w:rsidP="00A141CF">
      <w:pPr>
        <w:pStyle w:val="aff1"/>
        <w:rPr>
          <w:b w:val="0"/>
        </w:rPr>
      </w:pPr>
      <w:r w:rsidRPr="009857DE">
        <w:t xml:space="preserve">Комментарии: </w:t>
      </w:r>
      <w:r w:rsidR="00150BAE" w:rsidRPr="009857DE">
        <w:rPr>
          <w:b w:val="0"/>
          <w:i/>
        </w:rPr>
        <w:t>у пациентов с ПНГ часто развивается дефицит фолиевой кислоты и витамина В12, что требует проведения дополнительной метаболической терапии для компенсации дефицита.</w:t>
      </w:r>
    </w:p>
    <w:p w14:paraId="0F1C5601" w14:textId="77777777" w:rsidR="00A141CF" w:rsidRPr="001D40F8" w:rsidRDefault="00A141CF" w:rsidP="006425FF">
      <w:pPr>
        <w:pStyle w:val="aff1"/>
      </w:pPr>
    </w:p>
    <w:p w14:paraId="70F8665F" w14:textId="1A2E86AA" w:rsidR="000414F6" w:rsidRDefault="00CB71DA" w:rsidP="00B104EF">
      <w:pPr>
        <w:pStyle w:val="CustomContentNormal"/>
      </w:pPr>
      <w:bookmarkStart w:id="36" w:name="_Toc24641964"/>
      <w:r>
        <w:t xml:space="preserve">4. </w:t>
      </w:r>
      <w:r w:rsidR="00A43CE5">
        <w:t>Медицинская реабилитация</w:t>
      </w:r>
      <w:bookmarkEnd w:id="35"/>
      <w:bookmarkEnd w:id="36"/>
    </w:p>
    <w:p w14:paraId="213172E2" w14:textId="694C172B" w:rsidR="00B4376C" w:rsidRDefault="00B4376C" w:rsidP="00334F6C">
      <w:pPr>
        <w:pStyle w:val="2-6"/>
        <w:rPr>
          <w:rStyle w:val="afffb"/>
          <w:rFonts w:eastAsiaTheme="minorHAnsi" w:cstheme="minorBidi"/>
          <w:color w:val="auto"/>
          <w:sz w:val="24"/>
        </w:rPr>
      </w:pPr>
      <w:bookmarkStart w:id="37" w:name="__RefHeading___doc_5"/>
      <w:r>
        <w:rPr>
          <w:rStyle w:val="afffb"/>
          <w:rFonts w:eastAsiaTheme="minorHAnsi" w:cstheme="minorBidi"/>
          <w:color w:val="auto"/>
          <w:sz w:val="24"/>
        </w:rPr>
        <w:t xml:space="preserve">Специальных методов реабилитации для пациентов с ПНГ не существует. Потребность в реабилитации может возникнуть при развитии </w:t>
      </w:r>
      <w:proofErr w:type="spellStart"/>
      <w:r>
        <w:rPr>
          <w:rStyle w:val="afffb"/>
          <w:rFonts w:eastAsiaTheme="minorHAnsi" w:cstheme="minorBidi"/>
          <w:color w:val="auto"/>
          <w:sz w:val="24"/>
        </w:rPr>
        <w:t>жизнеугрожающих</w:t>
      </w:r>
      <w:proofErr w:type="spellEnd"/>
      <w:r>
        <w:rPr>
          <w:rStyle w:val="afffb"/>
          <w:rFonts w:eastAsiaTheme="minorHAnsi" w:cstheme="minorBidi"/>
          <w:color w:val="auto"/>
          <w:sz w:val="24"/>
        </w:rPr>
        <w:t xml:space="preserve"> осложнений, таких как тромбозы мозговых сосудов или асептические некрозы головок бедренных костей с развитием вторичных </w:t>
      </w:r>
      <w:proofErr w:type="spellStart"/>
      <w:r>
        <w:rPr>
          <w:rStyle w:val="afffb"/>
          <w:rFonts w:eastAsiaTheme="minorHAnsi" w:cstheme="minorBidi"/>
          <w:color w:val="auto"/>
          <w:sz w:val="24"/>
        </w:rPr>
        <w:t>коксартрозов</w:t>
      </w:r>
      <w:proofErr w:type="spellEnd"/>
      <w:r>
        <w:rPr>
          <w:rStyle w:val="afffb"/>
          <w:rFonts w:eastAsiaTheme="minorHAnsi" w:cstheme="minorBidi"/>
          <w:color w:val="auto"/>
          <w:sz w:val="24"/>
        </w:rPr>
        <w:t xml:space="preserve">. В данных случаях показания к </w:t>
      </w:r>
      <w:proofErr w:type="spellStart"/>
      <w:r>
        <w:rPr>
          <w:rStyle w:val="afffb"/>
          <w:rFonts w:eastAsiaTheme="minorHAnsi" w:cstheme="minorBidi"/>
          <w:color w:val="auto"/>
          <w:sz w:val="24"/>
        </w:rPr>
        <w:t>нейрореабилитации</w:t>
      </w:r>
      <w:proofErr w:type="spellEnd"/>
      <w:r>
        <w:rPr>
          <w:rStyle w:val="afffb"/>
          <w:rFonts w:eastAsiaTheme="minorHAnsi" w:cstheme="minorBidi"/>
          <w:color w:val="auto"/>
          <w:sz w:val="24"/>
        </w:rPr>
        <w:t xml:space="preserve"> или показания к </w:t>
      </w:r>
      <w:proofErr w:type="spellStart"/>
      <w:r>
        <w:rPr>
          <w:rStyle w:val="afffb"/>
          <w:rFonts w:eastAsiaTheme="minorHAnsi" w:cstheme="minorBidi"/>
          <w:color w:val="auto"/>
          <w:sz w:val="24"/>
        </w:rPr>
        <w:t>эндопротезированию</w:t>
      </w:r>
      <w:proofErr w:type="spellEnd"/>
      <w:r>
        <w:rPr>
          <w:rStyle w:val="afffb"/>
          <w:rFonts w:eastAsiaTheme="minorHAnsi" w:cstheme="minorBidi"/>
          <w:color w:val="auto"/>
          <w:sz w:val="24"/>
        </w:rPr>
        <w:t xml:space="preserve"> с последующей ортопедической реабилитацией определяются в порядке, установленном для перечисленных состояний.</w:t>
      </w:r>
    </w:p>
    <w:p w14:paraId="1E439E2B" w14:textId="03B86CA2" w:rsidR="00CC5156" w:rsidRPr="00D74813" w:rsidRDefault="00CC5156" w:rsidP="00334F6C">
      <w:pPr>
        <w:pStyle w:val="2-6"/>
      </w:pPr>
    </w:p>
    <w:p w14:paraId="327989BA" w14:textId="164261EB" w:rsidR="00A43CE5" w:rsidRDefault="00094ED6" w:rsidP="00A43CE5">
      <w:pPr>
        <w:pStyle w:val="CustomContentNormal"/>
      </w:pPr>
      <w:bookmarkStart w:id="38" w:name="_Toc24641965"/>
      <w:r>
        <w:t xml:space="preserve">5. </w:t>
      </w:r>
      <w:r w:rsidR="00CB71DA">
        <w:t>Профилактика</w:t>
      </w:r>
      <w:bookmarkEnd w:id="37"/>
      <w:r w:rsidR="00B104EF">
        <w:t xml:space="preserve"> и диспансерное наблюдение</w:t>
      </w:r>
      <w:bookmarkEnd w:id="38"/>
    </w:p>
    <w:p w14:paraId="28A65C01" w14:textId="77777777" w:rsidR="00B4376C" w:rsidRDefault="00B4376C" w:rsidP="00334F6C">
      <w:pPr>
        <w:pStyle w:val="2-6"/>
        <w:rPr>
          <w:rStyle w:val="afffb"/>
          <w:rFonts w:eastAsiaTheme="minorHAnsi" w:cstheme="minorBidi"/>
          <w:color w:val="auto"/>
          <w:sz w:val="24"/>
        </w:rPr>
      </w:pPr>
      <w:bookmarkStart w:id="39" w:name="__RefHeading___doc_6"/>
      <w:r>
        <w:rPr>
          <w:rStyle w:val="afffb"/>
          <w:rFonts w:eastAsiaTheme="minorHAnsi" w:cstheme="minorBidi"/>
          <w:color w:val="auto"/>
          <w:sz w:val="24"/>
        </w:rPr>
        <w:t xml:space="preserve">Профилактики развития ПНГ не существует. </w:t>
      </w:r>
    </w:p>
    <w:p w14:paraId="235E2E87" w14:textId="58754E48" w:rsidR="002C267B" w:rsidRPr="002C267B" w:rsidRDefault="00B4376C" w:rsidP="00AF5D12">
      <w:pPr>
        <w:pStyle w:val="2-6"/>
        <w:rPr>
          <w:i/>
        </w:rPr>
      </w:pPr>
      <w:r w:rsidRPr="002C267B">
        <w:rPr>
          <w:rStyle w:val="afffb"/>
          <w:rFonts w:eastAsiaTheme="minorHAnsi" w:cstheme="minorBidi"/>
          <w:color w:val="auto"/>
          <w:sz w:val="24"/>
        </w:rPr>
        <w:t>Пациенты с ПНГ нуждаются в постоянном динамическом наблюдении гематолога</w:t>
      </w:r>
      <w:r w:rsidR="00364741" w:rsidRPr="002C267B">
        <w:rPr>
          <w:i/>
        </w:rPr>
        <w:t xml:space="preserve"> </w:t>
      </w:r>
      <w:r w:rsidRPr="002C267B">
        <w:rPr>
          <w:i/>
        </w:rPr>
        <w:t xml:space="preserve">и, при необходимости - профильных специалистов в соответствии с характером и тяжестью </w:t>
      </w:r>
      <w:proofErr w:type="spellStart"/>
      <w:r w:rsidRPr="002C267B">
        <w:rPr>
          <w:i/>
        </w:rPr>
        <w:t>развившихся</w:t>
      </w:r>
      <w:proofErr w:type="spellEnd"/>
      <w:r w:rsidRPr="002C267B">
        <w:rPr>
          <w:i/>
        </w:rPr>
        <w:t xml:space="preserve"> осложнений (например, при развитии внепеченочной портальной гипертензии вследствие тромбоза портальной системы</w:t>
      </w:r>
      <w:r w:rsidR="00764826" w:rsidRPr="002C267B">
        <w:rPr>
          <w:i/>
        </w:rPr>
        <w:t xml:space="preserve"> необходима консультация и наблюдение портального хирурга</w:t>
      </w:r>
      <w:r w:rsidRPr="002C267B">
        <w:rPr>
          <w:i/>
        </w:rPr>
        <w:t>)</w:t>
      </w:r>
      <w:r w:rsidR="00764826" w:rsidRPr="002C267B">
        <w:rPr>
          <w:i/>
        </w:rPr>
        <w:t xml:space="preserve">. </w:t>
      </w:r>
    </w:p>
    <w:p w14:paraId="3A53436E" w14:textId="0BBAC885" w:rsidR="002C267B" w:rsidRDefault="002C267B" w:rsidP="002C267B">
      <w:pPr>
        <w:ind w:firstLine="720"/>
        <w:rPr>
          <w:i/>
          <w:szCs w:val="28"/>
        </w:rPr>
      </w:pPr>
      <w:r w:rsidRPr="00C471AA">
        <w:rPr>
          <w:i/>
          <w:szCs w:val="28"/>
        </w:rPr>
        <w:t xml:space="preserve">Периодичность осмотров определяется индивидуально (от 3 </w:t>
      </w:r>
      <w:r>
        <w:rPr>
          <w:i/>
          <w:szCs w:val="28"/>
        </w:rPr>
        <w:t xml:space="preserve">до 12 </w:t>
      </w:r>
      <w:r w:rsidRPr="00C471AA">
        <w:rPr>
          <w:i/>
          <w:szCs w:val="28"/>
        </w:rPr>
        <w:t xml:space="preserve">месяцев) и зависит от </w:t>
      </w:r>
      <w:r>
        <w:rPr>
          <w:i/>
          <w:szCs w:val="28"/>
        </w:rPr>
        <w:t>тяжести течения ПНГ, частоты гемолитических кризов, характера лечения (патогенетическая терапия или заместительные гемотрансфузии), наличия и характера осложнений и сопутствующих заболеваний.</w:t>
      </w:r>
    </w:p>
    <w:p w14:paraId="207FEAD4" w14:textId="77777777" w:rsidR="002C267B" w:rsidRPr="002C267B" w:rsidRDefault="002C267B" w:rsidP="002C267B">
      <w:pPr>
        <w:pStyle w:val="2-6"/>
        <w:rPr>
          <w:i/>
        </w:rPr>
      </w:pPr>
      <w:r w:rsidRPr="002C267B">
        <w:rPr>
          <w:i/>
        </w:rPr>
        <w:t>Наблюдение пациентов с ПНГ, помимо контроля рутинных показателей, включает мониторинг размера патологического клона.</w:t>
      </w:r>
    </w:p>
    <w:p w14:paraId="17AB44ED" w14:textId="77777777" w:rsidR="002C267B" w:rsidRDefault="002C267B" w:rsidP="002C267B">
      <w:pPr>
        <w:rPr>
          <w:i/>
          <w:szCs w:val="28"/>
        </w:rPr>
      </w:pPr>
    </w:p>
    <w:p w14:paraId="0937BD85" w14:textId="03D3C12C" w:rsidR="008E2063" w:rsidRDefault="002C267B" w:rsidP="00071AB3">
      <w:pPr>
        <w:pStyle w:val="afd"/>
        <w:numPr>
          <w:ilvl w:val="0"/>
          <w:numId w:val="12"/>
        </w:numPr>
        <w:spacing w:after="200"/>
      </w:pPr>
      <w:r w:rsidRPr="00966617">
        <w:rPr>
          <w:b/>
        </w:rPr>
        <w:t xml:space="preserve">Рекомендуется </w:t>
      </w:r>
      <w:r>
        <w:t>пациента</w:t>
      </w:r>
      <w:r w:rsidR="008E2063">
        <w:t>м с установленным диагнозом ПНГ, не получающим патогенетическую терапию:</w:t>
      </w:r>
    </w:p>
    <w:p w14:paraId="347A3C72" w14:textId="14AAD7DB" w:rsidR="008E2063" w:rsidRDefault="008E2063" w:rsidP="008E2063">
      <w:pPr>
        <w:pStyle w:val="afd"/>
        <w:numPr>
          <w:ilvl w:val="1"/>
          <w:numId w:val="12"/>
        </w:numPr>
        <w:spacing w:after="200"/>
        <w:jc w:val="left"/>
      </w:pPr>
      <w:r>
        <w:t>Динамическое наблюдение гематологом с контролем общего анализа крови с частотой 1 раз в 1-3 месяца</w:t>
      </w:r>
      <w:r w:rsidRPr="008E2063">
        <w:t>;</w:t>
      </w:r>
    </w:p>
    <w:p w14:paraId="7C6F64A7" w14:textId="2536E853" w:rsidR="002C267B" w:rsidRDefault="002C267B" w:rsidP="00903470">
      <w:pPr>
        <w:spacing w:after="120"/>
        <w:ind w:firstLine="360"/>
        <w:rPr>
          <w:b/>
          <w:szCs w:val="24"/>
        </w:rPr>
      </w:pPr>
      <w:r w:rsidRPr="00985814">
        <w:rPr>
          <w:b/>
          <w:szCs w:val="24"/>
        </w:rPr>
        <w:lastRenderedPageBreak/>
        <w:t>Уровень убедительности рекомендаций</w:t>
      </w:r>
      <w:proofErr w:type="gramStart"/>
      <w:r w:rsidRPr="00985814">
        <w:rPr>
          <w:b/>
          <w:szCs w:val="24"/>
        </w:rPr>
        <w:t xml:space="preserve"> </w:t>
      </w:r>
      <w:r w:rsidR="00784572">
        <w:rPr>
          <w:b/>
          <w:szCs w:val="24"/>
        </w:rPr>
        <w:t>С</w:t>
      </w:r>
      <w:proofErr w:type="gramEnd"/>
      <w:r w:rsidRPr="00985814">
        <w:rPr>
          <w:b/>
          <w:szCs w:val="24"/>
        </w:rPr>
        <w:t xml:space="preserve"> (уровень достоверности доказательств – </w:t>
      </w:r>
      <w:r>
        <w:rPr>
          <w:b/>
          <w:szCs w:val="24"/>
        </w:rPr>
        <w:t>5</w:t>
      </w:r>
      <w:r w:rsidRPr="00985814">
        <w:rPr>
          <w:b/>
          <w:szCs w:val="24"/>
        </w:rPr>
        <w:t>)</w:t>
      </w:r>
    </w:p>
    <w:p w14:paraId="0C027453" w14:textId="5936D233" w:rsidR="008E2063" w:rsidRDefault="008E2063" w:rsidP="008E2063">
      <w:pPr>
        <w:pStyle w:val="afd"/>
        <w:numPr>
          <w:ilvl w:val="0"/>
          <w:numId w:val="12"/>
        </w:numPr>
        <w:spacing w:after="200"/>
      </w:pPr>
      <w:r w:rsidRPr="00966617">
        <w:rPr>
          <w:b/>
        </w:rPr>
        <w:t xml:space="preserve">Рекомендуется </w:t>
      </w:r>
      <w:r>
        <w:t>пациентам с установленным диагнозом ПНГ, получающим патогенетическую терапию:</w:t>
      </w:r>
    </w:p>
    <w:p w14:paraId="55354262" w14:textId="77777777" w:rsidR="008E2063" w:rsidRDefault="008E2063" w:rsidP="008E2063">
      <w:pPr>
        <w:pStyle w:val="afd"/>
        <w:numPr>
          <w:ilvl w:val="1"/>
          <w:numId w:val="12"/>
        </w:numPr>
        <w:spacing w:after="200"/>
        <w:jc w:val="left"/>
      </w:pPr>
      <w:r>
        <w:t>Динамическое наблюдение гематологом с контролем общего анализа крови с частотой 1 раз в 1-3 месяца</w:t>
      </w:r>
      <w:r w:rsidRPr="008E2063">
        <w:t>;</w:t>
      </w:r>
    </w:p>
    <w:p w14:paraId="272AD196" w14:textId="30B71FEA" w:rsidR="00903470" w:rsidRDefault="00903470" w:rsidP="008E2063">
      <w:pPr>
        <w:pStyle w:val="afd"/>
        <w:numPr>
          <w:ilvl w:val="1"/>
          <w:numId w:val="12"/>
        </w:numPr>
        <w:spacing w:after="200"/>
        <w:jc w:val="left"/>
      </w:pPr>
      <w:r>
        <w:t>Проведение диспансерного обследования для оценки эффективности и коррекции патогенетической терапии с частотой 1 раз в 12 мес.</w:t>
      </w:r>
    </w:p>
    <w:p w14:paraId="23E7BB20" w14:textId="151C04DD" w:rsidR="008E2063" w:rsidRDefault="008E2063" w:rsidP="00903470">
      <w:pPr>
        <w:pStyle w:val="afd"/>
        <w:numPr>
          <w:ilvl w:val="0"/>
          <w:numId w:val="12"/>
        </w:numPr>
        <w:spacing w:after="120"/>
        <w:rPr>
          <w:b/>
          <w:szCs w:val="24"/>
        </w:rPr>
      </w:pPr>
      <w:r w:rsidRPr="008E2063">
        <w:rPr>
          <w:b/>
          <w:szCs w:val="24"/>
        </w:rPr>
        <w:t>Уровень убедительности рекомендаций</w:t>
      </w:r>
      <w:proofErr w:type="gramStart"/>
      <w:r w:rsidRPr="008E2063">
        <w:rPr>
          <w:b/>
          <w:szCs w:val="24"/>
        </w:rPr>
        <w:t xml:space="preserve"> С</w:t>
      </w:r>
      <w:proofErr w:type="gramEnd"/>
      <w:r w:rsidRPr="008E2063">
        <w:rPr>
          <w:b/>
          <w:szCs w:val="24"/>
        </w:rPr>
        <w:t xml:space="preserve"> (уровень достоверности доказательств – 5)</w:t>
      </w:r>
    </w:p>
    <w:p w14:paraId="6EF3580A" w14:textId="77777777" w:rsidR="00903470" w:rsidRPr="00903470" w:rsidRDefault="00903470" w:rsidP="00903470">
      <w:pPr>
        <w:pStyle w:val="afd"/>
        <w:spacing w:after="120"/>
        <w:ind w:firstLine="0"/>
        <w:rPr>
          <w:b/>
          <w:szCs w:val="24"/>
        </w:rPr>
      </w:pPr>
    </w:p>
    <w:p w14:paraId="5528991A" w14:textId="54A33756" w:rsidR="00B4376C" w:rsidRPr="00784572" w:rsidRDefault="00B4376C" w:rsidP="00784572">
      <w:pPr>
        <w:pStyle w:val="afd"/>
        <w:numPr>
          <w:ilvl w:val="0"/>
          <w:numId w:val="25"/>
        </w:numPr>
        <w:spacing w:after="160"/>
        <w:rPr>
          <w:bCs/>
        </w:rPr>
      </w:pPr>
      <w:proofErr w:type="gramStart"/>
      <w:r w:rsidRPr="00784572">
        <w:rPr>
          <w:b/>
        </w:rPr>
        <w:t xml:space="preserve">Рекомендуется </w:t>
      </w:r>
      <w:r w:rsidRPr="00784572">
        <w:rPr>
          <w:bCs/>
        </w:rPr>
        <w:t>всем</w:t>
      </w:r>
      <w:r w:rsidRPr="00784572">
        <w:rPr>
          <w:b/>
        </w:rPr>
        <w:t xml:space="preserve"> </w:t>
      </w:r>
      <w:r w:rsidRPr="00784572">
        <w:rPr>
          <w:bCs/>
        </w:rPr>
        <w:t xml:space="preserve">пациентам </w:t>
      </w:r>
      <w:r w:rsidR="00784572">
        <w:rPr>
          <w:bCs/>
        </w:rPr>
        <w:t xml:space="preserve">с «классической» ПНГ, </w:t>
      </w:r>
      <w:r w:rsidRPr="00784572">
        <w:rPr>
          <w:bCs/>
        </w:rPr>
        <w:t>АА</w:t>
      </w:r>
      <w:r w:rsidR="00784572" w:rsidRPr="00784572">
        <w:rPr>
          <w:bCs/>
        </w:rPr>
        <w:t>/</w:t>
      </w:r>
      <w:r w:rsidR="00784572">
        <w:rPr>
          <w:bCs/>
        </w:rPr>
        <w:t xml:space="preserve">ПНГ и </w:t>
      </w:r>
      <w:r w:rsidRPr="00784572">
        <w:rPr>
          <w:bCs/>
        </w:rPr>
        <w:t>МДС</w:t>
      </w:r>
      <w:r w:rsidR="00784572" w:rsidRPr="00784572">
        <w:rPr>
          <w:bCs/>
        </w:rPr>
        <w:t>/</w:t>
      </w:r>
      <w:r w:rsidR="00784572">
        <w:rPr>
          <w:bCs/>
        </w:rPr>
        <w:t>ПНГ</w:t>
      </w:r>
      <w:r w:rsidRPr="00784572">
        <w:rPr>
          <w:b/>
        </w:rPr>
        <w:t xml:space="preserve"> </w:t>
      </w:r>
      <w:r w:rsidR="00AF5D12" w:rsidRPr="00784572">
        <w:rPr>
          <w:bCs/>
        </w:rPr>
        <w:t xml:space="preserve">определение </w:t>
      </w:r>
      <w:r w:rsidRPr="00784572">
        <w:rPr>
          <w:bCs/>
        </w:rPr>
        <w:t xml:space="preserve">размера ПНГ клона методом проточной </w:t>
      </w:r>
      <w:proofErr w:type="spellStart"/>
      <w:r w:rsidRPr="00784572">
        <w:rPr>
          <w:bCs/>
        </w:rPr>
        <w:t>цитометрии</w:t>
      </w:r>
      <w:proofErr w:type="spellEnd"/>
      <w:r w:rsidRPr="00784572">
        <w:rPr>
          <w:bCs/>
        </w:rPr>
        <w:t xml:space="preserve"> с частотой 1 раз в 6 месяцев</w:t>
      </w:r>
      <w:proofErr w:type="gramEnd"/>
      <w:r w:rsidRPr="00784572">
        <w:rPr>
          <w:bCs/>
        </w:rPr>
        <w:t xml:space="preserve"> </w:t>
      </w:r>
      <w:r w:rsidRPr="00784572">
        <w:rPr>
          <w:bCs/>
        </w:rPr>
        <w:fldChar w:fldCharType="begin" w:fldLock="1"/>
      </w:r>
      <w:r w:rsidR="00034578" w:rsidRPr="00784572">
        <w:rPr>
          <w:bCs/>
        </w:rPr>
        <w:instrText>ADDIN CSL_CITATION { "citationItems" : [ { "id" : "ITEM-1", "itemData" : { "DOI" : "10.1182/blood.V118.21.1033.1033", "ISSN" : "0006-4971", "abstract" : "Abstract 1033", "author" : [ { "dropping-particle" : "", "family" : "Movalia", "given" : "Mayur K", "non-dropping-particle" : "", "parse-names" : false, "suffix" : "" }, { "dropping-particle" : "", "family" : "Weitz", "given" : "Ilene c", "non-dropping-particle" : "", "parse-names" : false, "suffix" : "" }, { "dropping-particle" : "", "family" : "Lim", "given" : "Seah H", "non-dropping-particle" : "", "parse-names" : false, "suffix" : "" }, { "dropping-particle" : "", "family" : "Illingworth", "given" : "Andrea", "non-dropping-particle" : "", "parse-names" : false, "suffix" : "" } ], "container-title" : "Blood", "id" : "ITEM-1", "issue" : "21", "issued" : { "date-parts" : [ [ "2011", "11", "18" ] ] }, "page" : "1033-1033", "title" : "Incidence of PNH Clones by Diagnostic Code Utilizing High Sensitivity Flow Cytometry", "type" : "article-journal", "volume" : "118" }, "uris" : [ "http://www.mendeley.com/documents/?uuid=95527c0a-61c0-4ee1-b16a-2b2e3a491a7d" ] }, { "id" : "ITEM-2", "itemData" : { "DOI" : "10.1182/blood-2005-04-1717", "ISSN" : "0006-4971", "author" : [ { "dropping-particle" : "", "family" : "Parker", "given" : "C.", "non-dropping-particle" : "", "parse-names" : false, "suffix" : "" } ], "container-title" : "Blood", "id" : "ITEM-2", "issue" : "12", "issued" : { "date-parts" : [ [ "2005", "12", "1" ] ] }, "page" : "3699-3709", "title" : "Diagnosis and management of paroxysmal nocturnal hemoglobinuria", "type" : "article-journal", "volume" : "106" }, "uris" : [ "http://www.mendeley.com/documents/?uuid=37210b5f-b729-4e47-965f-298bcd7b95e8" ] }, { "id" : "ITEM-3", "itemData" : { "DOI" : "10.1002/cyto.b.20525", "ISSN" : "15524957", "abstract" : "Background: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 \u00a9 2010 Clinical Cytometry Society.", "author" : [ { "dropping-particle" : "", "family" : "Borowitz", "given" : "Michael J.", "non-dropping-particle" : "", "parse-names" : false, "suffix" : "" }, { "dropping-particle" : "", "family" : "Craig", "given" : "Fiona E.", "non-dropping-particle" : "", "parse-names" : false, "suffix" : "" }, { "dropping-particle" : "", "family" : "DiGiuseppe", "given" : "Joseph A.", "non-dropping-particle" : "", "parse-names" : false, "suffix" : "" }, { "dropping-particle" : "", "family" : "Illingworth", "given" : "Andrea J.", "non-dropping-particle" : "", "parse-names" : false, "suffix" : "" }, { "dropping-particle" : "", "family" : "Rosse", "given" : "Wendell", "non-dropping-particle" : "", "parse-names" : false, "suffix" : "" }, { "dropping-particle" : "", "family" : "Sutherland", "given" : "D. Robert", "non-dropping-particle" : "", "parse-names" : false, "suffix" : "" }, { "dropping-particle" : "", "family" : "Wittwer", "given" : "Carl T.", "non-dropping-particle" : "", "parse-names" : false, "suffix" : "" }, { "dropping-particle" : "", "family" : "Richards", "given" : "Stephen J.", "non-dropping-particle" : "", "parse-names" : false, "suffix" : "" } ], "container-title" : "Cytometry Part B - Clinical Cytometry", "id" : "ITEM-3", "issue" : "4", "issued" : { "date-parts" : [ [ "2010" ] ] }, "page" : "211-230", "title" : "Guidelines for the diagnosis and monitoring of paroxysmal nocturnal hemoglobinuria and related disorders by flow cytometry", "type" : "article-journal", "volume" : "78" }, "uris" : [ "http://www.mendeley.com/documents/?uuid=82b1fd42-bedd-4a5b-b01e-6e3b6012b2c1" ] } ], "mendeley" : { "formattedCitation" : "[27,29,41]", "plainTextFormattedCitation" : "[27,29,41]", "previouslyFormattedCitation" : "[27,29,41]" }, "properties" : { "noteIndex" : 0 }, "schema" : "https://github.com/citation-style-language/schema/raw/master/csl-citation.json" }</w:instrText>
      </w:r>
      <w:r w:rsidRPr="00784572">
        <w:rPr>
          <w:bCs/>
        </w:rPr>
        <w:fldChar w:fldCharType="separate"/>
      </w:r>
      <w:r w:rsidR="00034578" w:rsidRPr="00784572">
        <w:rPr>
          <w:bCs/>
          <w:noProof/>
        </w:rPr>
        <w:t>[27,29,41]</w:t>
      </w:r>
      <w:r w:rsidRPr="00784572">
        <w:rPr>
          <w:bCs/>
        </w:rPr>
        <w:fldChar w:fldCharType="end"/>
      </w:r>
      <w:r w:rsidRPr="00784572">
        <w:rPr>
          <w:bCs/>
        </w:rPr>
        <w:t>.</w:t>
      </w:r>
    </w:p>
    <w:p w14:paraId="09EBCFFC" w14:textId="3E80E72E" w:rsidR="00B4376C" w:rsidRPr="00AF5D12" w:rsidRDefault="00B4376C" w:rsidP="00AF5D12">
      <w:pPr>
        <w:pStyle w:val="aff1"/>
        <w:ind w:left="0" w:firstLine="708"/>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r w:rsidRPr="00B104EF">
        <w:t xml:space="preserve"> </w:t>
      </w:r>
    </w:p>
    <w:p w14:paraId="0671FA5D" w14:textId="5DCA6059" w:rsidR="00AF5D12" w:rsidRDefault="00B4376C" w:rsidP="00B4376C">
      <w:pPr>
        <w:spacing w:after="160"/>
        <w:ind w:firstLine="708"/>
        <w:rPr>
          <w:bCs/>
        </w:rPr>
      </w:pPr>
      <w:r w:rsidRPr="000B7C5A">
        <w:rPr>
          <w:b/>
        </w:rPr>
        <w:t xml:space="preserve">Рекомендуется </w:t>
      </w:r>
      <w:r w:rsidRPr="00A929D1">
        <w:rPr>
          <w:bCs/>
        </w:rPr>
        <w:t>всем</w:t>
      </w:r>
      <w:r>
        <w:rPr>
          <w:b/>
        </w:rPr>
        <w:t xml:space="preserve"> </w:t>
      </w:r>
      <w:r w:rsidRPr="000B7C5A">
        <w:rPr>
          <w:bCs/>
        </w:rPr>
        <w:t>пациент</w:t>
      </w:r>
      <w:r>
        <w:rPr>
          <w:bCs/>
        </w:rPr>
        <w:t>ам</w:t>
      </w:r>
      <w:r w:rsidRPr="000B7C5A">
        <w:rPr>
          <w:bCs/>
        </w:rPr>
        <w:t xml:space="preserve"> </w:t>
      </w:r>
      <w:r>
        <w:rPr>
          <w:bCs/>
        </w:rPr>
        <w:t>без клинических проявлений ПНГ, но с ранее выявленным ПНГ-клоном</w:t>
      </w:r>
      <w:r w:rsidR="00AF5D12">
        <w:rPr>
          <w:bCs/>
        </w:rPr>
        <w:t>,</w:t>
      </w:r>
      <w:r>
        <w:rPr>
          <w:bCs/>
        </w:rPr>
        <w:t xml:space="preserve"> </w:t>
      </w:r>
      <w:r w:rsidR="00AF5D12">
        <w:rPr>
          <w:bCs/>
        </w:rPr>
        <w:t xml:space="preserve">контроль </w:t>
      </w:r>
      <w:r w:rsidR="00150BAE">
        <w:rPr>
          <w:bCs/>
        </w:rPr>
        <w:t>размера</w:t>
      </w:r>
      <w:r w:rsidR="00AF5D12">
        <w:rPr>
          <w:bCs/>
        </w:rPr>
        <w:t xml:space="preserve"> патологического </w:t>
      </w:r>
      <w:r w:rsidRPr="000B7C5A">
        <w:rPr>
          <w:bCs/>
        </w:rPr>
        <w:t xml:space="preserve">клона методом </w:t>
      </w:r>
      <w:proofErr w:type="gramStart"/>
      <w:r w:rsidRPr="000B7C5A">
        <w:rPr>
          <w:bCs/>
        </w:rPr>
        <w:t>проточной</w:t>
      </w:r>
      <w:proofErr w:type="gramEnd"/>
      <w:r w:rsidRPr="000B7C5A">
        <w:rPr>
          <w:bCs/>
        </w:rPr>
        <w:t xml:space="preserve"> </w:t>
      </w:r>
      <w:proofErr w:type="spellStart"/>
      <w:r w:rsidRPr="000B7C5A">
        <w:rPr>
          <w:bCs/>
        </w:rPr>
        <w:t>цитометрии</w:t>
      </w:r>
      <w:proofErr w:type="spellEnd"/>
      <w:r w:rsidR="00AF5D12">
        <w:rPr>
          <w:bCs/>
        </w:rPr>
        <w:t>:</w:t>
      </w:r>
      <w:r w:rsidRPr="000B7C5A">
        <w:rPr>
          <w:bCs/>
        </w:rPr>
        <w:t xml:space="preserve"> </w:t>
      </w:r>
    </w:p>
    <w:p w14:paraId="323A1306" w14:textId="6EC9BA26" w:rsidR="00AF5D12" w:rsidRDefault="00AF5D12" w:rsidP="00B4376C">
      <w:pPr>
        <w:spacing w:after="160"/>
        <w:ind w:firstLine="708"/>
        <w:rPr>
          <w:bCs/>
        </w:rPr>
      </w:pPr>
      <w:proofErr w:type="gramStart"/>
      <w:r>
        <w:rPr>
          <w:bCs/>
        </w:rPr>
        <w:t xml:space="preserve">- при исходном ПНГ-клоне </w:t>
      </w:r>
      <w:r w:rsidRPr="001B1446">
        <w:rPr>
          <w:bCs/>
        </w:rPr>
        <w:t>&gt;1%</w:t>
      </w:r>
      <w:r>
        <w:rPr>
          <w:bCs/>
        </w:rPr>
        <w:t xml:space="preserve"> - с частотой 1 раз в 6 месяцев, а также незамедлительно при клиническом ухудшении или развитии тромботических осложнений</w:t>
      </w:r>
      <w:proofErr w:type="gramEnd"/>
      <w:r w:rsidRPr="00D87376">
        <w:rPr>
          <w:bCs/>
        </w:rPr>
        <w:t xml:space="preserve"> </w:t>
      </w:r>
      <w:r>
        <w:rPr>
          <w:bCs/>
        </w:rPr>
        <w:fldChar w:fldCharType="begin" w:fldLock="1"/>
      </w:r>
      <w:r w:rsidR="00034578">
        <w:rPr>
          <w:bCs/>
        </w:rPr>
        <w:instrText>ADDIN CSL_CITATION { "citationItems" : [ { "id" : "ITEM-1", "itemData" : { "DOI" : "10.1182/blood.V118.21.1033.1033", "ISSN" : "0006-4971", "abstract" : "Abstract 1033", "author" : [ { "dropping-particle" : "", "family" : "Movalia", "given" : "Mayur K", "non-dropping-particle" : "", "parse-names" : false, "suffix" : "" }, { "dropping-particle" : "", "family" : "Weitz", "given" : "Ilene c", "non-dropping-particle" : "", "parse-names" : false, "suffix" : "" }, { "dropping-particle" : "", "family" : "Lim", "given" : "Seah H", "non-dropping-particle" : "", "parse-names" : false, "suffix" : "" }, { "dropping-particle" : "", "family" : "Illingworth", "given" : "Andrea", "non-dropping-particle" : "", "parse-names" : false, "suffix" : "" } ], "container-title" : "Blood", "id" : "ITEM-1", "issue" : "21", "issued" : { "date-parts" : [ [ "2011", "11", "18" ] ] }, "page" : "1033-1033", "title" : "Incidence of PNH Clones by Diagnostic Code Utilizing High Sensitivity Flow Cytometry", "type" : "article-journal", "volume" : "118" }, "uris" : [ "http://www.mendeley.com/documents/?uuid=95527c0a-61c0-4ee1-b16a-2b2e3a491a7d" ] }, { "id" : "ITEM-2", "itemData" : { "DOI" : "10.1182/blood-2005-04-1717", "ISSN" : "0006-4971", "author" : [ { "dropping-particle" : "", "family" : "Parker", "given" : "C.", "non-dropping-particle" : "", "parse-names" : false, "suffix" : "" } ], "container-title" : "Blood", "id" : "ITEM-2", "issue" : "12", "issued" : { "date-parts" : [ [ "2005", "12", "1" ] ] }, "page" : "3699-3709", "title" : "Diagnosis and management of paroxysmal nocturnal hemoglobinuria", "type" : "article-journal", "volume" : "106" }, "uris" : [ "http://www.mendeley.com/documents/?uuid=37210b5f-b729-4e47-965f-298bcd7b95e8" ] }, { "id" : "ITEM-3", "itemData" : { "DOI" : "10.1002/cyto.b.20525", "ISSN" : "15524957", "abstract" : "Background: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 \u00a9 2010 Clinical Cytometry Society.", "author" : [ { "dropping-particle" : "", "family" : "Borowitz", "given" : "Michael J.", "non-dropping-particle" : "", "parse-names" : false, "suffix" : "" }, { "dropping-particle" : "", "family" : "Craig", "given" : "Fiona E.", "non-dropping-particle" : "", "parse-names" : false, "suffix" : "" }, { "dropping-particle" : "", "family" : "DiGiuseppe", "given" : "Joseph A.", "non-dropping-particle" : "", "parse-names" : false, "suffix" : "" }, { "dropping-particle" : "", "family" : "Illingworth", "given" : "Andrea J.", "non-dropping-particle" : "", "parse-names" : false, "suffix" : "" }, { "dropping-particle" : "", "family" : "Rosse", "given" : "Wendell", "non-dropping-particle" : "", "parse-names" : false, "suffix" : "" }, { "dropping-particle" : "", "family" : "Sutherland", "given" : "D. Robert", "non-dropping-particle" : "", "parse-names" : false, "suffix" : "" }, { "dropping-particle" : "", "family" : "Wittwer", "given" : "Carl T.", "non-dropping-particle" : "", "parse-names" : false, "suffix" : "" }, { "dropping-particle" : "", "family" : "Richards", "given" : "Stephen J.", "non-dropping-particle" : "", "parse-names" : false, "suffix" : "" } ], "container-title" : "Cytometry Part B - Clinical Cytometry", "id" : "ITEM-3", "issue" : "4", "issued" : { "date-parts" : [ [ "2010" ] ] }, "page" : "211-230", "title" : "Guidelines for the diagnosis and monitoring of paroxysmal nocturnal hemoglobinuria and related disorders by flow cytometry", "type" : "article-journal", "volume" : "78" }, "uris" : [ "http://www.mendeley.com/documents/?uuid=82b1fd42-bedd-4a5b-b01e-6e3b6012b2c1" ] } ], "mendeley" : { "formattedCitation" : "[27,29,41]", "plainTextFormattedCitation" : "[27,29,41]", "previouslyFormattedCitation" : "[27,29,41]" }, "properties" : { "noteIndex" : 0 }, "schema" : "https://github.com/citation-style-language/schema/raw/master/csl-citation.json" }</w:instrText>
      </w:r>
      <w:r>
        <w:rPr>
          <w:bCs/>
        </w:rPr>
        <w:fldChar w:fldCharType="separate"/>
      </w:r>
      <w:r w:rsidR="00034578" w:rsidRPr="00034578">
        <w:rPr>
          <w:bCs/>
          <w:noProof/>
        </w:rPr>
        <w:t>[27,29,41]</w:t>
      </w:r>
      <w:r>
        <w:rPr>
          <w:bCs/>
        </w:rPr>
        <w:fldChar w:fldCharType="end"/>
      </w:r>
      <w:r>
        <w:rPr>
          <w:bCs/>
        </w:rPr>
        <w:t>;</w:t>
      </w:r>
    </w:p>
    <w:p w14:paraId="69C8B7D1" w14:textId="15077CFF" w:rsidR="00AF5D12" w:rsidRPr="00D87376" w:rsidRDefault="00AF5D12" w:rsidP="00AF5D12">
      <w:pPr>
        <w:spacing w:after="160"/>
        <w:ind w:firstLine="708"/>
        <w:rPr>
          <w:bCs/>
        </w:rPr>
      </w:pPr>
      <w:proofErr w:type="gramStart"/>
      <w:r>
        <w:rPr>
          <w:bCs/>
        </w:rPr>
        <w:t xml:space="preserve">- при исходном ПНГ-клоне </w:t>
      </w:r>
      <w:r w:rsidRPr="001B1446">
        <w:rPr>
          <w:bCs/>
        </w:rPr>
        <w:t>&lt;1%</w:t>
      </w:r>
      <w:r>
        <w:rPr>
          <w:bCs/>
        </w:rPr>
        <w:t xml:space="preserve"> - с частотой 1 раз в 12 месяцев</w:t>
      </w:r>
      <w:proofErr w:type="gramEnd"/>
      <w:r w:rsidRPr="00D87376">
        <w:rPr>
          <w:bCs/>
        </w:rPr>
        <w:t xml:space="preserve"> </w:t>
      </w:r>
      <w:r>
        <w:rPr>
          <w:bCs/>
        </w:rPr>
        <w:fldChar w:fldCharType="begin" w:fldLock="1"/>
      </w:r>
      <w:r w:rsidR="00034578">
        <w:rPr>
          <w:bCs/>
        </w:rPr>
        <w:instrText>ADDIN CSL_CITATION { "citationItems" : [ { "id" : "ITEM-1", "itemData" : { "DOI" : "10.1182/blood.V118.21.1033.1033", "ISSN" : "0006-4971", "abstract" : "Abstract 1033", "author" : [ { "dropping-particle" : "", "family" : "Movalia", "given" : "Mayur K", "non-dropping-particle" : "", "parse-names" : false, "suffix" : "" }, { "dropping-particle" : "", "family" : "Weitz", "given" : "Ilene c", "non-dropping-particle" : "", "parse-names" : false, "suffix" : "" }, { "dropping-particle" : "", "family" : "Lim", "given" : "Seah H", "non-dropping-particle" : "", "parse-names" : false, "suffix" : "" }, { "dropping-particle" : "", "family" : "Illingworth", "given" : "Andrea", "non-dropping-particle" : "", "parse-names" : false, "suffix" : "" } ], "container-title" : "Blood", "id" : "ITEM-1", "issue" : "21", "issued" : { "date-parts" : [ [ "2011", "11", "18" ] ] }, "page" : "1033-1033", "title" : "Incidence of PNH Clones by Diagnostic Code Utilizing High Sensitivity Flow Cytometry", "type" : "article-journal", "volume" : "118" }, "uris" : [ "http://www.mendeley.com/documents/?uuid=95527c0a-61c0-4ee1-b16a-2b2e3a491a7d" ] }, { "id" : "ITEM-2", "itemData" : { "DOI" : "10.1182/blood-2005-04-1717", "ISSN" : "0006-4971", "author" : [ { "dropping-particle" : "", "family" : "Parker", "given" : "C.", "non-dropping-particle" : "", "parse-names" : false, "suffix" : "" } ], "container-title" : "Blood", "id" : "ITEM-2", "issue" : "12", "issued" : { "date-parts" : [ [ "2005", "12", "1" ] ] }, "page" : "3699-3709", "title" : "Diagnosis and management of paroxysmal nocturnal hemoglobinuria", "type" : "article-journal", "volume" : "106" }, "uris" : [ "http://www.mendeley.com/documents/?uuid=37210b5f-b729-4e47-965f-298bcd7b95e8" ] }, { "id" : "ITEM-3", "itemData" : { "DOI" : "10.1002/cyto.b.20525", "ISSN" : "15524957", "abstract" : "Background: Paroxysmal nocturnal hemoglobinuria (PNH) is a rare hematopoietic stem cell disorder characterized by a somatic mutation in the PIGA gene, leading to a deficiency of proteins linked to the cell membrane via glycophosphatidylinositol (GPI) anchors. While flow cytometry is the method of choice for identifying cells deficient in GPI-linked proteins and is, therefore, necessary for the diagnosis of PNH, to date there has not been an attempt to standardize the methodology used to identify these cells. Methods: In this document, we present a consensus effort that describes flow cytometric procedures for detecting PNH cells. Results: We discuss clinical indications and offer recommendations on data interpretation and reporting but mostly focus on analytical procedures important for analysis. We distinguish between routine analysis (defined as identifying an abnormal population of 1% or more) and high-sensitivity analysis (in which as few as 0.01% PNH cells are detected). Antibody panels and gating strategies necessary for both procedures are presented in detail. We discuss methods for assessing PNH populations in both white blood cells and red blood cells and the relative advantages of measuring each. We present steps needed to validate the more elaborate high-sensitivity techniques, including the need for careful titration of reagents and determination of background rates in normal populations, and discuss technical pitfalls that might affect interpretation. Conclusions: This document should both enable laboratories interested in beginning PNH testing to establish a valid procedure and allow experienced laboratories to improve their techniques. \u00a9 2010 Clinical Cytometry Society.", "author" : [ { "dropping-particle" : "", "family" : "Borowitz", "given" : "Michael J.", "non-dropping-particle" : "", "parse-names" : false, "suffix" : "" }, { "dropping-particle" : "", "family" : "Craig", "given" : "Fiona E.", "non-dropping-particle" : "", "parse-names" : false, "suffix" : "" }, { "dropping-particle" : "", "family" : "DiGiuseppe", "given" : "Joseph A.", "non-dropping-particle" : "", "parse-names" : false, "suffix" : "" }, { "dropping-particle" : "", "family" : "Illingworth", "given" : "Andrea J.", "non-dropping-particle" : "", "parse-names" : false, "suffix" : "" }, { "dropping-particle" : "", "family" : "Rosse", "given" : "Wendell", "non-dropping-particle" : "", "parse-names" : false, "suffix" : "" }, { "dropping-particle" : "", "family" : "Sutherland", "given" : "D. Robert", "non-dropping-particle" : "", "parse-names" : false, "suffix" : "" }, { "dropping-particle" : "", "family" : "Wittwer", "given" : "Carl T.", "non-dropping-particle" : "", "parse-names" : false, "suffix" : "" }, { "dropping-particle" : "", "family" : "Richards", "given" : "Stephen J.", "non-dropping-particle" : "", "parse-names" : false, "suffix" : "" } ], "container-title" : "Cytometry Part B - Clinical Cytometry", "id" : "ITEM-3", "issue" : "4", "issued" : { "date-parts" : [ [ "2010" ] ] }, "page" : "211-230", "title" : "Guidelines for the diagnosis and monitoring of paroxysmal nocturnal hemoglobinuria and related disorders by flow cytometry", "type" : "article-journal", "volume" : "78" }, "uris" : [ "http://www.mendeley.com/documents/?uuid=82b1fd42-bedd-4a5b-b01e-6e3b6012b2c1" ] } ], "mendeley" : { "formattedCitation" : "[27,29,41]", "plainTextFormattedCitation" : "[27,29,41]", "previouslyFormattedCitation" : "[27,29,41]" }, "properties" : { "noteIndex" : 0 }, "schema" : "https://github.com/citation-style-language/schema/raw/master/csl-citation.json" }</w:instrText>
      </w:r>
      <w:r>
        <w:rPr>
          <w:bCs/>
        </w:rPr>
        <w:fldChar w:fldCharType="separate"/>
      </w:r>
      <w:r w:rsidR="00034578" w:rsidRPr="00034578">
        <w:rPr>
          <w:bCs/>
          <w:noProof/>
        </w:rPr>
        <w:t>[27,29,41]</w:t>
      </w:r>
      <w:r>
        <w:rPr>
          <w:bCs/>
        </w:rPr>
        <w:fldChar w:fldCharType="end"/>
      </w:r>
      <w:r>
        <w:rPr>
          <w:bCs/>
        </w:rPr>
        <w:t>.</w:t>
      </w:r>
    </w:p>
    <w:p w14:paraId="0EB439E2" w14:textId="78296205" w:rsidR="00B4376C" w:rsidRPr="002C267B" w:rsidRDefault="00B4376C" w:rsidP="002C267B">
      <w:pPr>
        <w:pStyle w:val="aff1"/>
        <w:ind w:left="0" w:firstLine="708"/>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3F0CA536" w14:textId="77777777" w:rsidR="00B4376C" w:rsidRDefault="00B4376C" w:rsidP="002C267B">
      <w:pPr>
        <w:pStyle w:val="aff1"/>
        <w:ind w:left="0"/>
        <w:rPr>
          <w:b w:val="0"/>
          <w:i/>
        </w:rPr>
      </w:pPr>
    </w:p>
    <w:p w14:paraId="7DC85AEB" w14:textId="77777777" w:rsidR="009B4039" w:rsidRDefault="00C4630C" w:rsidP="00C4630C">
      <w:pPr>
        <w:pStyle w:val="afff1"/>
      </w:pPr>
      <w:bookmarkStart w:id="40" w:name="_Toc24641966"/>
      <w:r>
        <w:t xml:space="preserve">6. </w:t>
      </w:r>
      <w:r w:rsidR="009B4039" w:rsidRPr="00BF3A59">
        <w:t>Организация медицинской помощи</w:t>
      </w:r>
      <w:bookmarkEnd w:id="40"/>
    </w:p>
    <w:p w14:paraId="25B19E41" w14:textId="77777777" w:rsidR="009857DE" w:rsidRDefault="009857DE" w:rsidP="002C267B">
      <w:pPr>
        <w:pStyle w:val="aff7"/>
      </w:pPr>
    </w:p>
    <w:p w14:paraId="62F727B5" w14:textId="0ECAC506" w:rsidR="002C267B" w:rsidRDefault="002C267B" w:rsidP="002C267B">
      <w:pPr>
        <w:pStyle w:val="aff7"/>
      </w:pPr>
      <w:r w:rsidRPr="00A86E5F">
        <w:t>Показания для</w:t>
      </w:r>
      <w:r>
        <w:t xml:space="preserve"> экстренной </w:t>
      </w:r>
      <w:r w:rsidRPr="00A86E5F">
        <w:t xml:space="preserve">госпитализации </w:t>
      </w:r>
      <w:r>
        <w:t xml:space="preserve">пациентов с ПНГ </w:t>
      </w:r>
      <w:r w:rsidRPr="00A86E5F">
        <w:t>в медицинскую организацию</w:t>
      </w:r>
      <w:r w:rsidRPr="00BF3A59">
        <w:t>:</w:t>
      </w:r>
    </w:p>
    <w:p w14:paraId="3EBB2591" w14:textId="37FA6DC7" w:rsidR="002C267B" w:rsidRDefault="002C267B" w:rsidP="00071AB3">
      <w:pPr>
        <w:pStyle w:val="16"/>
        <w:numPr>
          <w:ilvl w:val="3"/>
          <w:numId w:val="13"/>
        </w:numPr>
        <w:ind w:left="709" w:hanging="283"/>
      </w:pPr>
      <w:r>
        <w:t xml:space="preserve">Развитие гемолитического криза и/или тромботических осложнений и/или тяжелого инфекционно-воспалительного процесса (пневмония, сепсис, особенно у </w:t>
      </w:r>
      <w:r>
        <w:lastRenderedPageBreak/>
        <w:t>пациентов, получающих патогенетическую терапию ингибиторами комплемента)</w:t>
      </w:r>
      <w:r w:rsidRPr="00447DC8">
        <w:t>.</w:t>
      </w:r>
    </w:p>
    <w:p w14:paraId="2C9D0B36" w14:textId="77777777" w:rsidR="002C267B" w:rsidRDefault="002C267B" w:rsidP="002C267B">
      <w:pPr>
        <w:pStyle w:val="16"/>
        <w:ind w:firstLine="0"/>
      </w:pPr>
    </w:p>
    <w:p w14:paraId="1FC3E0CC" w14:textId="77777777" w:rsidR="002C267B" w:rsidRDefault="002C267B" w:rsidP="002C267B">
      <w:pPr>
        <w:pStyle w:val="aff7"/>
      </w:pPr>
      <w:r w:rsidRPr="00A86E5F">
        <w:t>Показания для</w:t>
      </w:r>
      <w:r>
        <w:t xml:space="preserve"> плановой</w:t>
      </w:r>
      <w:r w:rsidRPr="00A86E5F">
        <w:t xml:space="preserve"> госпитализации в медицинскую организацию</w:t>
      </w:r>
      <w:r w:rsidRPr="00BF3A59">
        <w:t>:</w:t>
      </w:r>
    </w:p>
    <w:p w14:paraId="3893C535" w14:textId="77777777" w:rsidR="002C267B" w:rsidRPr="00C41A9B" w:rsidRDefault="002C267B" w:rsidP="002C267B">
      <w:pPr>
        <w:pStyle w:val="16"/>
      </w:pPr>
      <w:r w:rsidRPr="00C41A9B">
        <w:t xml:space="preserve">1) диспансерное обследование, в </w:t>
      </w:r>
      <w:proofErr w:type="spellStart"/>
      <w:r w:rsidRPr="00C41A9B">
        <w:t>т.ч</w:t>
      </w:r>
      <w:proofErr w:type="spellEnd"/>
      <w:r w:rsidRPr="00C41A9B">
        <w:t>. при первичной постановке диагноза;</w:t>
      </w:r>
    </w:p>
    <w:p w14:paraId="79AE69F3" w14:textId="344CFAB1" w:rsidR="002C267B" w:rsidRDefault="008E2063" w:rsidP="002C267B">
      <w:pPr>
        <w:pStyle w:val="16"/>
      </w:pPr>
      <w:r>
        <w:t xml:space="preserve">2) </w:t>
      </w:r>
      <w:r w:rsidR="002C267B" w:rsidRPr="00C41A9B">
        <w:t>диспансерное обследование</w:t>
      </w:r>
      <w:r w:rsidR="002C267B">
        <w:t xml:space="preserve"> для контроля эффективности патогенетической терапии ингибиторами комплемента;</w:t>
      </w:r>
    </w:p>
    <w:p w14:paraId="448FFD59" w14:textId="0206C5C5" w:rsidR="002C267B" w:rsidRDefault="002C267B" w:rsidP="002C267B">
      <w:pPr>
        <w:pStyle w:val="aff7"/>
        <w:ind w:firstLine="426"/>
      </w:pPr>
      <w:r w:rsidRPr="00985814">
        <w:t xml:space="preserve">3) </w:t>
      </w:r>
      <w:r>
        <w:t xml:space="preserve">сохранение или нарастание </w:t>
      </w:r>
      <w:proofErr w:type="spellStart"/>
      <w:r>
        <w:t>трансфузионной</w:t>
      </w:r>
      <w:proofErr w:type="spellEnd"/>
      <w:r>
        <w:t xml:space="preserve"> зависимости, рецидивы прорывного гемолиза у пациентов регулярно получающих патогенетическую терапию </w:t>
      </w:r>
      <w:proofErr w:type="spellStart"/>
      <w:r>
        <w:t>экулизумабом</w:t>
      </w:r>
      <w:proofErr w:type="spellEnd"/>
      <w:r>
        <w:t>.</w:t>
      </w:r>
    </w:p>
    <w:p w14:paraId="7BD016FE" w14:textId="77777777" w:rsidR="009B4039" w:rsidRDefault="009B4039" w:rsidP="00221384">
      <w:pPr>
        <w:pStyle w:val="aff7"/>
      </w:pPr>
      <w:r w:rsidRPr="00BF3A59">
        <w:t xml:space="preserve">Показания к выписке </w:t>
      </w:r>
      <w:r w:rsidRPr="00221384">
        <w:t>пациента</w:t>
      </w:r>
      <w:r w:rsidRPr="00BF3A59">
        <w:t xml:space="preserve"> из</w:t>
      </w:r>
      <w:r w:rsidR="00221384" w:rsidRPr="00221384">
        <w:rPr>
          <w:color w:val="000000"/>
          <w:lang w:bidi="ru-RU"/>
        </w:rPr>
        <w:t xml:space="preserve"> </w:t>
      </w:r>
      <w:r w:rsidR="00221384">
        <w:rPr>
          <w:color w:val="000000"/>
          <w:lang w:eastAsia="ru-RU" w:bidi="ru-RU"/>
        </w:rPr>
        <w:t>медицинск</w:t>
      </w:r>
      <w:r w:rsidR="00221384">
        <w:rPr>
          <w:color w:val="000000"/>
          <w:lang w:bidi="ru-RU"/>
        </w:rPr>
        <w:t>ой</w:t>
      </w:r>
      <w:r w:rsidR="00221384">
        <w:rPr>
          <w:color w:val="000000"/>
          <w:lang w:eastAsia="ru-RU" w:bidi="ru-RU"/>
        </w:rPr>
        <w:t xml:space="preserve"> </w:t>
      </w:r>
      <w:r w:rsidR="00334F6C">
        <w:rPr>
          <w:color w:val="000000"/>
          <w:lang w:eastAsia="ru-RU" w:bidi="ru-RU"/>
        </w:rPr>
        <w:t>организаци</w:t>
      </w:r>
      <w:r w:rsidR="00334F6C">
        <w:rPr>
          <w:color w:val="000000"/>
          <w:lang w:bidi="ru-RU"/>
        </w:rPr>
        <w:t>и</w:t>
      </w:r>
    </w:p>
    <w:p w14:paraId="790EFCDD" w14:textId="401FBFB6" w:rsidR="009B4039" w:rsidRDefault="009B4039" w:rsidP="009B4039">
      <w:pPr>
        <w:pStyle w:val="16"/>
      </w:pPr>
      <w:r>
        <w:t>1)</w:t>
      </w:r>
      <w:r w:rsidR="00034578">
        <w:t xml:space="preserve"> </w:t>
      </w:r>
      <w:r w:rsidR="002C267B">
        <w:t>стабилизация клинических и гематологических показателей на фоне патогенетической или симптоматической терапии</w:t>
      </w:r>
      <w:r>
        <w:t>;</w:t>
      </w:r>
    </w:p>
    <w:p w14:paraId="4F07AE62" w14:textId="53EA43DA" w:rsidR="009B4039" w:rsidRDefault="009B4039" w:rsidP="009B4039">
      <w:pPr>
        <w:pStyle w:val="16"/>
      </w:pPr>
      <w:r>
        <w:t xml:space="preserve">2) </w:t>
      </w:r>
      <w:r w:rsidR="002C267B">
        <w:t xml:space="preserve"> купирование инфекционных осложнений.</w:t>
      </w:r>
    </w:p>
    <w:p w14:paraId="5D39EC5E" w14:textId="77777777" w:rsidR="002C267B" w:rsidRDefault="002C267B" w:rsidP="009B4039">
      <w:pPr>
        <w:pStyle w:val="16"/>
      </w:pPr>
    </w:p>
    <w:p w14:paraId="1C3F29CD" w14:textId="79DC2F25" w:rsidR="000414F6" w:rsidRDefault="00CB71DA" w:rsidP="00B104EF">
      <w:pPr>
        <w:pStyle w:val="CustomContentNormal"/>
      </w:pPr>
      <w:bookmarkStart w:id="41" w:name="__RefHeading___doc_criteria"/>
      <w:bookmarkStart w:id="42" w:name="_Toc24641967"/>
      <w:bookmarkEnd w:id="39"/>
      <w:r>
        <w:t>Критерии оценки качества медицинской помощи</w:t>
      </w:r>
      <w:bookmarkEnd w:id="41"/>
      <w:bookmarkEnd w:id="42"/>
    </w:p>
    <w:p w14:paraId="533E19BF" w14:textId="77777777" w:rsidR="0025228A" w:rsidRPr="0017531C" w:rsidRDefault="0025228A" w:rsidP="00094ED6">
      <w:pPr>
        <w:pStyle w:val="afffa"/>
      </w:pPr>
    </w:p>
    <w:tbl>
      <w:tblPr>
        <w:tblW w:w="500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
        <w:gridCol w:w="5241"/>
        <w:gridCol w:w="15"/>
        <w:gridCol w:w="1789"/>
        <w:gridCol w:w="9"/>
        <w:gridCol w:w="1892"/>
      </w:tblGrid>
      <w:tr w:rsidR="00275A41" w14:paraId="29630AFE" w14:textId="77777777" w:rsidTr="00034578">
        <w:trPr>
          <w:divId w:val="129131041"/>
          <w:tblHeader/>
        </w:trPr>
        <w:tc>
          <w:tcPr>
            <w:tcW w:w="231" w:type="pct"/>
            <w:tcBorders>
              <w:top w:val="single" w:sz="6" w:space="0" w:color="000000"/>
              <w:left w:val="single" w:sz="6" w:space="0" w:color="000000"/>
              <w:bottom w:val="single" w:sz="6" w:space="0" w:color="000000"/>
              <w:right w:val="single" w:sz="6" w:space="0" w:color="000000"/>
            </w:tcBorders>
            <w:vAlign w:val="center"/>
            <w:hideMark/>
          </w:tcPr>
          <w:p w14:paraId="106E9785" w14:textId="77777777" w:rsidR="00275A41" w:rsidRDefault="00B104EF" w:rsidP="00B104EF">
            <w:pPr>
              <w:pStyle w:val="afb"/>
              <w:spacing w:beforeAutospacing="0" w:afterAutospacing="0" w:line="240" w:lineRule="auto"/>
              <w:ind w:firstLine="0"/>
              <w:jc w:val="center"/>
            </w:pPr>
            <w:r>
              <w:rPr>
                <w:rStyle w:val="affa"/>
              </w:rPr>
              <w:t>№</w:t>
            </w:r>
          </w:p>
          <w:p w14:paraId="7DB788B4" w14:textId="77777777" w:rsidR="00275A41" w:rsidRDefault="00275A41" w:rsidP="00B104EF">
            <w:pPr>
              <w:pStyle w:val="afb"/>
              <w:spacing w:beforeAutospacing="0" w:afterAutospacing="0" w:line="240" w:lineRule="auto"/>
              <w:ind w:firstLine="0"/>
              <w:jc w:val="center"/>
            </w:pPr>
          </w:p>
        </w:tc>
        <w:tc>
          <w:tcPr>
            <w:tcW w:w="2795" w:type="pct"/>
            <w:tcBorders>
              <w:top w:val="single" w:sz="6" w:space="0" w:color="000000"/>
              <w:left w:val="single" w:sz="6" w:space="0" w:color="000000"/>
              <w:bottom w:val="single" w:sz="6" w:space="0" w:color="000000"/>
              <w:right w:val="single" w:sz="6" w:space="0" w:color="000000"/>
            </w:tcBorders>
            <w:vAlign w:val="center"/>
            <w:hideMark/>
          </w:tcPr>
          <w:p w14:paraId="050454DC" w14:textId="77777777" w:rsidR="00275A41" w:rsidRDefault="00CB71DA" w:rsidP="00B104EF">
            <w:pPr>
              <w:pStyle w:val="afb"/>
              <w:spacing w:beforeAutospacing="0" w:afterAutospacing="0" w:line="240" w:lineRule="auto"/>
              <w:ind w:firstLine="0"/>
              <w:jc w:val="center"/>
            </w:pPr>
            <w:r>
              <w:rPr>
                <w:rStyle w:val="affa"/>
              </w:rPr>
              <w:t>Критерии качества</w:t>
            </w:r>
          </w:p>
        </w:tc>
        <w:tc>
          <w:tcPr>
            <w:tcW w:w="960" w:type="pct"/>
            <w:gridSpan w:val="2"/>
            <w:tcBorders>
              <w:top w:val="single" w:sz="6" w:space="0" w:color="000000"/>
              <w:left w:val="single" w:sz="6" w:space="0" w:color="000000"/>
              <w:bottom w:val="single" w:sz="6" w:space="0" w:color="000000"/>
              <w:right w:val="single" w:sz="6" w:space="0" w:color="000000"/>
            </w:tcBorders>
            <w:vAlign w:val="center"/>
            <w:hideMark/>
          </w:tcPr>
          <w:p w14:paraId="12382BF4" w14:textId="77777777"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1014" w:type="pct"/>
            <w:gridSpan w:val="2"/>
            <w:tcBorders>
              <w:top w:val="single" w:sz="6" w:space="0" w:color="000000"/>
              <w:left w:val="single" w:sz="6" w:space="0" w:color="000000"/>
              <w:bottom w:val="single" w:sz="6" w:space="0" w:color="000000"/>
              <w:right w:val="single" w:sz="6" w:space="0" w:color="000000"/>
            </w:tcBorders>
            <w:vAlign w:val="center"/>
            <w:hideMark/>
          </w:tcPr>
          <w:p w14:paraId="0FFAF3AE" w14:textId="77777777" w:rsidR="00275A41" w:rsidRDefault="004F413D" w:rsidP="006E5D66">
            <w:pPr>
              <w:pStyle w:val="afb"/>
              <w:spacing w:beforeAutospacing="0" w:afterAutospacing="0" w:line="240" w:lineRule="auto"/>
              <w:ind w:firstLine="0"/>
              <w:jc w:val="center"/>
            </w:pPr>
            <w:r>
              <w:rPr>
                <w:rStyle w:val="affa"/>
              </w:rPr>
              <w:t>Уровень достоверности доказательств</w:t>
            </w:r>
          </w:p>
        </w:tc>
      </w:tr>
      <w:tr w:rsidR="00275A41" w14:paraId="3B5B7850"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14:paraId="57A96F44" w14:textId="77777777" w:rsidR="00275A41" w:rsidRDefault="00275A41" w:rsidP="00B104EF">
            <w:pPr>
              <w:pStyle w:val="afb"/>
              <w:spacing w:beforeAutospacing="0" w:afterAutospacing="0" w:line="240" w:lineRule="auto"/>
              <w:ind w:left="720" w:firstLine="0"/>
            </w:pPr>
          </w:p>
        </w:tc>
        <w:tc>
          <w:tcPr>
            <w:tcW w:w="2801" w:type="pct"/>
            <w:gridSpan w:val="2"/>
            <w:tcBorders>
              <w:top w:val="single" w:sz="6" w:space="0" w:color="000000"/>
              <w:left w:val="single" w:sz="6" w:space="0" w:color="000000"/>
              <w:bottom w:val="single" w:sz="6" w:space="0" w:color="000000"/>
              <w:right w:val="single" w:sz="6" w:space="0" w:color="000000"/>
            </w:tcBorders>
            <w:hideMark/>
          </w:tcPr>
          <w:p w14:paraId="1A1E5800" w14:textId="77777777" w:rsidR="00275A41" w:rsidRDefault="00275A41" w:rsidP="00B104EF">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hideMark/>
          </w:tcPr>
          <w:p w14:paraId="1922B8BE" w14:textId="77777777" w:rsidR="00275A41" w:rsidRDefault="00275A41" w:rsidP="006E5D66">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hideMark/>
          </w:tcPr>
          <w:p w14:paraId="64160219" w14:textId="77777777" w:rsidR="00275A41" w:rsidRDefault="00275A41" w:rsidP="006E5D66">
            <w:pPr>
              <w:pStyle w:val="afb"/>
              <w:spacing w:beforeAutospacing="0" w:afterAutospacing="0" w:line="240" w:lineRule="auto"/>
              <w:ind w:firstLine="0"/>
              <w:jc w:val="center"/>
            </w:pPr>
          </w:p>
        </w:tc>
      </w:tr>
      <w:tr w:rsidR="00034578" w14:paraId="498973CD"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14:paraId="3F2358DF" w14:textId="77777777" w:rsidR="00034578" w:rsidRDefault="00034578" w:rsidP="00034578">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14:paraId="4A154B9C" w14:textId="188C612F" w:rsidR="00034578" w:rsidRDefault="00034578" w:rsidP="00034578">
            <w:pPr>
              <w:pStyle w:val="afb"/>
              <w:spacing w:beforeAutospacing="0" w:afterAutospacing="0" w:line="240" w:lineRule="auto"/>
              <w:ind w:firstLine="0"/>
            </w:pPr>
            <w:proofErr w:type="gramStart"/>
            <w:r>
              <w:t xml:space="preserve">Проведено исследование ПНГ-клона методом проточной </w:t>
            </w:r>
            <w:proofErr w:type="spellStart"/>
            <w:r>
              <w:t>цитометрии</w:t>
            </w:r>
            <w:proofErr w:type="spellEnd"/>
            <w:r>
              <w:t xml:space="preserve"> при первичной диагностике</w:t>
            </w:r>
            <w:proofErr w:type="gramEnd"/>
          </w:p>
        </w:tc>
        <w:tc>
          <w:tcPr>
            <w:tcW w:w="959" w:type="pct"/>
            <w:gridSpan w:val="2"/>
            <w:tcBorders>
              <w:top w:val="single" w:sz="6" w:space="0" w:color="000000"/>
              <w:left w:val="single" w:sz="6" w:space="0" w:color="000000"/>
              <w:bottom w:val="single" w:sz="6" w:space="0" w:color="000000"/>
              <w:right w:val="single" w:sz="6" w:space="0" w:color="000000"/>
            </w:tcBorders>
            <w:hideMark/>
          </w:tcPr>
          <w:p w14:paraId="2E028F64" w14:textId="64A2A564" w:rsidR="00034578" w:rsidRPr="006E5D66" w:rsidRDefault="006E5D66" w:rsidP="006E5D66">
            <w:pPr>
              <w:pStyle w:val="afb"/>
              <w:spacing w:beforeAutospacing="0" w:afterAutospacing="0" w:line="240" w:lineRule="auto"/>
              <w:ind w:firstLine="0"/>
              <w:jc w:val="center"/>
              <w:rPr>
                <w:lang w:val="en-US"/>
              </w:rPr>
            </w:pPr>
            <w:r>
              <w:rPr>
                <w:lang w:val="en-US"/>
              </w:rPr>
              <w:t>B</w:t>
            </w:r>
          </w:p>
        </w:tc>
        <w:tc>
          <w:tcPr>
            <w:tcW w:w="1009" w:type="pct"/>
            <w:tcBorders>
              <w:top w:val="single" w:sz="6" w:space="0" w:color="000000"/>
              <w:left w:val="single" w:sz="6" w:space="0" w:color="000000"/>
              <w:bottom w:val="single" w:sz="6" w:space="0" w:color="000000"/>
              <w:right w:val="single" w:sz="6" w:space="0" w:color="000000"/>
            </w:tcBorders>
            <w:hideMark/>
          </w:tcPr>
          <w:p w14:paraId="3343C280" w14:textId="2EFE9661" w:rsidR="00034578" w:rsidRPr="006E5D66" w:rsidRDefault="006E5D66" w:rsidP="006E5D66">
            <w:pPr>
              <w:pStyle w:val="afb"/>
              <w:spacing w:beforeAutospacing="0" w:afterAutospacing="0" w:line="240" w:lineRule="auto"/>
              <w:ind w:firstLine="0"/>
              <w:jc w:val="center"/>
              <w:rPr>
                <w:lang w:val="en-US"/>
              </w:rPr>
            </w:pPr>
            <w:r>
              <w:rPr>
                <w:lang w:val="en-US"/>
              </w:rPr>
              <w:t>3</w:t>
            </w:r>
          </w:p>
        </w:tc>
      </w:tr>
      <w:tr w:rsidR="00034578" w14:paraId="3E0A8F71"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14:paraId="392C6E5E" w14:textId="77777777" w:rsidR="00034578" w:rsidRDefault="00034578" w:rsidP="00034578">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14:paraId="7892DF64" w14:textId="04E01D8A" w:rsidR="00034578" w:rsidRDefault="00034578" w:rsidP="00034578">
            <w:pPr>
              <w:pStyle w:val="afb"/>
              <w:spacing w:beforeAutospacing="0" w:afterAutospacing="0" w:line="240" w:lineRule="auto"/>
              <w:ind w:firstLine="0"/>
            </w:pPr>
            <w:r>
              <w:t>Проведена лабораторная оценка гемолитической активности (</w:t>
            </w:r>
            <w:proofErr w:type="spellStart"/>
            <w:r>
              <w:t>ретикулоцитоз</w:t>
            </w:r>
            <w:proofErr w:type="spellEnd"/>
            <w:r>
              <w:t xml:space="preserve">, </w:t>
            </w:r>
            <w:proofErr w:type="spellStart"/>
            <w:r>
              <w:t>лактатдегидрогеназа</w:t>
            </w:r>
            <w:proofErr w:type="spellEnd"/>
            <w:r>
              <w:t>, билирубин)</w:t>
            </w:r>
          </w:p>
        </w:tc>
        <w:tc>
          <w:tcPr>
            <w:tcW w:w="959" w:type="pct"/>
            <w:gridSpan w:val="2"/>
            <w:tcBorders>
              <w:top w:val="single" w:sz="6" w:space="0" w:color="000000"/>
              <w:left w:val="single" w:sz="6" w:space="0" w:color="000000"/>
              <w:bottom w:val="single" w:sz="6" w:space="0" w:color="000000"/>
              <w:right w:val="single" w:sz="6" w:space="0" w:color="000000"/>
            </w:tcBorders>
            <w:hideMark/>
          </w:tcPr>
          <w:p w14:paraId="3590F7F7" w14:textId="52A46DDA" w:rsidR="00034578" w:rsidRPr="006E5D66" w:rsidRDefault="006E5D66" w:rsidP="006E5D66">
            <w:pPr>
              <w:pStyle w:val="afb"/>
              <w:spacing w:beforeAutospacing="0" w:afterAutospacing="0" w:line="240" w:lineRule="auto"/>
              <w:ind w:firstLine="0"/>
              <w:jc w:val="center"/>
              <w:rPr>
                <w:lang w:val="en-US"/>
              </w:rPr>
            </w:pPr>
            <w:r>
              <w:rPr>
                <w:lang w:val="en-US"/>
              </w:rPr>
              <w:t>C</w:t>
            </w:r>
          </w:p>
        </w:tc>
        <w:tc>
          <w:tcPr>
            <w:tcW w:w="1009" w:type="pct"/>
            <w:tcBorders>
              <w:top w:val="single" w:sz="6" w:space="0" w:color="000000"/>
              <w:left w:val="single" w:sz="6" w:space="0" w:color="000000"/>
              <w:bottom w:val="single" w:sz="6" w:space="0" w:color="000000"/>
              <w:right w:val="single" w:sz="6" w:space="0" w:color="000000"/>
            </w:tcBorders>
            <w:hideMark/>
          </w:tcPr>
          <w:p w14:paraId="1585834B" w14:textId="71F7EEAD" w:rsidR="00034578" w:rsidRPr="006E5D66" w:rsidRDefault="006E5D66" w:rsidP="006E5D66">
            <w:pPr>
              <w:pStyle w:val="afb"/>
              <w:spacing w:beforeAutospacing="0" w:afterAutospacing="0" w:line="240" w:lineRule="auto"/>
              <w:ind w:firstLine="0"/>
              <w:jc w:val="center"/>
              <w:rPr>
                <w:lang w:val="en-US"/>
              </w:rPr>
            </w:pPr>
            <w:r>
              <w:rPr>
                <w:lang w:val="en-US"/>
              </w:rPr>
              <w:t>5</w:t>
            </w:r>
          </w:p>
        </w:tc>
      </w:tr>
      <w:tr w:rsidR="00034578" w14:paraId="62AA62A3"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14:paraId="362DA88F" w14:textId="77777777" w:rsidR="00034578" w:rsidRDefault="00034578" w:rsidP="00034578">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14:paraId="10A84CDF" w14:textId="24D9E79D" w:rsidR="00034578" w:rsidRDefault="00034578" w:rsidP="00034578">
            <w:pPr>
              <w:pStyle w:val="afb"/>
              <w:spacing w:beforeAutospacing="0" w:afterAutospacing="0" w:line="240" w:lineRule="auto"/>
              <w:ind w:firstLine="0"/>
            </w:pPr>
            <w:r>
              <w:t xml:space="preserve">Проведены стандартные лабораторные исследования (общий анализ крови и мочи, биохимический анализ крови, </w:t>
            </w:r>
            <w:proofErr w:type="spellStart"/>
            <w:r>
              <w:t>коагулограмма</w:t>
            </w:r>
            <w:proofErr w:type="spellEnd"/>
            <w:r>
              <w:t>)</w:t>
            </w:r>
          </w:p>
        </w:tc>
        <w:tc>
          <w:tcPr>
            <w:tcW w:w="959" w:type="pct"/>
            <w:gridSpan w:val="2"/>
            <w:tcBorders>
              <w:top w:val="single" w:sz="6" w:space="0" w:color="000000"/>
              <w:left w:val="single" w:sz="6" w:space="0" w:color="000000"/>
              <w:bottom w:val="single" w:sz="6" w:space="0" w:color="000000"/>
              <w:right w:val="single" w:sz="6" w:space="0" w:color="000000"/>
            </w:tcBorders>
            <w:hideMark/>
          </w:tcPr>
          <w:p w14:paraId="2399AF1A" w14:textId="069DA4E9" w:rsidR="00034578" w:rsidRPr="006E5D66" w:rsidRDefault="006E5D66" w:rsidP="006E5D66">
            <w:pPr>
              <w:pStyle w:val="afb"/>
              <w:spacing w:beforeAutospacing="0" w:afterAutospacing="0" w:line="240" w:lineRule="auto"/>
              <w:ind w:firstLine="0"/>
              <w:jc w:val="center"/>
              <w:rPr>
                <w:lang w:val="en-US"/>
              </w:rPr>
            </w:pPr>
            <w:r>
              <w:rPr>
                <w:lang w:val="en-US"/>
              </w:rPr>
              <w:t>C</w:t>
            </w:r>
          </w:p>
        </w:tc>
        <w:tc>
          <w:tcPr>
            <w:tcW w:w="1009" w:type="pct"/>
            <w:tcBorders>
              <w:top w:val="single" w:sz="6" w:space="0" w:color="000000"/>
              <w:left w:val="single" w:sz="6" w:space="0" w:color="000000"/>
              <w:bottom w:val="single" w:sz="6" w:space="0" w:color="000000"/>
              <w:right w:val="single" w:sz="6" w:space="0" w:color="000000"/>
            </w:tcBorders>
            <w:hideMark/>
          </w:tcPr>
          <w:p w14:paraId="59DF32BD" w14:textId="7F361891" w:rsidR="00034578" w:rsidRPr="006E5D66" w:rsidRDefault="006E5D66" w:rsidP="006E5D66">
            <w:pPr>
              <w:pStyle w:val="afb"/>
              <w:spacing w:beforeAutospacing="0" w:afterAutospacing="0" w:line="240" w:lineRule="auto"/>
              <w:ind w:firstLine="0"/>
              <w:jc w:val="center"/>
              <w:rPr>
                <w:lang w:val="en-US"/>
              </w:rPr>
            </w:pPr>
            <w:r>
              <w:rPr>
                <w:lang w:val="en-US"/>
              </w:rPr>
              <w:t>5</w:t>
            </w:r>
          </w:p>
        </w:tc>
      </w:tr>
      <w:tr w:rsidR="00034578" w14:paraId="684A6059"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14:paraId="3D96E939" w14:textId="77777777" w:rsidR="00034578" w:rsidRDefault="00034578" w:rsidP="00034578">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14:paraId="617DF9A9" w14:textId="56973984" w:rsidR="00034578" w:rsidRDefault="00034578" w:rsidP="00034578">
            <w:pPr>
              <w:pStyle w:val="afb"/>
              <w:spacing w:beforeAutospacing="0" w:afterAutospacing="0" w:line="240" w:lineRule="auto"/>
              <w:ind w:firstLine="0"/>
            </w:pPr>
            <w:r>
              <w:t>Проведены стандартные инструментальные исследования (ультразвуковое исследование органов брюшной полости, рентгенография или компьютерная томография органов грудной клетки, электрокардиография, эхокардиография)</w:t>
            </w:r>
          </w:p>
        </w:tc>
        <w:tc>
          <w:tcPr>
            <w:tcW w:w="959" w:type="pct"/>
            <w:gridSpan w:val="2"/>
            <w:tcBorders>
              <w:top w:val="single" w:sz="6" w:space="0" w:color="000000"/>
              <w:left w:val="single" w:sz="6" w:space="0" w:color="000000"/>
              <w:bottom w:val="single" w:sz="6" w:space="0" w:color="000000"/>
              <w:right w:val="single" w:sz="6" w:space="0" w:color="000000"/>
            </w:tcBorders>
            <w:hideMark/>
          </w:tcPr>
          <w:p w14:paraId="38DFACF3" w14:textId="734577AD" w:rsidR="00034578" w:rsidRPr="006E5D66" w:rsidRDefault="006E5D66" w:rsidP="006E5D66">
            <w:pPr>
              <w:pStyle w:val="afb"/>
              <w:spacing w:beforeAutospacing="0" w:afterAutospacing="0" w:line="240" w:lineRule="auto"/>
              <w:ind w:firstLine="0"/>
              <w:jc w:val="center"/>
              <w:rPr>
                <w:lang w:val="en-US"/>
              </w:rPr>
            </w:pPr>
            <w:r>
              <w:rPr>
                <w:lang w:val="en-US"/>
              </w:rPr>
              <w:t>C</w:t>
            </w:r>
          </w:p>
        </w:tc>
        <w:tc>
          <w:tcPr>
            <w:tcW w:w="1009" w:type="pct"/>
            <w:tcBorders>
              <w:top w:val="single" w:sz="6" w:space="0" w:color="000000"/>
              <w:left w:val="single" w:sz="6" w:space="0" w:color="000000"/>
              <w:bottom w:val="single" w:sz="6" w:space="0" w:color="000000"/>
              <w:right w:val="single" w:sz="6" w:space="0" w:color="000000"/>
            </w:tcBorders>
            <w:hideMark/>
          </w:tcPr>
          <w:p w14:paraId="77FAB6F9" w14:textId="12A20E40" w:rsidR="00034578" w:rsidRPr="006E5D66" w:rsidRDefault="006E5D66" w:rsidP="006E5D66">
            <w:pPr>
              <w:pStyle w:val="afb"/>
              <w:spacing w:beforeAutospacing="0" w:afterAutospacing="0" w:line="240" w:lineRule="auto"/>
              <w:ind w:firstLine="0"/>
              <w:jc w:val="center"/>
              <w:rPr>
                <w:lang w:val="en-US"/>
              </w:rPr>
            </w:pPr>
            <w:r>
              <w:rPr>
                <w:lang w:val="en-US"/>
              </w:rPr>
              <w:t>5</w:t>
            </w:r>
          </w:p>
        </w:tc>
      </w:tr>
      <w:tr w:rsidR="00034578" w14:paraId="2F1A9855"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hideMark/>
          </w:tcPr>
          <w:p w14:paraId="085F13C5" w14:textId="77777777" w:rsidR="00034578" w:rsidRDefault="00034578" w:rsidP="00034578">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hideMark/>
          </w:tcPr>
          <w:p w14:paraId="42863373" w14:textId="78D20A96" w:rsidR="00034578" w:rsidRDefault="00034578" w:rsidP="00034578">
            <w:pPr>
              <w:pStyle w:val="afb"/>
              <w:spacing w:beforeAutospacing="0" w:afterAutospacing="0" w:line="240" w:lineRule="auto"/>
              <w:ind w:firstLine="0"/>
            </w:pPr>
            <w:r>
              <w:t>Проведены исследования костного мозга (при первично</w:t>
            </w:r>
            <w:r w:rsidR="006E5D66">
              <w:t>й диагностике</w:t>
            </w:r>
            <w:r>
              <w:t xml:space="preserve"> ПНГ)</w:t>
            </w:r>
          </w:p>
        </w:tc>
        <w:tc>
          <w:tcPr>
            <w:tcW w:w="959" w:type="pct"/>
            <w:gridSpan w:val="2"/>
            <w:tcBorders>
              <w:top w:val="single" w:sz="6" w:space="0" w:color="000000"/>
              <w:left w:val="single" w:sz="6" w:space="0" w:color="000000"/>
              <w:bottom w:val="single" w:sz="6" w:space="0" w:color="000000"/>
              <w:right w:val="single" w:sz="6" w:space="0" w:color="000000"/>
            </w:tcBorders>
            <w:hideMark/>
          </w:tcPr>
          <w:p w14:paraId="3170962C" w14:textId="7BB970E7" w:rsidR="00034578" w:rsidRDefault="006E5D66" w:rsidP="006E5D66">
            <w:pPr>
              <w:pStyle w:val="afb"/>
              <w:spacing w:beforeAutospacing="0" w:afterAutospacing="0" w:line="240" w:lineRule="auto"/>
              <w:ind w:firstLine="0"/>
              <w:jc w:val="center"/>
            </w:pPr>
            <w:r>
              <w:t>С</w:t>
            </w:r>
          </w:p>
        </w:tc>
        <w:tc>
          <w:tcPr>
            <w:tcW w:w="1009" w:type="pct"/>
            <w:tcBorders>
              <w:top w:val="single" w:sz="6" w:space="0" w:color="000000"/>
              <w:left w:val="single" w:sz="6" w:space="0" w:color="000000"/>
              <w:bottom w:val="single" w:sz="6" w:space="0" w:color="000000"/>
              <w:right w:val="single" w:sz="6" w:space="0" w:color="000000"/>
            </w:tcBorders>
            <w:hideMark/>
          </w:tcPr>
          <w:p w14:paraId="473DF631" w14:textId="6CF712FE" w:rsidR="00034578" w:rsidRDefault="006E5D66" w:rsidP="006E5D66">
            <w:pPr>
              <w:pStyle w:val="afb"/>
              <w:spacing w:beforeAutospacing="0" w:afterAutospacing="0" w:line="240" w:lineRule="auto"/>
              <w:ind w:firstLine="0"/>
              <w:jc w:val="center"/>
            </w:pPr>
            <w:r>
              <w:t>5</w:t>
            </w:r>
          </w:p>
        </w:tc>
      </w:tr>
      <w:tr w:rsidR="00034578" w14:paraId="0E3DB0FC"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tcPr>
          <w:p w14:paraId="2A52C940" w14:textId="77777777" w:rsidR="00034578" w:rsidRDefault="00034578" w:rsidP="00034578">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tcPr>
          <w:p w14:paraId="44FF63F5" w14:textId="0ECB954E" w:rsidR="00034578" w:rsidRPr="006E5D66" w:rsidRDefault="006E5D66" w:rsidP="00034578">
            <w:pPr>
              <w:pStyle w:val="afb"/>
              <w:spacing w:beforeAutospacing="0" w:afterAutospacing="0" w:line="240" w:lineRule="auto"/>
              <w:ind w:firstLine="0"/>
              <w:rPr>
                <w:lang w:val="en-US"/>
              </w:rPr>
            </w:pPr>
            <w:r>
              <w:t xml:space="preserve">Не назначались </w:t>
            </w:r>
            <w:proofErr w:type="spellStart"/>
            <w:r>
              <w:t>глюкокортикостероиды</w:t>
            </w:r>
            <w:proofErr w:type="spellEnd"/>
            <w:r>
              <w:rPr>
                <w:lang w:val="en-US"/>
              </w:rPr>
              <w:t xml:space="preserve"> (</w:t>
            </w:r>
            <w:r>
              <w:t>ГКС)</w:t>
            </w:r>
          </w:p>
        </w:tc>
        <w:tc>
          <w:tcPr>
            <w:tcW w:w="959" w:type="pct"/>
            <w:gridSpan w:val="2"/>
            <w:tcBorders>
              <w:top w:val="single" w:sz="6" w:space="0" w:color="000000"/>
              <w:left w:val="single" w:sz="6" w:space="0" w:color="000000"/>
              <w:bottom w:val="single" w:sz="6" w:space="0" w:color="000000"/>
              <w:right w:val="single" w:sz="6" w:space="0" w:color="000000"/>
            </w:tcBorders>
          </w:tcPr>
          <w:p w14:paraId="14AA8154" w14:textId="3F09943C" w:rsidR="00034578" w:rsidRPr="006E5D66" w:rsidRDefault="006E5D66" w:rsidP="006E5D66">
            <w:pPr>
              <w:pStyle w:val="afb"/>
              <w:spacing w:beforeAutospacing="0" w:afterAutospacing="0" w:line="240" w:lineRule="auto"/>
              <w:ind w:firstLine="0"/>
              <w:jc w:val="center"/>
              <w:rPr>
                <w:lang w:val="en-US"/>
              </w:rPr>
            </w:pPr>
            <w:r>
              <w:rPr>
                <w:lang w:val="en-US"/>
              </w:rPr>
              <w:t>C</w:t>
            </w:r>
          </w:p>
        </w:tc>
        <w:tc>
          <w:tcPr>
            <w:tcW w:w="1009" w:type="pct"/>
            <w:tcBorders>
              <w:top w:val="single" w:sz="6" w:space="0" w:color="000000"/>
              <w:left w:val="single" w:sz="6" w:space="0" w:color="000000"/>
              <w:bottom w:val="single" w:sz="6" w:space="0" w:color="000000"/>
              <w:right w:val="single" w:sz="6" w:space="0" w:color="000000"/>
            </w:tcBorders>
          </w:tcPr>
          <w:p w14:paraId="6C302664" w14:textId="0C3CF9B8" w:rsidR="00034578" w:rsidRDefault="006E5D66" w:rsidP="006E5D66">
            <w:pPr>
              <w:pStyle w:val="afb"/>
              <w:spacing w:beforeAutospacing="0" w:afterAutospacing="0" w:line="240" w:lineRule="auto"/>
              <w:ind w:firstLine="0"/>
              <w:jc w:val="center"/>
            </w:pPr>
            <w:r>
              <w:t>5</w:t>
            </w:r>
          </w:p>
        </w:tc>
      </w:tr>
      <w:tr w:rsidR="00034578" w14:paraId="1753CF57"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tcPr>
          <w:p w14:paraId="6FBB6153" w14:textId="77777777" w:rsidR="00034578" w:rsidRDefault="00034578" w:rsidP="00034578">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tcPr>
          <w:p w14:paraId="0291ACAF" w14:textId="77777777" w:rsidR="00034578" w:rsidRDefault="00034578" w:rsidP="00034578">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tcPr>
          <w:p w14:paraId="299A6F0C" w14:textId="77777777" w:rsidR="00034578" w:rsidRDefault="00034578" w:rsidP="006E5D66">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tcPr>
          <w:p w14:paraId="24A2DF0E" w14:textId="77777777" w:rsidR="00034578" w:rsidRDefault="00034578" w:rsidP="006E5D66">
            <w:pPr>
              <w:pStyle w:val="afb"/>
              <w:spacing w:beforeAutospacing="0" w:afterAutospacing="0" w:line="240" w:lineRule="auto"/>
              <w:ind w:firstLine="0"/>
              <w:jc w:val="center"/>
            </w:pPr>
          </w:p>
        </w:tc>
      </w:tr>
      <w:tr w:rsidR="00034578" w14:paraId="4D0E1499"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tcPr>
          <w:p w14:paraId="0545F960" w14:textId="77777777" w:rsidR="00034578" w:rsidRDefault="00034578" w:rsidP="00034578">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tcPr>
          <w:p w14:paraId="687C9743" w14:textId="77777777" w:rsidR="00034578" w:rsidRDefault="00034578" w:rsidP="00034578">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tcPr>
          <w:p w14:paraId="0EC3D8CF" w14:textId="77777777" w:rsidR="00034578" w:rsidRDefault="00034578" w:rsidP="006E5D66">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tcPr>
          <w:p w14:paraId="0A612D28" w14:textId="77777777" w:rsidR="00034578" w:rsidRDefault="00034578" w:rsidP="006E5D66">
            <w:pPr>
              <w:pStyle w:val="afb"/>
              <w:spacing w:beforeAutospacing="0" w:afterAutospacing="0" w:line="240" w:lineRule="auto"/>
              <w:ind w:firstLine="0"/>
              <w:jc w:val="center"/>
            </w:pPr>
          </w:p>
        </w:tc>
      </w:tr>
      <w:tr w:rsidR="00034578" w14:paraId="33EF11E2" w14:textId="77777777" w:rsidTr="00034578">
        <w:trPr>
          <w:divId w:val="129131041"/>
        </w:trPr>
        <w:tc>
          <w:tcPr>
            <w:tcW w:w="231" w:type="pct"/>
            <w:tcBorders>
              <w:top w:val="single" w:sz="6" w:space="0" w:color="000000"/>
              <w:left w:val="single" w:sz="6" w:space="0" w:color="000000"/>
              <w:bottom w:val="single" w:sz="6" w:space="0" w:color="000000"/>
              <w:right w:val="single" w:sz="6" w:space="0" w:color="000000"/>
            </w:tcBorders>
          </w:tcPr>
          <w:p w14:paraId="30390CD9" w14:textId="77777777" w:rsidR="00034578" w:rsidRDefault="00034578" w:rsidP="00034578">
            <w:pPr>
              <w:pStyle w:val="afb"/>
              <w:numPr>
                <w:ilvl w:val="0"/>
                <w:numId w:val="5"/>
              </w:numPr>
              <w:spacing w:beforeAutospacing="0" w:afterAutospacing="0" w:line="240" w:lineRule="auto"/>
              <w:jc w:val="center"/>
            </w:pPr>
          </w:p>
        </w:tc>
        <w:tc>
          <w:tcPr>
            <w:tcW w:w="2801" w:type="pct"/>
            <w:gridSpan w:val="2"/>
            <w:tcBorders>
              <w:top w:val="single" w:sz="6" w:space="0" w:color="000000"/>
              <w:left w:val="single" w:sz="6" w:space="0" w:color="000000"/>
              <w:bottom w:val="single" w:sz="6" w:space="0" w:color="000000"/>
              <w:right w:val="single" w:sz="6" w:space="0" w:color="000000"/>
            </w:tcBorders>
            <w:vAlign w:val="center"/>
          </w:tcPr>
          <w:p w14:paraId="17AE9D74" w14:textId="77777777" w:rsidR="00034578" w:rsidRDefault="00034578" w:rsidP="00034578">
            <w:pPr>
              <w:pStyle w:val="afb"/>
              <w:spacing w:beforeAutospacing="0" w:afterAutospacing="0" w:line="240" w:lineRule="auto"/>
              <w:ind w:firstLine="0"/>
            </w:pPr>
          </w:p>
        </w:tc>
        <w:tc>
          <w:tcPr>
            <w:tcW w:w="959" w:type="pct"/>
            <w:gridSpan w:val="2"/>
            <w:tcBorders>
              <w:top w:val="single" w:sz="6" w:space="0" w:color="000000"/>
              <w:left w:val="single" w:sz="6" w:space="0" w:color="000000"/>
              <w:bottom w:val="single" w:sz="6" w:space="0" w:color="000000"/>
              <w:right w:val="single" w:sz="6" w:space="0" w:color="000000"/>
            </w:tcBorders>
          </w:tcPr>
          <w:p w14:paraId="20DB1C98" w14:textId="77777777" w:rsidR="00034578" w:rsidRDefault="00034578" w:rsidP="006E5D66">
            <w:pPr>
              <w:pStyle w:val="afb"/>
              <w:spacing w:beforeAutospacing="0" w:afterAutospacing="0" w:line="240" w:lineRule="auto"/>
              <w:ind w:firstLine="0"/>
              <w:jc w:val="center"/>
            </w:pPr>
          </w:p>
        </w:tc>
        <w:tc>
          <w:tcPr>
            <w:tcW w:w="1009" w:type="pct"/>
            <w:tcBorders>
              <w:top w:val="single" w:sz="6" w:space="0" w:color="000000"/>
              <w:left w:val="single" w:sz="6" w:space="0" w:color="000000"/>
              <w:bottom w:val="single" w:sz="6" w:space="0" w:color="000000"/>
              <w:right w:val="single" w:sz="6" w:space="0" w:color="000000"/>
            </w:tcBorders>
          </w:tcPr>
          <w:p w14:paraId="10E4C891" w14:textId="77777777" w:rsidR="00034578" w:rsidRDefault="00034578" w:rsidP="006E5D66">
            <w:pPr>
              <w:pStyle w:val="afb"/>
              <w:spacing w:beforeAutospacing="0" w:afterAutospacing="0" w:line="240" w:lineRule="auto"/>
              <w:ind w:firstLine="0"/>
              <w:jc w:val="center"/>
            </w:pPr>
          </w:p>
        </w:tc>
      </w:tr>
    </w:tbl>
    <w:p w14:paraId="5C5328BA" w14:textId="73CF62D7" w:rsidR="000414F6" w:rsidRDefault="00CB71DA" w:rsidP="00172112">
      <w:pPr>
        <w:pStyle w:val="CustomContentNormal"/>
      </w:pPr>
      <w:bookmarkStart w:id="43" w:name="__RefHeading___doc_bible"/>
      <w:bookmarkStart w:id="44" w:name="_Toc24641968"/>
      <w:r>
        <w:t>Список литературы</w:t>
      </w:r>
      <w:bookmarkEnd w:id="43"/>
      <w:bookmarkEnd w:id="44"/>
    </w:p>
    <w:p w14:paraId="08022F98" w14:textId="6FFFE274" w:rsidR="0042202D" w:rsidRPr="00C17916" w:rsidRDefault="00951496" w:rsidP="0042202D">
      <w:pPr>
        <w:widowControl w:val="0"/>
        <w:autoSpaceDE w:val="0"/>
        <w:autoSpaceDN w:val="0"/>
        <w:adjustRightInd w:val="0"/>
        <w:spacing w:before="240"/>
        <w:ind w:left="640" w:hanging="640"/>
        <w:rPr>
          <w:rFonts w:cs="Times New Roman"/>
          <w:noProof/>
          <w:szCs w:val="24"/>
          <w:lang w:val="en-US"/>
        </w:rPr>
      </w:pPr>
      <w:r w:rsidRPr="00951496">
        <w:rPr>
          <w:szCs w:val="24"/>
        </w:rPr>
        <w:fldChar w:fldCharType="begin" w:fldLock="1"/>
      </w:r>
      <w:r w:rsidRPr="00C31AE6">
        <w:rPr>
          <w:szCs w:val="24"/>
          <w:lang w:val="en-US"/>
        </w:rPr>
        <w:instrText xml:space="preserve">ADDIN Mendeley Bibliography CSL_BIBLIOGRAPHY </w:instrText>
      </w:r>
      <w:r w:rsidRPr="00951496">
        <w:rPr>
          <w:szCs w:val="24"/>
        </w:rPr>
        <w:fldChar w:fldCharType="separate"/>
      </w:r>
      <w:r w:rsidR="0042202D" w:rsidRPr="00C17916">
        <w:rPr>
          <w:rFonts w:cs="Times New Roman"/>
          <w:noProof/>
          <w:szCs w:val="24"/>
          <w:lang w:val="en-US"/>
        </w:rPr>
        <w:t>[1]</w:t>
      </w:r>
      <w:r w:rsidR="0042202D" w:rsidRPr="00C17916">
        <w:rPr>
          <w:rFonts w:cs="Times New Roman"/>
          <w:noProof/>
          <w:szCs w:val="24"/>
          <w:lang w:val="en-US"/>
        </w:rPr>
        <w:tab/>
        <w:t xml:space="preserve">Bessler M, Mason PJ, Hillmen P, Miyata T, Yamada N, Takeda J, et al. Paroxysmal </w:t>
      </w:r>
      <w:r w:rsidR="0042202D" w:rsidRPr="00C17916">
        <w:rPr>
          <w:rFonts w:cs="Times New Roman"/>
          <w:noProof/>
          <w:szCs w:val="24"/>
          <w:lang w:val="en-US"/>
        </w:rPr>
        <w:lastRenderedPageBreak/>
        <w:t>nocturnal haemoglobinuria (PNH) is caused by somatic mutations in the PIG-A gene. EMBO J 1994;13:110–7. https://doi.org/10.1002/j.1460-2075.1994.tb06240.x.</w:t>
      </w:r>
    </w:p>
    <w:p w14:paraId="56E88441"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w:t>
      </w:r>
      <w:r w:rsidRPr="00C17916">
        <w:rPr>
          <w:rFonts w:cs="Times New Roman"/>
          <w:noProof/>
          <w:szCs w:val="24"/>
          <w:lang w:val="en-US"/>
        </w:rPr>
        <w:tab/>
        <w:t>Takeda J, Miyata T, Kawagoe K, Iida Y, Endo Y, Fujita T, et al. Deficiency of the GPI anchor caused by a somatic mutation of the PIG-A gene in paroxysmal nocturnal hemoglobinuria. Cell 1993;73:703–11. https://doi.org/10.1016/0092-8674(93)90250-T.</w:t>
      </w:r>
    </w:p>
    <w:p w14:paraId="312687A2"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w:t>
      </w:r>
      <w:r w:rsidRPr="00C17916">
        <w:rPr>
          <w:rFonts w:cs="Times New Roman"/>
          <w:noProof/>
          <w:szCs w:val="24"/>
          <w:lang w:val="en-US"/>
        </w:rPr>
        <w:tab/>
        <w:t>Medof BYME, Kinoshita T, Nussenzweig V. INHIBITION OF COMPLEMENT OF CELLS AFTER ACTIVATION ON THE OF INCORPORATION ( DAF ) INTO THEIR MEMBRANES A key step in complement activation on targets is the deposition of C4b and / or C3b fragments . These major cleavage products of C3 and C4 can associa 1984;160:1558–78.</w:t>
      </w:r>
    </w:p>
    <w:p w14:paraId="2E2E1969"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[4]</w:t>
      </w:r>
      <w:r w:rsidRPr="00C17916">
        <w:rPr>
          <w:rFonts w:cs="Times New Roman"/>
          <w:noProof/>
          <w:szCs w:val="24"/>
          <w:lang w:val="en-US"/>
        </w:rPr>
        <w:tab/>
        <w:t>Lublin DM, Atkinson JP. Decay-Accelerating Factor: Biochemistry, Molecular Biology, and Function. Annu Rev Immunol 1989;7:35–58. https://doi.org/10.1146/annurev.iy.07.040189.000343.</w:t>
      </w:r>
    </w:p>
    <w:p w14:paraId="39919687"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[5]</w:t>
      </w:r>
      <w:r w:rsidRPr="00C17916">
        <w:rPr>
          <w:rFonts w:cs="Times New Roman"/>
          <w:noProof/>
          <w:szCs w:val="24"/>
          <w:lang w:val="en-US"/>
        </w:rPr>
        <w:tab/>
        <w:t>Rollins SA, Sims PJ. The complement-inhibitory activity of CD59 resides in its capacity to block incorporation of C9 into membrane C5b-9. J Immunol 1990;144:3478 LP-3483.</w:t>
      </w:r>
    </w:p>
    <w:p w14:paraId="21489A87"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[6]</w:t>
      </w:r>
      <w:r w:rsidRPr="00C17916">
        <w:rPr>
          <w:rFonts w:cs="Times New Roman"/>
          <w:noProof/>
          <w:szCs w:val="24"/>
          <w:lang w:val="en-US"/>
        </w:rPr>
        <w:tab/>
        <w:t>Noris M, Remuzzi G. Overview of complement activation and regulation. Semin Nephrol 2013;33:479–92. https://doi.org/10.1016/j.semnephrol.2013.08.001.</w:t>
      </w:r>
    </w:p>
    <w:p w14:paraId="795CEC94"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[7]</w:t>
      </w:r>
      <w:r w:rsidRPr="00C17916">
        <w:rPr>
          <w:rFonts w:cs="Times New Roman"/>
          <w:noProof/>
          <w:szCs w:val="24"/>
          <w:lang w:val="en-US"/>
        </w:rPr>
        <w:tab/>
        <w:t>Tegla CA, Cudrici C, Patel S, Trippe R, Rus V, Niculescu F, et al. Membrane attack by complement: the assembly and biology of terminal complement complexes. Immunol Res 2011;51:45–60. https://doi.org/10.1007/s12026-011-8239-5.</w:t>
      </w:r>
    </w:p>
    <w:p w14:paraId="7CECEB2A"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[8]</w:t>
      </w:r>
      <w:r w:rsidRPr="00C17916">
        <w:rPr>
          <w:rFonts w:cs="Times New Roman"/>
          <w:noProof/>
          <w:szCs w:val="24"/>
          <w:lang w:val="en-US"/>
        </w:rPr>
        <w:tab/>
        <w:t>Serna M, Giles JL, Morgan BP, Bubeck D. Structural basis of complement membrane attack complex formation. Nat Commun 2016;7:1–7. https://doi.org/10.1038/ncomms10587.</w:t>
      </w:r>
    </w:p>
    <w:p w14:paraId="28069EC6"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[9]</w:t>
      </w:r>
      <w:r w:rsidRPr="00C17916">
        <w:rPr>
          <w:rFonts w:cs="Times New Roman"/>
          <w:noProof/>
          <w:szCs w:val="24"/>
          <w:lang w:val="en-US"/>
        </w:rPr>
        <w:tab/>
        <w:t>Sun X, Funk CD, Deng C, Sahu A, Lambris JD, Song WC. Role of decay-accelerating factor in regulating complement activation on the erythrocyte surface as revealed by gene targeting. Proc Natl Acad Sci U S A 1999;96:628–33. https://doi.org/10.1073/pnas.96.2.628.</w:t>
      </w:r>
    </w:p>
    <w:p w14:paraId="2105D6CA"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[10]</w:t>
      </w:r>
      <w:r w:rsidRPr="00C17916">
        <w:rPr>
          <w:rFonts w:cs="Times New Roman"/>
          <w:noProof/>
          <w:szCs w:val="24"/>
          <w:lang w:val="en-US"/>
        </w:rPr>
        <w:tab/>
        <w:t xml:space="preserve">Brodbeck WG, Kuttner-Kondo L, Mold C, Medof ME. Structure/function studies of human decay-accelerating factor. Immunology 2000;101:104–11. </w:t>
      </w:r>
      <w:r w:rsidRPr="00C17916">
        <w:rPr>
          <w:rFonts w:cs="Times New Roman"/>
          <w:noProof/>
          <w:szCs w:val="24"/>
          <w:lang w:val="en-US"/>
        </w:rPr>
        <w:lastRenderedPageBreak/>
        <w:t>https://doi.org/10.1046/j.1365-2567.2000.00086.x.</w:t>
      </w:r>
    </w:p>
    <w:p w14:paraId="780DDA72"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[11]</w:t>
      </w:r>
      <w:r w:rsidRPr="00C17916">
        <w:rPr>
          <w:rFonts w:cs="Times New Roman"/>
          <w:noProof/>
          <w:szCs w:val="24"/>
          <w:lang w:val="en-US"/>
        </w:rPr>
        <w:tab/>
        <w:t>Farkas I, Baranyi L, Ishikawa Y, Okada N, Bohata C, Budai D, et al. CD59 blocks not only the insertion of C9 into MAC but inhibits ion channel formation by homologous C5b-8 as well as C5b-9. J Physiol 2002;539:537–45. https://doi.org/10.1113/jphysiol.2001.013381.</w:t>
      </w:r>
    </w:p>
    <w:p w14:paraId="46824A2A"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[12]</w:t>
      </w:r>
      <w:r w:rsidRPr="00C17916">
        <w:rPr>
          <w:rFonts w:cs="Times New Roman"/>
          <w:noProof/>
          <w:szCs w:val="24"/>
          <w:lang w:val="en-US"/>
        </w:rPr>
        <w:tab/>
        <w:t>Bessler M, Hiken J. The pathophysiology of disease in patients with paroxysmal nocturnal hemoglobinuria. Hematology Am Soc Hematol Educ Program 2008:104–10. https://doi.org/10.1182/asheducation-2008.1.104.</w:t>
      </w:r>
    </w:p>
    <w:p w14:paraId="0F6405C0"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[13]</w:t>
      </w:r>
      <w:r w:rsidRPr="00C17916">
        <w:rPr>
          <w:rFonts w:cs="Times New Roman"/>
          <w:noProof/>
          <w:szCs w:val="24"/>
          <w:lang w:val="en-US"/>
        </w:rPr>
        <w:tab/>
        <w:t>Hill A, Kelly RJ, Hillmen P. Thrombosis in paroxysmal nocturnal hemoglobinuria. Blood 2013;121:4985–96. https://doi.org/10.1182/blood-2012-09-311381.</w:t>
      </w:r>
    </w:p>
    <w:p w14:paraId="0B3D5E16"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[14]</w:t>
      </w:r>
      <w:r w:rsidRPr="00C17916">
        <w:rPr>
          <w:rFonts w:cs="Times New Roman"/>
          <w:noProof/>
          <w:szCs w:val="24"/>
          <w:lang w:val="en-US"/>
        </w:rPr>
        <w:tab/>
        <w:t>Rother RP, Bell L, Hillmen P, Gladwin MT. The Clinical Sequelae of Intravascular Hemolysis and Extracellular Plasma Hemoglobin. JAMA 2005;293:1653. https://doi.org/10.1001/jama.293.13.1653.</w:t>
      </w:r>
    </w:p>
    <w:p w14:paraId="4C4F2278"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[15]</w:t>
      </w:r>
      <w:r w:rsidRPr="00C17916">
        <w:rPr>
          <w:rFonts w:cs="Times New Roman"/>
          <w:noProof/>
          <w:szCs w:val="24"/>
          <w:lang w:val="en-US"/>
        </w:rPr>
        <w:tab/>
        <w:t>Olsen SB, Tang DB, Jackson MR, Gomez ER, Ayala B, Alving BM. Enhancement of Platelet Deposition by Cross-Linked Hemoglobin in a Rat Carotid Endarterectomy Model. Circulation 1996;93:327–32. https://doi.org/10.1161/01.CIR.93.2.327.</w:t>
      </w:r>
    </w:p>
    <w:p w14:paraId="12EA4371"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[16]</w:t>
      </w:r>
      <w:r w:rsidRPr="00C17916">
        <w:rPr>
          <w:rFonts w:cs="Times New Roman"/>
          <w:noProof/>
          <w:szCs w:val="24"/>
          <w:lang w:val="en-US"/>
        </w:rPr>
        <w:tab/>
        <w:t>Simionatto CS, Cabal R, Jones RL, Galbraith RA. Thrombophlebitis and disturbed hemostasis following administration of intravenous hematin in normal volunteers. Am J Med 1988;85:538–40. https://doi.org/10.1016/S0002-9343(88)80092-5.</w:t>
      </w:r>
    </w:p>
    <w:p w14:paraId="402A0477"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[17]</w:t>
      </w:r>
      <w:r w:rsidRPr="00C17916">
        <w:rPr>
          <w:rFonts w:cs="Times New Roman"/>
          <w:noProof/>
          <w:szCs w:val="24"/>
          <w:lang w:val="en-US"/>
        </w:rPr>
        <w:tab/>
        <w:t>Studt J-D, Hovinga JAK, Antoine G, Hermann M, Rieger M, Scheiflinger F, et al. Fatal congenital thrombotic thrombocytopenic purpura with apparent ADAMTS13 inhibitor: in vitro inhibition of ADAMTS13 activity by hemoglobin. Blood 2005;105:542–4. https://doi.org/10.1182/blood-2004-06-2096.</w:t>
      </w:r>
    </w:p>
    <w:p w14:paraId="26FA2ED6"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[18]</w:t>
      </w:r>
      <w:r w:rsidRPr="00C17916">
        <w:rPr>
          <w:rFonts w:cs="Times New Roman"/>
          <w:noProof/>
          <w:szCs w:val="24"/>
          <w:lang w:val="en-US"/>
        </w:rPr>
        <w:tab/>
        <w:t>Ritis K, Doumas M, Mastellos D, Micheli A, Giaglis S, Magotti P, et al. A Novel C5a Receptor-Tissue Factor Cross-Talk in Neutrophils Links Innate Immunity to Coagulation Pathways. J Immunol 2006;177:4794–802. https://doi.org/10.4049/jimmunol.177.7.4794.</w:t>
      </w:r>
    </w:p>
    <w:p w14:paraId="66E386E8"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[19]</w:t>
      </w:r>
      <w:r w:rsidRPr="00C17916">
        <w:rPr>
          <w:rFonts w:cs="Times New Roman"/>
          <w:noProof/>
          <w:szCs w:val="24"/>
          <w:lang w:val="en-US"/>
        </w:rPr>
        <w:tab/>
        <w:t>Wojta J, Kaun C, Zorn G, Ghannadan M, Hauswirth AW, Sperr WR, et al. C5a stimulates production of plasminogen activator inhibitor-1 in human mast cells and basophils. Blood 2002;100:517–23. https://doi.org/10.1182/blood.V100.2.517.</w:t>
      </w:r>
    </w:p>
    <w:p w14:paraId="41BB50D7"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lastRenderedPageBreak/>
        <w:t>[20]</w:t>
      </w:r>
      <w:r w:rsidRPr="00C17916">
        <w:rPr>
          <w:rFonts w:cs="Times New Roman"/>
          <w:noProof/>
          <w:szCs w:val="24"/>
          <w:lang w:val="en-US"/>
        </w:rPr>
        <w:tab/>
        <w:t>Yu F, Du Y, Han B. A comparative analysis of clinical characteristics of patients with paroxysmal nocturnal hemoglobinuria between Asia and Europe/America. Int J Hematol 2016;103:649–54. https://doi.org/10.1007/s12185-016-1995-1.</w:t>
      </w:r>
    </w:p>
    <w:p w14:paraId="4A192AC9"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[21]</w:t>
      </w:r>
      <w:r w:rsidRPr="00C17916">
        <w:rPr>
          <w:rFonts w:cs="Times New Roman"/>
          <w:noProof/>
          <w:szCs w:val="24"/>
          <w:lang w:val="en-US"/>
        </w:rPr>
        <w:tab/>
        <w:t>Hill A, DeZern AE, Kinoshita T, Brodsky RA. Paroxysmal nocturnal haemoglobinuria. Nat Rev Dis Prim 2017;3:17028. https://doi.org/10.1038/nrdp.2017.28.</w:t>
      </w:r>
    </w:p>
    <w:p w14:paraId="428B4353"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[22]</w:t>
      </w:r>
      <w:r w:rsidRPr="00C17916">
        <w:rPr>
          <w:rFonts w:cs="Times New Roman"/>
          <w:noProof/>
          <w:szCs w:val="24"/>
          <w:lang w:val="en-US"/>
        </w:rPr>
        <w:tab/>
        <w:t>Hill A, Platts PJ, Smith A, Richards SJ, Cullen MJ, Hill Q a., et al. The incidence and prevalence of paroxysmal nocturnal hemoglobinuria (PNH) and survival of patients in Yorkshire. Blood 2006;108:Abstract 985.</w:t>
      </w:r>
    </w:p>
    <w:p w14:paraId="73A2ACFA"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[23]</w:t>
      </w:r>
      <w:r w:rsidRPr="00C17916">
        <w:rPr>
          <w:rFonts w:cs="Times New Roman"/>
          <w:noProof/>
          <w:szCs w:val="24"/>
          <w:lang w:val="en-US"/>
        </w:rPr>
        <w:tab/>
        <w:t>Brodsky RA. Paroxysmal nocturnal hemoglobinuria. Blood 2014;124:2804–11. https://doi.org/10.1182/blood-2014-02-522128.</w:t>
      </w:r>
    </w:p>
    <w:p w14:paraId="42D2ED41"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[24]</w:t>
      </w:r>
      <w:r w:rsidRPr="00C17916">
        <w:rPr>
          <w:rFonts w:cs="Times New Roman"/>
          <w:noProof/>
          <w:szCs w:val="24"/>
          <w:lang w:val="en-US"/>
        </w:rPr>
        <w:tab/>
        <w:t>Hillmen P, Elebute M, Kelly R, Urbano-Ispizua A, Hill A, Rother RP, et al. Long-term effect of the complement inhibitor eculizumab on kidney function in patients with paroxysmal nocturnal hemoglobinuria. Am J Hematol 2010;85:553–9. https://doi.org/10.1002/ajh.21757.</w:t>
      </w:r>
    </w:p>
    <w:p w14:paraId="30E4A8F6"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[25]</w:t>
      </w:r>
      <w:r w:rsidRPr="00C17916">
        <w:rPr>
          <w:rFonts w:cs="Times New Roman"/>
          <w:noProof/>
          <w:szCs w:val="24"/>
          <w:lang w:val="en-US"/>
        </w:rPr>
        <w:tab/>
        <w:t>Hill A, Sapsford RJ, Scally A, Kelly R, Richards SJ, Khurisgara G, et al. Under-recognized complications in patients with paroxysmal nocturnal haemoglobinuria: Raised pulmonary pressure and reduced right ventricular function. Br J Haematol 2012;158:409–14. https://doi.org/10.1111/j.1365-2141.2012.09166.x.</w:t>
      </w:r>
    </w:p>
    <w:p w14:paraId="4F32B0BF"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[26]</w:t>
      </w:r>
      <w:r w:rsidRPr="00C17916">
        <w:rPr>
          <w:rFonts w:cs="Times New Roman"/>
          <w:noProof/>
          <w:szCs w:val="24"/>
          <w:lang w:val="en-US"/>
        </w:rPr>
        <w:tab/>
        <w:t>Sahin F, Akay OM, Ayer M, Dal MS, Ertop S, Ilhan O. Pesg PNH diagnosis , follow-up and treatment guidelines 2016;6:19–27.</w:t>
      </w:r>
    </w:p>
    <w:p w14:paraId="66B35EE2"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[27]</w:t>
      </w:r>
      <w:r w:rsidRPr="00C17916">
        <w:rPr>
          <w:rFonts w:cs="Times New Roman"/>
          <w:noProof/>
          <w:szCs w:val="24"/>
          <w:lang w:val="en-US"/>
        </w:rPr>
        <w:tab/>
        <w:t>Borowitz MJ, Craig FE, DiGiuseppe JA, Illingworth AJ, Rosse W, Sutherland DR, et al. Guidelines for the diagnosis and monitoring of paroxysmal nocturnal hemoglobinuria and related disorders by flow cytometry. Cytom Part B - Clin Cytom 2010;78:211–30. https://doi.org/10.1002/cyto.b.20525.</w:t>
      </w:r>
    </w:p>
    <w:p w14:paraId="0A4BF998"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[28]</w:t>
      </w:r>
      <w:r w:rsidRPr="00C17916">
        <w:rPr>
          <w:rFonts w:cs="Times New Roman"/>
          <w:noProof/>
          <w:szCs w:val="24"/>
          <w:lang w:val="en-US"/>
        </w:rPr>
        <w:tab/>
        <w:t>Manivannan P, Ahuja A, Pati HP. Diagnosis of Paroxysmal Nocturnal Hemoglobinuria: Recent Advances. Indian J Hematol Blood Transfus 2017;33:453–62. https://doi.org/10.1007/s12288-017-0868-y.</w:t>
      </w:r>
    </w:p>
    <w:p w14:paraId="1FB2E881"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[29]</w:t>
      </w:r>
      <w:r w:rsidRPr="00C17916">
        <w:rPr>
          <w:rFonts w:cs="Times New Roman"/>
          <w:noProof/>
          <w:szCs w:val="24"/>
          <w:lang w:val="en-US"/>
        </w:rPr>
        <w:tab/>
        <w:t xml:space="preserve">Movalia MK, Weitz I c, Lim SH, Illingworth A. Incidence of PNH Clones by Diagnostic Code Utilizing High Sensitivity Flow Cytometry. Blood 2011;118:1033–1033. </w:t>
      </w:r>
      <w:r w:rsidRPr="00C17916">
        <w:rPr>
          <w:rFonts w:cs="Times New Roman"/>
          <w:noProof/>
          <w:szCs w:val="24"/>
          <w:lang w:val="en-US"/>
        </w:rPr>
        <w:lastRenderedPageBreak/>
        <w:t>https://doi.org/10.1182/blood.V118.21.1033.1033.</w:t>
      </w:r>
    </w:p>
    <w:p w14:paraId="2D8E5DC1"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[30]</w:t>
      </w:r>
      <w:r w:rsidRPr="00C17916">
        <w:rPr>
          <w:rFonts w:cs="Times New Roman"/>
          <w:noProof/>
          <w:szCs w:val="24"/>
          <w:lang w:val="en-US"/>
        </w:rPr>
        <w:tab/>
        <w:t>Dezern AE, Borowitz MJ. ICCS/ESCCA consensus guidelines to detect GPI-deficient cells in paroxysmal nocturnal hemoglobinuria (PNH) and related disorders part 1 – clinical utility. Cytom Part B - Clin Cytom 2018;94:16–22. https://doi.org/10.1002/cyto.b.21608.</w:t>
      </w:r>
    </w:p>
    <w:p w14:paraId="49AF7421"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[31]</w:t>
      </w:r>
      <w:r w:rsidRPr="00C17916">
        <w:rPr>
          <w:rFonts w:cs="Times New Roman"/>
          <w:noProof/>
          <w:szCs w:val="24"/>
          <w:lang w:val="en-US"/>
        </w:rPr>
        <w:tab/>
        <w:t>Sutherland DR, Illingworth A, Marinov I, Ortiz F, Andreasen J, Payne D, et al. ICCS/ESCCA consensus guidelines to detect GPI-deficient cells in paroxysmal nocturnal hemoglobinuria (PNH) and related disorders part 2 – reagent selection and assay optimization for high-sensitivity testing. Cytom Part B - Clin Cytom 2018;94:23–48. https://doi.org/10.1002/cyto.b.21610.</w:t>
      </w:r>
    </w:p>
    <w:p w14:paraId="6B06E69C" w14:textId="77777777" w:rsidR="0042202D" w:rsidRPr="008E2063"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[32]</w:t>
      </w:r>
      <w:r w:rsidRPr="00C17916">
        <w:rPr>
          <w:rFonts w:cs="Times New Roman"/>
          <w:noProof/>
          <w:szCs w:val="24"/>
          <w:lang w:val="en-US"/>
        </w:rPr>
        <w:tab/>
        <w:t xml:space="preserve">Brubaker LH, Essig LRJ, Mengel CE. Neutrophil life span in paroxysmal nocturnal hemoglobinuria. </w:t>
      </w:r>
      <w:r w:rsidRPr="008E2063">
        <w:rPr>
          <w:rFonts w:cs="Times New Roman"/>
          <w:noProof/>
          <w:szCs w:val="24"/>
          <w:lang w:val="en-US"/>
        </w:rPr>
        <w:t>Blood 1977;50:657–62.</w:t>
      </w:r>
    </w:p>
    <w:p w14:paraId="02C9D999"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[33]</w:t>
      </w:r>
      <w:r w:rsidRPr="00C17916">
        <w:rPr>
          <w:rFonts w:cs="Times New Roman"/>
          <w:noProof/>
          <w:szCs w:val="24"/>
          <w:lang w:val="en-US"/>
        </w:rPr>
        <w:tab/>
        <w:t>Hill A, Hillmen P, Richards SJ, Elebute D, Marsh JC, Chan J, et al. Sustained response and long-term safety of eculizumab in paroxysmal nocturnal hemoglobinuria. Blood 2005;106:2559–65. https://doi.org/10.1182/blood-2005-02-0564.</w:t>
      </w:r>
    </w:p>
    <w:p w14:paraId="14AD7DDA"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[34]</w:t>
      </w:r>
      <w:r w:rsidRPr="00C17916">
        <w:rPr>
          <w:rFonts w:cs="Times New Roman"/>
          <w:noProof/>
          <w:szCs w:val="24"/>
          <w:lang w:val="en-US"/>
        </w:rPr>
        <w:tab/>
        <w:t>Hillmen P, Young NS, Schubert J, Brodsky RA, Socié G, Muus P, et al. The Complement Inhibitor Eculizumab in Paroxysmal Nocturnal Hemoglobinuria. N Engl J Med 2006;355:1233–43. https://doi.org/10.1056/NEJMoa061648.</w:t>
      </w:r>
    </w:p>
    <w:p w14:paraId="5EC1E1AC"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[35]</w:t>
      </w:r>
      <w:r w:rsidRPr="00C17916">
        <w:rPr>
          <w:rFonts w:cs="Times New Roman"/>
          <w:noProof/>
          <w:szCs w:val="24"/>
          <w:lang w:val="en-US"/>
        </w:rPr>
        <w:tab/>
        <w:t>Savva S. The Potential of a Museum-School Partnership to Support Diversity and Multiliteracies-Based Pedagogy for the 21st Century 2016;111:1840–8. https://doi.org/10.1182/blood-2007-06-094136.The.</w:t>
      </w:r>
    </w:p>
    <w:p w14:paraId="4EFB6D48"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[36]</w:t>
      </w:r>
      <w:r w:rsidRPr="00C17916">
        <w:rPr>
          <w:rFonts w:cs="Times New Roman"/>
          <w:noProof/>
          <w:szCs w:val="24"/>
          <w:lang w:val="en-US"/>
        </w:rPr>
        <w:tab/>
        <w:t>Hillmen P, Hall C, Marsh JCW, Elebute M, Bombara MP, Petro BE, et al. Effect of Eculizumab on Hemolysis and Transfusion Requirements in Patients with Paroxysmal Nocturnal Hemoglobinuria. N Engl J Med 2004;350:552–9. https://doi.org/10.1056/NEJMoa031688.</w:t>
      </w:r>
    </w:p>
    <w:p w14:paraId="1E9C4F48"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[37]</w:t>
      </w:r>
      <w:r w:rsidRPr="00C17916">
        <w:rPr>
          <w:rFonts w:cs="Times New Roman"/>
          <w:noProof/>
          <w:szCs w:val="24"/>
          <w:lang w:val="en-US"/>
        </w:rPr>
        <w:tab/>
        <w:t>McNamara LA, Topaz N, Wang X, Hariri S, Fox L, MacNeil JR. High Risk for Invasive Meningococcal Disease Among Patients Receiving Eculizumab (Soliris) Despite Receipt of Meningococcal Vaccine. MMWR Morb Mortal Wkly Rep 2017;66:734–7. https://doi.org/10.15585/mmwr.mm6627e1.</w:t>
      </w:r>
    </w:p>
    <w:p w14:paraId="6D9A34C0"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lastRenderedPageBreak/>
        <w:t>[38]</w:t>
      </w:r>
      <w:r w:rsidRPr="00C17916">
        <w:rPr>
          <w:rFonts w:cs="Times New Roman"/>
          <w:noProof/>
          <w:szCs w:val="24"/>
          <w:lang w:val="en-US"/>
        </w:rPr>
        <w:tab/>
        <w:t>Brodsky RA. Stem cell transplantation for paroxysmal nocturnal hemoglobinuria 2010;95:855–6. https://doi.org/10.3324/haematol.2010.023176.</w:t>
      </w:r>
    </w:p>
    <w:p w14:paraId="4FE6A169"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[39]</w:t>
      </w:r>
      <w:r w:rsidRPr="00C17916">
        <w:rPr>
          <w:rFonts w:cs="Times New Roman"/>
          <w:noProof/>
          <w:szCs w:val="24"/>
          <w:lang w:val="en-US"/>
        </w:rPr>
        <w:tab/>
        <w:t>de Latour RP, Schrezenmeier H, Bacigalupo A, Blaise D, de Souza CA, Vigouroux S, et al. Allogeneic stem cell transplantation in paroxysmal nocturnal hemoglobinuria. Haematologica 2012;97:1666–73. https://doi.org/10.3324/haematol.2012.062828.</w:t>
      </w:r>
    </w:p>
    <w:p w14:paraId="5DCB1621" w14:textId="77777777" w:rsidR="0042202D" w:rsidRPr="00C17916" w:rsidRDefault="0042202D" w:rsidP="0042202D">
      <w:pPr>
        <w:widowControl w:val="0"/>
        <w:autoSpaceDE w:val="0"/>
        <w:autoSpaceDN w:val="0"/>
        <w:adjustRightInd w:val="0"/>
        <w:spacing w:before="240"/>
        <w:ind w:left="640" w:hanging="640"/>
        <w:rPr>
          <w:rFonts w:cs="Times New Roman"/>
          <w:noProof/>
          <w:szCs w:val="24"/>
          <w:lang w:val="en-US"/>
        </w:rPr>
      </w:pPr>
      <w:r w:rsidRPr="00C17916">
        <w:rPr>
          <w:rFonts w:cs="Times New Roman"/>
          <w:noProof/>
          <w:szCs w:val="24"/>
          <w:lang w:val="en-US"/>
        </w:rPr>
        <w:t>[40]</w:t>
      </w:r>
      <w:r w:rsidRPr="00C17916">
        <w:rPr>
          <w:rFonts w:cs="Times New Roman"/>
          <w:noProof/>
          <w:szCs w:val="24"/>
          <w:lang w:val="en-US"/>
        </w:rPr>
        <w:tab/>
        <w:t>Brecher M, Taswell H. Paroxysmal nocturnal hemoglobinuria and the transfusion of washed red cells. A myth revisited. Transfusion 1989;29:681–5. https://doi.org/10.1046/j.1537-2995.1989.29890020439.x.</w:t>
      </w:r>
    </w:p>
    <w:p w14:paraId="531CD9C9" w14:textId="77777777" w:rsidR="0042202D" w:rsidRPr="0042202D" w:rsidRDefault="0042202D" w:rsidP="0042202D">
      <w:pPr>
        <w:widowControl w:val="0"/>
        <w:autoSpaceDE w:val="0"/>
        <w:autoSpaceDN w:val="0"/>
        <w:adjustRightInd w:val="0"/>
        <w:spacing w:before="240"/>
        <w:ind w:left="640" w:hanging="640"/>
        <w:rPr>
          <w:rFonts w:cs="Times New Roman"/>
          <w:noProof/>
        </w:rPr>
      </w:pPr>
      <w:r w:rsidRPr="00C17916">
        <w:rPr>
          <w:rFonts w:cs="Times New Roman"/>
          <w:noProof/>
          <w:szCs w:val="24"/>
          <w:lang w:val="en-US"/>
        </w:rPr>
        <w:t>[41]</w:t>
      </w:r>
      <w:r w:rsidRPr="00C17916">
        <w:rPr>
          <w:rFonts w:cs="Times New Roman"/>
          <w:noProof/>
          <w:szCs w:val="24"/>
          <w:lang w:val="en-US"/>
        </w:rPr>
        <w:tab/>
        <w:t xml:space="preserve">Parker C. Diagnosis and management of paroxysmal nocturnal hemoglobinuria. </w:t>
      </w:r>
      <w:r w:rsidRPr="0042202D">
        <w:rPr>
          <w:rFonts w:cs="Times New Roman"/>
          <w:noProof/>
          <w:szCs w:val="24"/>
        </w:rPr>
        <w:t>Blood 2005;106:3699–709. https://doi.org/10.1182/blood-2005-04-1717.</w:t>
      </w:r>
    </w:p>
    <w:p w14:paraId="3F5E7919" w14:textId="3B56DEE6" w:rsidR="000414F6" w:rsidRDefault="00951496" w:rsidP="007D10F3">
      <w:pPr>
        <w:pStyle w:val="afff1"/>
      </w:pPr>
      <w:r w:rsidRPr="00951496">
        <w:rPr>
          <w:sz w:val="24"/>
          <w:szCs w:val="24"/>
        </w:rPr>
        <w:fldChar w:fldCharType="end"/>
      </w:r>
      <w:r w:rsidR="00CB71DA" w:rsidRPr="001B3902">
        <w:br w:type="page"/>
      </w:r>
      <w:bookmarkStart w:id="45" w:name="__RefHeading___doc_a1"/>
      <w:bookmarkStart w:id="46" w:name="_Toc24641969"/>
      <w:r w:rsidR="00CB71DA">
        <w:lastRenderedPageBreak/>
        <w:t>Приложение</w:t>
      </w:r>
      <w:r w:rsidR="00CB71DA" w:rsidRPr="001B3902">
        <w:t xml:space="preserve"> </w:t>
      </w:r>
      <w:r w:rsidR="00CB71DA">
        <w:t>А</w:t>
      </w:r>
      <w:proofErr w:type="gramStart"/>
      <w:r w:rsidR="00CB71DA" w:rsidRPr="001B3902">
        <w:t>1</w:t>
      </w:r>
      <w:proofErr w:type="gramEnd"/>
      <w:r w:rsidR="00CB71DA" w:rsidRPr="001B3902">
        <w:t xml:space="preserve">. </w:t>
      </w:r>
      <w:r w:rsidR="00CB71DA">
        <w:t>Состав рабочей группы</w:t>
      </w:r>
      <w:bookmarkEnd w:id="45"/>
      <w:r w:rsidR="005627B3">
        <w:t xml:space="preserve"> по разработке и пересмотру клинических рекомендаций</w:t>
      </w:r>
      <w:bookmarkEnd w:id="46"/>
    </w:p>
    <w:p w14:paraId="05DF35F7" w14:textId="77777777" w:rsidR="009857DE" w:rsidRDefault="009857DE" w:rsidP="002C267B">
      <w:pPr>
        <w:rPr>
          <w:color w:val="000000" w:themeColor="text1"/>
        </w:rPr>
      </w:pPr>
    </w:p>
    <w:p w14:paraId="6D271B8A" w14:textId="61DE27C0" w:rsidR="002C267B" w:rsidRPr="00C4287E" w:rsidRDefault="002C267B" w:rsidP="002C267B">
      <w:pPr>
        <w:rPr>
          <w:color w:val="000000" w:themeColor="text1"/>
        </w:rPr>
      </w:pPr>
      <w:r w:rsidRPr="008C51EB">
        <w:rPr>
          <w:color w:val="000000" w:themeColor="text1"/>
        </w:rPr>
        <w:t>Члены Национального гематологического обще</w:t>
      </w:r>
      <w:r>
        <w:rPr>
          <w:color w:val="000000" w:themeColor="text1"/>
        </w:rPr>
        <w:t>ст</w:t>
      </w:r>
      <w:r w:rsidRPr="008C51EB">
        <w:rPr>
          <w:color w:val="000000" w:themeColor="text1"/>
        </w:rPr>
        <w:t>ва</w:t>
      </w:r>
      <w:r w:rsidR="004A1BCA">
        <w:rPr>
          <w:color w:val="000000" w:themeColor="text1"/>
        </w:rPr>
        <w:t>:</w:t>
      </w:r>
    </w:p>
    <w:p w14:paraId="105868E2" w14:textId="19D91530" w:rsidR="002C267B" w:rsidRPr="008C51EB" w:rsidRDefault="002C267B" w:rsidP="00071AB3">
      <w:pPr>
        <w:pStyle w:val="afb"/>
        <w:numPr>
          <w:ilvl w:val="0"/>
          <w:numId w:val="14"/>
        </w:numPr>
        <w:spacing w:before="100" w:after="100" w:line="360" w:lineRule="auto"/>
        <w:jc w:val="left"/>
      </w:pPr>
      <w:r w:rsidRPr="008C51EB">
        <w:t>Савченко В.Г.</w:t>
      </w:r>
      <w:r w:rsidRPr="008C51EB">
        <w:rPr>
          <w:vertAlign w:val="superscript"/>
        </w:rPr>
        <w:t>1</w:t>
      </w:r>
      <w:r w:rsidRPr="008C51EB">
        <w:t>, д.м.н., профессор, академик РАН, генеральный директор НМИЦ гематологии</w:t>
      </w:r>
      <w:r w:rsidR="007E0C74">
        <w:t>, главный внештатный специалист-гематолог Минздрава России</w:t>
      </w:r>
    </w:p>
    <w:p w14:paraId="2ABC615F" w14:textId="6FA70E1B" w:rsidR="002C267B" w:rsidRDefault="002C267B" w:rsidP="00071AB3">
      <w:pPr>
        <w:pStyle w:val="afb"/>
        <w:numPr>
          <w:ilvl w:val="0"/>
          <w:numId w:val="14"/>
        </w:numPr>
        <w:spacing w:before="100" w:after="100" w:line="360" w:lineRule="auto"/>
        <w:jc w:val="left"/>
      </w:pPr>
      <w:r w:rsidRPr="008C51EB">
        <w:t>Лукина Е.А.</w:t>
      </w:r>
      <w:r w:rsidRPr="008C51EB">
        <w:rPr>
          <w:vertAlign w:val="superscript"/>
        </w:rPr>
        <w:t>1</w:t>
      </w:r>
      <w:r w:rsidRPr="008C51EB">
        <w:t xml:space="preserve">, д.м.н., профессор, зав. научно-клиническим отделением </w:t>
      </w:r>
      <w:proofErr w:type="spellStart"/>
      <w:r w:rsidRPr="008C51EB">
        <w:t>орфанных</w:t>
      </w:r>
      <w:proofErr w:type="spellEnd"/>
      <w:r w:rsidRPr="008C51EB">
        <w:t xml:space="preserve"> заболеваний НМИЦ гематологии</w:t>
      </w:r>
    </w:p>
    <w:p w14:paraId="39A7DED5" w14:textId="77777777" w:rsidR="00034578" w:rsidRDefault="002C267B" w:rsidP="00034578">
      <w:pPr>
        <w:pStyle w:val="afb"/>
        <w:numPr>
          <w:ilvl w:val="0"/>
          <w:numId w:val="14"/>
        </w:numPr>
        <w:spacing w:before="100" w:after="100" w:line="360" w:lineRule="auto"/>
        <w:jc w:val="left"/>
      </w:pPr>
      <w:r>
        <w:t>Михайлова Е.А</w:t>
      </w:r>
      <w:proofErr w:type="gramStart"/>
      <w:r w:rsidRPr="00034578">
        <w:rPr>
          <w:vertAlign w:val="superscript"/>
        </w:rPr>
        <w:t>1</w:t>
      </w:r>
      <w:proofErr w:type="gramEnd"/>
      <w:r>
        <w:t xml:space="preserve">., </w:t>
      </w:r>
      <w:r w:rsidRPr="008C51EB">
        <w:t>д.м.н., профессор,</w:t>
      </w:r>
      <w:r>
        <w:t xml:space="preserve"> ведущий научный сотрудник</w:t>
      </w:r>
      <w:r w:rsidR="00034578">
        <w:t xml:space="preserve"> отделения</w:t>
      </w:r>
      <w:r>
        <w:t xml:space="preserve"> </w:t>
      </w:r>
      <w:r w:rsidR="00034578" w:rsidRPr="00034578">
        <w:t xml:space="preserve">интенсивной высокодозной химиотерапии </w:t>
      </w:r>
      <w:proofErr w:type="spellStart"/>
      <w:r w:rsidR="00034578" w:rsidRPr="00034578">
        <w:t>гемобластозов</w:t>
      </w:r>
      <w:proofErr w:type="spellEnd"/>
      <w:r w:rsidR="00034578" w:rsidRPr="00034578">
        <w:t xml:space="preserve"> и депрессий кроветворения с круглосуточным и дневным стационаром</w:t>
      </w:r>
    </w:p>
    <w:p w14:paraId="6DD33093" w14:textId="2F6E6866" w:rsidR="002C267B" w:rsidRPr="00034578" w:rsidRDefault="002C267B" w:rsidP="00034578">
      <w:pPr>
        <w:pStyle w:val="afb"/>
        <w:numPr>
          <w:ilvl w:val="0"/>
          <w:numId w:val="14"/>
        </w:numPr>
        <w:spacing w:before="100" w:after="100" w:line="360" w:lineRule="auto"/>
        <w:jc w:val="left"/>
      </w:pPr>
      <w:r w:rsidRPr="00034578">
        <w:rPr>
          <w:shd w:val="clear" w:color="auto" w:fill="FFFFFF"/>
        </w:rPr>
        <w:t>Цветаева Н.В.</w:t>
      </w:r>
      <w:r w:rsidRPr="00034578">
        <w:rPr>
          <w:vertAlign w:val="superscript"/>
        </w:rPr>
        <w:t>1</w:t>
      </w:r>
      <w:r w:rsidRPr="00034578">
        <w:rPr>
          <w:shd w:val="clear" w:color="auto" w:fill="FFFFFF"/>
        </w:rPr>
        <w:t xml:space="preserve">, к.м.н., старший научный сотрудник отделения </w:t>
      </w:r>
      <w:proofErr w:type="spellStart"/>
      <w:r w:rsidRPr="00034578">
        <w:rPr>
          <w:shd w:val="clear" w:color="auto" w:fill="FFFFFF"/>
        </w:rPr>
        <w:t>орфанных</w:t>
      </w:r>
      <w:proofErr w:type="spellEnd"/>
      <w:r w:rsidRPr="00034578">
        <w:rPr>
          <w:shd w:val="clear" w:color="auto" w:fill="FFFFFF"/>
        </w:rPr>
        <w:t xml:space="preserve"> заболеваний НМИЦ гематологии</w:t>
      </w:r>
    </w:p>
    <w:p w14:paraId="6273369F" w14:textId="47556101" w:rsidR="002C267B" w:rsidRPr="002C267B" w:rsidRDefault="002C267B" w:rsidP="00071AB3">
      <w:pPr>
        <w:numPr>
          <w:ilvl w:val="0"/>
          <w:numId w:val="14"/>
        </w:numPr>
        <w:rPr>
          <w:szCs w:val="24"/>
        </w:rPr>
      </w:pPr>
      <w:r>
        <w:rPr>
          <w:szCs w:val="24"/>
          <w:shd w:val="clear" w:color="auto" w:fill="FFFFFF"/>
        </w:rPr>
        <w:t>Латышев В</w:t>
      </w:r>
      <w:r w:rsidRPr="008C51EB">
        <w:rPr>
          <w:szCs w:val="24"/>
          <w:shd w:val="clear" w:color="auto" w:fill="FFFFFF"/>
        </w:rPr>
        <w:t>.</w:t>
      </w:r>
      <w:r>
        <w:rPr>
          <w:szCs w:val="24"/>
          <w:shd w:val="clear" w:color="auto" w:fill="FFFFFF"/>
        </w:rPr>
        <w:t>Д</w:t>
      </w:r>
      <w:r w:rsidRPr="008C51EB">
        <w:rPr>
          <w:szCs w:val="24"/>
          <w:shd w:val="clear" w:color="auto" w:fill="FFFFFF"/>
        </w:rPr>
        <w:t>.</w:t>
      </w:r>
      <w:r w:rsidRPr="008C51EB">
        <w:rPr>
          <w:szCs w:val="24"/>
          <w:vertAlign w:val="superscript"/>
        </w:rPr>
        <w:t>1</w:t>
      </w:r>
      <w:r w:rsidRPr="008C51EB">
        <w:rPr>
          <w:szCs w:val="24"/>
          <w:shd w:val="clear" w:color="auto" w:fill="FFFFFF"/>
        </w:rPr>
        <w:t xml:space="preserve">, врач-гематолог отделения </w:t>
      </w:r>
      <w:proofErr w:type="spellStart"/>
      <w:r w:rsidRPr="008C51EB">
        <w:rPr>
          <w:szCs w:val="24"/>
          <w:shd w:val="clear" w:color="auto" w:fill="FFFFFF"/>
        </w:rPr>
        <w:t>орфанных</w:t>
      </w:r>
      <w:proofErr w:type="spellEnd"/>
      <w:r w:rsidRPr="008C51EB">
        <w:rPr>
          <w:szCs w:val="24"/>
          <w:shd w:val="clear" w:color="auto" w:fill="FFFFFF"/>
        </w:rPr>
        <w:t xml:space="preserve"> заболеваний НМИЦ гематологии</w:t>
      </w:r>
    </w:p>
    <w:p w14:paraId="31773F3A" w14:textId="73F55D63" w:rsidR="002C267B" w:rsidRPr="007003AD" w:rsidRDefault="002C267B" w:rsidP="00071AB3">
      <w:pPr>
        <w:numPr>
          <w:ilvl w:val="0"/>
          <w:numId w:val="14"/>
        </w:numPr>
        <w:rPr>
          <w:szCs w:val="24"/>
        </w:rPr>
      </w:pPr>
      <w:r>
        <w:rPr>
          <w:szCs w:val="24"/>
        </w:rPr>
        <w:t>Лукина К.А.</w:t>
      </w:r>
      <w:r>
        <w:rPr>
          <w:szCs w:val="24"/>
          <w:vertAlign w:val="superscript"/>
        </w:rPr>
        <w:t>1</w:t>
      </w:r>
      <w:r>
        <w:rPr>
          <w:szCs w:val="24"/>
        </w:rPr>
        <w:t>,</w:t>
      </w:r>
      <w:r w:rsidR="00034578">
        <w:rPr>
          <w:szCs w:val="24"/>
        </w:rPr>
        <w:t xml:space="preserve"> к.м.н., </w:t>
      </w:r>
      <w:r w:rsidRPr="008C51EB">
        <w:rPr>
          <w:szCs w:val="24"/>
          <w:shd w:val="clear" w:color="auto" w:fill="FFFFFF"/>
        </w:rPr>
        <w:t xml:space="preserve">врач-гематолог отделения </w:t>
      </w:r>
      <w:proofErr w:type="spellStart"/>
      <w:r w:rsidRPr="008C51EB">
        <w:rPr>
          <w:szCs w:val="24"/>
          <w:shd w:val="clear" w:color="auto" w:fill="FFFFFF"/>
        </w:rPr>
        <w:t>орфанных</w:t>
      </w:r>
      <w:proofErr w:type="spellEnd"/>
      <w:r w:rsidRPr="008C51EB">
        <w:rPr>
          <w:szCs w:val="24"/>
          <w:shd w:val="clear" w:color="auto" w:fill="FFFFFF"/>
        </w:rPr>
        <w:t xml:space="preserve"> заболеваний НМИЦ гематологии</w:t>
      </w:r>
    </w:p>
    <w:p w14:paraId="270C823F" w14:textId="3D20D92A" w:rsidR="007003AD" w:rsidRPr="002C267B" w:rsidRDefault="007003AD" w:rsidP="007003AD">
      <w:pPr>
        <w:numPr>
          <w:ilvl w:val="0"/>
          <w:numId w:val="14"/>
        </w:numPr>
        <w:rPr>
          <w:szCs w:val="24"/>
        </w:rPr>
      </w:pPr>
      <w:proofErr w:type="spellStart"/>
      <w:r>
        <w:rPr>
          <w:szCs w:val="24"/>
          <w:shd w:val="clear" w:color="auto" w:fill="FFFFFF"/>
        </w:rPr>
        <w:t>Фидарова</w:t>
      </w:r>
      <w:proofErr w:type="spellEnd"/>
      <w:r>
        <w:rPr>
          <w:szCs w:val="24"/>
          <w:shd w:val="clear" w:color="auto" w:fill="FFFFFF"/>
        </w:rPr>
        <w:t xml:space="preserve"> З.Т</w:t>
      </w:r>
      <w:proofErr w:type="gramStart"/>
      <w:r w:rsidRPr="007003AD">
        <w:rPr>
          <w:szCs w:val="24"/>
          <w:shd w:val="clear" w:color="auto" w:fill="FFFFFF"/>
          <w:vertAlign w:val="superscript"/>
        </w:rPr>
        <w:t>1</w:t>
      </w:r>
      <w:proofErr w:type="gramEnd"/>
      <w:r>
        <w:rPr>
          <w:szCs w:val="24"/>
          <w:shd w:val="clear" w:color="auto" w:fill="FFFFFF"/>
        </w:rPr>
        <w:t xml:space="preserve">., к.м.н., врач-гематолог отделения </w:t>
      </w:r>
      <w:proofErr w:type="spellStart"/>
      <w:r>
        <w:rPr>
          <w:szCs w:val="24"/>
          <w:shd w:val="clear" w:color="auto" w:fill="FFFFFF"/>
        </w:rPr>
        <w:t>гемо</w:t>
      </w:r>
      <w:r w:rsidRPr="007003AD">
        <w:rPr>
          <w:szCs w:val="24"/>
          <w:shd w:val="clear" w:color="auto" w:fill="FFFFFF"/>
        </w:rPr>
        <w:t>бластоз</w:t>
      </w:r>
      <w:r>
        <w:rPr>
          <w:szCs w:val="24"/>
          <w:shd w:val="clear" w:color="auto" w:fill="FFFFFF"/>
        </w:rPr>
        <w:t>ов</w:t>
      </w:r>
      <w:proofErr w:type="spellEnd"/>
      <w:r>
        <w:rPr>
          <w:szCs w:val="24"/>
          <w:shd w:val="clear" w:color="auto" w:fill="FFFFFF"/>
        </w:rPr>
        <w:t xml:space="preserve"> и депрессий кроветворения с дневным стационаром НМИЦ гематологии</w:t>
      </w:r>
    </w:p>
    <w:p w14:paraId="3D4CB8F5" w14:textId="73C42A02" w:rsidR="002C267B" w:rsidRPr="002C267B" w:rsidRDefault="002C267B" w:rsidP="00071AB3">
      <w:pPr>
        <w:numPr>
          <w:ilvl w:val="0"/>
          <w:numId w:val="14"/>
        </w:numPr>
        <w:rPr>
          <w:szCs w:val="24"/>
        </w:rPr>
      </w:pPr>
      <w:proofErr w:type="spellStart"/>
      <w:r w:rsidRPr="00452831">
        <w:rPr>
          <w:szCs w:val="24"/>
        </w:rPr>
        <w:t>Гальцева</w:t>
      </w:r>
      <w:proofErr w:type="spellEnd"/>
      <w:r w:rsidRPr="00452831">
        <w:rPr>
          <w:szCs w:val="24"/>
        </w:rPr>
        <w:t xml:space="preserve"> И.В</w:t>
      </w:r>
      <w:proofErr w:type="gramStart"/>
      <w:r w:rsidRPr="00452831">
        <w:rPr>
          <w:szCs w:val="24"/>
          <w:vertAlign w:val="superscript"/>
        </w:rPr>
        <w:t>1</w:t>
      </w:r>
      <w:proofErr w:type="gramEnd"/>
      <w:r w:rsidRPr="00452831">
        <w:rPr>
          <w:szCs w:val="24"/>
        </w:rPr>
        <w:t>.,</w:t>
      </w:r>
      <w:r w:rsidRPr="00452831">
        <w:rPr>
          <w:szCs w:val="24"/>
          <w:shd w:val="clear" w:color="auto" w:fill="FFFFFF"/>
        </w:rPr>
        <w:t xml:space="preserve"> к.м.н., зав. лабораторией </w:t>
      </w:r>
      <w:proofErr w:type="spellStart"/>
      <w:r w:rsidRPr="00452831">
        <w:rPr>
          <w:szCs w:val="24"/>
          <w:shd w:val="clear" w:color="auto" w:fill="FFFFFF"/>
        </w:rPr>
        <w:t>иммунофенотипирования</w:t>
      </w:r>
      <w:proofErr w:type="spellEnd"/>
      <w:r w:rsidR="00452831" w:rsidRPr="00452831">
        <w:rPr>
          <w:szCs w:val="24"/>
          <w:shd w:val="clear" w:color="auto" w:fill="FFFFFF"/>
        </w:rPr>
        <w:t xml:space="preserve"> клеток</w:t>
      </w:r>
      <w:r w:rsidR="00452831">
        <w:rPr>
          <w:szCs w:val="24"/>
          <w:shd w:val="clear" w:color="auto" w:fill="FFFFFF"/>
        </w:rPr>
        <w:t xml:space="preserve"> крови и костного мозга</w:t>
      </w:r>
      <w:r>
        <w:rPr>
          <w:szCs w:val="24"/>
          <w:shd w:val="clear" w:color="auto" w:fill="FFFFFF"/>
        </w:rPr>
        <w:t xml:space="preserve"> </w:t>
      </w:r>
      <w:r w:rsidRPr="008C51EB">
        <w:rPr>
          <w:szCs w:val="24"/>
          <w:shd w:val="clear" w:color="auto" w:fill="FFFFFF"/>
        </w:rPr>
        <w:t>НМИЦ гематологии</w:t>
      </w:r>
    </w:p>
    <w:p w14:paraId="786460AB" w14:textId="781F3EF2" w:rsidR="002C267B" w:rsidRPr="00150BAE" w:rsidRDefault="002C267B" w:rsidP="00150BAE">
      <w:pPr>
        <w:numPr>
          <w:ilvl w:val="0"/>
          <w:numId w:val="14"/>
        </w:numPr>
        <w:rPr>
          <w:szCs w:val="24"/>
        </w:rPr>
      </w:pPr>
      <w:proofErr w:type="spellStart"/>
      <w:r w:rsidRPr="008C51EB">
        <w:rPr>
          <w:szCs w:val="24"/>
          <w:shd w:val="clear" w:color="auto" w:fill="FFFFFF"/>
        </w:rPr>
        <w:t>Двирнык</w:t>
      </w:r>
      <w:proofErr w:type="spellEnd"/>
      <w:r w:rsidRPr="008C51EB">
        <w:rPr>
          <w:szCs w:val="24"/>
          <w:shd w:val="clear" w:color="auto" w:fill="FFFFFF"/>
        </w:rPr>
        <w:t xml:space="preserve"> В.Н.</w:t>
      </w:r>
      <w:r w:rsidRPr="008C51EB">
        <w:rPr>
          <w:szCs w:val="24"/>
          <w:vertAlign w:val="superscript"/>
        </w:rPr>
        <w:t>1</w:t>
      </w:r>
      <w:r w:rsidRPr="008C51EB">
        <w:rPr>
          <w:szCs w:val="24"/>
          <w:shd w:val="clear" w:color="auto" w:fill="FFFFFF"/>
        </w:rPr>
        <w:t>, к.м.н., зав. централизованной клинико-диагностической лабораторией НМИЦ гематологии</w:t>
      </w:r>
    </w:p>
    <w:p w14:paraId="2C8A7CF7" w14:textId="4212D1B1" w:rsidR="007003AD" w:rsidRDefault="007003AD" w:rsidP="007003AD">
      <w:pPr>
        <w:pStyle w:val="afd"/>
        <w:numPr>
          <w:ilvl w:val="0"/>
          <w:numId w:val="14"/>
        </w:numPr>
        <w:rPr>
          <w:szCs w:val="24"/>
          <w:shd w:val="clear" w:color="auto" w:fill="FFFFFF"/>
        </w:rPr>
      </w:pPr>
      <w:proofErr w:type="spellStart"/>
      <w:r w:rsidRPr="00BA7930">
        <w:rPr>
          <w:szCs w:val="24"/>
          <w:shd w:val="clear" w:color="auto" w:fill="FFFFFF"/>
        </w:rPr>
        <w:t>Птушкин</w:t>
      </w:r>
      <w:proofErr w:type="spellEnd"/>
      <w:r w:rsidRPr="00BA7930">
        <w:rPr>
          <w:szCs w:val="24"/>
          <w:shd w:val="clear" w:color="auto" w:fill="FFFFFF"/>
        </w:rPr>
        <w:t xml:space="preserve"> В.В</w:t>
      </w:r>
      <w:r w:rsidR="0034421F">
        <w:rPr>
          <w:szCs w:val="24"/>
          <w:shd w:val="clear" w:color="auto" w:fill="FFFFFF"/>
        </w:rPr>
        <w:t>.</w:t>
      </w:r>
      <w:r w:rsidRPr="00BA7930">
        <w:rPr>
          <w:szCs w:val="24"/>
          <w:shd w:val="clear" w:color="auto" w:fill="FFFFFF"/>
          <w:vertAlign w:val="superscript"/>
        </w:rPr>
        <w:t>2</w:t>
      </w:r>
      <w:r w:rsidRPr="00BA7930">
        <w:rPr>
          <w:szCs w:val="24"/>
          <w:shd w:val="clear" w:color="auto" w:fill="FFFFFF"/>
        </w:rPr>
        <w:t>, д.м.н., профессор</w:t>
      </w:r>
      <w:r w:rsidR="00C17916">
        <w:rPr>
          <w:szCs w:val="24"/>
          <w:shd w:val="clear" w:color="auto" w:fill="FFFFFF"/>
        </w:rPr>
        <w:t>, главный внештатный специалист-</w:t>
      </w:r>
      <w:r w:rsidRPr="00BA7930">
        <w:rPr>
          <w:szCs w:val="24"/>
          <w:shd w:val="clear" w:color="auto" w:fill="FFFFFF"/>
        </w:rPr>
        <w:t>гематолог</w:t>
      </w:r>
      <w:r w:rsidR="00C17916">
        <w:rPr>
          <w:szCs w:val="24"/>
          <w:shd w:val="clear" w:color="auto" w:fill="FFFFFF"/>
        </w:rPr>
        <w:t xml:space="preserve"> ДЗ</w:t>
      </w:r>
      <w:r w:rsidR="007E0C74">
        <w:rPr>
          <w:szCs w:val="24"/>
          <w:shd w:val="clear" w:color="auto" w:fill="FFFFFF"/>
        </w:rPr>
        <w:t xml:space="preserve"> г. Москвы</w:t>
      </w:r>
    </w:p>
    <w:p w14:paraId="7582629E" w14:textId="2312490E" w:rsidR="002C267B" w:rsidRDefault="002C267B" w:rsidP="009C1266">
      <w:pPr>
        <w:pStyle w:val="afd"/>
        <w:numPr>
          <w:ilvl w:val="0"/>
          <w:numId w:val="14"/>
        </w:numPr>
        <w:spacing w:before="120" w:after="120"/>
      </w:pPr>
      <w:r w:rsidRPr="00150BAE">
        <w:rPr>
          <w:szCs w:val="24"/>
        </w:rPr>
        <w:t>Кулагин А.Д.</w:t>
      </w:r>
      <w:r w:rsidR="0052152C">
        <w:rPr>
          <w:szCs w:val="24"/>
          <w:vertAlign w:val="superscript"/>
        </w:rPr>
        <w:t>3</w:t>
      </w:r>
      <w:r w:rsidRPr="00150BAE">
        <w:rPr>
          <w:szCs w:val="24"/>
        </w:rPr>
        <w:t xml:space="preserve">, </w:t>
      </w:r>
      <w:r w:rsidRPr="00150BAE">
        <w:t>д.м.н., профессор</w:t>
      </w:r>
      <w:r w:rsidR="007003AD">
        <w:t xml:space="preserve">, </w:t>
      </w:r>
      <w:r w:rsidR="0042202D">
        <w:t>врач-</w:t>
      </w:r>
      <w:r w:rsidR="007003AD">
        <w:t>гематолог</w:t>
      </w:r>
      <w:r w:rsidR="0042202D">
        <w:t xml:space="preserve"> </w:t>
      </w:r>
      <w:r w:rsidR="0042202D" w:rsidRPr="00452831">
        <w:t>Н</w:t>
      </w:r>
      <w:r w:rsidR="0042202D">
        <w:t>ИИ</w:t>
      </w:r>
      <w:r w:rsidR="0042202D" w:rsidRPr="00452831">
        <w:t xml:space="preserve"> детской онкологии, гематологии и трансплантологии им. Р. М. Горбачевой</w:t>
      </w:r>
    </w:p>
    <w:p w14:paraId="0AC25AF0" w14:textId="6F8FD7B7" w:rsidR="007003AD" w:rsidRDefault="007003AD" w:rsidP="009C1266">
      <w:pPr>
        <w:pStyle w:val="afd"/>
        <w:numPr>
          <w:ilvl w:val="0"/>
          <w:numId w:val="14"/>
        </w:numPr>
        <w:spacing w:before="120" w:after="120"/>
      </w:pPr>
      <w:r>
        <w:t>Шилова Е.Р.</w:t>
      </w:r>
      <w:r w:rsidR="0052152C">
        <w:rPr>
          <w:vertAlign w:val="superscript"/>
        </w:rPr>
        <w:t>4</w:t>
      </w:r>
      <w:r>
        <w:t>, к.м.н. врач-гематолог</w:t>
      </w:r>
      <w:r w:rsidR="0042202D">
        <w:t xml:space="preserve"> </w:t>
      </w:r>
      <w:r w:rsidR="0042202D">
        <w:rPr>
          <w:szCs w:val="24"/>
        </w:rPr>
        <w:t>ФГБУ «Российский научно-исследовательский институт гематологии и трансфузиологии Федерального медико-биологического агентства»</w:t>
      </w:r>
    </w:p>
    <w:p w14:paraId="7D8A07D2" w14:textId="43D7BB3E" w:rsidR="00452831" w:rsidRDefault="00452831" w:rsidP="002D4AC9">
      <w:pPr>
        <w:ind w:firstLine="0"/>
        <w:rPr>
          <w:szCs w:val="24"/>
          <w:shd w:val="clear" w:color="auto" w:fill="FFFFFF"/>
        </w:rPr>
      </w:pPr>
    </w:p>
    <w:p w14:paraId="463716E2" w14:textId="0B415705" w:rsidR="0042202D" w:rsidRDefault="0042202D" w:rsidP="002D4AC9">
      <w:pPr>
        <w:ind w:firstLine="0"/>
        <w:rPr>
          <w:szCs w:val="24"/>
          <w:shd w:val="clear" w:color="auto" w:fill="FFFFFF"/>
        </w:rPr>
      </w:pPr>
    </w:p>
    <w:p w14:paraId="64B40A9E" w14:textId="77777777" w:rsidR="0042202D" w:rsidRPr="002D4AC9" w:rsidRDefault="0042202D" w:rsidP="002D4AC9">
      <w:pPr>
        <w:ind w:firstLine="0"/>
        <w:rPr>
          <w:szCs w:val="24"/>
          <w:shd w:val="clear" w:color="auto" w:fill="FFFFFF"/>
        </w:rPr>
      </w:pPr>
    </w:p>
    <w:p w14:paraId="0BB434AC" w14:textId="6A587E54" w:rsidR="002C267B" w:rsidRPr="00452831" w:rsidRDefault="002C267B" w:rsidP="00452831">
      <w:pPr>
        <w:pStyle w:val="aff7"/>
        <w:rPr>
          <w:b/>
          <w:sz w:val="28"/>
        </w:rPr>
      </w:pPr>
      <w:r>
        <w:rPr>
          <w:sz w:val="25"/>
          <w:szCs w:val="25"/>
          <w:shd w:val="clear" w:color="auto" w:fill="FFFFFF"/>
        </w:rPr>
        <w:lastRenderedPageBreak/>
        <w:t xml:space="preserve">Члены </w:t>
      </w:r>
      <w:r>
        <w:t>Национального общества детских гематологов и онкологов</w:t>
      </w:r>
      <w:r w:rsidR="004A1BCA">
        <w:t>:</w:t>
      </w:r>
    </w:p>
    <w:p w14:paraId="4132017B" w14:textId="6D972CC0" w:rsidR="009C1266" w:rsidRPr="0042202D" w:rsidRDefault="002C267B" w:rsidP="0042202D">
      <w:pPr>
        <w:numPr>
          <w:ilvl w:val="0"/>
          <w:numId w:val="14"/>
        </w:numPr>
        <w:ind w:right="240"/>
        <w:rPr>
          <w:szCs w:val="24"/>
        </w:rPr>
      </w:pPr>
      <w:r w:rsidRPr="00C20A63">
        <w:rPr>
          <w:szCs w:val="24"/>
        </w:rPr>
        <w:t>Сметанина Н.С</w:t>
      </w:r>
      <w:r w:rsidR="00D137D8">
        <w:rPr>
          <w:szCs w:val="24"/>
        </w:rPr>
        <w:t>.</w:t>
      </w:r>
      <w:r w:rsidR="009C1266">
        <w:rPr>
          <w:szCs w:val="24"/>
          <w:vertAlign w:val="superscript"/>
        </w:rPr>
        <w:t>5</w:t>
      </w:r>
      <w:r w:rsidRPr="00C41A9B">
        <w:rPr>
          <w:szCs w:val="24"/>
        </w:rPr>
        <w:t xml:space="preserve">, д.м.н., гематолог, </w:t>
      </w:r>
      <w:r w:rsidR="0042202D">
        <w:rPr>
          <w:szCs w:val="24"/>
        </w:rPr>
        <w:t xml:space="preserve">профессор заместитель директора </w:t>
      </w:r>
      <w:r w:rsidR="0042202D" w:rsidRPr="007003AD">
        <w:rPr>
          <w:szCs w:val="24"/>
        </w:rPr>
        <w:t>НМИЦ ДГОИ им. Дмитрия Рогачева</w:t>
      </w:r>
    </w:p>
    <w:p w14:paraId="366F939E" w14:textId="77777777" w:rsidR="009C1266" w:rsidRDefault="009C1266" w:rsidP="009C1266">
      <w:pPr>
        <w:pStyle w:val="aff7"/>
        <w:ind w:left="786" w:firstLine="0"/>
        <w:rPr>
          <w:sz w:val="25"/>
          <w:szCs w:val="25"/>
          <w:shd w:val="clear" w:color="auto" w:fill="FFFFFF"/>
        </w:rPr>
      </w:pPr>
    </w:p>
    <w:p w14:paraId="3ABE9677" w14:textId="77777777" w:rsidR="009C1266" w:rsidRDefault="009C1266" w:rsidP="009C1266">
      <w:pPr>
        <w:pStyle w:val="aff7"/>
        <w:ind w:left="786" w:firstLine="0"/>
      </w:pPr>
      <w:r>
        <w:rPr>
          <w:sz w:val="25"/>
          <w:szCs w:val="25"/>
          <w:shd w:val="clear" w:color="auto" w:fill="FFFFFF"/>
        </w:rPr>
        <w:t xml:space="preserve">Члены </w:t>
      </w:r>
      <w:r>
        <w:rPr>
          <w:szCs w:val="24"/>
        </w:rPr>
        <w:t>Федерации лабораторной медицины</w:t>
      </w:r>
      <w:r>
        <w:t>:</w:t>
      </w:r>
    </w:p>
    <w:p w14:paraId="30DD58D5" w14:textId="19F5DE4E" w:rsidR="009C1266" w:rsidRPr="007003AD" w:rsidRDefault="009C1266" w:rsidP="0042202D">
      <w:pPr>
        <w:pStyle w:val="aff7"/>
        <w:numPr>
          <w:ilvl w:val="0"/>
          <w:numId w:val="14"/>
        </w:numPr>
      </w:pPr>
      <w:proofErr w:type="spellStart"/>
      <w:r>
        <w:t>Луговская</w:t>
      </w:r>
      <w:proofErr w:type="spellEnd"/>
      <w:r>
        <w:t xml:space="preserve"> С.А.</w:t>
      </w:r>
      <w:r>
        <w:rPr>
          <w:vertAlign w:val="superscript"/>
        </w:rPr>
        <w:t>6</w:t>
      </w:r>
      <w:r>
        <w:t xml:space="preserve">., д.м.н., профессор </w:t>
      </w:r>
      <w:r w:rsidRPr="007003AD">
        <w:t>кафедры клинической лабораторной диагностики РМА</w:t>
      </w:r>
      <w:r>
        <w:t>НПО Минздрава России</w:t>
      </w:r>
    </w:p>
    <w:p w14:paraId="01452718" w14:textId="77777777" w:rsidR="00452831" w:rsidRPr="000C592B" w:rsidRDefault="00452831" w:rsidP="002C267B">
      <w:pPr>
        <w:ind w:firstLine="0"/>
        <w:rPr>
          <w:szCs w:val="24"/>
        </w:rPr>
      </w:pPr>
    </w:p>
    <w:p w14:paraId="5438347E" w14:textId="33EF9DE3" w:rsidR="002C267B" w:rsidRPr="002C267B" w:rsidRDefault="002C267B" w:rsidP="00071AB3">
      <w:pPr>
        <w:pStyle w:val="afd"/>
        <w:numPr>
          <w:ilvl w:val="0"/>
          <w:numId w:val="15"/>
        </w:numPr>
        <w:rPr>
          <w:szCs w:val="24"/>
        </w:rPr>
      </w:pPr>
      <w:r w:rsidRPr="002C267B">
        <w:rPr>
          <w:szCs w:val="24"/>
        </w:rP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p w14:paraId="677ECC5D" w14:textId="6712A54B" w:rsidR="00150BAE" w:rsidRPr="00BA7930" w:rsidRDefault="00150BAE" w:rsidP="00150BAE">
      <w:pPr>
        <w:pStyle w:val="afd"/>
        <w:numPr>
          <w:ilvl w:val="0"/>
          <w:numId w:val="15"/>
        </w:numPr>
      </w:pPr>
      <w:r w:rsidRPr="00BA7930">
        <w:rPr>
          <w:sz w:val="25"/>
          <w:szCs w:val="25"/>
          <w:shd w:val="clear" w:color="auto" w:fill="FFFFFF"/>
        </w:rP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p w14:paraId="340327FB" w14:textId="7F8F05B0" w:rsidR="0052152C" w:rsidRDefault="0052152C" w:rsidP="0052152C">
      <w:pPr>
        <w:pStyle w:val="afd"/>
        <w:numPr>
          <w:ilvl w:val="0"/>
          <w:numId w:val="15"/>
        </w:numPr>
      </w:pPr>
      <w:r w:rsidRPr="00452831">
        <w:t xml:space="preserve">Научно-исследовательский институт детской онкологии, гематологии и трансплантологии им. Р. М. Горбачевой, ФГБОУ </w:t>
      </w:r>
      <w:proofErr w:type="gramStart"/>
      <w:r w:rsidRPr="00452831">
        <w:t>ВО</w:t>
      </w:r>
      <w:proofErr w:type="gramEnd"/>
      <w:r w:rsidRPr="00452831">
        <w:t xml:space="preserve"> «Первый Санкт-Петербургский государственный медицинский университет им. акад. И. П. Павлова»</w:t>
      </w:r>
    </w:p>
    <w:p w14:paraId="2CDA388F" w14:textId="6EE9A443" w:rsidR="0052152C" w:rsidRPr="0052152C" w:rsidRDefault="0052152C" w:rsidP="0052152C">
      <w:pPr>
        <w:pStyle w:val="afd"/>
        <w:numPr>
          <w:ilvl w:val="0"/>
          <w:numId w:val="15"/>
        </w:numPr>
        <w:rPr>
          <w:szCs w:val="24"/>
        </w:rPr>
      </w:pPr>
      <w:r>
        <w:rPr>
          <w:szCs w:val="24"/>
        </w:rPr>
        <w:t>ФГБУ «Российский научно-исследовательский институт гематологии и трансфузиологии Федерального медико-биологического агентства»</w:t>
      </w:r>
    </w:p>
    <w:p w14:paraId="45AE1C97" w14:textId="77777777" w:rsidR="007003AD" w:rsidRDefault="007003AD" w:rsidP="007003AD">
      <w:pPr>
        <w:pStyle w:val="afd"/>
        <w:numPr>
          <w:ilvl w:val="0"/>
          <w:numId w:val="15"/>
        </w:numPr>
        <w:rPr>
          <w:szCs w:val="24"/>
        </w:rPr>
      </w:pPr>
      <w:r w:rsidRPr="007003AD">
        <w:rPr>
          <w:szCs w:val="24"/>
        </w:rPr>
        <w:t>ФГБУ «Национальный медицинский исследовательский центр детской гематологии, онкологии и иммунологии имени Дмитрия Рогачева (НМИЦ ДГОИ им. Дмитрия Рогачева)»</w:t>
      </w:r>
    </w:p>
    <w:p w14:paraId="50B009A6" w14:textId="7778E643" w:rsidR="009C1266" w:rsidRPr="007003AD" w:rsidRDefault="009C1266" w:rsidP="009C1266">
      <w:pPr>
        <w:pStyle w:val="afd"/>
        <w:numPr>
          <w:ilvl w:val="0"/>
          <w:numId w:val="15"/>
        </w:numPr>
        <w:rPr>
          <w:szCs w:val="24"/>
        </w:rPr>
      </w:pPr>
      <w:r>
        <w:rPr>
          <w:szCs w:val="24"/>
        </w:rPr>
        <w:t>ФГБОУ ДПО Российская медицинская академия непрерывного профессионального образования (РМАНПО) Минздрава России</w:t>
      </w:r>
    </w:p>
    <w:p w14:paraId="40DF46E8" w14:textId="77777777" w:rsidR="009C1266" w:rsidRPr="007003AD" w:rsidRDefault="009C1266" w:rsidP="009C1266">
      <w:pPr>
        <w:pStyle w:val="afd"/>
        <w:ind w:firstLine="0"/>
        <w:rPr>
          <w:szCs w:val="24"/>
        </w:rPr>
      </w:pPr>
    </w:p>
    <w:p w14:paraId="0CA1A152" w14:textId="77777777" w:rsidR="002C267B" w:rsidRPr="004D352A" w:rsidRDefault="002C267B" w:rsidP="002C267B">
      <w:pPr>
        <w:ind w:firstLine="360"/>
        <w:rPr>
          <w:szCs w:val="24"/>
        </w:rPr>
      </w:pPr>
    </w:p>
    <w:p w14:paraId="4AF74315" w14:textId="2FB67C97" w:rsidR="00B104EF" w:rsidRDefault="002C267B" w:rsidP="002C267B">
      <w:r w:rsidRPr="00150BAE">
        <w:rPr>
          <w:b/>
        </w:rPr>
        <w:t>Конфликт интересов:</w:t>
      </w:r>
      <w:r>
        <w:t xml:space="preserve"> авторы не имеют конфликта интересов.</w:t>
      </w:r>
    </w:p>
    <w:p w14:paraId="0AD56B74" w14:textId="495605DF" w:rsidR="00B104EF" w:rsidRDefault="00B104EF" w:rsidP="00AF3168"/>
    <w:p w14:paraId="3BF42536" w14:textId="0D165302" w:rsidR="000414F6" w:rsidRDefault="00CB71DA" w:rsidP="00C4630C">
      <w:pPr>
        <w:pStyle w:val="afff1"/>
      </w:pPr>
      <w:r>
        <w:br w:type="page"/>
      </w:r>
      <w:bookmarkStart w:id="47" w:name="__RefHeading___doc_a2"/>
      <w:bookmarkStart w:id="48" w:name="_Toc24641970"/>
      <w:r>
        <w:lastRenderedPageBreak/>
        <w:t>Приложение А</w:t>
      </w:r>
      <w:proofErr w:type="gramStart"/>
      <w:r>
        <w:t>2</w:t>
      </w:r>
      <w:proofErr w:type="gramEnd"/>
      <w:r>
        <w:t>. Методология разработки клинических рекомендаций</w:t>
      </w:r>
      <w:bookmarkEnd w:id="47"/>
      <w:bookmarkEnd w:id="48"/>
    </w:p>
    <w:p w14:paraId="5ADFF68F" w14:textId="77777777" w:rsidR="00275A41" w:rsidRDefault="00CB71DA" w:rsidP="00F756F0">
      <w:pPr>
        <w:pStyle w:val="aff7"/>
        <w:divId w:val="1333020968"/>
      </w:pPr>
      <w:r>
        <w:rPr>
          <w:rStyle w:val="affa"/>
          <w:u w:val="single"/>
        </w:rPr>
        <w:t>Целевая аудитория данных клинических рекомендаций:</w:t>
      </w:r>
    </w:p>
    <w:p w14:paraId="5D02A15E" w14:textId="48884479" w:rsidR="006446FF" w:rsidRDefault="00B104EF" w:rsidP="00F756F0">
      <w:pPr>
        <w:pStyle w:val="aff7"/>
        <w:divId w:val="1333020968"/>
      </w:pPr>
      <w:r>
        <w:t>1.</w:t>
      </w:r>
      <w:r w:rsidR="002D3311">
        <w:t xml:space="preserve"> Специалисты гематологи</w:t>
      </w:r>
    </w:p>
    <w:p w14:paraId="48F56FAF" w14:textId="18A88D67" w:rsidR="00B104EF" w:rsidRDefault="00B104EF" w:rsidP="00F756F0">
      <w:pPr>
        <w:pStyle w:val="aff7"/>
        <w:divId w:val="1333020968"/>
      </w:pPr>
      <w:r>
        <w:t>2.</w:t>
      </w:r>
      <w:r w:rsidR="002D3311">
        <w:t xml:space="preserve"> Специалисты терапевты</w:t>
      </w:r>
    </w:p>
    <w:p w14:paraId="3E344439" w14:textId="77777777" w:rsidR="002C267B" w:rsidRDefault="00B104EF" w:rsidP="00F756F0">
      <w:pPr>
        <w:pStyle w:val="aff7"/>
        <w:divId w:val="1333020968"/>
      </w:pPr>
      <w:r>
        <w:t xml:space="preserve">3. </w:t>
      </w:r>
      <w:r w:rsidR="002C267B">
        <w:t>Специалисты неврологи</w:t>
      </w:r>
    </w:p>
    <w:p w14:paraId="0ACA72EE" w14:textId="248C308D" w:rsidR="00B104EF" w:rsidRDefault="002C267B" w:rsidP="00F756F0">
      <w:pPr>
        <w:pStyle w:val="aff7"/>
        <w:divId w:val="1333020968"/>
      </w:pPr>
      <w:r>
        <w:t>4. Специалисты нефрологи</w:t>
      </w:r>
    </w:p>
    <w:p w14:paraId="312F68E4" w14:textId="3235E8E6" w:rsidR="002C267B" w:rsidRDefault="002C267B" w:rsidP="00F756F0">
      <w:pPr>
        <w:pStyle w:val="aff7"/>
        <w:divId w:val="1333020968"/>
      </w:pPr>
      <w:r>
        <w:t>5. Специалисты пульмонологи</w:t>
      </w:r>
    </w:p>
    <w:p w14:paraId="7B3065AE" w14:textId="03F7B397" w:rsidR="004A1BCA" w:rsidRDefault="004A1BCA" w:rsidP="004A1BCA">
      <w:pPr>
        <w:pStyle w:val="a1"/>
        <w:contextualSpacing/>
        <w:divId w:val="1333020968"/>
        <w:rPr>
          <w:lang w:eastAsia="ru-RU"/>
        </w:rPr>
      </w:pPr>
      <w:r>
        <w:t>Методология сбора доказательств</w:t>
      </w:r>
    </w:p>
    <w:p w14:paraId="0AB9B8A7" w14:textId="77777777" w:rsidR="004A1BCA" w:rsidRDefault="004A1BCA" w:rsidP="004A1BCA">
      <w:pPr>
        <w:pStyle w:val="affff"/>
        <w:spacing w:line="360" w:lineRule="auto"/>
        <w:ind w:firstLine="709"/>
        <w:contextualSpacing/>
        <w:jc w:val="both"/>
        <w:divId w:val="1333020968"/>
      </w:pPr>
      <w:r>
        <w:rPr>
          <w:b/>
        </w:rPr>
        <w:t>Методы, использованные для сбора / селекции доказательств:</w:t>
      </w:r>
    </w:p>
    <w:p w14:paraId="11ED9CA3" w14:textId="77777777" w:rsidR="004A1BCA" w:rsidRDefault="004A1BCA" w:rsidP="004A1BCA">
      <w:pPr>
        <w:pStyle w:val="affff"/>
        <w:numPr>
          <w:ilvl w:val="0"/>
          <w:numId w:val="21"/>
        </w:numPr>
        <w:spacing w:line="360" w:lineRule="auto"/>
        <w:ind w:firstLine="709"/>
        <w:contextualSpacing/>
        <w:jc w:val="both"/>
        <w:divId w:val="1333020968"/>
      </w:pPr>
      <w:r>
        <w:t xml:space="preserve">Поиск публикаций в специализированных периодических печатных изданиях с </w:t>
      </w:r>
      <w:proofErr w:type="spellStart"/>
      <w:r>
        <w:t>импакт</w:t>
      </w:r>
      <w:proofErr w:type="spellEnd"/>
      <w:r>
        <w:t>-фактором &gt; 0.3;</w:t>
      </w:r>
    </w:p>
    <w:p w14:paraId="639ED501" w14:textId="77777777" w:rsidR="004A1BCA" w:rsidRDefault="004A1BCA" w:rsidP="004A1BCA">
      <w:pPr>
        <w:pStyle w:val="affff"/>
        <w:numPr>
          <w:ilvl w:val="0"/>
          <w:numId w:val="21"/>
        </w:numPr>
        <w:spacing w:line="360" w:lineRule="auto"/>
        <w:ind w:firstLine="709"/>
        <w:contextualSpacing/>
        <w:jc w:val="both"/>
        <w:divId w:val="1333020968"/>
      </w:pPr>
      <w:r>
        <w:t>Поиск в электронных базах данных.</w:t>
      </w:r>
    </w:p>
    <w:p w14:paraId="5F5E859E" w14:textId="77777777" w:rsidR="004A1BCA" w:rsidRDefault="004A1BCA" w:rsidP="004A1BCA">
      <w:pPr>
        <w:pStyle w:val="affff"/>
        <w:spacing w:line="360" w:lineRule="auto"/>
        <w:ind w:firstLine="709"/>
        <w:contextualSpacing/>
        <w:jc w:val="both"/>
        <w:divId w:val="1333020968"/>
      </w:pPr>
      <w:r>
        <w:rPr>
          <w:b/>
        </w:rPr>
        <w:t>Базы данных, использованных для сбора / селекции доказательств:</w:t>
      </w:r>
    </w:p>
    <w:p w14:paraId="4838DAB6" w14:textId="77777777" w:rsidR="004A1BCA" w:rsidRDefault="004A1BCA" w:rsidP="004A1BCA">
      <w:pPr>
        <w:pStyle w:val="affff"/>
        <w:spacing w:line="360" w:lineRule="auto"/>
        <w:ind w:firstLine="709"/>
        <w:contextualSpacing/>
        <w:jc w:val="both"/>
        <w:divId w:val="1333020968"/>
      </w:pPr>
      <w:r>
        <w:t xml:space="preserve">Доказательной базой для рекомендаций являются публикации, вошедшие в </w:t>
      </w:r>
      <w:proofErr w:type="spellStart"/>
      <w:r>
        <w:t>Кохрайновскую</w:t>
      </w:r>
      <w:proofErr w:type="spellEnd"/>
      <w:r>
        <w:t xml:space="preserve"> библиотеку, базы данных </w:t>
      </w:r>
      <w:r>
        <w:rPr>
          <w:lang w:val="en-US"/>
        </w:rPr>
        <w:t>PUBMED</w:t>
      </w:r>
      <w:r>
        <w:t xml:space="preserve"> и </w:t>
      </w:r>
      <w:r>
        <w:rPr>
          <w:lang w:val="en-US"/>
        </w:rPr>
        <w:t>MEDLINE</w:t>
      </w:r>
      <w:r>
        <w:t>. Глубина поиска составляла 30 лет.</w:t>
      </w:r>
    </w:p>
    <w:p w14:paraId="2E9926AD" w14:textId="77777777" w:rsidR="004A1BCA" w:rsidRDefault="004A1BCA" w:rsidP="004A1BCA">
      <w:pPr>
        <w:pStyle w:val="affff"/>
        <w:spacing w:line="360" w:lineRule="auto"/>
        <w:ind w:firstLine="709"/>
        <w:contextualSpacing/>
        <w:jc w:val="both"/>
        <w:divId w:val="1333020968"/>
      </w:pPr>
      <w:r>
        <w:rPr>
          <w:b/>
        </w:rPr>
        <w:t>Методы, использованные для качества и силы доказательств:</w:t>
      </w:r>
    </w:p>
    <w:p w14:paraId="446D9164" w14:textId="77777777" w:rsidR="004A1BCA" w:rsidRPr="00C85130" w:rsidRDefault="004A1BCA" w:rsidP="004A1BCA">
      <w:pPr>
        <w:pStyle w:val="afd"/>
        <w:numPr>
          <w:ilvl w:val="0"/>
          <w:numId w:val="23"/>
        </w:numPr>
        <w:ind w:firstLine="709"/>
        <w:divId w:val="1333020968"/>
        <w:rPr>
          <w:szCs w:val="24"/>
        </w:rPr>
      </w:pPr>
      <w:r w:rsidRPr="00C85130">
        <w:rPr>
          <w:szCs w:val="24"/>
        </w:rPr>
        <w:t>Консенсус экспертов;</w:t>
      </w:r>
    </w:p>
    <w:p w14:paraId="046CDA1F" w14:textId="4B850B09" w:rsidR="004A1BCA" w:rsidRPr="004A1BCA" w:rsidRDefault="004A1BCA" w:rsidP="004A1BCA">
      <w:pPr>
        <w:pStyle w:val="afd"/>
        <w:numPr>
          <w:ilvl w:val="0"/>
          <w:numId w:val="23"/>
        </w:numPr>
        <w:ind w:firstLine="709"/>
        <w:divId w:val="1333020968"/>
        <w:rPr>
          <w:szCs w:val="24"/>
        </w:rPr>
      </w:pPr>
      <w:r w:rsidRPr="00C85130">
        <w:rPr>
          <w:szCs w:val="24"/>
        </w:rPr>
        <w:t>Оценка значимости доказатель</w:t>
      </w:r>
      <w:proofErr w:type="gramStart"/>
      <w:r w:rsidRPr="00C85130">
        <w:rPr>
          <w:szCs w:val="24"/>
        </w:rPr>
        <w:t>ств</w:t>
      </w:r>
      <w:r>
        <w:rPr>
          <w:szCs w:val="24"/>
        </w:rPr>
        <w:t xml:space="preserve"> пр</w:t>
      </w:r>
      <w:proofErr w:type="gramEnd"/>
      <w:r>
        <w:rPr>
          <w:szCs w:val="24"/>
        </w:rPr>
        <w:t>оводилась</w:t>
      </w:r>
      <w:r w:rsidRPr="00C85130">
        <w:rPr>
          <w:szCs w:val="24"/>
        </w:rPr>
        <w:t xml:space="preserve"> в соответствии с</w:t>
      </w:r>
      <w:r>
        <w:rPr>
          <w:szCs w:val="24"/>
        </w:rPr>
        <w:t xml:space="preserve">о шкалой оценки уровней достоверности доказательств (УДД) для методов диагностики (Табл. 1) и для методов профилактики, лечения и реабилитации (Табл. 2). </w:t>
      </w:r>
    </w:p>
    <w:p w14:paraId="13A7CC96" w14:textId="0C2E0518" w:rsidR="00A91645" w:rsidRPr="007C14EE" w:rsidRDefault="00A91645" w:rsidP="00A91645">
      <w:pPr>
        <w:divId w:val="1333020968"/>
        <w:rPr>
          <w:rFonts w:eastAsia="Calibri"/>
        </w:rPr>
      </w:pPr>
      <w:bookmarkStart w:id="49" w:name="_Ref515967586"/>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sidR="009C1266">
        <w:rPr>
          <w:b/>
          <w:noProof/>
        </w:rPr>
        <w:t>1</w:t>
      </w:r>
      <w:r w:rsidRPr="007C14EE">
        <w:rPr>
          <w:b/>
        </w:rPr>
        <w:fldChar w:fldCharType="end"/>
      </w:r>
      <w:bookmarkEnd w:id="49"/>
      <w:r w:rsidRPr="007C14EE">
        <w:rPr>
          <w:rFonts w:eastAsia="Calibri"/>
          <w:b/>
        </w:rPr>
        <w:t>.</w:t>
      </w:r>
      <w:r w:rsidRPr="00544207">
        <w:rPr>
          <w:rFonts w:eastAsia="Calibri"/>
        </w:rPr>
        <w:t xml:space="preserve"> </w:t>
      </w:r>
      <w:r>
        <w:rPr>
          <w:rFonts w:eastAsia="Calibri"/>
        </w:rPr>
        <w:t>Шкала оценки уровней достоверности доказательств (</w:t>
      </w:r>
      <w:r w:rsidRPr="00544207">
        <w:rPr>
          <w:rFonts w:eastAsia="Calibri"/>
        </w:rPr>
        <w:t>УДД</w:t>
      </w:r>
      <w:r>
        <w:rPr>
          <w:rFonts w:eastAsia="Calibri"/>
        </w:rPr>
        <w:t>)</w:t>
      </w:r>
      <w:r w:rsidRPr="00544207">
        <w:rPr>
          <w:rFonts w:eastAsia="Calibri"/>
        </w:rPr>
        <w:t xml:space="preserve"> </w:t>
      </w:r>
      <w:r>
        <w:rPr>
          <w:rFonts w:eastAsia="Calibri"/>
        </w:rPr>
        <w:t>для методов диагностики</w:t>
      </w:r>
      <w:r w:rsidR="005C7877">
        <w:rPr>
          <w:rFonts w:eastAsia="Calibri"/>
        </w:rPr>
        <w:t xml:space="preserve"> (диагностических вмешательств)</w:t>
      </w:r>
    </w:p>
    <w:tbl>
      <w:tblPr>
        <w:tblStyle w:val="19"/>
        <w:tblW w:w="5000" w:type="pct"/>
        <w:tblLook w:val="04A0" w:firstRow="1" w:lastRow="0" w:firstColumn="1" w:lastColumn="0" w:noHBand="0" w:noVBand="1"/>
      </w:tblPr>
      <w:tblGrid>
        <w:gridCol w:w="817"/>
        <w:gridCol w:w="8754"/>
      </w:tblGrid>
      <w:tr w:rsidR="00A91645" w:rsidRPr="005C1B2B" w14:paraId="23F30FDC" w14:textId="77777777" w:rsidTr="00334F6C">
        <w:trPr>
          <w:divId w:val="1333020968"/>
          <w:trHeight w:val="58"/>
        </w:trPr>
        <w:tc>
          <w:tcPr>
            <w:tcW w:w="427" w:type="pct"/>
          </w:tcPr>
          <w:p w14:paraId="27604BD8" w14:textId="77777777" w:rsidR="00A91645" w:rsidRPr="005C1B2B" w:rsidRDefault="00A91645" w:rsidP="005219AF">
            <w:pPr>
              <w:spacing w:line="276" w:lineRule="auto"/>
              <w:ind w:firstLine="0"/>
              <w:jc w:val="center"/>
              <w:rPr>
                <w:b/>
                <w:color w:val="000000"/>
              </w:rPr>
            </w:pPr>
            <w:r w:rsidRPr="005C1B2B">
              <w:rPr>
                <w:b/>
                <w:color w:val="000000"/>
              </w:rPr>
              <w:t>УДД</w:t>
            </w:r>
          </w:p>
        </w:tc>
        <w:tc>
          <w:tcPr>
            <w:tcW w:w="4573" w:type="pct"/>
          </w:tcPr>
          <w:p w14:paraId="344A5D89" w14:textId="77777777" w:rsidR="00A91645" w:rsidRPr="005C1B2B" w:rsidRDefault="00A91645" w:rsidP="005219AF">
            <w:pPr>
              <w:spacing w:line="276" w:lineRule="auto"/>
              <w:ind w:firstLine="0"/>
              <w:jc w:val="center"/>
              <w:rPr>
                <w:b/>
                <w:color w:val="000000"/>
              </w:rPr>
            </w:pPr>
            <w:r>
              <w:rPr>
                <w:b/>
                <w:color w:val="000000"/>
              </w:rPr>
              <w:t>Расшифровка</w:t>
            </w:r>
          </w:p>
        </w:tc>
      </w:tr>
      <w:tr w:rsidR="00A91645" w:rsidRPr="005C1B2B" w14:paraId="585F1842" w14:textId="77777777" w:rsidTr="00334F6C">
        <w:trPr>
          <w:divId w:val="1333020968"/>
        </w:trPr>
        <w:tc>
          <w:tcPr>
            <w:tcW w:w="427" w:type="pct"/>
          </w:tcPr>
          <w:p w14:paraId="3EB44283" w14:textId="77777777" w:rsidR="00A91645" w:rsidRPr="005C1B2B" w:rsidRDefault="00A91645" w:rsidP="005219AF">
            <w:pPr>
              <w:spacing w:line="276" w:lineRule="auto"/>
              <w:ind w:firstLine="0"/>
              <w:jc w:val="center"/>
              <w:rPr>
                <w:color w:val="000000"/>
              </w:rPr>
            </w:pPr>
            <w:r w:rsidRPr="005C1B2B">
              <w:rPr>
                <w:color w:val="000000"/>
              </w:rPr>
              <w:t>1</w:t>
            </w:r>
          </w:p>
        </w:tc>
        <w:tc>
          <w:tcPr>
            <w:tcW w:w="4573" w:type="pct"/>
          </w:tcPr>
          <w:p w14:paraId="24688265" w14:textId="77777777" w:rsidR="00A91645" w:rsidRPr="005C1B2B" w:rsidRDefault="00A91645" w:rsidP="00A91645">
            <w:pPr>
              <w:spacing w:line="276" w:lineRule="auto"/>
              <w:ind w:firstLine="0"/>
              <w:rPr>
                <w:color w:val="000000"/>
              </w:rPr>
            </w:pPr>
            <w:r>
              <w:rPr>
                <w:color w:val="000000"/>
              </w:rPr>
              <w:t>С</w:t>
            </w:r>
            <w:r w:rsidRPr="005C1B2B">
              <w:rPr>
                <w:color w:val="000000"/>
              </w:rPr>
              <w:t xml:space="preserve">истематические обзоры исследований с контролем </w:t>
            </w:r>
            <w:proofErr w:type="spellStart"/>
            <w:r w:rsidRPr="005C1B2B">
              <w:rPr>
                <w:color w:val="000000"/>
              </w:rPr>
              <w:t>референсным</w:t>
            </w:r>
            <w:proofErr w:type="spellEnd"/>
            <w:r w:rsidRPr="005C1B2B">
              <w:rPr>
                <w:color w:val="000000"/>
              </w:rPr>
              <w:t xml:space="preserve"> методом</w:t>
            </w:r>
            <w:r>
              <w:t xml:space="preserve"> или систематический обзор </w:t>
            </w:r>
            <w:proofErr w:type="spellStart"/>
            <w:r w:rsidR="005C7877">
              <w:t>рандомизированных</w:t>
            </w:r>
            <w:proofErr w:type="spellEnd"/>
            <w:r w:rsidR="005C7877">
              <w:t xml:space="preserve"> клинических исследований с применением </w:t>
            </w:r>
            <w:proofErr w:type="gramStart"/>
            <w:r w:rsidR="005C7877">
              <w:t>мета-анализа</w:t>
            </w:r>
            <w:proofErr w:type="gramEnd"/>
          </w:p>
        </w:tc>
      </w:tr>
      <w:tr w:rsidR="00A91645" w:rsidRPr="005C1B2B" w14:paraId="104CFA58" w14:textId="77777777" w:rsidTr="00334F6C">
        <w:trPr>
          <w:divId w:val="1333020968"/>
        </w:trPr>
        <w:tc>
          <w:tcPr>
            <w:tcW w:w="427" w:type="pct"/>
          </w:tcPr>
          <w:p w14:paraId="53328553" w14:textId="77777777" w:rsidR="00A91645" w:rsidRPr="005C1B2B" w:rsidRDefault="00A91645" w:rsidP="005219AF">
            <w:pPr>
              <w:spacing w:line="276" w:lineRule="auto"/>
              <w:ind w:firstLine="0"/>
              <w:jc w:val="center"/>
              <w:rPr>
                <w:color w:val="000000"/>
              </w:rPr>
            </w:pPr>
            <w:r w:rsidRPr="005C1B2B">
              <w:rPr>
                <w:color w:val="000000"/>
              </w:rPr>
              <w:t>2</w:t>
            </w:r>
          </w:p>
        </w:tc>
        <w:tc>
          <w:tcPr>
            <w:tcW w:w="4573" w:type="pct"/>
          </w:tcPr>
          <w:p w14:paraId="5431A9D4" w14:textId="77777777" w:rsidR="00A91645" w:rsidRPr="005C1B2B" w:rsidRDefault="00A91645" w:rsidP="005219AF">
            <w:pPr>
              <w:spacing w:line="276" w:lineRule="auto"/>
              <w:ind w:firstLine="0"/>
              <w:rPr>
                <w:color w:val="000000"/>
              </w:rPr>
            </w:pPr>
            <w:r w:rsidRPr="005C1B2B">
              <w:rPr>
                <w:color w:val="000000"/>
              </w:rPr>
              <w:t xml:space="preserve">Отдельные исследования с контролем </w:t>
            </w:r>
            <w:proofErr w:type="spellStart"/>
            <w:r w:rsidRPr="005C1B2B">
              <w:rPr>
                <w:color w:val="000000"/>
              </w:rPr>
              <w:t>референсным</w:t>
            </w:r>
            <w:proofErr w:type="spellEnd"/>
            <w:r w:rsidRPr="005C1B2B">
              <w:rPr>
                <w:color w:val="000000"/>
              </w:rPr>
              <w:t xml:space="preserve"> методом</w:t>
            </w:r>
            <w:r w:rsidR="005C7877">
              <w:rPr>
                <w:color w:val="000000"/>
              </w:rPr>
              <w:t xml:space="preserve"> или отдельные </w:t>
            </w:r>
            <w:proofErr w:type="spellStart"/>
            <w:r w:rsidR="005C7877">
              <w:rPr>
                <w:color w:val="000000"/>
              </w:rPr>
              <w:t>рандомизированные</w:t>
            </w:r>
            <w:proofErr w:type="spellEnd"/>
            <w:r w:rsidR="005C7877">
              <w:rPr>
                <w:color w:val="000000"/>
              </w:rPr>
              <w:t xml:space="preserve"> клинические исследования и систематические обзоры исследований любого дизайна, за исключением </w:t>
            </w:r>
            <w:proofErr w:type="spellStart"/>
            <w:r w:rsidR="005C7877">
              <w:rPr>
                <w:color w:val="000000"/>
              </w:rPr>
              <w:t>рандомизированных</w:t>
            </w:r>
            <w:proofErr w:type="spellEnd"/>
            <w:r w:rsidR="005C7877">
              <w:rPr>
                <w:color w:val="000000"/>
              </w:rPr>
              <w:t xml:space="preserve"> клинических исследований, с применением </w:t>
            </w:r>
            <w:proofErr w:type="gramStart"/>
            <w:r w:rsidR="005C7877">
              <w:rPr>
                <w:color w:val="000000"/>
              </w:rPr>
              <w:t>мета-анализа</w:t>
            </w:r>
            <w:proofErr w:type="gramEnd"/>
          </w:p>
        </w:tc>
      </w:tr>
      <w:tr w:rsidR="00A91645" w:rsidRPr="005C1B2B" w14:paraId="21569D47" w14:textId="77777777" w:rsidTr="00334F6C">
        <w:trPr>
          <w:divId w:val="1333020968"/>
        </w:trPr>
        <w:tc>
          <w:tcPr>
            <w:tcW w:w="427" w:type="pct"/>
          </w:tcPr>
          <w:p w14:paraId="742CAAA7" w14:textId="77777777" w:rsidR="00A91645" w:rsidRPr="005C1B2B" w:rsidRDefault="00A91645" w:rsidP="005219AF">
            <w:pPr>
              <w:spacing w:line="276" w:lineRule="auto"/>
              <w:ind w:firstLine="0"/>
              <w:jc w:val="center"/>
              <w:rPr>
                <w:color w:val="000000"/>
              </w:rPr>
            </w:pPr>
            <w:r w:rsidRPr="005C1B2B">
              <w:rPr>
                <w:color w:val="000000"/>
              </w:rPr>
              <w:t>3</w:t>
            </w:r>
          </w:p>
        </w:tc>
        <w:tc>
          <w:tcPr>
            <w:tcW w:w="4573" w:type="pct"/>
          </w:tcPr>
          <w:p w14:paraId="709BBAB5" w14:textId="77777777" w:rsidR="00A91645" w:rsidRPr="005C1B2B" w:rsidRDefault="00A91645" w:rsidP="005219AF">
            <w:pPr>
              <w:spacing w:line="276" w:lineRule="auto"/>
              <w:ind w:firstLine="0"/>
              <w:rPr>
                <w:color w:val="000000"/>
              </w:rPr>
            </w:pPr>
            <w:r w:rsidRPr="005C1B2B">
              <w:rPr>
                <w:color w:val="000000"/>
              </w:rPr>
              <w:t xml:space="preserve">Исследования без последовательного контроля </w:t>
            </w:r>
            <w:proofErr w:type="spellStart"/>
            <w:r w:rsidRPr="005C1B2B">
              <w:rPr>
                <w:color w:val="000000"/>
              </w:rPr>
              <w:t>референсным</w:t>
            </w:r>
            <w:proofErr w:type="spellEnd"/>
            <w:r w:rsidRPr="005C1B2B">
              <w:rPr>
                <w:color w:val="000000"/>
              </w:rPr>
              <w:t xml:space="preserve"> методом или исследования с </w:t>
            </w:r>
            <w:proofErr w:type="spellStart"/>
            <w:r w:rsidRPr="005C1B2B">
              <w:rPr>
                <w:color w:val="000000"/>
              </w:rPr>
              <w:t>референсным</w:t>
            </w:r>
            <w:proofErr w:type="spellEnd"/>
            <w:r w:rsidRPr="005C1B2B">
              <w:rPr>
                <w:color w:val="000000"/>
              </w:rPr>
              <w:t xml:space="preserve"> методом, не являющимся независимым от исследуемого метода</w:t>
            </w:r>
            <w:r w:rsidR="005C7877">
              <w:rPr>
                <w:color w:val="000000"/>
              </w:rPr>
              <w:t xml:space="preserve"> или </w:t>
            </w:r>
            <w:proofErr w:type="spellStart"/>
            <w:r w:rsidR="005C7877">
              <w:rPr>
                <w:color w:val="000000"/>
              </w:rPr>
              <w:t>нерандомизированные</w:t>
            </w:r>
            <w:proofErr w:type="spellEnd"/>
            <w:r w:rsidR="005C7877">
              <w:rPr>
                <w:color w:val="000000"/>
              </w:rPr>
              <w:t xml:space="preserve"> сравнительные исследования, в </w:t>
            </w:r>
            <w:r w:rsidR="005C7877">
              <w:rPr>
                <w:color w:val="000000"/>
              </w:rPr>
              <w:lastRenderedPageBreak/>
              <w:t xml:space="preserve">том числе </w:t>
            </w:r>
            <w:proofErr w:type="spellStart"/>
            <w:r w:rsidR="005C7877">
              <w:rPr>
                <w:color w:val="000000"/>
              </w:rPr>
              <w:t>когортные</w:t>
            </w:r>
            <w:proofErr w:type="spellEnd"/>
            <w:r w:rsidR="005C7877">
              <w:rPr>
                <w:color w:val="000000"/>
              </w:rPr>
              <w:t xml:space="preserve"> исследования</w:t>
            </w:r>
          </w:p>
        </w:tc>
      </w:tr>
      <w:tr w:rsidR="00A91645" w:rsidRPr="005C1B2B" w14:paraId="40D50F50" w14:textId="77777777" w:rsidTr="00334F6C">
        <w:trPr>
          <w:divId w:val="1333020968"/>
        </w:trPr>
        <w:tc>
          <w:tcPr>
            <w:tcW w:w="427" w:type="pct"/>
          </w:tcPr>
          <w:p w14:paraId="12DC7973" w14:textId="77777777" w:rsidR="00A91645" w:rsidRPr="005C1B2B" w:rsidRDefault="00A91645" w:rsidP="005219AF">
            <w:pPr>
              <w:spacing w:line="276" w:lineRule="auto"/>
              <w:ind w:firstLine="0"/>
              <w:jc w:val="center"/>
              <w:rPr>
                <w:color w:val="000000"/>
              </w:rPr>
            </w:pPr>
            <w:r w:rsidRPr="005C1B2B">
              <w:rPr>
                <w:color w:val="000000"/>
              </w:rPr>
              <w:lastRenderedPageBreak/>
              <w:t>4</w:t>
            </w:r>
          </w:p>
        </w:tc>
        <w:tc>
          <w:tcPr>
            <w:tcW w:w="4573" w:type="pct"/>
          </w:tcPr>
          <w:p w14:paraId="2F2BDD49" w14:textId="77777777" w:rsidR="00A91645" w:rsidRPr="005C1B2B" w:rsidRDefault="00A91645" w:rsidP="005219AF">
            <w:pPr>
              <w:spacing w:line="276" w:lineRule="auto"/>
              <w:ind w:firstLine="0"/>
              <w:rPr>
                <w:color w:val="000000"/>
              </w:rPr>
            </w:pPr>
            <w:proofErr w:type="spellStart"/>
            <w:r w:rsidRPr="005C1B2B">
              <w:rPr>
                <w:color w:val="000000"/>
              </w:rPr>
              <w:t>Несравнительные</w:t>
            </w:r>
            <w:proofErr w:type="spellEnd"/>
            <w:r w:rsidRPr="005C1B2B">
              <w:rPr>
                <w:color w:val="000000"/>
              </w:rPr>
              <w:t xml:space="preserve"> исследования, описание клинического случая</w:t>
            </w:r>
          </w:p>
        </w:tc>
      </w:tr>
      <w:tr w:rsidR="00A91645" w:rsidRPr="005C1B2B" w14:paraId="24319173" w14:textId="77777777" w:rsidTr="00334F6C">
        <w:trPr>
          <w:divId w:val="1333020968"/>
        </w:trPr>
        <w:tc>
          <w:tcPr>
            <w:tcW w:w="427" w:type="pct"/>
          </w:tcPr>
          <w:p w14:paraId="48B94914" w14:textId="77777777" w:rsidR="00A91645" w:rsidRPr="005C1B2B" w:rsidRDefault="00A91645" w:rsidP="005219AF">
            <w:pPr>
              <w:spacing w:line="276" w:lineRule="auto"/>
              <w:ind w:firstLine="0"/>
              <w:jc w:val="center"/>
              <w:rPr>
                <w:color w:val="000000"/>
              </w:rPr>
            </w:pPr>
            <w:r w:rsidRPr="005C1B2B">
              <w:rPr>
                <w:color w:val="000000"/>
              </w:rPr>
              <w:t>5</w:t>
            </w:r>
          </w:p>
        </w:tc>
        <w:tc>
          <w:tcPr>
            <w:tcW w:w="4573" w:type="pct"/>
          </w:tcPr>
          <w:p w14:paraId="07355604" w14:textId="77777777" w:rsidR="00A91645" w:rsidRPr="005C1B2B" w:rsidRDefault="00A91645" w:rsidP="005219AF">
            <w:pPr>
              <w:spacing w:line="276" w:lineRule="auto"/>
              <w:ind w:firstLine="0"/>
              <w:rPr>
                <w:color w:val="000000"/>
              </w:rPr>
            </w:pPr>
            <w:r w:rsidRPr="005C1B2B">
              <w:rPr>
                <w:color w:val="000000"/>
              </w:rPr>
              <w:t>Имеется лишь обоснование механизма действия или мнение экспертов</w:t>
            </w:r>
          </w:p>
        </w:tc>
      </w:tr>
    </w:tbl>
    <w:p w14:paraId="1CA5B2E2" w14:textId="77777777" w:rsidR="00A91645" w:rsidRDefault="00A91645" w:rsidP="00F756F0">
      <w:pPr>
        <w:pStyle w:val="aff7"/>
        <w:divId w:val="1333020968"/>
        <w:rPr>
          <w:rStyle w:val="affa"/>
        </w:rPr>
      </w:pPr>
    </w:p>
    <w:p w14:paraId="1BCC543B" w14:textId="36A67F4B" w:rsidR="005C7877" w:rsidRDefault="00A91645" w:rsidP="005C7877">
      <w:pPr>
        <w:divId w:val="1333020968"/>
      </w:pPr>
      <w:bookmarkStart w:id="50" w:name="_Ref515967623"/>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sidR="009C1266">
        <w:rPr>
          <w:b/>
          <w:noProof/>
        </w:rPr>
        <w:t>2</w:t>
      </w:r>
      <w:r w:rsidRPr="007C14EE">
        <w:rPr>
          <w:b/>
        </w:rPr>
        <w:fldChar w:fldCharType="end"/>
      </w:r>
      <w:bookmarkEnd w:id="50"/>
      <w:r w:rsidRPr="007C14EE">
        <w:rPr>
          <w:rFonts w:eastAsia="Calibri"/>
          <w:b/>
        </w:rPr>
        <w:t>.</w:t>
      </w:r>
      <w:r w:rsidRPr="00E75FC6">
        <w:rPr>
          <w:rFonts w:eastAsia="Calibri"/>
        </w:rPr>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rPr>
          <w:rFonts w:eastAsia="Calibri"/>
        </w:rPr>
        <w:t xml:space="preserve">для методов профилактики, лечения и реабилитации (профилактических, </w:t>
      </w:r>
      <w:r w:rsidR="009C0364">
        <w:rPr>
          <w:rFonts w:eastAsia="Calibri"/>
        </w:rPr>
        <w:t>лечебных, реабилитационных</w:t>
      </w:r>
      <w:r w:rsidR="005C7877" w:rsidRPr="00257C6C">
        <w:rPr>
          <w:rFonts w:eastAsia="Calibri"/>
        </w:rPr>
        <w:t xml:space="preserve"> вмешательств</w:t>
      </w:r>
      <w:r w:rsidR="009C0364">
        <w:rPr>
          <w:rFonts w:eastAsia="Calibri"/>
        </w:rPr>
        <w:t>)</w:t>
      </w:r>
    </w:p>
    <w:tbl>
      <w:tblPr>
        <w:tblStyle w:val="19"/>
        <w:tblW w:w="5074" w:type="pct"/>
        <w:tblLook w:val="04A0" w:firstRow="1" w:lastRow="0" w:firstColumn="1" w:lastColumn="0" w:noHBand="0" w:noVBand="1"/>
      </w:tblPr>
      <w:tblGrid>
        <w:gridCol w:w="723"/>
        <w:gridCol w:w="8990"/>
      </w:tblGrid>
      <w:tr w:rsidR="005C7877" w:rsidRPr="00495C9E" w14:paraId="37C51834" w14:textId="77777777" w:rsidTr="005C7877">
        <w:trPr>
          <w:divId w:val="1333020968"/>
        </w:trPr>
        <w:tc>
          <w:tcPr>
            <w:tcW w:w="360" w:type="pct"/>
          </w:tcPr>
          <w:p w14:paraId="08C823E5" w14:textId="77777777" w:rsidR="005C7877" w:rsidRPr="00495C9E" w:rsidRDefault="005C7877" w:rsidP="005219AF">
            <w:pPr>
              <w:spacing w:line="240" w:lineRule="auto"/>
              <w:ind w:firstLine="0"/>
              <w:jc w:val="center"/>
              <w:rPr>
                <w:b/>
                <w:color w:val="000000"/>
              </w:rPr>
            </w:pPr>
            <w:r w:rsidRPr="00495C9E">
              <w:rPr>
                <w:b/>
                <w:color w:val="000000"/>
              </w:rPr>
              <w:t>УДД</w:t>
            </w:r>
          </w:p>
        </w:tc>
        <w:tc>
          <w:tcPr>
            <w:tcW w:w="4640" w:type="pct"/>
          </w:tcPr>
          <w:p w14:paraId="0115AE1C" w14:textId="77777777" w:rsidR="005C7877" w:rsidRPr="00495C9E" w:rsidRDefault="005C7877" w:rsidP="009C0364">
            <w:pPr>
              <w:spacing w:line="240" w:lineRule="auto"/>
              <w:ind w:firstLine="0"/>
              <w:jc w:val="center"/>
              <w:rPr>
                <w:b/>
                <w:color w:val="000000"/>
              </w:rPr>
            </w:pPr>
            <w:r w:rsidRPr="00495C9E">
              <w:rPr>
                <w:b/>
                <w:color w:val="000000"/>
              </w:rPr>
              <w:t xml:space="preserve"> </w:t>
            </w:r>
            <w:r w:rsidR="009C0364">
              <w:rPr>
                <w:b/>
                <w:color w:val="000000"/>
              </w:rPr>
              <w:t xml:space="preserve">Расшифровка </w:t>
            </w:r>
          </w:p>
        </w:tc>
      </w:tr>
      <w:tr w:rsidR="005C7877" w:rsidRPr="00495C9E" w14:paraId="6673D8BA" w14:textId="77777777" w:rsidTr="005C7877">
        <w:trPr>
          <w:divId w:val="1333020968"/>
        </w:trPr>
        <w:tc>
          <w:tcPr>
            <w:tcW w:w="360" w:type="pct"/>
          </w:tcPr>
          <w:p w14:paraId="1F3E46EE" w14:textId="77777777" w:rsidR="005C7877" w:rsidRPr="00495C9E" w:rsidRDefault="005C7877" w:rsidP="005219AF">
            <w:pPr>
              <w:spacing w:line="240" w:lineRule="auto"/>
              <w:ind w:firstLine="0"/>
              <w:jc w:val="center"/>
              <w:rPr>
                <w:color w:val="000000"/>
              </w:rPr>
            </w:pPr>
            <w:r w:rsidRPr="00495C9E">
              <w:rPr>
                <w:color w:val="000000"/>
              </w:rPr>
              <w:t>1</w:t>
            </w:r>
          </w:p>
        </w:tc>
        <w:tc>
          <w:tcPr>
            <w:tcW w:w="4640" w:type="pct"/>
          </w:tcPr>
          <w:p w14:paraId="3333D4B4" w14:textId="77777777" w:rsidR="005C7877" w:rsidRPr="00495C9E" w:rsidRDefault="005C7877" w:rsidP="005219AF">
            <w:pPr>
              <w:spacing w:line="240" w:lineRule="auto"/>
              <w:ind w:firstLine="0"/>
              <w:rPr>
                <w:color w:val="000000"/>
              </w:rPr>
            </w:pPr>
            <w:r w:rsidRPr="00495C9E">
              <w:rPr>
                <w:color w:val="000000"/>
              </w:rPr>
              <w:t>Систематический обзор</w:t>
            </w:r>
            <w:r>
              <w:rPr>
                <w:color w:val="000000"/>
              </w:rPr>
              <w:t xml:space="preserve"> РКИ с применением </w:t>
            </w:r>
            <w:proofErr w:type="gramStart"/>
            <w:r>
              <w:rPr>
                <w:color w:val="000000"/>
              </w:rPr>
              <w:t>мета-анализа</w:t>
            </w:r>
            <w:proofErr w:type="gramEnd"/>
          </w:p>
        </w:tc>
      </w:tr>
      <w:tr w:rsidR="005C7877" w:rsidRPr="00495C9E" w14:paraId="422DCBCF" w14:textId="77777777" w:rsidTr="005C7877">
        <w:trPr>
          <w:divId w:val="1333020968"/>
        </w:trPr>
        <w:tc>
          <w:tcPr>
            <w:tcW w:w="360" w:type="pct"/>
          </w:tcPr>
          <w:p w14:paraId="054E4186" w14:textId="77777777" w:rsidR="005C7877" w:rsidRPr="00495C9E" w:rsidRDefault="005C7877" w:rsidP="005219AF">
            <w:pPr>
              <w:spacing w:line="240" w:lineRule="auto"/>
              <w:ind w:firstLine="0"/>
              <w:jc w:val="center"/>
              <w:rPr>
                <w:color w:val="000000"/>
                <w:lang w:val="en-US"/>
              </w:rPr>
            </w:pPr>
            <w:r w:rsidRPr="00495C9E">
              <w:rPr>
                <w:color w:val="000000"/>
              </w:rPr>
              <w:t>2</w:t>
            </w:r>
          </w:p>
        </w:tc>
        <w:tc>
          <w:tcPr>
            <w:tcW w:w="4640" w:type="pct"/>
          </w:tcPr>
          <w:p w14:paraId="26345F03" w14:textId="77777777" w:rsidR="005C7877" w:rsidRPr="00495C9E" w:rsidRDefault="005C7877" w:rsidP="005219AF">
            <w:pPr>
              <w:spacing w:line="240" w:lineRule="auto"/>
              <w:ind w:firstLine="0"/>
              <w:rPr>
                <w:color w:val="000000"/>
              </w:rPr>
            </w:pPr>
            <w:r w:rsidRPr="00495C9E">
              <w:rPr>
                <w:color w:val="000000"/>
              </w:rPr>
              <w:t xml:space="preserve">Отдельные РКИ и систематические обзоры исследований любого </w:t>
            </w:r>
            <w:r w:rsidR="009C0364">
              <w:rPr>
                <w:color w:val="000000"/>
              </w:rPr>
              <w:t xml:space="preserve">дизайна, за исключением РКИ, </w:t>
            </w:r>
            <w:r w:rsidRPr="00495C9E">
              <w:rPr>
                <w:color w:val="000000"/>
              </w:rPr>
              <w:t xml:space="preserve">с применением </w:t>
            </w:r>
            <w:proofErr w:type="gramStart"/>
            <w:r w:rsidRPr="00495C9E">
              <w:rPr>
                <w:color w:val="000000"/>
              </w:rPr>
              <w:t>мета-анализа</w:t>
            </w:r>
            <w:proofErr w:type="gramEnd"/>
          </w:p>
        </w:tc>
      </w:tr>
      <w:tr w:rsidR="005C7877" w:rsidRPr="00495C9E" w14:paraId="3F49003F" w14:textId="77777777" w:rsidTr="005C7877">
        <w:trPr>
          <w:divId w:val="1333020968"/>
        </w:trPr>
        <w:tc>
          <w:tcPr>
            <w:tcW w:w="360" w:type="pct"/>
          </w:tcPr>
          <w:p w14:paraId="71F0963E" w14:textId="77777777" w:rsidR="005C7877" w:rsidRPr="00495C9E" w:rsidRDefault="005C7877" w:rsidP="005219AF">
            <w:pPr>
              <w:spacing w:line="240" w:lineRule="auto"/>
              <w:ind w:firstLine="0"/>
              <w:jc w:val="center"/>
              <w:rPr>
                <w:color w:val="000000"/>
              </w:rPr>
            </w:pPr>
            <w:r w:rsidRPr="00495C9E">
              <w:rPr>
                <w:color w:val="000000"/>
              </w:rPr>
              <w:t>3</w:t>
            </w:r>
          </w:p>
        </w:tc>
        <w:tc>
          <w:tcPr>
            <w:tcW w:w="4640" w:type="pct"/>
          </w:tcPr>
          <w:p w14:paraId="35C0C4C1" w14:textId="77777777" w:rsidR="005C7877" w:rsidRPr="00495C9E" w:rsidRDefault="005C7877" w:rsidP="005219AF">
            <w:pPr>
              <w:spacing w:line="240" w:lineRule="auto"/>
              <w:ind w:firstLine="0"/>
              <w:rPr>
                <w:color w:val="000000"/>
              </w:rPr>
            </w:pPr>
            <w:proofErr w:type="spellStart"/>
            <w:r w:rsidRPr="00495C9E">
              <w:rPr>
                <w:color w:val="000000"/>
              </w:rPr>
              <w:t>Нерандомизированные</w:t>
            </w:r>
            <w:proofErr w:type="spellEnd"/>
            <w:r w:rsidRPr="00495C9E">
              <w:rPr>
                <w:color w:val="000000"/>
              </w:rPr>
              <w:t xml:space="preserve"> сравнительные исследования, в </w:t>
            </w:r>
            <w:proofErr w:type="spellStart"/>
            <w:r w:rsidRPr="00495C9E">
              <w:rPr>
                <w:color w:val="000000"/>
              </w:rPr>
              <w:t>т.ч</w:t>
            </w:r>
            <w:proofErr w:type="spellEnd"/>
            <w:r w:rsidRPr="00495C9E">
              <w:rPr>
                <w:color w:val="000000"/>
              </w:rPr>
              <w:t xml:space="preserve">. </w:t>
            </w:r>
            <w:proofErr w:type="spellStart"/>
            <w:r w:rsidRPr="00495C9E">
              <w:rPr>
                <w:color w:val="000000"/>
              </w:rPr>
              <w:t>когортные</w:t>
            </w:r>
            <w:proofErr w:type="spellEnd"/>
            <w:r w:rsidRPr="00495C9E">
              <w:rPr>
                <w:color w:val="000000"/>
              </w:rPr>
              <w:t xml:space="preserve"> исследования</w:t>
            </w:r>
          </w:p>
        </w:tc>
      </w:tr>
      <w:tr w:rsidR="005C7877" w:rsidRPr="00495C9E" w14:paraId="1F070E7A" w14:textId="77777777" w:rsidTr="005C7877">
        <w:trPr>
          <w:divId w:val="1333020968"/>
        </w:trPr>
        <w:tc>
          <w:tcPr>
            <w:tcW w:w="360" w:type="pct"/>
          </w:tcPr>
          <w:p w14:paraId="6E9B4C72" w14:textId="77777777" w:rsidR="005C7877" w:rsidRPr="00495C9E" w:rsidRDefault="005C7877" w:rsidP="005219AF">
            <w:pPr>
              <w:spacing w:line="240" w:lineRule="auto"/>
              <w:ind w:firstLine="0"/>
              <w:jc w:val="center"/>
              <w:rPr>
                <w:color w:val="000000"/>
              </w:rPr>
            </w:pPr>
            <w:r w:rsidRPr="00495C9E">
              <w:rPr>
                <w:color w:val="000000"/>
              </w:rPr>
              <w:t>4</w:t>
            </w:r>
          </w:p>
        </w:tc>
        <w:tc>
          <w:tcPr>
            <w:tcW w:w="4640" w:type="pct"/>
          </w:tcPr>
          <w:p w14:paraId="56D0B044" w14:textId="77777777" w:rsidR="005C7877" w:rsidRPr="00495C9E" w:rsidRDefault="005C7877" w:rsidP="005219AF">
            <w:pPr>
              <w:spacing w:line="240" w:lineRule="auto"/>
              <w:ind w:firstLine="0"/>
              <w:rPr>
                <w:color w:val="000000"/>
              </w:rPr>
            </w:pPr>
            <w:proofErr w:type="spellStart"/>
            <w:r w:rsidRPr="00495C9E">
              <w:rPr>
                <w:color w:val="000000"/>
              </w:rPr>
              <w:t>Несравнительные</w:t>
            </w:r>
            <w:proofErr w:type="spellEnd"/>
            <w:r w:rsidRPr="00495C9E">
              <w:rPr>
                <w:color w:val="000000"/>
              </w:rPr>
              <w:t xml:space="preserve">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5C7877" w:rsidRPr="00495C9E" w14:paraId="56E90E53" w14:textId="77777777" w:rsidTr="005C7877">
        <w:trPr>
          <w:divId w:val="1333020968"/>
        </w:trPr>
        <w:tc>
          <w:tcPr>
            <w:tcW w:w="360" w:type="pct"/>
          </w:tcPr>
          <w:p w14:paraId="6CC315C4" w14:textId="77777777" w:rsidR="005C7877" w:rsidRPr="00495C9E" w:rsidRDefault="005C7877" w:rsidP="005219AF">
            <w:pPr>
              <w:spacing w:line="240" w:lineRule="auto"/>
              <w:ind w:firstLine="0"/>
              <w:jc w:val="center"/>
              <w:rPr>
                <w:color w:val="000000"/>
              </w:rPr>
            </w:pPr>
            <w:r w:rsidRPr="00495C9E">
              <w:rPr>
                <w:color w:val="000000"/>
              </w:rPr>
              <w:t>5</w:t>
            </w:r>
          </w:p>
        </w:tc>
        <w:tc>
          <w:tcPr>
            <w:tcW w:w="4640" w:type="pct"/>
          </w:tcPr>
          <w:p w14:paraId="1326E9EE" w14:textId="77777777" w:rsidR="005C7877" w:rsidRPr="00495C9E" w:rsidRDefault="005C7877" w:rsidP="005219AF">
            <w:pPr>
              <w:spacing w:line="240" w:lineRule="auto"/>
              <w:ind w:firstLine="0"/>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14:paraId="45D76F34" w14:textId="19A59000" w:rsidR="005C7877" w:rsidRDefault="005C7877" w:rsidP="005C7877">
      <w:pPr>
        <w:pStyle w:val="aff7"/>
        <w:divId w:val="1333020968"/>
        <w:rPr>
          <w:rStyle w:val="affa"/>
        </w:rPr>
      </w:pPr>
    </w:p>
    <w:p w14:paraId="2099259D" w14:textId="77777777" w:rsidR="004A1BCA" w:rsidRPr="009B4725" w:rsidRDefault="004A1BCA" w:rsidP="004A1BCA">
      <w:pPr>
        <w:pStyle w:val="33"/>
        <w:ind w:firstLine="709"/>
        <w:divId w:val="1333020968"/>
        <w:rPr>
          <w:b/>
          <w:i w:val="0"/>
        </w:rPr>
      </w:pPr>
      <w:r w:rsidRPr="009B4725">
        <w:rPr>
          <w:b/>
          <w:i w:val="0"/>
        </w:rPr>
        <w:t>Описание методики анализа доказательств и разработки рекомендаций:</w:t>
      </w:r>
    </w:p>
    <w:p w14:paraId="2E44C031" w14:textId="77777777" w:rsidR="004A1BCA" w:rsidRPr="00534AD5" w:rsidRDefault="004A1BCA" w:rsidP="004A1BCA">
      <w:pPr>
        <w:pStyle w:val="afd"/>
        <w:ind w:left="0"/>
        <w:divId w:val="1333020968"/>
        <w:rPr>
          <w:szCs w:val="24"/>
        </w:rPr>
      </w:pPr>
      <w:r w:rsidRPr="00C41A9B">
        <w:rPr>
          <w:szCs w:val="24"/>
        </w:rPr>
        <w:t>При отборе публикаций, как потенциаль</w:t>
      </w:r>
      <w:r w:rsidRPr="00390A12">
        <w:rPr>
          <w:szCs w:val="24"/>
        </w:rPr>
        <w:t>ных источников доказательств, использованная в каждом исследовании методология изучалась для того, чтобы убедиться в соответствии ее принципам доказательной медицины. Результат изучения влиял на уровень доказательности, присваиваемый публикации, что в свою</w:t>
      </w:r>
      <w:r w:rsidRPr="00534AD5">
        <w:rPr>
          <w:szCs w:val="24"/>
        </w:rPr>
        <w:t xml:space="preserve"> очередь влияет на силу, вытекающих из нее рекомендаций.</w:t>
      </w:r>
    </w:p>
    <w:p w14:paraId="1E8DEE92" w14:textId="77777777" w:rsidR="004A1BCA" w:rsidRPr="00447DC8" w:rsidRDefault="004A1BCA" w:rsidP="004A1BCA">
      <w:pPr>
        <w:pStyle w:val="afd"/>
        <w:ind w:left="0"/>
        <w:divId w:val="1333020968"/>
        <w:rPr>
          <w:szCs w:val="24"/>
        </w:rPr>
      </w:pPr>
      <w:r w:rsidRPr="00447DC8">
        <w:rPr>
          <w:szCs w:val="24"/>
        </w:rPr>
        <w:t>Методологическое изучение фокусировалось на особенностях дизайна исследования, которые оказывали существенное влияние на качество результатов и выводов.</w:t>
      </w:r>
    </w:p>
    <w:p w14:paraId="4606178D" w14:textId="77777777" w:rsidR="004A1BCA" w:rsidRPr="00447DC8" w:rsidRDefault="004A1BCA" w:rsidP="004A1BCA">
      <w:pPr>
        <w:pStyle w:val="afd"/>
        <w:ind w:left="0"/>
        <w:divId w:val="1333020968"/>
        <w:rPr>
          <w:szCs w:val="24"/>
        </w:rPr>
      </w:pPr>
      <w:r w:rsidRPr="00447DC8">
        <w:rPr>
          <w:szCs w:val="24"/>
        </w:rPr>
        <w:t>С целью исключения влияния субъективных факторов каждое исследование оценивалось независимо, как минимум двумя независимыми членами авторского коллектива. Различия в оценке обсуждались на совещаниях рабочей группы авторского коллектива данных рекомендаций.</w:t>
      </w:r>
    </w:p>
    <w:p w14:paraId="72C2651F" w14:textId="77777777" w:rsidR="004A1BCA" w:rsidRPr="00447DC8" w:rsidRDefault="004A1BCA" w:rsidP="004A1BCA">
      <w:pPr>
        <w:pStyle w:val="afd"/>
        <w:ind w:left="0"/>
        <w:divId w:val="1333020968"/>
        <w:rPr>
          <w:szCs w:val="24"/>
        </w:rPr>
      </w:pPr>
      <w:r w:rsidRPr="00447DC8">
        <w:rPr>
          <w:szCs w:val="24"/>
        </w:rPr>
        <w:t xml:space="preserve">На основании анализа доказательств последовательно были разработаны разделы клинических рекомендаций с оценкой силы в соответствии с рейтинговой схемой рекомендаций </w:t>
      </w:r>
      <w:r w:rsidRPr="00D1584F">
        <w:rPr>
          <w:szCs w:val="24"/>
        </w:rPr>
        <w:t xml:space="preserve"> </w:t>
      </w:r>
      <w:r>
        <w:rPr>
          <w:szCs w:val="24"/>
        </w:rPr>
        <w:t>(табл.3</w:t>
      </w:r>
      <w:r w:rsidRPr="00447DC8">
        <w:rPr>
          <w:szCs w:val="24"/>
        </w:rPr>
        <w:t>).</w:t>
      </w:r>
    </w:p>
    <w:p w14:paraId="26AE3B7E" w14:textId="77777777" w:rsidR="004A1BCA" w:rsidRPr="00447DC8" w:rsidRDefault="004A1BCA" w:rsidP="004A1BCA">
      <w:pPr>
        <w:pStyle w:val="33"/>
        <w:divId w:val="1333020968"/>
        <w:rPr>
          <w:i w:val="0"/>
        </w:rPr>
      </w:pPr>
      <w:r w:rsidRPr="00447DC8">
        <w:rPr>
          <w:i w:val="0"/>
        </w:rPr>
        <w:t>Методы, использованные для формулирования рекомендаций:</w:t>
      </w:r>
    </w:p>
    <w:p w14:paraId="052D138A" w14:textId="77777777" w:rsidR="004A1BCA" w:rsidRPr="00447DC8" w:rsidRDefault="004A1BCA" w:rsidP="004A1BCA">
      <w:pPr>
        <w:pStyle w:val="afd"/>
        <w:numPr>
          <w:ilvl w:val="0"/>
          <w:numId w:val="24"/>
        </w:numPr>
        <w:tabs>
          <w:tab w:val="clear" w:pos="1429"/>
          <w:tab w:val="num" w:pos="-3600"/>
        </w:tabs>
        <w:ind w:left="1080"/>
        <w:divId w:val="1333020968"/>
        <w:rPr>
          <w:szCs w:val="24"/>
        </w:rPr>
      </w:pPr>
      <w:r w:rsidRPr="00447DC8">
        <w:rPr>
          <w:szCs w:val="24"/>
        </w:rPr>
        <w:t>Консенсус экспертов;</w:t>
      </w:r>
    </w:p>
    <w:p w14:paraId="7F920A11" w14:textId="43EBF942" w:rsidR="004A1BCA" w:rsidRPr="004A1BCA" w:rsidRDefault="004A1BCA" w:rsidP="004A1BCA">
      <w:pPr>
        <w:pStyle w:val="afd"/>
        <w:numPr>
          <w:ilvl w:val="0"/>
          <w:numId w:val="24"/>
        </w:numPr>
        <w:tabs>
          <w:tab w:val="clear" w:pos="1429"/>
          <w:tab w:val="num" w:pos="-3600"/>
        </w:tabs>
        <w:ind w:left="1080"/>
        <w:divId w:val="1333020968"/>
        <w:rPr>
          <w:rStyle w:val="affa"/>
          <w:b w:val="0"/>
          <w:bCs w:val="0"/>
          <w:szCs w:val="24"/>
        </w:rPr>
      </w:pPr>
      <w:r w:rsidRPr="00447DC8">
        <w:rPr>
          <w:szCs w:val="24"/>
        </w:rPr>
        <w:t xml:space="preserve">Оценка значимости рекомендаций в соответствии с рейтинговой схемой (табл. </w:t>
      </w:r>
      <w:r>
        <w:rPr>
          <w:szCs w:val="24"/>
        </w:rPr>
        <w:t>3</w:t>
      </w:r>
      <w:r w:rsidRPr="009B4725">
        <w:rPr>
          <w:szCs w:val="24"/>
        </w:rPr>
        <w:t>).</w:t>
      </w:r>
    </w:p>
    <w:p w14:paraId="74D1EAB0" w14:textId="77777777" w:rsidR="009C0364" w:rsidRDefault="009C0364" w:rsidP="009C0364">
      <w:pPr>
        <w:divId w:val="1333020968"/>
      </w:pPr>
      <w:bookmarkStart w:id="51" w:name="_Ref515967732"/>
      <w:r w:rsidRPr="00B15720">
        <w:rPr>
          <w:b/>
        </w:rPr>
        <w:lastRenderedPageBreak/>
        <w:t xml:space="preserve">Таблица </w:t>
      </w:r>
      <w:bookmarkEnd w:id="51"/>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Style w:val="19"/>
        <w:tblW w:w="5000" w:type="pct"/>
        <w:tblLook w:val="04A0" w:firstRow="1" w:lastRow="0" w:firstColumn="1" w:lastColumn="0" w:noHBand="0" w:noVBand="1"/>
      </w:tblPr>
      <w:tblGrid>
        <w:gridCol w:w="1363"/>
        <w:gridCol w:w="8208"/>
      </w:tblGrid>
      <w:tr w:rsidR="009C0364" w:rsidRPr="003311A4" w14:paraId="5D13A6F8" w14:textId="77777777" w:rsidTr="000B7A71">
        <w:trPr>
          <w:divId w:val="1333020968"/>
        </w:trPr>
        <w:tc>
          <w:tcPr>
            <w:tcW w:w="712" w:type="pct"/>
          </w:tcPr>
          <w:p w14:paraId="3425691C" w14:textId="77777777" w:rsidR="009C0364" w:rsidRPr="003311A4" w:rsidRDefault="009C0364" w:rsidP="005219AF">
            <w:pPr>
              <w:spacing w:line="240" w:lineRule="auto"/>
              <w:ind w:firstLine="0"/>
              <w:jc w:val="center"/>
              <w:rPr>
                <w:b/>
                <w:color w:val="000000" w:themeColor="text1"/>
              </w:rPr>
            </w:pPr>
            <w:r w:rsidRPr="003311A4">
              <w:rPr>
                <w:b/>
                <w:color w:val="000000" w:themeColor="text1"/>
              </w:rPr>
              <w:t>УУР</w:t>
            </w:r>
          </w:p>
        </w:tc>
        <w:tc>
          <w:tcPr>
            <w:tcW w:w="4288" w:type="pct"/>
          </w:tcPr>
          <w:p w14:paraId="1A3E24BA" w14:textId="77777777" w:rsidR="009C0364" w:rsidRPr="003311A4" w:rsidRDefault="009C0364" w:rsidP="005219AF">
            <w:pPr>
              <w:spacing w:line="240" w:lineRule="auto"/>
              <w:ind w:firstLine="0"/>
              <w:jc w:val="center"/>
              <w:rPr>
                <w:b/>
                <w:color w:val="000000" w:themeColor="text1"/>
              </w:rPr>
            </w:pPr>
            <w:r w:rsidRPr="003311A4">
              <w:rPr>
                <w:b/>
                <w:color w:val="000000" w:themeColor="text1"/>
              </w:rPr>
              <w:t>Расшифровка</w:t>
            </w:r>
          </w:p>
        </w:tc>
      </w:tr>
      <w:tr w:rsidR="009C0364" w:rsidRPr="003311A4" w14:paraId="3DA88EA2" w14:textId="77777777" w:rsidTr="000B7A71">
        <w:trPr>
          <w:divId w:val="1333020968"/>
          <w:trHeight w:val="1060"/>
        </w:trPr>
        <w:tc>
          <w:tcPr>
            <w:tcW w:w="712" w:type="pct"/>
          </w:tcPr>
          <w:p w14:paraId="55F96929" w14:textId="77777777" w:rsidR="009C0364" w:rsidRPr="003311A4" w:rsidRDefault="009C0364" w:rsidP="005219AF">
            <w:pPr>
              <w:spacing w:line="240" w:lineRule="auto"/>
              <w:ind w:firstLine="0"/>
              <w:jc w:val="center"/>
              <w:rPr>
                <w:color w:val="000000" w:themeColor="text1"/>
              </w:rPr>
            </w:pPr>
            <w:r w:rsidRPr="003311A4">
              <w:rPr>
                <w:color w:val="000000" w:themeColor="text1"/>
                <w:lang w:val="en-US"/>
              </w:rPr>
              <w:t>A</w:t>
            </w:r>
          </w:p>
        </w:tc>
        <w:tc>
          <w:tcPr>
            <w:tcW w:w="4288" w:type="pct"/>
          </w:tcPr>
          <w:p w14:paraId="5C442767" w14:textId="77777777" w:rsidR="009C0364" w:rsidRPr="003311A4" w:rsidRDefault="009C0364" w:rsidP="005219AF">
            <w:pPr>
              <w:spacing w:line="240" w:lineRule="auto"/>
              <w:ind w:firstLine="0"/>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9C0364" w:rsidRPr="003311A4" w14:paraId="189F5844" w14:textId="77777777" w:rsidTr="000B7A71">
        <w:trPr>
          <w:divId w:val="1333020968"/>
          <w:trHeight w:val="558"/>
        </w:trPr>
        <w:tc>
          <w:tcPr>
            <w:tcW w:w="712" w:type="pct"/>
          </w:tcPr>
          <w:p w14:paraId="0674AC21" w14:textId="77777777" w:rsidR="009C0364" w:rsidRPr="003311A4" w:rsidRDefault="009C0364" w:rsidP="005219AF">
            <w:pPr>
              <w:spacing w:line="240" w:lineRule="auto"/>
              <w:ind w:firstLine="0"/>
              <w:jc w:val="center"/>
              <w:rPr>
                <w:color w:val="000000" w:themeColor="text1"/>
              </w:rPr>
            </w:pPr>
            <w:r w:rsidRPr="003311A4">
              <w:rPr>
                <w:color w:val="000000" w:themeColor="text1"/>
              </w:rPr>
              <w:t>B</w:t>
            </w:r>
          </w:p>
        </w:tc>
        <w:tc>
          <w:tcPr>
            <w:tcW w:w="4288" w:type="pct"/>
          </w:tcPr>
          <w:p w14:paraId="44FC2835" w14:textId="77777777" w:rsidR="009C0364" w:rsidRPr="003311A4" w:rsidRDefault="009C0364" w:rsidP="005219AF">
            <w:pPr>
              <w:spacing w:line="240" w:lineRule="auto"/>
              <w:ind w:firstLine="0"/>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3311A4" w14:paraId="4A8E390F" w14:textId="77777777" w:rsidTr="000B7A71">
        <w:trPr>
          <w:divId w:val="1333020968"/>
          <w:trHeight w:val="798"/>
        </w:trPr>
        <w:tc>
          <w:tcPr>
            <w:tcW w:w="712" w:type="pct"/>
          </w:tcPr>
          <w:p w14:paraId="3409E878" w14:textId="77777777" w:rsidR="009C0364" w:rsidRPr="003311A4" w:rsidRDefault="009C0364" w:rsidP="005219AF">
            <w:pPr>
              <w:spacing w:line="240" w:lineRule="auto"/>
              <w:ind w:firstLine="0"/>
              <w:jc w:val="center"/>
              <w:rPr>
                <w:color w:val="000000" w:themeColor="text1"/>
              </w:rPr>
            </w:pPr>
            <w:r w:rsidRPr="003311A4">
              <w:rPr>
                <w:color w:val="000000" w:themeColor="text1"/>
              </w:rPr>
              <w:t>C</w:t>
            </w:r>
          </w:p>
        </w:tc>
        <w:tc>
          <w:tcPr>
            <w:tcW w:w="4288" w:type="pct"/>
          </w:tcPr>
          <w:p w14:paraId="7B280D2C" w14:textId="77777777" w:rsidR="009C0364" w:rsidRPr="003311A4" w:rsidRDefault="009C0364" w:rsidP="005219AF">
            <w:pPr>
              <w:spacing w:line="240" w:lineRule="auto"/>
              <w:ind w:firstLine="0"/>
              <w:rPr>
                <w:color w:val="000000" w:themeColor="text1"/>
              </w:rPr>
            </w:pPr>
            <w:proofErr w:type="gramStart"/>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14:paraId="4D2FD9D4" w14:textId="0A759202" w:rsidR="001D24E4" w:rsidRDefault="001D24E4" w:rsidP="00F756F0">
      <w:pPr>
        <w:pStyle w:val="aff7"/>
        <w:divId w:val="1333020968"/>
        <w:rPr>
          <w:rStyle w:val="affa"/>
        </w:rPr>
      </w:pPr>
    </w:p>
    <w:p w14:paraId="4F378F6E" w14:textId="77777777" w:rsidR="004A1BCA" w:rsidRPr="009B4725" w:rsidRDefault="004A1BCA" w:rsidP="004A1BCA">
      <w:pPr>
        <w:pStyle w:val="33"/>
        <w:ind w:firstLine="709"/>
        <w:divId w:val="1333020968"/>
        <w:rPr>
          <w:b/>
          <w:i w:val="0"/>
        </w:rPr>
      </w:pPr>
      <w:r w:rsidRPr="009B4725">
        <w:rPr>
          <w:b/>
          <w:i w:val="0"/>
        </w:rPr>
        <w:t>Индикаторы доброкачественной клинической практики (</w:t>
      </w:r>
      <w:proofErr w:type="spellStart"/>
      <w:r w:rsidRPr="009B4725">
        <w:rPr>
          <w:b/>
          <w:i w:val="0"/>
        </w:rPr>
        <w:t>Good</w:t>
      </w:r>
      <w:proofErr w:type="spellEnd"/>
      <w:r w:rsidRPr="009B4725">
        <w:rPr>
          <w:b/>
          <w:i w:val="0"/>
        </w:rPr>
        <w:t xml:space="preserve"> </w:t>
      </w:r>
      <w:proofErr w:type="spellStart"/>
      <w:r w:rsidRPr="009B4725">
        <w:rPr>
          <w:b/>
          <w:i w:val="0"/>
        </w:rPr>
        <w:t>Practice</w:t>
      </w:r>
      <w:proofErr w:type="spellEnd"/>
      <w:r w:rsidRPr="009B4725">
        <w:rPr>
          <w:b/>
          <w:i w:val="0"/>
        </w:rPr>
        <w:t xml:space="preserve"> </w:t>
      </w:r>
      <w:proofErr w:type="spellStart"/>
      <w:r w:rsidRPr="009B4725">
        <w:rPr>
          <w:b/>
          <w:i w:val="0"/>
        </w:rPr>
        <w:t>Points</w:t>
      </w:r>
      <w:proofErr w:type="spellEnd"/>
      <w:r w:rsidRPr="009B4725">
        <w:rPr>
          <w:b/>
          <w:i w:val="0"/>
        </w:rPr>
        <w:t xml:space="preserve"> – </w:t>
      </w:r>
      <w:proofErr w:type="spellStart"/>
      <w:r w:rsidRPr="009B4725">
        <w:rPr>
          <w:b/>
          <w:i w:val="0"/>
        </w:rPr>
        <w:t>GPPs</w:t>
      </w:r>
      <w:proofErr w:type="spellEnd"/>
      <w:r w:rsidRPr="009B4725">
        <w:rPr>
          <w:b/>
          <w:i w:val="0"/>
        </w:rPr>
        <w:t>):</w:t>
      </w:r>
    </w:p>
    <w:p w14:paraId="218658E9" w14:textId="77777777" w:rsidR="004A1BCA" w:rsidRPr="00534AD5" w:rsidRDefault="004A1BCA" w:rsidP="004A1BCA">
      <w:pPr>
        <w:pStyle w:val="afd"/>
        <w:ind w:left="0"/>
        <w:divId w:val="1333020968"/>
        <w:rPr>
          <w:szCs w:val="24"/>
        </w:rPr>
      </w:pPr>
      <w:r w:rsidRPr="00534AD5">
        <w:rPr>
          <w:szCs w:val="24"/>
        </w:rPr>
        <w:t>Доброкачественная практика рекомендаций основывается на квалификации и клиническом опыте авторского коллектива.</w:t>
      </w:r>
    </w:p>
    <w:p w14:paraId="3A0DB657" w14:textId="77777777" w:rsidR="004A1BCA" w:rsidRPr="00447DC8" w:rsidRDefault="004A1BCA" w:rsidP="004A1BCA">
      <w:pPr>
        <w:pStyle w:val="33"/>
        <w:ind w:firstLine="709"/>
        <w:jc w:val="left"/>
        <w:divId w:val="1333020968"/>
        <w:rPr>
          <w:b/>
          <w:i w:val="0"/>
        </w:rPr>
      </w:pPr>
      <w:r w:rsidRPr="00447DC8">
        <w:rPr>
          <w:b/>
          <w:i w:val="0"/>
        </w:rPr>
        <w:t>Окончательная редакция</w:t>
      </w:r>
    </w:p>
    <w:p w14:paraId="7A797EA4" w14:textId="525614E8" w:rsidR="004A1BCA" w:rsidRPr="004A1BCA" w:rsidRDefault="004A1BCA" w:rsidP="004A1BCA">
      <w:pPr>
        <w:pStyle w:val="afd"/>
        <w:ind w:left="0"/>
        <w:divId w:val="1333020968"/>
        <w:rPr>
          <w:rStyle w:val="affa"/>
          <w:b w:val="0"/>
          <w:bCs w:val="0"/>
          <w:szCs w:val="24"/>
        </w:rPr>
      </w:pPr>
      <w:r w:rsidRPr="000C592B">
        <w:rPr>
          <w:szCs w:val="24"/>
        </w:rPr>
        <w:t>Для окончательной редакции и контроля качества рекомендации были повторно проанализированы членами авторского коллектива, которые пришли к заключению, что</w:t>
      </w:r>
      <w:r>
        <w:rPr>
          <w:szCs w:val="24"/>
        </w:rPr>
        <w:t xml:space="preserve"> </w:t>
      </w:r>
      <w:r w:rsidRPr="00C41A9B">
        <w:rPr>
          <w:szCs w:val="24"/>
        </w:rPr>
        <w:t>все существенные замечания и комментарии экспертов приняты во внимание, риск систематических ошибок при разработке сведен к минимуму.</w:t>
      </w:r>
    </w:p>
    <w:p w14:paraId="22BB2311" w14:textId="77777777" w:rsidR="004A1BCA" w:rsidRDefault="004A1BCA" w:rsidP="00F756F0">
      <w:pPr>
        <w:pStyle w:val="aff7"/>
        <w:divId w:val="1333020968"/>
        <w:rPr>
          <w:rStyle w:val="affa"/>
        </w:rPr>
      </w:pPr>
    </w:p>
    <w:p w14:paraId="3FC46AA4" w14:textId="4EC62660" w:rsidR="00275A41" w:rsidRDefault="00CB71DA" w:rsidP="00F756F0">
      <w:pPr>
        <w:pStyle w:val="aff7"/>
        <w:divId w:val="1333020968"/>
        <w:rPr>
          <w:rFonts w:eastAsiaTheme="minorEastAsia"/>
        </w:rPr>
      </w:pPr>
      <w:r>
        <w:rPr>
          <w:rStyle w:val="affa"/>
        </w:rPr>
        <w:t>Порядок обновления клинических рекомендаций.</w:t>
      </w:r>
    </w:p>
    <w:p w14:paraId="6D3BDA23" w14:textId="77777777"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w:t>
      </w:r>
      <w:proofErr w:type="gramStart"/>
      <w:r w:rsidR="00221384" w:rsidRPr="008F73CB">
        <w:t>КР</w:t>
      </w:r>
      <w:proofErr w:type="gramEnd"/>
      <w:r w:rsidR="00221384">
        <w:t>, но не чаще 1 раза в 6 месяцев.</w:t>
      </w:r>
    </w:p>
    <w:p w14:paraId="2C2C5246" w14:textId="30C185D9" w:rsidR="000414F6" w:rsidRPr="005219AF" w:rsidRDefault="00CB71DA" w:rsidP="007D10F3">
      <w:pPr>
        <w:pStyle w:val="afff1"/>
      </w:pPr>
      <w:r>
        <w:br w:type="page"/>
      </w:r>
      <w:bookmarkStart w:id="52" w:name="__RefHeading___doc_a3"/>
      <w:bookmarkStart w:id="53" w:name="_Toc24641971"/>
      <w:r w:rsidRPr="005219AF">
        <w:lastRenderedPageBreak/>
        <w:t xml:space="preserve">Приложение А3. </w:t>
      </w:r>
      <w:bookmarkEnd w:id="52"/>
      <w:r w:rsidR="00870220" w:rsidRPr="00870220">
        <w:t xml:space="preserve">Краткая инструкция по применению </w:t>
      </w:r>
      <w:proofErr w:type="spellStart"/>
      <w:r w:rsidR="00870220" w:rsidRPr="00870220">
        <w:t>экулизумаба</w:t>
      </w:r>
      <w:proofErr w:type="spellEnd"/>
      <w:r w:rsidR="00870220">
        <w:t>.</w:t>
      </w:r>
      <w:bookmarkEnd w:id="53"/>
    </w:p>
    <w:p w14:paraId="2B4A2A50" w14:textId="48CF86CD" w:rsidR="002238CD" w:rsidRPr="002238CD" w:rsidRDefault="002238CD" w:rsidP="00870220">
      <w:pPr>
        <w:pStyle w:val="3"/>
        <w:spacing w:before="300" w:after="150"/>
        <w:rPr>
          <w:rFonts w:ascii="Times New Roman" w:hAnsi="Times New Roman" w:cs="Times New Roman"/>
          <w:color w:val="333333"/>
        </w:rPr>
      </w:pPr>
      <w:bookmarkStart w:id="54" w:name="_Toc24467397"/>
      <w:bookmarkStart w:id="55" w:name="_Toc24641972"/>
      <w:r w:rsidRPr="000479CF">
        <w:rPr>
          <w:rFonts w:ascii="Times New Roman" w:hAnsi="Times New Roman" w:cs="Times New Roman"/>
          <w:color w:val="333333"/>
          <w:u w:val="single"/>
        </w:rPr>
        <w:t>Международное непатентованное наименование:</w:t>
      </w:r>
      <w:r w:rsidR="00870220">
        <w:rPr>
          <w:rFonts w:ascii="Times New Roman" w:hAnsi="Times New Roman" w:cs="Times New Roman"/>
          <w:color w:val="333333"/>
        </w:rPr>
        <w:t xml:space="preserve"> </w:t>
      </w:r>
      <w:proofErr w:type="spellStart"/>
      <w:r w:rsidRPr="002238CD">
        <w:rPr>
          <w:rFonts w:ascii="Times New Roman" w:hAnsi="Times New Roman" w:cs="Times New Roman"/>
          <w:color w:val="333333"/>
        </w:rPr>
        <w:t>экулизумаб</w:t>
      </w:r>
      <w:proofErr w:type="spellEnd"/>
      <w:r w:rsidRPr="002238CD">
        <w:rPr>
          <w:rFonts w:ascii="Times New Roman" w:hAnsi="Times New Roman" w:cs="Times New Roman"/>
          <w:color w:val="333333"/>
        </w:rPr>
        <w:t>.</w:t>
      </w:r>
      <w:bookmarkEnd w:id="54"/>
      <w:bookmarkEnd w:id="55"/>
    </w:p>
    <w:p w14:paraId="34C0A3EA" w14:textId="6E1470CD" w:rsidR="002238CD" w:rsidRPr="002238CD" w:rsidRDefault="002238CD" w:rsidP="00870220">
      <w:pPr>
        <w:pStyle w:val="3"/>
        <w:spacing w:before="300" w:after="150"/>
        <w:rPr>
          <w:rFonts w:ascii="Times New Roman" w:hAnsi="Times New Roman" w:cs="Times New Roman"/>
          <w:color w:val="333333"/>
        </w:rPr>
      </w:pPr>
      <w:bookmarkStart w:id="56" w:name="_Toc24467398"/>
      <w:bookmarkStart w:id="57" w:name="_Toc24641973"/>
      <w:r w:rsidRPr="000479CF">
        <w:rPr>
          <w:rFonts w:ascii="Times New Roman" w:hAnsi="Times New Roman" w:cs="Times New Roman"/>
          <w:color w:val="333333"/>
          <w:u w:val="single"/>
        </w:rPr>
        <w:t>Лекарственная форма</w:t>
      </w:r>
      <w:r w:rsidRPr="002238CD">
        <w:rPr>
          <w:rFonts w:ascii="Times New Roman" w:hAnsi="Times New Roman" w:cs="Times New Roman"/>
          <w:color w:val="333333"/>
        </w:rPr>
        <w:t>:</w:t>
      </w:r>
      <w:r w:rsidR="00870220">
        <w:rPr>
          <w:rFonts w:ascii="Times New Roman" w:hAnsi="Times New Roman" w:cs="Times New Roman"/>
          <w:color w:val="333333"/>
        </w:rPr>
        <w:t xml:space="preserve"> </w:t>
      </w:r>
      <w:r w:rsidRPr="002238CD">
        <w:rPr>
          <w:rFonts w:ascii="Times New Roman" w:hAnsi="Times New Roman" w:cs="Times New Roman"/>
          <w:color w:val="333333"/>
        </w:rPr>
        <w:t>Концентрат для при</w:t>
      </w:r>
      <w:r w:rsidR="00870220">
        <w:rPr>
          <w:rFonts w:ascii="Times New Roman" w:hAnsi="Times New Roman" w:cs="Times New Roman"/>
          <w:color w:val="333333"/>
        </w:rPr>
        <w:t xml:space="preserve">готовления раствора для </w:t>
      </w:r>
      <w:proofErr w:type="spellStart"/>
      <w:r w:rsidR="00870220">
        <w:rPr>
          <w:rFonts w:ascii="Times New Roman" w:hAnsi="Times New Roman" w:cs="Times New Roman"/>
          <w:color w:val="333333"/>
        </w:rPr>
        <w:t>инфузий</w:t>
      </w:r>
      <w:proofErr w:type="spellEnd"/>
      <w:r w:rsidR="00870220">
        <w:rPr>
          <w:rFonts w:ascii="Times New Roman" w:hAnsi="Times New Roman" w:cs="Times New Roman"/>
          <w:color w:val="333333"/>
        </w:rPr>
        <w:t>.</w:t>
      </w:r>
      <w:bookmarkEnd w:id="56"/>
      <w:bookmarkEnd w:id="57"/>
    </w:p>
    <w:p w14:paraId="561C93B4" w14:textId="59DC6E14" w:rsidR="002238CD" w:rsidRPr="002238CD" w:rsidRDefault="00870220" w:rsidP="0042202D">
      <w:pPr>
        <w:pStyle w:val="3"/>
        <w:spacing w:before="300" w:after="150"/>
        <w:ind w:left="708" w:firstLine="1"/>
        <w:rPr>
          <w:rFonts w:ascii="Times New Roman" w:hAnsi="Times New Roman" w:cs="Times New Roman"/>
          <w:color w:val="333333"/>
        </w:rPr>
      </w:pPr>
      <w:bookmarkStart w:id="58" w:name="_Toc24467399"/>
      <w:bookmarkStart w:id="59" w:name="_Toc24641974"/>
      <w:r>
        <w:rPr>
          <w:rFonts w:ascii="Times New Roman" w:hAnsi="Times New Roman" w:cs="Times New Roman"/>
          <w:color w:val="333333"/>
        </w:rPr>
        <w:t xml:space="preserve">Состав: </w:t>
      </w:r>
      <w:r w:rsidR="002238CD" w:rsidRPr="002238CD">
        <w:rPr>
          <w:rFonts w:ascii="Times New Roman" w:hAnsi="Times New Roman" w:cs="Times New Roman"/>
          <w:color w:val="333333"/>
        </w:rPr>
        <w:t>1,0 мл концентрата содержит</w:t>
      </w:r>
      <w:r w:rsidR="002238CD" w:rsidRPr="002238CD">
        <w:rPr>
          <w:rFonts w:ascii="Times New Roman" w:hAnsi="Times New Roman" w:cs="Times New Roman"/>
          <w:color w:val="333333"/>
        </w:rPr>
        <w:br/>
      </w:r>
      <w:r w:rsidR="002238CD" w:rsidRPr="002238CD">
        <w:rPr>
          <w:rStyle w:val="affb"/>
          <w:rFonts w:ascii="Times New Roman" w:hAnsi="Times New Roman" w:cs="Times New Roman"/>
          <w:color w:val="333333"/>
        </w:rPr>
        <w:t>действующее вещество:</w:t>
      </w:r>
      <w:r w:rsidR="002238CD" w:rsidRPr="002238CD">
        <w:rPr>
          <w:rFonts w:ascii="Times New Roman" w:hAnsi="Times New Roman" w:cs="Times New Roman"/>
          <w:color w:val="333333"/>
        </w:rPr>
        <w:t> </w:t>
      </w:r>
      <w:proofErr w:type="spellStart"/>
      <w:r w:rsidR="002238CD" w:rsidRPr="002238CD">
        <w:rPr>
          <w:rFonts w:ascii="Times New Roman" w:hAnsi="Times New Roman" w:cs="Times New Roman"/>
          <w:color w:val="333333"/>
        </w:rPr>
        <w:t>экулизумаб</w:t>
      </w:r>
      <w:proofErr w:type="spellEnd"/>
      <w:r w:rsidR="002238CD" w:rsidRPr="002238CD">
        <w:rPr>
          <w:rFonts w:ascii="Times New Roman" w:hAnsi="Times New Roman" w:cs="Times New Roman"/>
          <w:color w:val="333333"/>
        </w:rPr>
        <w:t xml:space="preserve"> (</w:t>
      </w:r>
      <w:proofErr w:type="spellStart"/>
      <w:r w:rsidR="002238CD" w:rsidRPr="002238CD">
        <w:rPr>
          <w:rFonts w:ascii="Times New Roman" w:hAnsi="Times New Roman" w:cs="Times New Roman"/>
          <w:color w:val="333333"/>
        </w:rPr>
        <w:t>rEclz</w:t>
      </w:r>
      <w:proofErr w:type="spellEnd"/>
      <w:r w:rsidR="002238CD" w:rsidRPr="002238CD">
        <w:rPr>
          <w:rFonts w:ascii="Times New Roman" w:hAnsi="Times New Roman" w:cs="Times New Roman"/>
          <w:color w:val="333333"/>
        </w:rPr>
        <w:t>) – 10,0 мг;</w:t>
      </w:r>
      <w:r w:rsidR="002238CD" w:rsidRPr="002238CD">
        <w:rPr>
          <w:rFonts w:ascii="Times New Roman" w:hAnsi="Times New Roman" w:cs="Times New Roman"/>
          <w:color w:val="333333"/>
        </w:rPr>
        <w:br/>
      </w:r>
      <w:r w:rsidR="002238CD" w:rsidRPr="002238CD">
        <w:rPr>
          <w:rStyle w:val="affb"/>
          <w:rFonts w:ascii="Times New Roman" w:hAnsi="Times New Roman" w:cs="Times New Roman"/>
          <w:color w:val="333333"/>
        </w:rPr>
        <w:t>вспомогательные вещества:</w:t>
      </w:r>
      <w:r w:rsidR="002238CD" w:rsidRPr="002238CD">
        <w:rPr>
          <w:rFonts w:ascii="Times New Roman" w:hAnsi="Times New Roman" w:cs="Times New Roman"/>
          <w:color w:val="333333"/>
        </w:rPr>
        <w:t xml:space="preserve"> натрия </w:t>
      </w:r>
      <w:proofErr w:type="spellStart"/>
      <w:r w:rsidR="002238CD" w:rsidRPr="002238CD">
        <w:rPr>
          <w:rFonts w:ascii="Times New Roman" w:hAnsi="Times New Roman" w:cs="Times New Roman"/>
          <w:color w:val="333333"/>
        </w:rPr>
        <w:t>дигидрофосфата</w:t>
      </w:r>
      <w:proofErr w:type="spellEnd"/>
      <w:r w:rsidR="002238CD" w:rsidRPr="002238CD">
        <w:rPr>
          <w:rFonts w:ascii="Times New Roman" w:hAnsi="Times New Roman" w:cs="Times New Roman"/>
          <w:color w:val="333333"/>
        </w:rPr>
        <w:t xml:space="preserve"> моногидрат, натрия </w:t>
      </w:r>
      <w:proofErr w:type="spellStart"/>
      <w:r w:rsidR="002238CD" w:rsidRPr="002238CD">
        <w:rPr>
          <w:rFonts w:ascii="Times New Roman" w:hAnsi="Times New Roman" w:cs="Times New Roman"/>
          <w:color w:val="333333"/>
        </w:rPr>
        <w:t>гидрофосфата</w:t>
      </w:r>
      <w:proofErr w:type="spellEnd"/>
      <w:r w:rsidR="002238CD" w:rsidRPr="002238CD">
        <w:rPr>
          <w:rFonts w:ascii="Times New Roman" w:hAnsi="Times New Roman" w:cs="Times New Roman"/>
          <w:color w:val="333333"/>
        </w:rPr>
        <w:t xml:space="preserve"> </w:t>
      </w:r>
      <w:proofErr w:type="spellStart"/>
      <w:r w:rsidR="002238CD" w:rsidRPr="002238CD">
        <w:rPr>
          <w:rFonts w:ascii="Times New Roman" w:hAnsi="Times New Roman" w:cs="Times New Roman"/>
          <w:color w:val="333333"/>
        </w:rPr>
        <w:t>гептагидрат</w:t>
      </w:r>
      <w:proofErr w:type="spellEnd"/>
      <w:r w:rsidR="002238CD" w:rsidRPr="002238CD">
        <w:rPr>
          <w:rFonts w:ascii="Times New Roman" w:hAnsi="Times New Roman" w:cs="Times New Roman"/>
          <w:color w:val="333333"/>
        </w:rPr>
        <w:t xml:space="preserve">, натрия хлорид, </w:t>
      </w:r>
      <w:proofErr w:type="spellStart"/>
      <w:r w:rsidR="002238CD" w:rsidRPr="002238CD">
        <w:rPr>
          <w:rFonts w:ascii="Times New Roman" w:hAnsi="Times New Roman" w:cs="Times New Roman"/>
          <w:color w:val="333333"/>
        </w:rPr>
        <w:t>полисорбат</w:t>
      </w:r>
      <w:proofErr w:type="spellEnd"/>
      <w:r w:rsidR="002238CD" w:rsidRPr="002238CD">
        <w:rPr>
          <w:rFonts w:ascii="Times New Roman" w:hAnsi="Times New Roman" w:cs="Times New Roman"/>
          <w:color w:val="333333"/>
        </w:rPr>
        <w:t xml:space="preserve"> 80, вода для инъекций – до 1,0 мл.</w:t>
      </w:r>
      <w:bookmarkEnd w:id="58"/>
      <w:bookmarkEnd w:id="59"/>
    </w:p>
    <w:p w14:paraId="16C8D1AE" w14:textId="44E6B8BA" w:rsidR="00870220" w:rsidRPr="000479CF" w:rsidRDefault="00870220" w:rsidP="002238CD">
      <w:pPr>
        <w:pStyle w:val="3"/>
        <w:spacing w:before="300" w:after="150"/>
        <w:rPr>
          <w:rFonts w:ascii="Times New Roman" w:hAnsi="Times New Roman" w:cs="Times New Roman"/>
          <w:color w:val="333333"/>
          <w:u w:val="single"/>
        </w:rPr>
      </w:pPr>
      <w:bookmarkStart w:id="60" w:name="_Toc24467400"/>
      <w:bookmarkStart w:id="61" w:name="_Toc24641975"/>
      <w:r w:rsidRPr="000479CF">
        <w:rPr>
          <w:rFonts w:ascii="Times New Roman" w:hAnsi="Times New Roman" w:cs="Times New Roman"/>
          <w:color w:val="333333"/>
          <w:u w:val="single"/>
        </w:rPr>
        <w:t>Показания к применению:</w:t>
      </w:r>
      <w:bookmarkEnd w:id="60"/>
      <w:bookmarkEnd w:id="61"/>
    </w:p>
    <w:p w14:paraId="56329E0E" w14:textId="2EEC081A" w:rsidR="00870220" w:rsidRDefault="00870220" w:rsidP="00870220">
      <w:pPr>
        <w:pStyle w:val="3"/>
        <w:numPr>
          <w:ilvl w:val="0"/>
          <w:numId w:val="20"/>
        </w:numPr>
        <w:spacing w:before="300" w:after="150"/>
        <w:rPr>
          <w:rFonts w:ascii="Times New Roman" w:hAnsi="Times New Roman" w:cs="Times New Roman"/>
          <w:color w:val="333333"/>
        </w:rPr>
      </w:pPr>
      <w:bookmarkStart w:id="62" w:name="_Toc24467401"/>
      <w:bookmarkStart w:id="63" w:name="_Toc24641976"/>
      <w:r>
        <w:rPr>
          <w:rFonts w:ascii="Times New Roman" w:hAnsi="Times New Roman" w:cs="Times New Roman"/>
          <w:color w:val="333333"/>
        </w:rPr>
        <w:t>Пароксизмальная ночная гемоглобинурия</w:t>
      </w:r>
      <w:r w:rsidRPr="00870220">
        <w:rPr>
          <w:rFonts w:ascii="Times New Roman" w:hAnsi="Times New Roman" w:cs="Times New Roman"/>
          <w:color w:val="333333"/>
        </w:rPr>
        <w:t xml:space="preserve"> (ПНГ). Эффективность </w:t>
      </w:r>
      <w:proofErr w:type="spellStart"/>
      <w:r w:rsidRPr="00870220">
        <w:rPr>
          <w:rFonts w:ascii="Times New Roman" w:hAnsi="Times New Roman" w:cs="Times New Roman"/>
          <w:color w:val="333333"/>
        </w:rPr>
        <w:t>экулизумаба</w:t>
      </w:r>
      <w:proofErr w:type="spellEnd"/>
      <w:r w:rsidRPr="00870220">
        <w:rPr>
          <w:rFonts w:ascii="Times New Roman" w:hAnsi="Times New Roman" w:cs="Times New Roman"/>
          <w:color w:val="333333"/>
        </w:rPr>
        <w:t xml:space="preserve"> подтверждена у пациентов с гемолизом и сопутствующими клиническими симптомами, свидетельствующими о высокой активности заболевания, вне зависимости от потребности в гемотрансфузиях в анамнезе;</w:t>
      </w:r>
      <w:bookmarkEnd w:id="62"/>
      <w:bookmarkEnd w:id="63"/>
    </w:p>
    <w:p w14:paraId="436E3971" w14:textId="5E41BED6" w:rsidR="00870220" w:rsidRPr="00870220" w:rsidRDefault="00870220" w:rsidP="00870220">
      <w:pPr>
        <w:pStyle w:val="afd"/>
        <w:numPr>
          <w:ilvl w:val="0"/>
          <w:numId w:val="20"/>
        </w:numPr>
      </w:pPr>
      <w:r>
        <w:t xml:space="preserve">Атипичный </w:t>
      </w:r>
      <w:proofErr w:type="spellStart"/>
      <w:r>
        <w:t>гемолитико</w:t>
      </w:r>
      <w:proofErr w:type="spellEnd"/>
      <w:r>
        <w:t>-уремический синдром (</w:t>
      </w:r>
      <w:proofErr w:type="spellStart"/>
      <w:r>
        <w:t>аГУС</w:t>
      </w:r>
      <w:proofErr w:type="spellEnd"/>
      <w:r>
        <w:t>)</w:t>
      </w:r>
    </w:p>
    <w:p w14:paraId="2B9712A8" w14:textId="7E355505" w:rsidR="002238CD" w:rsidRPr="000479CF" w:rsidRDefault="002238CD" w:rsidP="002238CD">
      <w:pPr>
        <w:pStyle w:val="3"/>
        <w:spacing w:before="300" w:after="150"/>
        <w:rPr>
          <w:rFonts w:ascii="Times New Roman" w:hAnsi="Times New Roman" w:cs="Times New Roman"/>
          <w:color w:val="333333"/>
          <w:u w:val="single"/>
        </w:rPr>
      </w:pPr>
      <w:bookmarkStart w:id="64" w:name="_Toc24467402"/>
      <w:bookmarkStart w:id="65" w:name="_Toc24641977"/>
      <w:r w:rsidRPr="000479CF">
        <w:rPr>
          <w:rFonts w:ascii="Times New Roman" w:hAnsi="Times New Roman" w:cs="Times New Roman"/>
          <w:color w:val="333333"/>
          <w:u w:val="single"/>
        </w:rPr>
        <w:t>Противопоказания</w:t>
      </w:r>
      <w:r w:rsidR="00870220" w:rsidRPr="000479CF">
        <w:rPr>
          <w:rFonts w:ascii="Times New Roman" w:hAnsi="Times New Roman" w:cs="Times New Roman"/>
          <w:color w:val="333333"/>
          <w:u w:val="single"/>
        </w:rPr>
        <w:t>:</w:t>
      </w:r>
      <w:bookmarkEnd w:id="64"/>
      <w:bookmarkEnd w:id="65"/>
    </w:p>
    <w:p w14:paraId="5DB3742C" w14:textId="77777777" w:rsidR="002238CD" w:rsidRPr="002238CD" w:rsidRDefault="002238CD" w:rsidP="002238CD">
      <w:pPr>
        <w:numPr>
          <w:ilvl w:val="0"/>
          <w:numId w:val="17"/>
        </w:numPr>
        <w:spacing w:before="100" w:beforeAutospacing="1" w:after="100" w:afterAutospacing="1" w:line="240" w:lineRule="auto"/>
        <w:jc w:val="left"/>
        <w:rPr>
          <w:rFonts w:cs="Times New Roman"/>
          <w:color w:val="333333"/>
          <w:szCs w:val="24"/>
        </w:rPr>
      </w:pPr>
      <w:r w:rsidRPr="002238CD">
        <w:rPr>
          <w:rFonts w:cs="Times New Roman"/>
          <w:color w:val="333333"/>
          <w:szCs w:val="24"/>
        </w:rPr>
        <w:t xml:space="preserve">Повышенная чувствительность к </w:t>
      </w:r>
      <w:proofErr w:type="spellStart"/>
      <w:r w:rsidRPr="002238CD">
        <w:rPr>
          <w:rFonts w:cs="Times New Roman"/>
          <w:color w:val="333333"/>
          <w:szCs w:val="24"/>
        </w:rPr>
        <w:t>экулизумабу</w:t>
      </w:r>
      <w:proofErr w:type="spellEnd"/>
      <w:r w:rsidRPr="002238CD">
        <w:rPr>
          <w:rFonts w:cs="Times New Roman"/>
          <w:color w:val="333333"/>
          <w:szCs w:val="24"/>
        </w:rPr>
        <w:t>, белкам хомячков или другим компонентам препарата.</w:t>
      </w:r>
    </w:p>
    <w:p w14:paraId="487C9E37" w14:textId="77777777" w:rsidR="002238CD" w:rsidRPr="002238CD" w:rsidRDefault="002238CD" w:rsidP="002238CD">
      <w:pPr>
        <w:numPr>
          <w:ilvl w:val="0"/>
          <w:numId w:val="17"/>
        </w:numPr>
        <w:spacing w:before="100" w:beforeAutospacing="1" w:after="100" w:afterAutospacing="1" w:line="240" w:lineRule="auto"/>
        <w:jc w:val="left"/>
        <w:rPr>
          <w:rFonts w:cs="Times New Roman"/>
          <w:color w:val="333333"/>
          <w:szCs w:val="24"/>
        </w:rPr>
      </w:pPr>
      <w:r w:rsidRPr="002238CD">
        <w:rPr>
          <w:rFonts w:cs="Times New Roman"/>
          <w:color w:val="333333"/>
          <w:szCs w:val="24"/>
        </w:rPr>
        <w:t>Период грудного вскармливания.</w:t>
      </w:r>
    </w:p>
    <w:p w14:paraId="6FCE82D6" w14:textId="77777777" w:rsidR="002238CD" w:rsidRPr="002238CD" w:rsidRDefault="002238CD" w:rsidP="002238CD">
      <w:pPr>
        <w:numPr>
          <w:ilvl w:val="0"/>
          <w:numId w:val="17"/>
        </w:numPr>
        <w:spacing w:before="100" w:beforeAutospacing="1" w:after="100" w:afterAutospacing="1" w:line="240" w:lineRule="auto"/>
        <w:jc w:val="left"/>
        <w:rPr>
          <w:rFonts w:cs="Times New Roman"/>
          <w:color w:val="333333"/>
          <w:szCs w:val="24"/>
        </w:rPr>
      </w:pPr>
      <w:r w:rsidRPr="002238CD">
        <w:rPr>
          <w:rFonts w:cs="Times New Roman"/>
          <w:color w:val="333333"/>
          <w:szCs w:val="24"/>
        </w:rPr>
        <w:t>Активная инфекция </w:t>
      </w:r>
      <w:proofErr w:type="spellStart"/>
      <w:r w:rsidRPr="002238CD">
        <w:rPr>
          <w:rStyle w:val="affb"/>
          <w:rFonts w:cs="Times New Roman"/>
          <w:color w:val="333333"/>
          <w:szCs w:val="24"/>
        </w:rPr>
        <w:t>Neisseria</w:t>
      </w:r>
      <w:proofErr w:type="spellEnd"/>
      <w:r w:rsidRPr="002238CD">
        <w:rPr>
          <w:rStyle w:val="affb"/>
          <w:rFonts w:cs="Times New Roman"/>
          <w:color w:val="333333"/>
          <w:szCs w:val="24"/>
        </w:rPr>
        <w:t xml:space="preserve"> </w:t>
      </w:r>
      <w:proofErr w:type="spellStart"/>
      <w:r w:rsidRPr="002238CD">
        <w:rPr>
          <w:rStyle w:val="affb"/>
          <w:rFonts w:cs="Times New Roman"/>
          <w:color w:val="333333"/>
          <w:szCs w:val="24"/>
        </w:rPr>
        <w:t>meningitidis</w:t>
      </w:r>
      <w:proofErr w:type="spellEnd"/>
      <w:r w:rsidRPr="002238CD">
        <w:rPr>
          <w:rStyle w:val="affb"/>
          <w:rFonts w:cs="Times New Roman"/>
          <w:color w:val="333333"/>
          <w:szCs w:val="24"/>
        </w:rPr>
        <w:t>.</w:t>
      </w:r>
    </w:p>
    <w:p w14:paraId="607E4A4B" w14:textId="77777777" w:rsidR="002238CD" w:rsidRPr="002238CD" w:rsidRDefault="002238CD" w:rsidP="002238CD">
      <w:pPr>
        <w:numPr>
          <w:ilvl w:val="0"/>
          <w:numId w:val="17"/>
        </w:numPr>
        <w:spacing w:before="100" w:beforeAutospacing="1" w:after="100" w:afterAutospacing="1" w:line="240" w:lineRule="auto"/>
        <w:jc w:val="left"/>
        <w:rPr>
          <w:rFonts w:cs="Times New Roman"/>
          <w:color w:val="333333"/>
          <w:szCs w:val="24"/>
        </w:rPr>
      </w:pPr>
      <w:r w:rsidRPr="002238CD">
        <w:rPr>
          <w:rFonts w:cs="Times New Roman"/>
          <w:color w:val="333333"/>
          <w:szCs w:val="24"/>
        </w:rPr>
        <w:t>Отсутствие вакцинации против </w:t>
      </w:r>
      <w:proofErr w:type="spellStart"/>
      <w:r w:rsidRPr="002238CD">
        <w:rPr>
          <w:rStyle w:val="affb"/>
          <w:rFonts w:cs="Times New Roman"/>
          <w:color w:val="333333"/>
          <w:szCs w:val="24"/>
        </w:rPr>
        <w:t>Neisseria</w:t>
      </w:r>
      <w:proofErr w:type="spellEnd"/>
      <w:r w:rsidRPr="002238CD">
        <w:rPr>
          <w:rStyle w:val="affb"/>
          <w:rFonts w:cs="Times New Roman"/>
          <w:color w:val="333333"/>
          <w:szCs w:val="24"/>
        </w:rPr>
        <w:t xml:space="preserve"> </w:t>
      </w:r>
      <w:proofErr w:type="spellStart"/>
      <w:r w:rsidRPr="002238CD">
        <w:rPr>
          <w:rStyle w:val="affb"/>
          <w:rFonts w:cs="Times New Roman"/>
          <w:color w:val="333333"/>
          <w:szCs w:val="24"/>
        </w:rPr>
        <w:t>meningitidis</w:t>
      </w:r>
      <w:proofErr w:type="spellEnd"/>
      <w:r w:rsidRPr="002238CD">
        <w:rPr>
          <w:rFonts w:cs="Times New Roman"/>
          <w:color w:val="333333"/>
          <w:szCs w:val="24"/>
        </w:rPr>
        <w:t> (если нет соответствующей профилактической антибиотикотерапии в течение 2 недель после вакцинации).</w:t>
      </w:r>
    </w:p>
    <w:p w14:paraId="5D04CDE2" w14:textId="5D0A6AF7" w:rsidR="002238CD" w:rsidRPr="000479CF" w:rsidRDefault="002238CD" w:rsidP="002238CD">
      <w:pPr>
        <w:pStyle w:val="3"/>
        <w:spacing w:before="300" w:after="150"/>
        <w:rPr>
          <w:rFonts w:ascii="Times New Roman" w:hAnsi="Times New Roman" w:cs="Times New Roman"/>
          <w:color w:val="333333"/>
          <w:u w:val="single"/>
        </w:rPr>
      </w:pPr>
      <w:bookmarkStart w:id="66" w:name="_Toc24467403"/>
      <w:bookmarkStart w:id="67" w:name="_Toc24641978"/>
      <w:r w:rsidRPr="000479CF">
        <w:rPr>
          <w:rFonts w:ascii="Times New Roman" w:hAnsi="Times New Roman" w:cs="Times New Roman"/>
          <w:color w:val="333333"/>
          <w:u w:val="single"/>
        </w:rPr>
        <w:t>Способ применения и дозы</w:t>
      </w:r>
      <w:r w:rsidR="00870220" w:rsidRPr="000479CF">
        <w:rPr>
          <w:rFonts w:ascii="Times New Roman" w:hAnsi="Times New Roman" w:cs="Times New Roman"/>
          <w:color w:val="333333"/>
          <w:u w:val="single"/>
        </w:rPr>
        <w:t>:</w:t>
      </w:r>
      <w:bookmarkEnd w:id="66"/>
      <w:bookmarkEnd w:id="67"/>
    </w:p>
    <w:p w14:paraId="1C5B4566" w14:textId="2C870B38" w:rsidR="002238CD" w:rsidRPr="002238CD" w:rsidRDefault="002238CD" w:rsidP="002238CD">
      <w:pPr>
        <w:pStyle w:val="afb"/>
        <w:spacing w:beforeAutospacing="0" w:after="150" w:afterAutospacing="0"/>
        <w:rPr>
          <w:color w:val="333333"/>
        </w:rPr>
      </w:pPr>
      <w:r w:rsidRPr="002238CD">
        <w:rPr>
          <w:color w:val="333333"/>
        </w:rPr>
        <w:t xml:space="preserve">Внутривенно </w:t>
      </w:r>
      <w:proofErr w:type="spellStart"/>
      <w:r w:rsidRPr="002238CD">
        <w:rPr>
          <w:color w:val="333333"/>
        </w:rPr>
        <w:t>капельно</w:t>
      </w:r>
      <w:proofErr w:type="spellEnd"/>
      <w:r w:rsidRPr="002238CD">
        <w:rPr>
          <w:color w:val="333333"/>
        </w:rPr>
        <w:t xml:space="preserve"> в течение 25-45 минут для взрослых и в течение 1</w:t>
      </w:r>
      <w:r w:rsidR="00D854CE">
        <w:rPr>
          <w:color w:val="333333"/>
        </w:rPr>
        <w:t xml:space="preserve">-4 часов для пациентов детского </w:t>
      </w:r>
      <w:r w:rsidRPr="002238CD">
        <w:rPr>
          <w:color w:val="333333"/>
        </w:rPr>
        <w:t>возраста.</w:t>
      </w:r>
      <w:r w:rsidRPr="002238CD">
        <w:rPr>
          <w:color w:val="333333"/>
        </w:rPr>
        <w:br/>
        <w:t>Курс лечения для взрослых пациентов (≥18 лет) включает 4-недельный </w:t>
      </w:r>
      <w:r w:rsidRPr="002238CD">
        <w:rPr>
          <w:rStyle w:val="affb"/>
          <w:color w:val="333333"/>
        </w:rPr>
        <w:t>начальный</w:t>
      </w:r>
      <w:r w:rsidRPr="002238CD">
        <w:rPr>
          <w:color w:val="333333"/>
        </w:rPr>
        <w:t> цикл с последующим циклом </w:t>
      </w:r>
      <w:r w:rsidRPr="002238CD">
        <w:rPr>
          <w:rStyle w:val="affb"/>
          <w:color w:val="333333"/>
        </w:rPr>
        <w:t>поддерживающей</w:t>
      </w:r>
      <w:r w:rsidRPr="002238CD">
        <w:rPr>
          <w:color w:val="333333"/>
        </w:rPr>
        <w:t> терапии.</w:t>
      </w:r>
      <w:r w:rsidRPr="002238CD">
        <w:rPr>
          <w:color w:val="333333"/>
        </w:rPr>
        <w:br/>
      </w:r>
      <w:r w:rsidRPr="002238CD">
        <w:rPr>
          <w:rStyle w:val="affb"/>
          <w:color w:val="333333"/>
        </w:rPr>
        <w:t>Начальный цикл:</w:t>
      </w:r>
      <w:r w:rsidRPr="002238CD">
        <w:rPr>
          <w:color w:val="333333"/>
        </w:rPr>
        <w:t xml:space="preserve"> 600 мг </w:t>
      </w:r>
      <w:proofErr w:type="spellStart"/>
      <w:r w:rsidR="00870220">
        <w:rPr>
          <w:color w:val="333333"/>
        </w:rPr>
        <w:t>экулизумаба</w:t>
      </w:r>
      <w:proofErr w:type="spellEnd"/>
      <w:r w:rsidRPr="002238CD">
        <w:rPr>
          <w:color w:val="333333"/>
        </w:rPr>
        <w:t> 1 раз в неделю в течение 4 недель.</w:t>
      </w:r>
      <w:r w:rsidRPr="002238CD">
        <w:rPr>
          <w:color w:val="333333"/>
        </w:rPr>
        <w:br/>
      </w:r>
      <w:r w:rsidRPr="002238CD">
        <w:rPr>
          <w:rStyle w:val="affb"/>
          <w:color w:val="333333"/>
        </w:rPr>
        <w:t>Поддерживающая терапия:</w:t>
      </w:r>
      <w:r w:rsidRPr="002238CD">
        <w:rPr>
          <w:color w:val="333333"/>
        </w:rPr>
        <w:t xml:space="preserve"> 900 мг </w:t>
      </w:r>
      <w:proofErr w:type="spellStart"/>
      <w:r w:rsidR="00870220">
        <w:rPr>
          <w:color w:val="333333"/>
        </w:rPr>
        <w:t>экулизумаба</w:t>
      </w:r>
      <w:proofErr w:type="spellEnd"/>
      <w:r w:rsidRPr="002238CD">
        <w:rPr>
          <w:color w:val="333333"/>
        </w:rPr>
        <w:t xml:space="preserve"> на 5-й неделе, с последующим введением 900 мг </w:t>
      </w:r>
      <w:proofErr w:type="spellStart"/>
      <w:r w:rsidR="00870220">
        <w:rPr>
          <w:color w:val="333333"/>
        </w:rPr>
        <w:t>экулизумаба</w:t>
      </w:r>
      <w:proofErr w:type="spellEnd"/>
      <w:r w:rsidR="00870220" w:rsidRPr="002238CD">
        <w:rPr>
          <w:color w:val="333333"/>
        </w:rPr>
        <w:t xml:space="preserve"> </w:t>
      </w:r>
      <w:r w:rsidRPr="002238CD">
        <w:rPr>
          <w:color w:val="333333"/>
        </w:rPr>
        <w:t>каждые 14±2 дней.</w:t>
      </w:r>
    </w:p>
    <w:p w14:paraId="74821BEA" w14:textId="77777777" w:rsidR="002238CD" w:rsidRPr="002238CD" w:rsidRDefault="002238CD" w:rsidP="002238CD">
      <w:pPr>
        <w:pStyle w:val="afb"/>
        <w:spacing w:beforeAutospacing="0" w:after="150" w:afterAutospacing="0"/>
        <w:rPr>
          <w:color w:val="333333"/>
        </w:rPr>
      </w:pPr>
      <w:r w:rsidRPr="002238CD">
        <w:rPr>
          <w:color w:val="333333"/>
          <w:u w:val="single"/>
        </w:rPr>
        <w:lastRenderedPageBreak/>
        <w:t>Для пациентов с ПНГ моложе 18 лет</w:t>
      </w:r>
      <w:r w:rsidRPr="002238CD">
        <w:rPr>
          <w:color w:val="333333"/>
        </w:rPr>
        <w:t xml:space="preserve"> доза препарата </w:t>
      </w:r>
      <w:proofErr w:type="spellStart"/>
      <w:r w:rsidRPr="002238CD">
        <w:rPr>
          <w:color w:val="333333"/>
        </w:rPr>
        <w:t>Элизария</w:t>
      </w:r>
      <w:proofErr w:type="spellEnd"/>
      <w:r w:rsidRPr="002238CD">
        <w:rPr>
          <w:color w:val="333333"/>
          <w:vertAlign w:val="superscript"/>
        </w:rPr>
        <w:t>®</w:t>
      </w:r>
      <w:r w:rsidRPr="002238CD">
        <w:rPr>
          <w:color w:val="333333"/>
        </w:rPr>
        <w:t> определяется в зависимости от веса ребенка:</w:t>
      </w:r>
    </w:p>
    <w:tbl>
      <w:tblPr>
        <w:tblW w:w="9986"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94"/>
        <w:gridCol w:w="2727"/>
        <w:gridCol w:w="5565"/>
      </w:tblGrid>
      <w:tr w:rsidR="002238CD" w:rsidRPr="002238CD" w14:paraId="1C216D5C" w14:textId="77777777" w:rsidTr="002238CD">
        <w:trPr>
          <w:trHeight w:val="41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75D33F" w14:textId="77777777" w:rsidR="002238CD" w:rsidRPr="002238CD" w:rsidRDefault="002238CD" w:rsidP="002238CD">
            <w:pPr>
              <w:ind w:firstLine="0"/>
              <w:rPr>
                <w:rFonts w:cs="Times New Roman"/>
                <w:color w:val="333333"/>
                <w:szCs w:val="24"/>
              </w:rPr>
            </w:pPr>
            <w:r w:rsidRPr="002238CD">
              <w:rPr>
                <w:rStyle w:val="affa"/>
                <w:rFonts w:cs="Times New Roman"/>
                <w:color w:val="333333"/>
                <w:szCs w:val="24"/>
              </w:rPr>
              <w:t>Вес пациента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35FFD0" w14:textId="77777777" w:rsidR="002238CD" w:rsidRPr="002238CD" w:rsidRDefault="002238CD" w:rsidP="002238CD">
            <w:pPr>
              <w:ind w:firstLine="0"/>
              <w:rPr>
                <w:rFonts w:cs="Times New Roman"/>
                <w:color w:val="333333"/>
                <w:szCs w:val="24"/>
              </w:rPr>
            </w:pPr>
            <w:r w:rsidRPr="002238CD">
              <w:rPr>
                <w:rStyle w:val="affa"/>
                <w:rFonts w:cs="Times New Roman"/>
                <w:color w:val="333333"/>
                <w:szCs w:val="24"/>
              </w:rPr>
              <w:t>Начальный цикл</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A3A5EE" w14:textId="77777777" w:rsidR="002238CD" w:rsidRPr="002238CD" w:rsidRDefault="002238CD" w:rsidP="002238CD">
            <w:pPr>
              <w:ind w:firstLine="0"/>
              <w:rPr>
                <w:rFonts w:cs="Times New Roman"/>
                <w:color w:val="333333"/>
                <w:szCs w:val="24"/>
              </w:rPr>
            </w:pPr>
            <w:r w:rsidRPr="002238CD">
              <w:rPr>
                <w:rStyle w:val="affa"/>
                <w:rFonts w:cs="Times New Roman"/>
                <w:color w:val="333333"/>
                <w:szCs w:val="24"/>
              </w:rPr>
              <w:t>Поддерживающая терапия</w:t>
            </w:r>
          </w:p>
        </w:tc>
      </w:tr>
      <w:tr w:rsidR="002238CD" w:rsidRPr="002238CD" w14:paraId="575DE099" w14:textId="77777777" w:rsidTr="002238CD">
        <w:trPr>
          <w:trHeight w:val="41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6D2A5A" w14:textId="77777777" w:rsidR="002238CD" w:rsidRPr="002238CD" w:rsidRDefault="002238CD" w:rsidP="002238CD">
            <w:pPr>
              <w:ind w:firstLine="0"/>
              <w:jc w:val="left"/>
              <w:rPr>
                <w:rFonts w:cs="Times New Roman"/>
                <w:color w:val="333333"/>
                <w:szCs w:val="24"/>
              </w:rPr>
            </w:pPr>
            <w:r w:rsidRPr="002238CD">
              <w:rPr>
                <w:rFonts w:cs="Times New Roman"/>
                <w:color w:val="333333"/>
                <w:szCs w:val="24"/>
              </w:rPr>
              <w:t>≥40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FEA6EB" w14:textId="77777777" w:rsidR="002238CD" w:rsidRPr="002238CD" w:rsidRDefault="002238CD" w:rsidP="002238CD">
            <w:pPr>
              <w:ind w:firstLine="0"/>
              <w:rPr>
                <w:rFonts w:cs="Times New Roman"/>
                <w:color w:val="333333"/>
                <w:szCs w:val="24"/>
              </w:rPr>
            </w:pPr>
            <w:r w:rsidRPr="002238CD">
              <w:rPr>
                <w:rFonts w:cs="Times New Roman"/>
                <w:color w:val="333333"/>
                <w:szCs w:val="24"/>
              </w:rPr>
              <w:t>600 мг 1 раз в неделю×4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56789C" w14:textId="77777777" w:rsidR="002238CD" w:rsidRPr="002238CD" w:rsidRDefault="002238CD" w:rsidP="002238CD">
            <w:pPr>
              <w:ind w:firstLine="0"/>
              <w:rPr>
                <w:rFonts w:cs="Times New Roman"/>
                <w:color w:val="333333"/>
                <w:szCs w:val="24"/>
              </w:rPr>
            </w:pPr>
            <w:r w:rsidRPr="002238CD">
              <w:rPr>
                <w:rFonts w:cs="Times New Roman"/>
                <w:color w:val="333333"/>
                <w:szCs w:val="24"/>
              </w:rPr>
              <w:t>900 мг на 5-й неделе; затем 900 мг каждые 2 недели</w:t>
            </w:r>
          </w:p>
        </w:tc>
      </w:tr>
      <w:tr w:rsidR="002238CD" w:rsidRPr="002238CD" w14:paraId="6EEA5A38" w14:textId="77777777" w:rsidTr="002238CD">
        <w:trPr>
          <w:trHeight w:val="395"/>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7E2506" w14:textId="77777777" w:rsidR="002238CD" w:rsidRPr="002238CD" w:rsidRDefault="002238CD" w:rsidP="002238CD">
            <w:pPr>
              <w:ind w:firstLine="0"/>
              <w:rPr>
                <w:rFonts w:cs="Times New Roman"/>
                <w:color w:val="333333"/>
                <w:szCs w:val="24"/>
              </w:rPr>
            </w:pPr>
            <w:r w:rsidRPr="002238CD">
              <w:rPr>
                <w:rFonts w:cs="Times New Roman"/>
                <w:color w:val="333333"/>
                <w:szCs w:val="24"/>
              </w:rPr>
              <w:t>30 - &lt;40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5F300B" w14:textId="77777777" w:rsidR="002238CD" w:rsidRPr="002238CD" w:rsidRDefault="002238CD" w:rsidP="002238CD">
            <w:pPr>
              <w:ind w:firstLine="0"/>
              <w:rPr>
                <w:rFonts w:cs="Times New Roman"/>
                <w:color w:val="333333"/>
                <w:szCs w:val="24"/>
              </w:rPr>
            </w:pPr>
            <w:r w:rsidRPr="002238CD">
              <w:rPr>
                <w:rFonts w:cs="Times New Roman"/>
                <w:color w:val="333333"/>
                <w:szCs w:val="24"/>
              </w:rPr>
              <w:t>600 мг 1 раз в неделю×2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C3002B" w14:textId="77777777" w:rsidR="002238CD" w:rsidRPr="002238CD" w:rsidRDefault="002238CD" w:rsidP="002238CD">
            <w:pPr>
              <w:ind w:firstLine="0"/>
              <w:rPr>
                <w:rFonts w:cs="Times New Roman"/>
                <w:color w:val="333333"/>
                <w:szCs w:val="24"/>
              </w:rPr>
            </w:pPr>
            <w:r w:rsidRPr="002238CD">
              <w:rPr>
                <w:rFonts w:cs="Times New Roman"/>
                <w:color w:val="333333"/>
                <w:szCs w:val="24"/>
              </w:rPr>
              <w:t>900 мг на 3-й неделе; затем 900 мг каждые 2 недели</w:t>
            </w:r>
          </w:p>
        </w:tc>
      </w:tr>
      <w:tr w:rsidR="002238CD" w:rsidRPr="002238CD" w14:paraId="33C4899E" w14:textId="77777777" w:rsidTr="002238CD">
        <w:trPr>
          <w:trHeight w:val="41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940610" w14:textId="77777777" w:rsidR="002238CD" w:rsidRPr="002238CD" w:rsidRDefault="002238CD" w:rsidP="002238CD">
            <w:pPr>
              <w:ind w:firstLine="0"/>
              <w:rPr>
                <w:rFonts w:cs="Times New Roman"/>
                <w:color w:val="333333"/>
                <w:szCs w:val="24"/>
              </w:rPr>
            </w:pPr>
            <w:r w:rsidRPr="002238CD">
              <w:rPr>
                <w:rFonts w:cs="Times New Roman"/>
                <w:color w:val="333333"/>
                <w:szCs w:val="24"/>
              </w:rPr>
              <w:t>20 - &lt;30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B9670E" w14:textId="77777777" w:rsidR="002238CD" w:rsidRPr="002238CD" w:rsidRDefault="002238CD" w:rsidP="002238CD">
            <w:pPr>
              <w:ind w:firstLine="0"/>
              <w:rPr>
                <w:rFonts w:cs="Times New Roman"/>
                <w:color w:val="333333"/>
                <w:szCs w:val="24"/>
              </w:rPr>
            </w:pPr>
            <w:r w:rsidRPr="002238CD">
              <w:rPr>
                <w:rFonts w:cs="Times New Roman"/>
                <w:color w:val="333333"/>
                <w:szCs w:val="24"/>
              </w:rPr>
              <w:t>600 мг 1 раз в неделю×2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B37CB8" w14:textId="77777777" w:rsidR="002238CD" w:rsidRPr="002238CD" w:rsidRDefault="002238CD" w:rsidP="002238CD">
            <w:pPr>
              <w:ind w:firstLine="0"/>
              <w:rPr>
                <w:rFonts w:cs="Times New Roman"/>
                <w:color w:val="333333"/>
                <w:szCs w:val="24"/>
              </w:rPr>
            </w:pPr>
            <w:r w:rsidRPr="002238CD">
              <w:rPr>
                <w:rFonts w:cs="Times New Roman"/>
                <w:color w:val="333333"/>
                <w:szCs w:val="24"/>
              </w:rPr>
              <w:t>600 мг на 3-й неделе; затем 600 мг каждые 2 недели</w:t>
            </w:r>
          </w:p>
        </w:tc>
      </w:tr>
      <w:tr w:rsidR="002238CD" w:rsidRPr="002238CD" w14:paraId="1FA75FF7" w14:textId="77777777" w:rsidTr="002238CD">
        <w:trPr>
          <w:trHeight w:val="413"/>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E04605" w14:textId="77777777" w:rsidR="002238CD" w:rsidRPr="002238CD" w:rsidRDefault="002238CD" w:rsidP="002238CD">
            <w:pPr>
              <w:ind w:firstLine="0"/>
              <w:rPr>
                <w:rFonts w:cs="Times New Roman"/>
                <w:color w:val="333333"/>
                <w:szCs w:val="24"/>
              </w:rPr>
            </w:pPr>
            <w:r w:rsidRPr="002238CD">
              <w:rPr>
                <w:rFonts w:cs="Times New Roman"/>
                <w:color w:val="333333"/>
                <w:szCs w:val="24"/>
              </w:rPr>
              <w:t>10 - &lt;20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EAFC91" w14:textId="77777777" w:rsidR="002238CD" w:rsidRPr="002238CD" w:rsidRDefault="002238CD" w:rsidP="002238CD">
            <w:pPr>
              <w:ind w:firstLine="0"/>
              <w:rPr>
                <w:rFonts w:cs="Times New Roman"/>
                <w:color w:val="333333"/>
                <w:szCs w:val="24"/>
              </w:rPr>
            </w:pPr>
            <w:r w:rsidRPr="002238CD">
              <w:rPr>
                <w:rFonts w:cs="Times New Roman"/>
                <w:color w:val="333333"/>
                <w:szCs w:val="24"/>
              </w:rPr>
              <w:t>600 мг 1 раз в неделю×1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E81CD7" w14:textId="77777777" w:rsidR="002238CD" w:rsidRPr="002238CD" w:rsidRDefault="002238CD" w:rsidP="002238CD">
            <w:pPr>
              <w:ind w:firstLine="0"/>
              <w:rPr>
                <w:rFonts w:cs="Times New Roman"/>
                <w:color w:val="333333"/>
                <w:szCs w:val="24"/>
              </w:rPr>
            </w:pPr>
            <w:r w:rsidRPr="002238CD">
              <w:rPr>
                <w:rFonts w:cs="Times New Roman"/>
                <w:color w:val="333333"/>
                <w:szCs w:val="24"/>
              </w:rPr>
              <w:t>300 мг на 2-й неделе; затем 300 мг каждые 2 недели</w:t>
            </w:r>
          </w:p>
        </w:tc>
      </w:tr>
      <w:tr w:rsidR="002238CD" w:rsidRPr="002238CD" w14:paraId="6D9480FE" w14:textId="77777777" w:rsidTr="002238CD">
        <w:trPr>
          <w:trHeight w:val="395"/>
          <w:jc w:val="center"/>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1943F2" w14:textId="77777777" w:rsidR="002238CD" w:rsidRPr="002238CD" w:rsidRDefault="002238CD" w:rsidP="002238CD">
            <w:pPr>
              <w:ind w:firstLine="0"/>
              <w:rPr>
                <w:rFonts w:cs="Times New Roman"/>
                <w:color w:val="333333"/>
                <w:szCs w:val="24"/>
              </w:rPr>
            </w:pPr>
            <w:r w:rsidRPr="002238CD">
              <w:rPr>
                <w:rFonts w:cs="Times New Roman"/>
                <w:color w:val="333333"/>
                <w:szCs w:val="24"/>
              </w:rPr>
              <w:t>5 - &lt;10 кг</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50841D" w14:textId="77777777" w:rsidR="002238CD" w:rsidRPr="002238CD" w:rsidRDefault="002238CD" w:rsidP="002238CD">
            <w:pPr>
              <w:ind w:firstLine="0"/>
              <w:rPr>
                <w:rFonts w:cs="Times New Roman"/>
                <w:color w:val="333333"/>
                <w:szCs w:val="24"/>
              </w:rPr>
            </w:pPr>
            <w:r w:rsidRPr="002238CD">
              <w:rPr>
                <w:rFonts w:cs="Times New Roman"/>
                <w:color w:val="333333"/>
                <w:szCs w:val="24"/>
              </w:rPr>
              <w:t>300 мг 1 раз в неделю×1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E92746" w14:textId="77777777" w:rsidR="002238CD" w:rsidRPr="002238CD" w:rsidRDefault="002238CD" w:rsidP="002238CD">
            <w:pPr>
              <w:ind w:firstLine="0"/>
              <w:rPr>
                <w:rFonts w:cs="Times New Roman"/>
                <w:color w:val="333333"/>
                <w:szCs w:val="24"/>
              </w:rPr>
            </w:pPr>
            <w:r w:rsidRPr="002238CD">
              <w:rPr>
                <w:rFonts w:cs="Times New Roman"/>
                <w:color w:val="333333"/>
                <w:szCs w:val="24"/>
              </w:rPr>
              <w:t>300 мг на 2-й неделе; затем 300 мг каждые 3 недели</w:t>
            </w:r>
          </w:p>
        </w:tc>
      </w:tr>
    </w:tbl>
    <w:p w14:paraId="1D454ECD" w14:textId="7FED24BB" w:rsidR="002238CD" w:rsidRPr="002238CD" w:rsidRDefault="002238CD" w:rsidP="002238CD">
      <w:pPr>
        <w:pStyle w:val="afb"/>
        <w:spacing w:beforeAutospacing="0" w:after="150" w:afterAutospacing="0"/>
        <w:rPr>
          <w:color w:val="333333"/>
        </w:rPr>
      </w:pPr>
      <w:r w:rsidRPr="002238CD">
        <w:rPr>
          <w:color w:val="333333"/>
          <w:u w:val="single"/>
        </w:rPr>
        <w:br/>
      </w:r>
    </w:p>
    <w:p w14:paraId="06ECE10C" w14:textId="2893EDF6" w:rsidR="002238CD" w:rsidRPr="002238CD" w:rsidRDefault="002238CD" w:rsidP="002238CD">
      <w:pPr>
        <w:pStyle w:val="afb"/>
        <w:spacing w:beforeAutospacing="0" w:after="150" w:afterAutospacing="0"/>
        <w:rPr>
          <w:color w:val="333333"/>
        </w:rPr>
      </w:pPr>
      <w:r w:rsidRPr="002238CD">
        <w:rPr>
          <w:rStyle w:val="affb"/>
          <w:b/>
          <w:bCs/>
          <w:color w:val="333333"/>
        </w:rPr>
        <w:t xml:space="preserve">Рекомендации по приготовлению раствора и проведению </w:t>
      </w:r>
      <w:proofErr w:type="spellStart"/>
      <w:r w:rsidRPr="002238CD">
        <w:rPr>
          <w:rStyle w:val="affb"/>
          <w:b/>
          <w:bCs/>
          <w:color w:val="333333"/>
        </w:rPr>
        <w:t>инфузии</w:t>
      </w:r>
      <w:proofErr w:type="spellEnd"/>
      <w:proofErr w:type="gramStart"/>
      <w:r w:rsidRPr="002238CD">
        <w:rPr>
          <w:color w:val="333333"/>
        </w:rPr>
        <w:br/>
      </w:r>
      <w:r w:rsidRPr="002238CD">
        <w:rPr>
          <w:color w:val="333333"/>
          <w:u w:val="single"/>
        </w:rPr>
        <w:t>Н</w:t>
      </w:r>
      <w:proofErr w:type="gramEnd"/>
      <w:r w:rsidRPr="002238CD">
        <w:rPr>
          <w:color w:val="333333"/>
          <w:u w:val="single"/>
        </w:rPr>
        <w:t xml:space="preserve">е смешивать </w:t>
      </w:r>
      <w:proofErr w:type="spellStart"/>
      <w:r w:rsidR="00870220">
        <w:rPr>
          <w:color w:val="333333"/>
        </w:rPr>
        <w:t>экулизумаб</w:t>
      </w:r>
      <w:proofErr w:type="spellEnd"/>
      <w:r w:rsidRPr="002238CD">
        <w:rPr>
          <w:color w:val="333333"/>
          <w:u w:val="single"/>
        </w:rPr>
        <w:t> при внутривенном введении с други</w:t>
      </w:r>
      <w:r>
        <w:rPr>
          <w:color w:val="333333"/>
          <w:u w:val="single"/>
        </w:rPr>
        <w:t xml:space="preserve">м препаратом в одном шприце или </w:t>
      </w:r>
      <w:r w:rsidRPr="002238CD">
        <w:rPr>
          <w:color w:val="333333"/>
          <w:u w:val="single"/>
        </w:rPr>
        <w:t>флаконе!</w:t>
      </w:r>
      <w:r w:rsidRPr="002238CD">
        <w:rPr>
          <w:color w:val="333333"/>
        </w:rPr>
        <w:br/>
        <w:t xml:space="preserve">Используя стерильный шприц с иглой (не прилагаются), отберите все содержимое флакона/флаконов с </w:t>
      </w:r>
      <w:proofErr w:type="spellStart"/>
      <w:r w:rsidR="00870220">
        <w:rPr>
          <w:color w:val="333333"/>
        </w:rPr>
        <w:t>экулизумабом</w:t>
      </w:r>
      <w:proofErr w:type="spellEnd"/>
      <w:r w:rsidRPr="002238CD">
        <w:rPr>
          <w:color w:val="333333"/>
        </w:rPr>
        <w:t xml:space="preserve"> и перенесите рекомендуемую дозу во флакон с одним из следующих растворов для инъекций: 0,9% раствор натрия хлорида, 0,15% раствор натрия хлорида или 5% раствор декстрозы (глюкозы) для получения </w:t>
      </w:r>
      <w:proofErr w:type="spellStart"/>
      <w:r w:rsidRPr="002238CD">
        <w:rPr>
          <w:color w:val="333333"/>
        </w:rPr>
        <w:t>инфузионного</w:t>
      </w:r>
      <w:proofErr w:type="spellEnd"/>
      <w:r w:rsidRPr="002238CD">
        <w:rPr>
          <w:color w:val="333333"/>
        </w:rPr>
        <w:t xml:space="preserve"> раствора, содержащего 5,0 мг/мл.</w:t>
      </w:r>
      <w:r w:rsidRPr="002238CD">
        <w:rPr>
          <w:color w:val="333333"/>
        </w:rPr>
        <w:br/>
        <w:t xml:space="preserve">Объем приготовленного </w:t>
      </w:r>
      <w:proofErr w:type="spellStart"/>
      <w:r w:rsidRPr="002238CD">
        <w:rPr>
          <w:color w:val="333333"/>
        </w:rPr>
        <w:t>инфузионного</w:t>
      </w:r>
      <w:proofErr w:type="spellEnd"/>
      <w:r w:rsidRPr="002238CD">
        <w:rPr>
          <w:color w:val="333333"/>
        </w:rPr>
        <w:t xml:space="preserve"> раствора с содержанием 5,0 мг/мл </w:t>
      </w:r>
      <w:proofErr w:type="spellStart"/>
      <w:r w:rsidRPr="002238CD">
        <w:rPr>
          <w:color w:val="333333"/>
        </w:rPr>
        <w:t>экулизумаба</w:t>
      </w:r>
      <w:proofErr w:type="spellEnd"/>
      <w:r w:rsidRPr="002238CD">
        <w:rPr>
          <w:color w:val="333333"/>
        </w:rPr>
        <w:t xml:space="preserve"> должен составлять: 60 мл (для дозы 300 мг), 120 мл (для дозы 600 мг), 180 мл (для дозы 900 мг) и 240 мл (для дозы 1200 мг).</w:t>
      </w:r>
      <w:r w:rsidRPr="002238CD">
        <w:rPr>
          <w:color w:val="333333"/>
        </w:rPr>
        <w:br/>
      </w:r>
      <w:r w:rsidRPr="002238CD">
        <w:rPr>
          <w:color w:val="333333"/>
          <w:u w:val="single"/>
        </w:rPr>
        <w:t xml:space="preserve">Приготовленный </w:t>
      </w:r>
      <w:proofErr w:type="spellStart"/>
      <w:r w:rsidRPr="002238CD">
        <w:rPr>
          <w:color w:val="333333"/>
          <w:u w:val="single"/>
        </w:rPr>
        <w:t>инфузионный</w:t>
      </w:r>
      <w:proofErr w:type="spellEnd"/>
      <w:r w:rsidRPr="002238CD">
        <w:rPr>
          <w:color w:val="333333"/>
          <w:u w:val="single"/>
        </w:rPr>
        <w:t xml:space="preserve"> раствор должен быть прозрачным и бесцветным. Если раствор окрашен или в нем наблюдаются включения, его использование не допускается.</w:t>
      </w:r>
      <w:r w:rsidRPr="002238CD">
        <w:rPr>
          <w:color w:val="333333"/>
        </w:rPr>
        <w:br/>
        <w:t xml:space="preserve">Непосредственно перед введением необходимо осторожно покачать флакон с раствором для </w:t>
      </w:r>
      <w:proofErr w:type="spellStart"/>
      <w:r w:rsidRPr="002238CD">
        <w:rPr>
          <w:color w:val="333333"/>
        </w:rPr>
        <w:t>инфузий</w:t>
      </w:r>
      <w:proofErr w:type="spellEnd"/>
      <w:r w:rsidRPr="002238CD">
        <w:rPr>
          <w:color w:val="333333"/>
        </w:rPr>
        <w:t xml:space="preserve"> для гомогенизации содержимого флакона. Температура раствора для </w:t>
      </w:r>
      <w:proofErr w:type="spellStart"/>
      <w:r w:rsidRPr="002238CD">
        <w:rPr>
          <w:color w:val="333333"/>
        </w:rPr>
        <w:t>инфузионного</w:t>
      </w:r>
      <w:proofErr w:type="spellEnd"/>
      <w:r w:rsidRPr="002238CD">
        <w:rPr>
          <w:color w:val="333333"/>
        </w:rPr>
        <w:t xml:space="preserve"> введения должна быть 20-25 °</w:t>
      </w:r>
      <w:proofErr w:type="gramStart"/>
      <w:r w:rsidRPr="002238CD">
        <w:rPr>
          <w:color w:val="333333"/>
        </w:rPr>
        <w:t>С.</w:t>
      </w:r>
      <w:proofErr w:type="gramEnd"/>
      <w:r w:rsidRPr="002238CD">
        <w:rPr>
          <w:color w:val="333333"/>
        </w:rPr>
        <w:br/>
        <w:t xml:space="preserve">Если </w:t>
      </w:r>
      <w:proofErr w:type="spellStart"/>
      <w:r w:rsidRPr="002238CD">
        <w:rPr>
          <w:color w:val="333333"/>
        </w:rPr>
        <w:t>инфузия</w:t>
      </w:r>
      <w:proofErr w:type="spellEnd"/>
      <w:r w:rsidRPr="002238CD">
        <w:rPr>
          <w:color w:val="333333"/>
        </w:rPr>
        <w:t xml:space="preserve"> по каким-либо причинам откладывается, допускается хранение приготовленного </w:t>
      </w:r>
      <w:proofErr w:type="spellStart"/>
      <w:r w:rsidRPr="002238CD">
        <w:rPr>
          <w:color w:val="333333"/>
        </w:rPr>
        <w:t>инфузионного</w:t>
      </w:r>
      <w:proofErr w:type="spellEnd"/>
      <w:r w:rsidRPr="002238CD">
        <w:rPr>
          <w:color w:val="333333"/>
        </w:rPr>
        <w:t xml:space="preserve"> раствора при температуре от 2 до 8 °С не более 24 часов без замораживания. По окончании этого срока (24 часа) неиспользованный раствор подлежит утилизации.</w:t>
      </w:r>
    </w:p>
    <w:p w14:paraId="48824347" w14:textId="1E67C98B" w:rsidR="002238CD" w:rsidRPr="000479CF" w:rsidRDefault="002238CD" w:rsidP="002238CD">
      <w:pPr>
        <w:pStyle w:val="3"/>
        <w:spacing w:before="300" w:after="150"/>
        <w:rPr>
          <w:rFonts w:ascii="Times New Roman" w:hAnsi="Times New Roman" w:cs="Times New Roman"/>
          <w:color w:val="333333"/>
          <w:u w:val="single"/>
        </w:rPr>
      </w:pPr>
      <w:bookmarkStart w:id="68" w:name="_Toc24467404"/>
      <w:bookmarkStart w:id="69" w:name="_Toc24641979"/>
      <w:r w:rsidRPr="000479CF">
        <w:rPr>
          <w:rFonts w:ascii="Times New Roman" w:hAnsi="Times New Roman" w:cs="Times New Roman"/>
          <w:color w:val="333333"/>
          <w:u w:val="single"/>
        </w:rPr>
        <w:t>Побочное действие</w:t>
      </w:r>
      <w:bookmarkEnd w:id="68"/>
      <w:bookmarkEnd w:id="69"/>
    </w:p>
    <w:p w14:paraId="485BE44B" w14:textId="77777777" w:rsidR="002238CD" w:rsidRPr="002238CD" w:rsidRDefault="002238CD" w:rsidP="002238CD">
      <w:pPr>
        <w:pStyle w:val="afb"/>
        <w:spacing w:beforeAutospacing="0" w:after="150" w:afterAutospacing="0"/>
        <w:rPr>
          <w:color w:val="333333"/>
        </w:rPr>
      </w:pPr>
      <w:r w:rsidRPr="002238CD">
        <w:rPr>
          <w:color w:val="333333"/>
        </w:rPr>
        <w:t xml:space="preserve">Наиболее частым нежелательным явлением при лечении </w:t>
      </w:r>
      <w:proofErr w:type="spellStart"/>
      <w:r w:rsidRPr="002238CD">
        <w:rPr>
          <w:color w:val="333333"/>
        </w:rPr>
        <w:t>экулизумабом</w:t>
      </w:r>
      <w:proofErr w:type="spellEnd"/>
      <w:r w:rsidRPr="002238CD">
        <w:rPr>
          <w:color w:val="333333"/>
        </w:rPr>
        <w:t xml:space="preserve"> являлась головная боль (отмечалась, главным образом, в начальном цикле терапии). Наиболее тяжелым нежелательным явлением являлся менингококковый сепсис.</w:t>
      </w:r>
    </w:p>
    <w:p w14:paraId="60EBEFB9" w14:textId="2D1E9CAA" w:rsidR="000414F6" w:rsidRDefault="00CB71DA" w:rsidP="003B0404">
      <w:pPr>
        <w:pStyle w:val="CustomContentNormal"/>
      </w:pPr>
      <w:r>
        <w:br w:type="page"/>
      </w:r>
      <w:bookmarkStart w:id="70" w:name="__RefHeading___doc_b"/>
      <w:bookmarkStart w:id="71" w:name="_Toc24641980"/>
      <w:r>
        <w:lastRenderedPageBreak/>
        <w:t xml:space="preserve">Приложение Б. Алгоритмы </w:t>
      </w:r>
      <w:bookmarkEnd w:id="70"/>
      <w:r w:rsidR="003527A8">
        <w:t>действий врача</w:t>
      </w:r>
      <w:bookmarkEnd w:id="71"/>
    </w:p>
    <w:p w14:paraId="2F2C5F7C" w14:textId="77777777" w:rsidR="00C4630C" w:rsidRDefault="00C4630C">
      <w:pPr>
        <w:divId w:val="764688137"/>
        <w:rPr>
          <w:rFonts w:eastAsia="Times New Roman"/>
          <w:noProof/>
          <w:lang w:eastAsia="ru-RU"/>
        </w:rPr>
      </w:pPr>
    </w:p>
    <w:p w14:paraId="48191A7D" w14:textId="3DF2342B" w:rsidR="000414F6" w:rsidRDefault="00D10FD8" w:rsidP="00D10FD8">
      <w:pPr>
        <w:pStyle w:val="CustomContentNormal"/>
        <w:ind w:left="-993"/>
      </w:pPr>
      <w:bookmarkStart w:id="72" w:name="_Toc24641981"/>
      <w:r>
        <w:rPr>
          <w:noProof/>
          <w:lang w:eastAsia="ru-RU"/>
        </w:rPr>
        <w:drawing>
          <wp:inline distT="0" distB="0" distL="0" distR="0" wp14:anchorId="1E029D99" wp14:editId="57C8703B">
            <wp:extent cx="6686549" cy="4943475"/>
            <wp:effectExtent l="0" t="0" r="635" b="0"/>
            <wp:docPr id="3" name="Рисунок 3" descr="C:\Users\Latyshev.V\Desktop\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yshev.V\Desktop\Схем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8907" cy="4960005"/>
                    </a:xfrm>
                    <a:prstGeom prst="rect">
                      <a:avLst/>
                    </a:prstGeom>
                    <a:noFill/>
                    <a:ln>
                      <a:noFill/>
                    </a:ln>
                  </pic:spPr>
                </pic:pic>
              </a:graphicData>
            </a:graphic>
          </wp:inline>
        </w:drawing>
      </w:r>
      <w:r w:rsidR="00CB71DA">
        <w:br w:type="page"/>
      </w:r>
      <w:bookmarkStart w:id="73" w:name="__RefHeading___doc_v"/>
      <w:r w:rsidR="00CB71DA">
        <w:lastRenderedPageBreak/>
        <w:t>Приложение В. Информация для пациент</w:t>
      </w:r>
      <w:bookmarkEnd w:id="73"/>
      <w:r w:rsidR="003527A8">
        <w:t>а</w:t>
      </w:r>
      <w:bookmarkEnd w:id="72"/>
    </w:p>
    <w:p w14:paraId="17427A41" w14:textId="180EC200" w:rsidR="00AE3406" w:rsidRPr="00110DB2" w:rsidRDefault="001B3902" w:rsidP="006E5D66">
      <w:pPr>
        <w:pStyle w:val="afff1"/>
        <w:jc w:val="both"/>
        <w:rPr>
          <w:sz w:val="24"/>
        </w:rPr>
      </w:pPr>
      <w:r w:rsidRPr="00110DB2">
        <w:rPr>
          <w:sz w:val="24"/>
        </w:rPr>
        <w:t>Что такое пароксизмальная ночная гемоглобинурия (ПНГ)?</w:t>
      </w:r>
    </w:p>
    <w:p w14:paraId="093532A6" w14:textId="2381A50F" w:rsidR="001B3902" w:rsidRPr="00110DB2" w:rsidRDefault="001B3902" w:rsidP="0073429D">
      <w:pPr>
        <w:pStyle w:val="afff1"/>
        <w:ind w:firstLine="708"/>
        <w:jc w:val="both"/>
        <w:rPr>
          <w:b w:val="0"/>
          <w:sz w:val="24"/>
        </w:rPr>
      </w:pPr>
      <w:r w:rsidRPr="00110DB2">
        <w:rPr>
          <w:b w:val="0"/>
          <w:sz w:val="24"/>
        </w:rPr>
        <w:t>ПНГ – это редкое приобретенное заболевание системы крови. ПНГ затрагивает в первую очередь костный мозг, где производятся все клетки крови. В результате спонтанной приобретенной мутации в одной или нескольких стволовых кроветворных клетках, начинается производство дефектных эритроцитов, которые становятся уязвимыми для собственной иммунной системы</w:t>
      </w:r>
      <w:r w:rsidR="00310F61" w:rsidRPr="00110DB2">
        <w:rPr>
          <w:b w:val="0"/>
          <w:sz w:val="24"/>
        </w:rPr>
        <w:t xml:space="preserve"> (ПНГ-клон)</w:t>
      </w:r>
      <w:r w:rsidRPr="00110DB2">
        <w:rPr>
          <w:b w:val="0"/>
          <w:sz w:val="24"/>
        </w:rPr>
        <w:t>. Такие дефектные эритроциты в сосудах подвергаются разрушению под действием ряда белков системы иммунного надзора. Процесс разрушения эритроцитов носит название «гемолиз». В результате гемолиза, из разрушенных эритроцитов высвобождается большое количество гемоглобина, который</w:t>
      </w:r>
      <w:r w:rsidR="008B6142" w:rsidRPr="00110DB2">
        <w:rPr>
          <w:b w:val="0"/>
          <w:sz w:val="24"/>
        </w:rPr>
        <w:t>,</w:t>
      </w:r>
      <w:r w:rsidRPr="00110DB2">
        <w:rPr>
          <w:b w:val="0"/>
          <w:sz w:val="24"/>
        </w:rPr>
        <w:t xml:space="preserve"> попадая в мочу</w:t>
      </w:r>
      <w:r w:rsidR="008B6142" w:rsidRPr="00110DB2">
        <w:rPr>
          <w:b w:val="0"/>
          <w:sz w:val="24"/>
        </w:rPr>
        <w:t>,</w:t>
      </w:r>
      <w:r w:rsidRPr="00110DB2">
        <w:rPr>
          <w:b w:val="0"/>
          <w:sz w:val="24"/>
        </w:rPr>
        <w:t xml:space="preserve"> обусловливает изменение цвета мочи </w:t>
      </w:r>
      <w:proofErr w:type="gramStart"/>
      <w:r w:rsidRPr="00110DB2">
        <w:rPr>
          <w:b w:val="0"/>
          <w:sz w:val="24"/>
        </w:rPr>
        <w:t>на</w:t>
      </w:r>
      <w:proofErr w:type="gramEnd"/>
      <w:r w:rsidRPr="00110DB2">
        <w:rPr>
          <w:b w:val="0"/>
          <w:sz w:val="24"/>
        </w:rPr>
        <w:t xml:space="preserve"> темный или даже черный с красноватым оттенком (гемоглобинурия).  </w:t>
      </w:r>
    </w:p>
    <w:p w14:paraId="4682D986" w14:textId="47BC7CF6" w:rsidR="001B3902" w:rsidRPr="00110DB2" w:rsidRDefault="001B3902" w:rsidP="006E5D66">
      <w:pPr>
        <w:pStyle w:val="afff1"/>
        <w:jc w:val="both"/>
        <w:rPr>
          <w:sz w:val="24"/>
        </w:rPr>
      </w:pPr>
      <w:r w:rsidRPr="00110DB2">
        <w:rPr>
          <w:sz w:val="24"/>
        </w:rPr>
        <w:t>Кто болеет пароксизмальной ночной гемоглобинурией?</w:t>
      </w:r>
    </w:p>
    <w:p w14:paraId="2512D019" w14:textId="436B0AA7" w:rsidR="001B3902" w:rsidRPr="00110DB2" w:rsidRDefault="001C356C" w:rsidP="0073429D">
      <w:pPr>
        <w:pStyle w:val="afff1"/>
        <w:ind w:firstLine="708"/>
        <w:jc w:val="both"/>
        <w:rPr>
          <w:b w:val="0"/>
          <w:sz w:val="24"/>
        </w:rPr>
      </w:pPr>
      <w:r w:rsidRPr="00110DB2">
        <w:rPr>
          <w:b w:val="0"/>
          <w:sz w:val="24"/>
        </w:rPr>
        <w:t xml:space="preserve">Заболевание может поражать людей вне зависимости от пола, этнической принадлежности или возраста, однако пик заболеваемости приходится на интервал от 30 до 40 лет. </w:t>
      </w:r>
      <w:r w:rsidR="00391541" w:rsidRPr="00110DB2">
        <w:rPr>
          <w:b w:val="0"/>
          <w:sz w:val="24"/>
        </w:rPr>
        <w:t xml:space="preserve">Заболевание является чрезвычайно редким, так, из миллиона человек заболевает лишь 1-2 в год. </w:t>
      </w:r>
      <w:r w:rsidRPr="00110DB2">
        <w:rPr>
          <w:b w:val="0"/>
          <w:sz w:val="24"/>
        </w:rPr>
        <w:t>В ряде случаев ПНГ развивается до, после</w:t>
      </w:r>
      <w:r w:rsidR="00391541" w:rsidRPr="00110DB2">
        <w:rPr>
          <w:b w:val="0"/>
          <w:sz w:val="24"/>
        </w:rPr>
        <w:t>,</w:t>
      </w:r>
      <w:r w:rsidRPr="00110DB2">
        <w:rPr>
          <w:b w:val="0"/>
          <w:sz w:val="24"/>
        </w:rPr>
        <w:t xml:space="preserve"> или на фоне других гематологических заболеваний, таких как </w:t>
      </w:r>
      <w:proofErr w:type="spellStart"/>
      <w:r w:rsidRPr="00110DB2">
        <w:rPr>
          <w:b w:val="0"/>
          <w:sz w:val="24"/>
        </w:rPr>
        <w:t>апластическая</w:t>
      </w:r>
      <w:proofErr w:type="spellEnd"/>
      <w:r w:rsidRPr="00110DB2">
        <w:rPr>
          <w:b w:val="0"/>
          <w:sz w:val="24"/>
        </w:rPr>
        <w:t xml:space="preserve"> анемия (АА) и </w:t>
      </w:r>
      <w:proofErr w:type="spellStart"/>
      <w:r w:rsidRPr="00110DB2">
        <w:rPr>
          <w:b w:val="0"/>
          <w:sz w:val="24"/>
        </w:rPr>
        <w:t>миелодиспластический</w:t>
      </w:r>
      <w:proofErr w:type="spellEnd"/>
      <w:r w:rsidRPr="00110DB2">
        <w:rPr>
          <w:b w:val="0"/>
          <w:sz w:val="24"/>
        </w:rPr>
        <w:t xml:space="preserve"> синдром (МДС)</w:t>
      </w:r>
      <w:r w:rsidR="00B120E2" w:rsidRPr="00110DB2">
        <w:rPr>
          <w:b w:val="0"/>
          <w:sz w:val="24"/>
        </w:rPr>
        <w:t xml:space="preserve">, в таких случаях говорят о ПНГ, </w:t>
      </w:r>
      <w:proofErr w:type="gramStart"/>
      <w:r w:rsidR="00B120E2" w:rsidRPr="00110DB2">
        <w:rPr>
          <w:b w:val="0"/>
          <w:sz w:val="24"/>
        </w:rPr>
        <w:t>ассоциированной</w:t>
      </w:r>
      <w:proofErr w:type="gramEnd"/>
      <w:r w:rsidR="00B120E2" w:rsidRPr="00110DB2">
        <w:rPr>
          <w:b w:val="0"/>
          <w:sz w:val="24"/>
        </w:rPr>
        <w:t xml:space="preserve"> с АА или с МДС</w:t>
      </w:r>
      <w:r w:rsidRPr="00110DB2">
        <w:rPr>
          <w:b w:val="0"/>
          <w:sz w:val="24"/>
        </w:rPr>
        <w:t>.</w:t>
      </w:r>
      <w:r w:rsidR="00B120E2" w:rsidRPr="00110DB2">
        <w:rPr>
          <w:b w:val="0"/>
          <w:sz w:val="24"/>
        </w:rPr>
        <w:t xml:space="preserve"> Если другие гематологические заболевания отсутствуют, то говорят о «классической» форме ПНГ.</w:t>
      </w:r>
      <w:r w:rsidRPr="00110DB2">
        <w:rPr>
          <w:b w:val="0"/>
          <w:sz w:val="24"/>
        </w:rPr>
        <w:t xml:space="preserve"> </w:t>
      </w:r>
      <w:r w:rsidR="00391541" w:rsidRPr="00110DB2">
        <w:rPr>
          <w:b w:val="0"/>
          <w:sz w:val="24"/>
        </w:rPr>
        <w:t>Мер по п</w:t>
      </w:r>
      <w:r w:rsidR="00B120E2" w:rsidRPr="00110DB2">
        <w:rPr>
          <w:b w:val="0"/>
          <w:sz w:val="24"/>
        </w:rPr>
        <w:t>рофилактике возникновения ПНГ на данный момент не существует</w:t>
      </w:r>
      <w:r w:rsidR="00391541" w:rsidRPr="00110DB2">
        <w:rPr>
          <w:b w:val="0"/>
          <w:sz w:val="24"/>
        </w:rPr>
        <w:t>.</w:t>
      </w:r>
    </w:p>
    <w:p w14:paraId="6930DAA0" w14:textId="7302A542" w:rsidR="00391541" w:rsidRPr="00110DB2" w:rsidRDefault="00391541" w:rsidP="00391541">
      <w:pPr>
        <w:pStyle w:val="afff1"/>
        <w:jc w:val="both"/>
        <w:rPr>
          <w:sz w:val="24"/>
        </w:rPr>
      </w:pPr>
      <w:r w:rsidRPr="00110DB2">
        <w:rPr>
          <w:sz w:val="24"/>
        </w:rPr>
        <w:t>Каковы наиболее частые симптомы пароксизмальной ночной гемоглобинурии?</w:t>
      </w:r>
    </w:p>
    <w:p w14:paraId="0984FD80" w14:textId="186974FD" w:rsidR="00391541" w:rsidRPr="00110DB2" w:rsidRDefault="00391541" w:rsidP="00A577D0">
      <w:pPr>
        <w:pStyle w:val="afff1"/>
        <w:ind w:firstLine="708"/>
        <w:jc w:val="both"/>
        <w:rPr>
          <w:b w:val="0"/>
          <w:sz w:val="24"/>
        </w:rPr>
      </w:pPr>
      <w:r w:rsidRPr="00110DB2">
        <w:rPr>
          <w:b w:val="0"/>
          <w:i/>
          <w:sz w:val="24"/>
        </w:rPr>
        <w:t>Симптомы, обусловленные анемией (низким содержанием гемоглобина в крови)</w:t>
      </w:r>
      <w:r w:rsidRPr="00110DB2">
        <w:rPr>
          <w:b w:val="0"/>
          <w:sz w:val="24"/>
        </w:rPr>
        <w:t xml:space="preserve"> – вы можете испытывать слабость, сонливость, повышенную утомляемость, одышку при небольших физических нагрузках, учащенное сердцебиение.</w:t>
      </w:r>
      <w:r w:rsidRPr="00110DB2">
        <w:rPr>
          <w:b w:val="0"/>
          <w:sz w:val="24"/>
        </w:rPr>
        <w:tab/>
      </w:r>
    </w:p>
    <w:p w14:paraId="0285AF40" w14:textId="52BE4C1D" w:rsidR="00391541" w:rsidRPr="00110DB2" w:rsidRDefault="00391541" w:rsidP="00A577D0">
      <w:pPr>
        <w:pStyle w:val="afff1"/>
        <w:ind w:firstLine="708"/>
        <w:jc w:val="both"/>
        <w:rPr>
          <w:b w:val="0"/>
          <w:sz w:val="24"/>
        </w:rPr>
      </w:pPr>
      <w:r w:rsidRPr="00110DB2">
        <w:rPr>
          <w:b w:val="0"/>
          <w:i/>
          <w:sz w:val="24"/>
        </w:rPr>
        <w:t>Гемоглобинурия</w:t>
      </w:r>
      <w:r w:rsidRPr="00110DB2">
        <w:rPr>
          <w:b w:val="0"/>
          <w:sz w:val="24"/>
        </w:rPr>
        <w:t xml:space="preserve"> – выделение темной, вплоть до черно</w:t>
      </w:r>
      <w:r w:rsidR="00310F61" w:rsidRPr="00110DB2">
        <w:rPr>
          <w:b w:val="0"/>
          <w:sz w:val="24"/>
        </w:rPr>
        <w:t>го цвета</w:t>
      </w:r>
      <w:r w:rsidRPr="00110DB2">
        <w:rPr>
          <w:b w:val="0"/>
          <w:sz w:val="24"/>
        </w:rPr>
        <w:t xml:space="preserve"> мочи, что обусловлено наличием в моче большого количества гемоглобина.</w:t>
      </w:r>
    </w:p>
    <w:p w14:paraId="094A6EFD" w14:textId="69655C57" w:rsidR="00391541" w:rsidRPr="00110DB2" w:rsidRDefault="00391541" w:rsidP="00310F61">
      <w:pPr>
        <w:pStyle w:val="afff1"/>
        <w:ind w:firstLine="708"/>
        <w:jc w:val="both"/>
        <w:rPr>
          <w:b w:val="0"/>
          <w:sz w:val="24"/>
        </w:rPr>
      </w:pPr>
      <w:r w:rsidRPr="00110DB2">
        <w:rPr>
          <w:b w:val="0"/>
          <w:i/>
          <w:sz w:val="24"/>
        </w:rPr>
        <w:t>Желтуха</w:t>
      </w:r>
      <w:r w:rsidRPr="00110DB2">
        <w:rPr>
          <w:b w:val="0"/>
          <w:sz w:val="24"/>
        </w:rPr>
        <w:t xml:space="preserve"> – окрашивание кожи и склер в желтоватый цвет</w:t>
      </w:r>
      <w:r w:rsidR="00310F61" w:rsidRPr="00110DB2">
        <w:rPr>
          <w:b w:val="0"/>
          <w:sz w:val="24"/>
        </w:rPr>
        <w:t>.</w:t>
      </w:r>
    </w:p>
    <w:p w14:paraId="6AFEA269" w14:textId="2095EE14" w:rsidR="00391541" w:rsidRPr="00110DB2" w:rsidRDefault="00391541" w:rsidP="00A577D0">
      <w:pPr>
        <w:pStyle w:val="afff1"/>
        <w:ind w:firstLine="708"/>
        <w:jc w:val="both"/>
        <w:rPr>
          <w:b w:val="0"/>
          <w:sz w:val="24"/>
        </w:rPr>
      </w:pPr>
      <w:r w:rsidRPr="00110DB2">
        <w:rPr>
          <w:b w:val="0"/>
          <w:i/>
          <w:sz w:val="24"/>
        </w:rPr>
        <w:t>Дисфагия (нарушение глотания)</w:t>
      </w:r>
      <w:r w:rsidRPr="00110DB2">
        <w:rPr>
          <w:b w:val="0"/>
          <w:sz w:val="24"/>
        </w:rPr>
        <w:t xml:space="preserve"> – вы можете испытывать трудности при проглатывании пищи или </w:t>
      </w:r>
      <w:r w:rsidR="00310F61" w:rsidRPr="00110DB2">
        <w:rPr>
          <w:b w:val="0"/>
          <w:sz w:val="24"/>
        </w:rPr>
        <w:t>жидкостей</w:t>
      </w:r>
      <w:r w:rsidRPr="00110DB2">
        <w:rPr>
          <w:b w:val="0"/>
          <w:sz w:val="24"/>
        </w:rPr>
        <w:t>, что наиболее часто возникает во время усиления гемолиза</w:t>
      </w:r>
      <w:r w:rsidR="00310F61" w:rsidRPr="00110DB2">
        <w:rPr>
          <w:b w:val="0"/>
          <w:sz w:val="24"/>
        </w:rPr>
        <w:t>.</w:t>
      </w:r>
    </w:p>
    <w:p w14:paraId="2F769E78" w14:textId="5040556B" w:rsidR="00391541" w:rsidRPr="00110DB2" w:rsidRDefault="00391541" w:rsidP="00A577D0">
      <w:pPr>
        <w:pStyle w:val="afff1"/>
        <w:ind w:firstLine="708"/>
        <w:jc w:val="both"/>
        <w:rPr>
          <w:b w:val="0"/>
          <w:sz w:val="24"/>
        </w:rPr>
      </w:pPr>
      <w:proofErr w:type="spellStart"/>
      <w:r w:rsidRPr="00110DB2">
        <w:rPr>
          <w:b w:val="0"/>
          <w:i/>
          <w:sz w:val="24"/>
        </w:rPr>
        <w:t>Эректильная</w:t>
      </w:r>
      <w:proofErr w:type="spellEnd"/>
      <w:r w:rsidRPr="00110DB2">
        <w:rPr>
          <w:b w:val="0"/>
          <w:i/>
          <w:sz w:val="24"/>
        </w:rPr>
        <w:t xml:space="preserve"> дисфункция</w:t>
      </w:r>
      <w:r w:rsidRPr="00110DB2">
        <w:rPr>
          <w:b w:val="0"/>
          <w:sz w:val="24"/>
        </w:rPr>
        <w:t xml:space="preserve"> – у некоторых пациентов может наблюдаться нарушение эрекции</w:t>
      </w:r>
      <w:r w:rsidR="00310F61" w:rsidRPr="00110DB2">
        <w:rPr>
          <w:b w:val="0"/>
          <w:sz w:val="24"/>
        </w:rPr>
        <w:t>.</w:t>
      </w:r>
    </w:p>
    <w:p w14:paraId="57605F27" w14:textId="3040D934" w:rsidR="00391541" w:rsidRPr="00110DB2" w:rsidRDefault="00391541" w:rsidP="00A577D0">
      <w:pPr>
        <w:pStyle w:val="afff1"/>
        <w:ind w:firstLine="708"/>
        <w:jc w:val="both"/>
        <w:rPr>
          <w:b w:val="0"/>
          <w:sz w:val="24"/>
        </w:rPr>
      </w:pPr>
      <w:r w:rsidRPr="00110DB2">
        <w:rPr>
          <w:b w:val="0"/>
          <w:i/>
          <w:sz w:val="24"/>
        </w:rPr>
        <w:lastRenderedPageBreak/>
        <w:t>Боли в животе</w:t>
      </w:r>
      <w:r w:rsidRPr="00110DB2">
        <w:rPr>
          <w:b w:val="0"/>
          <w:sz w:val="24"/>
        </w:rPr>
        <w:t xml:space="preserve"> - могут возникать в любое время, однако</w:t>
      </w:r>
      <w:r w:rsidR="00310F61" w:rsidRPr="00110DB2">
        <w:rPr>
          <w:b w:val="0"/>
          <w:sz w:val="24"/>
        </w:rPr>
        <w:t>,</w:t>
      </w:r>
      <w:r w:rsidRPr="00110DB2">
        <w:rPr>
          <w:b w:val="0"/>
          <w:sz w:val="24"/>
        </w:rPr>
        <w:t xml:space="preserve"> обычно усиливаются во время гемолитического криза. Необходимо помнить, что боли в животе могут быть следствием тромбоза сосудов </w:t>
      </w:r>
      <w:r w:rsidR="00A577D0" w:rsidRPr="00110DB2">
        <w:rPr>
          <w:b w:val="0"/>
          <w:sz w:val="24"/>
        </w:rPr>
        <w:t>брюшной полости, что требует немедленного обращения к врачу.</w:t>
      </w:r>
    </w:p>
    <w:p w14:paraId="42D97FCD" w14:textId="101BBCFC" w:rsidR="00310F61" w:rsidRPr="00110DB2" w:rsidRDefault="00310F61" w:rsidP="00A577D0">
      <w:pPr>
        <w:pStyle w:val="afff1"/>
        <w:ind w:firstLine="708"/>
        <w:jc w:val="both"/>
        <w:rPr>
          <w:b w:val="0"/>
          <w:sz w:val="24"/>
        </w:rPr>
      </w:pPr>
      <w:r w:rsidRPr="00110DB2">
        <w:rPr>
          <w:b w:val="0"/>
          <w:sz w:val="24"/>
        </w:rPr>
        <w:t xml:space="preserve">Необходимо понимать, что заболевание протекает по-разному у разных пациентов, таким образом, вы </w:t>
      </w:r>
      <w:proofErr w:type="gramStart"/>
      <w:r w:rsidRPr="00110DB2">
        <w:rPr>
          <w:b w:val="0"/>
          <w:sz w:val="24"/>
        </w:rPr>
        <w:t>можете</w:t>
      </w:r>
      <w:proofErr w:type="gramEnd"/>
      <w:r w:rsidRPr="00110DB2">
        <w:rPr>
          <w:b w:val="0"/>
          <w:sz w:val="24"/>
        </w:rPr>
        <w:t xml:space="preserve"> иметь все вышеперечисленные симптомы, или не иметь ни одного.</w:t>
      </w:r>
    </w:p>
    <w:p w14:paraId="132DB89C" w14:textId="4FF37B02" w:rsidR="00310F61" w:rsidRPr="00110DB2" w:rsidRDefault="00310F61" w:rsidP="00310F61">
      <w:pPr>
        <w:pStyle w:val="afff1"/>
        <w:jc w:val="both"/>
        <w:rPr>
          <w:sz w:val="24"/>
        </w:rPr>
      </w:pPr>
      <w:r w:rsidRPr="00110DB2">
        <w:rPr>
          <w:sz w:val="24"/>
        </w:rPr>
        <w:t>Какие факторы провоцируют усиление гемолиза?</w:t>
      </w:r>
    </w:p>
    <w:p w14:paraId="4AC2CFB9" w14:textId="24D9B5EC" w:rsidR="00310F61" w:rsidRPr="00110DB2" w:rsidRDefault="00310F61" w:rsidP="00310F61">
      <w:pPr>
        <w:pStyle w:val="afff1"/>
        <w:jc w:val="both"/>
        <w:rPr>
          <w:b w:val="0"/>
          <w:sz w:val="24"/>
        </w:rPr>
      </w:pPr>
      <w:r w:rsidRPr="00110DB2">
        <w:rPr>
          <w:b w:val="0"/>
          <w:sz w:val="24"/>
        </w:rPr>
        <w:tab/>
        <w:t xml:space="preserve">У пациентов, страдающих ПНГ, существует хронический гемолиз – определенное количество эритроцитов постоянно разрушается в сосудистом русле. Однако существуют ситуации, когда гемолиз значительно усиливается, приводя к резкому снижению гемоглобина, потемнению мочи и другим вышеперечисленным симптомам (гемолитический криз). Причиной гемолитических кризов могут являться инфекции, воздействие экстремальных температур, авиаперелеты и другие стрессовые факторы. </w:t>
      </w:r>
    </w:p>
    <w:p w14:paraId="4F24F2F4" w14:textId="55FB76B3" w:rsidR="003E6D11" w:rsidRPr="00110DB2" w:rsidRDefault="003E6D11" w:rsidP="00310F61">
      <w:pPr>
        <w:pStyle w:val="afff1"/>
        <w:jc w:val="both"/>
        <w:rPr>
          <w:sz w:val="24"/>
        </w:rPr>
      </w:pPr>
      <w:r w:rsidRPr="00110DB2">
        <w:rPr>
          <w:sz w:val="24"/>
        </w:rPr>
        <w:t>Каковы возможные осложнения ПНГ?</w:t>
      </w:r>
    </w:p>
    <w:p w14:paraId="2B05A22C" w14:textId="5E9F33FA" w:rsidR="003E6D11" w:rsidRPr="00110DB2" w:rsidRDefault="003E6D11" w:rsidP="00310F61">
      <w:pPr>
        <w:pStyle w:val="afff1"/>
        <w:jc w:val="both"/>
        <w:rPr>
          <w:b w:val="0"/>
          <w:sz w:val="24"/>
        </w:rPr>
      </w:pPr>
      <w:r w:rsidRPr="00110DB2">
        <w:rPr>
          <w:b w:val="0"/>
          <w:sz w:val="24"/>
        </w:rPr>
        <w:tab/>
        <w:t>Одним</w:t>
      </w:r>
      <w:r w:rsidR="00B91638" w:rsidRPr="00110DB2">
        <w:rPr>
          <w:b w:val="0"/>
          <w:sz w:val="24"/>
        </w:rPr>
        <w:t xml:space="preserve"> из</w:t>
      </w:r>
      <w:r w:rsidRPr="00110DB2">
        <w:rPr>
          <w:b w:val="0"/>
          <w:sz w:val="24"/>
        </w:rPr>
        <w:t xml:space="preserve"> осл</w:t>
      </w:r>
      <w:r w:rsidR="00B91638" w:rsidRPr="00110DB2">
        <w:rPr>
          <w:b w:val="0"/>
          <w:sz w:val="24"/>
        </w:rPr>
        <w:t>ожнений</w:t>
      </w:r>
      <w:r w:rsidRPr="00110DB2">
        <w:rPr>
          <w:b w:val="0"/>
          <w:sz w:val="24"/>
        </w:rPr>
        <w:t xml:space="preserve"> ПНГ являются </w:t>
      </w:r>
      <w:r w:rsidRPr="00110DB2">
        <w:rPr>
          <w:b w:val="0"/>
          <w:i/>
          <w:sz w:val="24"/>
        </w:rPr>
        <w:t>тромбозы сосудов.</w:t>
      </w:r>
      <w:r w:rsidRPr="00110DB2">
        <w:rPr>
          <w:b w:val="0"/>
          <w:sz w:val="24"/>
        </w:rPr>
        <w:t xml:space="preserve"> Тромбозы могут происходить как в артериях, так и в венах. </w:t>
      </w:r>
      <w:r w:rsidR="00B91638" w:rsidRPr="00110DB2">
        <w:rPr>
          <w:b w:val="0"/>
          <w:sz w:val="24"/>
        </w:rPr>
        <w:t xml:space="preserve">Если у вас уже были тромботические осложнения в анамнезе, врач может назначить вам антикоагулянты (препараты, снижающие свертываемость крови). </w:t>
      </w:r>
    </w:p>
    <w:p w14:paraId="199F172C" w14:textId="2137C7F2" w:rsidR="00391541" w:rsidRPr="00110DB2" w:rsidRDefault="00391541" w:rsidP="00391541">
      <w:pPr>
        <w:pStyle w:val="afff1"/>
        <w:jc w:val="both"/>
        <w:rPr>
          <w:b w:val="0"/>
          <w:sz w:val="24"/>
        </w:rPr>
      </w:pPr>
      <w:r w:rsidRPr="00110DB2">
        <w:rPr>
          <w:b w:val="0"/>
          <w:sz w:val="24"/>
        </w:rPr>
        <w:tab/>
      </w:r>
      <w:r w:rsidR="00B91638" w:rsidRPr="00110DB2">
        <w:rPr>
          <w:b w:val="0"/>
          <w:i/>
          <w:sz w:val="24"/>
        </w:rPr>
        <w:t>Хроническая почечная недостаточность</w:t>
      </w:r>
      <w:r w:rsidR="00B91638" w:rsidRPr="00110DB2">
        <w:rPr>
          <w:b w:val="0"/>
          <w:sz w:val="24"/>
        </w:rPr>
        <w:t xml:space="preserve"> может развиваться в связи с отложением в почках большого количества железа на фоне хронического гемолиза. </w:t>
      </w:r>
    </w:p>
    <w:p w14:paraId="73FE4742" w14:textId="5177147F" w:rsidR="00B91638" w:rsidRPr="00110DB2" w:rsidRDefault="00B91638" w:rsidP="00391541">
      <w:pPr>
        <w:pStyle w:val="afff1"/>
        <w:jc w:val="both"/>
        <w:rPr>
          <w:b w:val="0"/>
          <w:sz w:val="24"/>
        </w:rPr>
      </w:pPr>
      <w:r w:rsidRPr="00110DB2">
        <w:rPr>
          <w:b w:val="0"/>
          <w:sz w:val="24"/>
        </w:rPr>
        <w:tab/>
      </w:r>
      <w:r w:rsidRPr="00110DB2">
        <w:rPr>
          <w:b w:val="0"/>
          <w:i/>
          <w:sz w:val="24"/>
        </w:rPr>
        <w:t>Дисфункция костного мозга.</w:t>
      </w:r>
      <w:r w:rsidRPr="00110DB2">
        <w:rPr>
          <w:b w:val="0"/>
          <w:sz w:val="24"/>
        </w:rPr>
        <w:t xml:space="preserve"> ПНГ всегда сопровождается недостаточностью костного мозга той или иной степени. Костномозговая недостаточность проявляется снижением в периферической крови показателей гемоглобина, лейкоцитов и тромбоцитов (</w:t>
      </w:r>
      <w:proofErr w:type="spellStart"/>
      <w:r w:rsidRPr="00110DB2">
        <w:rPr>
          <w:b w:val="0"/>
          <w:sz w:val="24"/>
        </w:rPr>
        <w:t>цитопения</w:t>
      </w:r>
      <w:proofErr w:type="spellEnd"/>
      <w:r w:rsidRPr="00110DB2">
        <w:rPr>
          <w:b w:val="0"/>
          <w:sz w:val="24"/>
        </w:rPr>
        <w:t xml:space="preserve">). </w:t>
      </w:r>
      <w:r w:rsidR="00173B99" w:rsidRPr="00110DB2">
        <w:rPr>
          <w:b w:val="0"/>
          <w:sz w:val="24"/>
        </w:rPr>
        <w:t>Снижение числа лейкоцитов может приводить к повышенному риску возникновения инфекционных осложнений. Снижение числа тромбоцитов может приводить к повышенному риску кровотечений.</w:t>
      </w:r>
    </w:p>
    <w:p w14:paraId="027AEE59" w14:textId="75508B4B" w:rsidR="001C356C" w:rsidRPr="00110DB2" w:rsidRDefault="00173B99" w:rsidP="006E5D66">
      <w:pPr>
        <w:pStyle w:val="afff1"/>
        <w:jc w:val="both"/>
        <w:rPr>
          <w:sz w:val="24"/>
        </w:rPr>
      </w:pPr>
      <w:r w:rsidRPr="00110DB2">
        <w:rPr>
          <w:sz w:val="24"/>
        </w:rPr>
        <w:t>Как устанавливается диагноз ПНГ?</w:t>
      </w:r>
    </w:p>
    <w:p w14:paraId="3735B446" w14:textId="1DD0689D" w:rsidR="00487E8A" w:rsidRPr="00110DB2" w:rsidRDefault="00173B99" w:rsidP="00487E8A">
      <w:pPr>
        <w:pStyle w:val="afff1"/>
        <w:jc w:val="both"/>
        <w:rPr>
          <w:b w:val="0"/>
          <w:sz w:val="24"/>
        </w:rPr>
      </w:pPr>
      <w:r w:rsidRPr="00110DB2">
        <w:rPr>
          <w:b w:val="0"/>
          <w:sz w:val="24"/>
        </w:rPr>
        <w:tab/>
        <w:t>Для подтверждения диагноза достаточно провести исследование венозной крови с использованием специальной аппаратуры (</w:t>
      </w:r>
      <w:proofErr w:type="gramStart"/>
      <w:r w:rsidRPr="00110DB2">
        <w:rPr>
          <w:b w:val="0"/>
          <w:sz w:val="24"/>
        </w:rPr>
        <w:t>проточная</w:t>
      </w:r>
      <w:proofErr w:type="gramEnd"/>
      <w:r w:rsidRPr="00110DB2">
        <w:rPr>
          <w:b w:val="0"/>
          <w:sz w:val="24"/>
        </w:rPr>
        <w:t xml:space="preserve"> </w:t>
      </w:r>
      <w:proofErr w:type="spellStart"/>
      <w:r w:rsidRPr="00110DB2">
        <w:rPr>
          <w:b w:val="0"/>
          <w:sz w:val="24"/>
        </w:rPr>
        <w:t>цитометрия</w:t>
      </w:r>
      <w:proofErr w:type="spellEnd"/>
      <w:r w:rsidRPr="00110DB2">
        <w:rPr>
          <w:b w:val="0"/>
          <w:sz w:val="24"/>
        </w:rPr>
        <w:t>). Анализ покажет процент дефектных клеток (размер ПНГ-клона) в вашей крови. Необходимо помнить, что размер ПНГ-клона не всегда коррелирует с клинической картиной, так, ПНГ с клоном 50% может протекать с наличием большого количества осложнений, в то время как заболевание с клоном 99% может иметь относительно доброкачественное течение.</w:t>
      </w:r>
    </w:p>
    <w:p w14:paraId="1DB06D87" w14:textId="691554FA" w:rsidR="00487E8A" w:rsidRPr="00110DB2" w:rsidRDefault="00173B99" w:rsidP="00487E8A">
      <w:pPr>
        <w:pStyle w:val="2-6"/>
        <w:rPr>
          <w:b/>
        </w:rPr>
      </w:pPr>
      <w:r w:rsidRPr="00110DB2">
        <w:rPr>
          <w:b/>
        </w:rPr>
        <w:lastRenderedPageBreak/>
        <w:t>К</w:t>
      </w:r>
      <w:r w:rsidR="00487E8A" w:rsidRPr="00110DB2">
        <w:rPr>
          <w:b/>
        </w:rPr>
        <w:t>акое существует лечение для ПНГ?</w:t>
      </w:r>
    </w:p>
    <w:p w14:paraId="2188DBEE" w14:textId="29D3828C" w:rsidR="00487E8A" w:rsidRPr="00110DB2" w:rsidRDefault="00487E8A" w:rsidP="00487E8A">
      <w:pPr>
        <w:pStyle w:val="2-6"/>
      </w:pPr>
      <w:r w:rsidRPr="00110DB2">
        <w:t xml:space="preserve">В настоящее время в России зарегистрирован только один препарат для лечения ПНГ – </w:t>
      </w:r>
      <w:proofErr w:type="spellStart"/>
      <w:r w:rsidRPr="00110DB2">
        <w:t>экулизумаб</w:t>
      </w:r>
      <w:proofErr w:type="spellEnd"/>
      <w:r w:rsidRPr="00110DB2">
        <w:t xml:space="preserve">. </w:t>
      </w:r>
      <w:proofErr w:type="spellStart"/>
      <w:r w:rsidRPr="00110DB2">
        <w:t>Экулизумаб</w:t>
      </w:r>
      <w:proofErr w:type="spellEnd"/>
      <w:r w:rsidRPr="00110DB2">
        <w:t xml:space="preserve"> представляет собой антитело, блокирующее комплемент (фактор иммунной системы, разрушающий эритроциты). </w:t>
      </w:r>
      <w:proofErr w:type="spellStart"/>
      <w:r w:rsidRPr="00110DB2">
        <w:t>Экулизумаб</w:t>
      </w:r>
      <w:proofErr w:type="spellEnd"/>
      <w:r w:rsidRPr="00110DB2">
        <w:t xml:space="preserve"> блокирует гемолиз дефектных эритроцитов, однако, никак не влияет на производство дефектных клеток. Таким образом, </w:t>
      </w:r>
      <w:proofErr w:type="spellStart"/>
      <w:r w:rsidRPr="00110DB2">
        <w:t>экулизумаб</w:t>
      </w:r>
      <w:proofErr w:type="spellEnd"/>
      <w:r w:rsidRPr="00110DB2">
        <w:t xml:space="preserve"> лишь блокирует последнее звено в цепи патологических событий при ПНГ, но не приводит к излечению от заболевания. Показания к началу терапии определяются консилиумом врачей-гематологов. При наличии показаний к лечению, терапия </w:t>
      </w:r>
      <w:proofErr w:type="spellStart"/>
      <w:r w:rsidRPr="00110DB2">
        <w:t>экулизумабом</w:t>
      </w:r>
      <w:proofErr w:type="spellEnd"/>
      <w:r w:rsidRPr="00110DB2">
        <w:t xml:space="preserve"> должна проводиться неопределенно долго, так как при отмене препарата высока вероятность рецидива гемолиза. Препарат вводится внутривенно каждые 14</w:t>
      </w:r>
      <w:r w:rsidR="00B120E2" w:rsidRPr="00110DB2">
        <w:rPr>
          <w:rFonts w:cs="Times New Roman"/>
        </w:rPr>
        <w:t>±</w:t>
      </w:r>
      <w:r w:rsidR="00B120E2" w:rsidRPr="00110DB2">
        <w:t>2</w:t>
      </w:r>
      <w:r w:rsidRPr="00110DB2">
        <w:t xml:space="preserve"> дней.</w:t>
      </w:r>
      <w:r w:rsidR="00B120E2" w:rsidRPr="00110DB2">
        <w:t xml:space="preserve"> </w:t>
      </w:r>
    </w:p>
    <w:p w14:paraId="3243F7D9" w14:textId="38ABDDD4" w:rsidR="00B120E2" w:rsidRPr="00110DB2" w:rsidRDefault="00B120E2" w:rsidP="00487E8A">
      <w:pPr>
        <w:pStyle w:val="2-6"/>
      </w:pPr>
      <w:r w:rsidRPr="00110DB2">
        <w:t xml:space="preserve">Сопроводительная терапия может включать назначение фолиевой кислоты, витамина В12, профилактической </w:t>
      </w:r>
      <w:proofErr w:type="spellStart"/>
      <w:r w:rsidRPr="00110DB2">
        <w:t>антикоагулянтной</w:t>
      </w:r>
      <w:proofErr w:type="spellEnd"/>
      <w:r w:rsidRPr="00110DB2">
        <w:t xml:space="preserve"> терапии, а также переливания крови по показаниям, определяемым вашим лечащим врачом.</w:t>
      </w:r>
    </w:p>
    <w:p w14:paraId="3469F139" w14:textId="101FB916" w:rsidR="00110DB2" w:rsidRPr="00110DB2" w:rsidRDefault="00110DB2" w:rsidP="00110DB2">
      <w:pPr>
        <w:pStyle w:val="2-6"/>
        <w:ind w:firstLine="0"/>
        <w:rPr>
          <w:b/>
        </w:rPr>
      </w:pPr>
      <w:r w:rsidRPr="00110DB2">
        <w:rPr>
          <w:b/>
        </w:rPr>
        <w:t>Могу ли я передать заболевание своим детям?</w:t>
      </w:r>
    </w:p>
    <w:p w14:paraId="2C0C342B" w14:textId="319C3DCD" w:rsidR="00110DB2" w:rsidRPr="00110DB2" w:rsidRDefault="00110DB2" w:rsidP="00110DB2">
      <w:pPr>
        <w:pStyle w:val="2-6"/>
      </w:pPr>
      <w:r w:rsidRPr="00110DB2">
        <w:t>Так как ПНГ является приобретенным, а не врожденным заболеванием – вы не можете передать болезнь своим детям.</w:t>
      </w:r>
    </w:p>
    <w:p w14:paraId="6AEF8389" w14:textId="3DC7AC7B" w:rsidR="00B120E2" w:rsidRPr="00110DB2" w:rsidRDefault="00B120E2" w:rsidP="00B120E2">
      <w:pPr>
        <w:pStyle w:val="2-6"/>
        <w:ind w:firstLine="0"/>
        <w:rPr>
          <w:b/>
        </w:rPr>
      </w:pPr>
      <w:r w:rsidRPr="00110DB2">
        <w:rPr>
          <w:b/>
        </w:rPr>
        <w:t>Каков прогноз заболевания при ПНГ?</w:t>
      </w:r>
    </w:p>
    <w:p w14:paraId="3030B863" w14:textId="44C1D737" w:rsidR="00B120E2" w:rsidRPr="00110DB2" w:rsidRDefault="00B120E2" w:rsidP="00B120E2">
      <w:pPr>
        <w:pStyle w:val="2-6"/>
        <w:ind w:firstLine="0"/>
      </w:pPr>
      <w:r w:rsidRPr="00110DB2">
        <w:tab/>
        <w:t xml:space="preserve">При «классической» форме и эффективном лечении продолжительность жизни сопоставима с таковой в общей популяции. При ПНГ, ассоциированной с АА или с МДС прогноз несколько хуже, и определяется, прежде всего, возможностями терапии основного гематологического заболевания. </w:t>
      </w:r>
    </w:p>
    <w:sectPr w:rsidR="00B120E2" w:rsidRPr="00110DB2"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B14A22" w16cid:durableId="21758163"/>
  <w16cid:commentId w16cid:paraId="2418C54B" w16cid:durableId="217581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A66FD" w14:textId="77777777" w:rsidR="00C44D66" w:rsidRDefault="00C44D66">
      <w:pPr>
        <w:spacing w:line="240" w:lineRule="auto"/>
      </w:pPr>
      <w:r>
        <w:separator/>
      </w:r>
    </w:p>
    <w:p w14:paraId="305DDD4A" w14:textId="77777777" w:rsidR="00C44D66" w:rsidRDefault="00C44D66"/>
  </w:endnote>
  <w:endnote w:type="continuationSeparator" w:id="0">
    <w:p w14:paraId="27F4AFCA" w14:textId="77777777" w:rsidR="00C44D66" w:rsidRDefault="00C44D66">
      <w:pPr>
        <w:spacing w:line="240" w:lineRule="auto"/>
      </w:pPr>
      <w:r>
        <w:continuationSeparator/>
      </w:r>
    </w:p>
    <w:p w14:paraId="71089393" w14:textId="77777777" w:rsidR="00C44D66" w:rsidRDefault="00C44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14:paraId="719AF106" w14:textId="7539E1D5" w:rsidR="008E2063" w:rsidRDefault="008E2063">
        <w:pPr>
          <w:pStyle w:val="afa"/>
          <w:jc w:val="center"/>
        </w:pPr>
        <w:r>
          <w:fldChar w:fldCharType="begin"/>
        </w:r>
        <w:r>
          <w:instrText>PAGE</w:instrText>
        </w:r>
        <w:r>
          <w:fldChar w:fldCharType="separate"/>
        </w:r>
        <w:r w:rsidR="00E31B77">
          <w:rPr>
            <w:noProof/>
          </w:rPr>
          <w:t>25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1C407" w14:textId="77777777" w:rsidR="00C44D66" w:rsidRDefault="00C44D66">
      <w:pPr>
        <w:spacing w:line="240" w:lineRule="auto"/>
      </w:pPr>
      <w:r>
        <w:separator/>
      </w:r>
    </w:p>
    <w:p w14:paraId="4F59EC86" w14:textId="77777777" w:rsidR="00C44D66" w:rsidRDefault="00C44D66"/>
  </w:footnote>
  <w:footnote w:type="continuationSeparator" w:id="0">
    <w:p w14:paraId="21D678BC" w14:textId="77777777" w:rsidR="00C44D66" w:rsidRDefault="00C44D66">
      <w:pPr>
        <w:spacing w:line="240" w:lineRule="auto"/>
      </w:pPr>
      <w:r>
        <w:continuationSeparator/>
      </w:r>
    </w:p>
    <w:p w14:paraId="3BE2936C" w14:textId="77777777" w:rsidR="00C44D66" w:rsidRDefault="00C44D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AFD88" w14:textId="77777777" w:rsidR="008E2063" w:rsidRDefault="008E2063" w:rsidP="00186C35">
    <w:pPr>
      <w:pStyle w:val="af9"/>
      <w:ind w:firstLine="0"/>
      <w:rPr>
        <w:i/>
      </w:rPr>
    </w:pPr>
  </w:p>
  <w:p w14:paraId="1B9D12CA" w14:textId="77777777" w:rsidR="008E2063" w:rsidRDefault="008E20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30"/>
    <w:multiLevelType w:val="hybridMultilevel"/>
    <w:tmpl w:val="8D72EF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B704AD"/>
    <w:multiLevelType w:val="hybridMultilevel"/>
    <w:tmpl w:val="2C8C61B4"/>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83D2D"/>
    <w:multiLevelType w:val="hybridMultilevel"/>
    <w:tmpl w:val="F238CF52"/>
    <w:lvl w:ilvl="0" w:tplc="0794383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13606"/>
    <w:multiLevelType w:val="hybridMultilevel"/>
    <w:tmpl w:val="5732ACD6"/>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91486"/>
    <w:multiLevelType w:val="multilevel"/>
    <w:tmpl w:val="4DC0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22F5391A"/>
    <w:multiLevelType w:val="hybridMultilevel"/>
    <w:tmpl w:val="A5E6FB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80DC9"/>
    <w:multiLevelType w:val="hybridMultilevel"/>
    <w:tmpl w:val="C14C1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3C3F35"/>
    <w:multiLevelType w:val="hybridMultilevel"/>
    <w:tmpl w:val="31085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818C3"/>
    <w:multiLevelType w:val="hybridMultilevel"/>
    <w:tmpl w:val="682AA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D214EB1"/>
    <w:multiLevelType w:val="hybridMultilevel"/>
    <w:tmpl w:val="3B129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3">
    <w:nsid w:val="488D7BC0"/>
    <w:multiLevelType w:val="multilevel"/>
    <w:tmpl w:val="269A2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575292"/>
    <w:multiLevelType w:val="hybridMultilevel"/>
    <w:tmpl w:val="EF60C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FB56FD"/>
    <w:multiLevelType w:val="hybridMultilevel"/>
    <w:tmpl w:val="11A2C7B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9A46ED"/>
    <w:multiLevelType w:val="multilevel"/>
    <w:tmpl w:val="6402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FA1509"/>
    <w:multiLevelType w:val="multilevel"/>
    <w:tmpl w:val="53E2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55CEE"/>
    <w:multiLevelType w:val="hybridMultilevel"/>
    <w:tmpl w:val="A432C3E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AF1064"/>
    <w:multiLevelType w:val="hybridMultilevel"/>
    <w:tmpl w:val="A48897E0"/>
    <w:lvl w:ilvl="0" w:tplc="3CDC43AE">
      <w:start w:val="6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8104A79"/>
    <w:multiLevelType w:val="multilevel"/>
    <w:tmpl w:val="877E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4"/>
  </w:num>
  <w:num w:numId="4">
    <w:abstractNumId w:val="17"/>
  </w:num>
  <w:num w:numId="5">
    <w:abstractNumId w:val="8"/>
  </w:num>
  <w:num w:numId="6">
    <w:abstractNumId w:val="6"/>
  </w:num>
  <w:num w:numId="7">
    <w:abstractNumId w:val="4"/>
  </w:num>
  <w:num w:numId="8">
    <w:abstractNumId w:val="12"/>
  </w:num>
  <w:num w:numId="9">
    <w:abstractNumId w:val="16"/>
  </w:num>
  <w:num w:numId="10">
    <w:abstractNumId w:val="7"/>
  </w:num>
  <w:num w:numId="11">
    <w:abstractNumId w:val="10"/>
  </w:num>
  <w:num w:numId="12">
    <w:abstractNumId w:val="5"/>
  </w:num>
  <w:num w:numId="13">
    <w:abstractNumId w:val="13"/>
  </w:num>
  <w:num w:numId="14">
    <w:abstractNumId w:val="21"/>
  </w:num>
  <w:num w:numId="15">
    <w:abstractNumId w:val="2"/>
  </w:num>
  <w:num w:numId="16">
    <w:abstractNumId w:val="20"/>
  </w:num>
  <w:num w:numId="17">
    <w:abstractNumId w:val="19"/>
  </w:num>
  <w:num w:numId="18">
    <w:abstractNumId w:val="24"/>
  </w:num>
  <w:num w:numId="19">
    <w:abstractNumId w:val="15"/>
  </w:num>
  <w:num w:numId="20">
    <w:abstractNumId w:val="9"/>
  </w:num>
  <w:num w:numId="21">
    <w:abstractNumId w:val="22"/>
  </w:num>
  <w:num w:numId="22">
    <w:abstractNumId w:val="3"/>
  </w:num>
  <w:num w:numId="23">
    <w:abstractNumId w:val="1"/>
  </w:num>
  <w:num w:numId="24">
    <w:abstractNumId w:val="0"/>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1800"/>
    <w:rsid w:val="00015EE5"/>
    <w:rsid w:val="00021FEA"/>
    <w:rsid w:val="00026BAE"/>
    <w:rsid w:val="0003014C"/>
    <w:rsid w:val="00034578"/>
    <w:rsid w:val="000366BC"/>
    <w:rsid w:val="000414F6"/>
    <w:rsid w:val="00045FAD"/>
    <w:rsid w:val="000479CF"/>
    <w:rsid w:val="00051F38"/>
    <w:rsid w:val="00052E33"/>
    <w:rsid w:val="00053843"/>
    <w:rsid w:val="00064FEC"/>
    <w:rsid w:val="00065D0C"/>
    <w:rsid w:val="00066A45"/>
    <w:rsid w:val="00071AB3"/>
    <w:rsid w:val="000727C4"/>
    <w:rsid w:val="00094ED6"/>
    <w:rsid w:val="000A277C"/>
    <w:rsid w:val="000B0DCD"/>
    <w:rsid w:val="000B7A71"/>
    <w:rsid w:val="000B7C5A"/>
    <w:rsid w:val="000E14DB"/>
    <w:rsid w:val="00102A6A"/>
    <w:rsid w:val="00110DB2"/>
    <w:rsid w:val="001144D2"/>
    <w:rsid w:val="00122110"/>
    <w:rsid w:val="00144C58"/>
    <w:rsid w:val="00146FA3"/>
    <w:rsid w:val="00150BAE"/>
    <w:rsid w:val="00150FA6"/>
    <w:rsid w:val="00161E8E"/>
    <w:rsid w:val="001654F7"/>
    <w:rsid w:val="00171D80"/>
    <w:rsid w:val="00172112"/>
    <w:rsid w:val="00173B99"/>
    <w:rsid w:val="00174593"/>
    <w:rsid w:val="0017531C"/>
    <w:rsid w:val="00175C52"/>
    <w:rsid w:val="00186C35"/>
    <w:rsid w:val="00187BA3"/>
    <w:rsid w:val="001B1446"/>
    <w:rsid w:val="001B3902"/>
    <w:rsid w:val="001C356C"/>
    <w:rsid w:val="001D24E4"/>
    <w:rsid w:val="001D40F8"/>
    <w:rsid w:val="001D484A"/>
    <w:rsid w:val="001E68AB"/>
    <w:rsid w:val="001F4A3C"/>
    <w:rsid w:val="002052B6"/>
    <w:rsid w:val="00206F19"/>
    <w:rsid w:val="00207691"/>
    <w:rsid w:val="0020771B"/>
    <w:rsid w:val="002145F1"/>
    <w:rsid w:val="002165EA"/>
    <w:rsid w:val="0021676E"/>
    <w:rsid w:val="00216CE3"/>
    <w:rsid w:val="00221384"/>
    <w:rsid w:val="002238CD"/>
    <w:rsid w:val="00225B06"/>
    <w:rsid w:val="0025228A"/>
    <w:rsid w:val="00255B40"/>
    <w:rsid w:val="002651E9"/>
    <w:rsid w:val="002758A4"/>
    <w:rsid w:val="00275A41"/>
    <w:rsid w:val="00283404"/>
    <w:rsid w:val="00284F75"/>
    <w:rsid w:val="002929B1"/>
    <w:rsid w:val="002A0C02"/>
    <w:rsid w:val="002A1864"/>
    <w:rsid w:val="002B3050"/>
    <w:rsid w:val="002C165F"/>
    <w:rsid w:val="002C267B"/>
    <w:rsid w:val="002D2CF7"/>
    <w:rsid w:val="002D3311"/>
    <w:rsid w:val="002D4AC9"/>
    <w:rsid w:val="002E6C4C"/>
    <w:rsid w:val="002F21E1"/>
    <w:rsid w:val="002F38B6"/>
    <w:rsid w:val="002F7719"/>
    <w:rsid w:val="00301C01"/>
    <w:rsid w:val="00310F61"/>
    <w:rsid w:val="00311757"/>
    <w:rsid w:val="00315A5D"/>
    <w:rsid w:val="0032061E"/>
    <w:rsid w:val="00320FC2"/>
    <w:rsid w:val="0032129E"/>
    <w:rsid w:val="0032632E"/>
    <w:rsid w:val="00334F6C"/>
    <w:rsid w:val="00337A20"/>
    <w:rsid w:val="00342EE0"/>
    <w:rsid w:val="0034421F"/>
    <w:rsid w:val="00347695"/>
    <w:rsid w:val="003527A8"/>
    <w:rsid w:val="00354395"/>
    <w:rsid w:val="00363217"/>
    <w:rsid w:val="00364741"/>
    <w:rsid w:val="0036727F"/>
    <w:rsid w:val="0037752C"/>
    <w:rsid w:val="00381476"/>
    <w:rsid w:val="00384B6A"/>
    <w:rsid w:val="0038545E"/>
    <w:rsid w:val="00391541"/>
    <w:rsid w:val="003A282F"/>
    <w:rsid w:val="003A55CC"/>
    <w:rsid w:val="003B0404"/>
    <w:rsid w:val="003B392D"/>
    <w:rsid w:val="003C30ED"/>
    <w:rsid w:val="003D75B1"/>
    <w:rsid w:val="003E29AE"/>
    <w:rsid w:val="003E6D11"/>
    <w:rsid w:val="003F0349"/>
    <w:rsid w:val="00401CD5"/>
    <w:rsid w:val="00407213"/>
    <w:rsid w:val="00410741"/>
    <w:rsid w:val="0042202D"/>
    <w:rsid w:val="00427B0E"/>
    <w:rsid w:val="00452831"/>
    <w:rsid w:val="00467FA0"/>
    <w:rsid w:val="004804EF"/>
    <w:rsid w:val="00487E8A"/>
    <w:rsid w:val="004914BD"/>
    <w:rsid w:val="0049584C"/>
    <w:rsid w:val="004978B3"/>
    <w:rsid w:val="004A0BA3"/>
    <w:rsid w:val="004A1BCA"/>
    <w:rsid w:val="004B0562"/>
    <w:rsid w:val="004C0EDD"/>
    <w:rsid w:val="004C6DE4"/>
    <w:rsid w:val="004D6B87"/>
    <w:rsid w:val="004D777A"/>
    <w:rsid w:val="004E1288"/>
    <w:rsid w:val="004E3A5B"/>
    <w:rsid w:val="004E5E50"/>
    <w:rsid w:val="004F413D"/>
    <w:rsid w:val="004F4F24"/>
    <w:rsid w:val="005008F9"/>
    <w:rsid w:val="0052152C"/>
    <w:rsid w:val="0052193F"/>
    <w:rsid w:val="005219AF"/>
    <w:rsid w:val="0052679E"/>
    <w:rsid w:val="005627B3"/>
    <w:rsid w:val="00562845"/>
    <w:rsid w:val="005640C8"/>
    <w:rsid w:val="00577102"/>
    <w:rsid w:val="005824D4"/>
    <w:rsid w:val="00583004"/>
    <w:rsid w:val="005B6D15"/>
    <w:rsid w:val="005B7062"/>
    <w:rsid w:val="005B7A48"/>
    <w:rsid w:val="005C714F"/>
    <w:rsid w:val="005C7877"/>
    <w:rsid w:val="005D0E1E"/>
    <w:rsid w:val="005D3C10"/>
    <w:rsid w:val="005F276F"/>
    <w:rsid w:val="005F668D"/>
    <w:rsid w:val="00604F0A"/>
    <w:rsid w:val="00624531"/>
    <w:rsid w:val="006250AC"/>
    <w:rsid w:val="00634486"/>
    <w:rsid w:val="006364D5"/>
    <w:rsid w:val="006425FF"/>
    <w:rsid w:val="006446FF"/>
    <w:rsid w:val="006534F0"/>
    <w:rsid w:val="00653525"/>
    <w:rsid w:val="00663AFE"/>
    <w:rsid w:val="0066485C"/>
    <w:rsid w:val="0066740A"/>
    <w:rsid w:val="0068676A"/>
    <w:rsid w:val="00690549"/>
    <w:rsid w:val="006934C9"/>
    <w:rsid w:val="006A5F00"/>
    <w:rsid w:val="006E5D66"/>
    <w:rsid w:val="007003AD"/>
    <w:rsid w:val="00721F93"/>
    <w:rsid w:val="0072615F"/>
    <w:rsid w:val="00730394"/>
    <w:rsid w:val="0073429D"/>
    <w:rsid w:val="0075206A"/>
    <w:rsid w:val="00761547"/>
    <w:rsid w:val="00764826"/>
    <w:rsid w:val="00784572"/>
    <w:rsid w:val="007A3676"/>
    <w:rsid w:val="007A52E6"/>
    <w:rsid w:val="007B064B"/>
    <w:rsid w:val="007B32D4"/>
    <w:rsid w:val="007B6060"/>
    <w:rsid w:val="007C1C15"/>
    <w:rsid w:val="007C7431"/>
    <w:rsid w:val="007D10F3"/>
    <w:rsid w:val="007D2CBE"/>
    <w:rsid w:val="007D42AC"/>
    <w:rsid w:val="007E0C74"/>
    <w:rsid w:val="007E1018"/>
    <w:rsid w:val="007E429F"/>
    <w:rsid w:val="007F529C"/>
    <w:rsid w:val="00804A9E"/>
    <w:rsid w:val="008141A9"/>
    <w:rsid w:val="008141CB"/>
    <w:rsid w:val="00823CF4"/>
    <w:rsid w:val="00833BD0"/>
    <w:rsid w:val="00834AEB"/>
    <w:rsid w:val="008358AE"/>
    <w:rsid w:val="008371F9"/>
    <w:rsid w:val="008679B5"/>
    <w:rsid w:val="00870220"/>
    <w:rsid w:val="00877EF5"/>
    <w:rsid w:val="00883752"/>
    <w:rsid w:val="00890B9B"/>
    <w:rsid w:val="00890C4B"/>
    <w:rsid w:val="00895771"/>
    <w:rsid w:val="008A24EB"/>
    <w:rsid w:val="008A6DF6"/>
    <w:rsid w:val="008B6142"/>
    <w:rsid w:val="008C3517"/>
    <w:rsid w:val="008D6C00"/>
    <w:rsid w:val="008D6F8C"/>
    <w:rsid w:val="008E1B7D"/>
    <w:rsid w:val="008E2063"/>
    <w:rsid w:val="00903470"/>
    <w:rsid w:val="00906BDC"/>
    <w:rsid w:val="00910303"/>
    <w:rsid w:val="009103C4"/>
    <w:rsid w:val="00913178"/>
    <w:rsid w:val="0091604A"/>
    <w:rsid w:val="00920E28"/>
    <w:rsid w:val="00924161"/>
    <w:rsid w:val="009318D0"/>
    <w:rsid w:val="009423C8"/>
    <w:rsid w:val="009470C1"/>
    <w:rsid w:val="00951496"/>
    <w:rsid w:val="0097294B"/>
    <w:rsid w:val="009857DE"/>
    <w:rsid w:val="00985FE3"/>
    <w:rsid w:val="00991BF8"/>
    <w:rsid w:val="009B4039"/>
    <w:rsid w:val="009C0364"/>
    <w:rsid w:val="009C1266"/>
    <w:rsid w:val="009C6B5A"/>
    <w:rsid w:val="009E2C2B"/>
    <w:rsid w:val="009E685D"/>
    <w:rsid w:val="009F2091"/>
    <w:rsid w:val="00A054AC"/>
    <w:rsid w:val="00A141CF"/>
    <w:rsid w:val="00A16E51"/>
    <w:rsid w:val="00A229D2"/>
    <w:rsid w:val="00A311CB"/>
    <w:rsid w:val="00A43CE5"/>
    <w:rsid w:val="00A52941"/>
    <w:rsid w:val="00A53CD4"/>
    <w:rsid w:val="00A571EA"/>
    <w:rsid w:val="00A577D0"/>
    <w:rsid w:val="00A60340"/>
    <w:rsid w:val="00A70F44"/>
    <w:rsid w:val="00A76EE5"/>
    <w:rsid w:val="00A80465"/>
    <w:rsid w:val="00A82086"/>
    <w:rsid w:val="00A84901"/>
    <w:rsid w:val="00A8531D"/>
    <w:rsid w:val="00A859D3"/>
    <w:rsid w:val="00A86E5F"/>
    <w:rsid w:val="00A91645"/>
    <w:rsid w:val="00A929D1"/>
    <w:rsid w:val="00A94DF7"/>
    <w:rsid w:val="00AA1FFD"/>
    <w:rsid w:val="00AA49EC"/>
    <w:rsid w:val="00AB384B"/>
    <w:rsid w:val="00AC3B80"/>
    <w:rsid w:val="00AE3406"/>
    <w:rsid w:val="00AF3168"/>
    <w:rsid w:val="00AF5D12"/>
    <w:rsid w:val="00B0565A"/>
    <w:rsid w:val="00B104EF"/>
    <w:rsid w:val="00B120E2"/>
    <w:rsid w:val="00B23363"/>
    <w:rsid w:val="00B4376C"/>
    <w:rsid w:val="00B44856"/>
    <w:rsid w:val="00B46390"/>
    <w:rsid w:val="00B53A7B"/>
    <w:rsid w:val="00B56963"/>
    <w:rsid w:val="00B6445C"/>
    <w:rsid w:val="00B65A2B"/>
    <w:rsid w:val="00B7479D"/>
    <w:rsid w:val="00B8195D"/>
    <w:rsid w:val="00B8218A"/>
    <w:rsid w:val="00B8401B"/>
    <w:rsid w:val="00B8507B"/>
    <w:rsid w:val="00B91638"/>
    <w:rsid w:val="00BA46B4"/>
    <w:rsid w:val="00BA7930"/>
    <w:rsid w:val="00BB6E05"/>
    <w:rsid w:val="00BC0F0B"/>
    <w:rsid w:val="00BD0FA6"/>
    <w:rsid w:val="00BF1B99"/>
    <w:rsid w:val="00BF3A59"/>
    <w:rsid w:val="00BF532A"/>
    <w:rsid w:val="00C04023"/>
    <w:rsid w:val="00C10D41"/>
    <w:rsid w:val="00C17916"/>
    <w:rsid w:val="00C20DD2"/>
    <w:rsid w:val="00C25B13"/>
    <w:rsid w:val="00C31AE6"/>
    <w:rsid w:val="00C34847"/>
    <w:rsid w:val="00C44D66"/>
    <w:rsid w:val="00C4630C"/>
    <w:rsid w:val="00C50E9F"/>
    <w:rsid w:val="00C52D41"/>
    <w:rsid w:val="00C57D5D"/>
    <w:rsid w:val="00C76650"/>
    <w:rsid w:val="00C85A73"/>
    <w:rsid w:val="00CA4145"/>
    <w:rsid w:val="00CB0AEA"/>
    <w:rsid w:val="00CB29F4"/>
    <w:rsid w:val="00CB562F"/>
    <w:rsid w:val="00CB6FFD"/>
    <w:rsid w:val="00CB71DA"/>
    <w:rsid w:val="00CC5156"/>
    <w:rsid w:val="00CC5BAC"/>
    <w:rsid w:val="00CC7701"/>
    <w:rsid w:val="00CD2797"/>
    <w:rsid w:val="00CD75E6"/>
    <w:rsid w:val="00CD77AA"/>
    <w:rsid w:val="00D012CC"/>
    <w:rsid w:val="00D02526"/>
    <w:rsid w:val="00D07C36"/>
    <w:rsid w:val="00D10FD8"/>
    <w:rsid w:val="00D137D8"/>
    <w:rsid w:val="00D208A5"/>
    <w:rsid w:val="00D2153B"/>
    <w:rsid w:val="00D2226B"/>
    <w:rsid w:val="00D52AB2"/>
    <w:rsid w:val="00D570F8"/>
    <w:rsid w:val="00D72FDD"/>
    <w:rsid w:val="00D74813"/>
    <w:rsid w:val="00D75007"/>
    <w:rsid w:val="00D75C81"/>
    <w:rsid w:val="00D80720"/>
    <w:rsid w:val="00D845F1"/>
    <w:rsid w:val="00D854CE"/>
    <w:rsid w:val="00D85A1E"/>
    <w:rsid w:val="00D87376"/>
    <w:rsid w:val="00D96EAB"/>
    <w:rsid w:val="00DA6EED"/>
    <w:rsid w:val="00DC1F88"/>
    <w:rsid w:val="00DC531E"/>
    <w:rsid w:val="00E0145A"/>
    <w:rsid w:val="00E10DBD"/>
    <w:rsid w:val="00E15265"/>
    <w:rsid w:val="00E30AEE"/>
    <w:rsid w:val="00E31B77"/>
    <w:rsid w:val="00E4137C"/>
    <w:rsid w:val="00E55C77"/>
    <w:rsid w:val="00E606F0"/>
    <w:rsid w:val="00E65564"/>
    <w:rsid w:val="00E77563"/>
    <w:rsid w:val="00E806E9"/>
    <w:rsid w:val="00E80EBD"/>
    <w:rsid w:val="00EA6709"/>
    <w:rsid w:val="00EB2B59"/>
    <w:rsid w:val="00EB78B2"/>
    <w:rsid w:val="00ED5598"/>
    <w:rsid w:val="00EE59C2"/>
    <w:rsid w:val="00EF593D"/>
    <w:rsid w:val="00F201E7"/>
    <w:rsid w:val="00F23BE0"/>
    <w:rsid w:val="00F756F0"/>
    <w:rsid w:val="00F76439"/>
    <w:rsid w:val="00F80DBE"/>
    <w:rsid w:val="00F81529"/>
    <w:rsid w:val="00F81854"/>
    <w:rsid w:val="00F8226D"/>
    <w:rsid w:val="00FB5172"/>
    <w:rsid w:val="00FC31C8"/>
    <w:rsid w:val="00FC49E2"/>
    <w:rsid w:val="00FC7C18"/>
    <w:rsid w:val="00FD1B95"/>
    <w:rsid w:val="00FD4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unhideWhenUsed/>
    <w:rsid w:val="002238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EndNoteBibliography">
    <w:name w:val="EndNote Bibliography"/>
    <w:basedOn w:val="a0"/>
    <w:link w:val="EndNoteBibliographyChar"/>
    <w:rsid w:val="002C267B"/>
    <w:pPr>
      <w:spacing w:after="160" w:line="240" w:lineRule="auto"/>
      <w:ind w:firstLine="0"/>
      <w:jc w:val="left"/>
    </w:pPr>
    <w:rPr>
      <w:rFonts w:ascii="Courier New" w:eastAsia="Times New Roman" w:hAnsi="Courier New" w:cs="Courier New"/>
      <w:noProof/>
      <w:sz w:val="20"/>
      <w:lang w:val="en-US" w:eastAsia="zh-CN"/>
    </w:rPr>
  </w:style>
  <w:style w:type="character" w:customStyle="1" w:styleId="EndNoteBibliographyChar">
    <w:name w:val="EndNote Bibliography Char"/>
    <w:link w:val="EndNoteBibliography"/>
    <w:rsid w:val="002C267B"/>
    <w:rPr>
      <w:rFonts w:ascii="Courier New" w:eastAsia="Times New Roman" w:hAnsi="Courier New" w:cs="Courier New"/>
      <w:noProof/>
      <w:lang w:val="en-US" w:eastAsia="zh-CN"/>
    </w:rPr>
  </w:style>
  <w:style w:type="character" w:customStyle="1" w:styleId="30">
    <w:name w:val="Заголовок 3 Знак"/>
    <w:basedOn w:val="a2"/>
    <w:link w:val="3"/>
    <w:uiPriority w:val="9"/>
    <w:rsid w:val="002238CD"/>
    <w:rPr>
      <w:rFonts w:asciiTheme="majorHAnsi" w:eastAsiaTheme="majorEastAsia" w:hAnsiTheme="majorHAnsi" w:cstheme="majorBidi"/>
      <w:color w:val="1F4D78" w:themeColor="accent1" w:themeShade="7F"/>
      <w:sz w:val="24"/>
      <w:szCs w:val="24"/>
    </w:rPr>
  </w:style>
  <w:style w:type="paragraph" w:styleId="32">
    <w:name w:val="toc 3"/>
    <w:basedOn w:val="a0"/>
    <w:next w:val="a0"/>
    <w:autoRedefine/>
    <w:uiPriority w:val="39"/>
    <w:unhideWhenUsed/>
    <w:rsid w:val="004A1BCA"/>
    <w:pPr>
      <w:spacing w:after="100"/>
      <w:ind w:left="480"/>
    </w:pPr>
  </w:style>
  <w:style w:type="paragraph" w:customStyle="1" w:styleId="affff">
    <w:name w:val="Базовый"/>
    <w:uiPriority w:val="99"/>
    <w:rsid w:val="004A1BCA"/>
    <w:pPr>
      <w:suppressAutoHyphens/>
      <w:spacing w:line="100" w:lineRule="atLeast"/>
    </w:pPr>
    <w:rPr>
      <w:rFonts w:ascii="Times New Roman" w:eastAsia="Calibri" w:hAnsi="Times New Roman" w:cs="Times New Roman"/>
      <w:sz w:val="24"/>
      <w:szCs w:val="24"/>
      <w:lang w:eastAsia="ar-SA"/>
    </w:rPr>
  </w:style>
  <w:style w:type="paragraph" w:customStyle="1" w:styleId="33">
    <w:name w:val="КР3"/>
    <w:basedOn w:val="afd"/>
    <w:next w:val="a0"/>
    <w:link w:val="34"/>
    <w:rsid w:val="004A1BCA"/>
    <w:pPr>
      <w:ind w:left="0" w:firstLine="0"/>
    </w:pPr>
    <w:rPr>
      <w:rFonts w:eastAsia="SimSun" w:cs="Times New Roman"/>
      <w:i/>
      <w:szCs w:val="24"/>
    </w:rPr>
  </w:style>
  <w:style w:type="character" w:customStyle="1" w:styleId="34">
    <w:name w:val="КР3 Знак"/>
    <w:link w:val="33"/>
    <w:rsid w:val="004A1BCA"/>
    <w:rPr>
      <w:rFonts w:ascii="Times New Roman" w:eastAsia="SimSun" w:hAnsi="Times New Roman" w:cs="Times New Roman"/>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unhideWhenUsed/>
    <w:rsid w:val="002238C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qFormat/>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spacing w:before="240"/>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EndNoteBibliography">
    <w:name w:val="EndNote Bibliography"/>
    <w:basedOn w:val="a0"/>
    <w:link w:val="EndNoteBibliographyChar"/>
    <w:rsid w:val="002C267B"/>
    <w:pPr>
      <w:spacing w:after="160" w:line="240" w:lineRule="auto"/>
      <w:ind w:firstLine="0"/>
      <w:jc w:val="left"/>
    </w:pPr>
    <w:rPr>
      <w:rFonts w:ascii="Courier New" w:eastAsia="Times New Roman" w:hAnsi="Courier New" w:cs="Courier New"/>
      <w:noProof/>
      <w:sz w:val="20"/>
      <w:lang w:val="en-US" w:eastAsia="zh-CN"/>
    </w:rPr>
  </w:style>
  <w:style w:type="character" w:customStyle="1" w:styleId="EndNoteBibliographyChar">
    <w:name w:val="EndNote Bibliography Char"/>
    <w:link w:val="EndNoteBibliography"/>
    <w:rsid w:val="002C267B"/>
    <w:rPr>
      <w:rFonts w:ascii="Courier New" w:eastAsia="Times New Roman" w:hAnsi="Courier New" w:cs="Courier New"/>
      <w:noProof/>
      <w:lang w:val="en-US" w:eastAsia="zh-CN"/>
    </w:rPr>
  </w:style>
  <w:style w:type="character" w:customStyle="1" w:styleId="30">
    <w:name w:val="Заголовок 3 Знак"/>
    <w:basedOn w:val="a2"/>
    <w:link w:val="3"/>
    <w:uiPriority w:val="9"/>
    <w:rsid w:val="002238CD"/>
    <w:rPr>
      <w:rFonts w:asciiTheme="majorHAnsi" w:eastAsiaTheme="majorEastAsia" w:hAnsiTheme="majorHAnsi" w:cstheme="majorBidi"/>
      <w:color w:val="1F4D78" w:themeColor="accent1" w:themeShade="7F"/>
      <w:sz w:val="24"/>
      <w:szCs w:val="24"/>
    </w:rPr>
  </w:style>
  <w:style w:type="paragraph" w:styleId="32">
    <w:name w:val="toc 3"/>
    <w:basedOn w:val="a0"/>
    <w:next w:val="a0"/>
    <w:autoRedefine/>
    <w:uiPriority w:val="39"/>
    <w:unhideWhenUsed/>
    <w:rsid w:val="004A1BCA"/>
    <w:pPr>
      <w:spacing w:after="100"/>
      <w:ind w:left="480"/>
    </w:pPr>
  </w:style>
  <w:style w:type="paragraph" w:customStyle="1" w:styleId="affff">
    <w:name w:val="Базовый"/>
    <w:uiPriority w:val="99"/>
    <w:rsid w:val="004A1BCA"/>
    <w:pPr>
      <w:suppressAutoHyphens/>
      <w:spacing w:line="100" w:lineRule="atLeast"/>
    </w:pPr>
    <w:rPr>
      <w:rFonts w:ascii="Times New Roman" w:eastAsia="Calibri" w:hAnsi="Times New Roman" w:cs="Times New Roman"/>
      <w:sz w:val="24"/>
      <w:szCs w:val="24"/>
      <w:lang w:eastAsia="ar-SA"/>
    </w:rPr>
  </w:style>
  <w:style w:type="paragraph" w:customStyle="1" w:styleId="33">
    <w:name w:val="КР3"/>
    <w:basedOn w:val="afd"/>
    <w:next w:val="a0"/>
    <w:link w:val="34"/>
    <w:rsid w:val="004A1BCA"/>
    <w:pPr>
      <w:ind w:left="0" w:firstLine="0"/>
    </w:pPr>
    <w:rPr>
      <w:rFonts w:eastAsia="SimSun" w:cs="Times New Roman"/>
      <w:i/>
      <w:szCs w:val="24"/>
    </w:rPr>
  </w:style>
  <w:style w:type="character" w:customStyle="1" w:styleId="34">
    <w:name w:val="КР3 Знак"/>
    <w:link w:val="33"/>
    <w:rsid w:val="004A1BCA"/>
    <w:rPr>
      <w:rFonts w:ascii="Times New Roman" w:eastAsia="SimSu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22066555">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3055-E370-48B4-AC3C-449C4A02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33092</Words>
  <Characters>188629</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alradi</cp:lastModifiedBy>
  <cp:revision>2</cp:revision>
  <cp:lastPrinted>2019-11-18T09:21:00Z</cp:lastPrinted>
  <dcterms:created xsi:type="dcterms:W3CDTF">2019-11-21T07:17:00Z</dcterms:created>
  <dcterms:modified xsi:type="dcterms:W3CDTF">2019-11-21T07:17:00Z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http://www.zotero.org/styles/apa</vt:lpwstr>
  </property>
  <property fmtid="{D5CDD505-2E9C-101B-9397-08002B2CF9AE}" pid="12" name="Mendeley Recent Style Name 1_1">
    <vt:lpwstr>American Psychological Association 6th edition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http://www.zotero.org/styles/elsevier-vancouver</vt:lpwstr>
  </property>
  <property fmtid="{D5CDD505-2E9C-101B-9397-08002B2CF9AE}" pid="20" name="Mendeley Recent Style Name 5_1">
    <vt:lpwstr>Elsevier - Vancouver</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Mendeley Document_1">
    <vt:lpwstr>True</vt:lpwstr>
  </property>
  <property fmtid="{D5CDD505-2E9C-101B-9397-08002B2CF9AE}" pid="30" name="Mendeley Unique User Id_1">
    <vt:lpwstr>950969e5-227b-3073-9fbf-a39840f75229</vt:lpwstr>
  </property>
  <property fmtid="{D5CDD505-2E9C-101B-9397-08002B2CF9AE}" pid="31" name="Mendeley Citation Style_1">
    <vt:lpwstr>http://www.zotero.org/styles/elsevier-vancouver</vt:lpwstr>
  </property>
</Properties>
</file>