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1C" w:rsidRDefault="000008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081C" w:rsidRDefault="0000081C">
      <w:pPr>
        <w:pStyle w:val="ConsPlusNormal"/>
        <w:jc w:val="both"/>
        <w:outlineLvl w:val="0"/>
      </w:pPr>
    </w:p>
    <w:p w:rsidR="0000081C" w:rsidRDefault="0000081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0081C" w:rsidRDefault="0000081C">
      <w:pPr>
        <w:pStyle w:val="ConsPlusTitle"/>
        <w:jc w:val="center"/>
      </w:pPr>
    </w:p>
    <w:p w:rsidR="0000081C" w:rsidRDefault="0000081C">
      <w:pPr>
        <w:pStyle w:val="ConsPlusTitle"/>
        <w:jc w:val="center"/>
      </w:pPr>
      <w:r>
        <w:t>ПРИКАЗ</w:t>
      </w:r>
    </w:p>
    <w:p w:rsidR="0000081C" w:rsidRDefault="0000081C">
      <w:pPr>
        <w:pStyle w:val="ConsPlusTitle"/>
        <w:jc w:val="center"/>
      </w:pPr>
      <w:r>
        <w:t>от 7 марта 2017 г. N 95</w:t>
      </w:r>
    </w:p>
    <w:p w:rsidR="0000081C" w:rsidRDefault="0000081C">
      <w:pPr>
        <w:pStyle w:val="ConsPlusTitle"/>
        <w:jc w:val="center"/>
      </w:pPr>
    </w:p>
    <w:p w:rsidR="0000081C" w:rsidRDefault="0000081C">
      <w:pPr>
        <w:pStyle w:val="ConsPlusTitle"/>
        <w:jc w:val="center"/>
      </w:pPr>
      <w:r>
        <w:t>О ВНЕСЕНИИ ИЗМЕНЕНИЙ В ПРИЛОЖЕНИЯ N 1, N 2</w:t>
      </w:r>
      <w:proofErr w:type="gramStart"/>
      <w:r>
        <w:t xml:space="preserve"> И</w:t>
      </w:r>
      <w:proofErr w:type="gramEnd"/>
      <w:r>
        <w:t xml:space="preserve"> N 3 К ПРИКАЗУ</w:t>
      </w:r>
    </w:p>
    <w:p w:rsidR="0000081C" w:rsidRDefault="0000081C">
      <w:pPr>
        <w:pStyle w:val="ConsPlusTitle"/>
        <w:jc w:val="center"/>
      </w:pPr>
      <w:r>
        <w:t>МИНИСТЕРСТВА ЗДРАВООХРАНЕНИЯ РОССИЙСКОЙ ФЕДЕРАЦИИ</w:t>
      </w:r>
    </w:p>
    <w:p w:rsidR="0000081C" w:rsidRDefault="0000081C">
      <w:pPr>
        <w:pStyle w:val="ConsPlusTitle"/>
        <w:jc w:val="center"/>
      </w:pPr>
      <w:r>
        <w:t xml:space="preserve">ОТ 25 ОКТЯБРЯ 2012 Г. N 444 "О </w:t>
      </w:r>
      <w:proofErr w:type="gramStart"/>
      <w:r>
        <w:t>ГЛАВНЫХ</w:t>
      </w:r>
      <w:proofErr w:type="gramEnd"/>
      <w:r>
        <w:t xml:space="preserve"> ВНЕШТАТНЫХ</w:t>
      </w:r>
    </w:p>
    <w:p w:rsidR="0000081C" w:rsidRDefault="0000081C">
      <w:pPr>
        <w:pStyle w:val="ConsPlusTitle"/>
        <w:jc w:val="center"/>
      </w:pPr>
      <w:proofErr w:type="gramStart"/>
      <w:r>
        <w:t>СПЕЦИАЛИСТАХ</w:t>
      </w:r>
      <w:proofErr w:type="gramEnd"/>
      <w:r>
        <w:t xml:space="preserve"> МИНИСТЕРСТВА ЗДРАВООХРАНЕНИЯ</w:t>
      </w:r>
    </w:p>
    <w:p w:rsidR="0000081C" w:rsidRDefault="0000081C">
      <w:pPr>
        <w:pStyle w:val="ConsPlusTitle"/>
        <w:jc w:val="center"/>
      </w:pPr>
      <w:r>
        <w:t>РОССИЙСКОЙ ФЕДЕРАЦИИ"</w:t>
      </w:r>
    </w:p>
    <w:p w:rsidR="0000081C" w:rsidRDefault="0000081C">
      <w:pPr>
        <w:pStyle w:val="ConsPlusNormal"/>
        <w:jc w:val="center"/>
      </w:pPr>
    </w:p>
    <w:p w:rsidR="0000081C" w:rsidRDefault="0000081C">
      <w:pPr>
        <w:pStyle w:val="ConsPlusNormal"/>
        <w:ind w:firstLine="540"/>
        <w:jc w:val="both"/>
      </w:pPr>
      <w:r>
        <w:t>Приказываю: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Start"/>
      <w:r>
        <w:t xml:space="preserve">Внести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7" w:history="1">
        <w:r>
          <w:rPr>
            <w:color w:val="0000FF"/>
          </w:rPr>
          <w:t>N 2</w:t>
        </w:r>
      </w:hyperlink>
      <w:r>
        <w:t xml:space="preserve"> и </w:t>
      </w:r>
      <w:hyperlink r:id="rId8" w:history="1">
        <w:r>
          <w:rPr>
            <w:color w:val="0000FF"/>
          </w:rPr>
          <w:t>N 3</w:t>
        </w:r>
      </w:hyperlink>
      <w:r>
        <w:t xml:space="preserve"> к приказу Министерства здравоохранения Российской Федерации от 25 октября 2012 г. N 444 "О главных внештатных специалистах Министерства здравоохранения Российской Федерации" с изменениями, внесенными приказами Министерства здравоохранения Российской Федерации от 21 июня 2013 г. N 400, от 23 мая 2014 г. N 236, от 11 марта 2015 г. N</w:t>
      </w:r>
      <w:proofErr w:type="gramEnd"/>
      <w:r>
        <w:t xml:space="preserve"> 94 и от 11 марта 2016 г. N 158, согласно приложению.</w:t>
      </w:r>
    </w:p>
    <w:p w:rsidR="0000081C" w:rsidRDefault="0000081C">
      <w:pPr>
        <w:pStyle w:val="ConsPlusNormal"/>
        <w:ind w:firstLine="540"/>
        <w:jc w:val="both"/>
      </w:pPr>
    </w:p>
    <w:p w:rsidR="0000081C" w:rsidRDefault="0000081C">
      <w:pPr>
        <w:pStyle w:val="ConsPlusNormal"/>
        <w:jc w:val="right"/>
      </w:pPr>
      <w:r>
        <w:t>Министр</w:t>
      </w:r>
    </w:p>
    <w:p w:rsidR="0000081C" w:rsidRDefault="0000081C">
      <w:pPr>
        <w:pStyle w:val="ConsPlusNormal"/>
        <w:jc w:val="right"/>
      </w:pPr>
      <w:r>
        <w:t>В.И.СКВОРЦОВА</w:t>
      </w:r>
    </w:p>
    <w:p w:rsidR="0000081C" w:rsidRDefault="0000081C">
      <w:pPr>
        <w:pStyle w:val="ConsPlusNormal"/>
        <w:jc w:val="right"/>
      </w:pPr>
    </w:p>
    <w:p w:rsidR="0000081C" w:rsidRDefault="0000081C">
      <w:pPr>
        <w:pStyle w:val="ConsPlusNormal"/>
        <w:jc w:val="right"/>
      </w:pPr>
    </w:p>
    <w:p w:rsidR="0000081C" w:rsidRDefault="0000081C">
      <w:pPr>
        <w:pStyle w:val="ConsPlusNormal"/>
        <w:jc w:val="right"/>
      </w:pPr>
    </w:p>
    <w:p w:rsidR="0000081C" w:rsidRDefault="0000081C">
      <w:pPr>
        <w:pStyle w:val="ConsPlusNormal"/>
        <w:jc w:val="right"/>
      </w:pPr>
    </w:p>
    <w:p w:rsidR="0000081C" w:rsidRDefault="0000081C">
      <w:pPr>
        <w:pStyle w:val="ConsPlusNormal"/>
        <w:jc w:val="right"/>
      </w:pPr>
    </w:p>
    <w:p w:rsidR="0000081C" w:rsidRDefault="0000081C">
      <w:pPr>
        <w:pStyle w:val="ConsPlusNormal"/>
        <w:jc w:val="right"/>
        <w:outlineLvl w:val="0"/>
      </w:pPr>
      <w:r>
        <w:t>Приложение</w:t>
      </w:r>
    </w:p>
    <w:p w:rsidR="0000081C" w:rsidRDefault="0000081C">
      <w:pPr>
        <w:pStyle w:val="ConsPlusNormal"/>
        <w:jc w:val="right"/>
      </w:pPr>
      <w:r>
        <w:t>к приказу Министерства</w:t>
      </w:r>
    </w:p>
    <w:p w:rsidR="0000081C" w:rsidRDefault="0000081C">
      <w:pPr>
        <w:pStyle w:val="ConsPlusNormal"/>
        <w:jc w:val="right"/>
      </w:pPr>
      <w:r>
        <w:t>здравоохранения</w:t>
      </w:r>
    </w:p>
    <w:p w:rsidR="0000081C" w:rsidRDefault="0000081C">
      <w:pPr>
        <w:pStyle w:val="ConsPlusNormal"/>
        <w:jc w:val="right"/>
      </w:pPr>
      <w:r>
        <w:t>Российской Федерации</w:t>
      </w:r>
    </w:p>
    <w:p w:rsidR="0000081C" w:rsidRDefault="0000081C">
      <w:pPr>
        <w:pStyle w:val="ConsPlusNormal"/>
        <w:jc w:val="right"/>
      </w:pPr>
      <w:r>
        <w:t>от 7 марта 2017 г. N 95</w:t>
      </w:r>
    </w:p>
    <w:p w:rsidR="0000081C" w:rsidRDefault="0000081C">
      <w:pPr>
        <w:pStyle w:val="ConsPlusNormal"/>
        <w:ind w:firstLine="540"/>
        <w:jc w:val="both"/>
      </w:pPr>
    </w:p>
    <w:p w:rsidR="0000081C" w:rsidRDefault="0000081C">
      <w:pPr>
        <w:pStyle w:val="ConsPlusNormal"/>
        <w:jc w:val="center"/>
      </w:pPr>
      <w:bookmarkStart w:id="0" w:name="P28"/>
      <w:bookmarkEnd w:id="0"/>
      <w:r>
        <w:t>ИЗМЕНЕНИЯ,</w:t>
      </w:r>
    </w:p>
    <w:p w:rsidR="0000081C" w:rsidRDefault="0000081C">
      <w:pPr>
        <w:pStyle w:val="ConsPlusNormal"/>
        <w:jc w:val="center"/>
      </w:pPr>
      <w:r>
        <w:t>КОТОРЫЕ ВНОСЯТСЯ В ПРИЛОЖЕНИЯ N 1, N 2</w:t>
      </w:r>
      <w:proofErr w:type="gramStart"/>
      <w:r>
        <w:t xml:space="preserve"> И</w:t>
      </w:r>
      <w:proofErr w:type="gramEnd"/>
      <w:r>
        <w:t xml:space="preserve"> N 3 К</w:t>
      </w:r>
    </w:p>
    <w:p w:rsidR="0000081C" w:rsidRDefault="0000081C">
      <w:pPr>
        <w:pStyle w:val="ConsPlusNormal"/>
        <w:jc w:val="center"/>
      </w:pPr>
      <w:r>
        <w:t>ПРИКАЗУ МИНИСТЕРСТВА ЗДРАВООХРАНЕНИЯ РОССИЙСКОЙ ФЕДЕРАЦИИ</w:t>
      </w:r>
    </w:p>
    <w:p w:rsidR="0000081C" w:rsidRDefault="0000081C">
      <w:pPr>
        <w:pStyle w:val="ConsPlusNormal"/>
        <w:jc w:val="center"/>
      </w:pPr>
      <w:r>
        <w:t xml:space="preserve">ОТ 25 ОКТЯБРЯ 2012 Г. N 444 "О </w:t>
      </w:r>
      <w:proofErr w:type="gramStart"/>
      <w:r>
        <w:t>ГЛАВНЫХ</w:t>
      </w:r>
      <w:proofErr w:type="gramEnd"/>
      <w:r>
        <w:t xml:space="preserve"> ВНЕШТАТНЫХ</w:t>
      </w:r>
    </w:p>
    <w:p w:rsidR="0000081C" w:rsidRDefault="0000081C">
      <w:pPr>
        <w:pStyle w:val="ConsPlusNormal"/>
        <w:jc w:val="center"/>
      </w:pPr>
      <w:proofErr w:type="gramStart"/>
      <w:r>
        <w:t>СПЕЦИАЛИСТАХ</w:t>
      </w:r>
      <w:proofErr w:type="gramEnd"/>
      <w:r>
        <w:t xml:space="preserve"> МИНИСТЕРСТВА ЗДРАВООХРАНЕНИЯ</w:t>
      </w:r>
    </w:p>
    <w:p w:rsidR="0000081C" w:rsidRDefault="0000081C">
      <w:pPr>
        <w:pStyle w:val="ConsPlusNormal"/>
        <w:jc w:val="center"/>
      </w:pPr>
      <w:r>
        <w:t>РОССИЙСКОЙ ФЕДЕРАЦИИ"</w:t>
      </w:r>
    </w:p>
    <w:p w:rsidR="0000081C" w:rsidRDefault="0000081C">
      <w:pPr>
        <w:pStyle w:val="ConsPlusNormal"/>
        <w:jc w:val="center"/>
      </w:pPr>
    </w:p>
    <w:p w:rsidR="0000081C" w:rsidRDefault="0000081C">
      <w:pPr>
        <w:pStyle w:val="ConsPlusNormal"/>
        <w:ind w:firstLine="540"/>
        <w:jc w:val="both"/>
      </w:pPr>
      <w:r>
        <w:t>1. В приложении N 1 "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главном внештатном специалисте Министерства здравоохранения Российской Федерации" к приказу: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"6. Основными функциями главного внештатного специалиста являются: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подготовка предложений по совершенствованию соответствующей специальности </w:t>
      </w:r>
      <w:r>
        <w:lastRenderedPageBreak/>
        <w:t>(медицинского направления), в том числе в части оказания медицинской помощи;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предложений по разработке нормативных правовых и иных актов, в том числе программы государственных гарантий бесплатного оказания гражданам медицинской помощи, клинических рекомендаций (протоколов лечения); критериев оценки качества медицинской помощи;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образование, номенклатуры медицинских услуг, форм учетной и отчетной медицинской документации;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разработка паспорта специальности;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разработка проектов профессиональных стандартов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разработке и экспертизе оценочных сре</w:t>
      </w:r>
      <w:proofErr w:type="gramStart"/>
      <w:r>
        <w:t>дств дл</w:t>
      </w:r>
      <w:proofErr w:type="gramEnd"/>
      <w:r>
        <w:t>я проведения аккредитации специалистов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предложений по вопросу обеспечения системы здравоохранения специалистами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предложений по объемам целевой подготовки специалистов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разработке федеральных государственных образовательных стандартов высшего образования (специалитет, ординатура, бакалавриат, магистратура) и дополнительных профессиональных программ;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экспертной оценке материалов участников Всероссийского конкурса врачей;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методов профилактики, диагностики и лечения заболеваний, медицинской реабилитации;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методических рекомендаций по порядку кодирования и выбору первоначальной причины смерти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организация деятельности профильной комиссии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оценки эффективности деятельности главных внештатных специалистов субъектов Российской Федерации</w:t>
      </w:r>
      <w:proofErr w:type="gramEnd"/>
      <w:r>
        <w:t xml:space="preserve"> и федеральных округов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анализе показателей отчетов по формам федерального и отраслевого статистического наблюдения, предоставляемых субъектами Российской Федерации,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Start"/>
      <w:r>
        <w:t>подготовка ежегодного аналитического материала о состоянии здоровья населения, об оказании медицинской помощи населению и кадровом обеспечении по соответствующей специальности (медицинскому направлению), включая вопросы обеспеченности необходимым оборудованием, внедрения в практическую деятельность медицинских технологий, методов профилактики, диагностики и лечения заболеваний, медицинской реабилитации, определения потребности в оснащенности медицинским оборудованием в соответствии с порядками оказания медицинской помощи по соответствующей специальности (медицинскому направлению), иные проблемные</w:t>
      </w:r>
      <w:proofErr w:type="gramEnd"/>
      <w:r>
        <w:t xml:space="preserve"> вопросы и возможные пути их решения;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телемедицинских консультациях по вопросам тактики ведения сложных пациентов в медицинских организациях субъектов Российской Федерации со временем реагирования до 60 минут;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методическая помощь главным внештатным специалистам субъектов Российской Федерации и федеральных округов, медицинским организациям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участие в заседаниях коллегии Министерства по вопросам организации оказания медицинской помощи по соответствующей специальности (медицинскому направлению);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ежегодное, до 20 декабря текущего года, предоставление отчетов в Министерство о проделанной работе;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подготовка обзоров по состоянию и развитию медицинской помощи по соответствующей специальности (медицинскому направлению)</w:t>
      </w:r>
      <w:proofErr w:type="gramStart"/>
      <w:r>
        <w:t>."</w:t>
      </w:r>
      <w:proofErr w:type="gramEnd"/>
      <w:r>
        <w:t>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7</w:t>
        </w:r>
      </w:hyperlink>
      <w:r>
        <w:t xml:space="preserve"> дополнить абзацем третьим следующего содержания: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"вносить предложения по совершенствованию системы аккредитации специалистов, непрерывного медицинского и фармацевтического образования; совершенствованию системы аттестации специалистов на присвоение квалификационных категорий</w:t>
      </w:r>
      <w:proofErr w:type="gramStart"/>
      <w:r>
        <w:t>.";</w:t>
      </w:r>
      <w:proofErr w:type="gramEnd"/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"9. Главный внештатный специалист возглавляет профильную комиссию по соответствующей специальности (медицинскому направлению).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Start"/>
      <w:r>
        <w:t>В состав профильных комиссий в установленном порядке включаются главные внештатные специалисты по соответствующей специальности (медицинскому направлению) всех субъектов Российской Федерации и федеральных округов, руководители (ведущие специалисты) профильных научных организаций (в том числе национальных научно-практических медицинских центров), ведущие ученые и специалисты, представители профессиональных медицинских обществ и ассоциаций по соответствующей специальности (медицинскому направлению).</w:t>
      </w:r>
      <w:proofErr w:type="gramEnd"/>
    </w:p>
    <w:p w:rsidR="0000081C" w:rsidRDefault="0000081C">
      <w:pPr>
        <w:pStyle w:val="ConsPlusNormal"/>
        <w:spacing w:before="220"/>
        <w:ind w:firstLine="540"/>
        <w:jc w:val="both"/>
      </w:pPr>
      <w:r>
        <w:t>Главный внештатный специалист определяет по согласованию с Министерством ее состав и план работы на год.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Профильная комиссия принимает участие: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в подготовке предложений по совершенствованию соответствующей специальности (медицинского направления), в том числе в части оказания медицинской помощи;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Start"/>
      <w:r>
        <w:t>в подготовке предложений по разработке нормативных правовых и иные актов, в том числе программы государственных гарантий бесплатного оказания гражданам медицинской помощи; клинических рекомендаций (протоколов лечения); критериев оценки качества оказания медицинской помощи; порядков оказания медицинской помощи и стандартов медицинской помощи; квалификационных требований к медицинским и фармацевтическим работникам; номенклатуры специальностей специалистов, имеющих медицинское и фармацевтическое образование;</w:t>
      </w:r>
      <w:proofErr w:type="gramEnd"/>
      <w:r>
        <w:t xml:space="preserve"> номенклатуры медицинских услуг;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в подготовке предложений по совершенствованию медицинских технологий, методов профилактики, диагностики и лечения заболеваний, медицинской реабилитации;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в подготовке предложений по кадровому обеспечению системы здравоохранения по соответствующей специальности (медицинскому направлению), подготовке и повышению квалификации специалистов.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Заседания профильной комиссии проводятся по мере необходимости, но не реже двух раз в год.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Заседание профильной комиссии считается правомочным, если на нем присутствует не менее половины членов профильной комиссии.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Решения профильной комиссии принимаются большинством голосов, присутствующих на заседании. При равенстве голосов решающим является голос председателя профильной комиссии. Особое мнение члена профильной комиссии излагается в письменном виде и подписывается членом профильной комиссии.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 итогам заседания профильной комиссии оформляется протокол, который подписывает председатель профильной комиссии. Особое мнение члена профильной комиссии прилагается к протоколу заседания профильной комиссии.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Протокол заседания профильной комиссии в 3-дневный срок после проведения заседания направляется в департаменты Министерства по профилю рассматриваемых вопросов</w:t>
      </w:r>
      <w:proofErr w:type="gramStart"/>
      <w:r>
        <w:t>.";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"9.1. Из членов профильной комиссии избирается Президиум профильной комиссии по специальности (далее - Президиум).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Количественный состав Президиума определяется профильной комиссией по специальности и должен быть не менее 5 (пяти) членов.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Президиум рассматривает предложения </w:t>
      </w:r>
      <w:proofErr w:type="gramStart"/>
      <w:r>
        <w:t>по</w:t>
      </w:r>
      <w:proofErr w:type="gramEnd"/>
      <w:r>
        <w:t>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совершенствованию соответствующей специальности (медицинского направления), в том числе в части оказания медицинской помощи;</w:t>
      </w:r>
    </w:p>
    <w:p w:rsidR="0000081C" w:rsidRDefault="0000081C">
      <w:pPr>
        <w:pStyle w:val="ConsPlusNormal"/>
        <w:spacing w:before="220"/>
        <w:ind w:firstLine="540"/>
        <w:jc w:val="both"/>
      </w:pPr>
      <w:proofErr w:type="gramStart"/>
      <w:r>
        <w:t>внесению изменений в нормативные правовые и иные акты, в том числе программу государственных гарантий бесплатного оказания гражданам медицинской помощи, критерии оценки качества медицинской помощи, порядки оказания медицинской помощи по соответствующей специальности (медицинскому направлению) и стандарты медицинской помощи, клинические рекомендации; квалификационные требования к медицинским и фармацевтическим работникам, номенклатуру специальностей специалистов, имеющих медицинское и фармацевтическое образование, номенклатуру медицинских услуг;</w:t>
      </w:r>
      <w:proofErr w:type="gramEnd"/>
    </w:p>
    <w:p w:rsidR="0000081C" w:rsidRDefault="0000081C">
      <w:pPr>
        <w:pStyle w:val="ConsPlusNormal"/>
        <w:spacing w:before="220"/>
        <w:ind w:firstLine="540"/>
        <w:jc w:val="both"/>
      </w:pPr>
      <w:r>
        <w:t>совершенствованию медицинских технологий, методов профилактики, диагностики и лечения заболеваний, медицинской реабилитации;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 кадровому обеспечению системы здравоохранения по соответствующей специальности (медицинскому направлению), подготовке и повышению квалификации специалистов; совершенствованию системы аккредитации специалистов по соответствующей специальности (медицинскому направлению), развитию непрерывного медицинского образования.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Заседания Президиума проводятся по мере необходимости, но не реже двух раз в год.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Заседание Президиума считается правомочным, если на нем присутствует не менее половины его членов.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Решения Президиума принимаются большинством голосов, присутствующих на заседании. При равенстве голосов решающим является голос председателя Президиума. Особое мнение члена Президиума излагается в письменном виде и подписывается членом Президиума.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По итогам заседания Президиума оформляется протокол, который подписывает председатель Президиума. Особое мнение члена Президиума прилагается к протоколу заседания Президиума.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Протокол заседания Президиума в 3-дневный срок после проведения заседания направляется в департаменты Министерства по профилю рассматриваемых вопросов</w:t>
      </w:r>
      <w:proofErr w:type="gramStart"/>
      <w:r>
        <w:t>.".</w:t>
      </w:r>
      <w:proofErr w:type="gramEnd"/>
    </w:p>
    <w:p w:rsidR="0000081C" w:rsidRDefault="0000081C">
      <w:pPr>
        <w:pStyle w:val="ConsPlusNormal"/>
        <w:spacing w:before="220"/>
        <w:ind w:firstLine="540"/>
        <w:jc w:val="both"/>
      </w:pPr>
      <w:r>
        <w:t>2. В приложении N 2 "</w:t>
      </w:r>
      <w:hyperlink r:id="rId14" w:history="1">
        <w:r>
          <w:rPr>
            <w:color w:val="0000FF"/>
          </w:rPr>
          <w:t>Номенклатура</w:t>
        </w:r>
      </w:hyperlink>
      <w:r>
        <w:t xml:space="preserve"> главных внештатных специалистов Министерства здравоохранения Российской Федерации" к приказу: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"1. Главный внештатный специалист терапевт";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"4. Главный внештатный специалист пульмонолог";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"10. Главный внештатный специалист гематолог";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пункт 57</w:t>
        </w:r>
      </w:hyperlink>
      <w:r>
        <w:t xml:space="preserve"> изложить в следующей редакции: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"57. Главный внештатный детский специалист стоматолог";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пунктами 82, 83 следующего содержания: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"82. Главный внештатный специалист трансфузиолог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83. Главный внештатный специалист комбустиолог".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>3. В приложении N 3 "</w:t>
      </w:r>
      <w:hyperlink r:id="rId20" w:history="1">
        <w:r>
          <w:rPr>
            <w:color w:val="0000FF"/>
          </w:rPr>
          <w:t>Персональный состав</w:t>
        </w:r>
      </w:hyperlink>
      <w:r>
        <w:t xml:space="preserve"> главных внештатных специалистов Министерства здравоохранения Российской Федерации" к приказу:</w:t>
      </w:r>
    </w:p>
    <w:p w:rsidR="0000081C" w:rsidRDefault="0000081C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пункты 1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, </w:t>
      </w:r>
      <w:hyperlink r:id="rId23" w:history="1">
        <w:r>
          <w:rPr>
            <w:color w:val="0000FF"/>
          </w:rPr>
          <w:t>10</w:t>
        </w:r>
      </w:hyperlink>
      <w:r>
        <w:t xml:space="preserve">, </w:t>
      </w:r>
      <w:hyperlink r:id="rId24" w:history="1">
        <w:r>
          <w:rPr>
            <w:color w:val="0000FF"/>
          </w:rPr>
          <w:t>17</w:t>
        </w:r>
      </w:hyperlink>
      <w:r>
        <w:t xml:space="preserve">, </w:t>
      </w:r>
      <w:hyperlink r:id="rId25" w:history="1">
        <w:r>
          <w:rPr>
            <w:color w:val="0000FF"/>
          </w:rPr>
          <w:t>50</w:t>
        </w:r>
      </w:hyperlink>
      <w:r>
        <w:t xml:space="preserve">, </w:t>
      </w:r>
      <w:hyperlink r:id="rId26" w:history="1">
        <w:r>
          <w:rPr>
            <w:color w:val="0000FF"/>
          </w:rPr>
          <w:t>54</w:t>
        </w:r>
      </w:hyperlink>
      <w:r>
        <w:t xml:space="preserve">, </w:t>
      </w:r>
      <w:hyperlink r:id="rId27" w:history="1">
        <w:r>
          <w:rPr>
            <w:color w:val="0000FF"/>
          </w:rPr>
          <w:t>57</w:t>
        </w:r>
      </w:hyperlink>
      <w:r>
        <w:t xml:space="preserve"> изложить в следующей редакции:</w:t>
      </w:r>
    </w:p>
    <w:p w:rsidR="0000081C" w:rsidRDefault="0000081C">
      <w:pPr>
        <w:sectPr w:rsidR="0000081C" w:rsidSect="00371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81C" w:rsidRDefault="000008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800"/>
        <w:gridCol w:w="4680"/>
      </w:tblGrid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"1.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терапевт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Драпкина Оксана Михайловна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первый заместитель директора по научной и лечебной работе федерального государственного бюджетного учреждения "Государственный научно-исследовательский центр профилактической медицины"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пульмонолог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Авдеев Сергей Николаевич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заместитель директора федерального государственного бюджетного учреждения "Научно-исследовательский институт пульмонологии Федерального медико-биологического агентства";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гематолог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Савченко Валерий Григорьевич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генеральный директор федерального государственного бюджетного учреждения "Гематологический научный центр"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хирург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Ревишвили Амиран Шотаевич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директор федерального государственного бюджетного учреждения "Институт хирургии имени А.В.Вишневского"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детский специалист кардиолог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Школьникова Мария Александровна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научный руководитель обособленного структурного подразделения "Научно-исследовательский клинический институт педиатрии имени академика Ю.Е.Вельтищева"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Н.И.Пирогова"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детский специалист хирург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Подкаменев Алексей Владимирович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профессор кафедры хирургических болезней детского возраста федерального государственного бюджетного образовательного учреждения высшего образования "Санкт-Петербургский педиатрический медицинский университет"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детский специалист стоматолог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Климов Андрей Геннадьевич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ind w:firstLine="29"/>
            </w:pPr>
            <w:r>
              <w:t>декан стоматологического факультета федерального государственного бюджетного образовательного учреждения высшего образования "Санкт-Петербургский педиатрический медицинский университет" Министерства здравоохранения Российской Федерации"</w:t>
            </w:r>
            <w:proofErr w:type="gramStart"/>
            <w:r>
              <w:t>;"</w:t>
            </w:r>
            <w:proofErr w:type="gramEnd"/>
          </w:p>
        </w:tc>
      </w:tr>
    </w:tbl>
    <w:p w:rsidR="0000081C" w:rsidRDefault="0000081C">
      <w:pPr>
        <w:pStyle w:val="ConsPlusNormal"/>
        <w:ind w:firstLine="540"/>
        <w:jc w:val="both"/>
      </w:pPr>
    </w:p>
    <w:p w:rsidR="0000081C" w:rsidRDefault="0000081C">
      <w:pPr>
        <w:pStyle w:val="ConsPlusNormal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82, 83 следующего содержания:</w:t>
      </w:r>
    </w:p>
    <w:p w:rsidR="0000081C" w:rsidRDefault="000008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800"/>
        <w:gridCol w:w="4680"/>
      </w:tblGrid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"82.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трансфузиолог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Гапонова Татьяна Владимировна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заместитель генерального директора по трансфузиологии федерального государственного бюджетного учреждения "Гематологический научный центр" Министерства здравоохранения Российской Федерации";</w:t>
            </w:r>
          </w:p>
        </w:tc>
      </w:tr>
      <w:tr w:rsidR="0000081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Главный внештатный специалист комбустиолог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Алексеев Андрей Анатольевич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81C" w:rsidRDefault="0000081C">
            <w:pPr>
              <w:pStyle w:val="ConsPlusNormal"/>
            </w:pPr>
            <w:r>
              <w:t>заведующий кафедрой термических поражений, ран и раневой инфекции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Федерации".</w:t>
            </w:r>
          </w:p>
        </w:tc>
      </w:tr>
    </w:tbl>
    <w:p w:rsidR="0000081C" w:rsidRDefault="0000081C">
      <w:pPr>
        <w:pStyle w:val="ConsPlusNormal"/>
        <w:ind w:firstLine="540"/>
        <w:jc w:val="both"/>
      </w:pPr>
    </w:p>
    <w:p w:rsidR="0000081C" w:rsidRDefault="0000081C">
      <w:pPr>
        <w:pStyle w:val="ConsPlusNormal"/>
        <w:ind w:firstLine="540"/>
        <w:jc w:val="both"/>
      </w:pPr>
    </w:p>
    <w:p w:rsidR="0000081C" w:rsidRDefault="00000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C97" w:rsidRDefault="00F50C97">
      <w:bookmarkStart w:id="1" w:name="_GoBack"/>
      <w:bookmarkEnd w:id="1"/>
    </w:p>
    <w:sectPr w:rsidR="00F50C97" w:rsidSect="007E3D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1C"/>
    <w:rsid w:val="0000081C"/>
    <w:rsid w:val="00F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F8573DDBD6D2825E53562D871D43F7C7F78552BD5DEE8FDC39AE840E8SEmEN" TargetMode="External"/><Relationship Id="rId13" Type="http://schemas.openxmlformats.org/officeDocument/2006/relationships/hyperlink" Target="consultantplus://offline/ref=004F9501A77F3CD334B03F8573DDBD6D2825E53562D871D43F7C7F78552BD5DEE8FDC39AE842E9SEm7N" TargetMode="External"/><Relationship Id="rId18" Type="http://schemas.openxmlformats.org/officeDocument/2006/relationships/hyperlink" Target="consultantplus://offline/ref=004F9501A77F3CD334B03F8573DDBD6D2825E53562D871D43F7C7F78552BD5DEE8FDC39AE840E9SEm0N" TargetMode="External"/><Relationship Id="rId26" Type="http://schemas.openxmlformats.org/officeDocument/2006/relationships/hyperlink" Target="consultantplus://offline/ref=004F9501A77F3CD334B03F8573DDBD6D2825E53562D871D43F7C7F78552BD5DEE8FDC39AE843EFSEm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4F9501A77F3CD334B03F8573DDBD6D2825E53562D871D43F7C7F78552BD5DEE8FDC39AE843EASEm6N" TargetMode="External"/><Relationship Id="rId7" Type="http://schemas.openxmlformats.org/officeDocument/2006/relationships/hyperlink" Target="consultantplus://offline/ref=004F9501A77F3CD334B03F8573DDBD6D2825E53562D871D43F7C7F78552BD5DEE8FDC39AE842EDSEm6N" TargetMode="External"/><Relationship Id="rId12" Type="http://schemas.openxmlformats.org/officeDocument/2006/relationships/hyperlink" Target="consultantplus://offline/ref=004F9501A77F3CD334B03F8573DDBD6D2825E53562D871D43F7C7F78552BD5DEE8FDC39AE842EBSEm0N" TargetMode="External"/><Relationship Id="rId17" Type="http://schemas.openxmlformats.org/officeDocument/2006/relationships/hyperlink" Target="consultantplus://offline/ref=004F9501A77F3CD334B03F8573DDBD6D2825E53562D871D43F7C7F78552BD5DEE8FDC39AE842EESEm6N" TargetMode="External"/><Relationship Id="rId25" Type="http://schemas.openxmlformats.org/officeDocument/2006/relationships/hyperlink" Target="consultantplus://offline/ref=004F9501A77F3CD334B03F8573DDBD6D2825E53562D871D43F7C7F78552BD5DEE8FDC39AE843EESEm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4F9501A77F3CD334B03F8573DDBD6D2825E53562D871D43F7C7F78552BD5DEE8FDC39AE842EDSEm2N" TargetMode="External"/><Relationship Id="rId20" Type="http://schemas.openxmlformats.org/officeDocument/2006/relationships/hyperlink" Target="consultantplus://offline/ref=004F9501A77F3CD334B03F8573DDBD6D2825E53562D871D43F7C7F78552BD5DEE8FDC39AE840E8SEmE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F9501A77F3CD334B03F8573DDBD6D2825E53562D871D43F7C7F78552BD5DEE8FDC39AE842E9SEm7N" TargetMode="External"/><Relationship Id="rId11" Type="http://schemas.openxmlformats.org/officeDocument/2006/relationships/hyperlink" Target="consultantplus://offline/ref=004F9501A77F3CD334B03F8573DDBD6D2825E53562D871D43F7C7F78552BD5DEE8FDC39AE842EASEmEN" TargetMode="External"/><Relationship Id="rId24" Type="http://schemas.openxmlformats.org/officeDocument/2006/relationships/hyperlink" Target="consultantplus://offline/ref=004F9501A77F3CD334B03F8573DDBD6D2825E53562D871D43F7C7F78552BD5DEE8FDC39AE843E1SEm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4F9501A77F3CD334B03F8573DDBD6D2825E53562D871D43F7C7F78552BD5DEE8FDC39AE842EDSEm7N" TargetMode="External"/><Relationship Id="rId23" Type="http://schemas.openxmlformats.org/officeDocument/2006/relationships/hyperlink" Target="consultantplus://offline/ref=004F9501A77F3CD334B03F8573DDBD6D2825E53562D871D43F7C7F78552BD5DEE8FDC39AE843EASEmFN" TargetMode="External"/><Relationship Id="rId28" Type="http://schemas.openxmlformats.org/officeDocument/2006/relationships/hyperlink" Target="consultantplus://offline/ref=004F9501A77F3CD334B03F8573DDBD6D2825E53562D871D43F7C7F78552BD5DEE8FDC39AE840E8SEmEN" TargetMode="External"/><Relationship Id="rId10" Type="http://schemas.openxmlformats.org/officeDocument/2006/relationships/hyperlink" Target="consultantplus://offline/ref=004F9501A77F3CD334B03F8573DDBD6D2825E53562D871D43F7C7F78552BD5DEE8FDC39AE842E9SEmFN" TargetMode="External"/><Relationship Id="rId19" Type="http://schemas.openxmlformats.org/officeDocument/2006/relationships/hyperlink" Target="consultantplus://offline/ref=004F9501A77F3CD334B03F8573DDBD6D2825E53562D871D43F7C7F78552BD5DEE8FDC39AE842EDSEm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F9501A77F3CD334B03F8573DDBD6D2825E53562D871D43F7C7F78552BD5DEE8FDC39AE842E9SEm7N" TargetMode="External"/><Relationship Id="rId14" Type="http://schemas.openxmlformats.org/officeDocument/2006/relationships/hyperlink" Target="consultantplus://offline/ref=004F9501A77F3CD334B03F8573DDBD6D2825E53562D871D43F7C7F78552BD5DEE8FDC39AE842EDSEm6N" TargetMode="External"/><Relationship Id="rId22" Type="http://schemas.openxmlformats.org/officeDocument/2006/relationships/hyperlink" Target="consultantplus://offline/ref=004F9501A77F3CD334B03F8573DDBD6D2825E53562D871D43F7C7F78552BD5DEE8FDC39AE843EASEm5N" TargetMode="External"/><Relationship Id="rId27" Type="http://schemas.openxmlformats.org/officeDocument/2006/relationships/hyperlink" Target="consultantplus://offline/ref=004F9501A77F3CD334B03F8573DDBD6D2825E53562D871D43F7C7F78552BD5DEE8FDC39AE843EFSEm0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ЗДРАВООХРАНЕНИЯ РОССИЙСКОЙ ФЕДЕРАЦИИ</vt:lpstr>
      <vt:lpstr>Приложение</vt:lpstr>
    </vt:vector>
  </TitlesOfParts>
  <Company>Hewlett-Packard Company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</dc:creator>
  <cp:lastModifiedBy>Гапонова</cp:lastModifiedBy>
  <cp:revision>1</cp:revision>
  <dcterms:created xsi:type="dcterms:W3CDTF">2017-07-26T13:38:00Z</dcterms:created>
  <dcterms:modified xsi:type="dcterms:W3CDTF">2017-07-26T13:38:00Z</dcterms:modified>
</cp:coreProperties>
</file>