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022C6C6" w14:textId="77777777" w:rsidR="00EE59C2" w:rsidRPr="00FE2263" w:rsidRDefault="00CC5156" w:rsidP="00EE59C2">
      <w:pPr>
        <w:pStyle w:val="aff8"/>
      </w:pPr>
      <w:r w:rsidRPr="00FE2263">
        <w:rPr>
          <w:noProof/>
          <w:lang w:eastAsia="ru-RU"/>
        </w:rPr>
        <mc:AlternateContent>
          <mc:Choice Requires="wps">
            <w:drawing>
              <wp:anchor distT="0" distB="0" distL="114300" distR="114300" simplePos="0" relativeHeight="251660288" behindDoc="1" locked="0" layoutInCell="1" allowOverlap="1" wp14:anchorId="0300E40F" wp14:editId="5439BA30">
                <wp:simplePos x="0" y="0"/>
                <wp:positionH relativeFrom="column">
                  <wp:posOffset>-822960</wp:posOffset>
                </wp:positionH>
                <wp:positionV relativeFrom="paragraph">
                  <wp:posOffset>-491490</wp:posOffset>
                </wp:positionV>
                <wp:extent cx="7000875" cy="8448675"/>
                <wp:effectExtent l="0" t="0" r="9525" b="9525"/>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00875" cy="8448675"/>
                        </a:xfrm>
                        <a:prstGeom prst="rect">
                          <a:avLst/>
                        </a:prstGeom>
                        <a:solidFill>
                          <a:schemeClr val="bg1"/>
                        </a:solidFill>
                        <a:ln>
                          <a:noFill/>
                        </a:ln>
                      </wps:spPr>
                      <wps:style>
                        <a:lnRef idx="0">
                          <a:scrgbClr r="0" g="0" b="0"/>
                        </a:lnRef>
                        <a:fillRef idx="0">
                          <a:scrgbClr r="0" g="0" b="0"/>
                        </a:fillRef>
                        <a:effectRef idx="0">
                          <a:scrgbClr r="0" g="0" b="0"/>
                        </a:effectRef>
                        <a:fontRef idx="minor">
                          <a:schemeClr val="lt1"/>
                        </a:fontRef>
                      </wps:style>
                      <wps:txbx>
                        <w:txbxContent>
                          <w:p w14:paraId="47114263" w14:textId="77777777" w:rsidR="00FA741B" w:rsidRDefault="00FA741B" w:rsidP="00F8226D">
                            <w:pPr>
                              <w:jc w:val="center"/>
                            </w:pPr>
                            <w: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300E40F" id="Прямоугольник 3" o:spid="_x0000_s1026" style="position:absolute;left:0;text-align:left;margin-left:-64.8pt;margin-top:-38.7pt;width:551.25pt;height:665.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" fillcolor="white [3212]" stroked="f">
                <v:textbox>
                  <w:txbxContent>
                    <w:p w14:paraId="47114263" w14:textId="77777777" w:rsidR="00FA741B" w:rsidRDefault="00FA741B" w:rsidP="00F8226D">
                      <w:pPr>
                        <w:jc w:val="center"/>
                      </w:pPr>
                      <w:r>
                        <w:t>\9</w:t>
                      </w:r>
                    </w:p>
                  </w:txbxContent>
                </v:textbox>
              </v:rect>
            </w:pict>
          </mc:Fallback>
        </mc:AlternateContent>
      </w:r>
      <w:r w:rsidR="00F756F0" w:rsidRPr="00FE2263">
        <w:rPr>
          <w:noProof/>
          <w:lang w:eastAsia="ru-RU"/>
        </w:rPr>
        <mc:AlternateContent>
          <mc:Choice Requires="wps">
            <w:drawing>
              <wp:anchor distT="0" distB="0" distL="114300" distR="114300" simplePos="0" relativeHeight="251659264" behindDoc="1" locked="0" layoutInCell="1" allowOverlap="1" wp14:anchorId="45A899C2" wp14:editId="701F7B8B">
                <wp:simplePos x="0" y="0"/>
                <wp:positionH relativeFrom="page">
                  <wp:posOffset>-35560</wp:posOffset>
                </wp:positionH>
                <wp:positionV relativeFrom="paragraph">
                  <wp:posOffset>-1113790</wp:posOffset>
                </wp:positionV>
                <wp:extent cx="7601585" cy="11021060"/>
                <wp:effectExtent l="0" t="0" r="0" b="8890"/>
                <wp:wrapNone/>
                <wp:docPr id="4"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572C65B" id="Прямоугольник 3" o:spid="_x0000_s1026" style="position:absolute;margin-left:-2.8pt;margin-top:-87.7pt;width:598.55pt;height:867.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" fillcolor="#0b595d" stroked="f" strokeweight="1pt">
                <v:fill opacity="6682f"/>
                <v:path arrowok="t"/>
                <w10:wrap anchorx="page"/>
              </v:rect>
            </w:pict>
          </mc:Fallback>
        </mc:AlternateContent>
      </w:r>
    </w:p>
    <w:p w14:paraId="2130483D" w14:textId="77777777" w:rsidR="00EE59C2" w:rsidRPr="00FE2263" w:rsidRDefault="00EE59C2" w:rsidP="00EE59C2">
      <w:pPr>
        <w:pStyle w:val="aff8"/>
      </w:pPr>
    </w:p>
    <w:p w14:paraId="54500960" w14:textId="77777777" w:rsidR="002145F1" w:rsidRPr="00FE2263" w:rsidRDefault="002145F1" w:rsidP="002145F1"/>
    <w:p w14:paraId="1D849114" w14:textId="77777777" w:rsidR="002145F1" w:rsidRPr="00FE2263" w:rsidRDefault="002145F1" w:rsidP="002145F1"/>
    <w:p w14:paraId="01BE60A5" w14:textId="77777777" w:rsidR="002145F1" w:rsidRPr="00FE2263" w:rsidRDefault="002145F1" w:rsidP="002145F1"/>
    <w:p w14:paraId="7F8E4C24" w14:textId="77777777" w:rsidR="002145F1" w:rsidRPr="00FE2263" w:rsidRDefault="002145F1" w:rsidP="002145F1"/>
    <w:tbl>
      <w:tblPr>
        <w:tblStyle w:val="aff9"/>
        <w:tblpPr w:leftFromText="180" w:rightFromText="180" w:vertAnchor="page" w:horzAnchor="margin" w:tblpXSpec="right" w:tblpY="3781"/>
        <w:tblW w:w="9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5839"/>
      </w:tblGrid>
      <w:tr w:rsidR="00172112" w:rsidRPr="00FE2263" w14:paraId="12DF63C0" w14:textId="77777777" w:rsidTr="00172112">
        <w:tc>
          <w:tcPr>
            <w:tcW w:w="9525" w:type="dxa"/>
            <w:gridSpan w:val="2"/>
          </w:tcPr>
          <w:p w14:paraId="110BF5BF" w14:textId="77777777" w:rsidR="00172112" w:rsidRPr="00FE2263" w:rsidRDefault="00172112" w:rsidP="00172112">
            <w:pPr>
              <w:tabs>
                <w:tab w:val="left" w:pos="6135"/>
              </w:tabs>
              <w:rPr>
                <w:sz w:val="28"/>
                <w:szCs w:val="28"/>
              </w:rPr>
            </w:pPr>
            <w:r w:rsidRPr="00FE2263">
              <w:rPr>
                <w:color w:val="808080" w:themeColor="background1" w:themeShade="80"/>
              </w:rPr>
              <w:t xml:space="preserve">Клинические </w:t>
            </w:r>
            <w:r w:rsidRPr="00FE2263">
              <w:rPr>
                <w:noProof/>
                <w:color w:val="767171" w:themeColor="background2" w:themeShade="80"/>
                <w:lang w:eastAsia="ru-RU"/>
              </w:rPr>
              <w:t>рекомендации</w:t>
            </w:r>
          </w:p>
        </w:tc>
      </w:tr>
      <w:tr w:rsidR="00172112" w:rsidRPr="00FE2263" w14:paraId="6467F1E7" w14:textId="77777777" w:rsidTr="00172112">
        <w:trPr>
          <w:trHeight w:val="1907"/>
        </w:trPr>
        <w:tc>
          <w:tcPr>
            <w:tcW w:w="9525" w:type="dxa"/>
            <w:gridSpan w:val="2"/>
          </w:tcPr>
          <w:p w14:paraId="1F027B8B" w14:textId="77777777" w:rsidR="00BB2319" w:rsidRPr="00FE2263" w:rsidRDefault="00B8381E" w:rsidP="00BB2319">
            <w:pPr>
              <w:tabs>
                <w:tab w:val="left" w:pos="6135"/>
              </w:tabs>
              <w:rPr>
                <w:b/>
                <w:color w:val="000000"/>
                <w:sz w:val="44"/>
                <w:szCs w:val="44"/>
              </w:rPr>
            </w:pPr>
            <w:r w:rsidRPr="00FE2263">
              <w:rPr>
                <w:b/>
                <w:color w:val="000000"/>
                <w:sz w:val="44"/>
                <w:szCs w:val="44"/>
              </w:rPr>
              <w:t>Макроглобулинемия Вальденстрема</w:t>
            </w:r>
          </w:p>
          <w:p w14:paraId="3D4A3F37" w14:textId="44D07B27" w:rsidR="00BB2319" w:rsidRPr="00FE2263" w:rsidRDefault="00BB2319" w:rsidP="00BB2319">
            <w:pPr>
              <w:tabs>
                <w:tab w:val="left" w:pos="6135"/>
              </w:tabs>
              <w:rPr>
                <w:b/>
                <w:color w:val="000000"/>
                <w:sz w:val="44"/>
                <w:szCs w:val="44"/>
              </w:rPr>
            </w:pPr>
          </w:p>
        </w:tc>
      </w:tr>
      <w:tr w:rsidR="00221384" w:rsidRPr="00FE2263" w14:paraId="4D9E8C3C" w14:textId="77777777" w:rsidTr="00221384">
        <w:trPr>
          <w:trHeight w:val="815"/>
        </w:trPr>
        <w:tc>
          <w:tcPr>
            <w:tcW w:w="3686" w:type="dxa"/>
          </w:tcPr>
          <w:p w14:paraId="02B80B5B" w14:textId="77777777" w:rsidR="00221384" w:rsidRPr="00FE2263" w:rsidRDefault="00221384" w:rsidP="00221384">
            <w:pPr>
              <w:tabs>
                <w:tab w:val="left" w:pos="6135"/>
              </w:tabs>
              <w:spacing w:line="276" w:lineRule="auto"/>
              <w:ind w:firstLine="0"/>
              <w:jc w:val="right"/>
              <w:rPr>
                <w:szCs w:val="28"/>
              </w:rPr>
            </w:pPr>
            <w:r w:rsidRPr="00FE2263">
              <w:rPr>
                <w:color w:val="808080" w:themeColor="background1" w:themeShade="80"/>
                <w:szCs w:val="28"/>
              </w:rPr>
              <w:t xml:space="preserve">Кодирование по Международной статистической классификации болезней и проблем, связанных со здоровьем: </w:t>
            </w:r>
          </w:p>
          <w:p w14:paraId="69984CC4" w14:textId="77777777" w:rsidR="00221384" w:rsidRPr="00FE2263" w:rsidRDefault="00221384" w:rsidP="00221384">
            <w:pPr>
              <w:pStyle w:val="aff4"/>
              <w:spacing w:line="276" w:lineRule="auto"/>
              <w:ind w:firstLine="0"/>
              <w:jc w:val="right"/>
              <w:rPr>
                <w:sz w:val="24"/>
                <w:szCs w:val="28"/>
              </w:rPr>
            </w:pPr>
          </w:p>
        </w:tc>
        <w:tc>
          <w:tcPr>
            <w:tcW w:w="5839" w:type="dxa"/>
          </w:tcPr>
          <w:p w14:paraId="12C5E994" w14:textId="77777777" w:rsidR="00221384" w:rsidRPr="00FE2263" w:rsidRDefault="00B8381E" w:rsidP="00221384">
            <w:pPr>
              <w:tabs>
                <w:tab w:val="left" w:pos="6135"/>
              </w:tabs>
              <w:spacing w:line="276" w:lineRule="auto"/>
              <w:ind w:firstLine="0"/>
              <w:jc w:val="left"/>
              <w:rPr>
                <w:szCs w:val="28"/>
              </w:rPr>
            </w:pPr>
            <w:r w:rsidRPr="00FE2263">
              <w:rPr>
                <w:szCs w:val="28"/>
              </w:rPr>
              <w:t>С88.0</w:t>
            </w:r>
          </w:p>
        </w:tc>
      </w:tr>
      <w:tr w:rsidR="00221384" w:rsidRPr="00FE2263" w14:paraId="48195B08" w14:textId="77777777" w:rsidTr="00221384">
        <w:trPr>
          <w:trHeight w:val="815"/>
        </w:trPr>
        <w:tc>
          <w:tcPr>
            <w:tcW w:w="3686" w:type="dxa"/>
          </w:tcPr>
          <w:p w14:paraId="5676BFD9" w14:textId="77777777" w:rsidR="00221384" w:rsidRPr="00FE2263" w:rsidRDefault="00221384" w:rsidP="00221384">
            <w:pPr>
              <w:tabs>
                <w:tab w:val="left" w:pos="6135"/>
              </w:tabs>
              <w:spacing w:line="276" w:lineRule="auto"/>
              <w:ind w:firstLine="0"/>
              <w:jc w:val="right"/>
              <w:rPr>
                <w:color w:val="808080" w:themeColor="background1" w:themeShade="80"/>
                <w:szCs w:val="28"/>
              </w:rPr>
            </w:pPr>
            <w:r w:rsidRPr="00FE2263">
              <w:rPr>
                <w:rStyle w:val="pop-slug-vol"/>
                <w:color w:val="767171" w:themeColor="background2" w:themeShade="80"/>
                <w:szCs w:val="28"/>
              </w:rPr>
              <w:t>Возрастная группа:</w:t>
            </w:r>
            <w:r w:rsidRPr="00FE2263">
              <w:rPr>
                <w:rStyle w:val="pop-slug-vol"/>
                <w:b/>
                <w:color w:val="767171" w:themeColor="background2" w:themeShade="80"/>
                <w:szCs w:val="28"/>
              </w:rPr>
              <w:t xml:space="preserve"> </w:t>
            </w:r>
            <w:r w:rsidRPr="00FE2263">
              <w:rPr>
                <w:szCs w:val="28"/>
              </w:rPr>
              <w:t xml:space="preserve"> </w:t>
            </w:r>
          </w:p>
        </w:tc>
        <w:tc>
          <w:tcPr>
            <w:tcW w:w="5839" w:type="dxa"/>
          </w:tcPr>
          <w:p w14:paraId="24AAD0CF" w14:textId="77777777" w:rsidR="00221384" w:rsidRPr="00FE2263" w:rsidRDefault="00B8381E" w:rsidP="00221384">
            <w:pPr>
              <w:tabs>
                <w:tab w:val="left" w:pos="6135"/>
              </w:tabs>
              <w:spacing w:line="276" w:lineRule="auto"/>
              <w:ind w:firstLine="0"/>
              <w:jc w:val="left"/>
              <w:rPr>
                <w:color w:val="808080" w:themeColor="background1" w:themeShade="80"/>
                <w:szCs w:val="28"/>
              </w:rPr>
            </w:pPr>
            <w:r w:rsidRPr="00FE2263">
              <w:rPr>
                <w:color w:val="000000" w:themeColor="text1"/>
                <w:szCs w:val="28"/>
              </w:rPr>
              <w:t>Взрослые/дети</w:t>
            </w:r>
          </w:p>
        </w:tc>
      </w:tr>
      <w:tr w:rsidR="00221384" w:rsidRPr="00FE2263" w14:paraId="2A1290A9" w14:textId="77777777" w:rsidTr="00221384">
        <w:trPr>
          <w:trHeight w:val="815"/>
        </w:trPr>
        <w:tc>
          <w:tcPr>
            <w:tcW w:w="3686" w:type="dxa"/>
          </w:tcPr>
          <w:p w14:paraId="0FC626D7" w14:textId="77777777" w:rsidR="00221384" w:rsidRPr="00FE2263" w:rsidRDefault="00221384" w:rsidP="00221384">
            <w:pPr>
              <w:tabs>
                <w:tab w:val="left" w:pos="6135"/>
              </w:tabs>
              <w:spacing w:line="276" w:lineRule="auto"/>
              <w:ind w:firstLine="0"/>
              <w:jc w:val="right"/>
              <w:rPr>
                <w:color w:val="808080" w:themeColor="background1" w:themeShade="80"/>
                <w:szCs w:val="28"/>
              </w:rPr>
            </w:pPr>
            <w:r w:rsidRPr="00FE2263">
              <w:rPr>
                <w:color w:val="808080" w:themeColor="background1" w:themeShade="80"/>
              </w:rPr>
              <w:t>Год утверждения:</w:t>
            </w:r>
          </w:p>
        </w:tc>
        <w:tc>
          <w:tcPr>
            <w:tcW w:w="5839" w:type="dxa"/>
          </w:tcPr>
          <w:p w14:paraId="3FCCACEB" w14:textId="0F7F55A4" w:rsidR="00221384" w:rsidRPr="00513EDE" w:rsidRDefault="00221384" w:rsidP="00221384">
            <w:pPr>
              <w:tabs>
                <w:tab w:val="left" w:pos="6135"/>
              </w:tabs>
              <w:spacing w:line="276" w:lineRule="auto"/>
              <w:ind w:firstLine="0"/>
              <w:jc w:val="left"/>
              <w:rPr>
                <w:bCs/>
              </w:rPr>
            </w:pPr>
          </w:p>
        </w:tc>
      </w:tr>
      <w:tr w:rsidR="00172112" w:rsidRPr="00FE2263" w14:paraId="4A97513E" w14:textId="77777777" w:rsidTr="00172112">
        <w:tc>
          <w:tcPr>
            <w:tcW w:w="9525" w:type="dxa"/>
            <w:gridSpan w:val="2"/>
          </w:tcPr>
          <w:p w14:paraId="25445C58" w14:textId="77777777" w:rsidR="00172112" w:rsidRPr="00FE2263" w:rsidRDefault="00301C01" w:rsidP="00221384">
            <w:pPr>
              <w:tabs>
                <w:tab w:val="left" w:pos="6135"/>
              </w:tabs>
              <w:ind w:firstLine="0"/>
              <w:rPr>
                <w:rFonts w:cs="Times New Roman"/>
                <w:color w:val="FF0000"/>
                <w:sz w:val="20"/>
                <w:szCs w:val="20"/>
              </w:rPr>
            </w:pPr>
            <w:r w:rsidRPr="00FE2263">
              <w:rPr>
                <w:color w:val="808080" w:themeColor="background1" w:themeShade="80"/>
              </w:rPr>
              <w:t>Разработчик клинической рекомендации</w:t>
            </w:r>
            <w:r w:rsidR="00172112" w:rsidRPr="00FE2263">
              <w:rPr>
                <w:color w:val="808080" w:themeColor="background1" w:themeShade="80"/>
              </w:rPr>
              <w:t>:</w:t>
            </w:r>
            <w:r w:rsidR="00094ED6" w:rsidRPr="00FE2263">
              <w:rPr>
                <w:rFonts w:cs="Times New Roman"/>
                <w:color w:val="FF0000"/>
                <w:sz w:val="20"/>
                <w:szCs w:val="20"/>
              </w:rPr>
              <w:t xml:space="preserve"> </w:t>
            </w:r>
          </w:p>
        </w:tc>
      </w:tr>
      <w:tr w:rsidR="00172112" w:rsidRPr="00FE2263" w14:paraId="2E5615EA" w14:textId="77777777" w:rsidTr="00172112">
        <w:trPr>
          <w:trHeight w:val="4170"/>
        </w:trPr>
        <w:tc>
          <w:tcPr>
            <w:tcW w:w="9525" w:type="dxa"/>
            <w:gridSpan w:val="2"/>
          </w:tcPr>
          <w:p w14:paraId="2A1496FC" w14:textId="77777777" w:rsidR="00B8381E" w:rsidRPr="00FE2263" w:rsidRDefault="00B8381E" w:rsidP="00B8381E">
            <w:pPr>
              <w:pStyle w:val="aff8"/>
              <w:numPr>
                <w:ilvl w:val="0"/>
                <w:numId w:val="2"/>
              </w:numPr>
              <w:rPr>
                <w:b/>
                <w:sz w:val="28"/>
              </w:rPr>
            </w:pPr>
            <w:r w:rsidRPr="00FE2263">
              <w:t>Ассоциация онкологов России</w:t>
            </w:r>
          </w:p>
          <w:p w14:paraId="72F104C1" w14:textId="77777777" w:rsidR="00B8381E" w:rsidRPr="00FE2263" w:rsidRDefault="00B8381E" w:rsidP="00B8381E">
            <w:pPr>
              <w:pStyle w:val="aff8"/>
              <w:numPr>
                <w:ilvl w:val="0"/>
                <w:numId w:val="2"/>
              </w:numPr>
            </w:pPr>
            <w:r w:rsidRPr="00FE2263">
              <w:t>Российское общество онкогематологов</w:t>
            </w:r>
          </w:p>
          <w:p w14:paraId="23505DB2" w14:textId="77777777" w:rsidR="00B8381E" w:rsidRPr="00FE2263" w:rsidRDefault="00B8381E" w:rsidP="00B8381E">
            <w:pPr>
              <w:pStyle w:val="aff8"/>
              <w:numPr>
                <w:ilvl w:val="0"/>
                <w:numId w:val="2"/>
              </w:numPr>
              <w:rPr>
                <w:b/>
                <w:sz w:val="28"/>
              </w:rPr>
            </w:pPr>
            <w:r w:rsidRPr="00FE2263">
              <w:t>Национальное гематологическое общество</w:t>
            </w:r>
          </w:p>
          <w:p w14:paraId="5D27399F" w14:textId="77777777" w:rsidR="00B8381E" w:rsidRPr="00FE2263" w:rsidRDefault="00B8381E" w:rsidP="00B8381E">
            <w:pPr>
              <w:pStyle w:val="aff8"/>
              <w:numPr>
                <w:ilvl w:val="0"/>
                <w:numId w:val="2"/>
              </w:numPr>
              <w:rPr>
                <w:b/>
                <w:sz w:val="28"/>
              </w:rPr>
            </w:pPr>
            <w:r w:rsidRPr="00FE2263">
              <w:t>Национальное общество детских гематологов и онкологов</w:t>
            </w:r>
          </w:p>
          <w:p w14:paraId="44DA7F4C" w14:textId="77777777" w:rsidR="00174593" w:rsidRPr="00FE2263" w:rsidRDefault="00174593" w:rsidP="00174593">
            <w:pPr>
              <w:pStyle w:val="aff8"/>
              <w:rPr>
                <w:b/>
                <w:sz w:val="28"/>
              </w:rPr>
            </w:pPr>
          </w:p>
          <w:p w14:paraId="0D526E17" w14:textId="77777777" w:rsidR="00CC5156" w:rsidRPr="00FE2263" w:rsidRDefault="00CC5156" w:rsidP="00CC5156">
            <w:pPr>
              <w:pStyle w:val="aff8"/>
              <w:ind w:firstLine="0"/>
              <w:rPr>
                <w:b/>
                <w:sz w:val="28"/>
              </w:rPr>
            </w:pPr>
          </w:p>
        </w:tc>
      </w:tr>
    </w:tbl>
    <w:bookmarkStart w:id="1" w:name="_Toc492379891" w:displacedByCustomXml="next"/>
    <w:sdt>
      <w:sdtPr>
        <w:rPr>
          <w:rFonts w:cstheme="minorBidi"/>
          <w:b w:val="0"/>
          <w:szCs w:val="22"/>
          <w:u w:val="none"/>
        </w:rPr>
        <w:id w:val="-606890957"/>
        <w:docPartObj>
          <w:docPartGallery w:val="Table of Contents"/>
          <w:docPartUnique/>
        </w:docPartObj>
      </w:sdtPr>
      <w:sdtEndPr>
        <w:rPr>
          <w:rFonts w:cs="Times New Roman"/>
          <w:bCs/>
          <w:szCs w:val="24"/>
        </w:rPr>
      </w:sdtEndPr>
      <w:sdtContent>
        <w:p w14:paraId="37937645" w14:textId="77777777" w:rsidR="00094ED6" w:rsidRPr="00FE2263" w:rsidRDefault="00094ED6" w:rsidP="00172112">
          <w:pPr>
            <w:pStyle w:val="aff"/>
            <w:jc w:val="center"/>
            <w:rPr>
              <w:rFonts w:cstheme="minorBidi"/>
              <w:b w:val="0"/>
              <w:szCs w:val="22"/>
              <w:u w:val="none"/>
            </w:rPr>
          </w:pPr>
        </w:p>
        <w:p w14:paraId="2F2CFAC0" w14:textId="77777777" w:rsidR="00094ED6" w:rsidRPr="00FE2263" w:rsidRDefault="00094ED6">
          <w:pPr>
            <w:spacing w:line="240" w:lineRule="auto"/>
            <w:ind w:firstLine="0"/>
            <w:jc w:val="left"/>
          </w:pPr>
          <w:r w:rsidRPr="00FE2263">
            <w:rPr>
              <w:b/>
            </w:rPr>
            <w:br w:type="page"/>
          </w:r>
        </w:p>
        <w:p w14:paraId="6B9C6EBD" w14:textId="77777777" w:rsidR="00172112" w:rsidRPr="00FE2263" w:rsidRDefault="00172112" w:rsidP="00172112">
          <w:pPr>
            <w:pStyle w:val="aff"/>
            <w:jc w:val="center"/>
            <w:rPr>
              <w:sz w:val="28"/>
              <w:u w:val="none"/>
            </w:rPr>
          </w:pPr>
          <w:bookmarkStart w:id="2" w:name="_Toc11747726"/>
          <w:bookmarkStart w:id="3" w:name="_Toc66184300"/>
          <w:r w:rsidRPr="00FE2263">
            <w:rPr>
              <w:sz w:val="28"/>
              <w:u w:val="none"/>
            </w:rPr>
            <w:lastRenderedPageBreak/>
            <w:t>Оглавление</w:t>
          </w:r>
          <w:bookmarkEnd w:id="1"/>
          <w:bookmarkEnd w:id="2"/>
          <w:bookmarkEnd w:id="3"/>
        </w:p>
        <w:p w14:paraId="72F2A2CF" w14:textId="35D8E662" w:rsidR="003A26B5" w:rsidRDefault="00172112">
          <w:pPr>
            <w:pStyle w:val="1a"/>
            <w:rPr>
              <w:rFonts w:asciiTheme="minorHAnsi" w:eastAsiaTheme="minorEastAsia" w:hAnsiTheme="minorHAnsi"/>
              <w:noProof/>
              <w:szCs w:val="24"/>
              <w:lang w:eastAsia="ru-RU"/>
            </w:rPr>
          </w:pPr>
          <w:r w:rsidRPr="00FE2263">
            <w:rPr>
              <w:rFonts w:cs="Times New Roman"/>
              <w:szCs w:val="24"/>
            </w:rPr>
            <w:fldChar w:fldCharType="begin"/>
          </w:r>
          <w:r w:rsidRPr="00FE2263">
            <w:rPr>
              <w:rFonts w:cs="Times New Roman"/>
              <w:szCs w:val="24"/>
            </w:rPr>
            <w:instrText xml:space="preserve"> TOC \o "1-3" \h \z \u </w:instrText>
          </w:r>
          <w:r w:rsidRPr="00FE2263">
            <w:rPr>
              <w:rFonts w:cs="Times New Roman"/>
              <w:szCs w:val="24"/>
            </w:rPr>
            <w:fldChar w:fldCharType="separate"/>
          </w:r>
          <w:hyperlink w:anchor="_Toc66184300" w:history="1">
            <w:r w:rsidR="003A26B5" w:rsidRPr="00E166DB">
              <w:rPr>
                <w:rStyle w:val="affd"/>
                <w:noProof/>
              </w:rPr>
              <w:t>Оглавление</w:t>
            </w:r>
            <w:r w:rsidR="003A26B5">
              <w:rPr>
                <w:noProof/>
                <w:webHidden/>
              </w:rPr>
              <w:tab/>
            </w:r>
            <w:r w:rsidR="003A26B5">
              <w:rPr>
                <w:noProof/>
                <w:webHidden/>
              </w:rPr>
              <w:fldChar w:fldCharType="begin"/>
            </w:r>
            <w:r w:rsidR="003A26B5">
              <w:rPr>
                <w:noProof/>
                <w:webHidden/>
              </w:rPr>
              <w:instrText xml:space="preserve"> PAGEREF _Toc66184300 \h </w:instrText>
            </w:r>
            <w:r w:rsidR="003A26B5">
              <w:rPr>
                <w:noProof/>
                <w:webHidden/>
              </w:rPr>
            </w:r>
            <w:r w:rsidR="003A26B5">
              <w:rPr>
                <w:noProof/>
                <w:webHidden/>
              </w:rPr>
              <w:fldChar w:fldCharType="separate"/>
            </w:r>
            <w:r w:rsidR="003A26B5">
              <w:rPr>
                <w:noProof/>
                <w:webHidden/>
              </w:rPr>
              <w:t>2</w:t>
            </w:r>
            <w:r w:rsidR="003A26B5">
              <w:rPr>
                <w:noProof/>
                <w:webHidden/>
              </w:rPr>
              <w:fldChar w:fldCharType="end"/>
            </w:r>
          </w:hyperlink>
        </w:p>
        <w:p w14:paraId="615CC4BA" w14:textId="0287A7E6" w:rsidR="003A26B5" w:rsidRDefault="00F60B0B">
          <w:pPr>
            <w:pStyle w:val="1a"/>
            <w:rPr>
              <w:rFonts w:asciiTheme="minorHAnsi" w:eastAsiaTheme="minorEastAsia" w:hAnsiTheme="minorHAnsi"/>
              <w:noProof/>
              <w:szCs w:val="24"/>
              <w:lang w:eastAsia="ru-RU"/>
            </w:rPr>
          </w:pPr>
          <w:hyperlink w:anchor="_Toc66184301" w:history="1">
            <w:r w:rsidR="003A26B5" w:rsidRPr="00E166DB">
              <w:rPr>
                <w:rStyle w:val="affd"/>
                <w:noProof/>
              </w:rPr>
              <w:t>Список сокращений</w:t>
            </w:r>
            <w:r w:rsidR="003A26B5">
              <w:rPr>
                <w:noProof/>
                <w:webHidden/>
              </w:rPr>
              <w:tab/>
            </w:r>
            <w:r w:rsidR="003A26B5">
              <w:rPr>
                <w:noProof/>
                <w:webHidden/>
              </w:rPr>
              <w:fldChar w:fldCharType="begin"/>
            </w:r>
            <w:r w:rsidR="003A26B5">
              <w:rPr>
                <w:noProof/>
                <w:webHidden/>
              </w:rPr>
              <w:instrText xml:space="preserve"> PAGEREF _Toc66184301 \h </w:instrText>
            </w:r>
            <w:r w:rsidR="003A26B5">
              <w:rPr>
                <w:noProof/>
                <w:webHidden/>
              </w:rPr>
            </w:r>
            <w:r w:rsidR="003A26B5">
              <w:rPr>
                <w:noProof/>
                <w:webHidden/>
              </w:rPr>
              <w:fldChar w:fldCharType="separate"/>
            </w:r>
            <w:r w:rsidR="003A26B5">
              <w:rPr>
                <w:noProof/>
                <w:webHidden/>
              </w:rPr>
              <w:t>5</w:t>
            </w:r>
            <w:r w:rsidR="003A26B5">
              <w:rPr>
                <w:noProof/>
                <w:webHidden/>
              </w:rPr>
              <w:fldChar w:fldCharType="end"/>
            </w:r>
          </w:hyperlink>
        </w:p>
        <w:p w14:paraId="3EF3F235" w14:textId="260E1222" w:rsidR="003A26B5" w:rsidRDefault="00F60B0B">
          <w:pPr>
            <w:pStyle w:val="1a"/>
            <w:rPr>
              <w:rFonts w:asciiTheme="minorHAnsi" w:eastAsiaTheme="minorEastAsia" w:hAnsiTheme="minorHAnsi"/>
              <w:noProof/>
              <w:szCs w:val="24"/>
              <w:lang w:eastAsia="ru-RU"/>
            </w:rPr>
          </w:pPr>
          <w:hyperlink w:anchor="_Toc66184302" w:history="1">
            <w:r w:rsidR="003A26B5" w:rsidRPr="00E166DB">
              <w:rPr>
                <w:rStyle w:val="affd"/>
                <w:noProof/>
              </w:rPr>
              <w:t>Термины и определения</w:t>
            </w:r>
            <w:r w:rsidR="003A26B5">
              <w:rPr>
                <w:noProof/>
                <w:webHidden/>
              </w:rPr>
              <w:tab/>
            </w:r>
            <w:r w:rsidR="003A26B5">
              <w:rPr>
                <w:noProof/>
                <w:webHidden/>
              </w:rPr>
              <w:fldChar w:fldCharType="begin"/>
            </w:r>
            <w:r w:rsidR="003A26B5">
              <w:rPr>
                <w:noProof/>
                <w:webHidden/>
              </w:rPr>
              <w:instrText xml:space="preserve"> PAGEREF _Toc66184302 \h </w:instrText>
            </w:r>
            <w:r w:rsidR="003A26B5">
              <w:rPr>
                <w:noProof/>
                <w:webHidden/>
              </w:rPr>
            </w:r>
            <w:r w:rsidR="003A26B5">
              <w:rPr>
                <w:noProof/>
                <w:webHidden/>
              </w:rPr>
              <w:fldChar w:fldCharType="separate"/>
            </w:r>
            <w:r w:rsidR="003A26B5">
              <w:rPr>
                <w:noProof/>
                <w:webHidden/>
              </w:rPr>
              <w:t>7</w:t>
            </w:r>
            <w:r w:rsidR="003A26B5">
              <w:rPr>
                <w:noProof/>
                <w:webHidden/>
              </w:rPr>
              <w:fldChar w:fldCharType="end"/>
            </w:r>
          </w:hyperlink>
        </w:p>
        <w:p w14:paraId="2F9F9E8A" w14:textId="1F34EA97" w:rsidR="003A26B5" w:rsidRDefault="00F60B0B">
          <w:pPr>
            <w:pStyle w:val="1a"/>
            <w:rPr>
              <w:rFonts w:asciiTheme="minorHAnsi" w:eastAsiaTheme="minorEastAsia" w:hAnsiTheme="minorHAnsi"/>
              <w:noProof/>
              <w:szCs w:val="24"/>
              <w:lang w:eastAsia="ru-RU"/>
            </w:rPr>
          </w:pPr>
          <w:hyperlink w:anchor="_Toc66184303" w:history="1">
            <w:r w:rsidR="003A26B5" w:rsidRPr="00E166DB">
              <w:rPr>
                <w:rStyle w:val="affd"/>
                <w:noProof/>
              </w:rPr>
              <w:t>1. Краткая информация по заболеванию или состоянию (группе заболеваний или состояний)</w:t>
            </w:r>
            <w:r w:rsidR="003A26B5">
              <w:rPr>
                <w:noProof/>
                <w:webHidden/>
              </w:rPr>
              <w:tab/>
            </w:r>
            <w:r w:rsidR="003A26B5">
              <w:rPr>
                <w:noProof/>
                <w:webHidden/>
              </w:rPr>
              <w:fldChar w:fldCharType="begin"/>
            </w:r>
            <w:r w:rsidR="003A26B5">
              <w:rPr>
                <w:noProof/>
                <w:webHidden/>
              </w:rPr>
              <w:instrText xml:space="preserve"> PAGEREF _Toc66184303 \h </w:instrText>
            </w:r>
            <w:r w:rsidR="003A26B5">
              <w:rPr>
                <w:noProof/>
                <w:webHidden/>
              </w:rPr>
            </w:r>
            <w:r w:rsidR="003A26B5">
              <w:rPr>
                <w:noProof/>
                <w:webHidden/>
              </w:rPr>
              <w:fldChar w:fldCharType="separate"/>
            </w:r>
            <w:r w:rsidR="003A26B5">
              <w:rPr>
                <w:noProof/>
                <w:webHidden/>
              </w:rPr>
              <w:t>8</w:t>
            </w:r>
            <w:r w:rsidR="003A26B5">
              <w:rPr>
                <w:noProof/>
                <w:webHidden/>
              </w:rPr>
              <w:fldChar w:fldCharType="end"/>
            </w:r>
          </w:hyperlink>
        </w:p>
        <w:p w14:paraId="1991F252" w14:textId="22F2EB7D" w:rsidR="003A26B5" w:rsidRDefault="00F60B0B">
          <w:pPr>
            <w:pStyle w:val="21"/>
            <w:rPr>
              <w:rFonts w:asciiTheme="minorHAnsi" w:eastAsiaTheme="minorEastAsia" w:hAnsiTheme="minorHAnsi" w:cstheme="minorBidi"/>
              <w:noProof/>
              <w:sz w:val="24"/>
              <w:szCs w:val="24"/>
              <w:lang w:eastAsia="ru-RU"/>
            </w:rPr>
          </w:pPr>
          <w:hyperlink w:anchor="_Toc66184304" w:history="1">
            <w:r w:rsidR="003A26B5" w:rsidRPr="00E166DB">
              <w:rPr>
                <w:rStyle w:val="affd"/>
                <w:noProof/>
              </w:rPr>
              <w:t>1.1 Определение заболевания или состояния (группы заболеваний или состояний)</w:t>
            </w:r>
            <w:r w:rsidR="003A26B5">
              <w:rPr>
                <w:noProof/>
                <w:webHidden/>
              </w:rPr>
              <w:tab/>
            </w:r>
            <w:r w:rsidR="003A26B5">
              <w:rPr>
                <w:noProof/>
                <w:webHidden/>
              </w:rPr>
              <w:fldChar w:fldCharType="begin"/>
            </w:r>
            <w:r w:rsidR="003A26B5">
              <w:rPr>
                <w:noProof/>
                <w:webHidden/>
              </w:rPr>
              <w:instrText xml:space="preserve"> PAGEREF _Toc66184304 \h </w:instrText>
            </w:r>
            <w:r w:rsidR="003A26B5">
              <w:rPr>
                <w:noProof/>
                <w:webHidden/>
              </w:rPr>
            </w:r>
            <w:r w:rsidR="003A26B5">
              <w:rPr>
                <w:noProof/>
                <w:webHidden/>
              </w:rPr>
              <w:fldChar w:fldCharType="separate"/>
            </w:r>
            <w:r w:rsidR="003A26B5">
              <w:rPr>
                <w:noProof/>
                <w:webHidden/>
              </w:rPr>
              <w:t>8</w:t>
            </w:r>
            <w:r w:rsidR="003A26B5">
              <w:rPr>
                <w:noProof/>
                <w:webHidden/>
              </w:rPr>
              <w:fldChar w:fldCharType="end"/>
            </w:r>
          </w:hyperlink>
        </w:p>
        <w:p w14:paraId="0F09F3A2" w14:textId="38FCB28A" w:rsidR="003A26B5" w:rsidRDefault="00F60B0B">
          <w:pPr>
            <w:pStyle w:val="21"/>
            <w:rPr>
              <w:rFonts w:asciiTheme="minorHAnsi" w:eastAsiaTheme="minorEastAsia" w:hAnsiTheme="minorHAnsi" w:cstheme="minorBidi"/>
              <w:noProof/>
              <w:sz w:val="24"/>
              <w:szCs w:val="24"/>
              <w:lang w:eastAsia="ru-RU"/>
            </w:rPr>
          </w:pPr>
          <w:hyperlink w:anchor="_Toc66184305" w:history="1">
            <w:r w:rsidR="003A26B5" w:rsidRPr="00E166DB">
              <w:rPr>
                <w:rStyle w:val="affd"/>
                <w:noProof/>
              </w:rPr>
              <w:t>1.2 Этиология и патогенез заболевания или состояния (группы заболеваний или состояний)</w:t>
            </w:r>
            <w:r w:rsidR="003A26B5">
              <w:rPr>
                <w:noProof/>
                <w:webHidden/>
              </w:rPr>
              <w:tab/>
            </w:r>
            <w:r w:rsidR="003A26B5">
              <w:rPr>
                <w:noProof/>
                <w:webHidden/>
              </w:rPr>
              <w:fldChar w:fldCharType="begin"/>
            </w:r>
            <w:r w:rsidR="003A26B5">
              <w:rPr>
                <w:noProof/>
                <w:webHidden/>
              </w:rPr>
              <w:instrText xml:space="preserve"> PAGEREF _Toc66184305 \h </w:instrText>
            </w:r>
            <w:r w:rsidR="003A26B5">
              <w:rPr>
                <w:noProof/>
                <w:webHidden/>
              </w:rPr>
            </w:r>
            <w:r w:rsidR="003A26B5">
              <w:rPr>
                <w:noProof/>
                <w:webHidden/>
              </w:rPr>
              <w:fldChar w:fldCharType="separate"/>
            </w:r>
            <w:r w:rsidR="003A26B5">
              <w:rPr>
                <w:noProof/>
                <w:webHidden/>
              </w:rPr>
              <w:t>8</w:t>
            </w:r>
            <w:r w:rsidR="003A26B5">
              <w:rPr>
                <w:noProof/>
                <w:webHidden/>
              </w:rPr>
              <w:fldChar w:fldCharType="end"/>
            </w:r>
          </w:hyperlink>
        </w:p>
        <w:p w14:paraId="0BD4380A" w14:textId="7AD1A27B" w:rsidR="003A26B5" w:rsidRDefault="00F60B0B">
          <w:pPr>
            <w:pStyle w:val="21"/>
            <w:rPr>
              <w:rFonts w:asciiTheme="minorHAnsi" w:eastAsiaTheme="minorEastAsia" w:hAnsiTheme="minorHAnsi" w:cstheme="minorBidi"/>
              <w:noProof/>
              <w:sz w:val="24"/>
              <w:szCs w:val="24"/>
              <w:lang w:eastAsia="ru-RU"/>
            </w:rPr>
          </w:pPr>
          <w:hyperlink w:anchor="_Toc66184306" w:history="1">
            <w:r w:rsidR="003A26B5" w:rsidRPr="00E166DB">
              <w:rPr>
                <w:rStyle w:val="affd"/>
                <w:noProof/>
              </w:rPr>
              <w:t>1.3 Эпидемиология заболевания или состояния (группы заболеваний или состояний)</w:t>
            </w:r>
            <w:r w:rsidR="003A26B5">
              <w:rPr>
                <w:noProof/>
                <w:webHidden/>
              </w:rPr>
              <w:tab/>
            </w:r>
            <w:r w:rsidR="003A26B5">
              <w:rPr>
                <w:noProof/>
                <w:webHidden/>
              </w:rPr>
              <w:fldChar w:fldCharType="begin"/>
            </w:r>
            <w:r w:rsidR="003A26B5">
              <w:rPr>
                <w:noProof/>
                <w:webHidden/>
              </w:rPr>
              <w:instrText xml:space="preserve"> PAGEREF _Toc66184306 \h </w:instrText>
            </w:r>
            <w:r w:rsidR="003A26B5">
              <w:rPr>
                <w:noProof/>
                <w:webHidden/>
              </w:rPr>
            </w:r>
            <w:r w:rsidR="003A26B5">
              <w:rPr>
                <w:noProof/>
                <w:webHidden/>
              </w:rPr>
              <w:fldChar w:fldCharType="separate"/>
            </w:r>
            <w:r w:rsidR="003A26B5">
              <w:rPr>
                <w:noProof/>
                <w:webHidden/>
              </w:rPr>
              <w:t>8</w:t>
            </w:r>
            <w:r w:rsidR="003A26B5">
              <w:rPr>
                <w:noProof/>
                <w:webHidden/>
              </w:rPr>
              <w:fldChar w:fldCharType="end"/>
            </w:r>
          </w:hyperlink>
        </w:p>
        <w:p w14:paraId="67769539" w14:textId="75F5FA97" w:rsidR="003A26B5" w:rsidRDefault="00F60B0B">
          <w:pPr>
            <w:pStyle w:val="21"/>
            <w:rPr>
              <w:rFonts w:asciiTheme="minorHAnsi" w:eastAsiaTheme="minorEastAsia" w:hAnsiTheme="minorHAnsi" w:cstheme="minorBidi"/>
              <w:noProof/>
              <w:sz w:val="24"/>
              <w:szCs w:val="24"/>
              <w:lang w:eastAsia="ru-RU"/>
            </w:rPr>
          </w:pPr>
          <w:hyperlink w:anchor="_Toc66184307" w:history="1">
            <w:r w:rsidR="003A26B5" w:rsidRPr="00E166DB">
              <w:rPr>
                <w:rStyle w:val="affd"/>
                <w:noProof/>
              </w:rPr>
              <w:t>1.4 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3A26B5">
              <w:rPr>
                <w:noProof/>
                <w:webHidden/>
              </w:rPr>
              <w:tab/>
            </w:r>
            <w:r w:rsidR="003A26B5">
              <w:rPr>
                <w:noProof/>
                <w:webHidden/>
              </w:rPr>
              <w:fldChar w:fldCharType="begin"/>
            </w:r>
            <w:r w:rsidR="003A26B5">
              <w:rPr>
                <w:noProof/>
                <w:webHidden/>
              </w:rPr>
              <w:instrText xml:space="preserve"> PAGEREF _Toc66184307 \h </w:instrText>
            </w:r>
            <w:r w:rsidR="003A26B5">
              <w:rPr>
                <w:noProof/>
                <w:webHidden/>
              </w:rPr>
            </w:r>
            <w:r w:rsidR="003A26B5">
              <w:rPr>
                <w:noProof/>
                <w:webHidden/>
              </w:rPr>
              <w:fldChar w:fldCharType="separate"/>
            </w:r>
            <w:r w:rsidR="003A26B5">
              <w:rPr>
                <w:noProof/>
                <w:webHidden/>
              </w:rPr>
              <w:t>8</w:t>
            </w:r>
            <w:r w:rsidR="003A26B5">
              <w:rPr>
                <w:noProof/>
                <w:webHidden/>
              </w:rPr>
              <w:fldChar w:fldCharType="end"/>
            </w:r>
          </w:hyperlink>
        </w:p>
        <w:p w14:paraId="4B479162" w14:textId="1850A2EE" w:rsidR="003A26B5" w:rsidRDefault="00F60B0B">
          <w:pPr>
            <w:pStyle w:val="21"/>
            <w:rPr>
              <w:rFonts w:asciiTheme="minorHAnsi" w:eastAsiaTheme="minorEastAsia" w:hAnsiTheme="minorHAnsi" w:cstheme="minorBidi"/>
              <w:noProof/>
              <w:sz w:val="24"/>
              <w:szCs w:val="24"/>
              <w:lang w:eastAsia="ru-RU"/>
            </w:rPr>
          </w:pPr>
          <w:hyperlink w:anchor="_Toc66184308" w:history="1">
            <w:r w:rsidR="003A26B5" w:rsidRPr="00E166DB">
              <w:rPr>
                <w:rStyle w:val="affd"/>
                <w:noProof/>
              </w:rPr>
              <w:t>1.5 Классификация заболевания или состояния (группы заболеваний или состояний)</w:t>
            </w:r>
            <w:r w:rsidR="003A26B5">
              <w:rPr>
                <w:noProof/>
                <w:webHidden/>
              </w:rPr>
              <w:tab/>
            </w:r>
            <w:r w:rsidR="003A26B5">
              <w:rPr>
                <w:noProof/>
                <w:webHidden/>
              </w:rPr>
              <w:fldChar w:fldCharType="begin"/>
            </w:r>
            <w:r w:rsidR="003A26B5">
              <w:rPr>
                <w:noProof/>
                <w:webHidden/>
              </w:rPr>
              <w:instrText xml:space="preserve"> PAGEREF _Toc66184308 \h </w:instrText>
            </w:r>
            <w:r w:rsidR="003A26B5">
              <w:rPr>
                <w:noProof/>
                <w:webHidden/>
              </w:rPr>
            </w:r>
            <w:r w:rsidR="003A26B5">
              <w:rPr>
                <w:noProof/>
                <w:webHidden/>
              </w:rPr>
              <w:fldChar w:fldCharType="separate"/>
            </w:r>
            <w:r w:rsidR="003A26B5">
              <w:rPr>
                <w:noProof/>
                <w:webHidden/>
              </w:rPr>
              <w:t>8</w:t>
            </w:r>
            <w:r w:rsidR="003A26B5">
              <w:rPr>
                <w:noProof/>
                <w:webHidden/>
              </w:rPr>
              <w:fldChar w:fldCharType="end"/>
            </w:r>
          </w:hyperlink>
        </w:p>
        <w:p w14:paraId="13A1491A" w14:textId="1FA49A16" w:rsidR="003A26B5" w:rsidRDefault="00F60B0B">
          <w:pPr>
            <w:pStyle w:val="21"/>
            <w:rPr>
              <w:rFonts w:asciiTheme="minorHAnsi" w:eastAsiaTheme="minorEastAsia" w:hAnsiTheme="minorHAnsi" w:cstheme="minorBidi"/>
              <w:noProof/>
              <w:sz w:val="24"/>
              <w:szCs w:val="24"/>
              <w:lang w:eastAsia="ru-RU"/>
            </w:rPr>
          </w:pPr>
          <w:hyperlink w:anchor="_Toc66184309" w:history="1">
            <w:r w:rsidR="003A26B5" w:rsidRPr="00E166DB">
              <w:rPr>
                <w:rStyle w:val="affd"/>
                <w:noProof/>
              </w:rPr>
              <w:t>1.6 Клиническая картина заболевания или состояния (группы заболеваний или состояний)</w:t>
            </w:r>
            <w:r w:rsidR="003A26B5">
              <w:rPr>
                <w:noProof/>
                <w:webHidden/>
              </w:rPr>
              <w:tab/>
            </w:r>
            <w:r w:rsidR="003A26B5">
              <w:rPr>
                <w:noProof/>
                <w:webHidden/>
              </w:rPr>
              <w:fldChar w:fldCharType="begin"/>
            </w:r>
            <w:r w:rsidR="003A26B5">
              <w:rPr>
                <w:noProof/>
                <w:webHidden/>
              </w:rPr>
              <w:instrText xml:space="preserve"> PAGEREF _Toc66184309 \h </w:instrText>
            </w:r>
            <w:r w:rsidR="003A26B5">
              <w:rPr>
                <w:noProof/>
                <w:webHidden/>
              </w:rPr>
            </w:r>
            <w:r w:rsidR="003A26B5">
              <w:rPr>
                <w:noProof/>
                <w:webHidden/>
              </w:rPr>
              <w:fldChar w:fldCharType="separate"/>
            </w:r>
            <w:r w:rsidR="003A26B5">
              <w:rPr>
                <w:noProof/>
                <w:webHidden/>
              </w:rPr>
              <w:t>8</w:t>
            </w:r>
            <w:r w:rsidR="003A26B5">
              <w:rPr>
                <w:noProof/>
                <w:webHidden/>
              </w:rPr>
              <w:fldChar w:fldCharType="end"/>
            </w:r>
          </w:hyperlink>
        </w:p>
        <w:p w14:paraId="2D7E1E86" w14:textId="4D9914A2" w:rsidR="003A26B5" w:rsidRDefault="00F60B0B">
          <w:pPr>
            <w:pStyle w:val="1a"/>
            <w:rPr>
              <w:rFonts w:asciiTheme="minorHAnsi" w:eastAsiaTheme="minorEastAsia" w:hAnsiTheme="minorHAnsi"/>
              <w:noProof/>
              <w:szCs w:val="24"/>
              <w:lang w:eastAsia="ru-RU"/>
            </w:rPr>
          </w:pPr>
          <w:hyperlink w:anchor="_Toc66184310" w:history="1">
            <w:r w:rsidR="003A26B5" w:rsidRPr="00E166DB">
              <w:rPr>
                <w:rStyle w:val="affd"/>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3A26B5">
              <w:rPr>
                <w:noProof/>
                <w:webHidden/>
              </w:rPr>
              <w:tab/>
            </w:r>
            <w:r w:rsidR="003A26B5">
              <w:rPr>
                <w:noProof/>
                <w:webHidden/>
              </w:rPr>
              <w:fldChar w:fldCharType="begin"/>
            </w:r>
            <w:r w:rsidR="003A26B5">
              <w:rPr>
                <w:noProof/>
                <w:webHidden/>
              </w:rPr>
              <w:instrText xml:space="preserve"> PAGEREF _Toc66184310 \h </w:instrText>
            </w:r>
            <w:r w:rsidR="003A26B5">
              <w:rPr>
                <w:noProof/>
                <w:webHidden/>
              </w:rPr>
            </w:r>
            <w:r w:rsidR="003A26B5">
              <w:rPr>
                <w:noProof/>
                <w:webHidden/>
              </w:rPr>
              <w:fldChar w:fldCharType="separate"/>
            </w:r>
            <w:r w:rsidR="003A26B5">
              <w:rPr>
                <w:noProof/>
                <w:webHidden/>
              </w:rPr>
              <w:t>9</w:t>
            </w:r>
            <w:r w:rsidR="003A26B5">
              <w:rPr>
                <w:noProof/>
                <w:webHidden/>
              </w:rPr>
              <w:fldChar w:fldCharType="end"/>
            </w:r>
          </w:hyperlink>
        </w:p>
        <w:p w14:paraId="5A65B75F" w14:textId="04C1C6EA" w:rsidR="003A26B5" w:rsidRDefault="00F60B0B">
          <w:pPr>
            <w:pStyle w:val="21"/>
            <w:rPr>
              <w:rFonts w:asciiTheme="minorHAnsi" w:eastAsiaTheme="minorEastAsia" w:hAnsiTheme="minorHAnsi" w:cstheme="minorBidi"/>
              <w:noProof/>
              <w:sz w:val="24"/>
              <w:szCs w:val="24"/>
              <w:lang w:eastAsia="ru-RU"/>
            </w:rPr>
          </w:pPr>
          <w:hyperlink w:anchor="_Toc66184311" w:history="1">
            <w:r w:rsidR="003A26B5" w:rsidRPr="00E166DB">
              <w:rPr>
                <w:rStyle w:val="affd"/>
                <w:noProof/>
              </w:rPr>
              <w:t>2.1 Жалобы и анамнез</w:t>
            </w:r>
            <w:r w:rsidR="003A26B5">
              <w:rPr>
                <w:noProof/>
                <w:webHidden/>
              </w:rPr>
              <w:tab/>
            </w:r>
            <w:r w:rsidR="003A26B5">
              <w:rPr>
                <w:noProof/>
                <w:webHidden/>
              </w:rPr>
              <w:fldChar w:fldCharType="begin"/>
            </w:r>
            <w:r w:rsidR="003A26B5">
              <w:rPr>
                <w:noProof/>
                <w:webHidden/>
              </w:rPr>
              <w:instrText xml:space="preserve"> PAGEREF _Toc66184311 \h </w:instrText>
            </w:r>
            <w:r w:rsidR="003A26B5">
              <w:rPr>
                <w:noProof/>
                <w:webHidden/>
              </w:rPr>
            </w:r>
            <w:r w:rsidR="003A26B5">
              <w:rPr>
                <w:noProof/>
                <w:webHidden/>
              </w:rPr>
              <w:fldChar w:fldCharType="separate"/>
            </w:r>
            <w:r w:rsidR="003A26B5">
              <w:rPr>
                <w:noProof/>
                <w:webHidden/>
              </w:rPr>
              <w:t>9</w:t>
            </w:r>
            <w:r w:rsidR="003A26B5">
              <w:rPr>
                <w:noProof/>
                <w:webHidden/>
              </w:rPr>
              <w:fldChar w:fldCharType="end"/>
            </w:r>
          </w:hyperlink>
        </w:p>
        <w:p w14:paraId="0B38964D" w14:textId="4F1E05DB" w:rsidR="003A26B5" w:rsidRDefault="00F60B0B">
          <w:pPr>
            <w:pStyle w:val="21"/>
            <w:rPr>
              <w:rFonts w:asciiTheme="minorHAnsi" w:eastAsiaTheme="minorEastAsia" w:hAnsiTheme="minorHAnsi" w:cstheme="minorBidi"/>
              <w:noProof/>
              <w:sz w:val="24"/>
              <w:szCs w:val="24"/>
              <w:lang w:eastAsia="ru-RU"/>
            </w:rPr>
          </w:pPr>
          <w:hyperlink w:anchor="_Toc66184312" w:history="1">
            <w:r w:rsidR="003A26B5" w:rsidRPr="00E166DB">
              <w:rPr>
                <w:rStyle w:val="affd"/>
                <w:noProof/>
              </w:rPr>
              <w:t>2.2 Физикальное обследование</w:t>
            </w:r>
            <w:r w:rsidR="003A26B5">
              <w:rPr>
                <w:noProof/>
                <w:webHidden/>
              </w:rPr>
              <w:tab/>
            </w:r>
            <w:r w:rsidR="003A26B5">
              <w:rPr>
                <w:noProof/>
                <w:webHidden/>
              </w:rPr>
              <w:fldChar w:fldCharType="begin"/>
            </w:r>
            <w:r w:rsidR="003A26B5">
              <w:rPr>
                <w:noProof/>
                <w:webHidden/>
              </w:rPr>
              <w:instrText xml:space="preserve"> PAGEREF _Toc66184312 \h </w:instrText>
            </w:r>
            <w:r w:rsidR="003A26B5">
              <w:rPr>
                <w:noProof/>
                <w:webHidden/>
              </w:rPr>
            </w:r>
            <w:r w:rsidR="003A26B5">
              <w:rPr>
                <w:noProof/>
                <w:webHidden/>
              </w:rPr>
              <w:fldChar w:fldCharType="separate"/>
            </w:r>
            <w:r w:rsidR="003A26B5">
              <w:rPr>
                <w:noProof/>
                <w:webHidden/>
              </w:rPr>
              <w:t>10</w:t>
            </w:r>
            <w:r w:rsidR="003A26B5">
              <w:rPr>
                <w:noProof/>
                <w:webHidden/>
              </w:rPr>
              <w:fldChar w:fldCharType="end"/>
            </w:r>
          </w:hyperlink>
        </w:p>
        <w:p w14:paraId="14EAB2D6" w14:textId="0CA9DFFF" w:rsidR="003A26B5" w:rsidRDefault="00F60B0B">
          <w:pPr>
            <w:pStyle w:val="21"/>
            <w:rPr>
              <w:rFonts w:asciiTheme="minorHAnsi" w:eastAsiaTheme="minorEastAsia" w:hAnsiTheme="minorHAnsi" w:cstheme="minorBidi"/>
              <w:noProof/>
              <w:sz w:val="24"/>
              <w:szCs w:val="24"/>
              <w:lang w:eastAsia="ru-RU"/>
            </w:rPr>
          </w:pPr>
          <w:hyperlink w:anchor="_Toc66184313" w:history="1">
            <w:r w:rsidR="003A26B5" w:rsidRPr="00E166DB">
              <w:rPr>
                <w:rStyle w:val="affd"/>
                <w:noProof/>
              </w:rPr>
              <w:t>2.3 Лабораторные диагностические исследования</w:t>
            </w:r>
            <w:r w:rsidR="003A26B5">
              <w:rPr>
                <w:noProof/>
                <w:webHidden/>
              </w:rPr>
              <w:tab/>
            </w:r>
            <w:r w:rsidR="003A26B5">
              <w:rPr>
                <w:noProof/>
                <w:webHidden/>
              </w:rPr>
              <w:fldChar w:fldCharType="begin"/>
            </w:r>
            <w:r w:rsidR="003A26B5">
              <w:rPr>
                <w:noProof/>
                <w:webHidden/>
              </w:rPr>
              <w:instrText xml:space="preserve"> PAGEREF _Toc66184313 \h </w:instrText>
            </w:r>
            <w:r w:rsidR="003A26B5">
              <w:rPr>
                <w:noProof/>
                <w:webHidden/>
              </w:rPr>
            </w:r>
            <w:r w:rsidR="003A26B5">
              <w:rPr>
                <w:noProof/>
                <w:webHidden/>
              </w:rPr>
              <w:fldChar w:fldCharType="separate"/>
            </w:r>
            <w:r w:rsidR="003A26B5">
              <w:rPr>
                <w:noProof/>
                <w:webHidden/>
              </w:rPr>
              <w:t>10</w:t>
            </w:r>
            <w:r w:rsidR="003A26B5">
              <w:rPr>
                <w:noProof/>
                <w:webHidden/>
              </w:rPr>
              <w:fldChar w:fldCharType="end"/>
            </w:r>
          </w:hyperlink>
        </w:p>
        <w:p w14:paraId="0ADB6B53" w14:textId="5C07666F" w:rsidR="003A26B5" w:rsidRDefault="00F60B0B">
          <w:pPr>
            <w:pStyle w:val="21"/>
            <w:rPr>
              <w:rFonts w:asciiTheme="minorHAnsi" w:eastAsiaTheme="minorEastAsia" w:hAnsiTheme="minorHAnsi" w:cstheme="minorBidi"/>
              <w:noProof/>
              <w:sz w:val="24"/>
              <w:szCs w:val="24"/>
              <w:lang w:eastAsia="ru-RU"/>
            </w:rPr>
          </w:pPr>
          <w:hyperlink w:anchor="_Toc66184314" w:history="1">
            <w:r w:rsidR="003A26B5" w:rsidRPr="00E166DB">
              <w:rPr>
                <w:rStyle w:val="affd"/>
                <w:noProof/>
              </w:rPr>
              <w:t>2.4 Инструментальные диагностические исследования</w:t>
            </w:r>
            <w:r w:rsidR="003A26B5">
              <w:rPr>
                <w:noProof/>
                <w:webHidden/>
              </w:rPr>
              <w:tab/>
            </w:r>
            <w:r w:rsidR="003A26B5">
              <w:rPr>
                <w:noProof/>
                <w:webHidden/>
              </w:rPr>
              <w:fldChar w:fldCharType="begin"/>
            </w:r>
            <w:r w:rsidR="003A26B5">
              <w:rPr>
                <w:noProof/>
                <w:webHidden/>
              </w:rPr>
              <w:instrText xml:space="preserve"> PAGEREF _Toc66184314 \h </w:instrText>
            </w:r>
            <w:r w:rsidR="003A26B5">
              <w:rPr>
                <w:noProof/>
                <w:webHidden/>
              </w:rPr>
            </w:r>
            <w:r w:rsidR="003A26B5">
              <w:rPr>
                <w:noProof/>
                <w:webHidden/>
              </w:rPr>
              <w:fldChar w:fldCharType="separate"/>
            </w:r>
            <w:r w:rsidR="003A26B5">
              <w:rPr>
                <w:noProof/>
                <w:webHidden/>
              </w:rPr>
              <w:t>12</w:t>
            </w:r>
            <w:r w:rsidR="003A26B5">
              <w:rPr>
                <w:noProof/>
                <w:webHidden/>
              </w:rPr>
              <w:fldChar w:fldCharType="end"/>
            </w:r>
          </w:hyperlink>
        </w:p>
        <w:p w14:paraId="1EB10FBE" w14:textId="51D87462" w:rsidR="003A26B5" w:rsidRDefault="00F60B0B">
          <w:pPr>
            <w:pStyle w:val="21"/>
            <w:rPr>
              <w:rFonts w:asciiTheme="minorHAnsi" w:eastAsiaTheme="minorEastAsia" w:hAnsiTheme="minorHAnsi" w:cstheme="minorBidi"/>
              <w:noProof/>
              <w:sz w:val="24"/>
              <w:szCs w:val="24"/>
              <w:lang w:eastAsia="ru-RU"/>
            </w:rPr>
          </w:pPr>
          <w:hyperlink w:anchor="_Toc66184315" w:history="1">
            <w:r w:rsidR="003A26B5" w:rsidRPr="00E166DB">
              <w:rPr>
                <w:rStyle w:val="affd"/>
                <w:noProof/>
              </w:rPr>
              <w:t>2.5 Иные диагностические исследования</w:t>
            </w:r>
            <w:r w:rsidR="003A26B5">
              <w:rPr>
                <w:noProof/>
                <w:webHidden/>
              </w:rPr>
              <w:tab/>
            </w:r>
            <w:r w:rsidR="003A26B5">
              <w:rPr>
                <w:noProof/>
                <w:webHidden/>
              </w:rPr>
              <w:fldChar w:fldCharType="begin"/>
            </w:r>
            <w:r w:rsidR="003A26B5">
              <w:rPr>
                <w:noProof/>
                <w:webHidden/>
              </w:rPr>
              <w:instrText xml:space="preserve"> PAGEREF _Toc66184315 \h </w:instrText>
            </w:r>
            <w:r w:rsidR="003A26B5">
              <w:rPr>
                <w:noProof/>
                <w:webHidden/>
              </w:rPr>
            </w:r>
            <w:r w:rsidR="003A26B5">
              <w:rPr>
                <w:noProof/>
                <w:webHidden/>
              </w:rPr>
              <w:fldChar w:fldCharType="separate"/>
            </w:r>
            <w:r w:rsidR="003A26B5">
              <w:rPr>
                <w:noProof/>
                <w:webHidden/>
              </w:rPr>
              <w:t>13</w:t>
            </w:r>
            <w:r w:rsidR="003A26B5">
              <w:rPr>
                <w:noProof/>
                <w:webHidden/>
              </w:rPr>
              <w:fldChar w:fldCharType="end"/>
            </w:r>
          </w:hyperlink>
        </w:p>
        <w:p w14:paraId="09B5B588" w14:textId="478B6F4F" w:rsidR="003A26B5" w:rsidRDefault="00F60B0B">
          <w:pPr>
            <w:pStyle w:val="1a"/>
            <w:rPr>
              <w:rFonts w:asciiTheme="minorHAnsi" w:eastAsiaTheme="minorEastAsia" w:hAnsiTheme="minorHAnsi"/>
              <w:noProof/>
              <w:szCs w:val="24"/>
              <w:lang w:eastAsia="ru-RU"/>
            </w:rPr>
          </w:pPr>
          <w:hyperlink w:anchor="_Toc66184316" w:history="1">
            <w:r w:rsidR="003A26B5" w:rsidRPr="00E166DB">
              <w:rPr>
                <w:rStyle w:val="affd"/>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3A26B5">
              <w:rPr>
                <w:noProof/>
                <w:webHidden/>
              </w:rPr>
              <w:tab/>
            </w:r>
            <w:r w:rsidR="003A26B5">
              <w:rPr>
                <w:noProof/>
                <w:webHidden/>
              </w:rPr>
              <w:fldChar w:fldCharType="begin"/>
            </w:r>
            <w:r w:rsidR="003A26B5">
              <w:rPr>
                <w:noProof/>
                <w:webHidden/>
              </w:rPr>
              <w:instrText xml:space="preserve"> PAGEREF _Toc66184316 \h </w:instrText>
            </w:r>
            <w:r w:rsidR="003A26B5">
              <w:rPr>
                <w:noProof/>
                <w:webHidden/>
              </w:rPr>
            </w:r>
            <w:r w:rsidR="003A26B5">
              <w:rPr>
                <w:noProof/>
                <w:webHidden/>
              </w:rPr>
              <w:fldChar w:fldCharType="separate"/>
            </w:r>
            <w:r w:rsidR="003A26B5">
              <w:rPr>
                <w:noProof/>
                <w:webHidden/>
              </w:rPr>
              <w:t>15</w:t>
            </w:r>
            <w:r w:rsidR="003A26B5">
              <w:rPr>
                <w:noProof/>
                <w:webHidden/>
              </w:rPr>
              <w:fldChar w:fldCharType="end"/>
            </w:r>
          </w:hyperlink>
        </w:p>
        <w:p w14:paraId="1B01DD27" w14:textId="755CC90E" w:rsidR="003A26B5" w:rsidRDefault="00F60B0B">
          <w:pPr>
            <w:pStyle w:val="21"/>
            <w:rPr>
              <w:rFonts w:asciiTheme="minorHAnsi" w:eastAsiaTheme="minorEastAsia" w:hAnsiTheme="minorHAnsi" w:cstheme="minorBidi"/>
              <w:noProof/>
              <w:sz w:val="24"/>
              <w:szCs w:val="24"/>
              <w:lang w:eastAsia="ru-RU"/>
            </w:rPr>
          </w:pPr>
          <w:hyperlink w:anchor="_Toc66184317" w:history="1">
            <w:r w:rsidR="003A26B5" w:rsidRPr="00E166DB">
              <w:rPr>
                <w:rStyle w:val="affd"/>
                <w:rFonts w:eastAsia="Times New Roman"/>
                <w:noProof/>
              </w:rPr>
              <w:t>3.1 Показания к началу лечения</w:t>
            </w:r>
            <w:r w:rsidR="003A26B5">
              <w:rPr>
                <w:noProof/>
                <w:webHidden/>
              </w:rPr>
              <w:tab/>
            </w:r>
            <w:r w:rsidR="003A26B5">
              <w:rPr>
                <w:noProof/>
                <w:webHidden/>
              </w:rPr>
              <w:fldChar w:fldCharType="begin"/>
            </w:r>
            <w:r w:rsidR="003A26B5">
              <w:rPr>
                <w:noProof/>
                <w:webHidden/>
              </w:rPr>
              <w:instrText xml:space="preserve"> PAGEREF _Toc66184317 \h </w:instrText>
            </w:r>
            <w:r w:rsidR="003A26B5">
              <w:rPr>
                <w:noProof/>
                <w:webHidden/>
              </w:rPr>
            </w:r>
            <w:r w:rsidR="003A26B5">
              <w:rPr>
                <w:noProof/>
                <w:webHidden/>
              </w:rPr>
              <w:fldChar w:fldCharType="separate"/>
            </w:r>
            <w:r w:rsidR="003A26B5">
              <w:rPr>
                <w:noProof/>
                <w:webHidden/>
              </w:rPr>
              <w:t>15</w:t>
            </w:r>
            <w:r w:rsidR="003A26B5">
              <w:rPr>
                <w:noProof/>
                <w:webHidden/>
              </w:rPr>
              <w:fldChar w:fldCharType="end"/>
            </w:r>
          </w:hyperlink>
        </w:p>
        <w:p w14:paraId="318DE43B" w14:textId="3B4B910F" w:rsidR="003A26B5" w:rsidRDefault="00F60B0B">
          <w:pPr>
            <w:pStyle w:val="21"/>
            <w:rPr>
              <w:rFonts w:asciiTheme="minorHAnsi" w:eastAsiaTheme="minorEastAsia" w:hAnsiTheme="minorHAnsi" w:cstheme="minorBidi"/>
              <w:noProof/>
              <w:sz w:val="24"/>
              <w:szCs w:val="24"/>
              <w:lang w:eastAsia="ru-RU"/>
            </w:rPr>
          </w:pPr>
          <w:hyperlink w:anchor="_Toc66184318" w:history="1">
            <w:r w:rsidR="003A26B5" w:rsidRPr="00E166DB">
              <w:rPr>
                <w:rStyle w:val="affd"/>
                <w:noProof/>
              </w:rPr>
              <w:t>3.2 Лечение пациентов с впервые диагностированной МВ</w:t>
            </w:r>
            <w:r w:rsidR="003A26B5">
              <w:rPr>
                <w:noProof/>
                <w:webHidden/>
              </w:rPr>
              <w:tab/>
            </w:r>
            <w:r w:rsidR="003A26B5">
              <w:rPr>
                <w:noProof/>
                <w:webHidden/>
              </w:rPr>
              <w:fldChar w:fldCharType="begin"/>
            </w:r>
            <w:r w:rsidR="003A26B5">
              <w:rPr>
                <w:noProof/>
                <w:webHidden/>
              </w:rPr>
              <w:instrText xml:space="preserve"> PAGEREF _Toc66184318 \h </w:instrText>
            </w:r>
            <w:r w:rsidR="003A26B5">
              <w:rPr>
                <w:noProof/>
                <w:webHidden/>
              </w:rPr>
            </w:r>
            <w:r w:rsidR="003A26B5">
              <w:rPr>
                <w:noProof/>
                <w:webHidden/>
              </w:rPr>
              <w:fldChar w:fldCharType="separate"/>
            </w:r>
            <w:r w:rsidR="003A26B5">
              <w:rPr>
                <w:noProof/>
                <w:webHidden/>
              </w:rPr>
              <w:t>15</w:t>
            </w:r>
            <w:r w:rsidR="003A26B5">
              <w:rPr>
                <w:noProof/>
                <w:webHidden/>
              </w:rPr>
              <w:fldChar w:fldCharType="end"/>
            </w:r>
          </w:hyperlink>
        </w:p>
        <w:p w14:paraId="2B7974B7" w14:textId="65C1DA46" w:rsidR="003A26B5" w:rsidRDefault="00F60B0B">
          <w:pPr>
            <w:pStyle w:val="21"/>
            <w:rPr>
              <w:rFonts w:asciiTheme="minorHAnsi" w:eastAsiaTheme="minorEastAsia" w:hAnsiTheme="minorHAnsi" w:cstheme="minorBidi"/>
              <w:noProof/>
              <w:sz w:val="24"/>
              <w:szCs w:val="24"/>
              <w:lang w:eastAsia="ru-RU"/>
            </w:rPr>
          </w:pPr>
          <w:hyperlink w:anchor="_Toc66184319" w:history="1">
            <w:r w:rsidR="003A26B5" w:rsidRPr="00E166DB">
              <w:rPr>
                <w:rStyle w:val="affd"/>
                <w:noProof/>
              </w:rPr>
              <w:t>3.3 Поддерживающая терапия</w:t>
            </w:r>
            <w:r w:rsidR="003A26B5">
              <w:rPr>
                <w:noProof/>
                <w:webHidden/>
              </w:rPr>
              <w:tab/>
            </w:r>
            <w:r w:rsidR="003A26B5">
              <w:rPr>
                <w:noProof/>
                <w:webHidden/>
              </w:rPr>
              <w:fldChar w:fldCharType="begin"/>
            </w:r>
            <w:r w:rsidR="003A26B5">
              <w:rPr>
                <w:noProof/>
                <w:webHidden/>
              </w:rPr>
              <w:instrText xml:space="preserve"> PAGEREF _Toc66184319 \h </w:instrText>
            </w:r>
            <w:r w:rsidR="003A26B5">
              <w:rPr>
                <w:noProof/>
                <w:webHidden/>
              </w:rPr>
            </w:r>
            <w:r w:rsidR="003A26B5">
              <w:rPr>
                <w:noProof/>
                <w:webHidden/>
              </w:rPr>
              <w:fldChar w:fldCharType="separate"/>
            </w:r>
            <w:r w:rsidR="003A26B5">
              <w:rPr>
                <w:noProof/>
                <w:webHidden/>
              </w:rPr>
              <w:t>20</w:t>
            </w:r>
            <w:r w:rsidR="003A26B5">
              <w:rPr>
                <w:noProof/>
                <w:webHidden/>
              </w:rPr>
              <w:fldChar w:fldCharType="end"/>
            </w:r>
          </w:hyperlink>
        </w:p>
        <w:p w14:paraId="6D7F5CAE" w14:textId="250B4D25" w:rsidR="003A26B5" w:rsidRDefault="00F60B0B">
          <w:pPr>
            <w:pStyle w:val="21"/>
            <w:rPr>
              <w:rFonts w:asciiTheme="minorHAnsi" w:eastAsiaTheme="minorEastAsia" w:hAnsiTheme="minorHAnsi" w:cstheme="minorBidi"/>
              <w:noProof/>
              <w:sz w:val="24"/>
              <w:szCs w:val="24"/>
              <w:lang w:eastAsia="ru-RU"/>
            </w:rPr>
          </w:pPr>
          <w:hyperlink w:anchor="_Toc66184320" w:history="1">
            <w:r w:rsidR="003A26B5" w:rsidRPr="00E166DB">
              <w:rPr>
                <w:rStyle w:val="affd"/>
                <w:noProof/>
              </w:rPr>
              <w:t>3.4 Лечение рецидивов МВ</w:t>
            </w:r>
            <w:r w:rsidR="003A26B5">
              <w:rPr>
                <w:noProof/>
                <w:webHidden/>
              </w:rPr>
              <w:tab/>
            </w:r>
            <w:r w:rsidR="003A26B5">
              <w:rPr>
                <w:noProof/>
                <w:webHidden/>
              </w:rPr>
              <w:fldChar w:fldCharType="begin"/>
            </w:r>
            <w:r w:rsidR="003A26B5">
              <w:rPr>
                <w:noProof/>
                <w:webHidden/>
              </w:rPr>
              <w:instrText xml:space="preserve"> PAGEREF _Toc66184320 \h </w:instrText>
            </w:r>
            <w:r w:rsidR="003A26B5">
              <w:rPr>
                <w:noProof/>
                <w:webHidden/>
              </w:rPr>
            </w:r>
            <w:r w:rsidR="003A26B5">
              <w:rPr>
                <w:noProof/>
                <w:webHidden/>
              </w:rPr>
              <w:fldChar w:fldCharType="separate"/>
            </w:r>
            <w:r w:rsidR="003A26B5">
              <w:rPr>
                <w:noProof/>
                <w:webHidden/>
              </w:rPr>
              <w:t>21</w:t>
            </w:r>
            <w:r w:rsidR="003A26B5">
              <w:rPr>
                <w:noProof/>
                <w:webHidden/>
              </w:rPr>
              <w:fldChar w:fldCharType="end"/>
            </w:r>
          </w:hyperlink>
        </w:p>
        <w:p w14:paraId="4A1374FF" w14:textId="522C7299" w:rsidR="003A26B5" w:rsidRDefault="00F60B0B">
          <w:pPr>
            <w:pStyle w:val="1a"/>
            <w:rPr>
              <w:rFonts w:asciiTheme="minorHAnsi" w:eastAsiaTheme="minorEastAsia" w:hAnsiTheme="minorHAnsi"/>
              <w:noProof/>
              <w:szCs w:val="24"/>
              <w:lang w:eastAsia="ru-RU"/>
            </w:rPr>
          </w:pPr>
          <w:hyperlink w:anchor="_Toc66184321" w:history="1">
            <w:r w:rsidR="003A26B5" w:rsidRPr="00E166DB">
              <w:rPr>
                <w:rStyle w:val="affd"/>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3A26B5">
              <w:rPr>
                <w:noProof/>
                <w:webHidden/>
              </w:rPr>
              <w:tab/>
            </w:r>
            <w:r w:rsidR="003A26B5">
              <w:rPr>
                <w:noProof/>
                <w:webHidden/>
              </w:rPr>
              <w:fldChar w:fldCharType="begin"/>
            </w:r>
            <w:r w:rsidR="003A26B5">
              <w:rPr>
                <w:noProof/>
                <w:webHidden/>
              </w:rPr>
              <w:instrText xml:space="preserve"> PAGEREF _Toc66184321 \h </w:instrText>
            </w:r>
            <w:r w:rsidR="003A26B5">
              <w:rPr>
                <w:noProof/>
                <w:webHidden/>
              </w:rPr>
            </w:r>
            <w:r w:rsidR="003A26B5">
              <w:rPr>
                <w:noProof/>
                <w:webHidden/>
              </w:rPr>
              <w:fldChar w:fldCharType="separate"/>
            </w:r>
            <w:r w:rsidR="003A26B5">
              <w:rPr>
                <w:noProof/>
                <w:webHidden/>
              </w:rPr>
              <w:t>23</w:t>
            </w:r>
            <w:r w:rsidR="003A26B5">
              <w:rPr>
                <w:noProof/>
                <w:webHidden/>
              </w:rPr>
              <w:fldChar w:fldCharType="end"/>
            </w:r>
          </w:hyperlink>
        </w:p>
        <w:p w14:paraId="677C4927" w14:textId="3BB5DE8E" w:rsidR="003A26B5" w:rsidRDefault="00F60B0B">
          <w:pPr>
            <w:pStyle w:val="1a"/>
            <w:rPr>
              <w:rFonts w:asciiTheme="minorHAnsi" w:eastAsiaTheme="minorEastAsia" w:hAnsiTheme="minorHAnsi"/>
              <w:noProof/>
              <w:szCs w:val="24"/>
              <w:lang w:eastAsia="ru-RU"/>
            </w:rPr>
          </w:pPr>
          <w:hyperlink w:anchor="_Toc66184322" w:history="1">
            <w:r w:rsidR="003A26B5" w:rsidRPr="00E166DB">
              <w:rPr>
                <w:rStyle w:val="affd"/>
                <w:noProof/>
              </w:rPr>
              <w:t>5. Профилактика и диспансерное наблюдение, медицинские показания и противопоказания к применению методов профилактики</w:t>
            </w:r>
            <w:r w:rsidR="003A26B5">
              <w:rPr>
                <w:noProof/>
                <w:webHidden/>
              </w:rPr>
              <w:tab/>
            </w:r>
            <w:r w:rsidR="003A26B5">
              <w:rPr>
                <w:noProof/>
                <w:webHidden/>
              </w:rPr>
              <w:fldChar w:fldCharType="begin"/>
            </w:r>
            <w:r w:rsidR="003A26B5">
              <w:rPr>
                <w:noProof/>
                <w:webHidden/>
              </w:rPr>
              <w:instrText xml:space="preserve"> PAGEREF _Toc66184322 \h </w:instrText>
            </w:r>
            <w:r w:rsidR="003A26B5">
              <w:rPr>
                <w:noProof/>
                <w:webHidden/>
              </w:rPr>
            </w:r>
            <w:r w:rsidR="003A26B5">
              <w:rPr>
                <w:noProof/>
                <w:webHidden/>
              </w:rPr>
              <w:fldChar w:fldCharType="separate"/>
            </w:r>
            <w:r w:rsidR="003A26B5">
              <w:rPr>
                <w:noProof/>
                <w:webHidden/>
              </w:rPr>
              <w:t>23</w:t>
            </w:r>
            <w:r w:rsidR="003A26B5">
              <w:rPr>
                <w:noProof/>
                <w:webHidden/>
              </w:rPr>
              <w:fldChar w:fldCharType="end"/>
            </w:r>
          </w:hyperlink>
        </w:p>
        <w:p w14:paraId="260F5A4D" w14:textId="693A4E32" w:rsidR="003A26B5" w:rsidRDefault="00F60B0B">
          <w:pPr>
            <w:pStyle w:val="1a"/>
            <w:rPr>
              <w:rFonts w:asciiTheme="minorHAnsi" w:eastAsiaTheme="minorEastAsia" w:hAnsiTheme="minorHAnsi"/>
              <w:noProof/>
              <w:szCs w:val="24"/>
              <w:lang w:eastAsia="ru-RU"/>
            </w:rPr>
          </w:pPr>
          <w:hyperlink w:anchor="_Toc66184323" w:history="1">
            <w:r w:rsidR="003A26B5" w:rsidRPr="00E166DB">
              <w:rPr>
                <w:rStyle w:val="affd"/>
                <w:noProof/>
              </w:rPr>
              <w:t>6. Организация оказания медицинской помощи</w:t>
            </w:r>
            <w:r w:rsidR="003A26B5">
              <w:rPr>
                <w:noProof/>
                <w:webHidden/>
              </w:rPr>
              <w:tab/>
            </w:r>
            <w:r w:rsidR="003A26B5">
              <w:rPr>
                <w:noProof/>
                <w:webHidden/>
              </w:rPr>
              <w:fldChar w:fldCharType="begin"/>
            </w:r>
            <w:r w:rsidR="003A26B5">
              <w:rPr>
                <w:noProof/>
                <w:webHidden/>
              </w:rPr>
              <w:instrText xml:space="preserve"> PAGEREF _Toc66184323 \h </w:instrText>
            </w:r>
            <w:r w:rsidR="003A26B5">
              <w:rPr>
                <w:noProof/>
                <w:webHidden/>
              </w:rPr>
            </w:r>
            <w:r w:rsidR="003A26B5">
              <w:rPr>
                <w:noProof/>
                <w:webHidden/>
              </w:rPr>
              <w:fldChar w:fldCharType="separate"/>
            </w:r>
            <w:r w:rsidR="003A26B5">
              <w:rPr>
                <w:noProof/>
                <w:webHidden/>
              </w:rPr>
              <w:t>24</w:t>
            </w:r>
            <w:r w:rsidR="003A26B5">
              <w:rPr>
                <w:noProof/>
                <w:webHidden/>
              </w:rPr>
              <w:fldChar w:fldCharType="end"/>
            </w:r>
          </w:hyperlink>
        </w:p>
        <w:p w14:paraId="3607FC7D" w14:textId="6B5B1AF3" w:rsidR="003A26B5" w:rsidRDefault="00F60B0B">
          <w:pPr>
            <w:pStyle w:val="1a"/>
            <w:rPr>
              <w:rFonts w:asciiTheme="minorHAnsi" w:eastAsiaTheme="minorEastAsia" w:hAnsiTheme="minorHAnsi"/>
              <w:noProof/>
              <w:szCs w:val="24"/>
              <w:lang w:eastAsia="ru-RU"/>
            </w:rPr>
          </w:pPr>
          <w:hyperlink w:anchor="_Toc66184324" w:history="1">
            <w:r w:rsidR="003A26B5" w:rsidRPr="00E166DB">
              <w:rPr>
                <w:rStyle w:val="affd"/>
                <w:noProof/>
              </w:rPr>
              <w:t>7. Дополнительная информация (в том числе факторы, влияющие на исход заболевания или состояния)</w:t>
            </w:r>
            <w:r w:rsidR="003A26B5">
              <w:rPr>
                <w:noProof/>
                <w:webHidden/>
              </w:rPr>
              <w:tab/>
            </w:r>
            <w:r w:rsidR="003A26B5">
              <w:rPr>
                <w:noProof/>
                <w:webHidden/>
              </w:rPr>
              <w:fldChar w:fldCharType="begin"/>
            </w:r>
            <w:r w:rsidR="003A26B5">
              <w:rPr>
                <w:noProof/>
                <w:webHidden/>
              </w:rPr>
              <w:instrText xml:space="preserve"> PAGEREF _Toc66184324 \h </w:instrText>
            </w:r>
            <w:r w:rsidR="003A26B5">
              <w:rPr>
                <w:noProof/>
                <w:webHidden/>
              </w:rPr>
            </w:r>
            <w:r w:rsidR="003A26B5">
              <w:rPr>
                <w:noProof/>
                <w:webHidden/>
              </w:rPr>
              <w:fldChar w:fldCharType="separate"/>
            </w:r>
            <w:r w:rsidR="003A26B5">
              <w:rPr>
                <w:noProof/>
                <w:webHidden/>
              </w:rPr>
              <w:t>26</w:t>
            </w:r>
            <w:r w:rsidR="003A26B5">
              <w:rPr>
                <w:noProof/>
                <w:webHidden/>
              </w:rPr>
              <w:fldChar w:fldCharType="end"/>
            </w:r>
          </w:hyperlink>
        </w:p>
        <w:p w14:paraId="6B6E09F2" w14:textId="0DDC1528" w:rsidR="003A26B5" w:rsidRDefault="00F60B0B">
          <w:pPr>
            <w:pStyle w:val="21"/>
            <w:rPr>
              <w:rFonts w:asciiTheme="minorHAnsi" w:eastAsiaTheme="minorEastAsia" w:hAnsiTheme="minorHAnsi" w:cstheme="minorBidi"/>
              <w:noProof/>
              <w:sz w:val="24"/>
              <w:szCs w:val="24"/>
              <w:lang w:eastAsia="ru-RU"/>
            </w:rPr>
          </w:pPr>
          <w:hyperlink w:anchor="_Toc66184325" w:history="1">
            <w:r w:rsidR="003A26B5" w:rsidRPr="00E166DB">
              <w:rPr>
                <w:rStyle w:val="affd"/>
                <w:noProof/>
              </w:rPr>
              <w:t>7.1 Факторы прогноза.</w:t>
            </w:r>
            <w:r w:rsidR="003A26B5">
              <w:rPr>
                <w:noProof/>
                <w:webHidden/>
              </w:rPr>
              <w:tab/>
            </w:r>
            <w:r w:rsidR="003A26B5">
              <w:rPr>
                <w:noProof/>
                <w:webHidden/>
              </w:rPr>
              <w:fldChar w:fldCharType="begin"/>
            </w:r>
            <w:r w:rsidR="003A26B5">
              <w:rPr>
                <w:noProof/>
                <w:webHidden/>
              </w:rPr>
              <w:instrText xml:space="preserve"> PAGEREF _Toc66184325 \h </w:instrText>
            </w:r>
            <w:r w:rsidR="003A26B5">
              <w:rPr>
                <w:noProof/>
                <w:webHidden/>
              </w:rPr>
            </w:r>
            <w:r w:rsidR="003A26B5">
              <w:rPr>
                <w:noProof/>
                <w:webHidden/>
              </w:rPr>
              <w:fldChar w:fldCharType="separate"/>
            </w:r>
            <w:r w:rsidR="003A26B5">
              <w:rPr>
                <w:noProof/>
                <w:webHidden/>
              </w:rPr>
              <w:t>26</w:t>
            </w:r>
            <w:r w:rsidR="003A26B5">
              <w:rPr>
                <w:noProof/>
                <w:webHidden/>
              </w:rPr>
              <w:fldChar w:fldCharType="end"/>
            </w:r>
          </w:hyperlink>
        </w:p>
        <w:p w14:paraId="77806E24" w14:textId="48DE73E6" w:rsidR="003A26B5" w:rsidRDefault="00F60B0B">
          <w:pPr>
            <w:pStyle w:val="21"/>
            <w:rPr>
              <w:rFonts w:asciiTheme="minorHAnsi" w:eastAsiaTheme="minorEastAsia" w:hAnsiTheme="minorHAnsi" w:cstheme="minorBidi"/>
              <w:noProof/>
              <w:sz w:val="24"/>
              <w:szCs w:val="24"/>
              <w:lang w:eastAsia="ru-RU"/>
            </w:rPr>
          </w:pPr>
          <w:hyperlink w:anchor="_Toc66184326" w:history="1">
            <w:r w:rsidR="003A26B5" w:rsidRPr="00E166DB">
              <w:rPr>
                <w:rStyle w:val="affd"/>
                <w:noProof/>
              </w:rPr>
              <w:t>7.2 Лечение периферической нейропатии</w:t>
            </w:r>
            <w:r w:rsidR="003A26B5">
              <w:rPr>
                <w:noProof/>
                <w:webHidden/>
              </w:rPr>
              <w:tab/>
            </w:r>
            <w:r w:rsidR="003A26B5">
              <w:rPr>
                <w:noProof/>
                <w:webHidden/>
              </w:rPr>
              <w:fldChar w:fldCharType="begin"/>
            </w:r>
            <w:r w:rsidR="003A26B5">
              <w:rPr>
                <w:noProof/>
                <w:webHidden/>
              </w:rPr>
              <w:instrText xml:space="preserve"> PAGEREF _Toc66184326 \h </w:instrText>
            </w:r>
            <w:r w:rsidR="003A26B5">
              <w:rPr>
                <w:noProof/>
                <w:webHidden/>
              </w:rPr>
            </w:r>
            <w:r w:rsidR="003A26B5">
              <w:rPr>
                <w:noProof/>
                <w:webHidden/>
              </w:rPr>
              <w:fldChar w:fldCharType="separate"/>
            </w:r>
            <w:r w:rsidR="003A26B5">
              <w:rPr>
                <w:noProof/>
                <w:webHidden/>
              </w:rPr>
              <w:t>27</w:t>
            </w:r>
            <w:r w:rsidR="003A26B5">
              <w:rPr>
                <w:noProof/>
                <w:webHidden/>
              </w:rPr>
              <w:fldChar w:fldCharType="end"/>
            </w:r>
          </w:hyperlink>
        </w:p>
        <w:p w14:paraId="150E4435" w14:textId="3E8B8EF5" w:rsidR="003A26B5" w:rsidRDefault="00F60B0B">
          <w:pPr>
            <w:pStyle w:val="21"/>
            <w:rPr>
              <w:rFonts w:asciiTheme="minorHAnsi" w:eastAsiaTheme="minorEastAsia" w:hAnsiTheme="minorHAnsi" w:cstheme="minorBidi"/>
              <w:noProof/>
              <w:sz w:val="24"/>
              <w:szCs w:val="24"/>
              <w:lang w:eastAsia="ru-RU"/>
            </w:rPr>
          </w:pPr>
          <w:hyperlink w:anchor="_Toc66184327" w:history="1">
            <w:r w:rsidR="003A26B5" w:rsidRPr="00E166DB">
              <w:rPr>
                <w:rStyle w:val="affd"/>
                <w:noProof/>
              </w:rPr>
              <w:t>7.3 Ведение пациентов с синдромом гипервязкости</w:t>
            </w:r>
            <w:r w:rsidR="003A26B5">
              <w:rPr>
                <w:noProof/>
                <w:webHidden/>
              </w:rPr>
              <w:tab/>
            </w:r>
            <w:r w:rsidR="003A26B5">
              <w:rPr>
                <w:noProof/>
                <w:webHidden/>
              </w:rPr>
              <w:fldChar w:fldCharType="begin"/>
            </w:r>
            <w:r w:rsidR="003A26B5">
              <w:rPr>
                <w:noProof/>
                <w:webHidden/>
              </w:rPr>
              <w:instrText xml:space="preserve"> PAGEREF _Toc66184327 \h </w:instrText>
            </w:r>
            <w:r w:rsidR="003A26B5">
              <w:rPr>
                <w:noProof/>
                <w:webHidden/>
              </w:rPr>
            </w:r>
            <w:r w:rsidR="003A26B5">
              <w:rPr>
                <w:noProof/>
                <w:webHidden/>
              </w:rPr>
              <w:fldChar w:fldCharType="separate"/>
            </w:r>
            <w:r w:rsidR="003A26B5">
              <w:rPr>
                <w:noProof/>
                <w:webHidden/>
              </w:rPr>
              <w:t>27</w:t>
            </w:r>
            <w:r w:rsidR="003A26B5">
              <w:rPr>
                <w:noProof/>
                <w:webHidden/>
              </w:rPr>
              <w:fldChar w:fldCharType="end"/>
            </w:r>
          </w:hyperlink>
        </w:p>
        <w:p w14:paraId="5F5B52BC" w14:textId="4DD7E4D1" w:rsidR="003A26B5" w:rsidRDefault="00F60B0B">
          <w:pPr>
            <w:pStyle w:val="21"/>
            <w:rPr>
              <w:rFonts w:asciiTheme="minorHAnsi" w:eastAsiaTheme="minorEastAsia" w:hAnsiTheme="minorHAnsi" w:cstheme="minorBidi"/>
              <w:noProof/>
              <w:sz w:val="24"/>
              <w:szCs w:val="24"/>
              <w:lang w:eastAsia="ru-RU"/>
            </w:rPr>
          </w:pPr>
          <w:hyperlink w:anchor="_Toc66184328" w:history="1">
            <w:r w:rsidR="003A26B5" w:rsidRPr="00E166DB">
              <w:rPr>
                <w:rStyle w:val="affd"/>
                <w:noProof/>
              </w:rPr>
              <w:t>7.4 Особенности сопроводительной терапии пациентов, в схему лечения которым включен препарат бортезомиб **.</w:t>
            </w:r>
            <w:r w:rsidR="003A26B5">
              <w:rPr>
                <w:noProof/>
                <w:webHidden/>
              </w:rPr>
              <w:tab/>
            </w:r>
            <w:r w:rsidR="003A26B5">
              <w:rPr>
                <w:noProof/>
                <w:webHidden/>
              </w:rPr>
              <w:fldChar w:fldCharType="begin"/>
            </w:r>
            <w:r w:rsidR="003A26B5">
              <w:rPr>
                <w:noProof/>
                <w:webHidden/>
              </w:rPr>
              <w:instrText xml:space="preserve"> PAGEREF _Toc66184328 \h </w:instrText>
            </w:r>
            <w:r w:rsidR="003A26B5">
              <w:rPr>
                <w:noProof/>
                <w:webHidden/>
              </w:rPr>
            </w:r>
            <w:r w:rsidR="003A26B5">
              <w:rPr>
                <w:noProof/>
                <w:webHidden/>
              </w:rPr>
              <w:fldChar w:fldCharType="separate"/>
            </w:r>
            <w:r w:rsidR="003A26B5">
              <w:rPr>
                <w:noProof/>
                <w:webHidden/>
              </w:rPr>
              <w:t>27</w:t>
            </w:r>
            <w:r w:rsidR="003A26B5">
              <w:rPr>
                <w:noProof/>
                <w:webHidden/>
              </w:rPr>
              <w:fldChar w:fldCharType="end"/>
            </w:r>
          </w:hyperlink>
        </w:p>
        <w:p w14:paraId="4D81D9F3" w14:textId="452A9442" w:rsidR="003A26B5" w:rsidRDefault="00F60B0B">
          <w:pPr>
            <w:pStyle w:val="21"/>
            <w:rPr>
              <w:rFonts w:asciiTheme="minorHAnsi" w:eastAsiaTheme="minorEastAsia" w:hAnsiTheme="minorHAnsi" w:cstheme="minorBidi"/>
              <w:noProof/>
              <w:sz w:val="24"/>
              <w:szCs w:val="24"/>
              <w:lang w:eastAsia="ru-RU"/>
            </w:rPr>
          </w:pPr>
          <w:hyperlink w:anchor="_Toc66184329" w:history="1">
            <w:r w:rsidR="003A26B5" w:rsidRPr="00E166DB">
              <w:rPr>
                <w:rStyle w:val="affd"/>
                <w:noProof/>
              </w:rPr>
              <w:t>7.5 Оценка эффективности лечения.</w:t>
            </w:r>
            <w:r w:rsidR="003A26B5">
              <w:rPr>
                <w:noProof/>
                <w:webHidden/>
              </w:rPr>
              <w:tab/>
            </w:r>
            <w:r w:rsidR="003A26B5">
              <w:rPr>
                <w:noProof/>
                <w:webHidden/>
              </w:rPr>
              <w:fldChar w:fldCharType="begin"/>
            </w:r>
            <w:r w:rsidR="003A26B5">
              <w:rPr>
                <w:noProof/>
                <w:webHidden/>
              </w:rPr>
              <w:instrText xml:space="preserve"> PAGEREF _Toc66184329 \h </w:instrText>
            </w:r>
            <w:r w:rsidR="003A26B5">
              <w:rPr>
                <w:noProof/>
                <w:webHidden/>
              </w:rPr>
            </w:r>
            <w:r w:rsidR="003A26B5">
              <w:rPr>
                <w:noProof/>
                <w:webHidden/>
              </w:rPr>
              <w:fldChar w:fldCharType="separate"/>
            </w:r>
            <w:r w:rsidR="003A26B5">
              <w:rPr>
                <w:noProof/>
                <w:webHidden/>
              </w:rPr>
              <w:t>28</w:t>
            </w:r>
            <w:r w:rsidR="003A26B5">
              <w:rPr>
                <w:noProof/>
                <w:webHidden/>
              </w:rPr>
              <w:fldChar w:fldCharType="end"/>
            </w:r>
          </w:hyperlink>
        </w:p>
        <w:p w14:paraId="09932F73" w14:textId="09E576C9" w:rsidR="003A26B5" w:rsidRDefault="00F60B0B">
          <w:pPr>
            <w:pStyle w:val="21"/>
            <w:rPr>
              <w:rFonts w:asciiTheme="minorHAnsi" w:eastAsiaTheme="minorEastAsia" w:hAnsiTheme="minorHAnsi" w:cstheme="minorBidi"/>
              <w:noProof/>
              <w:sz w:val="24"/>
              <w:szCs w:val="24"/>
              <w:lang w:eastAsia="ru-RU"/>
            </w:rPr>
          </w:pPr>
          <w:hyperlink w:anchor="_Toc66184330" w:history="1">
            <w:r w:rsidR="003A26B5" w:rsidRPr="00E166DB">
              <w:rPr>
                <w:rStyle w:val="affd"/>
                <w:noProof/>
              </w:rPr>
              <w:t>7.6 Профилактика, диагностика и лечение тромботических осложнений</w:t>
            </w:r>
            <w:r w:rsidR="003A26B5">
              <w:rPr>
                <w:noProof/>
                <w:webHidden/>
              </w:rPr>
              <w:tab/>
            </w:r>
            <w:r w:rsidR="003A26B5">
              <w:rPr>
                <w:noProof/>
                <w:webHidden/>
              </w:rPr>
              <w:fldChar w:fldCharType="begin"/>
            </w:r>
            <w:r w:rsidR="003A26B5">
              <w:rPr>
                <w:noProof/>
                <w:webHidden/>
              </w:rPr>
              <w:instrText xml:space="preserve"> PAGEREF _Toc66184330 \h </w:instrText>
            </w:r>
            <w:r w:rsidR="003A26B5">
              <w:rPr>
                <w:noProof/>
                <w:webHidden/>
              </w:rPr>
            </w:r>
            <w:r w:rsidR="003A26B5">
              <w:rPr>
                <w:noProof/>
                <w:webHidden/>
              </w:rPr>
              <w:fldChar w:fldCharType="separate"/>
            </w:r>
            <w:r w:rsidR="003A26B5">
              <w:rPr>
                <w:noProof/>
                <w:webHidden/>
              </w:rPr>
              <w:t>29</w:t>
            </w:r>
            <w:r w:rsidR="003A26B5">
              <w:rPr>
                <w:noProof/>
                <w:webHidden/>
              </w:rPr>
              <w:fldChar w:fldCharType="end"/>
            </w:r>
          </w:hyperlink>
        </w:p>
        <w:p w14:paraId="6E8FFF07" w14:textId="548232D9" w:rsidR="003A26B5" w:rsidRDefault="00F60B0B">
          <w:pPr>
            <w:pStyle w:val="21"/>
            <w:rPr>
              <w:rFonts w:asciiTheme="minorHAnsi" w:eastAsiaTheme="minorEastAsia" w:hAnsiTheme="minorHAnsi" w:cstheme="minorBidi"/>
              <w:noProof/>
              <w:sz w:val="24"/>
              <w:szCs w:val="24"/>
              <w:lang w:eastAsia="ru-RU"/>
            </w:rPr>
          </w:pPr>
          <w:hyperlink w:anchor="_Toc66184331" w:history="1">
            <w:r w:rsidR="003A26B5" w:rsidRPr="00E166DB">
              <w:rPr>
                <w:rStyle w:val="affd"/>
                <w:noProof/>
              </w:rPr>
              <w:t>7.7 Диагностика и лечение бактериальных инфекционных осложнений</w:t>
            </w:r>
            <w:r w:rsidR="003A26B5">
              <w:rPr>
                <w:noProof/>
                <w:webHidden/>
              </w:rPr>
              <w:tab/>
            </w:r>
            <w:r w:rsidR="003A26B5">
              <w:rPr>
                <w:noProof/>
                <w:webHidden/>
              </w:rPr>
              <w:fldChar w:fldCharType="begin"/>
            </w:r>
            <w:r w:rsidR="003A26B5">
              <w:rPr>
                <w:noProof/>
                <w:webHidden/>
              </w:rPr>
              <w:instrText xml:space="preserve"> PAGEREF _Toc66184331 \h </w:instrText>
            </w:r>
            <w:r w:rsidR="003A26B5">
              <w:rPr>
                <w:noProof/>
                <w:webHidden/>
              </w:rPr>
            </w:r>
            <w:r w:rsidR="003A26B5">
              <w:rPr>
                <w:noProof/>
                <w:webHidden/>
              </w:rPr>
              <w:fldChar w:fldCharType="separate"/>
            </w:r>
            <w:r w:rsidR="003A26B5">
              <w:rPr>
                <w:noProof/>
                <w:webHidden/>
              </w:rPr>
              <w:t>43</w:t>
            </w:r>
            <w:r w:rsidR="003A26B5">
              <w:rPr>
                <w:noProof/>
                <w:webHidden/>
              </w:rPr>
              <w:fldChar w:fldCharType="end"/>
            </w:r>
          </w:hyperlink>
        </w:p>
        <w:p w14:paraId="2537AED9" w14:textId="16844C76" w:rsidR="003A26B5" w:rsidRDefault="00F60B0B">
          <w:pPr>
            <w:pStyle w:val="21"/>
            <w:rPr>
              <w:rFonts w:asciiTheme="minorHAnsi" w:eastAsiaTheme="minorEastAsia" w:hAnsiTheme="minorHAnsi" w:cstheme="minorBidi"/>
              <w:noProof/>
              <w:sz w:val="24"/>
              <w:szCs w:val="24"/>
              <w:lang w:eastAsia="ru-RU"/>
            </w:rPr>
          </w:pPr>
          <w:hyperlink w:anchor="_Toc66184332" w:history="1">
            <w:r w:rsidR="003A26B5" w:rsidRPr="00E166DB">
              <w:rPr>
                <w:rStyle w:val="affd"/>
                <w:noProof/>
              </w:rPr>
              <w:t>7.8 Вирусные инфекции у пациентов с гематологическими заболеваниями</w:t>
            </w:r>
            <w:r w:rsidR="003A26B5">
              <w:rPr>
                <w:noProof/>
                <w:webHidden/>
              </w:rPr>
              <w:tab/>
            </w:r>
            <w:r w:rsidR="003A26B5">
              <w:rPr>
                <w:noProof/>
                <w:webHidden/>
              </w:rPr>
              <w:fldChar w:fldCharType="begin"/>
            </w:r>
            <w:r w:rsidR="003A26B5">
              <w:rPr>
                <w:noProof/>
                <w:webHidden/>
              </w:rPr>
              <w:instrText xml:space="preserve"> PAGEREF _Toc66184332 \h </w:instrText>
            </w:r>
            <w:r w:rsidR="003A26B5">
              <w:rPr>
                <w:noProof/>
                <w:webHidden/>
              </w:rPr>
            </w:r>
            <w:r w:rsidR="003A26B5">
              <w:rPr>
                <w:noProof/>
                <w:webHidden/>
              </w:rPr>
              <w:fldChar w:fldCharType="separate"/>
            </w:r>
            <w:r w:rsidR="003A26B5">
              <w:rPr>
                <w:noProof/>
                <w:webHidden/>
              </w:rPr>
              <w:t>66</w:t>
            </w:r>
            <w:r w:rsidR="003A26B5">
              <w:rPr>
                <w:noProof/>
                <w:webHidden/>
              </w:rPr>
              <w:fldChar w:fldCharType="end"/>
            </w:r>
          </w:hyperlink>
        </w:p>
        <w:p w14:paraId="643B85AF" w14:textId="0A35D2F1" w:rsidR="003A26B5" w:rsidRDefault="00F60B0B">
          <w:pPr>
            <w:pStyle w:val="21"/>
            <w:rPr>
              <w:rFonts w:asciiTheme="minorHAnsi" w:eastAsiaTheme="minorEastAsia" w:hAnsiTheme="minorHAnsi" w:cstheme="minorBidi"/>
              <w:noProof/>
              <w:sz w:val="24"/>
              <w:szCs w:val="24"/>
              <w:lang w:eastAsia="ru-RU"/>
            </w:rPr>
          </w:pPr>
          <w:hyperlink w:anchor="_Toc66184333" w:history="1">
            <w:r w:rsidR="003A26B5" w:rsidRPr="00E166DB">
              <w:rPr>
                <w:rStyle w:val="affd"/>
                <w:noProof/>
              </w:rPr>
              <w:t>7.9 Диагностика и лечение инфекций, вызванных грибами</w:t>
            </w:r>
            <w:r w:rsidR="003A26B5">
              <w:rPr>
                <w:noProof/>
                <w:webHidden/>
              </w:rPr>
              <w:tab/>
            </w:r>
            <w:r w:rsidR="003A26B5">
              <w:rPr>
                <w:noProof/>
                <w:webHidden/>
              </w:rPr>
              <w:fldChar w:fldCharType="begin"/>
            </w:r>
            <w:r w:rsidR="003A26B5">
              <w:rPr>
                <w:noProof/>
                <w:webHidden/>
              </w:rPr>
              <w:instrText xml:space="preserve"> PAGEREF _Toc66184333 \h </w:instrText>
            </w:r>
            <w:r w:rsidR="003A26B5">
              <w:rPr>
                <w:noProof/>
                <w:webHidden/>
              </w:rPr>
            </w:r>
            <w:r w:rsidR="003A26B5">
              <w:rPr>
                <w:noProof/>
                <w:webHidden/>
              </w:rPr>
              <w:fldChar w:fldCharType="separate"/>
            </w:r>
            <w:r w:rsidR="003A26B5">
              <w:rPr>
                <w:noProof/>
                <w:webHidden/>
              </w:rPr>
              <w:t>70</w:t>
            </w:r>
            <w:r w:rsidR="003A26B5">
              <w:rPr>
                <w:noProof/>
                <w:webHidden/>
              </w:rPr>
              <w:fldChar w:fldCharType="end"/>
            </w:r>
          </w:hyperlink>
        </w:p>
        <w:p w14:paraId="5A847605" w14:textId="5E733127" w:rsidR="003A26B5" w:rsidRDefault="00F60B0B">
          <w:pPr>
            <w:pStyle w:val="21"/>
            <w:rPr>
              <w:rFonts w:asciiTheme="minorHAnsi" w:eastAsiaTheme="minorEastAsia" w:hAnsiTheme="minorHAnsi" w:cstheme="minorBidi"/>
              <w:noProof/>
              <w:sz w:val="24"/>
              <w:szCs w:val="24"/>
              <w:lang w:eastAsia="ru-RU"/>
            </w:rPr>
          </w:pPr>
          <w:hyperlink w:anchor="_Toc66184334" w:history="1">
            <w:r w:rsidR="003A26B5" w:rsidRPr="00E166DB">
              <w:rPr>
                <w:rStyle w:val="affd"/>
                <w:noProof/>
              </w:rPr>
              <w:t xml:space="preserve">7.10 </w:t>
            </w:r>
            <w:r w:rsidR="003A26B5" w:rsidRPr="00E166DB">
              <w:rPr>
                <w:rStyle w:val="affd"/>
                <w:bCs/>
                <w:noProof/>
              </w:rPr>
              <w:t>Профилактика инфекционных осложнений у пациентов с гематологическими заболеваниями</w:t>
            </w:r>
            <w:r w:rsidR="003A26B5">
              <w:rPr>
                <w:noProof/>
                <w:webHidden/>
              </w:rPr>
              <w:tab/>
            </w:r>
            <w:r w:rsidR="003A26B5">
              <w:rPr>
                <w:noProof/>
                <w:webHidden/>
              </w:rPr>
              <w:fldChar w:fldCharType="begin"/>
            </w:r>
            <w:r w:rsidR="003A26B5">
              <w:rPr>
                <w:noProof/>
                <w:webHidden/>
              </w:rPr>
              <w:instrText xml:space="preserve"> PAGEREF _Toc66184334 \h </w:instrText>
            </w:r>
            <w:r w:rsidR="003A26B5">
              <w:rPr>
                <w:noProof/>
                <w:webHidden/>
              </w:rPr>
            </w:r>
            <w:r w:rsidR="003A26B5">
              <w:rPr>
                <w:noProof/>
                <w:webHidden/>
              </w:rPr>
              <w:fldChar w:fldCharType="separate"/>
            </w:r>
            <w:r w:rsidR="003A26B5">
              <w:rPr>
                <w:noProof/>
                <w:webHidden/>
              </w:rPr>
              <w:t>96</w:t>
            </w:r>
            <w:r w:rsidR="003A26B5">
              <w:rPr>
                <w:noProof/>
                <w:webHidden/>
              </w:rPr>
              <w:fldChar w:fldCharType="end"/>
            </w:r>
          </w:hyperlink>
        </w:p>
        <w:p w14:paraId="26B089CA" w14:textId="304F84D1" w:rsidR="003A26B5" w:rsidRDefault="00F60B0B">
          <w:pPr>
            <w:pStyle w:val="1a"/>
            <w:rPr>
              <w:rFonts w:asciiTheme="minorHAnsi" w:eastAsiaTheme="minorEastAsia" w:hAnsiTheme="minorHAnsi"/>
              <w:noProof/>
              <w:szCs w:val="24"/>
              <w:lang w:eastAsia="ru-RU"/>
            </w:rPr>
          </w:pPr>
          <w:hyperlink w:anchor="_Toc66184335" w:history="1">
            <w:r w:rsidR="003A26B5" w:rsidRPr="00E166DB">
              <w:rPr>
                <w:rStyle w:val="affd"/>
                <w:noProof/>
              </w:rPr>
              <w:t>Критерии оценки качества медицинской помощи</w:t>
            </w:r>
            <w:r w:rsidR="003A26B5">
              <w:rPr>
                <w:noProof/>
                <w:webHidden/>
              </w:rPr>
              <w:tab/>
            </w:r>
            <w:r w:rsidR="003A26B5">
              <w:rPr>
                <w:noProof/>
                <w:webHidden/>
              </w:rPr>
              <w:fldChar w:fldCharType="begin"/>
            </w:r>
            <w:r w:rsidR="003A26B5">
              <w:rPr>
                <w:noProof/>
                <w:webHidden/>
              </w:rPr>
              <w:instrText xml:space="preserve"> PAGEREF _Toc66184335 \h </w:instrText>
            </w:r>
            <w:r w:rsidR="003A26B5">
              <w:rPr>
                <w:noProof/>
                <w:webHidden/>
              </w:rPr>
            </w:r>
            <w:r w:rsidR="003A26B5">
              <w:rPr>
                <w:noProof/>
                <w:webHidden/>
              </w:rPr>
              <w:fldChar w:fldCharType="separate"/>
            </w:r>
            <w:r w:rsidR="003A26B5">
              <w:rPr>
                <w:noProof/>
                <w:webHidden/>
              </w:rPr>
              <w:t>103</w:t>
            </w:r>
            <w:r w:rsidR="003A26B5">
              <w:rPr>
                <w:noProof/>
                <w:webHidden/>
              </w:rPr>
              <w:fldChar w:fldCharType="end"/>
            </w:r>
          </w:hyperlink>
        </w:p>
        <w:p w14:paraId="5DA2DA68" w14:textId="14DD3B04" w:rsidR="003A26B5" w:rsidRDefault="00F60B0B">
          <w:pPr>
            <w:pStyle w:val="1a"/>
            <w:rPr>
              <w:rFonts w:asciiTheme="minorHAnsi" w:eastAsiaTheme="minorEastAsia" w:hAnsiTheme="minorHAnsi"/>
              <w:noProof/>
              <w:szCs w:val="24"/>
              <w:lang w:eastAsia="ru-RU"/>
            </w:rPr>
          </w:pPr>
          <w:hyperlink w:anchor="_Toc66184336" w:history="1">
            <w:r w:rsidR="003A26B5" w:rsidRPr="00E166DB">
              <w:rPr>
                <w:rStyle w:val="affd"/>
                <w:noProof/>
              </w:rPr>
              <w:t>Список литературы</w:t>
            </w:r>
            <w:r w:rsidR="003A26B5">
              <w:rPr>
                <w:noProof/>
                <w:webHidden/>
              </w:rPr>
              <w:tab/>
            </w:r>
            <w:r w:rsidR="003A26B5">
              <w:rPr>
                <w:noProof/>
                <w:webHidden/>
              </w:rPr>
              <w:fldChar w:fldCharType="begin"/>
            </w:r>
            <w:r w:rsidR="003A26B5">
              <w:rPr>
                <w:noProof/>
                <w:webHidden/>
              </w:rPr>
              <w:instrText xml:space="preserve"> PAGEREF _Toc66184336 \h </w:instrText>
            </w:r>
            <w:r w:rsidR="003A26B5">
              <w:rPr>
                <w:noProof/>
                <w:webHidden/>
              </w:rPr>
            </w:r>
            <w:r w:rsidR="003A26B5">
              <w:rPr>
                <w:noProof/>
                <w:webHidden/>
              </w:rPr>
              <w:fldChar w:fldCharType="separate"/>
            </w:r>
            <w:r w:rsidR="003A26B5">
              <w:rPr>
                <w:noProof/>
                <w:webHidden/>
              </w:rPr>
              <w:t>103</w:t>
            </w:r>
            <w:r w:rsidR="003A26B5">
              <w:rPr>
                <w:noProof/>
                <w:webHidden/>
              </w:rPr>
              <w:fldChar w:fldCharType="end"/>
            </w:r>
          </w:hyperlink>
        </w:p>
        <w:p w14:paraId="4BA1A152" w14:textId="7AD07741" w:rsidR="003A26B5" w:rsidRDefault="00F60B0B">
          <w:pPr>
            <w:pStyle w:val="1a"/>
            <w:rPr>
              <w:rFonts w:asciiTheme="minorHAnsi" w:eastAsiaTheme="minorEastAsia" w:hAnsiTheme="minorHAnsi"/>
              <w:noProof/>
              <w:szCs w:val="24"/>
              <w:lang w:eastAsia="ru-RU"/>
            </w:rPr>
          </w:pPr>
          <w:hyperlink w:anchor="_Toc66184337" w:history="1">
            <w:r w:rsidR="003A26B5" w:rsidRPr="00E166DB">
              <w:rPr>
                <w:rStyle w:val="affd"/>
                <w:noProof/>
              </w:rPr>
              <w:t>Приложение А1. Состав рабочей группы по разработке и пересмотру клинических рекомендаций</w:t>
            </w:r>
            <w:r w:rsidR="003A26B5">
              <w:rPr>
                <w:noProof/>
                <w:webHidden/>
              </w:rPr>
              <w:tab/>
            </w:r>
            <w:r w:rsidR="003A26B5">
              <w:rPr>
                <w:noProof/>
                <w:webHidden/>
              </w:rPr>
              <w:fldChar w:fldCharType="begin"/>
            </w:r>
            <w:r w:rsidR="003A26B5">
              <w:rPr>
                <w:noProof/>
                <w:webHidden/>
              </w:rPr>
              <w:instrText xml:space="preserve"> PAGEREF _Toc66184337 \h </w:instrText>
            </w:r>
            <w:r w:rsidR="003A26B5">
              <w:rPr>
                <w:noProof/>
                <w:webHidden/>
              </w:rPr>
            </w:r>
            <w:r w:rsidR="003A26B5">
              <w:rPr>
                <w:noProof/>
                <w:webHidden/>
              </w:rPr>
              <w:fldChar w:fldCharType="separate"/>
            </w:r>
            <w:r w:rsidR="003A26B5">
              <w:rPr>
                <w:noProof/>
                <w:webHidden/>
              </w:rPr>
              <w:t>117</w:t>
            </w:r>
            <w:r w:rsidR="003A26B5">
              <w:rPr>
                <w:noProof/>
                <w:webHidden/>
              </w:rPr>
              <w:fldChar w:fldCharType="end"/>
            </w:r>
          </w:hyperlink>
        </w:p>
        <w:p w14:paraId="12B6A2F4" w14:textId="53296BA6" w:rsidR="003A26B5" w:rsidRDefault="00F60B0B">
          <w:pPr>
            <w:pStyle w:val="1a"/>
            <w:rPr>
              <w:rFonts w:asciiTheme="minorHAnsi" w:eastAsiaTheme="minorEastAsia" w:hAnsiTheme="minorHAnsi"/>
              <w:noProof/>
              <w:szCs w:val="24"/>
              <w:lang w:eastAsia="ru-RU"/>
            </w:rPr>
          </w:pPr>
          <w:hyperlink w:anchor="_Toc66184338" w:history="1">
            <w:r w:rsidR="003A26B5" w:rsidRPr="00E166DB">
              <w:rPr>
                <w:rStyle w:val="affd"/>
                <w:noProof/>
              </w:rPr>
              <w:t>Приложение А2. Методология разработки клинических рекомендаций</w:t>
            </w:r>
            <w:r w:rsidR="003A26B5">
              <w:rPr>
                <w:noProof/>
                <w:webHidden/>
              </w:rPr>
              <w:tab/>
            </w:r>
            <w:r w:rsidR="003A26B5">
              <w:rPr>
                <w:noProof/>
                <w:webHidden/>
              </w:rPr>
              <w:fldChar w:fldCharType="begin"/>
            </w:r>
            <w:r w:rsidR="003A26B5">
              <w:rPr>
                <w:noProof/>
                <w:webHidden/>
              </w:rPr>
              <w:instrText xml:space="preserve"> PAGEREF _Toc66184338 \h </w:instrText>
            </w:r>
            <w:r w:rsidR="003A26B5">
              <w:rPr>
                <w:noProof/>
                <w:webHidden/>
              </w:rPr>
            </w:r>
            <w:r w:rsidR="003A26B5">
              <w:rPr>
                <w:noProof/>
                <w:webHidden/>
              </w:rPr>
              <w:fldChar w:fldCharType="separate"/>
            </w:r>
            <w:r w:rsidR="003A26B5">
              <w:rPr>
                <w:noProof/>
                <w:webHidden/>
              </w:rPr>
              <w:t>119</w:t>
            </w:r>
            <w:r w:rsidR="003A26B5">
              <w:rPr>
                <w:noProof/>
                <w:webHidden/>
              </w:rPr>
              <w:fldChar w:fldCharType="end"/>
            </w:r>
          </w:hyperlink>
        </w:p>
        <w:p w14:paraId="03962E28" w14:textId="3AD04A58" w:rsidR="003A26B5" w:rsidRDefault="00F60B0B">
          <w:pPr>
            <w:pStyle w:val="1a"/>
            <w:rPr>
              <w:rFonts w:asciiTheme="minorHAnsi" w:eastAsiaTheme="minorEastAsia" w:hAnsiTheme="minorHAnsi"/>
              <w:noProof/>
              <w:szCs w:val="24"/>
              <w:lang w:eastAsia="ru-RU"/>
            </w:rPr>
          </w:pPr>
          <w:hyperlink w:anchor="_Toc66184339" w:history="1">
            <w:r w:rsidR="003A26B5" w:rsidRPr="00E166DB">
              <w:rPr>
                <w:rStyle w:val="affd"/>
                <w:noProof/>
              </w:rPr>
              <w:t>Приложение А3. 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r w:rsidR="003A26B5">
              <w:rPr>
                <w:noProof/>
                <w:webHidden/>
              </w:rPr>
              <w:tab/>
            </w:r>
            <w:r w:rsidR="003A26B5">
              <w:rPr>
                <w:noProof/>
                <w:webHidden/>
              </w:rPr>
              <w:fldChar w:fldCharType="begin"/>
            </w:r>
            <w:r w:rsidR="003A26B5">
              <w:rPr>
                <w:noProof/>
                <w:webHidden/>
              </w:rPr>
              <w:instrText xml:space="preserve"> PAGEREF _Toc66184339 \h </w:instrText>
            </w:r>
            <w:r w:rsidR="003A26B5">
              <w:rPr>
                <w:noProof/>
                <w:webHidden/>
              </w:rPr>
            </w:r>
            <w:r w:rsidR="003A26B5">
              <w:rPr>
                <w:noProof/>
                <w:webHidden/>
              </w:rPr>
              <w:fldChar w:fldCharType="separate"/>
            </w:r>
            <w:r w:rsidR="003A26B5">
              <w:rPr>
                <w:noProof/>
                <w:webHidden/>
              </w:rPr>
              <w:t>122</w:t>
            </w:r>
            <w:r w:rsidR="003A26B5">
              <w:rPr>
                <w:noProof/>
                <w:webHidden/>
              </w:rPr>
              <w:fldChar w:fldCharType="end"/>
            </w:r>
          </w:hyperlink>
        </w:p>
        <w:p w14:paraId="33755AE5" w14:textId="70460B0E" w:rsidR="003A26B5" w:rsidRDefault="00F60B0B">
          <w:pPr>
            <w:pStyle w:val="21"/>
            <w:rPr>
              <w:rFonts w:asciiTheme="minorHAnsi" w:eastAsiaTheme="minorEastAsia" w:hAnsiTheme="minorHAnsi" w:cstheme="minorBidi"/>
              <w:noProof/>
              <w:sz w:val="24"/>
              <w:szCs w:val="24"/>
              <w:lang w:eastAsia="ru-RU"/>
            </w:rPr>
          </w:pPr>
          <w:hyperlink w:anchor="_Toc66184340" w:history="1">
            <w:r w:rsidR="003A26B5" w:rsidRPr="00E166DB">
              <w:rPr>
                <w:rStyle w:val="affd"/>
                <w:noProof/>
              </w:rPr>
              <w:t>Приложение А3.1. Режимы лекарственного лечения МВ</w:t>
            </w:r>
            <w:r w:rsidR="003A26B5">
              <w:rPr>
                <w:noProof/>
                <w:webHidden/>
              </w:rPr>
              <w:tab/>
            </w:r>
            <w:r w:rsidR="003A26B5">
              <w:rPr>
                <w:noProof/>
                <w:webHidden/>
              </w:rPr>
              <w:fldChar w:fldCharType="begin"/>
            </w:r>
            <w:r w:rsidR="003A26B5">
              <w:rPr>
                <w:noProof/>
                <w:webHidden/>
              </w:rPr>
              <w:instrText xml:space="preserve"> PAGEREF _Toc66184340 \h </w:instrText>
            </w:r>
            <w:r w:rsidR="003A26B5">
              <w:rPr>
                <w:noProof/>
                <w:webHidden/>
              </w:rPr>
            </w:r>
            <w:r w:rsidR="003A26B5">
              <w:rPr>
                <w:noProof/>
                <w:webHidden/>
              </w:rPr>
              <w:fldChar w:fldCharType="separate"/>
            </w:r>
            <w:r w:rsidR="003A26B5">
              <w:rPr>
                <w:noProof/>
                <w:webHidden/>
              </w:rPr>
              <w:t>122</w:t>
            </w:r>
            <w:r w:rsidR="003A26B5">
              <w:rPr>
                <w:noProof/>
                <w:webHidden/>
              </w:rPr>
              <w:fldChar w:fldCharType="end"/>
            </w:r>
          </w:hyperlink>
        </w:p>
        <w:p w14:paraId="382CDD08" w14:textId="3A15C2EB" w:rsidR="003A26B5" w:rsidRDefault="00F60B0B">
          <w:pPr>
            <w:pStyle w:val="21"/>
            <w:rPr>
              <w:rFonts w:asciiTheme="minorHAnsi" w:eastAsiaTheme="minorEastAsia" w:hAnsiTheme="minorHAnsi" w:cstheme="minorBidi"/>
              <w:noProof/>
              <w:sz w:val="24"/>
              <w:szCs w:val="24"/>
              <w:lang w:eastAsia="ru-RU"/>
            </w:rPr>
          </w:pPr>
          <w:hyperlink w:anchor="_Toc66184341" w:history="1">
            <w:r w:rsidR="003A26B5" w:rsidRPr="00E166DB">
              <w:rPr>
                <w:rStyle w:val="affd"/>
                <w:noProof/>
              </w:rPr>
              <w:t>Приложение А3.2. Особенности введения ритуксимаба**</w:t>
            </w:r>
            <w:r w:rsidR="003A26B5">
              <w:rPr>
                <w:noProof/>
                <w:webHidden/>
              </w:rPr>
              <w:tab/>
            </w:r>
            <w:r w:rsidR="003A26B5">
              <w:rPr>
                <w:noProof/>
                <w:webHidden/>
              </w:rPr>
              <w:fldChar w:fldCharType="begin"/>
            </w:r>
            <w:r w:rsidR="003A26B5">
              <w:rPr>
                <w:noProof/>
                <w:webHidden/>
              </w:rPr>
              <w:instrText xml:space="preserve"> PAGEREF _Toc66184341 \h </w:instrText>
            </w:r>
            <w:r w:rsidR="003A26B5">
              <w:rPr>
                <w:noProof/>
                <w:webHidden/>
              </w:rPr>
            </w:r>
            <w:r w:rsidR="003A26B5">
              <w:rPr>
                <w:noProof/>
                <w:webHidden/>
              </w:rPr>
              <w:fldChar w:fldCharType="separate"/>
            </w:r>
            <w:r w:rsidR="003A26B5">
              <w:rPr>
                <w:noProof/>
                <w:webHidden/>
              </w:rPr>
              <w:t>124</w:t>
            </w:r>
            <w:r w:rsidR="003A26B5">
              <w:rPr>
                <w:noProof/>
                <w:webHidden/>
              </w:rPr>
              <w:fldChar w:fldCharType="end"/>
            </w:r>
          </w:hyperlink>
        </w:p>
        <w:p w14:paraId="2C284D94" w14:textId="28CC9B1A" w:rsidR="003A26B5" w:rsidRDefault="00F60B0B">
          <w:pPr>
            <w:pStyle w:val="21"/>
            <w:rPr>
              <w:rFonts w:asciiTheme="minorHAnsi" w:eastAsiaTheme="minorEastAsia" w:hAnsiTheme="minorHAnsi" w:cstheme="minorBidi"/>
              <w:noProof/>
              <w:sz w:val="24"/>
              <w:szCs w:val="24"/>
              <w:lang w:eastAsia="ru-RU"/>
            </w:rPr>
          </w:pPr>
          <w:hyperlink w:anchor="_Toc66184342" w:history="1">
            <w:r w:rsidR="003A26B5" w:rsidRPr="00E166DB">
              <w:rPr>
                <w:rStyle w:val="affd"/>
                <w:noProof/>
              </w:rPr>
              <w:t xml:space="preserve">Приложение А3.3. </w:t>
            </w:r>
            <w:r w:rsidR="003A26B5" w:rsidRPr="00E166DB">
              <w:rPr>
                <w:rStyle w:val="affd"/>
                <w:noProof/>
                <w:lang w:eastAsia="ru-RU"/>
              </w:rPr>
              <w:t>Профилактика и лечение тошноты и рвоты</w:t>
            </w:r>
            <w:r w:rsidR="003A26B5">
              <w:rPr>
                <w:noProof/>
                <w:webHidden/>
              </w:rPr>
              <w:tab/>
            </w:r>
            <w:r w:rsidR="003A26B5">
              <w:rPr>
                <w:noProof/>
                <w:webHidden/>
              </w:rPr>
              <w:fldChar w:fldCharType="begin"/>
            </w:r>
            <w:r w:rsidR="003A26B5">
              <w:rPr>
                <w:noProof/>
                <w:webHidden/>
              </w:rPr>
              <w:instrText xml:space="preserve"> PAGEREF _Toc66184342 \h </w:instrText>
            </w:r>
            <w:r w:rsidR="003A26B5">
              <w:rPr>
                <w:noProof/>
                <w:webHidden/>
              </w:rPr>
            </w:r>
            <w:r w:rsidR="003A26B5">
              <w:rPr>
                <w:noProof/>
                <w:webHidden/>
              </w:rPr>
              <w:fldChar w:fldCharType="separate"/>
            </w:r>
            <w:r w:rsidR="003A26B5">
              <w:rPr>
                <w:noProof/>
                <w:webHidden/>
              </w:rPr>
              <w:t>125</w:t>
            </w:r>
            <w:r w:rsidR="003A26B5">
              <w:rPr>
                <w:noProof/>
                <w:webHidden/>
              </w:rPr>
              <w:fldChar w:fldCharType="end"/>
            </w:r>
          </w:hyperlink>
        </w:p>
        <w:p w14:paraId="21350028" w14:textId="29FE496E" w:rsidR="003A26B5" w:rsidRDefault="00F60B0B">
          <w:pPr>
            <w:pStyle w:val="21"/>
            <w:rPr>
              <w:rFonts w:asciiTheme="minorHAnsi" w:eastAsiaTheme="minorEastAsia" w:hAnsiTheme="minorHAnsi" w:cstheme="minorBidi"/>
              <w:noProof/>
              <w:sz w:val="24"/>
              <w:szCs w:val="24"/>
              <w:lang w:eastAsia="ru-RU"/>
            </w:rPr>
          </w:pPr>
          <w:hyperlink w:anchor="_Toc66184343" w:history="1">
            <w:r w:rsidR="003A26B5" w:rsidRPr="00E166DB">
              <w:rPr>
                <w:rStyle w:val="affd"/>
                <w:noProof/>
              </w:rPr>
              <w:t xml:space="preserve">Приложение А3.4. </w:t>
            </w:r>
            <w:r w:rsidR="003A26B5" w:rsidRPr="00E166DB">
              <w:rPr>
                <w:rStyle w:val="affd"/>
                <w:noProof/>
                <w:lang w:eastAsia="ru-RU"/>
              </w:rPr>
              <w:t>Профилактика язвенной болезни желудка и 12-перстной кишки на фоне терапии глюкокортикостероидами</w:t>
            </w:r>
            <w:r w:rsidR="003A26B5">
              <w:rPr>
                <w:noProof/>
                <w:webHidden/>
              </w:rPr>
              <w:tab/>
            </w:r>
            <w:r w:rsidR="003A26B5">
              <w:rPr>
                <w:noProof/>
                <w:webHidden/>
              </w:rPr>
              <w:fldChar w:fldCharType="begin"/>
            </w:r>
            <w:r w:rsidR="003A26B5">
              <w:rPr>
                <w:noProof/>
                <w:webHidden/>
              </w:rPr>
              <w:instrText xml:space="preserve"> PAGEREF _Toc66184343 \h </w:instrText>
            </w:r>
            <w:r w:rsidR="003A26B5">
              <w:rPr>
                <w:noProof/>
                <w:webHidden/>
              </w:rPr>
            </w:r>
            <w:r w:rsidR="003A26B5">
              <w:rPr>
                <w:noProof/>
                <w:webHidden/>
              </w:rPr>
              <w:fldChar w:fldCharType="separate"/>
            </w:r>
            <w:r w:rsidR="003A26B5">
              <w:rPr>
                <w:noProof/>
                <w:webHidden/>
              </w:rPr>
              <w:t>135</w:t>
            </w:r>
            <w:r w:rsidR="003A26B5">
              <w:rPr>
                <w:noProof/>
                <w:webHidden/>
              </w:rPr>
              <w:fldChar w:fldCharType="end"/>
            </w:r>
          </w:hyperlink>
        </w:p>
        <w:p w14:paraId="0953CCC3" w14:textId="6D70A075" w:rsidR="003A26B5" w:rsidRDefault="00F60B0B">
          <w:pPr>
            <w:pStyle w:val="21"/>
            <w:rPr>
              <w:rFonts w:asciiTheme="minorHAnsi" w:eastAsiaTheme="minorEastAsia" w:hAnsiTheme="minorHAnsi" w:cstheme="minorBidi"/>
              <w:noProof/>
              <w:sz w:val="24"/>
              <w:szCs w:val="24"/>
              <w:lang w:eastAsia="ru-RU"/>
            </w:rPr>
          </w:pPr>
          <w:hyperlink w:anchor="_Toc66184344" w:history="1">
            <w:r w:rsidR="003A26B5" w:rsidRPr="00E166DB">
              <w:rPr>
                <w:rStyle w:val="affd"/>
                <w:noProof/>
              </w:rPr>
              <w:t>Приложение А3.5. Инфузионная терапия у гематологических пациентов</w:t>
            </w:r>
            <w:r w:rsidR="003A26B5">
              <w:rPr>
                <w:noProof/>
                <w:webHidden/>
              </w:rPr>
              <w:tab/>
            </w:r>
            <w:r w:rsidR="003A26B5">
              <w:rPr>
                <w:noProof/>
                <w:webHidden/>
              </w:rPr>
              <w:fldChar w:fldCharType="begin"/>
            </w:r>
            <w:r w:rsidR="003A26B5">
              <w:rPr>
                <w:noProof/>
                <w:webHidden/>
              </w:rPr>
              <w:instrText xml:space="preserve"> PAGEREF _Toc66184344 \h </w:instrText>
            </w:r>
            <w:r w:rsidR="003A26B5">
              <w:rPr>
                <w:noProof/>
                <w:webHidden/>
              </w:rPr>
            </w:r>
            <w:r w:rsidR="003A26B5">
              <w:rPr>
                <w:noProof/>
                <w:webHidden/>
              </w:rPr>
              <w:fldChar w:fldCharType="separate"/>
            </w:r>
            <w:r w:rsidR="003A26B5">
              <w:rPr>
                <w:noProof/>
                <w:webHidden/>
              </w:rPr>
              <w:t>138</w:t>
            </w:r>
            <w:r w:rsidR="003A26B5">
              <w:rPr>
                <w:noProof/>
                <w:webHidden/>
              </w:rPr>
              <w:fldChar w:fldCharType="end"/>
            </w:r>
          </w:hyperlink>
        </w:p>
        <w:p w14:paraId="6EE2FA3A" w14:textId="59A42904" w:rsidR="003A26B5" w:rsidRDefault="00F60B0B">
          <w:pPr>
            <w:pStyle w:val="21"/>
            <w:rPr>
              <w:rFonts w:asciiTheme="minorHAnsi" w:eastAsiaTheme="minorEastAsia" w:hAnsiTheme="minorHAnsi" w:cstheme="minorBidi"/>
              <w:noProof/>
              <w:sz w:val="24"/>
              <w:szCs w:val="24"/>
              <w:lang w:eastAsia="ru-RU"/>
            </w:rPr>
          </w:pPr>
          <w:hyperlink w:anchor="_Toc66184345" w:history="1">
            <w:r w:rsidR="003A26B5" w:rsidRPr="00E166DB">
              <w:rPr>
                <w:rStyle w:val="affd"/>
                <w:noProof/>
              </w:rPr>
              <w:t>Приложение А3.6. Применение компонентов донорской крови у гематологических пациентов</w:t>
            </w:r>
            <w:r w:rsidR="003A26B5">
              <w:rPr>
                <w:noProof/>
                <w:webHidden/>
              </w:rPr>
              <w:tab/>
            </w:r>
            <w:r w:rsidR="003A26B5">
              <w:rPr>
                <w:noProof/>
                <w:webHidden/>
              </w:rPr>
              <w:fldChar w:fldCharType="begin"/>
            </w:r>
            <w:r w:rsidR="003A26B5">
              <w:rPr>
                <w:noProof/>
                <w:webHidden/>
              </w:rPr>
              <w:instrText xml:space="preserve"> PAGEREF _Toc66184345 \h </w:instrText>
            </w:r>
            <w:r w:rsidR="003A26B5">
              <w:rPr>
                <w:noProof/>
                <w:webHidden/>
              </w:rPr>
            </w:r>
            <w:r w:rsidR="003A26B5">
              <w:rPr>
                <w:noProof/>
                <w:webHidden/>
              </w:rPr>
              <w:fldChar w:fldCharType="separate"/>
            </w:r>
            <w:r w:rsidR="003A26B5">
              <w:rPr>
                <w:noProof/>
                <w:webHidden/>
              </w:rPr>
              <w:t>142</w:t>
            </w:r>
            <w:r w:rsidR="003A26B5">
              <w:rPr>
                <w:noProof/>
                <w:webHidden/>
              </w:rPr>
              <w:fldChar w:fldCharType="end"/>
            </w:r>
          </w:hyperlink>
        </w:p>
        <w:p w14:paraId="14A6756A" w14:textId="1D988D04" w:rsidR="003A26B5" w:rsidRDefault="00F60B0B">
          <w:pPr>
            <w:pStyle w:val="21"/>
            <w:rPr>
              <w:rFonts w:asciiTheme="minorHAnsi" w:eastAsiaTheme="minorEastAsia" w:hAnsiTheme="minorHAnsi" w:cstheme="minorBidi"/>
              <w:noProof/>
              <w:sz w:val="24"/>
              <w:szCs w:val="24"/>
              <w:lang w:eastAsia="ru-RU"/>
            </w:rPr>
          </w:pPr>
          <w:hyperlink w:anchor="_Toc66184346" w:history="1">
            <w:r w:rsidR="003A26B5" w:rsidRPr="00E166DB">
              <w:rPr>
                <w:rStyle w:val="affd"/>
                <w:noProof/>
              </w:rPr>
              <w:t xml:space="preserve">Приложение А3.7. </w:t>
            </w:r>
            <w:r w:rsidR="003A26B5" w:rsidRPr="00E166DB">
              <w:rPr>
                <w:rStyle w:val="affd"/>
                <w:rFonts w:eastAsia="Arial Unicode MS"/>
                <w:noProof/>
              </w:rPr>
              <w:t>Протоколы выполнения аспирационного и биопсийного исследования костного мозга</w:t>
            </w:r>
            <w:r w:rsidR="003A26B5">
              <w:rPr>
                <w:noProof/>
                <w:webHidden/>
              </w:rPr>
              <w:tab/>
            </w:r>
            <w:r w:rsidR="003A26B5">
              <w:rPr>
                <w:noProof/>
                <w:webHidden/>
              </w:rPr>
              <w:fldChar w:fldCharType="begin"/>
            </w:r>
            <w:r w:rsidR="003A26B5">
              <w:rPr>
                <w:noProof/>
                <w:webHidden/>
              </w:rPr>
              <w:instrText xml:space="preserve"> PAGEREF _Toc66184346 \h </w:instrText>
            </w:r>
            <w:r w:rsidR="003A26B5">
              <w:rPr>
                <w:noProof/>
                <w:webHidden/>
              </w:rPr>
            </w:r>
            <w:r w:rsidR="003A26B5">
              <w:rPr>
                <w:noProof/>
                <w:webHidden/>
              </w:rPr>
              <w:fldChar w:fldCharType="separate"/>
            </w:r>
            <w:r w:rsidR="003A26B5">
              <w:rPr>
                <w:noProof/>
                <w:webHidden/>
              </w:rPr>
              <w:t>162</w:t>
            </w:r>
            <w:r w:rsidR="003A26B5">
              <w:rPr>
                <w:noProof/>
                <w:webHidden/>
              </w:rPr>
              <w:fldChar w:fldCharType="end"/>
            </w:r>
          </w:hyperlink>
        </w:p>
        <w:p w14:paraId="50F31E2D" w14:textId="62BB5067" w:rsidR="003A26B5" w:rsidRDefault="00F60B0B">
          <w:pPr>
            <w:pStyle w:val="21"/>
            <w:rPr>
              <w:rFonts w:asciiTheme="minorHAnsi" w:eastAsiaTheme="minorEastAsia" w:hAnsiTheme="minorHAnsi" w:cstheme="minorBidi"/>
              <w:noProof/>
              <w:sz w:val="24"/>
              <w:szCs w:val="24"/>
              <w:lang w:eastAsia="ru-RU"/>
            </w:rPr>
          </w:pPr>
          <w:hyperlink w:anchor="_Toc66184347" w:history="1">
            <w:r w:rsidR="003A26B5" w:rsidRPr="00E166DB">
              <w:rPr>
                <w:rStyle w:val="affd"/>
                <w:noProof/>
              </w:rPr>
              <w:t xml:space="preserve">Приложение А3.8. </w:t>
            </w:r>
            <w:r w:rsidR="003A26B5" w:rsidRPr="00E166DB">
              <w:rPr>
                <w:rStyle w:val="affd"/>
                <w:bCs/>
                <w:noProof/>
              </w:rPr>
              <w:t>Обеспечение сосудистого доступа</w:t>
            </w:r>
            <w:r w:rsidR="003A26B5">
              <w:rPr>
                <w:noProof/>
                <w:webHidden/>
              </w:rPr>
              <w:tab/>
            </w:r>
            <w:r w:rsidR="003A26B5">
              <w:rPr>
                <w:noProof/>
                <w:webHidden/>
              </w:rPr>
              <w:fldChar w:fldCharType="begin"/>
            </w:r>
            <w:r w:rsidR="003A26B5">
              <w:rPr>
                <w:noProof/>
                <w:webHidden/>
              </w:rPr>
              <w:instrText xml:space="preserve"> PAGEREF _Toc66184347 \h </w:instrText>
            </w:r>
            <w:r w:rsidR="003A26B5">
              <w:rPr>
                <w:noProof/>
                <w:webHidden/>
              </w:rPr>
            </w:r>
            <w:r w:rsidR="003A26B5">
              <w:rPr>
                <w:noProof/>
                <w:webHidden/>
              </w:rPr>
              <w:fldChar w:fldCharType="separate"/>
            </w:r>
            <w:r w:rsidR="003A26B5">
              <w:rPr>
                <w:noProof/>
                <w:webHidden/>
              </w:rPr>
              <w:t>172</w:t>
            </w:r>
            <w:r w:rsidR="003A26B5">
              <w:rPr>
                <w:noProof/>
                <w:webHidden/>
              </w:rPr>
              <w:fldChar w:fldCharType="end"/>
            </w:r>
          </w:hyperlink>
        </w:p>
        <w:p w14:paraId="19D986CE" w14:textId="6071C172" w:rsidR="003A26B5" w:rsidRDefault="00F60B0B">
          <w:pPr>
            <w:pStyle w:val="21"/>
            <w:rPr>
              <w:rFonts w:asciiTheme="minorHAnsi" w:eastAsiaTheme="minorEastAsia" w:hAnsiTheme="minorHAnsi" w:cstheme="minorBidi"/>
              <w:noProof/>
              <w:sz w:val="24"/>
              <w:szCs w:val="24"/>
              <w:lang w:eastAsia="ru-RU"/>
            </w:rPr>
          </w:pPr>
          <w:hyperlink w:anchor="_Toc66184348" w:history="1">
            <w:r w:rsidR="003A26B5" w:rsidRPr="00E166DB">
              <w:rPr>
                <w:rStyle w:val="affd"/>
                <w:noProof/>
              </w:rPr>
              <w:t>Приложение А3.9. Спленэктомия у пациентов с гематологическими заболеваниями</w:t>
            </w:r>
            <w:r w:rsidR="003A26B5">
              <w:rPr>
                <w:noProof/>
                <w:webHidden/>
              </w:rPr>
              <w:tab/>
            </w:r>
            <w:r w:rsidR="003A26B5">
              <w:rPr>
                <w:noProof/>
                <w:webHidden/>
              </w:rPr>
              <w:fldChar w:fldCharType="begin"/>
            </w:r>
            <w:r w:rsidR="003A26B5">
              <w:rPr>
                <w:noProof/>
                <w:webHidden/>
              </w:rPr>
              <w:instrText xml:space="preserve"> PAGEREF _Toc66184348 \h </w:instrText>
            </w:r>
            <w:r w:rsidR="003A26B5">
              <w:rPr>
                <w:noProof/>
                <w:webHidden/>
              </w:rPr>
            </w:r>
            <w:r w:rsidR="003A26B5">
              <w:rPr>
                <w:noProof/>
                <w:webHidden/>
              </w:rPr>
              <w:fldChar w:fldCharType="separate"/>
            </w:r>
            <w:r w:rsidR="003A26B5">
              <w:rPr>
                <w:noProof/>
                <w:webHidden/>
              </w:rPr>
              <w:t>185</w:t>
            </w:r>
            <w:r w:rsidR="003A26B5">
              <w:rPr>
                <w:noProof/>
                <w:webHidden/>
              </w:rPr>
              <w:fldChar w:fldCharType="end"/>
            </w:r>
          </w:hyperlink>
        </w:p>
        <w:p w14:paraId="49155A3D" w14:textId="78A6B056" w:rsidR="003A26B5" w:rsidRDefault="00F60B0B">
          <w:pPr>
            <w:pStyle w:val="21"/>
            <w:rPr>
              <w:rFonts w:asciiTheme="minorHAnsi" w:eastAsiaTheme="minorEastAsia" w:hAnsiTheme="minorHAnsi" w:cstheme="minorBidi"/>
              <w:noProof/>
              <w:sz w:val="24"/>
              <w:szCs w:val="24"/>
              <w:lang w:eastAsia="ru-RU"/>
            </w:rPr>
          </w:pPr>
          <w:hyperlink w:anchor="_Toc66184349" w:history="1">
            <w:r w:rsidR="003A26B5" w:rsidRPr="00E166DB">
              <w:rPr>
                <w:rStyle w:val="affd"/>
                <w:noProof/>
              </w:rPr>
              <w:t>Приложение А3.10. Трансплантация аутологичных гемопоэтических стволовых клеток</w:t>
            </w:r>
            <w:r w:rsidR="003A26B5">
              <w:rPr>
                <w:noProof/>
                <w:webHidden/>
              </w:rPr>
              <w:tab/>
            </w:r>
            <w:r w:rsidR="003A26B5">
              <w:rPr>
                <w:noProof/>
                <w:webHidden/>
              </w:rPr>
              <w:fldChar w:fldCharType="begin"/>
            </w:r>
            <w:r w:rsidR="003A26B5">
              <w:rPr>
                <w:noProof/>
                <w:webHidden/>
              </w:rPr>
              <w:instrText xml:space="preserve"> PAGEREF _Toc66184349 \h </w:instrText>
            </w:r>
            <w:r w:rsidR="003A26B5">
              <w:rPr>
                <w:noProof/>
                <w:webHidden/>
              </w:rPr>
            </w:r>
            <w:r w:rsidR="003A26B5">
              <w:rPr>
                <w:noProof/>
                <w:webHidden/>
              </w:rPr>
              <w:fldChar w:fldCharType="separate"/>
            </w:r>
            <w:r w:rsidR="003A26B5">
              <w:rPr>
                <w:noProof/>
                <w:webHidden/>
              </w:rPr>
              <w:t>194</w:t>
            </w:r>
            <w:r w:rsidR="003A26B5">
              <w:rPr>
                <w:noProof/>
                <w:webHidden/>
              </w:rPr>
              <w:fldChar w:fldCharType="end"/>
            </w:r>
          </w:hyperlink>
        </w:p>
        <w:p w14:paraId="5333A1FD" w14:textId="0ABDFFD1" w:rsidR="003A26B5" w:rsidRDefault="00F60B0B">
          <w:pPr>
            <w:pStyle w:val="1a"/>
            <w:rPr>
              <w:rFonts w:asciiTheme="minorHAnsi" w:eastAsiaTheme="minorEastAsia" w:hAnsiTheme="minorHAnsi"/>
              <w:noProof/>
              <w:szCs w:val="24"/>
              <w:lang w:eastAsia="ru-RU"/>
            </w:rPr>
          </w:pPr>
          <w:hyperlink w:anchor="_Toc66184350" w:history="1">
            <w:r w:rsidR="003A26B5" w:rsidRPr="00E166DB">
              <w:rPr>
                <w:rStyle w:val="affd"/>
                <w:noProof/>
              </w:rPr>
              <w:t>Приложение Б. Алгоритмы действий врача</w:t>
            </w:r>
            <w:r w:rsidR="003A26B5">
              <w:rPr>
                <w:noProof/>
                <w:webHidden/>
              </w:rPr>
              <w:tab/>
            </w:r>
            <w:r w:rsidR="003A26B5">
              <w:rPr>
                <w:noProof/>
                <w:webHidden/>
              </w:rPr>
              <w:fldChar w:fldCharType="begin"/>
            </w:r>
            <w:r w:rsidR="003A26B5">
              <w:rPr>
                <w:noProof/>
                <w:webHidden/>
              </w:rPr>
              <w:instrText xml:space="preserve"> PAGEREF _Toc66184350 \h </w:instrText>
            </w:r>
            <w:r w:rsidR="003A26B5">
              <w:rPr>
                <w:noProof/>
                <w:webHidden/>
              </w:rPr>
            </w:r>
            <w:r w:rsidR="003A26B5">
              <w:rPr>
                <w:noProof/>
                <w:webHidden/>
              </w:rPr>
              <w:fldChar w:fldCharType="separate"/>
            </w:r>
            <w:r w:rsidR="003A26B5">
              <w:rPr>
                <w:noProof/>
                <w:webHidden/>
              </w:rPr>
              <w:t>251</w:t>
            </w:r>
            <w:r w:rsidR="003A26B5">
              <w:rPr>
                <w:noProof/>
                <w:webHidden/>
              </w:rPr>
              <w:fldChar w:fldCharType="end"/>
            </w:r>
          </w:hyperlink>
        </w:p>
        <w:p w14:paraId="7EDA39DA" w14:textId="55BEAA7C" w:rsidR="003A26B5" w:rsidRDefault="00F60B0B">
          <w:pPr>
            <w:pStyle w:val="1a"/>
            <w:rPr>
              <w:rFonts w:asciiTheme="minorHAnsi" w:eastAsiaTheme="minorEastAsia" w:hAnsiTheme="minorHAnsi"/>
              <w:noProof/>
              <w:szCs w:val="24"/>
              <w:lang w:eastAsia="ru-RU"/>
            </w:rPr>
          </w:pPr>
          <w:hyperlink w:anchor="_Toc66184351" w:history="1">
            <w:r w:rsidR="003A26B5" w:rsidRPr="00E166DB">
              <w:rPr>
                <w:rStyle w:val="affd"/>
                <w:noProof/>
              </w:rPr>
              <w:t>Приложение В. Информация для пациента</w:t>
            </w:r>
            <w:r w:rsidR="003A26B5">
              <w:rPr>
                <w:noProof/>
                <w:webHidden/>
              </w:rPr>
              <w:tab/>
            </w:r>
            <w:r w:rsidR="003A26B5">
              <w:rPr>
                <w:noProof/>
                <w:webHidden/>
              </w:rPr>
              <w:fldChar w:fldCharType="begin"/>
            </w:r>
            <w:r w:rsidR="003A26B5">
              <w:rPr>
                <w:noProof/>
                <w:webHidden/>
              </w:rPr>
              <w:instrText xml:space="preserve"> PAGEREF _Toc66184351 \h </w:instrText>
            </w:r>
            <w:r w:rsidR="003A26B5">
              <w:rPr>
                <w:noProof/>
                <w:webHidden/>
              </w:rPr>
            </w:r>
            <w:r w:rsidR="003A26B5">
              <w:rPr>
                <w:noProof/>
                <w:webHidden/>
              </w:rPr>
              <w:fldChar w:fldCharType="separate"/>
            </w:r>
            <w:r w:rsidR="003A26B5">
              <w:rPr>
                <w:noProof/>
                <w:webHidden/>
              </w:rPr>
              <w:t>253</w:t>
            </w:r>
            <w:r w:rsidR="003A26B5">
              <w:rPr>
                <w:noProof/>
                <w:webHidden/>
              </w:rPr>
              <w:fldChar w:fldCharType="end"/>
            </w:r>
          </w:hyperlink>
        </w:p>
        <w:p w14:paraId="05DF722B" w14:textId="14EA6353" w:rsidR="00172112" w:rsidRPr="00FE2263" w:rsidRDefault="00172112" w:rsidP="00A86E5F">
          <w:pPr>
            <w:rPr>
              <w:rFonts w:cs="Times New Roman"/>
              <w:szCs w:val="24"/>
            </w:rPr>
          </w:pPr>
          <w:r w:rsidRPr="00FE2263">
            <w:rPr>
              <w:rFonts w:cs="Times New Roman"/>
              <w:b/>
              <w:bCs/>
              <w:szCs w:val="24"/>
            </w:rPr>
            <w:fldChar w:fldCharType="end"/>
          </w:r>
        </w:p>
      </w:sdtContent>
    </w:sdt>
    <w:p w14:paraId="682B8009" w14:textId="77777777" w:rsidR="00172112" w:rsidRPr="00FE2263" w:rsidRDefault="00172112" w:rsidP="00172112"/>
    <w:p w14:paraId="67DBBDBF" w14:textId="77777777" w:rsidR="00172112" w:rsidRPr="00FE2263" w:rsidRDefault="00172112" w:rsidP="00FF5AFB">
      <w:pPr>
        <w:pStyle w:val="affa"/>
        <w:rPr>
          <w:sz w:val="28"/>
        </w:rPr>
      </w:pPr>
      <w:r w:rsidRPr="00FE2263">
        <w:br w:type="page"/>
      </w:r>
    </w:p>
    <w:p w14:paraId="740B387A" w14:textId="77777777" w:rsidR="000414F6" w:rsidRPr="00FE2263" w:rsidRDefault="00CB71DA" w:rsidP="00C4630C">
      <w:pPr>
        <w:pStyle w:val="afff2"/>
      </w:pPr>
      <w:bookmarkStart w:id="4" w:name="__RefHeading___doc_abbreviation"/>
      <w:bookmarkStart w:id="5" w:name="_Toc11747727"/>
      <w:bookmarkStart w:id="6" w:name="_Toc66184301"/>
      <w:r w:rsidRPr="00FE2263">
        <w:lastRenderedPageBreak/>
        <w:t>Список сокращений</w:t>
      </w:r>
      <w:bookmarkEnd w:id="4"/>
      <w:bookmarkEnd w:id="5"/>
      <w:bookmarkEnd w:id="6"/>
    </w:p>
    <w:p w14:paraId="6D829654" w14:textId="77777777" w:rsidR="00B8381E" w:rsidRPr="00FE2263" w:rsidRDefault="00B8381E" w:rsidP="00B8381E">
      <w:pPr>
        <w:pStyle w:val="afd"/>
      </w:pPr>
      <w:r w:rsidRPr="00FE2263">
        <w:t>HSV-8 – вирус простого герпеса тип 8</w:t>
      </w:r>
    </w:p>
    <w:p w14:paraId="45CE1804" w14:textId="77777777" w:rsidR="00B8381E" w:rsidRPr="00FE2263" w:rsidRDefault="00B8381E" w:rsidP="00B8381E">
      <w:pPr>
        <w:pStyle w:val="afd"/>
      </w:pPr>
      <w:r w:rsidRPr="00FE2263">
        <w:t>IgM – иммуноглобулин М</w:t>
      </w:r>
    </w:p>
    <w:p w14:paraId="0E7C22E7" w14:textId="77777777" w:rsidR="00B8381E" w:rsidRPr="00FE2263" w:rsidRDefault="00B8381E" w:rsidP="00B8381E">
      <w:pPr>
        <w:pStyle w:val="afd"/>
      </w:pPr>
      <w:r w:rsidRPr="00FE2263">
        <w:t>аутоТГСК - аутотрансплантация гемопоэтических стволовых клеток</w:t>
      </w:r>
    </w:p>
    <w:p w14:paraId="613F9410" w14:textId="5A3340E7" w:rsidR="005428BC" w:rsidRPr="00FE2263" w:rsidRDefault="005428BC" w:rsidP="00B8381E">
      <w:pPr>
        <w:pStyle w:val="afd"/>
      </w:pPr>
      <w:r w:rsidRPr="00FE2263">
        <w:t>АЛТ - аланинаминотрансфераза</w:t>
      </w:r>
    </w:p>
    <w:p w14:paraId="05F1B15E" w14:textId="24E5FE3B" w:rsidR="005428BC" w:rsidRPr="00FE2263" w:rsidRDefault="005428BC" w:rsidP="00B8381E">
      <w:pPr>
        <w:pStyle w:val="afd"/>
      </w:pPr>
      <w:r w:rsidRPr="00FE2263">
        <w:t>АСТ - аспартатаминотрансфераза</w:t>
      </w:r>
    </w:p>
    <w:p w14:paraId="799F9817" w14:textId="08B18607" w:rsidR="005428BC" w:rsidRPr="00FE2263" w:rsidRDefault="005428BC" w:rsidP="00B8381E">
      <w:pPr>
        <w:pStyle w:val="afd"/>
      </w:pPr>
      <w:r w:rsidRPr="00FE2263">
        <w:t>АЧТВ – активированное частичное тромбопластиновое время</w:t>
      </w:r>
    </w:p>
    <w:p w14:paraId="4B53BC67" w14:textId="7A78C385" w:rsidR="00B8381E" w:rsidRPr="00FE2263" w:rsidRDefault="00B8381E" w:rsidP="00B8381E">
      <w:pPr>
        <w:pStyle w:val="afd"/>
      </w:pPr>
      <w:r w:rsidRPr="00FE2263">
        <w:t>ВБП – выживаемость без прогрессии</w:t>
      </w:r>
    </w:p>
    <w:p w14:paraId="666F9601" w14:textId="77777777" w:rsidR="00B8381E" w:rsidRPr="00FE2263" w:rsidRDefault="00B8381E" w:rsidP="00B8381E">
      <w:pPr>
        <w:pStyle w:val="afd"/>
      </w:pPr>
      <w:r w:rsidRPr="00FE2263">
        <w:t>ВДП – выживаемость до прогрессии</w:t>
      </w:r>
    </w:p>
    <w:p w14:paraId="61DA955A" w14:textId="77777777" w:rsidR="00B8381E" w:rsidRPr="00FE2263" w:rsidRDefault="00B8381E" w:rsidP="00B8381E">
      <w:pPr>
        <w:pStyle w:val="afd"/>
      </w:pPr>
      <w:r w:rsidRPr="00FE2263">
        <w:t>ВДХТ – высокодозная химиотерапия</w:t>
      </w:r>
    </w:p>
    <w:p w14:paraId="19A09A9A" w14:textId="77777777" w:rsidR="00B8381E" w:rsidRPr="00FE2263" w:rsidRDefault="00B8381E" w:rsidP="00B8381E">
      <w:pPr>
        <w:pStyle w:val="afd"/>
      </w:pPr>
      <w:r w:rsidRPr="00FE2263">
        <w:t>ВИЧ – вирус иммунодефицита человека</w:t>
      </w:r>
    </w:p>
    <w:p w14:paraId="4157D7EB" w14:textId="77777777" w:rsidR="00B8381E" w:rsidRPr="00FE2263" w:rsidRDefault="00B8381E" w:rsidP="00B8381E">
      <w:pPr>
        <w:pStyle w:val="afd"/>
      </w:pPr>
      <w:r w:rsidRPr="00FE2263">
        <w:t>ГСК – гемопоэтические клетки</w:t>
      </w:r>
    </w:p>
    <w:p w14:paraId="62032145" w14:textId="77777777" w:rsidR="00B8381E" w:rsidRPr="00FE2263" w:rsidRDefault="00B8381E" w:rsidP="00B8381E">
      <w:pPr>
        <w:pStyle w:val="afd"/>
      </w:pPr>
      <w:r w:rsidRPr="00FE2263">
        <w:t>ИФТ – иммунофенотипирование методом проточной цитометрии</w:t>
      </w:r>
    </w:p>
    <w:p w14:paraId="2D20382C" w14:textId="77777777" w:rsidR="00B8381E" w:rsidRPr="00FE2263" w:rsidRDefault="00B8381E" w:rsidP="00B8381E">
      <w:pPr>
        <w:pStyle w:val="afd"/>
      </w:pPr>
      <w:r w:rsidRPr="00FE2263">
        <w:t>КТ – компьютерная томография</w:t>
      </w:r>
    </w:p>
    <w:p w14:paraId="5DC841D8" w14:textId="5C2648BA" w:rsidR="005428BC" w:rsidRPr="00FE2263" w:rsidRDefault="005428BC" w:rsidP="00B8381E">
      <w:pPr>
        <w:pStyle w:val="afd"/>
      </w:pPr>
      <w:r w:rsidRPr="00FE2263">
        <w:t xml:space="preserve">ЛДГ – лактатдегидрогеназа </w:t>
      </w:r>
    </w:p>
    <w:p w14:paraId="4817BD3C" w14:textId="2C6946A7" w:rsidR="00B8381E" w:rsidRPr="00FE2263" w:rsidRDefault="00B8381E" w:rsidP="00B8381E">
      <w:pPr>
        <w:pStyle w:val="afd"/>
      </w:pPr>
      <w:r w:rsidRPr="00FE2263">
        <w:t>МВ - Макроглобулинемия Вальденстрема</w:t>
      </w:r>
    </w:p>
    <w:p w14:paraId="51C38B0D" w14:textId="77777777" w:rsidR="00B8381E" w:rsidRPr="00FE2263" w:rsidRDefault="00B8381E" w:rsidP="00B8381E">
      <w:pPr>
        <w:pStyle w:val="afd"/>
      </w:pPr>
      <w:r w:rsidRPr="00FE2263">
        <w:t>НСV – вирус гепатита С</w:t>
      </w:r>
    </w:p>
    <w:p w14:paraId="55BA4CE9" w14:textId="77777777" w:rsidR="00B8381E" w:rsidRPr="00FE2263" w:rsidRDefault="00B8381E" w:rsidP="00B8381E">
      <w:pPr>
        <w:pStyle w:val="afd"/>
      </w:pPr>
      <w:r w:rsidRPr="00FE2263">
        <w:t>НХЛ – нехождкинские лимфомы</w:t>
      </w:r>
    </w:p>
    <w:p w14:paraId="672562A8" w14:textId="77777777" w:rsidR="00B8381E" w:rsidRPr="00FE2263" w:rsidRDefault="00B8381E" w:rsidP="00B8381E">
      <w:pPr>
        <w:pStyle w:val="afd"/>
      </w:pPr>
      <w:r w:rsidRPr="00FE2263">
        <w:t>ОВ – общая выживаемость</w:t>
      </w:r>
    </w:p>
    <w:p w14:paraId="2046A2F8" w14:textId="77777777" w:rsidR="00B8381E" w:rsidRPr="00FE2263" w:rsidRDefault="00B8381E" w:rsidP="00B8381E">
      <w:pPr>
        <w:pStyle w:val="afd"/>
      </w:pPr>
      <w:r w:rsidRPr="00FE2263">
        <w:t>ОХЧР – очень хорошая частичная ремиссия</w:t>
      </w:r>
    </w:p>
    <w:p w14:paraId="50E6D910" w14:textId="77777777" w:rsidR="00B8381E" w:rsidRPr="00FE2263" w:rsidRDefault="00B8381E" w:rsidP="00B8381E">
      <w:pPr>
        <w:pStyle w:val="afd"/>
      </w:pPr>
      <w:r w:rsidRPr="00FE2263">
        <w:t>ПЗ – прогрессия заболевания</w:t>
      </w:r>
    </w:p>
    <w:p w14:paraId="432213E7" w14:textId="77777777" w:rsidR="00B8381E" w:rsidRPr="00FE2263" w:rsidRDefault="00B8381E" w:rsidP="00B8381E">
      <w:pPr>
        <w:pStyle w:val="afd"/>
      </w:pPr>
      <w:r w:rsidRPr="00FE2263">
        <w:t>ПР – полная ремиссия</w:t>
      </w:r>
    </w:p>
    <w:p w14:paraId="0D625DA3" w14:textId="77777777" w:rsidR="00B8381E" w:rsidRPr="00FE2263" w:rsidRDefault="00B8381E" w:rsidP="00B8381E">
      <w:pPr>
        <w:pStyle w:val="afd"/>
      </w:pPr>
      <w:r w:rsidRPr="00FE2263">
        <w:t>Ст – стабилизация заболевания</w:t>
      </w:r>
    </w:p>
    <w:p w14:paraId="11AEEC17" w14:textId="77777777" w:rsidR="00B8381E" w:rsidRPr="00FE2263" w:rsidRDefault="00B8381E" w:rsidP="00B8381E">
      <w:pPr>
        <w:pStyle w:val="afd"/>
      </w:pPr>
      <w:r w:rsidRPr="00FE2263">
        <w:lastRenderedPageBreak/>
        <w:t>УЗИ – ультразвуковое исследование</w:t>
      </w:r>
    </w:p>
    <w:p w14:paraId="7EA3F8D5" w14:textId="77777777" w:rsidR="00B8381E" w:rsidRPr="00FE2263" w:rsidRDefault="00B8381E" w:rsidP="00B8381E">
      <w:pPr>
        <w:pStyle w:val="afd"/>
      </w:pPr>
      <w:r w:rsidRPr="00FE2263">
        <w:t>ЧР – частичная ремиссия</w:t>
      </w:r>
    </w:p>
    <w:p w14:paraId="738DF258" w14:textId="77777777" w:rsidR="00B8381E" w:rsidRPr="00FE2263" w:rsidRDefault="00B8381E" w:rsidP="00B8381E">
      <w:pPr>
        <w:pStyle w:val="afd"/>
      </w:pPr>
      <w:r w:rsidRPr="00FE2263">
        <w:t>ЭКГ – электрокардиография</w:t>
      </w:r>
    </w:p>
    <w:p w14:paraId="27971A9F" w14:textId="77777777" w:rsidR="00B8381E" w:rsidRPr="00FE2263" w:rsidRDefault="00B8381E" w:rsidP="00B8381E">
      <w:pPr>
        <w:pStyle w:val="afd"/>
      </w:pPr>
      <w:r w:rsidRPr="00FE2263">
        <w:t>Эхо-КГ – эхокардиография</w:t>
      </w:r>
    </w:p>
    <w:p w14:paraId="6AE51AF4" w14:textId="77777777" w:rsidR="000414F6" w:rsidRPr="00FE2263" w:rsidRDefault="00CB71DA" w:rsidP="00FA741B">
      <w:pPr>
        <w:pStyle w:val="afff2"/>
      </w:pPr>
      <w:r w:rsidRPr="00FE2263">
        <w:br w:type="page"/>
      </w:r>
      <w:bookmarkStart w:id="7" w:name="__RefHeading___doc_terms"/>
      <w:bookmarkStart w:id="8" w:name="_Toc11747728"/>
      <w:bookmarkStart w:id="9" w:name="_Toc66184302"/>
      <w:r w:rsidRPr="00FE2263">
        <w:lastRenderedPageBreak/>
        <w:t>Термины и определения</w:t>
      </w:r>
      <w:bookmarkEnd w:id="7"/>
      <w:bookmarkEnd w:id="8"/>
      <w:bookmarkEnd w:id="9"/>
    </w:p>
    <w:p w14:paraId="7247F0A2" w14:textId="77777777" w:rsidR="00B8381E" w:rsidRPr="00FE2263" w:rsidRDefault="00B8381E" w:rsidP="00F817BC">
      <w:pPr>
        <w:pStyle w:val="afd"/>
        <w:spacing w:beforeAutospacing="0" w:afterAutospacing="0" w:line="360" w:lineRule="auto"/>
      </w:pPr>
      <w:r w:rsidRPr="00FE2263">
        <w:rPr>
          <w:rStyle w:val="affb"/>
        </w:rPr>
        <w:t>Макроглобулинемия Вальденстрема (МВ)</w:t>
      </w:r>
      <w:r w:rsidRPr="00FE2263">
        <w:t xml:space="preserve"> - В-клеточная лимфоплазмоцитарная лимфома с преимущественным поражением костного мозга и секрецией моноклонального иммуноглобулина М (IgM).</w:t>
      </w:r>
    </w:p>
    <w:p w14:paraId="4CE76991" w14:textId="77777777" w:rsidR="00B8381E" w:rsidRPr="00FE2263" w:rsidRDefault="00B8381E" w:rsidP="00F817BC">
      <w:pPr>
        <w:pStyle w:val="afd"/>
        <w:spacing w:beforeAutospacing="0" w:afterAutospacing="0" w:line="360" w:lineRule="auto"/>
      </w:pPr>
      <w:r w:rsidRPr="00FE2263">
        <w:rPr>
          <w:rStyle w:val="affb"/>
        </w:rPr>
        <w:t>Лимфоплазмоцитарная лимфома</w:t>
      </w:r>
      <w:r w:rsidRPr="00FE2263">
        <w:t xml:space="preserve"> – это В-клеточная опухоль, образованная мелкими лимфоподобными клетками, лимфоидными клетками с плазмоцитарной дифференцировкой, плазматическими клетками.</w:t>
      </w:r>
    </w:p>
    <w:p w14:paraId="64C9BD1C" w14:textId="77777777" w:rsidR="00B8381E" w:rsidRPr="00FE2263" w:rsidRDefault="00B8381E" w:rsidP="00F817BC">
      <w:pPr>
        <w:pStyle w:val="afd"/>
        <w:spacing w:beforeAutospacing="0" w:afterAutospacing="0" w:line="360" w:lineRule="auto"/>
      </w:pPr>
      <w:r w:rsidRPr="00FE2263">
        <w:rPr>
          <w:rStyle w:val="affb"/>
        </w:rPr>
        <w:t>Иммунофенотипирование</w:t>
      </w:r>
      <w:r w:rsidRPr="00FE2263">
        <w:t xml:space="preserve"> - метод, основанный на реакции антиген-антитело и используемый для определения специфических типов клеток в образцах крови, костного мозга, лимфатических узлов и других тканей. Иммунофенотипирование выполняют с помощью мультипараметрической проточной цитофлюориметрии (обычно, как минимум, 4- или 6-цветной).</w:t>
      </w:r>
    </w:p>
    <w:p w14:paraId="2A68C86B" w14:textId="77777777" w:rsidR="00B8381E" w:rsidRPr="00FE2263" w:rsidRDefault="00B8381E" w:rsidP="00F817BC">
      <w:pPr>
        <w:pStyle w:val="afd"/>
        <w:spacing w:beforeAutospacing="0" w:afterAutospacing="0" w:line="360" w:lineRule="auto"/>
      </w:pPr>
      <w:r w:rsidRPr="00FE2263">
        <w:rPr>
          <w:rStyle w:val="affb"/>
        </w:rPr>
        <w:t>Ремиссия</w:t>
      </w:r>
      <w:r w:rsidRPr="00FE2263">
        <w:t xml:space="preserve"> - период течения заболевания, который характеризуется значительным ослаблением или полным исчезновением симптомов заболевания, в том числе по данным выполненных лабораторных и инструментальных методов исследования.</w:t>
      </w:r>
    </w:p>
    <w:p w14:paraId="10DD8445" w14:textId="77777777" w:rsidR="00B8381E" w:rsidRPr="00FE2263" w:rsidRDefault="00B8381E" w:rsidP="00F817BC">
      <w:pPr>
        <w:pStyle w:val="afd"/>
        <w:spacing w:beforeAutospacing="0" w:afterAutospacing="0" w:line="360" w:lineRule="auto"/>
      </w:pPr>
      <w:r w:rsidRPr="00FE2263">
        <w:rPr>
          <w:rStyle w:val="affb"/>
        </w:rPr>
        <w:t>Рецидив</w:t>
      </w:r>
      <w:r w:rsidRPr="00FE2263">
        <w:t xml:space="preserve"> – возврат клиники заболевания, в том числе и по данным лабораторных и инструментальных методов исследований.</w:t>
      </w:r>
    </w:p>
    <w:p w14:paraId="1D2804EA" w14:textId="77777777" w:rsidR="00B8381E" w:rsidRPr="00FE2263" w:rsidRDefault="00B8381E" w:rsidP="00F817BC">
      <w:pPr>
        <w:pStyle w:val="afd"/>
        <w:spacing w:beforeAutospacing="0" w:afterAutospacing="0" w:line="360" w:lineRule="auto"/>
      </w:pPr>
      <w:r w:rsidRPr="00FE2263">
        <w:rPr>
          <w:rStyle w:val="affb"/>
        </w:rPr>
        <w:t>Синдром гипервязкости</w:t>
      </w:r>
      <w:r w:rsidRPr="00FE2263">
        <w:t xml:space="preserve"> – встречается в случаях, когда уровень патологического IgM превышает 30 г/л. В данном случае происходит взаимодействие парапротеина с миелиновой оболочкой, что приводит к появлению неврологической симптоматики: нейропатия, снижение зрения, парезы, повышенная утомляемость, слабость, сонливость, снижение памяти.</w:t>
      </w:r>
    </w:p>
    <w:p w14:paraId="2351412D" w14:textId="77777777" w:rsidR="00B8381E" w:rsidRPr="00FE2263" w:rsidRDefault="00B8381E" w:rsidP="00F817BC">
      <w:pPr>
        <w:pStyle w:val="afd"/>
        <w:spacing w:beforeAutospacing="0" w:afterAutospacing="0" w:line="360" w:lineRule="auto"/>
      </w:pPr>
      <w:r w:rsidRPr="00FE2263">
        <w:rPr>
          <w:rStyle w:val="affb"/>
        </w:rPr>
        <w:t>Трансплантация аутологичных гемопоэтических стволовых клеток</w:t>
      </w:r>
      <w:r w:rsidRPr="00FE2263">
        <w:t xml:space="preserve"> – трансфузия заготовленных ранее стволовых клеток самого пациента, которая выполняется после предварительной высокодозной химиотерапии.</w:t>
      </w:r>
    </w:p>
    <w:p w14:paraId="7F3E2FB7" w14:textId="77777777" w:rsidR="001D40F8" w:rsidRPr="00FE2263" w:rsidRDefault="001D40F8" w:rsidP="00F817BC">
      <w:pPr>
        <w:rPr>
          <w:szCs w:val="24"/>
        </w:rPr>
      </w:pPr>
    </w:p>
    <w:p w14:paraId="0FB96D8E" w14:textId="77777777" w:rsidR="00275A41" w:rsidRPr="00FE2263" w:rsidRDefault="00CB71DA" w:rsidP="00F817BC">
      <w:pPr>
        <w:pStyle w:val="afd"/>
        <w:spacing w:beforeAutospacing="0" w:afterAutospacing="0" w:line="360" w:lineRule="auto"/>
        <w:divId w:val="576134796"/>
      </w:pPr>
      <w:r w:rsidRPr="00FE2263">
        <w:t>                                   </w:t>
      </w:r>
    </w:p>
    <w:p w14:paraId="57AC8D9E" w14:textId="77777777" w:rsidR="00B8195D" w:rsidRPr="00FE2263" w:rsidRDefault="00CB71DA" w:rsidP="00004D38">
      <w:pPr>
        <w:pStyle w:val="afff2"/>
        <w:spacing w:before="0"/>
      </w:pPr>
      <w:r w:rsidRPr="00FE2263">
        <w:br w:type="page"/>
      </w:r>
      <w:bookmarkStart w:id="10" w:name="__RefHeading___doc_1"/>
    </w:p>
    <w:p w14:paraId="11C1C69C" w14:textId="77777777" w:rsidR="000414F6" w:rsidRPr="00FE2263" w:rsidRDefault="00CB71DA" w:rsidP="00F817BC">
      <w:pPr>
        <w:pStyle w:val="afff2"/>
        <w:spacing w:before="0"/>
      </w:pPr>
      <w:bookmarkStart w:id="11" w:name="_Toc11747729"/>
      <w:bookmarkStart w:id="12" w:name="_Toc66184303"/>
      <w:r w:rsidRPr="00FE2263">
        <w:lastRenderedPageBreak/>
        <w:t>1. Краткая информация</w:t>
      </w:r>
      <w:bookmarkEnd w:id="10"/>
      <w:r w:rsidR="00384B6A" w:rsidRPr="00FE2263">
        <w:t xml:space="preserve"> по заболеванию или состоянию (группе заболеваний или состояний)</w:t>
      </w:r>
      <w:bookmarkEnd w:id="11"/>
      <w:bookmarkEnd w:id="12"/>
    </w:p>
    <w:p w14:paraId="51ED0AD7" w14:textId="77777777" w:rsidR="00B46390" w:rsidRPr="00FE2263" w:rsidRDefault="00B46390" w:rsidP="00F817BC">
      <w:pPr>
        <w:pStyle w:val="2"/>
        <w:spacing w:before="0"/>
      </w:pPr>
      <w:bookmarkStart w:id="13" w:name="_Toc469402330"/>
      <w:bookmarkStart w:id="14" w:name="_Toc468273527"/>
      <w:bookmarkStart w:id="15" w:name="_Toc468273445"/>
      <w:bookmarkStart w:id="16" w:name="_Toc11747730"/>
      <w:bookmarkStart w:id="17" w:name="_Toc66184304"/>
      <w:bookmarkStart w:id="18" w:name="__RefHeading___doc_2"/>
      <w:bookmarkEnd w:id="13"/>
      <w:bookmarkEnd w:id="14"/>
      <w:bookmarkEnd w:id="15"/>
      <w:r w:rsidRPr="00FE2263">
        <w:t>1.1 Определение</w:t>
      </w:r>
      <w:bookmarkEnd w:id="16"/>
      <w:r w:rsidR="00311757" w:rsidRPr="00FE2263">
        <w:t xml:space="preserve"> заболевания или состояния (группы заболеваний или состояний)</w:t>
      </w:r>
      <w:bookmarkEnd w:id="17"/>
    </w:p>
    <w:p w14:paraId="0DC5AE7A" w14:textId="77777777" w:rsidR="00B8381E" w:rsidRPr="00FE2263" w:rsidRDefault="00B8381E" w:rsidP="00F817BC">
      <w:pPr>
        <w:pStyle w:val="afd"/>
        <w:spacing w:beforeAutospacing="0" w:afterAutospacing="0" w:line="360" w:lineRule="auto"/>
        <w:rPr>
          <w:rFonts w:eastAsiaTheme="minorEastAsia"/>
        </w:rPr>
      </w:pPr>
      <w:bookmarkStart w:id="19" w:name="_Toc11747731"/>
      <w:r w:rsidRPr="00FE2263">
        <w:t>Макроглобулинемия Вальденстрема (МВ) - В-клеточная лимфоплазмоцитарная лимфома с преимущественным поражением костного мозга и секрецией моноклонального иммуноглобулина М (IgM). В редких случаях (менее 5%) могут встречаться лимфоплазмоцитарные лимфомы с секрецией IgA, IgG или несекретирующий вариант болезни.</w:t>
      </w:r>
    </w:p>
    <w:p w14:paraId="73C34606" w14:textId="77777777" w:rsidR="00B46390" w:rsidRPr="00FE2263" w:rsidRDefault="00B46390" w:rsidP="00F817BC">
      <w:pPr>
        <w:pStyle w:val="2"/>
        <w:spacing w:before="0"/>
      </w:pPr>
      <w:bookmarkStart w:id="20" w:name="_Toc66184305"/>
      <w:r w:rsidRPr="00FE2263">
        <w:t>1.2 Этиология и патогенез</w:t>
      </w:r>
      <w:bookmarkEnd w:id="19"/>
      <w:r w:rsidR="00311757" w:rsidRPr="00FE2263">
        <w:t xml:space="preserve"> заболевания или состояния (группы заболеваний или состояний)</w:t>
      </w:r>
      <w:bookmarkEnd w:id="20"/>
    </w:p>
    <w:p w14:paraId="25624DDD" w14:textId="77777777" w:rsidR="00E0145A" w:rsidRPr="00FE2263" w:rsidRDefault="00B8381E" w:rsidP="00F817BC">
      <w:pPr>
        <w:pStyle w:val="1f1"/>
      </w:pPr>
      <w:r w:rsidRPr="00FE2263">
        <w:t>Причины развития MВ, как и других лимфом, неясны. Обсуждается ряд факторов: генетическая предрасположенность, дефект Т-клеточной супрессорной функции</w:t>
      </w:r>
      <w:r w:rsidRPr="00FE2263">
        <w:rPr>
          <w:rStyle w:val="affb"/>
        </w:rPr>
        <w:t>;</w:t>
      </w:r>
      <w:r w:rsidRPr="00FE2263">
        <w:t xml:space="preserve"> влияние радиационных воздействий, химических мутагенов и вирусов (например, НСV, HSV-8, ВИЧ). Существенным фактором риска развития МВ является наличие в анамнезе IgM-моноклональной гаммапатии неопределенного (неуточненного) генеза (IgM-MGUS).</w:t>
      </w:r>
    </w:p>
    <w:p w14:paraId="4751F086" w14:textId="77777777" w:rsidR="00B46390" w:rsidRPr="00FE2263" w:rsidRDefault="00B46390" w:rsidP="00F817BC">
      <w:pPr>
        <w:pStyle w:val="2"/>
        <w:spacing w:before="0"/>
      </w:pPr>
      <w:bookmarkStart w:id="21" w:name="_Toc11747732"/>
      <w:bookmarkStart w:id="22" w:name="_Toc66184306"/>
      <w:r w:rsidRPr="00FE2263">
        <w:t>1.3 Эпидемиология</w:t>
      </w:r>
      <w:bookmarkEnd w:id="21"/>
      <w:r w:rsidR="00311757" w:rsidRPr="00FE2263">
        <w:t xml:space="preserve"> заболевания или состояния (группы заболеваний или состояний)</w:t>
      </w:r>
      <w:bookmarkEnd w:id="22"/>
    </w:p>
    <w:p w14:paraId="2D852B55" w14:textId="595F9403" w:rsidR="00B8381E" w:rsidRPr="00FE2263" w:rsidRDefault="00B8381E" w:rsidP="00F817BC">
      <w:pPr>
        <w:pStyle w:val="afd"/>
        <w:spacing w:beforeAutospacing="0" w:afterAutospacing="0" w:line="360" w:lineRule="auto"/>
        <w:rPr>
          <w:rFonts w:eastAsiaTheme="minorEastAsia"/>
        </w:rPr>
      </w:pPr>
      <w:r w:rsidRPr="00FE2263">
        <w:t xml:space="preserve">МВ составляет около 2% от всех гемобластозов с заболеваемостью от 2 до 5 случаев на 1 млн населения в год. Максимум заболеваемости приходится на шестое - седьмое десятилетия жизни с медианой возраста </w:t>
      </w:r>
      <w:r w:rsidR="001C75A3" w:rsidRPr="00FE2263">
        <w:t xml:space="preserve">пациентов </w:t>
      </w:r>
      <w:r w:rsidRPr="00FE2263">
        <w:t>63 года, и редко встречается у пациентов моложе 40 лет. Соотношение м: ж равняется 2,3: 1.</w:t>
      </w:r>
    </w:p>
    <w:p w14:paraId="68DC2FDF" w14:textId="77777777" w:rsidR="00311757" w:rsidRPr="00FE2263" w:rsidRDefault="00B46390" w:rsidP="00F817BC">
      <w:pPr>
        <w:pStyle w:val="2"/>
        <w:spacing w:before="0"/>
      </w:pPr>
      <w:bookmarkStart w:id="23" w:name="_Toc66184307"/>
      <w:r w:rsidRPr="00FE2263">
        <w:t xml:space="preserve">1.4 </w:t>
      </w:r>
      <w:r w:rsidR="00311757" w:rsidRPr="00FE2263">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23"/>
    </w:p>
    <w:p w14:paraId="62256F9A" w14:textId="77777777" w:rsidR="00315A5D" w:rsidRPr="00FE2263" w:rsidRDefault="00B8381E" w:rsidP="00F817BC">
      <w:r w:rsidRPr="00FE2263">
        <w:t>С88.0 – макроглобулинемия Вальденстрема</w:t>
      </w:r>
    </w:p>
    <w:p w14:paraId="51374EDF" w14:textId="77777777" w:rsidR="00B46390" w:rsidRPr="00FE2263" w:rsidRDefault="00B46390" w:rsidP="00F817BC">
      <w:pPr>
        <w:pStyle w:val="2"/>
        <w:spacing w:before="0"/>
      </w:pPr>
      <w:bookmarkStart w:id="24" w:name="_Toc11747734"/>
      <w:bookmarkStart w:id="25" w:name="_Toc66184308"/>
      <w:r w:rsidRPr="00FE2263">
        <w:t>1.5 Классификация</w:t>
      </w:r>
      <w:bookmarkEnd w:id="24"/>
      <w:r w:rsidR="00311757" w:rsidRPr="00FE2263">
        <w:t xml:space="preserve"> заболевания или состояния (группы заболеваний или состояний)</w:t>
      </w:r>
      <w:bookmarkEnd w:id="25"/>
    </w:p>
    <w:p w14:paraId="51D99861" w14:textId="77777777" w:rsidR="00364741" w:rsidRPr="00FE2263" w:rsidRDefault="00B8381E" w:rsidP="00F817BC">
      <w:pPr>
        <w:pStyle w:val="1f1"/>
      </w:pPr>
      <w:r w:rsidRPr="00FE2263">
        <w:t xml:space="preserve">Нет </w:t>
      </w:r>
    </w:p>
    <w:p w14:paraId="23B79323" w14:textId="77777777" w:rsidR="00A70F44" w:rsidRPr="00FE2263" w:rsidRDefault="00B46390" w:rsidP="00F817BC">
      <w:pPr>
        <w:pStyle w:val="2"/>
        <w:spacing w:before="0"/>
      </w:pPr>
      <w:bookmarkStart w:id="26" w:name="_Toc11747735"/>
      <w:bookmarkStart w:id="27" w:name="_Toc66184309"/>
      <w:r w:rsidRPr="00FE2263">
        <w:t>1.6 Клиническая картина</w:t>
      </w:r>
      <w:bookmarkEnd w:id="26"/>
      <w:r w:rsidR="00A70F44" w:rsidRPr="00FE2263">
        <w:t xml:space="preserve"> заболевания или состояния (группы заболеваний или состояний)</w:t>
      </w:r>
      <w:bookmarkEnd w:id="27"/>
    </w:p>
    <w:p w14:paraId="5D3F3B2A" w14:textId="77777777" w:rsidR="00B8381E" w:rsidRPr="00FE2263" w:rsidRDefault="00B8381E" w:rsidP="00F817BC">
      <w:pPr>
        <w:pStyle w:val="afd"/>
        <w:spacing w:beforeAutospacing="0" w:afterAutospacing="0" w:line="360" w:lineRule="auto"/>
        <w:rPr>
          <w:rFonts w:eastAsiaTheme="minorEastAsia"/>
        </w:rPr>
      </w:pPr>
      <w:bookmarkStart w:id="28" w:name="_Toc11747736"/>
      <w:r w:rsidRPr="00FE2263">
        <w:t xml:space="preserve">Клиническая картина МВ определяется специфической лимфоидной инфильтрацией костного мозга, печени, селезенки, лимфатических узлов (иногда и других органов и тканей), а также наличием в сыворотке крови PIgM. Часты неспецифические астенические </w:t>
      </w:r>
      <w:r w:rsidRPr="00FE2263">
        <w:lastRenderedPageBreak/>
        <w:t>жалобы на слабость, повышенную утомляемость, артралгии, уменьшение массы тела, кровоточивость слизистых оболочек носа, десен, прямой кишки; неврологические расстройства. Гепато-спленомегалия и лимфаденопатия – частые, но необязательные признаки MВ.</w:t>
      </w:r>
    </w:p>
    <w:p w14:paraId="5DCDAD7F" w14:textId="77777777" w:rsidR="000414F6" w:rsidRPr="00FE2263" w:rsidRDefault="00B46390" w:rsidP="00F817BC">
      <w:pPr>
        <w:pStyle w:val="afff2"/>
        <w:spacing w:before="0"/>
      </w:pPr>
      <w:bookmarkStart w:id="29" w:name="_Toc66184310"/>
      <w:r w:rsidRPr="00FE2263">
        <w:t xml:space="preserve">2. </w:t>
      </w:r>
      <w:r w:rsidR="00CB71DA" w:rsidRPr="00FE2263">
        <w:t>Диагностика</w:t>
      </w:r>
      <w:bookmarkEnd w:id="18"/>
      <w:r w:rsidR="0038545E" w:rsidRPr="00FE2263">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28"/>
      <w:bookmarkEnd w:id="29"/>
    </w:p>
    <w:p w14:paraId="3685C8EA" w14:textId="77777777" w:rsidR="00B8381E" w:rsidRPr="00FE2263" w:rsidRDefault="00334F6C" w:rsidP="00F817BC">
      <w:pPr>
        <w:rPr>
          <w:b/>
          <w:i/>
        </w:rPr>
      </w:pPr>
      <w:r w:rsidRPr="00FE2263">
        <w:rPr>
          <w:b/>
          <w:i/>
        </w:rPr>
        <w:t>Критерии установления диагноза/</w:t>
      </w:r>
      <w:r w:rsidR="00B0565A" w:rsidRPr="00FE2263">
        <w:rPr>
          <w:b/>
          <w:i/>
        </w:rPr>
        <w:t>состояния</w:t>
      </w:r>
      <w:r w:rsidR="00ED5598" w:rsidRPr="00FE2263">
        <w:rPr>
          <w:b/>
          <w:i/>
        </w:rPr>
        <w:t xml:space="preserve">: </w:t>
      </w:r>
    </w:p>
    <w:p w14:paraId="45798270" w14:textId="77777777" w:rsidR="00B8381E" w:rsidRPr="00FE2263" w:rsidRDefault="00B8381E" w:rsidP="00F817BC">
      <w:pPr>
        <w:rPr>
          <w:rFonts w:eastAsia="Times New Roman"/>
          <w:i/>
          <w:iCs/>
          <w:color w:val="000000"/>
        </w:rPr>
      </w:pPr>
      <w:r w:rsidRPr="00FE2263">
        <w:rPr>
          <w:rFonts w:eastAsia="Times New Roman"/>
          <w:i/>
          <w:iCs/>
          <w:color w:val="000000"/>
        </w:rPr>
        <w:t>При установлении диагноза МВ должны присутствовать следующие критерии:</w:t>
      </w:r>
    </w:p>
    <w:p w14:paraId="618DDCD3" w14:textId="77777777" w:rsidR="00B8381E" w:rsidRPr="00FE2263" w:rsidRDefault="00B8381E" w:rsidP="00F817BC">
      <w:pPr>
        <w:numPr>
          <w:ilvl w:val="0"/>
          <w:numId w:val="4"/>
        </w:numPr>
        <w:tabs>
          <w:tab w:val="clear" w:pos="720"/>
          <w:tab w:val="num" w:pos="567"/>
        </w:tabs>
        <w:suppressAutoHyphens/>
        <w:ind w:left="567" w:hanging="567"/>
        <w:rPr>
          <w:rFonts w:eastAsia="Times New Roman"/>
          <w:i/>
          <w:iCs/>
          <w:color w:val="000000"/>
        </w:rPr>
      </w:pPr>
      <w:r w:rsidRPr="00FE2263">
        <w:rPr>
          <w:rFonts w:eastAsia="Times New Roman"/>
          <w:i/>
          <w:iCs/>
          <w:color w:val="000000"/>
        </w:rPr>
        <w:t xml:space="preserve">выявление моноклонального </w:t>
      </w:r>
      <w:r w:rsidRPr="00FE2263">
        <w:rPr>
          <w:rFonts w:eastAsia="Times New Roman"/>
          <w:i/>
          <w:iCs/>
          <w:color w:val="000000"/>
          <w:lang w:val="en-US"/>
        </w:rPr>
        <w:t>IgM</w:t>
      </w:r>
      <w:r w:rsidRPr="00FE2263">
        <w:rPr>
          <w:rFonts w:eastAsia="Times New Roman"/>
          <w:i/>
          <w:iCs/>
          <w:color w:val="000000"/>
        </w:rPr>
        <w:t xml:space="preserve"> в крови (независимо от уровня парапротеина);</w:t>
      </w:r>
    </w:p>
    <w:p w14:paraId="1A5D7833" w14:textId="77777777" w:rsidR="00B8381E" w:rsidRPr="00FE2263" w:rsidRDefault="00B8381E" w:rsidP="00F817BC">
      <w:pPr>
        <w:numPr>
          <w:ilvl w:val="0"/>
          <w:numId w:val="4"/>
        </w:numPr>
        <w:tabs>
          <w:tab w:val="clear" w:pos="720"/>
          <w:tab w:val="num" w:pos="567"/>
        </w:tabs>
        <w:suppressAutoHyphens/>
        <w:ind w:left="567" w:hanging="567"/>
        <w:rPr>
          <w:rFonts w:eastAsia="Times New Roman"/>
          <w:i/>
          <w:iCs/>
          <w:color w:val="000000"/>
        </w:rPr>
      </w:pPr>
      <w:r w:rsidRPr="00FE2263">
        <w:rPr>
          <w:rFonts w:eastAsia="Times New Roman"/>
          <w:i/>
          <w:iCs/>
          <w:color w:val="000000"/>
        </w:rPr>
        <w:t>инфильтрация костного мозга малыми лимфоцитами, плазмоцитоидными клетками и плазматическими клетками (диффузная, интерстициальная или нодулярная).</w:t>
      </w:r>
    </w:p>
    <w:p w14:paraId="0ED90570" w14:textId="77777777" w:rsidR="00B8381E" w:rsidRPr="00FE2263" w:rsidRDefault="00B8381E" w:rsidP="00F817BC">
      <w:pPr>
        <w:rPr>
          <w:rFonts w:eastAsia="Times New Roman"/>
          <w:i/>
          <w:iCs/>
          <w:color w:val="000000"/>
        </w:rPr>
      </w:pPr>
      <w:r w:rsidRPr="00FE2263">
        <w:rPr>
          <w:rFonts w:eastAsia="Times New Roman"/>
          <w:i/>
          <w:iCs/>
          <w:color w:val="000000"/>
        </w:rPr>
        <w:t>Решающее значение в дифференциальной диагностике имеют клиническая картина (в частности, незначительная лимфаденопатия при верифицированном поражении костного мозга), наличие и уровень М-протеина.</w:t>
      </w:r>
    </w:p>
    <w:p w14:paraId="36B2430C" w14:textId="77777777" w:rsidR="00B8381E" w:rsidRPr="00FE2263" w:rsidRDefault="00B8381E" w:rsidP="00F817BC">
      <w:pPr>
        <w:rPr>
          <w:i/>
          <w:iCs/>
        </w:rPr>
      </w:pPr>
      <w:r w:rsidRPr="00FE2263">
        <w:rPr>
          <w:i/>
          <w:iCs/>
        </w:rPr>
        <w:t xml:space="preserve">В случае секреции </w:t>
      </w:r>
      <w:r w:rsidRPr="00FE2263">
        <w:rPr>
          <w:i/>
          <w:iCs/>
          <w:lang w:val="en-US"/>
        </w:rPr>
        <w:t>IgA</w:t>
      </w:r>
      <w:r w:rsidRPr="00FE2263">
        <w:rPr>
          <w:i/>
          <w:iCs/>
        </w:rPr>
        <w:t xml:space="preserve"> и </w:t>
      </w:r>
      <w:r w:rsidRPr="00FE2263">
        <w:rPr>
          <w:i/>
          <w:iCs/>
          <w:lang w:val="en-US"/>
        </w:rPr>
        <w:t>IgG</w:t>
      </w:r>
      <w:r w:rsidRPr="00FE2263">
        <w:rPr>
          <w:i/>
          <w:iCs/>
        </w:rPr>
        <w:t xml:space="preserve"> заболевание диагностируется как лимфоплазмоцитарная лимфома.</w:t>
      </w:r>
    </w:p>
    <w:p w14:paraId="6FC30763" w14:textId="77777777" w:rsidR="00B46390" w:rsidRPr="00FE2263" w:rsidRDefault="00B46390" w:rsidP="00F817BC">
      <w:pPr>
        <w:pStyle w:val="2"/>
        <w:spacing w:before="0"/>
        <w:divId w:val="266810958"/>
      </w:pPr>
      <w:bookmarkStart w:id="30" w:name="_Toc11747737"/>
      <w:bookmarkStart w:id="31" w:name="_Toc66184311"/>
      <w:r w:rsidRPr="00FE2263">
        <w:t>2.1 Жалобы и анамнез</w:t>
      </w:r>
      <w:bookmarkEnd w:id="30"/>
      <w:bookmarkEnd w:id="31"/>
    </w:p>
    <w:p w14:paraId="08514233" w14:textId="7C104764" w:rsidR="00B8381E" w:rsidRPr="00FE2263" w:rsidRDefault="00B8381E" w:rsidP="00F817BC">
      <w:pPr>
        <w:pStyle w:val="afd"/>
        <w:numPr>
          <w:ilvl w:val="0"/>
          <w:numId w:val="2"/>
        </w:numPr>
        <w:spacing w:beforeAutospacing="0" w:afterAutospacing="0" w:line="360" w:lineRule="auto"/>
        <w:divId w:val="266810958"/>
        <w:rPr>
          <w:iCs/>
        </w:rPr>
      </w:pPr>
      <w:bookmarkStart w:id="32" w:name="_Toc11747738"/>
      <w:r w:rsidRPr="00FE2263">
        <w:t xml:space="preserve">Всем пациентам с подозрением на MВ, а также всем пациентам с верифицированной MВ при каждом приеме </w:t>
      </w:r>
      <w:r w:rsidRPr="00FE2263">
        <w:rPr>
          <w:b/>
          <w:bCs/>
        </w:rPr>
        <w:t>рекомендуется</w:t>
      </w:r>
      <w:r w:rsidRPr="00FE2263">
        <w:rPr>
          <w:b/>
        </w:rPr>
        <w:t xml:space="preserve"> </w:t>
      </w:r>
      <w:r w:rsidRPr="00FE2263">
        <w:t>сбор анамнеза и жалоб для оценки состояния пациента, а также для установления факторов, которые могут оказать влияние на определение лечебной тактики пациента</w:t>
      </w:r>
      <w:r w:rsidR="00F817BC" w:rsidRPr="00FE2263">
        <w:t xml:space="preserve"> </w:t>
      </w:r>
      <w:r w:rsidR="00F817BC" w:rsidRPr="00FE2263">
        <w:fldChar w:fldCharType="begin" w:fldLock="1"/>
      </w:r>
      <w:r w:rsidR="00D2308B">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-2","issued":{"date-parts":[["2020"]]},"title":"Waldenström Macroglobulinemia/ Lymphoplasmacytic Lymphoma. NCCN Clinical Practice Guidelines in Oncology (NCCN Guidelines®)","type":"article"},"uris":["http://www.mendeley.com/documents/?uuid=325519b7-e262-4702-acfd-d698cf0e3e2d"]},{"id":"ITEM-3","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практика","id":"ITEM-3","issue":"2","issued":{"date-parts":[["2009"]]},"page":"121-136","title":"Макроглобулинемия Вальденстрема","type":"article-journal","volume":"2"},"uris":["http://www.mendeley.com/documents/?uuid=a5b41185-3218-46e4-ad25-9878f84d5d1b"]}],"mendeley":{"formattedCitation":"[1–3]","plainTextFormattedCitation":"[1–3]","previouslyFormattedCitation":"[1–3]"},"properties":{"noteIndex":0},"schema":"https://github.com/citation-style-language/schema/raw/master/csl-citation.json"}</w:instrText>
      </w:r>
      <w:r w:rsidR="00F817BC" w:rsidRPr="00FE2263">
        <w:fldChar w:fldCharType="separate"/>
      </w:r>
      <w:r w:rsidR="0070759B" w:rsidRPr="00FE2263">
        <w:rPr>
          <w:noProof/>
        </w:rPr>
        <w:t>[1–3]</w:t>
      </w:r>
      <w:r w:rsidR="00F817BC" w:rsidRPr="00FE2263">
        <w:fldChar w:fldCharType="end"/>
      </w:r>
      <w:r w:rsidRPr="00FE2263">
        <w:rPr>
          <w:iCs/>
        </w:rPr>
        <w:t>.</w:t>
      </w:r>
    </w:p>
    <w:p w14:paraId="306560EA" w14:textId="77777777" w:rsidR="00B8381E" w:rsidRPr="00FE2263" w:rsidRDefault="00B8381E" w:rsidP="00F817BC">
      <w:pPr>
        <w:pStyle w:val="afe"/>
        <w:ind w:left="1068" w:firstLine="0"/>
        <w:divId w:val="266810958"/>
        <w:rPr>
          <w:b/>
        </w:rPr>
      </w:pPr>
      <w:r w:rsidRPr="00FE2263">
        <w:rPr>
          <w:b/>
        </w:rPr>
        <w:t>Уровень убедительности рекомендаций С (уровень достоверности доказательств 5).</w:t>
      </w:r>
    </w:p>
    <w:p w14:paraId="3C43C84D" w14:textId="7CC1926A" w:rsidR="00B8381E" w:rsidRPr="00FE2263" w:rsidRDefault="00B8381E" w:rsidP="0070759B">
      <w:pPr>
        <w:pStyle w:val="afd"/>
        <w:spacing w:beforeAutospacing="0" w:afterAutospacing="0" w:line="360" w:lineRule="auto"/>
        <w:divId w:val="266810958"/>
        <w:rPr>
          <w:rFonts w:eastAsiaTheme="minorEastAsia"/>
          <w:i/>
        </w:rPr>
      </w:pPr>
      <w:r w:rsidRPr="00FE2263">
        <w:rPr>
          <w:rStyle w:val="affb"/>
        </w:rPr>
        <w:t xml:space="preserve">Комментарии: </w:t>
      </w:r>
      <w:r w:rsidR="0070759B" w:rsidRPr="00FE2263">
        <w:rPr>
          <w:i/>
        </w:rPr>
        <w:t xml:space="preserve">жалобы </w:t>
      </w:r>
      <w:r w:rsidRPr="00FE2263">
        <w:rPr>
          <w:i/>
        </w:rPr>
        <w:t>носят неспецифический характер, обусловлены лимфоплазмацитарной инфильтрацией органов и тканей и циркуляцией макроглобулина, приводящего к гипервязкости, амилоидозу:</w:t>
      </w:r>
    </w:p>
    <w:p w14:paraId="0F67FCE7" w14:textId="77777777" w:rsidR="00B8381E" w:rsidRPr="00FE2263" w:rsidRDefault="00B8381E" w:rsidP="0070759B">
      <w:pPr>
        <w:pStyle w:val="afd"/>
        <w:numPr>
          <w:ilvl w:val="0"/>
          <w:numId w:val="5"/>
        </w:numPr>
        <w:spacing w:beforeAutospacing="0" w:afterAutospacing="0" w:line="360" w:lineRule="auto"/>
        <w:divId w:val="266810958"/>
        <w:rPr>
          <w:i/>
        </w:rPr>
      </w:pPr>
      <w:r w:rsidRPr="00FE2263">
        <w:rPr>
          <w:i/>
        </w:rPr>
        <w:t>Головные боли, нечеткость или утрата зрения, эпизоды нарушения сознания</w:t>
      </w:r>
    </w:p>
    <w:p w14:paraId="235DF5F9" w14:textId="77777777" w:rsidR="00B8381E" w:rsidRPr="00FE2263" w:rsidRDefault="00B8381E" w:rsidP="0070759B">
      <w:pPr>
        <w:pStyle w:val="afd"/>
        <w:numPr>
          <w:ilvl w:val="0"/>
          <w:numId w:val="5"/>
        </w:numPr>
        <w:spacing w:beforeAutospacing="0" w:afterAutospacing="0" w:line="360" w:lineRule="auto"/>
        <w:divId w:val="266810958"/>
        <w:rPr>
          <w:i/>
        </w:rPr>
      </w:pPr>
      <w:r w:rsidRPr="00FE2263">
        <w:rPr>
          <w:i/>
        </w:rPr>
        <w:t>Поражение кожи и слизистых – кровоточивость, крапивница, папулы, дерматит</w:t>
      </w:r>
    </w:p>
    <w:p w14:paraId="66B212F1" w14:textId="77777777" w:rsidR="00B8381E" w:rsidRPr="00FE2263" w:rsidRDefault="00B8381E" w:rsidP="0070759B">
      <w:pPr>
        <w:pStyle w:val="afd"/>
        <w:numPr>
          <w:ilvl w:val="0"/>
          <w:numId w:val="5"/>
        </w:numPr>
        <w:spacing w:beforeAutospacing="0" w:afterAutospacing="0" w:line="360" w:lineRule="auto"/>
        <w:divId w:val="266810958"/>
        <w:rPr>
          <w:i/>
        </w:rPr>
      </w:pPr>
      <w:r w:rsidRPr="00FE2263">
        <w:rPr>
          <w:i/>
        </w:rPr>
        <w:t>Прогрессирующее снижение чувствительности, покалывание, жжение, болезненность в стопах и кистях. Неустойчивая походка, снижение мышечной силы</w:t>
      </w:r>
    </w:p>
    <w:p w14:paraId="588D9E50" w14:textId="77777777" w:rsidR="00B8381E" w:rsidRPr="00FE2263" w:rsidRDefault="00B8381E" w:rsidP="0070759B">
      <w:pPr>
        <w:pStyle w:val="afd"/>
        <w:numPr>
          <w:ilvl w:val="0"/>
          <w:numId w:val="5"/>
        </w:numPr>
        <w:spacing w:beforeAutospacing="0" w:afterAutospacing="0" w:line="360" w:lineRule="auto"/>
        <w:divId w:val="266810958"/>
        <w:rPr>
          <w:i/>
        </w:rPr>
      </w:pPr>
      <w:r w:rsidRPr="00FE2263">
        <w:rPr>
          <w:i/>
        </w:rPr>
        <w:t>Синдром Рейно, акроцианоз, язвы на ногах</w:t>
      </w:r>
    </w:p>
    <w:p w14:paraId="4BFF3914" w14:textId="77777777" w:rsidR="00B8381E" w:rsidRPr="00FE2263" w:rsidRDefault="00B8381E" w:rsidP="0070759B">
      <w:pPr>
        <w:pStyle w:val="afd"/>
        <w:numPr>
          <w:ilvl w:val="0"/>
          <w:numId w:val="5"/>
        </w:numPr>
        <w:spacing w:beforeAutospacing="0" w:afterAutospacing="0" w:line="360" w:lineRule="auto"/>
        <w:divId w:val="266810958"/>
        <w:rPr>
          <w:i/>
        </w:rPr>
      </w:pPr>
      <w:r w:rsidRPr="00FE2263">
        <w:rPr>
          <w:i/>
        </w:rPr>
        <w:t>Диарея, боли в животе</w:t>
      </w:r>
    </w:p>
    <w:p w14:paraId="193DA230" w14:textId="77777777" w:rsidR="00B8381E" w:rsidRPr="00FE2263" w:rsidRDefault="00B8381E" w:rsidP="0070759B">
      <w:pPr>
        <w:pStyle w:val="afd"/>
        <w:numPr>
          <w:ilvl w:val="0"/>
          <w:numId w:val="5"/>
        </w:numPr>
        <w:spacing w:beforeAutospacing="0" w:afterAutospacing="0" w:line="360" w:lineRule="auto"/>
        <w:divId w:val="266810958"/>
        <w:rPr>
          <w:i/>
        </w:rPr>
      </w:pPr>
      <w:r w:rsidRPr="00FE2263">
        <w:rPr>
          <w:i/>
        </w:rPr>
        <w:lastRenderedPageBreak/>
        <w:t>Может определяться бессимптомное увеличение лимфоузлов любой локализации.</w:t>
      </w:r>
    </w:p>
    <w:p w14:paraId="6C83D0D2" w14:textId="77777777" w:rsidR="00B8381E" w:rsidRPr="00FE2263" w:rsidRDefault="00B8381E" w:rsidP="0070759B">
      <w:pPr>
        <w:pStyle w:val="afd"/>
        <w:numPr>
          <w:ilvl w:val="0"/>
          <w:numId w:val="5"/>
        </w:numPr>
        <w:spacing w:beforeAutospacing="0" w:afterAutospacing="0" w:line="360" w:lineRule="auto"/>
        <w:divId w:val="266810958"/>
        <w:rPr>
          <w:i/>
        </w:rPr>
      </w:pPr>
      <w:r w:rsidRPr="00FE2263">
        <w:rPr>
          <w:i/>
        </w:rPr>
        <w:t>Необходим сбор анамнеза (в т. ч. семейного).</w:t>
      </w:r>
    </w:p>
    <w:p w14:paraId="17EEE9C6" w14:textId="77777777" w:rsidR="00B46390" w:rsidRPr="00FE2263" w:rsidRDefault="00B46390" w:rsidP="0070759B">
      <w:pPr>
        <w:pStyle w:val="2"/>
        <w:spacing w:before="0"/>
        <w:divId w:val="266810958"/>
      </w:pPr>
      <w:bookmarkStart w:id="33" w:name="_Toc66184312"/>
      <w:r w:rsidRPr="00FE2263">
        <w:t>2.2 Физикальное обследование</w:t>
      </w:r>
      <w:bookmarkEnd w:id="32"/>
      <w:bookmarkEnd w:id="33"/>
    </w:p>
    <w:p w14:paraId="438B108B" w14:textId="480BDF40" w:rsidR="00B8381E" w:rsidRPr="00FE2263" w:rsidRDefault="00B8381E" w:rsidP="00F817BC">
      <w:pPr>
        <w:pStyle w:val="afd"/>
        <w:numPr>
          <w:ilvl w:val="0"/>
          <w:numId w:val="2"/>
        </w:numPr>
        <w:spacing w:beforeAutospacing="0" w:afterAutospacing="0" w:line="360" w:lineRule="auto"/>
        <w:divId w:val="266810958"/>
        <w:rPr>
          <w:iCs/>
        </w:rPr>
      </w:pPr>
      <w:r w:rsidRPr="00FE2263">
        <w:t xml:space="preserve">Всем пациентам с подозрением на МВ или выявленной МВ при первичном или повторном приеме, при контрольных обследованиях, и при подозрении на рецидив/прогрессирование заболевания </w:t>
      </w:r>
      <w:r w:rsidRPr="00FE2263">
        <w:rPr>
          <w:b/>
          <w:bCs/>
        </w:rPr>
        <w:t>рекомендуется</w:t>
      </w:r>
      <w:r w:rsidRPr="00FE2263">
        <w:rPr>
          <w:b/>
        </w:rPr>
        <w:t xml:space="preserve"> </w:t>
      </w:r>
      <w:r w:rsidRPr="00FE2263">
        <w:t>выполнение визуального осмотра терапевтического, пальпации терапевтической и аускультации терапевтической для уточнения распространенности заболевания и оценки состояния пациента по органам и системам</w:t>
      </w:r>
      <w:r w:rsidR="0070759B" w:rsidRPr="00FE2263">
        <w:t xml:space="preserve"> </w:t>
      </w:r>
      <w:r w:rsidR="0070759B" w:rsidRPr="00FE2263">
        <w:fldChar w:fldCharType="begin" w:fldLock="1"/>
      </w:r>
      <w:r w:rsidR="00D2308B">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-2","issued":{"date-parts":[["2020"]]},"title":"Waldenström Macroglobulinemia/ Lymphoplasmacytic Lymphoma. NCCN Clinical Practice Guidelines in Oncology (NCCN Guidelines®)","type":"article"},"uris":["http://www.mendeley.com/documents/?uuid=325519b7-e262-4702-acfd-d698cf0e3e2d"]},{"id":"ITEM-3","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практика","id":"ITEM-3","issue":"2","issued":{"date-parts":[["2009"]]},"page":"121-136","title":"Макроглобулинемия Вальденстрема","type":"article-journal","volume":"2"},"uris":["http://www.mendeley.com/documents/?uuid=a5b41185-3218-46e4-ad25-9878f84d5d1b"]}],"mendeley":{"formattedCitation":"[1–3]","plainTextFormattedCitation":"[1–3]","previouslyFormattedCitation":"[1–3]"},"properties":{"noteIndex":0},"schema":"https://github.com/citation-style-language/schema/raw/master/csl-citation.json"}</w:instrText>
      </w:r>
      <w:r w:rsidR="0070759B" w:rsidRPr="00FE2263">
        <w:fldChar w:fldCharType="separate"/>
      </w:r>
      <w:r w:rsidR="0070759B" w:rsidRPr="00FE2263">
        <w:rPr>
          <w:noProof/>
        </w:rPr>
        <w:t>[1–3]</w:t>
      </w:r>
      <w:r w:rsidR="0070759B" w:rsidRPr="00FE2263">
        <w:fldChar w:fldCharType="end"/>
      </w:r>
      <w:r w:rsidR="0070759B" w:rsidRPr="00FE2263">
        <w:rPr>
          <w:iCs/>
        </w:rPr>
        <w:t>.</w:t>
      </w:r>
    </w:p>
    <w:p w14:paraId="49068681" w14:textId="77777777" w:rsidR="00B8381E" w:rsidRPr="00FE2263" w:rsidRDefault="00B8381E" w:rsidP="00F817BC">
      <w:pPr>
        <w:pStyle w:val="afe"/>
        <w:ind w:left="1068" w:firstLine="0"/>
        <w:divId w:val="266810958"/>
        <w:rPr>
          <w:b/>
        </w:rPr>
      </w:pPr>
      <w:r w:rsidRPr="00FE2263">
        <w:rPr>
          <w:b/>
        </w:rPr>
        <w:t>Уровень убедительности рекомендаций С (уровень достоверности доказательств 5).</w:t>
      </w:r>
    </w:p>
    <w:p w14:paraId="1A62CCD2" w14:textId="77777777" w:rsidR="00B8381E" w:rsidRPr="00FE2263" w:rsidRDefault="00B8381E" w:rsidP="0070759B">
      <w:pPr>
        <w:jc w:val="left"/>
        <w:divId w:val="266810958"/>
        <w:rPr>
          <w:rFonts w:eastAsia="Times New Roman"/>
          <w:i/>
        </w:rPr>
      </w:pPr>
      <w:r w:rsidRPr="00FE2263">
        <w:rPr>
          <w:rStyle w:val="affb"/>
          <w:rFonts w:eastAsia="Times New Roman"/>
        </w:rPr>
        <w:t>Коментарии:</w:t>
      </w:r>
      <w:r w:rsidRPr="00FE2263">
        <w:rPr>
          <w:rFonts w:eastAsia="Times New Roman"/>
        </w:rPr>
        <w:t xml:space="preserve"> </w:t>
      </w:r>
      <w:r w:rsidRPr="00FE2263">
        <w:rPr>
          <w:rFonts w:eastAsia="Times New Roman"/>
          <w:i/>
        </w:rPr>
        <w:t xml:space="preserve">при осмотре пациента </w:t>
      </w:r>
    </w:p>
    <w:p w14:paraId="5B58527A" w14:textId="77777777" w:rsidR="00B8381E" w:rsidRPr="00FE2263" w:rsidRDefault="00B8381E" w:rsidP="0070759B">
      <w:pPr>
        <w:pStyle w:val="afd"/>
        <w:spacing w:beforeAutospacing="0" w:afterAutospacing="0" w:line="360" w:lineRule="auto"/>
        <w:ind w:left="720"/>
        <w:divId w:val="266810958"/>
        <w:rPr>
          <w:rFonts w:eastAsiaTheme="minorEastAsia"/>
          <w:i/>
        </w:rPr>
      </w:pPr>
      <w:r w:rsidRPr="00FE2263">
        <w:rPr>
          <w:i/>
        </w:rPr>
        <w:t>- измерение роста и массы тела, температуры тела; оценку состояния кожных покровов, костно-суставной системы; выявление признаков геморрагического синдрома; наличие гепатоспленомегалии, лимфоаденопатии; наличие признаков дисфункции сердца, легких, печени, органов эндокринной системы.</w:t>
      </w:r>
    </w:p>
    <w:p w14:paraId="66610961" w14:textId="77777777" w:rsidR="00B8381E" w:rsidRPr="00FE2263" w:rsidRDefault="00B8381E" w:rsidP="0070759B">
      <w:pPr>
        <w:pStyle w:val="afd"/>
        <w:spacing w:beforeAutospacing="0" w:afterAutospacing="0" w:line="360" w:lineRule="auto"/>
        <w:ind w:left="720"/>
        <w:divId w:val="266810958"/>
        <w:rPr>
          <w:i/>
        </w:rPr>
      </w:pPr>
      <w:r w:rsidRPr="00FE2263">
        <w:rPr>
          <w:i/>
        </w:rPr>
        <w:t>- определение наличия В-симптомов.</w:t>
      </w:r>
    </w:p>
    <w:p w14:paraId="33B1C021" w14:textId="77777777" w:rsidR="00B8381E" w:rsidRPr="00FE2263" w:rsidRDefault="00B8381E" w:rsidP="0070759B">
      <w:pPr>
        <w:pStyle w:val="afd"/>
        <w:spacing w:beforeAutospacing="0" w:afterAutospacing="0" w:line="360" w:lineRule="auto"/>
        <w:ind w:left="720"/>
        <w:divId w:val="266810958"/>
        <w:rPr>
          <w:i/>
        </w:rPr>
      </w:pPr>
      <w:r w:rsidRPr="00FE2263">
        <w:rPr>
          <w:i/>
        </w:rPr>
        <w:t>- определение статуса по ECOG (0-4)</w:t>
      </w:r>
    </w:p>
    <w:p w14:paraId="45248F6D" w14:textId="77777777" w:rsidR="00094ED6" w:rsidRPr="00FE2263" w:rsidRDefault="00B46390" w:rsidP="0070759B">
      <w:pPr>
        <w:pStyle w:val="2"/>
        <w:spacing w:before="0"/>
        <w:divId w:val="266810958"/>
      </w:pPr>
      <w:bookmarkStart w:id="34" w:name="_Toc66184313"/>
      <w:r w:rsidRPr="00FE2263">
        <w:t>2.3 Лабораторн</w:t>
      </w:r>
      <w:r w:rsidR="00A70F44" w:rsidRPr="00FE2263">
        <w:t>ые диагностические исследования</w:t>
      </w:r>
      <w:bookmarkEnd w:id="34"/>
    </w:p>
    <w:p w14:paraId="269F0F7B" w14:textId="2C7ABD0A" w:rsidR="00B8381E" w:rsidRPr="00FE2263" w:rsidRDefault="00B8381E" w:rsidP="0070759B">
      <w:pPr>
        <w:pStyle w:val="afff8"/>
        <w:spacing w:before="0"/>
        <w:divId w:val="266810958"/>
        <w:rPr>
          <w:rFonts w:eastAsiaTheme="minorEastAsia"/>
        </w:rPr>
      </w:pPr>
      <w:r w:rsidRPr="00FE2263">
        <w:t>Всем пациентам с МВ перед проведением первой линии противоопухолевой терапии рекомендуется</w:t>
      </w:r>
      <w:r w:rsidRPr="00FE2263">
        <w:rPr>
          <w:b/>
        </w:rPr>
        <w:t xml:space="preserve"> </w:t>
      </w:r>
      <w:r w:rsidRPr="00FE2263">
        <w:t xml:space="preserve">выполнить </w:t>
      </w:r>
      <w:r w:rsidR="00191746" w:rsidRPr="00FE2263">
        <w:t>определение соотношения белковых фракций в крови и в моче методом электрофореза и исследование моноклональности иммуноглобулинов в крови и в моче методом иммунофиксации</w:t>
      </w:r>
      <w:r w:rsidRPr="00FE2263">
        <w:t xml:space="preserve"> для выявления моноклонального иммуноглобулина</w:t>
      </w:r>
      <w:r w:rsidR="0070759B" w:rsidRPr="00FE2263">
        <w:t xml:space="preserve"> </w:t>
      </w:r>
      <w:r w:rsidR="0070759B" w:rsidRPr="00FE2263">
        <w:fldChar w:fldCharType="begin" w:fldLock="1"/>
      </w:r>
      <w:r w:rsidR="00D2308B">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-2","issued":{"date-parts":[["2020"]]},"title":"Waldenström Macroglobulinemia/ Lymphoplasmacytic Lymphoma. NCCN Clinical Practice Guidelines in Oncology (NCCN Guidelines®)","type":"article"},"uris":["http://www.mendeley.com/documents/?uuid=325519b7-e262-4702-acfd-d698cf0e3e2d"]},{"id":"ITEM-3","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практика","id":"ITEM-3","issue":"2","issued":{"date-parts":[["2009"]]},"page":"121-136","title":"Макроглобулинемия Вальденстрема","type":"article-journal","volume":"2"},"uris":["http://www.mendeley.com/documents/?uuid=a5b41185-3218-46e4-ad25-9878f84d5d1b"]}],"mendeley":{"formattedCitation":"[1–3]","plainTextFormattedCitation":"[1–3]","previouslyFormattedCitation":"[1–3]"},"properties":{"noteIndex":0},"schema":"https://github.com/citation-style-language/schema/raw/master/csl-citation.json"}</w:instrText>
      </w:r>
      <w:r w:rsidR="0070759B" w:rsidRPr="00FE2263">
        <w:fldChar w:fldCharType="separate"/>
      </w:r>
      <w:r w:rsidR="0070759B" w:rsidRPr="00FE2263">
        <w:rPr>
          <w:noProof/>
        </w:rPr>
        <w:t>[1–3]</w:t>
      </w:r>
      <w:r w:rsidR="0070759B" w:rsidRPr="00FE2263">
        <w:fldChar w:fldCharType="end"/>
      </w:r>
      <w:r w:rsidR="0070759B" w:rsidRPr="00FE2263">
        <w:rPr>
          <w:iCs/>
        </w:rPr>
        <w:t>.</w:t>
      </w:r>
    </w:p>
    <w:p w14:paraId="3F21B514" w14:textId="2BF318AE" w:rsidR="00B8381E" w:rsidRPr="00FE2263" w:rsidRDefault="00B8381E" w:rsidP="00F817BC">
      <w:pPr>
        <w:pStyle w:val="afe"/>
        <w:ind w:firstLine="0"/>
        <w:divId w:val="266810958"/>
        <w:rPr>
          <w:b/>
        </w:rPr>
      </w:pPr>
      <w:r w:rsidRPr="00FE2263">
        <w:rPr>
          <w:b/>
        </w:rPr>
        <w:t>Уровень убедительности рекомендаций С (уровень достоверности доказательств 5).</w:t>
      </w:r>
    </w:p>
    <w:p w14:paraId="0B2CA07A" w14:textId="1A62F125" w:rsidR="00B8381E" w:rsidRPr="00FE2263" w:rsidRDefault="00B8381E" w:rsidP="00F817BC">
      <w:pPr>
        <w:pStyle w:val="afd"/>
        <w:spacing w:beforeAutospacing="0" w:afterAutospacing="0" w:line="360" w:lineRule="auto"/>
        <w:divId w:val="266810958"/>
      </w:pPr>
      <w:r w:rsidRPr="00FE2263">
        <w:rPr>
          <w:rStyle w:val="affb"/>
        </w:rPr>
        <w:t>Комментарии:</w:t>
      </w:r>
      <w:r w:rsidRPr="00FE2263">
        <w:t xml:space="preserve"> </w:t>
      </w:r>
      <w:r w:rsidRPr="00FE2263">
        <w:rPr>
          <w:rStyle w:val="affc"/>
        </w:rPr>
        <w:t>выявление моноклонального иммуноглобулина (так называемого М-градиента, независимо от его величины) является одним из основных диагностических критериев МВ. Кроме того, необходимо определение уровня нормальных Ig сыворотки крови</w:t>
      </w:r>
      <w:r w:rsidR="0070759B" w:rsidRPr="00FE2263">
        <w:rPr>
          <w:rStyle w:val="affc"/>
        </w:rPr>
        <w:t xml:space="preserve"> </w:t>
      </w:r>
      <w:r w:rsidR="0070759B" w:rsidRPr="00FE2263">
        <w:fldChar w:fldCharType="begin" w:fldLock="1"/>
      </w:r>
      <w:r w:rsidR="00D2308B">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-2","issued":{"date-parts":[["2020"]]},"title":"Waldenström Macroglobulinemia/ Lymphoplasmacytic Lymphoma. NCCN Clinical Practice Guidelines in Oncology (NCCN Guidelines®)","type":"article"},"uris":["http://www.mendeley.com/documents/?uuid=325519b7-e262-4702-acfd-d698cf0e3e2d"]},{"id":"ITEM-3","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практика","id":"ITEM-3","issue":"2","issued":{"date-parts":[["2009"]]},"page":"121-136","title":"Макроглобулинемия Вальденстрема","type":"article-journal","volume":"2"},"uris":["http://www.mendeley.com/documents/?uuid=a5b41185-3218-46e4-ad25-9878f84d5d1b"]}],"mendeley":{"formattedCitation":"[1–3]","plainTextFormattedCitation":"[1–3]","previouslyFormattedCitation":"[1–3]"},"properties":{"noteIndex":0},"schema":"https://github.com/citation-style-language/schema/raw/master/csl-citation.json"}</w:instrText>
      </w:r>
      <w:r w:rsidR="0070759B" w:rsidRPr="00FE2263">
        <w:fldChar w:fldCharType="separate"/>
      </w:r>
      <w:r w:rsidR="0070759B" w:rsidRPr="00FE2263">
        <w:rPr>
          <w:noProof/>
        </w:rPr>
        <w:t>[1–3]</w:t>
      </w:r>
      <w:r w:rsidR="0070759B" w:rsidRPr="00FE2263">
        <w:fldChar w:fldCharType="end"/>
      </w:r>
      <w:r w:rsidR="0070759B" w:rsidRPr="00FE2263">
        <w:rPr>
          <w:iCs/>
        </w:rPr>
        <w:t>.</w:t>
      </w:r>
    </w:p>
    <w:p w14:paraId="3CCC6024" w14:textId="7DF46BA8" w:rsidR="00B8381E" w:rsidRPr="00FE2263" w:rsidRDefault="00B8381E" w:rsidP="0070759B">
      <w:pPr>
        <w:pStyle w:val="afff8"/>
        <w:spacing w:before="0"/>
        <w:divId w:val="266810958"/>
        <w:rPr>
          <w:rFonts w:eastAsiaTheme="minorEastAsia"/>
        </w:rPr>
      </w:pPr>
      <w:r w:rsidRPr="00FE2263">
        <w:t>Всем пациентам с МВ перед проведением первой линии противоопухолевой терапии рекомендуется</w:t>
      </w:r>
      <w:r w:rsidRPr="00FE2263">
        <w:rPr>
          <w:b/>
        </w:rPr>
        <w:t xml:space="preserve"> </w:t>
      </w:r>
      <w:r w:rsidRPr="00FE2263">
        <w:t>выполнить</w:t>
      </w:r>
      <w:r w:rsidR="002759A5" w:rsidRPr="00FE2263">
        <w:t xml:space="preserve"> молекулярно-генетическое исследование</w:t>
      </w:r>
      <w:r w:rsidRPr="00FE2263">
        <w:t xml:space="preserve"> </w:t>
      </w:r>
      <w:r w:rsidR="009F156F" w:rsidRPr="00FE2263">
        <w:t>точечной мутации P.L625P в гене MYD88 методом ПЦР</w:t>
      </w:r>
      <w:r w:rsidR="009F156F" w:rsidRPr="00FE2263" w:rsidDel="002759A5">
        <w:t xml:space="preserve"> </w:t>
      </w:r>
      <w:r w:rsidR="009F156F" w:rsidRPr="00FE2263">
        <w:t xml:space="preserve">в </w:t>
      </w:r>
      <w:r w:rsidRPr="00FE2263">
        <w:t>лимфоплазмоцитарных клет</w:t>
      </w:r>
      <w:r w:rsidR="009F156F" w:rsidRPr="00FE2263">
        <w:t>ках</w:t>
      </w:r>
      <w:r w:rsidRPr="00FE2263">
        <w:t xml:space="preserve"> </w:t>
      </w:r>
      <w:r w:rsidRPr="00FE2263">
        <w:lastRenderedPageBreak/>
        <w:t>костного мозга молекулярным методом на наличие мутации MYD88 (L265P)</w:t>
      </w:r>
      <w:r w:rsidR="0070759B" w:rsidRPr="00FE2263">
        <w:t xml:space="preserve"> </w:t>
      </w:r>
      <w:r w:rsidR="0070759B" w:rsidRPr="00FE2263">
        <w:fldChar w:fldCharType="begin" w:fldLock="1"/>
      </w:r>
      <w:r w:rsidR="0070759B" w:rsidRPr="00FE2263">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-2","issued":{"date-parts":[["2020"]]},"title":"Waldenström Macroglobulinemia/ Lymphoplasmacytic Lymphoma. NCCN Clinical Practice Guidelines in Oncology (NCCN Guidelines®)","type":"article"},"uris":["http://www.mendeley.com/documents/?uuid=325519b7-e262-4702-acfd-d698cf0e3e2d"]},{"id":"ITEM-3","itemData":{"DOI":"10.1182/blood-2012-09-457101","ISSN":"15280020","abstract":"A study has shown that MYD88 (L265P) is a recurring somatic mutation in Waldenström’s macroglobulinemia (WM). We developed an allele-specific polymerase chain reaction (PCR) for this mutation, and analyzed bone marrow or peripheral blood samples from 58 patients with WM, 77 with IgM monoclonal gammopathy of undetermined significance (IgM-MGUS), 84 with splenic marginal zone lymphoma (SMZL), and 52 with B-cell chronic lymphoproliferative disorders (B-CLPD). MYD88 (L265P) was detected in 58/58 (100%) patients with WM, 36/77 (47%) with IgM-MGUS, 5/84 (6%) with SMZL, and 3/52 (4%) with B-CLPD. Compared to IgM-MGUS patients with wild-type MYD88, those carrying MYD88 (L265P) showed significantly higher levels of IgM (P &lt; .0001) and presented Bence-Jones proteinuria more frequently at diagnosis (P 5 .002). During follow-up, 9 patients with IgM-MGUS progressed to WM or to marginal zone lymphoma. Using a case-control approach, the risk of evolution of patients carrying MYD88 (L265P) was significantly higher than that of patients with wild-type MYD88 (odds ratio 4.7, 95% confidence interval 0.8 to 48.7, P 5 .047). These findings indicate that the allele-specific PCR we developed is a useful diagnostic tool for patients with WM or IgM-MGUS. In this latter condition, MYD88 (L265P) is associated with greater disease burden and higher risk of disease progression, and the mutation may therefore also represent a useful prognostic marker.","author":[{"dropping-particle":"","family":"Varettoni","given":"Marzia","non-dropping-particle":"","parse-names":false,"suffix":""},{"dropping-particle":"","family":"Arcaini","given":"Luca","non-dropping-particle":"","parse-names":false,"suffix":""},{"dropping-particle":"","family":"Zibellini","given":"Silvia","non-dropping-particle":"","parse-names":false,"suffix":""},{"dropping-particle":"","family":"Boveri","given":"Emanuela","non-dropping-particle":"","parse-names":false,"suffix":""},{"dropping-particle":"","family":"Rattotti","given":"Sara","non-dropping-particle":"","parse-names":false,"suffix":""},{"dropping-particle":"","family":"Riboni","given":"Roberta","non-dropping-particle":"","parse-names":false,"suffix":""},{"dropping-particle":"","family":"Corso","given":"Alessandro","non-dropping-particle":"","parse-names":false,"suffix":""},{"dropping-particle":"","family":"Orlandi","given":"Ester","non-dropping-particle":"","parse-names":false,"suffix":""},{"dropping-particle":"","family":"Bonfichi","given":"Maurizio","non-dropping-particle":"","parse-names":false,"suffix":""},{"dropping-particle":"","family":"Gotti","given":"Manuel","non-dropping-particle":"","parse-names":false,"suffix":""},{"dropping-particle":"","family":"Pascutto","given":"Cristiana","non-dropping-particle":"","parse-names":false,"suffix":""},{"dropping-particle":"","family":"Mangiacavalli","given":"Silvia","non-dropping-particle":"","parse-names":false,"suffix":""},{"dropping-particle":"","family":"Croci","given":"Giorgio","non-dropping-particle":"","parse-names":false,"suffix":""},{"dropping-particle":"","family":"Fiaccadori","given":"Valeria","non-dropping-particle":"","parse-names":false,"suffix":""},{"dropping-particle":"","family":"Morello","given":"Lucia","non-dropping-particle":"","parse-names":false,"suffix":""},{"dropping-particle":"","family":"Guerrera","given":"Maria Luisa","non-dropping-particle":"","parse-names":false,"suffix":""},{"dropping-particle":"","family":"Paulli","given":"Marco","non-dropping-particle":"","parse-names":false,"suffix":""},{"dropping-particle":"","family":"Cazzola","given":"Mario","non-dropping-particle":"","parse-names":false,"suffix":""}],"container-title":"Blood","id":"ITEM-3","issue":"13","issued":{"date-parts":[["2013","3","28"]]},"page":"2522-2528","publisher":"American Society of Hematology","title":"Prevalence and clinical significance of the MYD88 (L265P) somatic mutation in Waldenström’s macroglobulinemia and related lymphoid neoplasms","type":"article-journal","volume":"121"},"uris":["http://www.mendeley.com/documents/?uuid=e1c3d42a-0ef8-4b4d-958d-e5d2e49866de"]},{"id":"ITEM-4","itemData":{"DOI":"10.1056/NEJMoa1200710","ISSN":"15334406","PMID":"22931316","abstract":"Background: Waldenström's macroglobulinemia is an incurable, IgM-secreting lymphoplasmacytic lymphoma (LPL). The underlying mutation in this disorder has not been delineated. Methods: We performed whole-genome sequencing of bone marrow LPL cells in 30 patients with Waldenström's macroglobulinemia, with paired normal-tissue and tumor-tissue sequencing in 10 patients. Sanger sequencing was used to validate the findings in samples from an expanded cohort of patients with LPL, those with other B-cell disorders that have some of the same features as LPL, and healthy donors. Results: Among the patients with Waldenström's macroglobulinemia, a somatic variant (T→C) in LPL cells was identified at position 38182641 at 3p22.2 in the samples from all 10 patients with paired tissue samples and in 17 of 20 samples from patients with unpaired samples. This variant predicted an amino acid change (L265P) in MYD88, a mutation that triggers IRAK-mediated NF-κB signaling. Sanger sequencing identified MYD88 L265P in tumor samples from 49 of 54 patients with Waldenström's macroglobulinemia and in 3 of 3 patients with non-IgM-secreting LPL (91% of all patients with LPL). MYD88 L265P was absent in paired normal tissue samples from patients with Waldenström's macroglobulinemia or non-IgM LPL and in B cells from healthy donors and was absent or rarely expressed in samples from patients with multiple myeloma, marginal-zone lymphoma, or IgM monoclonal gammopathy of unknown significance. Inhibition of MYD88 signaling reduced IκBα and NF-κB p65 phosphorylation, as well as NF-κB nuclear staining, in Waldenström's macroglobulinemia cells expressing MYD88 L265P. Somatic variants in ARID1A in 5 of 30 patients (17%), leading to a premature stop or frameshift, were also identified and were associated with an increased disease burden. In addition, 2 of 3 patients with Waldenström's macroglobulinemia who had wild-type MYD88 had somatic variants in MLL2. Conclusions: MYD88 L265P is a commonly recurring mutation in patients with Waldenström's macroglobulinemia that can be useful in differentiating Waldenström's macroglobulinemia and non-IgM LPL from B-cell disorders that have some of the same features. Copyright © 2012 Massachusetts Medical Society.","author":[{"dropping-particle":"","family":"Treon","given":"Steven P.","non-dropping-particle":"","parse-names":false,"suffix":""},{"dropping-particle":"","family":"Xu","given":"Lian","non-dropping-particle":"","parse-names":false,"suffix":""},{"dropping-particle":"","family":"Yang","given":"Guang","non-dropping-particle":"","parse-names":false,"suffix":""},{"dropping-particle":"","family":"Zhou","given":"Yangsheng","non-dropping-particle":"","parse-names":false,"suffix":""},{"dropping-particle":"","family":"Liu","given":"Xia","non-dropping-particle":"","parse-names":false,"suffix":""},{"dropping-particle":"","family":"Cao","given":"Yang","non-dropping-particle":"","parse-names":false,"suffix":""},{"dropping-particle":"","family":"Sheehy","given":"Patricia","non-dropping-particle":"","parse-names":false,"suffix":""},{"dropping-particle":"","family":"Manning","given":"Robert J.","non-dropping-particle":"","parse-names":false,"suffix":""},{"dropping-particle":"","family":"Patterson","given":"Christopher J.","non-dropping-particle":"","parse-names":false,"suffix":""},{"dropping-particle":"","family":"Tripsas","given":"Christina","non-dropping-particle":"","parse-names":false,"suffix":""},{"dropping-particle":"","family":"Arcaini","given":"Luca","non-dropping-particle":"","parse-names":false,"suffix":""},{"dropping-particle":"","family":"Pinkus","given":"Geraldine S.","non-dropping-particle":"","parse-names":false,"suffix":""},{"dropping-particle":"","family":"Rodig","given":"Scott J.","non-dropping-particle":"","parse-names":false,"suffix":""},{"dropping-particle":"","family":"Sohani","given":"Aliyah R.","non-dropping-particle":"","parse-names":false,"suffix":""},{"dropping-particle":"","family":"Harris","given":"Nancy Lee","non-dropping-particle":"","parse-names":false,"suffix":""},{"dropping-particle":"","family":"Laramie","given":"Jason M.","non-dropping-particle":"","parse-names":false,"suffix":""},{"dropping-particle":"","family":"Skifter","given":"Donald A.","non-dropping-particle":"","parse-names":false,"suffix":""},{"dropping-particle":"","family":"Lincoln","given":"Stephen E.","non-dropping-particle":"","parse-names":false,"suffix":""},{"dropping-particle":"","family":"Hunter","given":"Zachary R.","non-dropping-particle":"","parse-names":false,"suffix":""}],"container-title":"New England Journal of Medicine","id":"ITEM-4","issue":"9","issued":{"date-parts":[["2012","8","30"]]},"page":"826-833","publisher":"Massachussetts Medical Society","title":"MYD88 L265P somatic mutation in Waldenström's macroglobulinemia","type":"article-journal","volume":"367"},"uris":["http://www.mendeley.com/documents/?uuid=9805db8c-bb90-314d-bc6d-9cf8ad75740d"]}],"mendeley":{"formattedCitation":"[1,2,4,5]","plainTextFormattedCitation":"[1,2,4,5]","previouslyFormattedCitation":"[1,2,4,5]"},"properties":{"noteIndex":0},"schema":"https://github.com/citation-style-language/schema/raw/master/csl-citation.json"}</w:instrText>
      </w:r>
      <w:r w:rsidR="0070759B" w:rsidRPr="00FE2263">
        <w:fldChar w:fldCharType="separate"/>
      </w:r>
      <w:r w:rsidR="0070759B" w:rsidRPr="00FE2263">
        <w:rPr>
          <w:noProof/>
        </w:rPr>
        <w:t>[1,2,4,5]</w:t>
      </w:r>
      <w:r w:rsidR="0070759B" w:rsidRPr="00FE2263">
        <w:fldChar w:fldCharType="end"/>
      </w:r>
      <w:r w:rsidR="0070759B" w:rsidRPr="00FE2263">
        <w:rPr>
          <w:iCs/>
        </w:rPr>
        <w:t>.</w:t>
      </w:r>
    </w:p>
    <w:p w14:paraId="07911854" w14:textId="6CCD1CE7" w:rsidR="00B8381E" w:rsidRPr="00FE2263" w:rsidRDefault="00B8381E" w:rsidP="00F817BC">
      <w:pPr>
        <w:pStyle w:val="afe"/>
        <w:ind w:firstLine="0"/>
        <w:divId w:val="266810958"/>
        <w:rPr>
          <w:b/>
        </w:rPr>
      </w:pPr>
      <w:r w:rsidRPr="00FE2263">
        <w:rPr>
          <w:b/>
        </w:rPr>
        <w:t xml:space="preserve">Уровень убедительности рекомендаций </w:t>
      </w:r>
      <w:r w:rsidR="00FC38C4" w:rsidRPr="00FE2263">
        <w:rPr>
          <w:b/>
        </w:rPr>
        <w:t xml:space="preserve">В </w:t>
      </w:r>
      <w:r w:rsidRPr="00FE2263">
        <w:rPr>
          <w:b/>
        </w:rPr>
        <w:t xml:space="preserve">(уровень достоверности доказательств </w:t>
      </w:r>
      <w:r w:rsidR="00FC38C4" w:rsidRPr="00FE2263">
        <w:rPr>
          <w:b/>
        </w:rPr>
        <w:t>3</w:t>
      </w:r>
      <w:r w:rsidRPr="00FE2263">
        <w:rPr>
          <w:b/>
        </w:rPr>
        <w:t>).</w:t>
      </w:r>
    </w:p>
    <w:p w14:paraId="645EFA6C" w14:textId="77777777" w:rsidR="00B8381E" w:rsidRPr="00FE2263" w:rsidRDefault="00B8381E" w:rsidP="00F817BC">
      <w:pPr>
        <w:pStyle w:val="afd"/>
        <w:spacing w:beforeAutospacing="0" w:afterAutospacing="0" w:line="360" w:lineRule="auto"/>
        <w:divId w:val="266810958"/>
      </w:pPr>
      <w:r w:rsidRPr="00FE2263">
        <w:rPr>
          <w:rStyle w:val="affb"/>
        </w:rPr>
        <w:t>Комментарии:</w:t>
      </w:r>
      <w:r w:rsidRPr="00FE2263">
        <w:t xml:space="preserve"> </w:t>
      </w:r>
      <w:r w:rsidRPr="00FE2263">
        <w:rPr>
          <w:rStyle w:val="affc"/>
        </w:rPr>
        <w:t>применяется для дифференциальной диагностики с В-клеточной лимфомой из клеток маргинальной зоны с     секрецией М-парапротеина, имеющей сходный фенотип. Отсутствие мутации исключает диагноз лимфоплазмоцитарной лимфомы/МВ.</w:t>
      </w:r>
    </w:p>
    <w:p w14:paraId="2AB9EC02" w14:textId="3DF5EC3A" w:rsidR="00B8381E" w:rsidRPr="00FE2263" w:rsidRDefault="00B8381E" w:rsidP="0070759B">
      <w:pPr>
        <w:pStyle w:val="afff8"/>
        <w:spacing w:before="0"/>
        <w:divId w:val="266810958"/>
      </w:pPr>
      <w:r w:rsidRPr="00FE2263">
        <w:t>Всем пациентам с МВ перед проведением противоопухолевой терапии рекомендуется</w:t>
      </w:r>
      <w:r w:rsidRPr="00FE2263">
        <w:rPr>
          <w:b/>
        </w:rPr>
        <w:t xml:space="preserve"> </w:t>
      </w:r>
      <w:r w:rsidRPr="00FE2263">
        <w:t xml:space="preserve">выполнить развернутый </w:t>
      </w:r>
      <w:r w:rsidR="004B21E9" w:rsidRPr="00FE2263">
        <w:t>общий (</w:t>
      </w:r>
      <w:r w:rsidRPr="00FE2263">
        <w:t>клинический</w:t>
      </w:r>
      <w:r w:rsidR="004B21E9" w:rsidRPr="00FE2263">
        <w:t>)</w:t>
      </w:r>
      <w:r w:rsidRPr="00FE2263">
        <w:t xml:space="preserve"> анализ крови с определением гемоглобина, эритроцитов, тромбоцитов, лейкоцитов, подсчетом лейкоцитарной формулы и количества ретикулоцитов</w:t>
      </w:r>
      <w:r w:rsidR="0070759B" w:rsidRPr="00FE2263">
        <w:t xml:space="preserve"> для уточнения состояния пациента</w:t>
      </w:r>
      <w:r w:rsidR="00C46D62" w:rsidRPr="00FE2263">
        <w:t>, активности заболевания</w:t>
      </w:r>
      <w:r w:rsidR="0070759B" w:rsidRPr="00FE2263">
        <w:t xml:space="preserve"> и возможности проведения противоопухолевого лечения </w:t>
      </w:r>
      <w:r w:rsidR="0070759B" w:rsidRPr="00FE2263">
        <w:fldChar w:fldCharType="begin" w:fldLock="1"/>
      </w:r>
      <w:r w:rsidR="00D2308B">
        <w:instrText>ADDIN CSL_CITATION {"citationItems":[{"id":"ITEM-1","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практика","id":"ITEM-1","issue":"2","issued":{"date-parts":[["2009"]]},"page":"121-136","title":"Макроглобулинемия Вальденстрема","type":"article-journal","volume":"2"},"uris":["http://www.mendeley.com/documents/?uuid=a5b41185-3218-46e4-ad25-9878f84d5d1b"]},{"id":"ITEM-2","itemData":{"DOI":"10.1182/blood-2008-08-174961","ISSN":"00064971","abstract":"Recently, many new drugs have been developed for the treatment of Waldenström macroglobulinemia (WM). To optimize the treatment according to the prognosis and to facilitate the comparison of trials, we developed an International Prognostic Scoring System for WM in a series of 587 patients with clearly defined criteria for diagnosis and for initiation of treatment. The median survival after treatment initiation was 87 months. Five adverse covariates were identified: advanced age (&gt;65 years), hemoglobin less than or equal to 11.5 g/dL, platelet count less than or equal to 100 × 10 9/L, β2-microglobulin more than 3 mg/L, and serum monoclonal protein concentration more than 7.0 g/dL. Low-risk patients (27%) presented with no or 1 of the adverse characteristics and advanced age, intermediate-risk patients (38%) with 2 adverse characteristics or only advanced age, and high-risk patients (35%) with more than 2 adverse characteristics. Five-year survival rates were 87%, 68%, and 36%, respectively (P &lt; .001). The ISSWM retained its prognostic significance in subgroups defined by age, treatment with alkylating agent, and purine analog. Thus, the ISSWM may provide a means to design risk-adapted studies. However, independent validation and new biologic markers may enhance its significance. © 2009 by The American Society of Hematology.","author":[{"dropping-particle":"","family":"Morel","given":"Pierre","non-dropping-particle":"","parse-names":false,"suffix":""},{"dropping-particle":"","family":"Duhamel","given":"Alain","non-dropping-particle":"","parse-names":false,"suffix":""},{"dropping-particle":"","family":"Gobbi","given":"Paolo","non-dropping-particle":"","parse-names":false,"suffix":""},{"dropping-particle":"","family":"Dimopoulos","given":"Meletios A.","non-dropping-particle":"","parse-names":false,"suffix":""},{"dropping-particle":"V.","family":"Dhodapkar","given":"Madhav","non-dropping-particle":"","parse-names":false,"suffix":""},{"dropping-particle":"","family":"McCoy","given":"Jason","non-dropping-particle":"","parse-names":false,"suffix":""},{"dropping-particle":"","family":"Crowley","given":"John","non-dropping-particle":"","parse-names":false,"suffix":""},{"dropping-particle":"","family":"Ocio","given":"Enrique M.","non-dropping-particle":"","parse-names":false,"suffix":""},{"dropping-particle":"","family":"Garcia-Sanz","given":"Ramon","non-dropping-particle":"","parse-names":false,"suffix":""},{"dropping-particle":"","family":"Treon","given":"Steven P.","non-dropping-particle":"","parse-names":false,"suffix":""},{"dropping-particle":"","family":"Leblond","given":"Veronique","non-dropping-particle":"","parse-names":false,"suffix":""},{"dropping-particle":"","family":"Kyle","given":"Robert A.","non-dropping-particle":"","parse-names":false,"suffix":""},{"dropping-particle":"","family":"Barlogie","given":"Bart","non-dropping-particle":"","parse-names":false,"suffix":""},{"dropping-particle":"","family":"Merlini","given":"Giampaolo","non-dropping-particle":"","parse-names":false,"suffix":""}],"container-title":"Blood","id":"ITEM-2","issue":"18","issued":{"date-parts":[["2009","4","30"]]},"page":"4163-4170","title":"International prognostic scoring system for Waldenström macroglobulinemia","type":"article-journal","volume":"113"},"uris":["http://www.mendeley.com/documents/?uuid=076392d3-8e9f-3db3-9423-3f91179d60c2"]}],"mendeley":{"formattedCitation":"[3,6]","plainTextFormattedCitation":"[3,6]","previouslyFormattedCitation":"[3,6]"},"properties":{"noteIndex":0},"schema":"https://github.com/citation-style-language/schema/raw/master/csl-citation.json"}</w:instrText>
      </w:r>
      <w:r w:rsidR="0070759B" w:rsidRPr="00FE2263">
        <w:fldChar w:fldCharType="separate"/>
      </w:r>
      <w:r w:rsidR="0070759B" w:rsidRPr="00FE2263">
        <w:rPr>
          <w:noProof/>
        </w:rPr>
        <w:t>[3,6]</w:t>
      </w:r>
      <w:r w:rsidR="0070759B" w:rsidRPr="00FE2263">
        <w:fldChar w:fldCharType="end"/>
      </w:r>
      <w:r w:rsidR="00C46D62" w:rsidRPr="00FE2263">
        <w:rPr>
          <w:lang w:val="en-US"/>
        </w:rPr>
        <w:t>.</w:t>
      </w:r>
    </w:p>
    <w:p w14:paraId="399FDC59" w14:textId="6C578EA6" w:rsidR="00B8381E" w:rsidRPr="00FE2263" w:rsidRDefault="00B8381E" w:rsidP="00F817BC">
      <w:pPr>
        <w:pStyle w:val="afe"/>
        <w:ind w:firstLine="0"/>
        <w:divId w:val="266810958"/>
        <w:rPr>
          <w:b/>
        </w:rPr>
      </w:pPr>
      <w:r w:rsidRPr="00FE2263">
        <w:rPr>
          <w:b/>
        </w:rPr>
        <w:t xml:space="preserve">Уровень убедительности рекомендаций С (уровень достоверности доказательств </w:t>
      </w:r>
      <w:r w:rsidR="0034023C" w:rsidRPr="00FE2263">
        <w:rPr>
          <w:b/>
        </w:rPr>
        <w:t>4</w:t>
      </w:r>
      <w:r w:rsidRPr="00FE2263">
        <w:rPr>
          <w:b/>
        </w:rPr>
        <w:t>).</w:t>
      </w:r>
    </w:p>
    <w:p w14:paraId="44D51115" w14:textId="1449838A" w:rsidR="00B8381E" w:rsidRPr="00FE2263" w:rsidRDefault="00B8381E" w:rsidP="00C46D62">
      <w:pPr>
        <w:pStyle w:val="afff8"/>
        <w:spacing w:before="0"/>
        <w:divId w:val="266810958"/>
      </w:pPr>
      <w:r w:rsidRPr="00FE2263">
        <w:t>Всем пациентам с МВ перед проведением противоопухолевой терапии рекомендуется</w:t>
      </w:r>
      <w:r w:rsidRPr="00FE2263">
        <w:rPr>
          <w:b/>
        </w:rPr>
        <w:t xml:space="preserve"> </w:t>
      </w:r>
      <w:r w:rsidRPr="00FE2263">
        <w:t>выполнить биохимический анализ крови</w:t>
      </w:r>
      <w:r w:rsidR="004B21E9" w:rsidRPr="00FE2263">
        <w:t xml:space="preserve"> общетерапевтический</w:t>
      </w:r>
      <w:r w:rsidRPr="00FE2263">
        <w:t>, включающий обязательное определение ЛДГ, мочевой кислоты, мочевины, креатинина, общего белка, альбумина, билирубина, АСТ, АЛТ, щелочной фосфатазы, кальция, кальция</w:t>
      </w:r>
      <w:r w:rsidR="0070759B" w:rsidRPr="00FE2263">
        <w:t xml:space="preserve"> </w:t>
      </w:r>
      <w:r w:rsidR="00C46D62" w:rsidRPr="00FE2263">
        <w:t>для уточнения состояния пациента, активности заболевания и возможности проведения противоопухолевого лечения</w:t>
      </w:r>
      <w:r w:rsidR="003D7932" w:rsidRPr="00FE2263">
        <w:t xml:space="preserve"> </w:t>
      </w:r>
      <w:r w:rsidR="003D7932" w:rsidRPr="00FE2263">
        <w:fldChar w:fldCharType="begin" w:fldLock="1"/>
      </w:r>
      <w:r w:rsidR="00D2308B">
        <w:instrText>ADDIN CSL_CITATION {"citationItems":[{"id":"ITEM-1","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практика","id":"ITEM-1","issue":"2","issued":{"date-parts":[["2009"]]},"page":"121-136","title":"Макроглобулинемия Вальденстрема","type":"article-journal","volume":"2"},"uris":["http://www.mendeley.com/documents/?uuid=a5b41185-3218-46e4-ad25-9878f84d5d1b"]},{"id":"ITEM-2","itemData":{"author":[{"dropping-particle":"","family":"Kastritis","given":"E.","non-dropping-particle":"","parse-names":false,"suffix":""},{"dropping-particle":"","family":"Leblond","given":"V.","non-dropping-particle":"","parse-names":false,"suffix":""},{"dropping-particle":"","family":"Dimopoulos","given":"M.A.","non-dropping-particle":"","parse-names":false,"suffix":""},{"dropping-particle":"","family":"Kimby","given":"E.","non-dropping-particle":"","parse-names":false,"suffix":""},{"dropping-particle":"","family":"Staber","given":"P.","non-dropping-particle":"","parse-names":false,"suffix":""},{"dropping-particle":"","family":"Kersten","given":"M.J.","non-dropping-particle":"","parse-names":false,"suffix":""},{"dropping-particle":"","family":"Tedeschi","given":"A.","non-dropping-particle":"","parse-names":false,"suffix":""},{"dropping-particle":"","family":"Buske","given":"C.","non-dropping-particle":"","parse-names":false,"suffix":""}],"container-title":"Annals of Oncology","id":"ITEM-2","issue":"Supp. 4","issued":{"date-parts":[["2018"]]},"page":"iv41-iv50","title":"Waldenström's macroglobulinaemia: ESMO Clinical Practice Guidelines for diagnosis, treatment and follow-up","type":"article-journal","volume":"29"},"uris":["http://www.mendeley.com/documents/?uuid=6d8b514f-f1d8-4ed9-9995-7bbc3faf39a7"]},{"id":"ITEM-3","itemData":{"DOI":"10.3816/CLM.2009.n.012","ISSN":"15579190","abstract":"We analyzed 232 patients with previously untreated, symptomatic WM, of whom 10% were 50 years of age and 21% were &gt; 75 years of age. Disease features and response to treatment were similar among age groups. Patients &gt; 75 years of age had significantly shorter survival (OS; 53 months vs. 113 months for those &gt; 50-75 years vs. not reached for patients 50 years of age; P &lt; .001). Despite the fact that 33% of elderly patients died of causes unrelated to WM, disease-specific survival (DSS) was 72 months for patients &gt; 75 years, 120 months for those &gt; 50-75 years and not reached for patients 50 years (P = .001). International Prognostic Scoring System for WM (IPSSWM) could discriminate 3 risk groups with significantly different OS or DSS. The addition of elevated serum lactate dehydrogenase in the IPSS improved the ability of IPSS to identify a group of patients with a significantly worse outcome (median survival, 55 months).","author":[{"dropping-particle":"","family":"Kastritis","given":"Efstathios","non-dropping-particle":"","parse-names":false,"suffix":""},{"dropping-particle":"","family":"Zervas","given":"Konstantinos","non-dropping-particle":"","parse-names":false,"suffix":""},{"dropping-particle":"","family":"Repoussis","given":"Panagiotis","non-dropping-particle":"","parse-names":false,"suffix":""},{"dropping-particle":"","family":"Michali","given":"Evridiki","non-dropping-particle":"","parse-names":false,"suffix":""},{"dropping-particle":"","family":"Katodrytou","given":"Eirini","non-dropping-particle":"","parse-names":false,"suffix":""},{"dropping-particle":"","family":"Zomas","given":"Athanasios","non-dropping-particle":"","parse-names":false,"suffix":""},{"dropping-particle":"","family":"Simeonidis","given":"Argiris","non-dropping-particle":"","parse-names":false,"suffix":""},{"dropping-particle":"","family":"Terpos","given":"Evangelos","non-dropping-particle":"","parse-names":false,"suffix":""},{"dropping-particle":"","family":"Delimbassi","given":"Sossana","non-dropping-particle":"","parse-names":false,"suffix":""},{"dropping-particle":"","family":"Vassou","given":"Amalia","non-dropping-particle":"","parse-names":false,"suffix":""},{"dropping-particle":"","family":"Gika","given":"Dimitra","non-dropping-particle":"","parse-names":false,"suffix":""},{"dropping-particle":"","family":"Dimopoulos","given":"Meletios","non-dropping-particle":"","parse-names":false,"suffix":""},{"dropping-particle":"","family":"Myeloma","given":"Greek","non-dropping-particle":"","parse-names":false,"suffix":""}],"container-title":"Clinical Lymphoma and Myeloma","id":"ITEM-3","issue":"1","issued":{"date-parts":[["2009","3"]]},"page":"50-52","publisher":"Cancer Information Group, LP","title":"Prognostication in young and old patients with Waldenström's macroglobulinemia: Importance of the international prognostic scoring system and of serum lactate dehydrogenase","type":"article-journal","volume":"9"},"uris":["http://www.mendeley.com/documents/?uuid=1d253017-0e7d-39d0-a289-1aecb3a2fcea"]},{"id":"ITEM-4","itemData":{"DOI":"10.1182/blood-2008-08-174961","ISSN":"00064971","abstract":"Recently, many new drugs have been developed for the treatment of Waldenström macroglobulinemia (WM). To optimize the treatment according to the prognosis and to facilitate the comparison of trials, we developed an International Prognostic Scoring System for WM in a series of 587 patients with clearly defined criteria for diagnosis and for initiation of treatment. The median survival after treatment initiation was 87 months. Five adverse covariates were identified: advanced age (&gt;65 years), hemoglobin less than or equal to 11.5 g/dL, platelet count less than or equal to 100 × 10 9/L, β2-microglobulin more than 3 mg/L, and serum monoclonal protein concentration more than 7.0 g/dL. Low-risk patients (27%) presented with no or 1 of the adverse characteristics and advanced age, intermediate-risk patients (38%) with 2 adverse characteristics or only advanced age, and high-risk patients (35%) with more than 2 adverse characteristics. Five-year survival rates were 87%, 68%, and 36%, respectively (P &lt; .001). The ISSWM retained its prognostic significance in subgroups defined by age, treatment with alkylating agent, and purine analog. Thus, the ISSWM may provide a means to design risk-adapted studies. However, independent validation and new biologic markers may enhance its significance. © 2009 by The American Society of Hematology.","author":[{"dropping-particle":"","family":"Morel","given":"Pierre","non-dropping-particle":"","parse-names":false,"suffix":""},{"dropping-particle":"","family":"Duhamel","given":"Alain","non-dropping-particle":"","parse-names":false,"suffix":""},{"dropping-particle":"","family":"Gobbi","given":"Paolo","non-dropping-particle":"","parse-names":false,"suffix":""},{"dropping-particle":"","family":"Dimopoulos","given":"Meletios A.","non-dropping-particle":"","parse-names":false,"suffix":""},{"dropping-particle":"V.","family":"Dhodapkar","given":"Madhav","non-dropping-particle":"","parse-names":false,"suffix":""},{"dropping-particle":"","family":"McCoy","given":"Jason","non-dropping-particle":"","parse-names":false,"suffix":""},{"dropping-particle":"","family":"Crowley","given":"John","non-dropping-particle":"","parse-names":false,"suffix":""},{"dropping-particle":"","family":"Ocio","given":"Enrique M.","non-dropping-particle":"","parse-names":false,"suffix":""},{"dropping-particle":"","family":"Garcia-Sanz","given":"Ramon","non-dropping-particle":"","parse-names":false,"suffix":""},{"dropping-particle":"","family":"Treon","given":"Steven P.","non-dropping-particle":"","parse-names":false,"suffix":""},{"dropping-particle":"","family":"Leblond","given":"Veronique","non-dropping-particle":"","parse-names":false,"suffix":""},{"dropping-particle":"","family":"Kyle","given":"Robert A.","non-dropping-particle":"","parse-names":false,"suffix":""},{"dropping-particle":"","family":"Barlogie","given":"Bart","non-dropping-particle":"","parse-names":false,"suffix":""},{"dropping-particle":"","family":"Merlini","given":"Giampaolo","non-dropping-particle":"","parse-names":false,"suffix":""}],"container-title":"Blood","id":"ITEM-4","issue":"18","issued":{"date-parts":[["2009","4","30"]]},"page":"4163-4170","title":"International prognostic scoring system for Waldenström macroglobulinemia","type":"article-journal","volume":"113"},"uris":["http://www.mendeley.com/documents/?uuid=076392d3-8e9f-3db3-9423-3f91179d60c2"]}],"mendeley":{"formattedCitation":"[3,6–8]","plainTextFormattedCitation":"[3,6–8]","previouslyFormattedCitation":"[3,6–8]"},"properties":{"noteIndex":0},"schema":"https://github.com/citation-style-language/schema/raw/master/csl-citation.json"}</w:instrText>
      </w:r>
      <w:r w:rsidR="003D7932" w:rsidRPr="00FE2263">
        <w:fldChar w:fldCharType="separate"/>
      </w:r>
      <w:r w:rsidR="003D7932" w:rsidRPr="00FE2263">
        <w:rPr>
          <w:noProof/>
        </w:rPr>
        <w:t>[3,6–8]</w:t>
      </w:r>
      <w:r w:rsidR="003D7932" w:rsidRPr="00FE2263">
        <w:fldChar w:fldCharType="end"/>
      </w:r>
      <w:r w:rsidRPr="00FE2263">
        <w:rPr>
          <w:rStyle w:val="affb"/>
          <w:b w:val="0"/>
          <w:bCs w:val="0"/>
        </w:rPr>
        <w:t>.</w:t>
      </w:r>
    </w:p>
    <w:p w14:paraId="3CFD28CC" w14:textId="77777777" w:rsidR="00B8381E" w:rsidRPr="00FE2263" w:rsidRDefault="00B8381E" w:rsidP="00F817BC">
      <w:pPr>
        <w:pStyle w:val="afe"/>
        <w:ind w:firstLine="0"/>
        <w:divId w:val="266810958"/>
        <w:rPr>
          <w:b/>
        </w:rPr>
      </w:pPr>
      <w:r w:rsidRPr="00FE2263">
        <w:rPr>
          <w:b/>
        </w:rPr>
        <w:t>Уровень убедительности рекомендаций С (уровень достоверности доказательств 5).</w:t>
      </w:r>
    </w:p>
    <w:p w14:paraId="5712EF9A" w14:textId="3EF6B593" w:rsidR="00B8381E" w:rsidRPr="00FE2263" w:rsidRDefault="00B8381E" w:rsidP="003D7932">
      <w:pPr>
        <w:pStyle w:val="afff8"/>
        <w:spacing w:before="0"/>
        <w:divId w:val="266810958"/>
      </w:pPr>
      <w:r w:rsidRPr="00FE2263">
        <w:t>Всем пациентам с МВ перед проведением противоопухолевой терапии рекомендуется</w:t>
      </w:r>
      <w:r w:rsidRPr="00FE2263">
        <w:rPr>
          <w:b/>
        </w:rPr>
        <w:t xml:space="preserve"> </w:t>
      </w:r>
      <w:r w:rsidRPr="00FE2263">
        <w:t>выполнить общий</w:t>
      </w:r>
      <w:r w:rsidR="004B21E9" w:rsidRPr="00FE2263">
        <w:t xml:space="preserve"> (клинический)</w:t>
      </w:r>
      <w:r w:rsidRPr="00FE2263">
        <w:t xml:space="preserve"> анализ мочи</w:t>
      </w:r>
      <w:r w:rsidR="003D7932" w:rsidRPr="00FE2263">
        <w:t xml:space="preserve"> для уточнения состояния пациента, активности заболевания и возможности проведения противоопухолевого лечения </w:t>
      </w:r>
      <w:r w:rsidR="003D7932" w:rsidRPr="00FE2263">
        <w:fldChar w:fldCharType="begin" w:fldLock="1"/>
      </w:r>
      <w:r w:rsidR="003D7932" w:rsidRPr="00FE2263">
        <w:instrText>ADDIN CSL_CITATION {"citationItems":[{"id":"ITEM-1","itemData":{"author":[{"dropping-particle":"","family":"Демина","given":"Е.А.","non-dropping-particle":"","parse-names":false,"suffix":""},{"dropping-particle":"","family":"Ковригина","given":"А.М.","non-dropping-particle":"","parse-names":false,"suffix":""},{"dropping-particle":"","family":"Байков","given":"В.В.","non-dropping-particle":"","parse-names":false,"suffix":""},{"dropping-particle":"","family":"Криволапов","given":"Ю.А.","non-dropping-particle":"","parse-names":false,"suffix":""},{"dropping-particle":"","family":"Леенман","given":"Е.Е.","non-dropping-particle":"","parse-names":false,"suffix":""},{"dropping-particle":"","family":"Кокосадзе","given":"Н.В.","non-dropping-particle":"","parse-names":false,"suffix":""},{"dropping-particle":"","family":"Коновалов","given":"Д.М.","non-dropping-particle":"","parse-names":false,"suffix":""}],"container-title":"Российские клинические рекомендации по диагностике и лечению злокачественных лимфопролиферативных заболеваний; под ред. И.В. Поддубной, В.Г. Савченко.","id":"ITEM-1","issued":{"date-parts":[["2018"]]},"page":"9-27","title":"Общие принципы диагностики лимфом","type":"chapter"},"uris":["http://www.mendeley.com/documents/?uuid=d7eb85a2-da5e-400d-b112-7f0a5734958d"]}],"mendeley":{"formattedCitation":"[9]","plainTextFormattedCitation":"[9]","previouslyFormattedCitation":"[9]"},"properties":{"noteIndex":0},"schema":"https://github.com/citation-style-language/schema/raw/master/csl-citation.json"}</w:instrText>
      </w:r>
      <w:r w:rsidR="003D7932" w:rsidRPr="00FE2263">
        <w:fldChar w:fldCharType="separate"/>
      </w:r>
      <w:r w:rsidR="003D7932" w:rsidRPr="00FE2263">
        <w:rPr>
          <w:noProof/>
        </w:rPr>
        <w:t>[9]</w:t>
      </w:r>
      <w:r w:rsidR="003D7932" w:rsidRPr="00FE2263">
        <w:fldChar w:fldCharType="end"/>
      </w:r>
      <w:r w:rsidRPr="00FE2263">
        <w:t>.</w:t>
      </w:r>
    </w:p>
    <w:p w14:paraId="0C7ECA74" w14:textId="77777777" w:rsidR="00580D79" w:rsidRPr="00FE2263" w:rsidRDefault="00580D79" w:rsidP="00F817BC">
      <w:pPr>
        <w:pStyle w:val="afe"/>
        <w:ind w:firstLine="0"/>
        <w:divId w:val="266810958"/>
        <w:rPr>
          <w:b/>
        </w:rPr>
      </w:pPr>
      <w:r w:rsidRPr="00FE2263">
        <w:rPr>
          <w:b/>
        </w:rPr>
        <w:t>Уровень убедительности рекомендаций С (уровень достоверности доказательств 5).</w:t>
      </w:r>
    </w:p>
    <w:p w14:paraId="77298001" w14:textId="41870305" w:rsidR="00B8381E" w:rsidRPr="00FE2263" w:rsidRDefault="00B8381E" w:rsidP="003D7932">
      <w:pPr>
        <w:pStyle w:val="afff8"/>
        <w:spacing w:before="0"/>
        <w:divId w:val="266810958"/>
      </w:pPr>
      <w:r w:rsidRPr="00FE2263">
        <w:t>Всем пациентам с МВ перед проведением противоопухолевой терапии рекомендуется</w:t>
      </w:r>
      <w:r w:rsidRPr="00FE2263">
        <w:rPr>
          <w:b/>
        </w:rPr>
        <w:t xml:space="preserve"> </w:t>
      </w:r>
      <w:r w:rsidRPr="00FE2263">
        <w:t xml:space="preserve">выполнить коагулограмму </w:t>
      </w:r>
      <w:r w:rsidR="005428BC" w:rsidRPr="00FE2263">
        <w:t xml:space="preserve">(ориентировочное исследование системы гемостаза) </w:t>
      </w:r>
      <w:r w:rsidRPr="00FE2263">
        <w:t>с определением следующих параметров: АЧТВ, протромбиновый индекс по Квику, тромбиновое время, фибриноген</w:t>
      </w:r>
      <w:r w:rsidR="003D7932" w:rsidRPr="00FE2263">
        <w:t xml:space="preserve"> для уточнения состояния свертывающей системы пациента и риска геморрагических осложнений </w:t>
      </w:r>
      <w:r w:rsidR="003D7932" w:rsidRPr="00FE2263">
        <w:fldChar w:fldCharType="begin" w:fldLock="1"/>
      </w:r>
      <w:r w:rsidR="003D7932" w:rsidRPr="00FE2263">
        <w:instrText>ADDIN CSL_CITATION {"citationItems":[{"id":"ITEM-1","itemData":{"DOI":"10.3816/clm.2007.n.027","ISSN":"1557-9190","PMID":"17875234","abstract":"PURPOSE An increased incidence of thromboembolic complications has been observed in multiple myeloma (MM), especially when patients are treated with anthracycline-based chemotherapy. In patients with MM, plasma levels of several prothrombotic coagulation factors are increased, and this can contribute to the prothrombotic state of these patients. Recently, an increased thrombosis risk has also been described for other plasma cell disorders (PCDs), such as monoclonal gammopathy of uncertain significance (MGUS) and systemic amyloidosis. The aim of this study was to analyze prothrombotic coagulation disorders in patients with paraprotein-producing B-cell disorders, such as MGUS, systemic amyloidosis, Waldenström's macroglobulinemia, and MM. PATIENTS AND METHODS An increase in factor VIII and von Willebrand factor was observed in patients with MGUS and systemic amyloidosis that was similar to increases seen in patients with untreated MM. The highest levels were observed in patients with systemic amyloidosis. RESULTS We observed several coagulation abnormalities in patients with different PCDs. CONCLUSION These prothrombotic changes in patients with MM, systemic amyloidosis, and Waldenström's macroglobulinemia might be causally related to the observed incidence of venous thromboembolism in these forms of PCDs.","author":[{"dropping-particle":"","family":"Auwerda","given":"Johannes J A","non-dropping-particle":"","parse-names":false,"suffix":""},{"dropping-particle":"","family":"Sonneveld","given":"Pieter","non-dropping-particle":"","parse-names":false,"suffix":""},{"dropping-particle":"","family":"Maat","given":"Moniek P M","non-dropping-particle":"de","parse-names":false,"suffix":""},{"dropping-particle":"","family":"Leebeek","given":"Frank W G","non-dropping-particle":"","parse-names":false,"suffix":""}],"container-title":"Clinical lymphoma &amp; myeloma","id":"ITEM-1","issue":"7","issued":{"date-parts":[["2007","7"]]},"page":"462-6","title":"Prothrombotic coagulation abnormalities in patients with paraprotein-producing B-cell disorders.","type":"article-journal","volume":"7"},"uris":["http://www.mendeley.com/documents/?uuid=8e9f9201-5b68-325c-abcc-395b2b1f653f"]}],"mendeley":{"formattedCitation":"[10]","plainTextFormattedCitation":"[10]","previouslyFormattedCitation":"[10]"},"properties":{"noteIndex":0},"schema":"https://github.com/citation-style-language/schema/raw/master/csl-citation.json"}</w:instrText>
      </w:r>
      <w:r w:rsidR="003D7932" w:rsidRPr="00FE2263">
        <w:fldChar w:fldCharType="separate"/>
      </w:r>
      <w:r w:rsidR="003D7932" w:rsidRPr="00FE2263">
        <w:rPr>
          <w:noProof/>
        </w:rPr>
        <w:t>[10]</w:t>
      </w:r>
      <w:r w:rsidR="003D7932" w:rsidRPr="00FE2263">
        <w:fldChar w:fldCharType="end"/>
      </w:r>
      <w:r w:rsidR="00580D79" w:rsidRPr="00FE2263">
        <w:t>.</w:t>
      </w:r>
    </w:p>
    <w:p w14:paraId="0E20AB97" w14:textId="4D0D7CD7" w:rsidR="00580D79" w:rsidRPr="00FE2263" w:rsidRDefault="00580D79" w:rsidP="00F817BC">
      <w:pPr>
        <w:pStyle w:val="afe"/>
        <w:ind w:firstLine="0"/>
        <w:divId w:val="266810958"/>
        <w:rPr>
          <w:b/>
        </w:rPr>
      </w:pPr>
      <w:r w:rsidRPr="00FE2263">
        <w:rPr>
          <w:b/>
        </w:rPr>
        <w:lastRenderedPageBreak/>
        <w:t xml:space="preserve">Уровень убедительности рекомендаций </w:t>
      </w:r>
      <w:r w:rsidR="00876A83" w:rsidRPr="00FE2263">
        <w:rPr>
          <w:b/>
        </w:rPr>
        <w:t xml:space="preserve">В </w:t>
      </w:r>
      <w:r w:rsidRPr="00FE2263">
        <w:rPr>
          <w:b/>
        </w:rPr>
        <w:t xml:space="preserve">(уровень достоверности доказательств </w:t>
      </w:r>
      <w:r w:rsidR="00876A83" w:rsidRPr="00FE2263">
        <w:rPr>
          <w:b/>
        </w:rPr>
        <w:t>3</w:t>
      </w:r>
      <w:r w:rsidRPr="00FE2263">
        <w:rPr>
          <w:b/>
        </w:rPr>
        <w:t>).</w:t>
      </w:r>
    </w:p>
    <w:p w14:paraId="166371D6" w14:textId="0C16B30A" w:rsidR="00B8381E" w:rsidRPr="00FE2263" w:rsidRDefault="00B8381E" w:rsidP="003D7932">
      <w:pPr>
        <w:pStyle w:val="afff8"/>
        <w:spacing w:before="0"/>
        <w:divId w:val="266810958"/>
      </w:pPr>
      <w:r w:rsidRPr="00FE2263">
        <w:t>Всем пациентам с МВ перед проведением первой линии противоопухолевой терапии рекомендуется</w:t>
      </w:r>
      <w:r w:rsidRPr="00FE2263">
        <w:rPr>
          <w:b/>
        </w:rPr>
        <w:t xml:space="preserve"> </w:t>
      </w:r>
      <w:r w:rsidRPr="00FE2263">
        <w:t xml:space="preserve">выполнить определение группы крови и резус-фактора, </w:t>
      </w:r>
      <w:r w:rsidR="00FA741B" w:rsidRPr="00FE2263">
        <w:t xml:space="preserve">определение антигена (HbeAg) вируса гепатита B (Hepatitis B virus) в крови, определение антител к вирусу гепатита C (Hepatitis C virus) в крови, определение антител классов M, G (IgM, IgG) к вирусу иммунодефицита человека ВИЧ-1 (Human immunodeficiency virus HIV 1) в крови </w:t>
      </w:r>
      <w:r w:rsidR="003D7932" w:rsidRPr="00FE2263">
        <w:t xml:space="preserve">для уточнения наличия сопутствующей патологии у пациента и возможной необходимости модификации противоопухолевой терапии или проведения сопуствующего лечения </w:t>
      </w:r>
      <w:r w:rsidR="003D7932" w:rsidRPr="00FE2263">
        <w:fldChar w:fldCharType="begin" w:fldLock="1"/>
      </w:r>
      <w:r w:rsidR="003D7932" w:rsidRPr="00FE2263">
        <w:instrText>ADDIN CSL_CITATION {"citationItems":[{"id":"ITEM-1","itemData":{"author":[{"dropping-particle":"","family":"Kastritis","given":"E.","non-dropping-particle":"","parse-names":false,"suffix":""},{"dropping-particle":"","family":"Leblond","given":"V.","non-dropping-particle":"","parse-names":false,"suffix":""},{"dropping-particle":"","family":"Dimopoulos","given":"M.A.","non-dropping-particle":"","parse-names":false,"suffix":""},{"dropping-particle":"","family":"Kimby","given":"E.","non-dropping-particle":"","parse-names":false,"suffix":""},{"dropping-particle":"","family":"Staber","given":"P.","non-dropping-particle":"","parse-names":false,"suffix":""},{"dropping-particle":"","family":"Kersten","given":"M.J.","non-dropping-particle":"","parse-names":false,"suffix":""},{"dropping-particle":"","family":"Tedeschi","given":"A.","non-dropping-particle":"","parse-names":false,"suffix":""},{"dropping-particle":"","family":"Buske","given":"C.","non-dropping-particle":"","parse-names":false,"suffix":""}],"container-title":"Annals of Oncology","id":"ITEM-1","issue":"Supp. 4","issued":{"date-parts":[["2018"]]},"page":"iv41-iv50","title":"Waldenström's macroglobulinaemia: ESMO Clinical Practice Guidelines for diagnosis, treatment and follow-up","type":"article-journal","volume":"29"},"uris":["http://www.mendeley.com/documents/?uuid=6d8b514f-f1d8-4ed9-9995-7bbc3faf39a7"]}],"mendeley":{"formattedCitation":"[7]","plainTextFormattedCitation":"[7]","previouslyFormattedCitation":"[7]"},"properties":{"noteIndex":0},"schema":"https://github.com/citation-style-language/schema/raw/master/csl-citation.json"}</w:instrText>
      </w:r>
      <w:r w:rsidR="003D7932" w:rsidRPr="00FE2263">
        <w:fldChar w:fldCharType="separate"/>
      </w:r>
      <w:r w:rsidR="003D7932" w:rsidRPr="00FE2263">
        <w:rPr>
          <w:noProof/>
        </w:rPr>
        <w:t>[7]</w:t>
      </w:r>
      <w:r w:rsidR="003D7932" w:rsidRPr="00FE2263">
        <w:fldChar w:fldCharType="end"/>
      </w:r>
      <w:r w:rsidRPr="00FE2263">
        <w:rPr>
          <w:rStyle w:val="affb"/>
          <w:b w:val="0"/>
          <w:bCs w:val="0"/>
        </w:rPr>
        <w:t>.</w:t>
      </w:r>
    </w:p>
    <w:p w14:paraId="0012D824" w14:textId="77777777" w:rsidR="00580D79" w:rsidRPr="00FE2263" w:rsidRDefault="00580D79" w:rsidP="00F817BC">
      <w:pPr>
        <w:pStyle w:val="afe"/>
        <w:ind w:firstLine="0"/>
        <w:divId w:val="266810958"/>
        <w:rPr>
          <w:b/>
        </w:rPr>
      </w:pPr>
      <w:r w:rsidRPr="00FE2263">
        <w:rPr>
          <w:b/>
        </w:rPr>
        <w:t>Уровень убедительности рекомендаций С (уровень достоверности доказательств 5).</w:t>
      </w:r>
    </w:p>
    <w:p w14:paraId="6DFA95CC" w14:textId="127DB18F" w:rsidR="00B8381E" w:rsidRPr="00FE2263" w:rsidRDefault="00B8381E" w:rsidP="007E22FB">
      <w:pPr>
        <w:pStyle w:val="afff8"/>
        <w:spacing w:before="0"/>
        <w:divId w:val="266810958"/>
      </w:pPr>
      <w:r w:rsidRPr="00FE2263">
        <w:t>Всем пациентам с МВ перед проведением первой линии противоопухолевой терапии рекомендуется</w:t>
      </w:r>
      <w:r w:rsidRPr="00FE2263">
        <w:rPr>
          <w:b/>
        </w:rPr>
        <w:t xml:space="preserve"> </w:t>
      </w:r>
      <w:r w:rsidRPr="00FE2263">
        <w:t xml:space="preserve">выполнить </w:t>
      </w:r>
      <w:r w:rsidR="004B21E9" w:rsidRPr="00FE2263">
        <w:rPr>
          <w:rFonts w:cs="Times New Roman"/>
        </w:rPr>
        <w:t>исследование уровня бета-2-микроглобулина</w:t>
      </w:r>
      <w:r w:rsidRPr="00FE2263">
        <w:t xml:space="preserve">, криоглобулинов </w:t>
      </w:r>
      <w:r w:rsidR="005428BC" w:rsidRPr="00FE2263">
        <w:t xml:space="preserve">в </w:t>
      </w:r>
      <w:r w:rsidRPr="00FE2263">
        <w:t>крови</w:t>
      </w:r>
      <w:r w:rsidR="003D7932" w:rsidRPr="00FE2263">
        <w:t xml:space="preserve"> </w:t>
      </w:r>
      <w:r w:rsidR="003D7932" w:rsidRPr="00FE2263">
        <w:fldChar w:fldCharType="begin" w:fldLock="1"/>
      </w:r>
      <w:r w:rsidR="00D2308B">
        <w:instrText>ADDIN CSL_CITATION {"citationItems":[{"id":"ITEM-1","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практика","id":"ITEM-1","issue":"2","issued":{"date-parts":[["2009"]]},"page":"121-136","title":"Макроглобулинемия Вальденстрема","type":"article-journal","volume":"2"},"uris":["http://www.mendeley.com/documents/?uuid=a5b41185-3218-46e4-ad25-9878f84d5d1b"]}],"mendeley":{"formattedCitation":"[3]","plainTextFormattedCitation":"[3]","previouslyFormattedCitation":"[3]"},"properties":{"noteIndex":0},"schema":"https://github.com/citation-style-language/schema/raw/master/csl-citation.json"}</w:instrText>
      </w:r>
      <w:r w:rsidR="003D7932" w:rsidRPr="00FE2263">
        <w:fldChar w:fldCharType="separate"/>
      </w:r>
      <w:r w:rsidR="003D7932" w:rsidRPr="00FE2263">
        <w:rPr>
          <w:noProof/>
        </w:rPr>
        <w:t>[3]</w:t>
      </w:r>
      <w:r w:rsidR="003D7932" w:rsidRPr="00FE2263">
        <w:fldChar w:fldCharType="end"/>
      </w:r>
      <w:r w:rsidR="00580D79" w:rsidRPr="00FE2263">
        <w:rPr>
          <w:rStyle w:val="affb"/>
          <w:b w:val="0"/>
          <w:bCs w:val="0"/>
        </w:rPr>
        <w:t>.</w:t>
      </w:r>
    </w:p>
    <w:p w14:paraId="4151A035" w14:textId="77777777" w:rsidR="00580D79" w:rsidRPr="00FE2263" w:rsidRDefault="00580D79" w:rsidP="00F817BC">
      <w:pPr>
        <w:pStyle w:val="afe"/>
        <w:ind w:firstLine="0"/>
        <w:divId w:val="266810958"/>
        <w:rPr>
          <w:b/>
        </w:rPr>
      </w:pPr>
      <w:r w:rsidRPr="00FE2263">
        <w:rPr>
          <w:b/>
        </w:rPr>
        <w:t>Уровень убедительности рекомендаций С (уровень достоверности доказательств 5).</w:t>
      </w:r>
    </w:p>
    <w:p w14:paraId="737BE47F" w14:textId="33BE1580" w:rsidR="00B8381E" w:rsidRPr="00FE2263" w:rsidRDefault="00B8381E" w:rsidP="007E22FB">
      <w:pPr>
        <w:pStyle w:val="afff8"/>
        <w:spacing w:before="0"/>
        <w:divId w:val="266810958"/>
      </w:pPr>
      <w:r w:rsidRPr="00FE2263">
        <w:t>Всем пациентам с МВ перед проведением первой линии противоопухолевой терапии рекомендуется</w:t>
      </w:r>
      <w:r w:rsidRPr="00FE2263">
        <w:rPr>
          <w:b/>
        </w:rPr>
        <w:t xml:space="preserve"> </w:t>
      </w:r>
      <w:r w:rsidRPr="00FE2263">
        <w:t>выполнить исследование вязкости крови</w:t>
      </w:r>
      <w:r w:rsidR="003D7932" w:rsidRPr="00FE2263">
        <w:t xml:space="preserve"> </w:t>
      </w:r>
      <w:r w:rsidR="007E22FB" w:rsidRPr="00FE2263">
        <w:fldChar w:fldCharType="begin" w:fldLock="1"/>
      </w:r>
      <w:r w:rsidR="00D2308B">
        <w:instrText>ADDIN CSL_CITATION {"citationItems":[{"id":"ITEM-1","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практика","id":"ITEM-1","issue":"2","issued":{"date-parts":[["2009"]]},"page":"121-136","title":"Макроглобулинемия Вальденстрема","type":"article-journal","volume":"2"},"uris":["http://www.mendeley.com/documents/?uuid=a5b41185-3218-46e4-ad25-9878f84d5d1b"]}],"mendeley":{"formattedCitation":"[3]","plainTextFormattedCitation":"[3]","previouslyFormattedCitation":"[3]"},"properties":{"noteIndex":0},"schema":"https://github.com/citation-style-language/schema/raw/master/csl-citation.json"}</w:instrText>
      </w:r>
      <w:r w:rsidR="007E22FB" w:rsidRPr="00FE2263">
        <w:fldChar w:fldCharType="separate"/>
      </w:r>
      <w:r w:rsidR="007E22FB" w:rsidRPr="00FE2263">
        <w:rPr>
          <w:noProof/>
        </w:rPr>
        <w:t>[3]</w:t>
      </w:r>
      <w:r w:rsidR="007E22FB" w:rsidRPr="00FE2263">
        <w:fldChar w:fldCharType="end"/>
      </w:r>
      <w:r w:rsidR="00580D79" w:rsidRPr="00FE2263">
        <w:rPr>
          <w:rStyle w:val="affb"/>
          <w:b w:val="0"/>
          <w:bCs w:val="0"/>
        </w:rPr>
        <w:t>.</w:t>
      </w:r>
    </w:p>
    <w:p w14:paraId="72F9D4C5" w14:textId="77777777" w:rsidR="00580D79" w:rsidRPr="00FE2263" w:rsidRDefault="00580D79" w:rsidP="00F817BC">
      <w:pPr>
        <w:pStyle w:val="afe"/>
        <w:ind w:firstLine="0"/>
        <w:divId w:val="266810958"/>
        <w:rPr>
          <w:b/>
        </w:rPr>
      </w:pPr>
      <w:r w:rsidRPr="00FE2263">
        <w:rPr>
          <w:b/>
        </w:rPr>
        <w:t>Уровень убедительности рекомендаций С (уровень достоверности доказательств 5).</w:t>
      </w:r>
    </w:p>
    <w:p w14:paraId="7564747C" w14:textId="77777777" w:rsidR="00B46390" w:rsidRPr="00FE2263" w:rsidRDefault="00B46390" w:rsidP="007E22FB">
      <w:pPr>
        <w:pStyle w:val="2"/>
        <w:spacing w:before="0"/>
        <w:divId w:val="266810958"/>
      </w:pPr>
      <w:bookmarkStart w:id="35" w:name="_Toc66184314"/>
      <w:r w:rsidRPr="00FE2263">
        <w:t xml:space="preserve">2.4 </w:t>
      </w:r>
      <w:r w:rsidR="00A70F44" w:rsidRPr="00FE2263">
        <w:t xml:space="preserve">Инструментальные </w:t>
      </w:r>
      <w:r w:rsidRPr="00FE2263">
        <w:t>диагно</w:t>
      </w:r>
      <w:r w:rsidR="00A70F44" w:rsidRPr="00FE2263">
        <w:t>стические исследования</w:t>
      </w:r>
      <w:bookmarkEnd w:id="35"/>
    </w:p>
    <w:p w14:paraId="29D5C10B" w14:textId="57C71352" w:rsidR="00580D79" w:rsidRPr="00FE2263" w:rsidRDefault="00580D79" w:rsidP="007E22FB">
      <w:pPr>
        <w:pStyle w:val="afff8"/>
        <w:spacing w:before="0"/>
        <w:divId w:val="266810958"/>
        <w:rPr>
          <w:rFonts w:eastAsiaTheme="minorEastAsia"/>
        </w:rPr>
      </w:pPr>
      <w:r w:rsidRPr="00FE2263">
        <w:t>Всем пациентам с МВ перед проведением первой линии противоопухолевой терапии рекомендуется</w:t>
      </w:r>
      <w:r w:rsidRPr="00FE2263">
        <w:rPr>
          <w:b/>
        </w:rPr>
        <w:t xml:space="preserve"> </w:t>
      </w:r>
      <w:r w:rsidRPr="00FE2263">
        <w:t xml:space="preserve">выполнить рентгенологическое </w:t>
      </w:r>
      <w:r w:rsidR="005428BC" w:rsidRPr="00FE2263">
        <w:t xml:space="preserve">исследование </w:t>
      </w:r>
      <w:r w:rsidRPr="00FE2263">
        <w:t>костей скелета (рентгенография и/или компьютерная томография)</w:t>
      </w:r>
      <w:r w:rsidR="007E22FB" w:rsidRPr="00FE2263">
        <w:t xml:space="preserve"> для уточнения распространенности заболевания </w:t>
      </w:r>
      <w:r w:rsidR="007E22FB" w:rsidRPr="00FE2263">
        <w:fldChar w:fldCharType="begin" w:fldLock="1"/>
      </w:r>
      <w:r w:rsidR="00D2308B">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практика","id":"ITEM-2","issue":"2","issued":{"date-parts":[["2009"]]},"page":"121-136","title":"Макроглобулинемия Вальденстрема","type":"article-journal","volume":"2"},"uris":["http://www.mendeley.com/documents/?uuid=a5b41185-3218-46e4-ad25-9878f84d5d1b"]},{"id":"ITEM-3","itemData":{"DOI":"10.1002/ajhb.10077","ISSN":"10420533","abstract":"This study was conducted to characterize macroscopically and by conventional radiography the bony lesions in a case of Waldenstrom's macroglobulinemia and to compare and contrast it with those of the other major hematologic lymphoproliferative disorders, multiple myeloma and leukemia. Two varieties of lytic skeletal lesions were found in Waldenstrom's macroglobulinemia. One was sharply defined, spheroid lesions with smooth borders and effaced/erased trabeculae. The second was in the form of coalescing pits (holes) with smooth, minimally remodeled edges. The appearance combined features of multiple myeloma and leukemia, but were mutually exclusive in those diseases. Spheroid lesions with effaced edges were absent in leukemia, while pits were absent in multiple myeloma. Fronts of resorption were not noted in Waldenstrom's macroglobulinemia. The combination of some of the features of leukemia and myeloma appear to allow recognition of Waldenstrom's macroglobulinemia. © 2002 Wiley-Liss, Inc.","author":[{"dropping-particle":"","family":"Rothschild","given":"B. M.","non-dropping-particle":"","parse-names":false,"suffix":""},{"dropping-particle":"","family":"Ruhli","given":"F.","non-dropping-particle":"","parse-names":false,"suffix":""},{"dropping-particle":"","family":"Rothschild","given":"C.","non-dropping-particle":"","parse-names":false,"suffix":""}],"container-title":"American Journal of Human Biology","id":"ITEM-3","issue":"4","issued":{"date-parts":[["2002"]]},"page":"532-537","publisher":"Wiley-Blackwell","title":"Skeletal clues apparently distinguishing Waldenstrom's macroglobulinemia from multiple myeloma and leukemia","type":"article-journal","volume":"14"},"uris":["http://www.mendeley.com/documents/?uuid=cc5b4cbe-cecb-3b1b-bb12-97f20f36b412"]}],"mendeley":{"formattedCitation":"[1,3,11]","plainTextFormattedCitation":"[1,3,11]","previouslyFormattedCitation":"[1,3,11]"},"properties":{"noteIndex":0},"schema":"https://github.com/citation-style-language/schema/raw/master/csl-citation.json"}</w:instrText>
      </w:r>
      <w:r w:rsidR="007E22FB" w:rsidRPr="00FE2263">
        <w:fldChar w:fldCharType="separate"/>
      </w:r>
      <w:r w:rsidR="007E22FB" w:rsidRPr="00FE2263">
        <w:rPr>
          <w:noProof/>
        </w:rPr>
        <w:t>[1,3,11]</w:t>
      </w:r>
      <w:r w:rsidR="007E22FB" w:rsidRPr="00FE2263">
        <w:fldChar w:fldCharType="end"/>
      </w:r>
      <w:r w:rsidRPr="00FE2263">
        <w:rPr>
          <w:rStyle w:val="affb"/>
          <w:b w:val="0"/>
          <w:bCs w:val="0"/>
        </w:rPr>
        <w:t>.</w:t>
      </w:r>
    </w:p>
    <w:p w14:paraId="085B908D" w14:textId="22E91323" w:rsidR="00580D79" w:rsidRPr="00FE2263" w:rsidRDefault="00580D79" w:rsidP="00F817BC">
      <w:pPr>
        <w:pStyle w:val="afe"/>
        <w:ind w:firstLine="0"/>
        <w:divId w:val="266810958"/>
        <w:rPr>
          <w:b/>
        </w:rPr>
      </w:pPr>
      <w:r w:rsidRPr="00FE2263">
        <w:rPr>
          <w:b/>
        </w:rPr>
        <w:t xml:space="preserve">Уровень убедительности рекомендаций С (уровень достоверности доказательств </w:t>
      </w:r>
      <w:r w:rsidR="00876A83" w:rsidRPr="00FE2263">
        <w:rPr>
          <w:b/>
        </w:rPr>
        <w:t>4</w:t>
      </w:r>
      <w:r w:rsidRPr="00FE2263">
        <w:rPr>
          <w:b/>
        </w:rPr>
        <w:t>).</w:t>
      </w:r>
    </w:p>
    <w:p w14:paraId="3BC524A0" w14:textId="0BD5FE2D" w:rsidR="00580D79" w:rsidRPr="00FE2263" w:rsidRDefault="00580D79" w:rsidP="007E22FB">
      <w:pPr>
        <w:pStyle w:val="afff8"/>
        <w:spacing w:before="0"/>
        <w:divId w:val="266810958"/>
      </w:pPr>
      <w:r w:rsidRPr="00FE2263">
        <w:t>Всем пациентам с МВ перед проведением первой линии противоопухолевой терапии рекомендуется</w:t>
      </w:r>
      <w:r w:rsidRPr="00FE2263">
        <w:rPr>
          <w:b/>
        </w:rPr>
        <w:t xml:space="preserve"> </w:t>
      </w:r>
      <w:r w:rsidRPr="00FE2263">
        <w:t>выполнить КТ органов грудной клетки, брюшной полости и забрюшинного пространства</w:t>
      </w:r>
      <w:r w:rsidR="007E22FB" w:rsidRPr="00FE2263">
        <w:t xml:space="preserve"> </w:t>
      </w:r>
      <w:r w:rsidR="007E22FB" w:rsidRPr="00FE2263">
        <w:fldChar w:fldCharType="begin" w:fldLock="1"/>
      </w:r>
      <w:r w:rsidR="00D2308B">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практика","id":"ITEM-2","issue":"2","issued":{"date-parts":[["2009"]]},"page":"121-136","title":"Макроглобулинемия Вальденстрема","type":"article-journal","volume":"2"},"uris":["http://www.mendeley.com/documents/?uuid=a5b41185-3218-46e4-ad25-9878f84d5d1b"]},{"id":"ITEM-3","itemData":{"author":[{"dropping-particle":"","family":"Kastritis","given":"E.","non-dropping-particle":"","parse-names":false,"suffix":""},{"dropping-particle":"","family":"Leblond","given":"V.","non-dropping-particle":"","parse-names":false,"suffix":""},{"dropping-particle":"","family":"Dimopoulos","given":"M.A.","non-dropping-particle":"","parse-names":false,"suffix":""},{"dropping-particle":"","family":"Kimby","given":"E.","non-dropping-particle":"","parse-names":false,"suffix":""},{"dropping-particle":"","family":"Staber","given":"P.","non-dropping-particle":"","parse-names":false,"suffix":""},{"dropping-particle":"","family":"Kersten","given":"M.J.","non-dropping-particle":"","parse-names":false,"suffix":""},{"dropping-particle":"","family":"Tedeschi","given":"A.","non-dropping-particle":"","parse-names":false,"suffix":""},{"dropping-particle":"","family":"Buske","given":"C.","non-dropping-particle":"","parse-names":false,"suffix":""}],"container-title":"Annals of Oncology","id":"ITEM-3","issue":"Supp. 4","issued":{"date-parts":[["2018"]]},"page":"iv41-iv50","title":"Waldenström's macroglobulinaemia: ESMO Clinical Practice Guidelines for diagnosis, treatment and follow-up","type":"article-journal","volume":"29"},"uris":["http://www.mendeley.com/documents/?uuid=6d8b514f-f1d8-4ed9-9995-7bbc3faf39a7"]}],"mendeley":{"formattedCitation":"[1,3,7]","plainTextFormattedCitation":"[1,3,7]","previouslyFormattedCitation":"[1,3,7]"},"properties":{"noteIndex":0},"schema":"https://github.com/citation-style-language/schema/raw/master/csl-citation.json"}</w:instrText>
      </w:r>
      <w:r w:rsidR="007E22FB" w:rsidRPr="00FE2263">
        <w:fldChar w:fldCharType="separate"/>
      </w:r>
      <w:r w:rsidR="007E22FB" w:rsidRPr="00FE2263">
        <w:rPr>
          <w:noProof/>
        </w:rPr>
        <w:t>[1,3,7]</w:t>
      </w:r>
      <w:r w:rsidR="007E22FB" w:rsidRPr="00FE2263">
        <w:fldChar w:fldCharType="end"/>
      </w:r>
      <w:r w:rsidRPr="00FE2263">
        <w:t>.</w:t>
      </w:r>
    </w:p>
    <w:p w14:paraId="151AD8D5" w14:textId="77777777" w:rsidR="00580D79" w:rsidRPr="00FE2263" w:rsidRDefault="00580D79" w:rsidP="00F817BC">
      <w:pPr>
        <w:pStyle w:val="afe"/>
        <w:ind w:firstLine="0"/>
        <w:divId w:val="266810958"/>
        <w:rPr>
          <w:b/>
        </w:rPr>
      </w:pPr>
      <w:r w:rsidRPr="00FE2263">
        <w:rPr>
          <w:b/>
        </w:rPr>
        <w:t>Уровень убедительности рекомендаций С (уровень достоверности доказательств 5).</w:t>
      </w:r>
    </w:p>
    <w:p w14:paraId="41FD1A87" w14:textId="57B02317" w:rsidR="00580D79" w:rsidRPr="00FE2263" w:rsidRDefault="00580D79" w:rsidP="007E22FB">
      <w:pPr>
        <w:pStyle w:val="afff8"/>
        <w:spacing w:before="0"/>
        <w:divId w:val="266810958"/>
      </w:pPr>
      <w:r w:rsidRPr="00FE2263">
        <w:lastRenderedPageBreak/>
        <w:t>Всем пациентам с МВ перед проведением первой линии противоопухолевой терапии рекомендуется</w:t>
      </w:r>
      <w:r w:rsidRPr="00FE2263">
        <w:rPr>
          <w:b/>
        </w:rPr>
        <w:t xml:space="preserve"> </w:t>
      </w:r>
      <w:r w:rsidRPr="00FE2263">
        <w:t>выполнить рентгенографию органов грудной клетки в двух проекциях</w:t>
      </w:r>
      <w:r w:rsidR="00832AE8" w:rsidRPr="00FE2263">
        <w:t xml:space="preserve"> для выявления изменений легочной ткани и органов средостения</w:t>
      </w:r>
      <w:r w:rsidR="007E22FB" w:rsidRPr="00FE2263">
        <w:t xml:space="preserve"> </w:t>
      </w:r>
      <w:r w:rsidR="007E22FB" w:rsidRPr="00FE2263">
        <w:fldChar w:fldCharType="begin" w:fldLock="1"/>
      </w:r>
      <w:r w:rsidR="00D2308B">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практика","id":"ITEM-2","issue":"2","issued":{"date-parts":[["2009"]]},"page":"121-136","title":"Макроглобулинемия Вальденстрема","type":"article-journal","volume":"2"},"uris":["http://www.mendeley.com/documents/?uuid=a5b41185-3218-46e4-ad25-9878f84d5d1b"]},{"id":"ITEM-3","itemData":{"DOI":"10.1002/ajh.2830090208","ISSN":"03618609","abstract":"Waldenstrom macroglobulinemia (WMG), a proliferation of malignant monoclonal IgM secreting plasmacytoid lymphocytes in lymph nodes, spleen, and marrow, usually pursues a chronic clinical course. A patient with WMG for five years who developed pulmonary tumors consisting of plasmacytoid lymphocytes prompted a review of the literature for pulmonary manifestations of WMG. Twenty‐six males and 18 females, ranging in age from 33 to 84 years, have been reported with histologically proven pulmonary involvement by WMG. The x‐ray findings, evident in most patients when first seen, consisted of masses (22 patients), infiltrates (31 patients), and pleural effusions (19 patients). Most patients (24) had two or more of these manifestations but only five, in addition to our patient, had isolated pulmonary nodules. Isolated pulmonary infiltrates were found in ten patients and isolated pleural effusions in only four. Symptoms at the onset of pulmonary involvement included dyspnea (54%), nonproductive cough (33%), and chest pain (7%); 15% were asymptomatic. Pulmonary manifestations, like other features of WMG, respond to alkylating agents or irradiation and do not appear to affect prognosis adversely. Pulmonary involvement should be suspected in any patient with WMG who develops an abnormal chest x‐ray. Copyright © 1980 Wiley‐Liss, Inc., A Wiley Company","author":[{"dropping-particle":"","family":"Rausch","given":"P. Gregory","non-dropping-particle":"","parse-names":false,"suffix":""},{"dropping-particle":"","family":"Herion","given":"John C.","non-dropping-particle":"","parse-names":false,"suffix":""}],"container-title":"American Journal of Hematology","id":"ITEM-3","issue":"2","issued":{"date-parts":[["1980","9","1"]]},"page":"201-209","publisher":"John Wiley &amp; Sons, Ltd","title":"Pulmonary manifestations of waldenstrom macroglobulinemia","type":"article-journal","volume":"9"},"uris":["http://www.mendeley.com/documents/?uuid=db3c7a41-09bc-3a40-bd02-84587fa892cb"]}],"mendeley":{"formattedCitation":"[1,3,12]","plainTextFormattedCitation":"[1,3,12]","previouslyFormattedCitation":"[1,3,12]"},"properties":{"noteIndex":0},"schema":"https://github.com/citation-style-language/schema/raw/master/csl-citation.json"}</w:instrText>
      </w:r>
      <w:r w:rsidR="007E22FB" w:rsidRPr="00FE2263">
        <w:fldChar w:fldCharType="separate"/>
      </w:r>
      <w:r w:rsidR="007E22FB" w:rsidRPr="00FE2263">
        <w:rPr>
          <w:noProof/>
        </w:rPr>
        <w:t>[1,3,12]</w:t>
      </w:r>
      <w:r w:rsidR="007E22FB" w:rsidRPr="00FE2263">
        <w:fldChar w:fldCharType="end"/>
      </w:r>
      <w:r w:rsidRPr="00FE2263">
        <w:t>.</w:t>
      </w:r>
    </w:p>
    <w:p w14:paraId="25EF7AE5" w14:textId="3A4CFA18" w:rsidR="00580D79" w:rsidRPr="00FE2263" w:rsidRDefault="00580D79" w:rsidP="00F817BC">
      <w:pPr>
        <w:pStyle w:val="afe"/>
        <w:ind w:firstLine="0"/>
        <w:divId w:val="266810958"/>
        <w:rPr>
          <w:b/>
        </w:rPr>
      </w:pPr>
      <w:r w:rsidRPr="00FE2263">
        <w:rPr>
          <w:b/>
        </w:rPr>
        <w:t xml:space="preserve">Уровень убедительности рекомендаций С (уровень достоверности доказательств </w:t>
      </w:r>
      <w:r w:rsidR="00832AE8" w:rsidRPr="00FE2263">
        <w:rPr>
          <w:b/>
        </w:rPr>
        <w:t>4</w:t>
      </w:r>
      <w:r w:rsidRPr="00FE2263">
        <w:rPr>
          <w:b/>
        </w:rPr>
        <w:t>).</w:t>
      </w:r>
    </w:p>
    <w:p w14:paraId="16161FD1" w14:textId="577D3750" w:rsidR="00580D79" w:rsidRPr="00FE2263" w:rsidRDefault="00580D79" w:rsidP="007E22FB">
      <w:pPr>
        <w:pStyle w:val="afff8"/>
        <w:spacing w:before="0"/>
        <w:divId w:val="266810958"/>
      </w:pPr>
      <w:r w:rsidRPr="00FE2263">
        <w:t>Всем пациентам с МВ перед проведением первой линии противоопухолевой терапии рекомендуется выполнение ультразвукового исследование (УЗИ) всех групп периферических, внутрибрюшных и забрюшинных лимфатических узлов, органов брюшной полости и забрюшинного пространства</w:t>
      </w:r>
      <w:r w:rsidR="00832AE8" w:rsidRPr="00FE2263">
        <w:t xml:space="preserve"> для</w:t>
      </w:r>
      <w:r w:rsidRPr="00FE2263">
        <w:t xml:space="preserve"> </w:t>
      </w:r>
      <w:r w:rsidR="00832AE8" w:rsidRPr="00FE2263">
        <w:t>определения размеров печени, селезенки и внутрибрюшных лимфатических узлов, а также оценки состояния органов брюшной полости</w:t>
      </w:r>
      <w:r w:rsidR="007E22FB" w:rsidRPr="00FE2263">
        <w:t xml:space="preserve"> </w:t>
      </w:r>
      <w:r w:rsidR="007E22FB" w:rsidRPr="00FE2263">
        <w:fldChar w:fldCharType="begin" w:fldLock="1"/>
      </w:r>
      <w:r w:rsidR="00D2308B">
        <w:instrText>ADDIN CSL_CITATION {"citationItems":[{"id":"ITEM-1","itemData":{"DOI":"10.1053/sonc.2003.50082","ISSN":"00937754","abstract":"This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Oncology","id":"ITEM-1","issue":"2","issued":{"date-parts":[["2003","4"]]},"page":"110-115","publisher":"W.B.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-2","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практика","id":"ITEM-2","issue":"2","issued":{"date-parts":[["2009"]]},"page":"121-136","title":"Макроглобулинемия Вальденстрема","type":"article-journal","volume":"2"},"uris":["http://www.mendeley.com/documents/?uuid=a5b41185-3218-46e4-ad25-9878f84d5d1b"]},{"id":"ITEM-3","itemData":{"author":[{"dropping-particle":"","family":"Kastritis","given":"E.","non-dropping-particle":"","parse-names":false,"suffix":""},{"dropping-particle":"","family":"Leblond","given":"V.","non-dropping-particle":"","parse-names":false,"suffix":""},{"dropping-particle":"","family":"Dimopoulos","given":"M.A.","non-dropping-particle":"","parse-names":false,"suffix":""},{"dropping-particle":"","family":"Kimby","given":"E.","non-dropping-particle":"","parse-names":false,"suffix":""},{"dropping-particle":"","family":"Staber","given":"P.","non-dropping-particle":"","parse-names":false,"suffix":""},{"dropping-particle":"","family":"Kersten","given":"M.J.","non-dropping-particle":"","parse-names":false,"suffix":""},{"dropping-particle":"","family":"Tedeschi","given":"A.","non-dropping-particle":"","parse-names":false,"suffix":""},{"dropping-particle":"","family":"Buske","given":"C.","non-dropping-particle":"","parse-names":false,"suffix":""}],"container-title":"Annals of Oncology","id":"ITEM-3","issue":"Supp. 4","issued":{"date-parts":[["2018"]]},"page":"iv41-iv50","title":"Waldenström's macroglobulinaemia: ESMO Clinical Practice Guidelines for diagnosis, treatment and follow-up","type":"article-journal","volume":"29"},"uris":["http://www.mendeley.com/documents/?uuid=6d8b514f-f1d8-4ed9-9995-7bbc3faf39a7"]}],"mendeley":{"formattedCitation":"[1,3,7]","plainTextFormattedCitation":"[1,3,7]","previouslyFormattedCitation":"[1,3,7]"},"properties":{"noteIndex":0},"schema":"https://github.com/citation-style-language/schema/raw/master/csl-citation.json"}</w:instrText>
      </w:r>
      <w:r w:rsidR="007E22FB" w:rsidRPr="00FE2263">
        <w:fldChar w:fldCharType="separate"/>
      </w:r>
      <w:r w:rsidR="007E22FB" w:rsidRPr="00FE2263">
        <w:rPr>
          <w:noProof/>
        </w:rPr>
        <w:t>[1,3,7]</w:t>
      </w:r>
      <w:r w:rsidR="007E22FB" w:rsidRPr="00FE2263">
        <w:fldChar w:fldCharType="end"/>
      </w:r>
      <w:r w:rsidRPr="00FE2263">
        <w:t>.</w:t>
      </w:r>
    </w:p>
    <w:p w14:paraId="69CF4DA5" w14:textId="77777777" w:rsidR="00580D79" w:rsidRPr="00FE2263" w:rsidRDefault="00580D79" w:rsidP="00F817BC">
      <w:pPr>
        <w:pStyle w:val="afe"/>
        <w:ind w:firstLine="0"/>
        <w:divId w:val="266810958"/>
        <w:rPr>
          <w:b/>
        </w:rPr>
      </w:pPr>
      <w:r w:rsidRPr="00FE2263">
        <w:rPr>
          <w:b/>
        </w:rPr>
        <w:t>Уровень убедительности рекомендаций С (уровень достоверности доказательств 5).</w:t>
      </w:r>
    </w:p>
    <w:p w14:paraId="210ABF9F" w14:textId="77777777" w:rsidR="00B46390" w:rsidRPr="00FE2263" w:rsidRDefault="00B46390" w:rsidP="007E22FB">
      <w:pPr>
        <w:pStyle w:val="2"/>
        <w:spacing w:before="0"/>
        <w:divId w:val="266810958"/>
      </w:pPr>
      <w:bookmarkStart w:id="36" w:name="_Toc66184315"/>
      <w:r w:rsidRPr="00FE2263">
        <w:t>2.5 Ин</w:t>
      </w:r>
      <w:r w:rsidR="00A70F44" w:rsidRPr="00FE2263">
        <w:t>ые диагностические исследования</w:t>
      </w:r>
      <w:bookmarkEnd w:id="36"/>
    </w:p>
    <w:p w14:paraId="1D097172" w14:textId="5E52D31C" w:rsidR="005428BC" w:rsidRPr="00FE2263" w:rsidRDefault="005428BC" w:rsidP="007E22FB">
      <w:pPr>
        <w:pStyle w:val="afff8"/>
        <w:spacing w:before="0"/>
      </w:pPr>
      <w:bookmarkStart w:id="37" w:name="__RefHeading___doc_3"/>
      <w:bookmarkStart w:id="38" w:name="_Toc11747742"/>
      <w:r w:rsidRPr="00FE2263">
        <w:t>Всем пациентам с МВ перед проведением первой линии противоопухолевой терапии рекомендуется</w:t>
      </w:r>
      <w:r w:rsidRPr="00FE2263">
        <w:rPr>
          <w:b/>
        </w:rPr>
        <w:t xml:space="preserve"> </w:t>
      </w:r>
      <w:r w:rsidRPr="00FE2263">
        <w:t>выполнить</w:t>
      </w:r>
      <w:r w:rsidR="00D76091" w:rsidRPr="00FE2263">
        <w:t xml:space="preserve"> получение цитологического препарата костного мозга путем пункции</w:t>
      </w:r>
      <w:r w:rsidR="00D76091" w:rsidRPr="00FE2263">
        <w:rPr>
          <w:color w:val="000000" w:themeColor="text1"/>
        </w:rPr>
        <w:t>, цитологическое исследование мазка костного мозга (миелограмма)</w:t>
      </w:r>
      <w:r w:rsidRPr="00FE2263">
        <w:t xml:space="preserve"> для обнаружения лимфоплазмоцитарной инфильтрации</w:t>
      </w:r>
      <w:r w:rsidR="00E04AA0" w:rsidRPr="00FE2263">
        <w:t xml:space="preserve"> </w:t>
      </w:r>
      <w:r w:rsidR="00E04AA0" w:rsidRPr="00FE2263">
        <w:fldChar w:fldCharType="begin" w:fldLock="1"/>
      </w:r>
      <w:r w:rsidR="00E04AA0" w:rsidRPr="00FE2263">
        <w:instrText>ADDIN CSL_CITATION {"citationItems":[{"id":"ITEM-1","itemData":{"DOI":"10.1053/sonc.2003.50038","ISSN":"00937754","abstract":"This presentation represents consensus recommendations on prognostic markers and criteria to initiate therapy in patients with Waldenstrom's macroglobulinemia (WM), which were prepared in conjunction with the Second International Workshop held in Athens, Greece during September 2002. The panel recommended that initiation of therapy should not be based on the IgM level per se since this may not correlate with the clinical manifestations of WM. The consensus panel agreed that initiation of therapy was appropriate for patients with constitutional symptoms such as recurrent fever, night sweats, fatigue due to anemia, or weight loss. The presence of progressive, symptomatic lymphadenopathy or splenomegaly provide additional reasons to begin therapy. The presence of anemia with a hemoglobin value of ≤ 10 g/dL or a platelet count &lt; 100 × 109/L due to marrow infiltration also justifies treatment. Certain complications such as hyperviscosity syndrome, symptomatic sensorimotor peripheral neuropathy, systemic amyloidosis, renal insufficiency, or symptomatic cryoglobulinemia may also be indications for therapy. Recommendations for follow-up of watch-and-wait patients are that those with monoclonal gammopathy of undetermined significance (MGUS) should have serum protein electrophoresis repeated each year. Patients with asymptomatic (smoldering) macroglobulinemia should be evaluated every 6 months. Regarding prognostic markers, hemoglobin and β2-microglobulin levels at diagnosis are important prognostic markers in WM: they influence the timing of treatment and survival. Age is a consistently important prognostic factor for survival. However, the panel felt that current data are inadequate to support the use of any prognostic marker to select the timing and type of therapy, and called for studies on the application of prognostic markers in WM. © 2003 Elsevier Inc. All rights reserved.","author":[{"dropping-particle":"","family":"Kyle","given":"Robert A.","non-dropping-particle":"","parse-names":false,"suffix":""},{"dropping-particle":"","family":"Treon","given":"Steven P.","non-dropping-particle":"","parse-names":false,"suffix":""},{"dropping-particle":"","family":"Alexanian","given":"Raymond","non-dropping-particle":"","parse-names":false,"suffix":""},{"dropping-particle":"","family":"Barlogie","given":"Bart","non-dropping-particle":"","parse-names":false,"suffix":""},{"dropping-particle":"","family":"Björkholm","given":"Magnus","non-dropping-particle":"","parse-names":false,"suffix":""},{"dropping-particle":"","family":"Dhodapkar","given":"Madhav","non-dropping-particle":"","parse-names":false,"suffix":""},{"dropping-particle":"","family":"Lister","given":"T. Andrew","non-dropping-particle":"","parse-names":false,"suffix":""},{"dropping-particle":"","family":"Merlini","given":"Giampaolo","non-dropping-particle":"","parse-names":false,"suffix":""},{"dropping-particle":"","family":"Morel","given":"Pierre","non-dropping-particle":"","parse-names":false,"suffix":""},{"dropping-particle":"","family":"Stone","given":"Marvin","non-dropping-particle":"","parse-names":false,"suffix":""},{"dropping-particle":"","family":"Branagan","given":"Andrew R.","non-dropping-particle":"","parse-names":false,"suffix":""},{"dropping-particle":"","family":"Leblond","given":"Véronique","non-dropping-particle":"","parse-names":false,"suffix":""}],"container-title":"Seminars in Oncology","id":"ITEM-1","issue":"2","issued":{"date-parts":[["2003","4"]]},"page":"116-120","publisher":"W.B. Saunders","title":"Prognostic markers and criteria to initiate therapy in Waldenstrom's macroglobulinemia: Consensus panel recommendations from the Second International Workshop on Waldenstrom's Macroglobulinemia","type":"paper-conference","volume":"30"},"uris":["http://www.mendeley.com/documents/?uuid=757a3983-daf0-33cc-a876-627381700548"]}],"mendeley":{"formattedCitation":"[13]","plainTextFormattedCitation":"[13]","previouslyFormattedCitation":"[13]"},"properties":{"noteIndex":0},"schema":"https://github.com/citation-style-language/schema/raw/master/csl-citation.json"}</w:instrText>
      </w:r>
      <w:r w:rsidR="00E04AA0" w:rsidRPr="00FE2263">
        <w:fldChar w:fldCharType="separate"/>
      </w:r>
      <w:r w:rsidR="00E04AA0" w:rsidRPr="00FE2263">
        <w:rPr>
          <w:noProof/>
        </w:rPr>
        <w:t>[13]</w:t>
      </w:r>
      <w:r w:rsidR="00E04AA0" w:rsidRPr="00FE2263">
        <w:fldChar w:fldCharType="end"/>
      </w:r>
      <w:r w:rsidRPr="00FE2263">
        <w:rPr>
          <w:rStyle w:val="affb"/>
          <w:b w:val="0"/>
          <w:bCs w:val="0"/>
        </w:rPr>
        <w:t>.</w:t>
      </w:r>
    </w:p>
    <w:p w14:paraId="0E51DE49" w14:textId="77777777" w:rsidR="005428BC" w:rsidRPr="00FE2263" w:rsidRDefault="005428BC" w:rsidP="00F817BC">
      <w:pPr>
        <w:pStyle w:val="afe"/>
        <w:ind w:firstLine="0"/>
        <w:rPr>
          <w:b/>
        </w:rPr>
      </w:pPr>
      <w:r w:rsidRPr="00FE2263">
        <w:rPr>
          <w:b/>
        </w:rPr>
        <w:t>Уровень убедительности рекомендаций С (уровень достоверности доказательств 5).</w:t>
      </w:r>
    </w:p>
    <w:p w14:paraId="75C94F03" w14:textId="53E4DDDB" w:rsidR="005428BC" w:rsidRPr="00FE2263" w:rsidRDefault="005428BC" w:rsidP="00E04AA0">
      <w:pPr>
        <w:pStyle w:val="afff8"/>
        <w:spacing w:before="0"/>
      </w:pPr>
      <w:r w:rsidRPr="00FE2263">
        <w:t>Всем пациентам с МВ перед проведением первой линии противоопухолевой терапии рекомендуется</w:t>
      </w:r>
      <w:r w:rsidRPr="00FE2263">
        <w:rPr>
          <w:b/>
        </w:rPr>
        <w:t xml:space="preserve"> </w:t>
      </w:r>
      <w:r w:rsidRPr="00FE2263">
        <w:t>выполнить</w:t>
      </w:r>
      <w:r w:rsidR="00E04AA0" w:rsidRPr="00FE2263">
        <w:t xml:space="preserve"> </w:t>
      </w:r>
      <w:r w:rsidR="00E04AA0" w:rsidRPr="00FE2263">
        <w:rPr>
          <w:color w:val="000000" w:themeColor="text1"/>
        </w:rPr>
        <w:t xml:space="preserve">получение гистологического препарата костного мозга (трепанобиопсия), патолого-анатомическое исследование биопсийного (операционного) материала костного мозга с применением иммуногистохимических методов </w:t>
      </w:r>
      <w:r w:rsidR="00AE6DD2" w:rsidRPr="00FE2263">
        <w:t>и/или иммунофенотипирование клеток-предшественниц в костном мозге (ИФТ) клеток аспирата костного мозга</w:t>
      </w:r>
      <w:r w:rsidR="00E04AA0" w:rsidRPr="00FE2263">
        <w:t xml:space="preserve"> </w:t>
      </w:r>
      <w:r w:rsidR="00AE6DD2" w:rsidRPr="00FE2263">
        <w:fldChar w:fldCharType="begin" w:fldLock="1"/>
      </w:r>
      <w:r w:rsidR="00AE6DD2" w:rsidRPr="00FE2263">
        <w:instrText>ADDIN CSL_CITATION {"citationItems":[{"id":"ITEM-1","itemData":{"DOI":"10.1053/sonc.2003.50038","ISSN":"00937754","abstract":"This presentation represents consensus recommendations on prognostic markers and criteria to initiate therapy in patients with Waldenstrom's macroglobulinemia (WM), which were prepared in conjunction with the Second International Workshop held in Athens, Greece during September 2002. The panel recommended that initiation of therapy should not be based on the IgM level per se since this may not correlate with the clinical manifestations of WM. The consensus panel agreed that initiation of therapy was appropriate for patients with constitutional symptoms such as recurrent fever, night sweats, fatigue due to anemia, or weight loss. The presence of progressive, symptomatic lymphadenopathy or splenomegaly provide additional reasons to begin therapy. The presence of anemia with a hemoglobin value of ≤ 10 g/dL or a platelet count &lt; 100 × 109/L due to marrow infiltration also justifies treatment. Certain complications such as hyperviscosity syndrome, symptomatic sensorimotor peripheral neuropathy, systemic amyloidosis, renal insufficiency, or symptomatic cryoglobulinemia may also be indications for therapy. Recommendations for follow-up of watch-and-wait patients are that those with monoclonal gammopathy of undetermined significance (MGUS) should have serum protein electrophoresis repeated each year. Patients with asymptomatic (smoldering) macroglobulinemia should be evaluated every 6 months. Regarding prognostic markers, hemoglobin and β2-microglobulin levels at diagnosis are important prognostic markers in WM: they influence the timing of treatment and survival. Age is a consistently important prognostic factor for survival. However, the panel felt that current data are inadequate to support the use of any prognostic marker to select the timing and type of therapy, and called for studies on the application of prognostic markers in WM. © 2003 Elsevier Inc. All rights reserved.","author":[{"dropping-particle":"","family":"Kyle","given":"Robert A.","non-dropping-particle":"","parse-names":false,"suffix":""},{"dropping-particle":"","family":"Treon","given":"Steven P.","non-dropping-particle":"","parse-names":false,"suffix":""},{"dropping-particle":"","family":"Alexanian","given":"Raymond","non-dropping-particle":"","parse-names":false,"suffix":""},{"dropping-particle":"","family":"Barlogie","given":"Bart","non-dropping-particle":"","parse-names":false,"suffix":""},{"dropping-particle":"","family":"Björkholm","given":"Magnus","non-dropping-particle":"","parse-names":false,"suffix":""},{"dropping-particle":"","family":"Dhodapkar","given":"Madhav","non-dropping-particle":"","parse-names":false,"suffix":""},{"dropping-particle":"","family":"Lister","given":"T. Andrew","non-dropping-particle":"","parse-names":false,"suffix":""},{"dropping-particle":"","family":"Merlini","given":"Giampaolo","non-dropping-particle":"","parse-names":false,"suffix":""},{"dropping-particle":"","family":"Morel","given":"Pierre","non-dropping-particle":"","parse-names":false,"suffix":""},{"dropping-particle":"","family":"Stone","given":"Marvin","non-dropping-particle":"","parse-names":false,"suffix":""},{"dropping-particle":"","family":"Branagan","given":"Andrew R.","non-dropping-particle":"","parse-names":false,"suffix":""},{"dropping-particle":"","family":"Leblond","given":"Véronique","non-dropping-particle":"","parse-names":false,"suffix":""}],"container-title":"Seminars in Oncology","id":"ITEM-1","issue":"2","issued":{"date-parts":[["2003","4"]]},"page":"116-120","publisher":"W.B. Saunders","title":"Prognostic markers and criteria to initiate therapy in Waldenstrom's macroglobulinemia: Consensus panel recommendations from the Second International Workshop on Waldenstrom's Macroglobulinemia","type":"paper-conference","volume":"30"},"uris":["http://www.mendeley.com/documents/?uuid=757a3983-daf0-33cc-a876-627381700548"]},{"id":"ITEM-2","itemData":{"DOI":"10.1182/blood-2008-08-174961","ISSN":"00064971","abstract":"Recently, many new drugs have been developed for the treatment of Waldenström macroglobulinemia (WM). To optimize the treatment according to the prognosis and to facilitate the comparison of trials, we developed an International Prognostic Scoring System for WM in a series of 587 patients with clearly defined criteria for diagnosis and for initiation of treatment. The median survival after treatment initiation was 87 months. Five adverse covariates were identified: advanced age (&gt;65 years), hemoglobin less than or equal to 11.5 g/dL, platelet count less than or equal to 100 × 10 9/L, β2-microglobulin more than 3 mg/L, and serum monoclonal protein concentration more than 7.0 g/dL. Low-risk patients (27%) presented with no or 1 of the adverse characteristics and advanced age, intermediate-risk patients (38%) with 2 adverse characteristics or only advanced age, and high-risk patients (35%) with more than 2 adverse characteristics. Five-year survival rates were 87%, 68%, and 36%, respectively (P &lt; .001). The ISSWM retained its prognostic significance in subgroups defined by age, treatment with alkylating agent, and purine analog. Thus, the ISSWM may provide a means to design risk-adapted studies. However, independent validation and new biologic markers may enhance its significance. © 2009 by The American Society of Hematology.","author":[{"dropping-particle":"","family":"Morel","given":"Pierre","non-dropping-particle":"","parse-names":false,"suffix":""},{"dropping-particle":"","family":"Duhamel","given":"Alain","non-dropping-particle":"","parse-names":false,"suffix":""},{"dropping-particle":"","family":"Gobbi","given":"Paolo","non-dropping-particle":"","parse-names":false,"suffix":""},{"dropping-particle":"","family":"Dimopoulos","given":"Meletios A.","non-dropping-particle":"","parse-names":false,"suffix":""},{"dropping-particle":"V.","family":"Dhodapkar","given":"Madhav","non-dropping-particle":"","parse-names":false,"suffix":""},{"dropping-particle":"","family":"McCoy","given":"Jason","non-dropping-particle":"","parse-names":false,"suffix":""},{"dropping-particle":"","family":"Crowley","given":"John","non-dropping-particle":"","parse-names":false,"suffix":""},{"dropping-particle":"","family":"Ocio","given":"Enrique M.","non-dropping-particle":"","parse-names":false,"suffix":""},{"dropping-particle":"","family":"Garcia-Sanz","given":"Ramon","non-dropping-particle":"","parse-names":false,"suffix":""},{"dropping-particle":"","family":"Treon","given":"Steven P.","non-dropping-particle":"","parse-names":false,"suffix":""},{"dropping-particle":"","family":"Leblond","given":"Veronique","non-dropping-particle":"","parse-names":false,"suffix":""},{"dropping-particle":"","family":"Kyle","given":"Robert A.","non-dropping-particle":"","parse-names":false,"suffix":""},{"dropping-particle":"","family":"Barlogie","given":"Bart","non-dropping-particle":"","parse-names":false,"suffix":""},{"dropping-particle":"","family":"Merlini","given":"Giampaolo","non-dropping-particle":"","parse-names":false,"suffix":""}],"container-title":"Blood","id":"ITEM-2","issue":"18","issued":{"date-parts":[["2009","4","30"]]},"page":"4163-4170","title":"International prognostic scoring system for Waldenström macroglobulinemia","type":"article-journal","volume":"113"},"uris":["http://www.mendeley.com/documents/?uuid=076392d3-8e9f-3db3-9423-3f91179d60c2"]},{"id":"ITEM-3","itemData":{"DOI":"10.1309/4LCN-JMPG-5U71-UWQB","ISSN":"00029173","abstract":"To establish whether a combination of morphologic and immunophenotypic criteria could be developed to more precisely define Waldenström macroglobulinemia (WM) and prognostic factors, we retrospectively assessed the clinical and laboratory features of 111 cases of WM. Bone marrow infiltration by small lymphocytes was documented in each case; and diffuse, interstitial, nodular, and paratrabecular patterns of infiltration were documented in 58%, 32%, 6%, and 4% of cases, respectively. Ninety percent were characterized by a surface immunoglobulin-positive, CD19+CD20+CD5-CD10-CD23- immunophenotype. The median overall survival from diagnosis was 60 months; univariate analysis revealed the following adverse prognostic factors: older than 60 years, performance status more than 1, platelet count less than 100 × 103/μL (&lt;100 × 109/L), pancytopenia, and diffuse bone marrow infiltration. Associated median survival was 40, 38, 46, 28, and 59 months, respectively. Multivariate analysis revealed age, performance status, and platelet count as prognostically significant, but stratification of patients according to the International Prognostic Index had limited value. We suggest defining WM by the following criteria: IgM monoclonal gammopathy; bone marrow infiltration by small lymphocytes, plasmacytoid cells, and plasma cells in a diffuse, interstitial, or nodular pattern; and a surface immunoglobulin-positive, CD19+CD20+CD5-CD10-CD23-immunophenotype.","author":[{"dropping-particle":"","family":"Owen","given":"R. G.","non-dropping-particle":"","parse-names":false,"suffix":""},{"dropping-particle":"","family":"Barrans","given":"S. L.","non-dropping-particle":"","parse-names":false,"suffix":""},{"dropping-particle":"","family":"Richards","given":"S. J.","non-dropping-particle":"","parse-names":false,"suffix":""},{"dropping-particle":"","family":"O'Connor","given":"S. J.M.","non-dropping-particle":"","parse-names":false,"suffix":""},{"dropping-particle":"","family":"Child","given":"J. A.","non-dropping-particle":"","parse-names":false,"suffix":""},{"dropping-particle":"","family":"Parapia","given":"L. A.","non-dropping-particle":"","parse-names":false,"suffix":""},{"dropping-particle":"","family":"Morgan","given":"G. J.","non-dropping-particle":"","parse-names":false,"suffix":""},{"dropping-particle":"","family":"Jack","given":"A. S.","non-dropping-particle":"","parse-names":false,"suffix":""}],"container-title":"American Journal of Clinical Pathology","id":"ITEM-3","issue":"3","issued":{"date-parts":[["2001","9"]]},"page":"420-428","title":"Waldenström macroglobulinemia: Development of diagnostic criteria and identification of prognostic factors","type":"article-journal","volume":"116"},"uris":["http://www.mendeley.com/documents/?uuid=7b9e2a28-1ac0-3089-a4c2-29986b8d0d01"]}],"mendeley":{"formattedCitation":"[6,13,14]","plainTextFormattedCitation":"[6,13,14]","previouslyFormattedCitation":"[6,13,14]"},"properties":{"noteIndex":0},"schema":"https://github.com/citation-style-language/schema/raw/master/csl-citation.json"}</w:instrText>
      </w:r>
      <w:r w:rsidR="00AE6DD2" w:rsidRPr="00FE2263">
        <w:fldChar w:fldCharType="separate"/>
      </w:r>
      <w:r w:rsidR="00AE6DD2" w:rsidRPr="00FE2263">
        <w:rPr>
          <w:noProof/>
        </w:rPr>
        <w:t>[6,13,14]</w:t>
      </w:r>
      <w:r w:rsidR="00AE6DD2" w:rsidRPr="00FE2263">
        <w:fldChar w:fldCharType="end"/>
      </w:r>
      <w:r w:rsidRPr="00FE2263">
        <w:t>.</w:t>
      </w:r>
    </w:p>
    <w:p w14:paraId="46E924A5" w14:textId="77777777" w:rsidR="005428BC" w:rsidRPr="00FE2263" w:rsidRDefault="005428BC" w:rsidP="00F817BC">
      <w:pPr>
        <w:pStyle w:val="afe"/>
        <w:ind w:firstLine="0"/>
        <w:rPr>
          <w:b/>
        </w:rPr>
      </w:pPr>
      <w:r w:rsidRPr="00FE2263">
        <w:rPr>
          <w:b/>
        </w:rPr>
        <w:t>Уровень убедительности рекомендаций С (уровень достоверности доказательств 5).</w:t>
      </w:r>
    </w:p>
    <w:p w14:paraId="792F9FD6" w14:textId="77777777" w:rsidR="005428BC" w:rsidRPr="00FE2263" w:rsidRDefault="005428BC" w:rsidP="00F817BC">
      <w:pPr>
        <w:rPr>
          <w:rFonts w:eastAsia="Times New Roman"/>
        </w:rPr>
      </w:pPr>
      <w:r w:rsidRPr="00FE2263">
        <w:rPr>
          <w:rStyle w:val="affb"/>
          <w:rFonts w:eastAsia="Times New Roman"/>
        </w:rPr>
        <w:t xml:space="preserve">Комментарии: </w:t>
      </w:r>
      <w:r w:rsidRPr="00FE2263">
        <w:rPr>
          <w:rStyle w:val="affc"/>
          <w:rFonts w:eastAsia="Times New Roman"/>
        </w:rPr>
        <w:t>Макроглобулинемия Вальденстрема характеризуется лимфоплазмоцитарной инфильтрацией костного мозга, лимфоидной ткани с моноклональной секрецией. Гистологическая картина костного мозга представлена инфильтрацией малыми лимфоцитами, плазмоцитоидными клетками и плазматическими клетками (диффузная, интерстициальная или нодулярная).</w:t>
      </w:r>
      <w:r w:rsidRPr="00FE2263">
        <w:rPr>
          <w:rFonts w:eastAsia="Times New Roman"/>
        </w:rPr>
        <w:t xml:space="preserve"> </w:t>
      </w:r>
      <w:r w:rsidRPr="00FE2263">
        <w:rPr>
          <w:rStyle w:val="affc"/>
          <w:rFonts w:eastAsia="Times New Roman"/>
        </w:rPr>
        <w:t xml:space="preserve">Морфологически лимфоплазмоцитарная лимфома и МВ имеют идентичный опухолевый субстрат, </w:t>
      </w:r>
      <w:r w:rsidRPr="00FE2263">
        <w:rPr>
          <w:rStyle w:val="affc"/>
          <w:rFonts w:eastAsia="Times New Roman"/>
        </w:rPr>
        <w:lastRenderedPageBreak/>
        <w:t>образованный мелкими лимфоцитоподобными клетками, лимфоидными клетками с плазмоцитарной дифференцировкой, плазматическими клетками. Решающее значение в дифференциальной диагностике имеют клиническая картина (в частности, отсутствие выраженной лимфаденопатии при верифицированном поражении костного мозга), наличие М-парапротеина.</w:t>
      </w:r>
    </w:p>
    <w:p w14:paraId="3B6E8D04" w14:textId="31F743DD" w:rsidR="005428BC" w:rsidRPr="00FE2263" w:rsidRDefault="005428BC" w:rsidP="00F817BC">
      <w:pPr>
        <w:rPr>
          <w:rFonts w:eastAsia="Times New Roman"/>
        </w:rPr>
      </w:pPr>
      <w:r w:rsidRPr="00FE2263">
        <w:rPr>
          <w:rStyle w:val="affc"/>
          <w:rFonts w:eastAsia="Times New Roman"/>
        </w:rPr>
        <w:t>Клетки опухолевого субстрата при МВ экспресссируют PIgM как на своей поверхности (sIgM), так и внутри цитоплазмы (cIgM). Экспрессия sIgM существенно превалирует. Имеет место выраженная экспрессия таких В-клеточных антигенов: CD 19, CD 20, CD 22, CD 79а. Клетки слабо-положительны на наличие CD 10 (может отсутствовать), CD 21, CD 25, CD 38, CDс. Экспрессия CD 5, С</w:t>
      </w:r>
      <w:r w:rsidRPr="00FE2263">
        <w:rPr>
          <w:rStyle w:val="affc"/>
          <w:rFonts w:eastAsia="Times New Roman"/>
          <w:lang w:val="en-US"/>
        </w:rPr>
        <w:t>D</w:t>
      </w:r>
      <w:r w:rsidRPr="00FE2263">
        <w:rPr>
          <w:rStyle w:val="affc"/>
          <w:rFonts w:eastAsia="Times New Roman"/>
        </w:rPr>
        <w:t xml:space="preserve">23 не характерна, хотя может встречаться и не является фактором, исключающим МВ. </w:t>
      </w:r>
    </w:p>
    <w:p w14:paraId="3465EBD0" w14:textId="53671675" w:rsidR="00580D79" w:rsidRPr="00FE2263" w:rsidRDefault="00580D79" w:rsidP="00E04AA0">
      <w:pPr>
        <w:pStyle w:val="afff8"/>
        <w:spacing w:before="0"/>
        <w:rPr>
          <w:rFonts w:eastAsiaTheme="minorEastAsia"/>
        </w:rPr>
      </w:pPr>
      <w:r w:rsidRPr="00FE2263">
        <w:t>Всем пациентам с МВ перед проведением первой линии противоопухолевой терапии рекомендуется</w:t>
      </w:r>
      <w:r w:rsidRPr="00FE2263">
        <w:rPr>
          <w:b/>
        </w:rPr>
        <w:t xml:space="preserve"> </w:t>
      </w:r>
      <w:r w:rsidRPr="00FE2263">
        <w:t xml:space="preserve">выполнить при подозрении на амилоидоз желудочно-кишечного тракта, почек, костного мозга – </w:t>
      </w:r>
      <w:r w:rsidR="00E04AA0" w:rsidRPr="00FE2263">
        <w:t xml:space="preserve">патолого-анатомическое </w:t>
      </w:r>
      <w:r w:rsidRPr="00FE2263">
        <w:t xml:space="preserve">исследование </w:t>
      </w:r>
      <w:r w:rsidR="004B21E9" w:rsidRPr="00FE2263">
        <w:t xml:space="preserve">биопсийного материала (биоптатов) в </w:t>
      </w:r>
      <w:r w:rsidRPr="00FE2263">
        <w:t>с использованием окраски Конго-красный</w:t>
      </w:r>
      <w:r w:rsidR="00E04AA0" w:rsidRPr="00FE2263">
        <w:t xml:space="preserve"> </w:t>
      </w:r>
      <w:r w:rsidR="00E04AA0" w:rsidRPr="00FE2263">
        <w:fldChar w:fldCharType="begin" w:fldLock="1"/>
      </w:r>
      <w:r w:rsidR="00D2308B">
        <w:instrText>ADDIN CSL_CITATION {"citationItems":[{"id":"ITEM-1","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-1","issued":{"date-parts":[["2020"]]},"title":"Waldenström Macroglobulinemia/ Lymphoplasmacytic Lymphoma. NCCN Clinical Practice Guidelines in Oncology (NCCN Guidelines®)","type":"article"},"uris":["http://www.mendeley.com/documents/?uuid=325519b7-e262-4702-acfd-d698cf0e3e2d"]},{"id":"ITEM-2","itemData":{"DOI":"10.1053/sonc.2003.50082","ISSN":"00937754","abstract":"This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Oncology","id":"ITEM-2","issue":"2","issued":{"date-parts":[["2003","4"]]},"page":"110-115","publisher":"W.B.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-3","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практика","id":"ITEM-3","issue":"2","issued":{"date-parts":[["2009"]]},"page":"121-136","title":"Макроглобулинемия Вальденстрема","type":"article-journal","volume":"2"},"uris":["http://www.mendeley.com/documents/?uuid=a5b41185-3218-46e4-ad25-9878f84d5d1b"]}],"mendeley":{"formattedCitation":"[1–3]","plainTextFormattedCitation":"[1–3]","previouslyFormattedCitation":"[1–3]"},"properties":{"noteIndex":0},"schema":"https://github.com/citation-style-language/schema/raw/master/csl-citation.json"}</w:instrText>
      </w:r>
      <w:r w:rsidR="00E04AA0" w:rsidRPr="00FE2263">
        <w:fldChar w:fldCharType="separate"/>
      </w:r>
      <w:r w:rsidR="00E04AA0" w:rsidRPr="00FE2263">
        <w:rPr>
          <w:noProof/>
        </w:rPr>
        <w:t>[1–3]</w:t>
      </w:r>
      <w:r w:rsidR="00E04AA0" w:rsidRPr="00FE2263">
        <w:fldChar w:fldCharType="end"/>
      </w:r>
      <w:r w:rsidRPr="00FE2263">
        <w:rPr>
          <w:rStyle w:val="affb"/>
          <w:b w:val="0"/>
          <w:bCs w:val="0"/>
        </w:rPr>
        <w:t>.</w:t>
      </w:r>
    </w:p>
    <w:p w14:paraId="4514551E" w14:textId="77777777" w:rsidR="00580D79" w:rsidRPr="00FE2263" w:rsidRDefault="00580D79" w:rsidP="00F817BC">
      <w:pPr>
        <w:pStyle w:val="afe"/>
        <w:ind w:firstLine="0"/>
        <w:rPr>
          <w:b/>
        </w:rPr>
      </w:pPr>
      <w:r w:rsidRPr="00FE2263">
        <w:rPr>
          <w:b/>
        </w:rPr>
        <w:t>Уровень убедительности рекомендаций С (уровень достоверности доказательств 5).</w:t>
      </w:r>
    </w:p>
    <w:p w14:paraId="38122F79" w14:textId="338F7E54" w:rsidR="00580D79" w:rsidRPr="00FE2263" w:rsidRDefault="00580D79" w:rsidP="00E04AA0">
      <w:pPr>
        <w:pStyle w:val="afff8"/>
        <w:spacing w:before="0"/>
      </w:pPr>
      <w:r w:rsidRPr="00FE2263">
        <w:t xml:space="preserve">Всем пациентам с МВ </w:t>
      </w:r>
      <w:r w:rsidR="00E04AA0" w:rsidRPr="00FE2263">
        <w:t xml:space="preserve">при подозрении на амилоидоз сердца </w:t>
      </w:r>
      <w:r w:rsidRPr="00FE2263">
        <w:t>перед проведением первой линии противоопухолевой терапии рекомендуется</w:t>
      </w:r>
      <w:r w:rsidRPr="00FE2263">
        <w:rPr>
          <w:b/>
        </w:rPr>
        <w:t xml:space="preserve"> </w:t>
      </w:r>
      <w:r w:rsidRPr="00FE2263">
        <w:t xml:space="preserve">выполнить – </w:t>
      </w:r>
      <w:r w:rsidR="004B21E9" w:rsidRPr="00FE2263">
        <w:rPr>
          <w:rFonts w:cs="Times New Roman"/>
        </w:rPr>
        <w:t>исследования уровня N-терминального фрагмента натрийуретического пропептида мозгового (NT-proBNP) в крови</w:t>
      </w:r>
      <w:r w:rsidR="004B21E9" w:rsidRPr="00FE2263" w:rsidDel="004B21E9">
        <w:t xml:space="preserve"> </w:t>
      </w:r>
      <w:r w:rsidRPr="00FE2263">
        <w:t>и ЭХО-КГ</w:t>
      </w:r>
      <w:r w:rsidR="00FA741B" w:rsidRPr="00FE2263">
        <w:t xml:space="preserve"> для исключения амилоидоза сердца и определения сердечной функции</w:t>
      </w:r>
      <w:r w:rsidR="00E04AA0" w:rsidRPr="00FE2263">
        <w:t xml:space="preserve"> </w:t>
      </w:r>
      <w:r w:rsidR="00E04AA0" w:rsidRPr="00FE2263">
        <w:fldChar w:fldCharType="begin" w:fldLock="1"/>
      </w:r>
      <w:r w:rsidR="005D560B" w:rsidRPr="00FE2263">
        <w:instrText>ADDIN CSL_CITATION {"citationItems":[{"id":"ITEM-1","itemData":{"DOI":"10.1161/01.CIR.0000068314.02595.B2","ISSN":"00097322","abstract":"Background - Brain natriuretic peptide (BNP) is a marker of ventricular dysfunction and can be used to assess prognosis in heart failure and after myocardial infarction. Heart involvement is the most important prognostic factor and causes death in almost all patients with light-chain amyloidosis (AL). We investigated the prognostic value of NT-proBNP and its utility in monitoring amyloid heart dysfunction. Methods and Results - NT-proBNP was quantified at diagnosis in 152 consecutive patients seen at the coordinating center of the Italian Amyloidosis Study Group (Pavia) from 1999 throughout 2001. Heart involvement was estimated on the basis of clinical signs, electrocardiography, and echocardiography. NT-proBNP concentrations differed in patients with (n=90, 59%) and without (n=62, 41%) heart involvement (median: 507.8 pmol/L versus 22.1 pmol/L, P= 10-7). The best cutoff for heart involvement was at 152 pmol/L (sensitivity: 93.33%, specificity: 90.16%, accuracy: 92.05%) and distinguished two groups with different survival (P&lt;0.001). The Cox multivariate model including NT-proBNP was better than models including echocardiographic and clinical signs of heart involvement. NT-proBNP appeared to be more sensitive than conventional echocardiographic parameters in detecting clinical improvement or worsening of amyloid cardiomyopathy during follow-up. Conclusions - NT-proBNP appeared to be the most sensitive index of myocardial dysfunction and the most powerful prognostic determinant in AL amyloidosis. It adds prognostic information for newly diagnosed patients and can be useful in designing therapeutic strategies and monitoring response. NT-proBNP is a sensitive marker of heart toxicity caused by amyloidogenic light chains.","author":[{"dropping-particle":"","family":"Palladini","given":"Giovanni","non-dropping-particle":"","parse-names":false,"suffix":""},{"dropping-particle":"","family":"Campana","given":"Carlo","non-dropping-particle":"","parse-names":false,"suffix":""},{"dropping-particle":"","family":"Klersy","given":"Catherine","non-dropping-particle":"","parse-names":false,"suffix":""},{"dropping-particle":"","family":"Balduini","given":"Alessandra","non-dropping-particle":"","parse-names":false,"suffix":""},{"dropping-particle":"","family":"Vadacca","given":"Giovanbattista","non-dropping-particle":"","parse-names":false,"suffix":""},{"dropping-particle":"","family":"Perfetti","given":"Vittorio","non-dropping-particle":"","parse-names":false,"suffix":""},{"dropping-particle":"","family":"Perlini","given":"Stefano","non-dropping-particle":"","parse-names":false,"suffix":""},{"dropping-particle":"","family":"Obici","given":"Laura","non-dropping-particle":"","parse-names":false,"suffix":""},{"dropping-particle":"","family":"Ascari","given":"Edoardo","non-dropping-particle":"","parse-names":false,"suffix":""},{"dropping-particle":"","family":"D'Eril","given":"Gianvico Melzi","non-dropping-particle":"","parse-names":false,"suffix":""},{"dropping-particle":"","family":"Moratti","given":"Remigio","non-dropping-particle":"","parse-names":false,"suffix":""},{"dropping-particle":"","family":"Merlini","given":"Giampaolo","non-dropping-particle":"","parse-names":false,"suffix":""}],"container-title":"Circulation","id":"ITEM-1","issue":"19","issued":{"date-parts":[["2003","5","20"]]},"page":"2440-2445","publisher":"Lippincott Williams and Wilkins","title":"Serum N-terminal pro-brain natriuretic peptide is a sensitive marker of myocardial dysfunction in AL amyloidosis","type":"article-journal","volume":"107"},"uris":["http://www.mendeley.com/documents/?uuid=3c2bd5ac-9531-3d47-92cd-ff09b3b7feec"]}],"mendeley":{"formattedCitation":"[15]","plainTextFormattedCitation":"[15]","previouslyFormattedCitation":"[15]"},"properties":{"noteIndex":0},"schema":"https://github.com/citation-style-language/schema/raw/master/csl-citation.json"}</w:instrText>
      </w:r>
      <w:r w:rsidR="00E04AA0" w:rsidRPr="00FE2263">
        <w:fldChar w:fldCharType="separate"/>
      </w:r>
      <w:r w:rsidR="00E04AA0" w:rsidRPr="00FE2263">
        <w:rPr>
          <w:noProof/>
        </w:rPr>
        <w:t>[15]</w:t>
      </w:r>
      <w:r w:rsidR="00E04AA0" w:rsidRPr="00FE2263">
        <w:fldChar w:fldCharType="end"/>
      </w:r>
      <w:r w:rsidRPr="00FE2263">
        <w:rPr>
          <w:rStyle w:val="affb"/>
          <w:b w:val="0"/>
          <w:bCs w:val="0"/>
        </w:rPr>
        <w:t>.</w:t>
      </w:r>
    </w:p>
    <w:p w14:paraId="2CB40B0D" w14:textId="2D58DFB9" w:rsidR="00580D79" w:rsidRPr="00FE2263" w:rsidRDefault="00580D79" w:rsidP="00F817BC">
      <w:pPr>
        <w:pStyle w:val="afe"/>
        <w:ind w:firstLine="0"/>
        <w:rPr>
          <w:b/>
        </w:rPr>
      </w:pPr>
      <w:r w:rsidRPr="00FE2263">
        <w:rPr>
          <w:b/>
        </w:rPr>
        <w:t xml:space="preserve">Уровень убедительности рекомендаций </w:t>
      </w:r>
      <w:r w:rsidR="00E12D51" w:rsidRPr="00FE2263">
        <w:rPr>
          <w:b/>
        </w:rPr>
        <w:t>А</w:t>
      </w:r>
      <w:r w:rsidRPr="00FE2263">
        <w:rPr>
          <w:b/>
        </w:rPr>
        <w:t xml:space="preserve"> (уровень достоверности доказательств </w:t>
      </w:r>
      <w:r w:rsidR="00E12D51" w:rsidRPr="00FE2263">
        <w:rPr>
          <w:b/>
        </w:rPr>
        <w:t>2)</w:t>
      </w:r>
      <w:r w:rsidRPr="00FE2263">
        <w:rPr>
          <w:b/>
        </w:rPr>
        <w:t>.</w:t>
      </w:r>
    </w:p>
    <w:p w14:paraId="1218C040" w14:textId="357524DC" w:rsidR="00580D79" w:rsidRPr="00FE2263" w:rsidRDefault="00580D79" w:rsidP="005D560B">
      <w:pPr>
        <w:pStyle w:val="afff8"/>
        <w:spacing w:before="0"/>
      </w:pPr>
      <w:r w:rsidRPr="00FE2263">
        <w:t>Всем пациентам с МВ перед проведением первой линии противоопухолевой терапии рекомендуется</w:t>
      </w:r>
      <w:r w:rsidRPr="00FE2263">
        <w:rPr>
          <w:b/>
        </w:rPr>
        <w:t xml:space="preserve"> </w:t>
      </w:r>
      <w:r w:rsidRPr="00FE2263">
        <w:t xml:space="preserve">выполнить осмотр </w:t>
      </w:r>
      <w:r w:rsidR="008B139F" w:rsidRPr="00FE2263">
        <w:t>врачом-офтальмологом</w:t>
      </w:r>
      <w:r w:rsidR="0004027B" w:rsidRPr="00FE2263">
        <w:t xml:space="preserve"> для диагностики осложнений синдрома гипервязкости</w:t>
      </w:r>
      <w:r w:rsidR="005D560B" w:rsidRPr="00FE2263">
        <w:t xml:space="preserve"> </w:t>
      </w:r>
      <w:r w:rsidR="005D560B" w:rsidRPr="00FE2263">
        <w:fldChar w:fldCharType="begin" w:fldLock="1"/>
      </w:r>
      <w:r w:rsidR="00D2308B">
        <w:instrText>ADDIN CSL_CITATION {"citationItems":[{"id":"ITEM-1","itemData":{"author":[{"dropping-particle":"","family":"Kumar","given":"S.K.","non-dropping-particle":"","parse-names":false,"suffix":""},{"dropping-particle":"","family":"Callander","given":"N.S.","non-dropping-particle":"","parse-names":false,"suffix":""},{"dropping-particle":"","family":"Baljevic","given":"M.","non-dropping-particle":"","parse-names":false,"suffix":""},{"dropping-particle":"","family":"Campagnaro","given":"E.","non-dropping-particle":"","parse-names":false,"suffix":""}],"id":"ITEM-1","issued":{"date-parts":[["2020"]]},"title":"Waldenström Macroglobulinemia/ Lymphoplasmacytic Lymphoma. NCCN Clinical Practice Guidelines in Oncology (NCCN Guidelines®)","type":"article"},"uris":["http://www.mendeley.com/documents/?uuid=325519b7-e262-4702-acfd-d698cf0e3e2d"]},{"id":"ITEM-2","itemData":{"DOI":"10.1053/sonc.2003.50082","ISSN":"00937754","abstract":"This presentation represents consensus recommendations for the clinicopathological definition of Waldenstrom's macroglobulinemia (WM), which were prepared in conjunction with the Second International Workshop held in Athens, Greece during September 2002. WM is an uncommon lymphoproliferative disorder characterized primarily by bone marrow infiltration and IgM monoclonal gammopathy. It should be considered a distinct clinicopathological entity rather than a clinical syndrome secondary to IgM secretion. The underlying pathological diagnosis in WM is lymphoplasmacytic lymphoma as defined by the World Health Organization (WHO) and Revised European-American Lymphoma (REAL) classification criteria. The concentration of monoclonal IgM can vary widely in WM and it is not possible to define a concentration that reliably distinguishes WM from monoclonal gammopathy of undetermined significance (MGUS) and other lymphoproliferative disorders. A diagnosis of WM can therefore be made irrespective of IgM concentration if there is evidence on a bone marrow trephine biopsy of bone marrow infiltration by lymphoplasmacytic lymphoma with predominantly an intertrabecular pattern, supported by appropriate immunophenotypic studies. Simple criteria to distinguish patients with symptomatic WM who require therapy from those with asymptomatic WM and MGUS were also proposed. Patients with clinical features attributable to IgM monoclonal gammopathy but no overt evidence of lymphoma are considered to constitute a distinct clinical group and the term \"IgM-related disorders\" is proposed. © 2003 Elsevier Inc. All rights reserved.","author":[{"dropping-particle":"","family":"Owen","given":"Roger G.","non-dropping-particle":"","parse-names":false,"suffix":""},{"dropping-particle":"","family":"Treon","given":"Steven P.","non-dropping-particle":"","parse-names":false,"suffix":""},{"dropping-particle":"","family":"Al-Katib","given":"Ayad","non-dropping-particle":"","parse-names":false,"suffix":""},{"dropping-particle":"","family":"Fonseca","given":"Rafael","non-dropping-particle":"","parse-names":false,"suffix":""},{"dropping-particle":"","family":"Greipp","given":"Philip R.","non-dropping-particle":"","parse-names":false,"suffix":""},{"dropping-particle":"","family":"McMaster","given":"Mary L.","non-dropping-particle":"","parse-names":false,"suffix":""},{"dropping-particle":"","family":"Morra","given":"Enrica","non-dropping-particle":"","parse-names":false,"suffix":""},{"dropping-particle":"","family":"Pangalis","given":"Gerassimos A.","non-dropping-particle":"","parse-names":false,"suffix":""},{"dropping-particle":"","family":"San Miguel","given":"Jesus F.","non-dropping-particle":"","parse-names":false,"suffix":""},{"dropping-particle":"","family":"Branagan","given":"Andrew R.","non-dropping-particle":"","parse-names":false,"suffix":""},{"dropping-particle":"","family":"Dimopoulos","given":"Meletios A.","non-dropping-particle":"","parse-names":false,"suffix":""}],"container-title":"Seminars in Oncology","id":"ITEM-2","issue":"2","issued":{"date-parts":[["2003","4"]]},"page":"110-115","publisher":"W.B. Saunders","title":"Clinicopathological definition of Waldenstrom's macroglobulinemia: Consensus panel recommendations from the Second International Workshop on Waldenstrom's Macroglobulinemia","type":"paper-conference","volume":"30"},"uris":["http://www.mendeley.com/documents/?uuid=9de455f5-ab76-3769-8fd9-cab1ee671f28"]},{"id":"ITEM-3","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практика","id":"ITEM-3","issue":"2","issued":{"date-parts":[["2009"]]},"page":"121-136","title":"Макроглобулинемия Вальденстрема","type":"article-journal","volume":"2"},"uris":["http://www.mendeley.com/documents/?uuid=a5b41185-3218-46e4-ad25-9878f84d5d1b"]},{"id":"ITEM-4","itemData":{"DOI":"10.3816/CLM.2009.n.027","ISSN":"15579190","abstract":"Background: The aim of this study is to determine the serum immunoglobulin (Ig) M and serum viscosity (SV) levels at which retinal changes associated with hyperviscosity syndrome (HVS) as a result of Waldenström's macroglobulinemia (WM) occur. In addition, the effect of plasmapheresis on HVS-related retinopathy was tested. Patients and Methods: A total of 46 patients with WM received indirect ophthalmoscopy, laser Doppler retinal blood flow measurements, serum IgM, and SV determinations. A total of 9 patients with HVS were studied before and after plasmapheresis. Results: Mean IgM and SV levels of patients with the earliest retinal changes were 5442 mg/dL and 3.1 cp, respectively. Plasmapheresis improved retinopathy, decreased serum IgM (46.5 ± 18%; P = .0009), SV (44.7 ± 17.3%; P = .002), retinal venous diameter (15.3 ± 5.8%; P = .0001), and increased venous blood speed by +55.2 ± 22.5% (P = .0004). Conclusion: Examination of the retina is useful in identifying the symptomatic threshold of plasma viscosity levels in patients with HVS and can be used to gauge the effectiveness of plasmapheresis treatment.","author":[{"dropping-particle":"","family":"Menke","given":"Marcel","non-dropping-particle":"","parse-names":false,"suffix":""},{"dropping-particle":"","family":"Feke","given":"Gilbert","non-dropping-particle":"","parse-names":false,"suffix":""},{"dropping-particle":"","family":"McMeel","given":"J. Wallace","non-dropping-particle":"","parse-names":false,"suffix":""},{"dropping-particle":"","family":"Treon","given":"Steven","non-dropping-particle":"","parse-names":false,"suffix":""}],"container-title":"Clinical Lymphoma and Myeloma","id":"ITEM-4","issue":"1","issued":{"date-parts":[["2009","3"]]},"page":"100-103","publisher":"Cancer Information Group, LP","title":"Ophthalmologic techniques to assess the severity of hyperviscosity syndrome and the effect of plasmapheresis in patients with Waldenström's macroglobulinemia","type":"article-journal","volume":"9"},"uris":["http://www.mendeley.com/documents/?uuid=6929eb4a-4c97-3e49-9533-8426133321eb"]}],"mendeley":{"formattedCitation":"[1–3,16]","plainTextFormattedCitation":"[1–3,16]","previouslyFormattedCitation":"[1–3,16]"},"properties":{"noteIndex":0},"schema":"https://github.com/citation-style-language/schema/raw/master/csl-citation.json"}</w:instrText>
      </w:r>
      <w:r w:rsidR="005D560B" w:rsidRPr="00FE2263">
        <w:fldChar w:fldCharType="separate"/>
      </w:r>
      <w:r w:rsidR="005D560B" w:rsidRPr="00FE2263">
        <w:rPr>
          <w:noProof/>
        </w:rPr>
        <w:t>[1–3,16]</w:t>
      </w:r>
      <w:r w:rsidR="005D560B" w:rsidRPr="00FE2263">
        <w:fldChar w:fldCharType="end"/>
      </w:r>
      <w:r w:rsidRPr="00FE2263">
        <w:t>.</w:t>
      </w:r>
    </w:p>
    <w:p w14:paraId="5A941883" w14:textId="77777777" w:rsidR="00580D79" w:rsidRPr="00FE2263" w:rsidRDefault="00580D79" w:rsidP="00F817BC">
      <w:pPr>
        <w:pStyle w:val="afe"/>
        <w:ind w:firstLine="0"/>
        <w:rPr>
          <w:b/>
        </w:rPr>
      </w:pPr>
      <w:r w:rsidRPr="00FE2263">
        <w:rPr>
          <w:b/>
        </w:rPr>
        <w:t>Уровень убедительности рекомендаций С (уровень достоверности доказательств 5).</w:t>
      </w:r>
    </w:p>
    <w:p w14:paraId="7E7D3B71" w14:textId="666C154F" w:rsidR="00580D79" w:rsidRPr="00FE2263" w:rsidRDefault="00580D79" w:rsidP="00F817BC">
      <w:pPr>
        <w:pStyle w:val="afd"/>
        <w:spacing w:beforeAutospacing="0" w:afterAutospacing="0" w:line="360" w:lineRule="auto"/>
      </w:pPr>
      <w:r w:rsidRPr="00FE2263">
        <w:rPr>
          <w:rStyle w:val="affb"/>
        </w:rPr>
        <w:t>Комментарий:</w:t>
      </w:r>
      <w:r w:rsidRPr="00FE2263">
        <w:t xml:space="preserve"> </w:t>
      </w:r>
      <w:r w:rsidRPr="00FE2263">
        <w:rPr>
          <w:rStyle w:val="affc"/>
        </w:rPr>
        <w:t xml:space="preserve">при подозрении на наличие синдрома гипервязкости необходим осмотр глазного дна. Также осмотр глазного дна нужно выполнять при уровне моноклонального IgM ≥ 30 г/л. </w:t>
      </w:r>
    </w:p>
    <w:p w14:paraId="255E66CC" w14:textId="77777777" w:rsidR="000414F6" w:rsidRPr="00FE2263" w:rsidRDefault="00CB71DA" w:rsidP="005D560B">
      <w:pPr>
        <w:pStyle w:val="afff2"/>
        <w:spacing w:before="0"/>
      </w:pPr>
      <w:bookmarkStart w:id="39" w:name="_Toc66184316"/>
      <w:r w:rsidRPr="00FE2263">
        <w:lastRenderedPageBreak/>
        <w:t>3. Лечение</w:t>
      </w:r>
      <w:bookmarkEnd w:id="37"/>
      <w:r w:rsidR="0038545E" w:rsidRPr="00FE2263">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38"/>
      <w:bookmarkEnd w:id="39"/>
    </w:p>
    <w:p w14:paraId="319A669E" w14:textId="77777777" w:rsidR="00ED5598" w:rsidRPr="00FE2263" w:rsidRDefault="00ED5598" w:rsidP="00F817BC">
      <w:pPr>
        <w:pStyle w:val="2-6"/>
        <w:divId w:val="1767193717"/>
        <w:rPr>
          <w:rStyle w:val="afffc"/>
          <w:rFonts w:eastAsiaTheme="minorHAnsi" w:cstheme="minorBidi"/>
          <w:i w:val="0"/>
          <w:color w:val="auto"/>
          <w:sz w:val="24"/>
        </w:rPr>
      </w:pPr>
      <w:bookmarkStart w:id="40" w:name="_Toc469402341"/>
      <w:bookmarkStart w:id="41" w:name="_Toc468273538"/>
      <w:bookmarkStart w:id="42" w:name="_Toc468273456"/>
      <w:bookmarkEnd w:id="40"/>
      <w:bookmarkEnd w:id="41"/>
      <w:bookmarkEnd w:id="42"/>
    </w:p>
    <w:p w14:paraId="0B5F9252" w14:textId="77777777" w:rsidR="00580D79" w:rsidRPr="00FE2263" w:rsidRDefault="00580D79" w:rsidP="005D560B">
      <w:pPr>
        <w:pStyle w:val="2"/>
        <w:spacing w:before="0"/>
        <w:rPr>
          <w:sz w:val="36"/>
          <w:szCs w:val="36"/>
        </w:rPr>
      </w:pPr>
      <w:bookmarkStart w:id="43" w:name="_Toc33974225"/>
      <w:bookmarkStart w:id="44" w:name="_Toc66184317"/>
      <w:bookmarkStart w:id="45" w:name="__RefHeading___doc_4"/>
      <w:bookmarkStart w:id="46" w:name="_Toc11747746"/>
      <w:r w:rsidRPr="00FE2263">
        <w:rPr>
          <w:rStyle w:val="affb"/>
          <w:rFonts w:eastAsia="Times New Roman"/>
          <w:b/>
          <w:bCs w:val="0"/>
        </w:rPr>
        <w:t>3.1 Показания к началу лечения</w:t>
      </w:r>
      <w:bookmarkEnd w:id="43"/>
      <w:bookmarkEnd w:id="44"/>
    </w:p>
    <w:p w14:paraId="6C7CFBE0" w14:textId="77777777" w:rsidR="00580D79" w:rsidRPr="00FE2263" w:rsidRDefault="00580D79" w:rsidP="00F817BC">
      <w:pPr>
        <w:pStyle w:val="afd"/>
        <w:spacing w:beforeAutospacing="0" w:afterAutospacing="0" w:line="360" w:lineRule="auto"/>
        <w:rPr>
          <w:rFonts w:eastAsiaTheme="minorEastAsia"/>
        </w:rPr>
      </w:pPr>
      <w:r w:rsidRPr="00FE2263">
        <w:t>Стратегия лечения определяется на этапе установления диагноза. Выбор программы лечения зависит от возраста пациента, особенностей течения МВ, а именно - наличия цитопений, необходимости более быстрой редукции опухоли, cопутствующих заболеваний.</w:t>
      </w:r>
    </w:p>
    <w:p w14:paraId="11D7A109" w14:textId="77777777" w:rsidR="00580D79" w:rsidRPr="00FE2263" w:rsidRDefault="00580D79" w:rsidP="005D560B">
      <w:pPr>
        <w:pStyle w:val="afff8"/>
        <w:spacing w:before="0"/>
      </w:pPr>
      <w:r w:rsidRPr="00FE2263">
        <w:rPr>
          <w:rStyle w:val="affb"/>
        </w:rPr>
        <w:t>Рекомендуется</w:t>
      </w:r>
      <w:r w:rsidRPr="00FE2263">
        <w:t xml:space="preserve"> начинать терапию при быстром нарастании уровня IgM в крови или при появлении клинических симптомов:[6].</w:t>
      </w:r>
    </w:p>
    <w:p w14:paraId="18499609" w14:textId="77777777" w:rsidR="00580D79" w:rsidRPr="00FE2263" w:rsidRDefault="00580D79" w:rsidP="00F817BC">
      <w:pPr>
        <w:pStyle w:val="afd"/>
        <w:spacing w:beforeAutospacing="0" w:afterAutospacing="0" w:line="360" w:lineRule="auto"/>
        <w:ind w:left="720"/>
      </w:pPr>
      <w:r w:rsidRPr="00FE2263">
        <w:t>- Рецидивирующая лихорадка, ночная потливость, потеря веса, слабость.</w:t>
      </w:r>
    </w:p>
    <w:p w14:paraId="5A0DA0D9" w14:textId="77777777" w:rsidR="00580D79" w:rsidRPr="00FE2263" w:rsidRDefault="00580D79" w:rsidP="00F817BC">
      <w:pPr>
        <w:pStyle w:val="afd"/>
        <w:spacing w:beforeAutospacing="0" w:afterAutospacing="0" w:line="360" w:lineRule="auto"/>
        <w:ind w:left="720"/>
      </w:pPr>
      <w:r w:rsidRPr="00FE2263">
        <w:t>- Синдром гипервязкости.</w:t>
      </w:r>
    </w:p>
    <w:p w14:paraId="57E08CE8" w14:textId="77777777" w:rsidR="00580D79" w:rsidRPr="00FE2263" w:rsidRDefault="00580D79" w:rsidP="00F817BC">
      <w:pPr>
        <w:pStyle w:val="afd"/>
        <w:spacing w:beforeAutospacing="0" w:afterAutospacing="0" w:line="360" w:lineRule="auto"/>
        <w:ind w:left="720"/>
      </w:pPr>
      <w:r w:rsidRPr="00FE2263">
        <w:t>- Лимфаденопатия или массивное увеличение размеров лимфоузлов (≥ 5 см в диаметре).</w:t>
      </w:r>
    </w:p>
    <w:p w14:paraId="5C8A8595" w14:textId="77777777" w:rsidR="00580D79" w:rsidRPr="00FE2263" w:rsidRDefault="00580D79" w:rsidP="0070759B">
      <w:pPr>
        <w:pStyle w:val="afd"/>
        <w:spacing w:beforeAutospacing="0" w:afterAutospacing="0" w:line="360" w:lineRule="auto"/>
        <w:ind w:left="720"/>
      </w:pPr>
      <w:r w:rsidRPr="00FE2263">
        <w:t>- Гепатомегалия и/или спленомегалия.</w:t>
      </w:r>
    </w:p>
    <w:p w14:paraId="49339525" w14:textId="77777777" w:rsidR="00580D79" w:rsidRPr="00FE2263" w:rsidRDefault="00580D79" w:rsidP="0070759B">
      <w:pPr>
        <w:pStyle w:val="afd"/>
        <w:spacing w:beforeAutospacing="0" w:afterAutospacing="0" w:line="360" w:lineRule="auto"/>
        <w:ind w:left="720"/>
      </w:pPr>
      <w:r w:rsidRPr="00FE2263">
        <w:t>- Периферическая нейропатия, связанная с МВ.</w:t>
      </w:r>
    </w:p>
    <w:p w14:paraId="5AED9B7C" w14:textId="77777777" w:rsidR="00580D79" w:rsidRPr="00FE2263" w:rsidRDefault="00580D79" w:rsidP="0070759B">
      <w:pPr>
        <w:pStyle w:val="afd"/>
        <w:spacing w:beforeAutospacing="0" w:afterAutospacing="0" w:line="360" w:lineRule="auto"/>
        <w:ind w:left="720"/>
      </w:pPr>
      <w:r w:rsidRPr="00FE2263">
        <w:t>- Симптомная криоглобулинемия</w:t>
      </w:r>
    </w:p>
    <w:p w14:paraId="6872C53A" w14:textId="77777777" w:rsidR="00580D79" w:rsidRPr="00FE2263" w:rsidRDefault="00580D79" w:rsidP="0070759B">
      <w:pPr>
        <w:pStyle w:val="afd"/>
        <w:spacing w:beforeAutospacing="0" w:afterAutospacing="0" w:line="360" w:lineRule="auto"/>
        <w:ind w:left="720"/>
      </w:pPr>
      <w:r w:rsidRPr="00FE2263">
        <w:t>- Анемия с уровнем Нв ≤ 10 г/дл.</w:t>
      </w:r>
    </w:p>
    <w:p w14:paraId="16053277" w14:textId="77777777" w:rsidR="00580D79" w:rsidRPr="00FE2263" w:rsidRDefault="00580D79" w:rsidP="0070759B">
      <w:pPr>
        <w:pStyle w:val="afd"/>
        <w:spacing w:beforeAutospacing="0" w:afterAutospacing="0" w:line="360" w:lineRule="auto"/>
        <w:ind w:left="720"/>
      </w:pPr>
      <w:r w:rsidRPr="00FE2263">
        <w:t>- Тромбоцитопения с уровнем тромбоцитов 100 х 109 /л и менее.</w:t>
      </w:r>
    </w:p>
    <w:p w14:paraId="606DC463" w14:textId="77777777" w:rsidR="00580D79" w:rsidRPr="00FE2263" w:rsidRDefault="00580D79" w:rsidP="0070759B">
      <w:pPr>
        <w:pStyle w:val="afd"/>
        <w:spacing w:beforeAutospacing="0" w:afterAutospacing="0" w:line="360" w:lineRule="auto"/>
        <w:ind w:left="720"/>
      </w:pPr>
      <w:r w:rsidRPr="00FE2263">
        <w:t>- Гемолитическая анемия (обусловленная наличием холодовых антител).</w:t>
      </w:r>
    </w:p>
    <w:p w14:paraId="6E13FCE7" w14:textId="77777777" w:rsidR="00580D79" w:rsidRPr="00FE2263" w:rsidRDefault="00580D79" w:rsidP="0070759B">
      <w:pPr>
        <w:pStyle w:val="afd"/>
        <w:spacing w:beforeAutospacing="0" w:afterAutospacing="0" w:line="360" w:lineRule="auto"/>
        <w:ind w:left="720"/>
      </w:pPr>
      <w:r w:rsidRPr="00FE2263">
        <w:t>- Почечная недостаточность, связанная с МВ.</w:t>
      </w:r>
    </w:p>
    <w:p w14:paraId="0FDA1C30" w14:textId="77777777" w:rsidR="00580D79" w:rsidRPr="00FE2263" w:rsidRDefault="00580D79" w:rsidP="0070759B">
      <w:pPr>
        <w:pStyle w:val="afd"/>
        <w:spacing w:beforeAutospacing="0" w:afterAutospacing="0" w:line="360" w:lineRule="auto"/>
        <w:ind w:left="720"/>
      </w:pPr>
      <w:r w:rsidRPr="00FE2263">
        <w:t>- Амилоидоз, связанный с МВ.</w:t>
      </w:r>
    </w:p>
    <w:p w14:paraId="3D781110" w14:textId="77777777" w:rsidR="00580D79" w:rsidRPr="00FE2263" w:rsidRDefault="00580D79" w:rsidP="0070759B">
      <w:pPr>
        <w:pStyle w:val="afd"/>
        <w:spacing w:beforeAutospacing="0" w:afterAutospacing="0" w:line="360" w:lineRule="auto"/>
        <w:ind w:left="720"/>
      </w:pPr>
      <w:r w:rsidRPr="00FE2263">
        <w:t>- Уровень моноклонального IgM &gt; 50 г/л, даже при отсутствии симптомов.</w:t>
      </w:r>
    </w:p>
    <w:p w14:paraId="4233726C" w14:textId="2471F7B8" w:rsidR="00580D79" w:rsidRPr="00FE2263" w:rsidRDefault="00580D79" w:rsidP="0070759B">
      <w:pPr>
        <w:pStyle w:val="afe"/>
        <w:ind w:firstLine="0"/>
        <w:rPr>
          <w:b/>
        </w:rPr>
      </w:pPr>
      <w:r w:rsidRPr="00FE2263">
        <w:rPr>
          <w:b/>
        </w:rPr>
        <w:t xml:space="preserve">Уровень убедительности рекомендаций </w:t>
      </w:r>
      <w:r w:rsidR="00550CB2" w:rsidRPr="00FE2263">
        <w:rPr>
          <w:b/>
        </w:rPr>
        <w:t>С</w:t>
      </w:r>
      <w:r w:rsidRPr="00FE2263">
        <w:rPr>
          <w:b/>
        </w:rPr>
        <w:t xml:space="preserve"> (уровень достоверности доказательств </w:t>
      </w:r>
      <w:r w:rsidR="00550CB2" w:rsidRPr="00FE2263">
        <w:rPr>
          <w:b/>
        </w:rPr>
        <w:t>4</w:t>
      </w:r>
      <w:r w:rsidRPr="00FE2263">
        <w:rPr>
          <w:b/>
        </w:rPr>
        <w:t>).</w:t>
      </w:r>
    </w:p>
    <w:p w14:paraId="4AB96A62" w14:textId="01ED0E74" w:rsidR="00580D79" w:rsidRPr="00FE2263" w:rsidRDefault="00580D79" w:rsidP="005D560B">
      <w:pPr>
        <w:pStyle w:val="afff8"/>
        <w:spacing w:before="0"/>
        <w:rPr>
          <w:rFonts w:eastAsiaTheme="minorEastAsia"/>
        </w:rPr>
      </w:pPr>
      <w:r w:rsidRPr="00FE2263">
        <w:rPr>
          <w:rStyle w:val="affb"/>
        </w:rPr>
        <w:t>Не рекомендуется</w:t>
      </w:r>
      <w:r w:rsidRPr="00FE2263">
        <w:t xml:space="preserve"> начинать специфическую терапию пациентам с тлеющей (бессимптомной) МВ</w:t>
      </w:r>
      <w:r w:rsidR="005D560B" w:rsidRPr="00FE2263">
        <w:t xml:space="preserve"> </w:t>
      </w:r>
      <w:r w:rsidR="005D560B" w:rsidRPr="00FE2263">
        <w:rPr>
          <w:lang w:val="en-US"/>
        </w:rPr>
        <w:fldChar w:fldCharType="begin" w:fldLock="1"/>
      </w:r>
      <w:r w:rsidR="005D560B" w:rsidRPr="00FE2263">
        <w:rPr>
          <w:lang w:val="en-US"/>
        </w:rPr>
        <w:instrText>ADDIN</w:instrText>
      </w:r>
      <w:r w:rsidR="005D560B" w:rsidRPr="00FE2263">
        <w:instrText xml:space="preserve"> </w:instrText>
      </w:r>
      <w:r w:rsidR="005D560B" w:rsidRPr="00FE2263">
        <w:rPr>
          <w:lang w:val="en-US"/>
        </w:rPr>
        <w:instrText>CSL</w:instrText>
      </w:r>
      <w:r w:rsidR="005D560B" w:rsidRPr="00FE2263">
        <w:instrText>_</w:instrText>
      </w:r>
      <w:r w:rsidR="005D560B" w:rsidRPr="00FE2263">
        <w:rPr>
          <w:lang w:val="en-US"/>
        </w:rPr>
        <w:instrText>CITATION</w:instrText>
      </w:r>
      <w:r w:rsidR="005D560B" w:rsidRPr="00FE2263">
        <w:instrText xml:space="preserve"> {"</w:instrText>
      </w:r>
      <w:r w:rsidR="005D560B" w:rsidRPr="00FE2263">
        <w:rPr>
          <w:lang w:val="en-US"/>
        </w:rPr>
        <w:instrText>citationItems</w:instrText>
      </w:r>
      <w:r w:rsidR="005D560B" w:rsidRPr="00FE2263">
        <w:instrText>":[{"</w:instrText>
      </w:r>
      <w:r w:rsidR="005D560B" w:rsidRPr="00FE2263">
        <w:rPr>
          <w:lang w:val="en-US"/>
        </w:rPr>
        <w:instrText>id</w:instrText>
      </w:r>
      <w:r w:rsidR="005D560B" w:rsidRPr="00FE2263">
        <w:instrText>":"</w:instrText>
      </w:r>
      <w:r w:rsidR="005D560B" w:rsidRPr="00FE2263">
        <w:rPr>
          <w:lang w:val="en-US"/>
        </w:rPr>
        <w:instrText>ITEM</w:instrText>
      </w:r>
      <w:r w:rsidR="005D560B" w:rsidRPr="00FE2263">
        <w:instrText>-1","</w:instrText>
      </w:r>
      <w:r w:rsidR="005D560B" w:rsidRPr="00FE2263">
        <w:rPr>
          <w:lang w:val="en-US"/>
        </w:rPr>
        <w:instrText>itemData</w:instrText>
      </w:r>
      <w:r w:rsidR="005D560B" w:rsidRPr="00FE2263">
        <w:instrText>":{"</w:instrText>
      </w:r>
      <w:r w:rsidR="005D560B" w:rsidRPr="00FE2263">
        <w:rPr>
          <w:lang w:val="en-US"/>
        </w:rPr>
        <w:instrText>DOI</w:instrText>
      </w:r>
      <w:r w:rsidR="005D560B" w:rsidRPr="00FE2263">
        <w:instrText>":"10.1111/</w:instrText>
      </w:r>
      <w:r w:rsidR="005D560B" w:rsidRPr="00FE2263">
        <w:rPr>
          <w:lang w:val="en-US"/>
        </w:rPr>
        <w:instrText>bjh</w:instrText>
      </w:r>
      <w:r w:rsidR="005D560B" w:rsidRPr="00FE2263">
        <w:instrText>.15558","</w:instrText>
      </w:r>
      <w:r w:rsidR="005D560B" w:rsidRPr="00FE2263">
        <w:rPr>
          <w:lang w:val="en-US"/>
        </w:rPr>
        <w:instrText>ISSN</w:instrText>
      </w:r>
      <w:r w:rsidR="005D560B" w:rsidRPr="00FE2263">
        <w:instrText>":"13652141","</w:instrText>
      </w:r>
      <w:r w:rsidR="005D560B" w:rsidRPr="00FE2263">
        <w:rPr>
          <w:lang w:val="en-US"/>
        </w:rPr>
        <w:instrText>abstract</w:instrText>
      </w:r>
      <w:r w:rsidR="005D560B" w:rsidRPr="00FE2263">
        <w:instrText>":"</w:instrText>
      </w:r>
      <w:r w:rsidR="005D560B" w:rsidRPr="00FE2263">
        <w:rPr>
          <w:lang w:val="en-US"/>
        </w:rPr>
        <w:instrText>We</w:instrText>
      </w:r>
      <w:r w:rsidR="005D560B" w:rsidRPr="00FE2263">
        <w:instrText xml:space="preserve"> </w:instrText>
      </w:r>
      <w:r w:rsidR="005D560B" w:rsidRPr="00FE2263">
        <w:rPr>
          <w:lang w:val="en-US"/>
        </w:rPr>
        <w:instrText>present</w:instrText>
      </w:r>
      <w:r w:rsidR="005D560B" w:rsidRPr="00FE2263">
        <w:instrText xml:space="preserve"> </w:instrText>
      </w:r>
      <w:r w:rsidR="005D560B" w:rsidRPr="00FE2263">
        <w:rPr>
          <w:lang w:val="en-US"/>
        </w:rPr>
        <w:instrText>a</w:instrText>
      </w:r>
      <w:r w:rsidR="005D560B" w:rsidRPr="00FE2263">
        <w:instrText xml:space="preserve"> </w:instrText>
      </w:r>
      <w:r w:rsidR="005D560B" w:rsidRPr="00FE2263">
        <w:rPr>
          <w:lang w:val="en-US"/>
        </w:rPr>
        <w:instrText>nationwide</w:instrText>
      </w:r>
      <w:r w:rsidR="005D560B" w:rsidRPr="00FE2263">
        <w:instrText xml:space="preserve"> </w:instrText>
      </w:r>
      <w:r w:rsidR="005D560B" w:rsidRPr="00FE2263">
        <w:rPr>
          <w:lang w:val="en-US"/>
        </w:rPr>
        <w:instrText>prospective</w:instrText>
      </w:r>
      <w:r w:rsidR="005D560B" w:rsidRPr="00FE2263">
        <w:instrText xml:space="preserve"> </w:instrText>
      </w:r>
      <w:r w:rsidR="005D560B" w:rsidRPr="00FE2263">
        <w:rPr>
          <w:lang w:val="en-US"/>
        </w:rPr>
        <w:instrText>Swedish</w:instrText>
      </w:r>
      <w:r w:rsidR="005D560B" w:rsidRPr="00FE2263">
        <w:instrText xml:space="preserve"> </w:instrText>
      </w:r>
      <w:r w:rsidR="005D560B" w:rsidRPr="00FE2263">
        <w:rPr>
          <w:lang w:val="en-US"/>
        </w:rPr>
        <w:instrText>registry</w:instrText>
      </w:r>
      <w:r w:rsidR="005D560B" w:rsidRPr="00FE2263">
        <w:instrText>-</w:instrText>
      </w:r>
      <w:r w:rsidR="005D560B" w:rsidRPr="00FE2263">
        <w:rPr>
          <w:lang w:val="en-US"/>
        </w:rPr>
        <w:instrText>based</w:instrText>
      </w:r>
      <w:r w:rsidR="005D560B" w:rsidRPr="00FE2263">
        <w:instrText xml:space="preserve"> </w:instrText>
      </w:r>
      <w:r w:rsidR="005D560B" w:rsidRPr="00FE2263">
        <w:rPr>
          <w:lang w:val="en-US"/>
        </w:rPr>
        <w:instrText>study</w:instrText>
      </w:r>
      <w:r w:rsidR="005D560B" w:rsidRPr="00FE2263">
        <w:instrText xml:space="preserve"> </w:instrText>
      </w:r>
      <w:r w:rsidR="005D560B" w:rsidRPr="00FE2263">
        <w:rPr>
          <w:lang w:val="en-US"/>
        </w:rPr>
        <w:instrText>of</w:instrText>
      </w:r>
      <w:r w:rsidR="005D560B" w:rsidRPr="00FE2263">
        <w:instrText xml:space="preserve"> </w:instrText>
      </w:r>
      <w:r w:rsidR="005D560B" w:rsidRPr="00FE2263">
        <w:rPr>
          <w:lang w:val="en-US"/>
        </w:rPr>
        <w:instrText>Waldenstr</w:instrText>
      </w:r>
      <w:r w:rsidR="005D560B" w:rsidRPr="00FE2263">
        <w:instrText>ö</w:instrText>
      </w:r>
      <w:r w:rsidR="005D560B" w:rsidRPr="00FE2263">
        <w:rPr>
          <w:lang w:val="en-US"/>
        </w:rPr>
        <w:instrText>m</w:instrText>
      </w:r>
      <w:r w:rsidR="005D560B" w:rsidRPr="00FE2263">
        <w:instrText xml:space="preserve"> </w:instrText>
      </w:r>
      <w:r w:rsidR="005D560B" w:rsidRPr="00FE2263">
        <w:rPr>
          <w:lang w:val="en-US"/>
        </w:rPr>
        <w:instrText>macroglobulinaemia</w:instrText>
      </w:r>
      <w:r w:rsidR="005D560B" w:rsidRPr="00FE2263">
        <w:instrText xml:space="preserve"> (</w:instrText>
      </w:r>
      <w:r w:rsidR="005D560B" w:rsidRPr="00FE2263">
        <w:rPr>
          <w:lang w:val="en-US"/>
        </w:rPr>
        <w:instrText>WM</w:instrText>
      </w:r>
      <w:r w:rsidR="005D560B" w:rsidRPr="00FE2263">
        <w:instrText xml:space="preserve">), </w:instrText>
      </w:r>
      <w:r w:rsidR="005D560B" w:rsidRPr="00FE2263">
        <w:rPr>
          <w:lang w:val="en-US"/>
        </w:rPr>
        <w:instrText>that</w:instrText>
      </w:r>
      <w:r w:rsidR="005D560B" w:rsidRPr="00FE2263">
        <w:instrText xml:space="preserve"> </w:instrText>
      </w:r>
      <w:r w:rsidR="005D560B" w:rsidRPr="00FE2263">
        <w:rPr>
          <w:lang w:val="en-US"/>
        </w:rPr>
        <w:instrText>focuses</w:instrText>
      </w:r>
      <w:r w:rsidR="005D560B" w:rsidRPr="00FE2263">
        <w:instrText xml:space="preserve"> </w:instrText>
      </w:r>
      <w:r w:rsidR="005D560B" w:rsidRPr="00FE2263">
        <w:rPr>
          <w:lang w:val="en-US"/>
        </w:rPr>
        <w:instrText>on</w:instrText>
      </w:r>
      <w:r w:rsidR="005D560B" w:rsidRPr="00FE2263">
        <w:instrText xml:space="preserve"> </w:instrText>
      </w:r>
      <w:r w:rsidR="005D560B" w:rsidRPr="00FE2263">
        <w:rPr>
          <w:lang w:val="en-US"/>
        </w:rPr>
        <w:instrText>incidence</w:instrText>
      </w:r>
      <w:r w:rsidR="005D560B" w:rsidRPr="00FE2263">
        <w:instrText xml:space="preserve"> </w:instrText>
      </w:r>
      <w:r w:rsidR="005D560B" w:rsidRPr="00FE2263">
        <w:rPr>
          <w:lang w:val="en-US"/>
        </w:rPr>
        <w:instrText>and</w:instrText>
      </w:r>
      <w:r w:rsidR="005D560B" w:rsidRPr="00FE2263">
        <w:instrText xml:space="preserve"> </w:instrText>
      </w:r>
      <w:r w:rsidR="005D560B" w:rsidRPr="00FE2263">
        <w:rPr>
          <w:lang w:val="en-US"/>
        </w:rPr>
        <w:instrText>survival</w:instrText>
      </w:r>
      <w:r w:rsidR="005D560B" w:rsidRPr="00FE2263">
        <w:instrText xml:space="preserve"> </w:instrText>
      </w:r>
      <w:r w:rsidR="005D560B" w:rsidRPr="00FE2263">
        <w:rPr>
          <w:lang w:val="en-US"/>
        </w:rPr>
        <w:instrText>in</w:instrText>
      </w:r>
      <w:r w:rsidR="005D560B" w:rsidRPr="00FE2263">
        <w:instrText xml:space="preserve"> </w:instrText>
      </w:r>
      <w:r w:rsidR="005D560B" w:rsidRPr="00FE2263">
        <w:rPr>
          <w:lang w:val="en-US"/>
        </w:rPr>
        <w:instrText>relation</w:instrText>
      </w:r>
      <w:r w:rsidR="005D560B" w:rsidRPr="00FE2263">
        <w:instrText xml:space="preserve"> </w:instrText>
      </w:r>
      <w:r w:rsidR="005D560B" w:rsidRPr="00FE2263">
        <w:rPr>
          <w:lang w:val="en-US"/>
        </w:rPr>
        <w:instrText>to</w:instrText>
      </w:r>
      <w:r w:rsidR="005D560B" w:rsidRPr="00FE2263">
        <w:instrText xml:space="preserve"> </w:instrText>
      </w:r>
      <w:r w:rsidR="005D560B" w:rsidRPr="00FE2263">
        <w:rPr>
          <w:lang w:val="en-US"/>
        </w:rPr>
        <w:instrText>clinical</w:instrText>
      </w:r>
      <w:r w:rsidR="005D560B" w:rsidRPr="00FE2263">
        <w:instrText xml:space="preserve"> </w:instrText>
      </w:r>
      <w:r w:rsidR="005D560B" w:rsidRPr="00FE2263">
        <w:rPr>
          <w:lang w:val="en-US"/>
        </w:rPr>
        <w:instrText>prognostic</w:instrText>
      </w:r>
      <w:r w:rsidR="005D560B" w:rsidRPr="00FE2263">
        <w:instrText xml:space="preserve"> </w:instrText>
      </w:r>
      <w:r w:rsidR="005D560B" w:rsidRPr="00FE2263">
        <w:rPr>
          <w:lang w:val="en-US"/>
        </w:rPr>
        <w:instrText>factors</w:instrText>
      </w:r>
      <w:r w:rsidR="005D560B" w:rsidRPr="00FE2263">
        <w:instrText xml:space="preserve"> </w:instrText>
      </w:r>
      <w:r w:rsidR="005D560B" w:rsidRPr="00FE2263">
        <w:rPr>
          <w:lang w:val="en-US"/>
        </w:rPr>
        <w:instrText>and</w:instrText>
      </w:r>
      <w:r w:rsidR="005D560B" w:rsidRPr="00FE2263">
        <w:instrText xml:space="preserve"> </w:instrText>
      </w:r>
      <w:r w:rsidR="005D560B" w:rsidRPr="00FE2263">
        <w:rPr>
          <w:lang w:val="en-US"/>
        </w:rPr>
        <w:instrText>primary</w:instrText>
      </w:r>
      <w:r w:rsidR="005D560B" w:rsidRPr="00FE2263">
        <w:instrText xml:space="preserve"> </w:instrText>
      </w:r>
      <w:r w:rsidR="005D560B" w:rsidRPr="00FE2263">
        <w:rPr>
          <w:lang w:val="en-US"/>
        </w:rPr>
        <w:instrText>systemic</w:instrText>
      </w:r>
      <w:r w:rsidR="005D560B" w:rsidRPr="00FE2263">
        <w:instrText xml:space="preserve"> </w:instrText>
      </w:r>
      <w:r w:rsidR="005D560B" w:rsidRPr="00FE2263">
        <w:rPr>
          <w:lang w:val="en-US"/>
        </w:rPr>
        <w:instrText>therapies</w:instrText>
      </w:r>
      <w:r w:rsidR="005D560B" w:rsidRPr="00FE2263">
        <w:instrText xml:space="preserve">. </w:instrText>
      </w:r>
      <w:r w:rsidR="005D560B" w:rsidRPr="00FE2263">
        <w:rPr>
          <w:lang w:val="en-US"/>
        </w:rPr>
        <w:instrText>A</w:instrText>
      </w:r>
      <w:r w:rsidR="005D560B" w:rsidRPr="00FE2263">
        <w:instrText xml:space="preserve"> </w:instrText>
      </w:r>
      <w:r w:rsidR="005D560B" w:rsidRPr="00FE2263">
        <w:rPr>
          <w:lang w:val="en-US"/>
        </w:rPr>
        <w:instrText>total</w:instrText>
      </w:r>
      <w:r w:rsidR="005D560B" w:rsidRPr="00FE2263">
        <w:instrText xml:space="preserve"> </w:instrText>
      </w:r>
      <w:r w:rsidR="005D560B" w:rsidRPr="00FE2263">
        <w:rPr>
          <w:lang w:val="en-US"/>
        </w:rPr>
        <w:instrText>of</w:instrText>
      </w:r>
      <w:r w:rsidR="005D560B" w:rsidRPr="00FE2263">
        <w:instrText xml:space="preserve"> 1511 </w:instrText>
      </w:r>
      <w:r w:rsidR="005D560B" w:rsidRPr="00FE2263">
        <w:rPr>
          <w:lang w:val="en-US"/>
        </w:rPr>
        <w:instrText>patients</w:instrText>
      </w:r>
      <w:r w:rsidR="005D560B" w:rsidRPr="00FE2263">
        <w:instrText xml:space="preserve"> </w:instrText>
      </w:r>
      <w:r w:rsidR="005D560B" w:rsidRPr="00FE2263">
        <w:rPr>
          <w:lang w:val="en-US"/>
        </w:rPr>
        <w:instrText>with</w:instrText>
      </w:r>
      <w:r w:rsidR="005D560B" w:rsidRPr="00FE2263">
        <w:instrText xml:space="preserve"> </w:instrText>
      </w:r>
      <w:r w:rsidR="005D560B" w:rsidRPr="00FE2263">
        <w:rPr>
          <w:lang w:val="en-US"/>
        </w:rPr>
        <w:instrText>WM</w:instrText>
      </w:r>
      <w:r w:rsidR="005D560B" w:rsidRPr="00FE2263">
        <w:instrText xml:space="preserve"> </w:instrText>
      </w:r>
      <w:r w:rsidR="005D560B" w:rsidRPr="00FE2263">
        <w:rPr>
          <w:lang w:val="en-US"/>
        </w:rPr>
        <w:instrText>and</w:instrText>
      </w:r>
      <w:r w:rsidR="005D560B" w:rsidRPr="00FE2263">
        <w:instrText xml:space="preserve"> </w:instrText>
      </w:r>
      <w:r w:rsidR="005D560B" w:rsidRPr="00FE2263">
        <w:rPr>
          <w:lang w:val="en-US"/>
        </w:rPr>
        <w:instrText>lymphoplasmocytic</w:instrText>
      </w:r>
      <w:r w:rsidR="005D560B" w:rsidRPr="00FE2263">
        <w:instrText xml:space="preserve"> </w:instrText>
      </w:r>
      <w:r w:rsidR="005D560B" w:rsidRPr="00FE2263">
        <w:rPr>
          <w:lang w:val="en-US"/>
        </w:rPr>
        <w:instrText>lymphoma</w:instrText>
      </w:r>
      <w:r w:rsidR="005D560B" w:rsidRPr="00FE2263">
        <w:instrText xml:space="preserve"> (</w:instrText>
      </w:r>
      <w:r w:rsidR="005D560B" w:rsidRPr="00FE2263">
        <w:rPr>
          <w:lang w:val="en-US"/>
        </w:rPr>
        <w:instrText>LPL</w:instrText>
      </w:r>
      <w:r w:rsidR="005D560B" w:rsidRPr="00FE2263">
        <w:instrText xml:space="preserve">) </w:instrText>
      </w:r>
      <w:r w:rsidR="005D560B" w:rsidRPr="00FE2263">
        <w:rPr>
          <w:lang w:val="en-US"/>
        </w:rPr>
        <w:instrText>were</w:instrText>
      </w:r>
      <w:r w:rsidR="005D560B" w:rsidRPr="00FE2263">
        <w:instrText xml:space="preserve"> </w:instrText>
      </w:r>
      <w:r w:rsidR="005D560B" w:rsidRPr="00FE2263">
        <w:rPr>
          <w:lang w:val="en-US"/>
        </w:rPr>
        <w:instrText>registered</w:instrText>
      </w:r>
      <w:r w:rsidR="005D560B" w:rsidRPr="00FE2263">
        <w:instrText xml:space="preserve"> </w:instrText>
      </w:r>
      <w:r w:rsidR="005D560B" w:rsidRPr="00FE2263">
        <w:rPr>
          <w:lang w:val="en-US"/>
        </w:rPr>
        <w:instrText>in</w:instrText>
      </w:r>
      <w:r w:rsidR="005D560B" w:rsidRPr="00FE2263">
        <w:instrText xml:space="preserve"> </w:instrText>
      </w:r>
      <w:r w:rsidR="005D560B" w:rsidRPr="00FE2263">
        <w:rPr>
          <w:lang w:val="en-US"/>
        </w:rPr>
        <w:instrText>the</w:instrText>
      </w:r>
      <w:r w:rsidR="005D560B" w:rsidRPr="00FE2263">
        <w:instrText xml:space="preserve"> </w:instrText>
      </w:r>
      <w:r w:rsidR="005D560B" w:rsidRPr="00FE2263">
        <w:rPr>
          <w:lang w:val="en-US"/>
        </w:rPr>
        <w:instrText>Swedish</w:instrText>
      </w:r>
      <w:r w:rsidR="005D560B" w:rsidRPr="00FE2263">
        <w:instrText xml:space="preserve"> </w:instrText>
      </w:r>
      <w:r w:rsidR="005D560B" w:rsidRPr="00FE2263">
        <w:rPr>
          <w:lang w:val="en-US"/>
        </w:rPr>
        <w:instrText>Lymphoma</w:instrText>
      </w:r>
      <w:r w:rsidR="005D560B" w:rsidRPr="00FE2263">
        <w:instrText xml:space="preserve"> </w:instrText>
      </w:r>
      <w:r w:rsidR="005D560B" w:rsidRPr="00FE2263">
        <w:rPr>
          <w:lang w:val="en-US"/>
        </w:rPr>
        <w:instrText>Registry</w:instrText>
      </w:r>
      <w:r w:rsidR="005D560B" w:rsidRPr="00FE2263">
        <w:instrText xml:space="preserve"> (</w:instrText>
      </w:r>
      <w:r w:rsidR="005D560B" w:rsidRPr="00FE2263">
        <w:rPr>
          <w:lang w:val="en-US"/>
        </w:rPr>
        <w:instrText>SLR</w:instrText>
      </w:r>
      <w:r w:rsidR="005D560B" w:rsidRPr="00FE2263">
        <w:instrText xml:space="preserve">) </w:instrText>
      </w:r>
      <w:r w:rsidR="005D560B" w:rsidRPr="00FE2263">
        <w:rPr>
          <w:lang w:val="en-US"/>
        </w:rPr>
        <w:instrText>between</w:instrText>
      </w:r>
      <w:r w:rsidR="005D560B" w:rsidRPr="00FE2263">
        <w:instrText xml:space="preserve"> 1 </w:instrText>
      </w:r>
      <w:r w:rsidR="005D560B" w:rsidRPr="00FE2263">
        <w:rPr>
          <w:lang w:val="en-US"/>
        </w:rPr>
        <w:instrText>January</w:instrText>
      </w:r>
      <w:r w:rsidR="005D560B" w:rsidRPr="00FE2263">
        <w:instrText xml:space="preserve"> 2000 </w:instrText>
      </w:r>
      <w:r w:rsidR="005D560B" w:rsidRPr="00FE2263">
        <w:rPr>
          <w:lang w:val="en-US"/>
        </w:rPr>
        <w:instrText>and</w:instrText>
      </w:r>
      <w:r w:rsidR="005D560B" w:rsidRPr="00FE2263">
        <w:instrText xml:space="preserve"> 31 </w:instrText>
      </w:r>
      <w:r w:rsidR="005D560B" w:rsidRPr="00FE2263">
        <w:rPr>
          <w:lang w:val="en-US"/>
        </w:rPr>
        <w:instrText>December</w:instrText>
      </w:r>
      <w:r w:rsidR="005D560B" w:rsidRPr="00FE2263">
        <w:instrText xml:space="preserve"> 2014. </w:instrText>
      </w:r>
      <w:r w:rsidR="005D560B" w:rsidRPr="00FE2263">
        <w:rPr>
          <w:lang w:val="en-US"/>
        </w:rPr>
        <w:instrText>The</w:instrText>
      </w:r>
      <w:r w:rsidR="005D560B" w:rsidRPr="00FE2263">
        <w:instrText xml:space="preserve"> </w:instrText>
      </w:r>
      <w:r w:rsidR="005D560B" w:rsidRPr="00FE2263">
        <w:rPr>
          <w:lang w:val="en-US"/>
        </w:rPr>
        <w:instrText>age</w:instrText>
      </w:r>
      <w:r w:rsidR="005D560B" w:rsidRPr="00FE2263">
        <w:instrText>-</w:instrText>
      </w:r>
      <w:r w:rsidR="005D560B" w:rsidRPr="00FE2263">
        <w:rPr>
          <w:lang w:val="en-US"/>
        </w:rPr>
        <w:instrText>adjusted</w:instrText>
      </w:r>
      <w:r w:rsidR="005D560B" w:rsidRPr="00FE2263">
        <w:instrText xml:space="preserve"> </w:instrText>
      </w:r>
      <w:r w:rsidR="005D560B" w:rsidRPr="00FE2263">
        <w:rPr>
          <w:lang w:val="en-US"/>
        </w:rPr>
        <w:instrText>incidence</w:instrText>
      </w:r>
      <w:r w:rsidR="005D560B" w:rsidRPr="00FE2263">
        <w:instrText xml:space="preserve"> </w:instrText>
      </w:r>
      <w:r w:rsidR="005D560B" w:rsidRPr="00FE2263">
        <w:rPr>
          <w:lang w:val="en-US"/>
        </w:rPr>
        <w:instrText>of</w:instrText>
      </w:r>
      <w:r w:rsidR="005D560B" w:rsidRPr="00FE2263">
        <w:instrText xml:space="preserve"> </w:instrText>
      </w:r>
      <w:r w:rsidR="005D560B" w:rsidRPr="00FE2263">
        <w:rPr>
          <w:lang w:val="en-US"/>
        </w:rPr>
        <w:instrText>WM</w:instrText>
      </w:r>
      <w:r w:rsidR="005D560B" w:rsidRPr="00FE2263">
        <w:instrText>/</w:instrText>
      </w:r>
      <w:r w:rsidR="005D560B" w:rsidRPr="00FE2263">
        <w:rPr>
          <w:lang w:val="en-US"/>
        </w:rPr>
        <w:instrText>LPL</w:instrText>
      </w:r>
      <w:r w:rsidR="005D560B" w:rsidRPr="00FE2263">
        <w:instrText xml:space="preserve"> </w:instrText>
      </w:r>
      <w:r w:rsidR="005D560B" w:rsidRPr="00FE2263">
        <w:rPr>
          <w:lang w:val="en-US"/>
        </w:rPr>
        <w:instrText>was</w:instrText>
      </w:r>
      <w:r w:rsidR="005D560B" w:rsidRPr="00FE2263">
        <w:instrText xml:space="preserve"> 11·5 </w:instrText>
      </w:r>
      <w:r w:rsidR="005D560B" w:rsidRPr="00FE2263">
        <w:rPr>
          <w:lang w:val="en-US"/>
        </w:rPr>
        <w:instrText>per</w:instrText>
      </w:r>
      <w:r w:rsidR="005D560B" w:rsidRPr="00FE2263">
        <w:instrText xml:space="preserve"> </w:instrText>
      </w:r>
      <w:r w:rsidR="005D560B" w:rsidRPr="00FE2263">
        <w:rPr>
          <w:lang w:val="en-US"/>
        </w:rPr>
        <w:instrText>million</w:instrText>
      </w:r>
      <w:r w:rsidR="005D560B" w:rsidRPr="00FE2263">
        <w:instrText xml:space="preserve"> </w:instrText>
      </w:r>
      <w:r w:rsidR="005D560B" w:rsidRPr="00FE2263">
        <w:rPr>
          <w:lang w:val="en-US"/>
        </w:rPr>
        <w:instrText>persons</w:instrText>
      </w:r>
      <w:r w:rsidR="005D560B" w:rsidRPr="00FE2263">
        <w:instrText xml:space="preserve"> </w:instrText>
      </w:r>
      <w:r w:rsidR="005D560B" w:rsidRPr="00FE2263">
        <w:rPr>
          <w:lang w:val="en-US"/>
        </w:rPr>
        <w:instrText>per</w:instrText>
      </w:r>
      <w:r w:rsidR="005D560B" w:rsidRPr="00FE2263">
        <w:instrText xml:space="preserve"> </w:instrText>
      </w:r>
      <w:r w:rsidR="005D560B" w:rsidRPr="00FE2263">
        <w:rPr>
          <w:lang w:val="en-US"/>
        </w:rPr>
        <w:instrText>year</w:instrText>
      </w:r>
      <w:r w:rsidR="005D560B" w:rsidRPr="00FE2263">
        <w:instrText xml:space="preserve">, </w:instrText>
      </w:r>
      <w:r w:rsidR="005D560B" w:rsidRPr="00FE2263">
        <w:rPr>
          <w:lang w:val="en-US"/>
        </w:rPr>
        <w:instrText>three</w:instrText>
      </w:r>
      <w:r w:rsidR="005D560B" w:rsidRPr="00FE2263">
        <w:instrText xml:space="preserve"> </w:instrText>
      </w:r>
      <w:r w:rsidR="005D560B" w:rsidRPr="00FE2263">
        <w:rPr>
          <w:lang w:val="en-US"/>
        </w:rPr>
        <w:instrText>times</w:instrText>
      </w:r>
      <w:r w:rsidR="005D560B" w:rsidRPr="00FE2263">
        <w:instrText xml:space="preserve"> </w:instrText>
      </w:r>
      <w:r w:rsidR="005D560B" w:rsidRPr="00FE2263">
        <w:rPr>
          <w:lang w:val="en-US"/>
        </w:rPr>
        <w:instrText>higher</w:instrText>
      </w:r>
      <w:r w:rsidR="005D560B" w:rsidRPr="00FE2263">
        <w:instrText xml:space="preserve"> </w:instrText>
      </w:r>
      <w:r w:rsidR="005D560B" w:rsidRPr="00FE2263">
        <w:rPr>
          <w:lang w:val="en-US"/>
        </w:rPr>
        <w:instrText>than</w:instrText>
      </w:r>
      <w:r w:rsidR="005D560B" w:rsidRPr="00FE2263">
        <w:instrText xml:space="preserve"> </w:instrText>
      </w:r>
      <w:r w:rsidR="005D560B" w:rsidRPr="00FE2263">
        <w:rPr>
          <w:lang w:val="en-US"/>
        </w:rPr>
        <w:instrText>the</w:instrText>
      </w:r>
      <w:r w:rsidR="005D560B" w:rsidRPr="00FE2263">
        <w:instrText xml:space="preserve"> </w:instrText>
      </w:r>
      <w:r w:rsidR="005D560B" w:rsidRPr="00FE2263">
        <w:rPr>
          <w:lang w:val="en-US"/>
        </w:rPr>
        <w:instrText>reported</w:instrText>
      </w:r>
      <w:r w:rsidR="005D560B" w:rsidRPr="00FE2263">
        <w:instrText xml:space="preserve"> </w:instrText>
      </w:r>
      <w:r w:rsidR="005D560B" w:rsidRPr="00FE2263">
        <w:rPr>
          <w:lang w:val="en-US"/>
        </w:rPr>
        <w:instrText>incidence</w:instrText>
      </w:r>
      <w:r w:rsidR="005D560B" w:rsidRPr="00FE2263">
        <w:instrText xml:space="preserve"> </w:instrText>
      </w:r>
      <w:r w:rsidR="005D560B" w:rsidRPr="00FE2263">
        <w:rPr>
          <w:lang w:val="en-US"/>
        </w:rPr>
        <w:instrText>worldwide</w:instrText>
      </w:r>
      <w:r w:rsidR="005D560B" w:rsidRPr="00FE2263">
        <w:instrText xml:space="preserve">. </w:instrText>
      </w:r>
      <w:r w:rsidR="005D560B" w:rsidRPr="00FE2263">
        <w:rPr>
          <w:lang w:val="en-US"/>
        </w:rPr>
        <w:instrText>Medical</w:instrText>
      </w:r>
      <w:r w:rsidR="005D560B" w:rsidRPr="00FE2263">
        <w:instrText xml:space="preserve"> </w:instrText>
      </w:r>
      <w:r w:rsidR="005D560B" w:rsidRPr="00FE2263">
        <w:rPr>
          <w:lang w:val="en-US"/>
        </w:rPr>
        <w:instrText>records</w:instrText>
      </w:r>
      <w:r w:rsidR="005D560B" w:rsidRPr="00FE2263">
        <w:instrText xml:space="preserve"> </w:instrText>
      </w:r>
      <w:r w:rsidR="005D560B" w:rsidRPr="00FE2263">
        <w:rPr>
          <w:lang w:val="en-US"/>
        </w:rPr>
        <w:instrText>were</w:instrText>
      </w:r>
      <w:r w:rsidR="005D560B" w:rsidRPr="00FE2263">
        <w:instrText xml:space="preserve"> </w:instrText>
      </w:r>
      <w:r w:rsidR="005D560B" w:rsidRPr="00FE2263">
        <w:rPr>
          <w:lang w:val="en-US"/>
        </w:rPr>
        <w:instrText>retrieved</w:instrText>
      </w:r>
      <w:r w:rsidR="005D560B" w:rsidRPr="00FE2263">
        <w:instrText xml:space="preserve"> </w:instrText>
      </w:r>
      <w:r w:rsidR="005D560B" w:rsidRPr="00FE2263">
        <w:rPr>
          <w:lang w:val="en-US"/>
        </w:rPr>
        <w:instrText>for</w:instrText>
      </w:r>
      <w:r w:rsidR="005D560B" w:rsidRPr="00FE2263">
        <w:instrText xml:space="preserve"> 1135 </w:instrText>
      </w:r>
      <w:r w:rsidR="005D560B" w:rsidRPr="00FE2263">
        <w:rPr>
          <w:lang w:val="en-US"/>
        </w:rPr>
        <w:instrText>patients</w:instrText>
      </w:r>
      <w:r w:rsidR="005D560B" w:rsidRPr="00FE2263">
        <w:instrText xml:space="preserve"> (75%). </w:instrText>
      </w:r>
      <w:r w:rsidR="005D560B" w:rsidRPr="00FE2263">
        <w:rPr>
          <w:lang w:val="en-US"/>
        </w:rPr>
        <w:instrText>A</w:instrText>
      </w:r>
      <w:r w:rsidR="005D560B" w:rsidRPr="00FE2263">
        <w:instrText xml:space="preserve"> </w:instrText>
      </w:r>
      <w:r w:rsidR="005D560B" w:rsidRPr="00FE2263">
        <w:rPr>
          <w:lang w:val="en-US"/>
        </w:rPr>
        <w:instrText>retrospective</w:instrText>
      </w:r>
      <w:r w:rsidR="005D560B" w:rsidRPr="00FE2263">
        <w:instrText xml:space="preserve"> </w:instrText>
      </w:r>
      <w:r w:rsidR="005D560B" w:rsidRPr="00FE2263">
        <w:rPr>
          <w:lang w:val="en-US"/>
        </w:rPr>
        <w:instrText>review</w:instrText>
      </w:r>
      <w:r w:rsidR="005D560B" w:rsidRPr="00FE2263">
        <w:instrText xml:space="preserve"> </w:instrText>
      </w:r>
      <w:r w:rsidR="005D560B" w:rsidRPr="00FE2263">
        <w:rPr>
          <w:lang w:val="en-US"/>
        </w:rPr>
        <w:instrText>showed</w:instrText>
      </w:r>
      <w:r w:rsidR="005D560B" w:rsidRPr="00FE2263">
        <w:instrText xml:space="preserve"> </w:instrText>
      </w:r>
      <w:r w:rsidR="005D560B" w:rsidRPr="00FE2263">
        <w:rPr>
          <w:lang w:val="en-US"/>
        </w:rPr>
        <w:instrText>that</w:instrText>
      </w:r>
      <w:r w:rsidR="005D560B" w:rsidRPr="00FE2263">
        <w:instrText xml:space="preserve"> 981 (86·1%) </w:instrText>
      </w:r>
      <w:r w:rsidR="005D560B" w:rsidRPr="00FE2263">
        <w:rPr>
          <w:lang w:val="en-US"/>
        </w:rPr>
        <w:instrText>of</w:instrText>
      </w:r>
      <w:r w:rsidR="005D560B" w:rsidRPr="00FE2263">
        <w:instrText xml:space="preserve"> </w:instrText>
      </w:r>
      <w:r w:rsidR="005D560B" w:rsidRPr="00FE2263">
        <w:rPr>
          <w:lang w:val="en-US"/>
        </w:rPr>
        <w:instrText>these</w:instrText>
      </w:r>
      <w:r w:rsidR="005D560B" w:rsidRPr="00FE2263">
        <w:instrText xml:space="preserve"> </w:instrText>
      </w:r>
      <w:r w:rsidR="005D560B" w:rsidRPr="00FE2263">
        <w:rPr>
          <w:lang w:val="en-US"/>
        </w:rPr>
        <w:instrText>patients</w:instrText>
      </w:r>
      <w:r w:rsidR="005D560B" w:rsidRPr="00FE2263">
        <w:instrText xml:space="preserve"> </w:instrText>
      </w:r>
      <w:r w:rsidR="005D560B" w:rsidRPr="00FE2263">
        <w:rPr>
          <w:lang w:val="en-US"/>
        </w:rPr>
        <w:instrText>fulfilled</w:instrText>
      </w:r>
      <w:r w:rsidR="005D560B" w:rsidRPr="00FE2263">
        <w:instrText xml:space="preserve"> </w:instrText>
      </w:r>
      <w:r w:rsidR="005D560B" w:rsidRPr="00FE2263">
        <w:rPr>
          <w:lang w:val="en-US"/>
        </w:rPr>
        <w:instrText>the</w:instrText>
      </w:r>
      <w:r w:rsidR="005D560B" w:rsidRPr="00FE2263">
        <w:instrText xml:space="preserve"> </w:instrText>
      </w:r>
      <w:r w:rsidR="005D560B" w:rsidRPr="00FE2263">
        <w:rPr>
          <w:lang w:val="en-US"/>
        </w:rPr>
        <w:instrText>World</w:instrText>
      </w:r>
      <w:r w:rsidR="005D560B" w:rsidRPr="00FE2263">
        <w:instrText xml:space="preserve"> </w:instrText>
      </w:r>
      <w:r w:rsidR="005D560B" w:rsidRPr="00FE2263">
        <w:rPr>
          <w:lang w:val="en-US"/>
        </w:rPr>
        <w:instrText>Health</w:instrText>
      </w:r>
      <w:r w:rsidR="005D560B" w:rsidRPr="00FE2263">
        <w:instrText xml:space="preserve"> </w:instrText>
      </w:r>
      <w:r w:rsidR="005D560B" w:rsidRPr="00FE2263">
        <w:rPr>
          <w:lang w:val="en-US"/>
        </w:rPr>
        <w:instrText>Organization</w:instrText>
      </w:r>
      <w:r w:rsidR="005D560B" w:rsidRPr="00FE2263">
        <w:instrText xml:space="preserve"> </w:instrText>
      </w:r>
      <w:r w:rsidR="005D560B" w:rsidRPr="00FE2263">
        <w:rPr>
          <w:lang w:val="en-US"/>
        </w:rPr>
        <w:instrText>diagnostic</w:instrText>
      </w:r>
      <w:r w:rsidR="005D560B" w:rsidRPr="00FE2263">
        <w:instrText xml:space="preserve"> </w:instrText>
      </w:r>
      <w:r w:rsidR="005D560B" w:rsidRPr="00FE2263">
        <w:rPr>
          <w:lang w:val="en-US"/>
        </w:rPr>
        <w:instrText>criteria</w:instrText>
      </w:r>
      <w:r w:rsidR="005D560B" w:rsidRPr="00FE2263">
        <w:instrText xml:space="preserve"> </w:instrText>
      </w:r>
      <w:r w:rsidR="005D560B" w:rsidRPr="00FE2263">
        <w:rPr>
          <w:lang w:val="en-US"/>
        </w:rPr>
        <w:instrText>for</w:instrText>
      </w:r>
      <w:r w:rsidR="005D560B" w:rsidRPr="00FE2263">
        <w:instrText xml:space="preserve"> </w:instrText>
      </w:r>
      <w:r w:rsidR="005D560B" w:rsidRPr="00FE2263">
        <w:rPr>
          <w:lang w:val="en-US"/>
        </w:rPr>
        <w:instrText>WM</w:instrText>
      </w:r>
      <w:r w:rsidR="005D560B" w:rsidRPr="00FE2263">
        <w:instrText xml:space="preserve"> </w:instrText>
      </w:r>
      <w:r w:rsidR="005D560B" w:rsidRPr="00FE2263">
        <w:rPr>
          <w:lang w:val="en-US"/>
        </w:rPr>
        <w:instrText>and</w:instrText>
      </w:r>
      <w:r w:rsidR="005D560B" w:rsidRPr="00FE2263">
        <w:instrText xml:space="preserve"> </w:instrText>
      </w:r>
      <w:r w:rsidR="005D560B" w:rsidRPr="00FE2263">
        <w:rPr>
          <w:lang w:val="en-US"/>
        </w:rPr>
        <w:instrText>these</w:instrText>
      </w:r>
      <w:r w:rsidR="005D560B" w:rsidRPr="00FE2263">
        <w:instrText xml:space="preserve"> </w:instrText>
      </w:r>
      <w:r w:rsidR="005D560B" w:rsidRPr="00FE2263">
        <w:rPr>
          <w:lang w:val="en-US"/>
        </w:rPr>
        <w:instrText>patients</w:instrText>
      </w:r>
      <w:r w:rsidR="005D560B" w:rsidRPr="00FE2263">
        <w:instrText xml:space="preserve"> </w:instrText>
      </w:r>
      <w:r w:rsidR="005D560B" w:rsidRPr="00FE2263">
        <w:rPr>
          <w:lang w:val="en-US"/>
        </w:rPr>
        <w:instrText>were</w:instrText>
      </w:r>
      <w:r w:rsidR="005D560B" w:rsidRPr="00FE2263">
        <w:instrText xml:space="preserve"> </w:instrText>
      </w:r>
      <w:r w:rsidR="005D560B" w:rsidRPr="00FE2263">
        <w:rPr>
          <w:lang w:val="en-US"/>
        </w:rPr>
        <w:instrText>analysed</w:instrText>
      </w:r>
      <w:r w:rsidR="005D560B" w:rsidRPr="00FE2263">
        <w:instrText xml:space="preserve"> </w:instrText>
      </w:r>
      <w:r w:rsidR="005D560B" w:rsidRPr="00FE2263">
        <w:rPr>
          <w:lang w:val="en-US"/>
        </w:rPr>
        <w:instrText>further</w:instrText>
      </w:r>
      <w:r w:rsidR="005D560B" w:rsidRPr="00FE2263">
        <w:instrText xml:space="preserve">. </w:instrText>
      </w:r>
      <w:r w:rsidR="005D560B" w:rsidRPr="00FE2263">
        <w:rPr>
          <w:lang w:val="en-US"/>
        </w:rPr>
        <w:instrText>The</w:instrText>
      </w:r>
      <w:r w:rsidR="005D560B" w:rsidRPr="00FE2263">
        <w:instrText xml:space="preserve"> </w:instrText>
      </w:r>
      <w:r w:rsidR="005D560B" w:rsidRPr="00FE2263">
        <w:rPr>
          <w:lang w:val="en-US"/>
        </w:rPr>
        <w:instrText>overall</w:instrText>
      </w:r>
      <w:r w:rsidR="005D560B" w:rsidRPr="00FE2263">
        <w:instrText xml:space="preserve"> </w:instrText>
      </w:r>
      <w:r w:rsidR="005D560B" w:rsidRPr="00FE2263">
        <w:rPr>
          <w:lang w:val="en-US"/>
        </w:rPr>
        <w:instrText>survival</w:instrText>
      </w:r>
      <w:r w:rsidR="005D560B" w:rsidRPr="00FE2263">
        <w:instrText xml:space="preserve"> (</w:instrText>
      </w:r>
      <w:r w:rsidR="005D560B" w:rsidRPr="00FE2263">
        <w:rPr>
          <w:lang w:val="en-US"/>
        </w:rPr>
        <w:instrText>OS</w:instrText>
      </w:r>
      <w:r w:rsidR="005D560B" w:rsidRPr="00FE2263">
        <w:instrText xml:space="preserve">) </w:instrText>
      </w:r>
      <w:r w:rsidR="005D560B" w:rsidRPr="00FE2263">
        <w:rPr>
          <w:lang w:val="en-US"/>
        </w:rPr>
        <w:instrText>improved</w:instrText>
      </w:r>
      <w:r w:rsidR="005D560B" w:rsidRPr="00FE2263">
        <w:instrText xml:space="preserve"> </w:instrText>
      </w:r>
      <w:r w:rsidR="005D560B" w:rsidRPr="00FE2263">
        <w:rPr>
          <w:lang w:val="en-US"/>
        </w:rPr>
        <w:instrText>between</w:instrText>
      </w:r>
      <w:r w:rsidR="005D560B" w:rsidRPr="00FE2263">
        <w:instrText xml:space="preserve"> </w:instrText>
      </w:r>
      <w:r w:rsidR="005D560B" w:rsidRPr="00FE2263">
        <w:rPr>
          <w:lang w:val="en-US"/>
        </w:rPr>
        <w:instrText>two</w:instrText>
      </w:r>
      <w:r w:rsidR="005D560B" w:rsidRPr="00FE2263">
        <w:instrText xml:space="preserve"> </w:instrText>
      </w:r>
      <w:r w:rsidR="005D560B" w:rsidRPr="00FE2263">
        <w:rPr>
          <w:lang w:val="en-US"/>
        </w:rPr>
        <w:instrText>periods</w:instrText>
      </w:r>
      <w:r w:rsidR="005D560B" w:rsidRPr="00FE2263">
        <w:instrText xml:space="preserve"> – 2000–2006 </w:instrText>
      </w:r>
      <w:r w:rsidR="005D560B" w:rsidRPr="00FE2263">
        <w:rPr>
          <w:lang w:val="en-US"/>
        </w:rPr>
        <w:instrText>and</w:instrText>
      </w:r>
      <w:r w:rsidR="005D560B" w:rsidRPr="00FE2263">
        <w:instrText xml:space="preserve"> 2007–2014 – </w:instrText>
      </w:r>
      <w:r w:rsidR="005D560B" w:rsidRPr="00FE2263">
        <w:rPr>
          <w:lang w:val="en-US"/>
        </w:rPr>
        <w:instrText>with</w:instrText>
      </w:r>
      <w:r w:rsidR="005D560B" w:rsidRPr="00FE2263">
        <w:instrText xml:space="preserve"> </w:instrText>
      </w:r>
      <w:r w:rsidR="005D560B" w:rsidRPr="00FE2263">
        <w:rPr>
          <w:lang w:val="en-US"/>
        </w:rPr>
        <w:instrText>a</w:instrText>
      </w:r>
      <w:r w:rsidR="005D560B" w:rsidRPr="00FE2263">
        <w:instrText xml:space="preserve"> </w:instrText>
      </w:r>
      <w:r w:rsidR="005D560B" w:rsidRPr="00FE2263">
        <w:rPr>
          <w:lang w:val="en-US"/>
        </w:rPr>
        <w:instrText>five</w:instrText>
      </w:r>
      <w:r w:rsidR="005D560B" w:rsidRPr="00FE2263">
        <w:instrText>-</w:instrText>
      </w:r>
      <w:r w:rsidR="005D560B" w:rsidRPr="00FE2263">
        <w:rPr>
          <w:lang w:val="en-US"/>
        </w:rPr>
        <w:instrText>year</w:instrText>
      </w:r>
      <w:r w:rsidR="005D560B" w:rsidRPr="00FE2263">
        <w:instrText xml:space="preserve"> </w:instrText>
      </w:r>
      <w:r w:rsidR="005D560B" w:rsidRPr="00FE2263">
        <w:rPr>
          <w:lang w:val="en-US"/>
        </w:rPr>
        <w:instrText>OS</w:instrText>
      </w:r>
      <w:r w:rsidR="005D560B" w:rsidRPr="00FE2263">
        <w:instrText xml:space="preserve"> </w:instrText>
      </w:r>
      <w:r w:rsidR="005D560B" w:rsidRPr="00FE2263">
        <w:rPr>
          <w:lang w:val="en-US"/>
        </w:rPr>
        <w:instrText>of</w:instrText>
      </w:r>
      <w:r w:rsidR="005D560B" w:rsidRPr="00FE2263">
        <w:instrText xml:space="preserve"> 61% </w:instrText>
      </w:r>
      <w:r w:rsidR="005D560B" w:rsidRPr="00FE2263">
        <w:rPr>
          <w:lang w:val="en-US"/>
        </w:rPr>
        <w:instrText>and</w:instrText>
      </w:r>
      <w:r w:rsidR="005D560B" w:rsidRPr="00FE2263">
        <w:instrText xml:space="preserve"> 70%, </w:instrText>
      </w:r>
      <w:r w:rsidR="005D560B" w:rsidRPr="00FE2263">
        <w:rPr>
          <w:lang w:val="en-US"/>
        </w:rPr>
        <w:instrText>respectively</w:instrText>
      </w:r>
      <w:r w:rsidR="005D560B" w:rsidRPr="00FE2263">
        <w:instrText xml:space="preserve">. </w:instrText>
      </w:r>
      <w:r w:rsidR="005D560B" w:rsidRPr="00FE2263">
        <w:rPr>
          <w:lang w:val="en-US"/>
        </w:rPr>
        <w:instrText>Significant</w:instrText>
      </w:r>
      <w:r w:rsidR="005D560B" w:rsidRPr="00FE2263">
        <w:instrText xml:space="preserve"> </w:instrText>
      </w:r>
      <w:r w:rsidR="005D560B" w:rsidRPr="00FE2263">
        <w:rPr>
          <w:lang w:val="en-US"/>
        </w:rPr>
        <w:instrText>prognostic</w:instrText>
      </w:r>
      <w:r w:rsidR="005D560B" w:rsidRPr="00FE2263">
        <w:instrText xml:space="preserve"> </w:instrText>
      </w:r>
      <w:r w:rsidR="005D560B" w:rsidRPr="00FE2263">
        <w:rPr>
          <w:lang w:val="en-US"/>
        </w:rPr>
        <w:instrText>factors</w:instrText>
      </w:r>
      <w:r w:rsidR="005D560B" w:rsidRPr="00FE2263">
        <w:instrText xml:space="preserve"> </w:instrText>
      </w:r>
      <w:r w:rsidR="005D560B" w:rsidRPr="00FE2263">
        <w:rPr>
          <w:lang w:val="en-US"/>
        </w:rPr>
        <w:instrText>for</w:instrText>
      </w:r>
      <w:r w:rsidR="005D560B" w:rsidRPr="00FE2263">
        <w:instrText xml:space="preserve"> </w:instrText>
      </w:r>
      <w:r w:rsidR="005D560B" w:rsidRPr="00FE2263">
        <w:rPr>
          <w:lang w:val="en-US"/>
        </w:rPr>
        <w:instrText>OS</w:instrText>
      </w:r>
      <w:r w:rsidR="005D560B" w:rsidRPr="00FE2263">
        <w:instrText xml:space="preserve">, </w:instrText>
      </w:r>
      <w:r w:rsidR="005D560B" w:rsidRPr="00FE2263">
        <w:rPr>
          <w:lang w:val="en-US"/>
        </w:rPr>
        <w:instrText>evaluated</w:instrText>
      </w:r>
      <w:r w:rsidR="005D560B" w:rsidRPr="00FE2263">
        <w:instrText xml:space="preserve"> </w:instrText>
      </w:r>
      <w:r w:rsidR="005D560B" w:rsidRPr="00FE2263">
        <w:rPr>
          <w:lang w:val="en-US"/>
        </w:rPr>
        <w:instrText>at</w:instrText>
      </w:r>
      <w:r w:rsidR="005D560B" w:rsidRPr="00FE2263">
        <w:instrText xml:space="preserve"> </w:instrText>
      </w:r>
      <w:r w:rsidR="005D560B" w:rsidRPr="00FE2263">
        <w:rPr>
          <w:lang w:val="en-US"/>
        </w:rPr>
        <w:instrText>the</w:instrText>
      </w:r>
      <w:r w:rsidR="005D560B" w:rsidRPr="00FE2263">
        <w:instrText xml:space="preserve"> </w:instrText>
      </w:r>
      <w:r w:rsidR="005D560B" w:rsidRPr="00FE2263">
        <w:rPr>
          <w:lang w:val="en-US"/>
        </w:rPr>
        <w:instrText>time</w:instrText>
      </w:r>
      <w:r w:rsidR="005D560B" w:rsidRPr="00FE2263">
        <w:instrText xml:space="preserve"> </w:instrText>
      </w:r>
      <w:r w:rsidR="005D560B" w:rsidRPr="00FE2263">
        <w:rPr>
          <w:lang w:val="en-US"/>
        </w:rPr>
        <w:instrText>of</w:instrText>
      </w:r>
      <w:r w:rsidR="005D560B" w:rsidRPr="00FE2263">
        <w:instrText xml:space="preserve"> </w:instrText>
      </w:r>
      <w:r w:rsidR="005D560B" w:rsidRPr="00FE2263">
        <w:rPr>
          <w:lang w:val="en-US"/>
        </w:rPr>
        <w:instrText>diagnosis</w:instrText>
      </w:r>
      <w:r w:rsidR="005D560B" w:rsidRPr="00FE2263">
        <w:instrText xml:space="preserve">, </w:instrText>
      </w:r>
      <w:r w:rsidR="005D560B" w:rsidRPr="00FE2263">
        <w:rPr>
          <w:lang w:val="en-US"/>
        </w:rPr>
        <w:instrText>were</w:instrText>
      </w:r>
      <w:r w:rsidR="005D560B" w:rsidRPr="00FE2263">
        <w:instrText xml:space="preserve"> </w:instrText>
      </w:r>
      <w:r w:rsidR="005D560B" w:rsidRPr="00FE2263">
        <w:rPr>
          <w:lang w:val="en-US"/>
        </w:rPr>
        <w:instrText>age</w:instrText>
      </w:r>
      <w:r w:rsidR="005D560B" w:rsidRPr="00FE2263">
        <w:instrText xml:space="preserve">, </w:instrText>
      </w:r>
      <w:r w:rsidR="005D560B" w:rsidRPr="00FE2263">
        <w:rPr>
          <w:lang w:val="en-US"/>
        </w:rPr>
        <w:instrText>elevated</w:instrText>
      </w:r>
      <w:r w:rsidR="005D560B" w:rsidRPr="00FE2263">
        <w:instrText xml:space="preserve"> </w:instrText>
      </w:r>
      <w:r w:rsidR="005D560B" w:rsidRPr="00FE2263">
        <w:rPr>
          <w:lang w:val="en-US"/>
        </w:rPr>
        <w:instrText>lactate</w:instrText>
      </w:r>
      <w:r w:rsidR="005D560B" w:rsidRPr="00FE2263">
        <w:instrText xml:space="preserve"> </w:instrText>
      </w:r>
      <w:r w:rsidR="005D560B" w:rsidRPr="00FE2263">
        <w:rPr>
          <w:lang w:val="en-US"/>
        </w:rPr>
        <w:instrText>dehydrogenase</w:instrText>
      </w:r>
      <w:r w:rsidR="005D560B" w:rsidRPr="00FE2263">
        <w:instrText xml:space="preserve"> </w:instrText>
      </w:r>
      <w:r w:rsidR="005D560B" w:rsidRPr="00FE2263">
        <w:rPr>
          <w:lang w:val="en-US"/>
        </w:rPr>
        <w:instrText>level</w:instrText>
      </w:r>
      <w:r w:rsidR="005D560B" w:rsidRPr="00FE2263">
        <w:instrText xml:space="preserve"> </w:instrText>
      </w:r>
      <w:r w:rsidR="005D560B" w:rsidRPr="00FE2263">
        <w:rPr>
          <w:lang w:val="en-US"/>
        </w:rPr>
        <w:instrText>and</w:instrText>
      </w:r>
      <w:r w:rsidR="005D560B" w:rsidRPr="00FE2263">
        <w:instrText xml:space="preserve"> </w:instrText>
      </w:r>
      <w:r w:rsidR="005D560B" w:rsidRPr="00FE2263">
        <w:rPr>
          <w:lang w:val="en-US"/>
        </w:rPr>
        <w:instrText>haemoglobin</w:instrText>
      </w:r>
      <w:r w:rsidR="005D560B" w:rsidRPr="00FE2263">
        <w:instrText xml:space="preserve"> ≤115</w:instrText>
      </w:r>
      <w:r w:rsidR="005D560B" w:rsidRPr="00FE2263">
        <w:rPr>
          <w:lang w:val="en-US"/>
        </w:rPr>
        <w:instrText> g</w:instrText>
      </w:r>
      <w:r w:rsidR="005D560B" w:rsidRPr="00FE2263">
        <w:instrText>/</w:instrText>
      </w:r>
      <w:r w:rsidR="005D560B" w:rsidRPr="00FE2263">
        <w:rPr>
          <w:lang w:val="en-US"/>
        </w:rPr>
        <w:instrText>l</w:instrText>
      </w:r>
      <w:r w:rsidR="005D560B" w:rsidRPr="00FE2263">
        <w:instrText xml:space="preserve"> </w:instrText>
      </w:r>
      <w:r w:rsidR="005D560B" w:rsidRPr="00FE2263">
        <w:rPr>
          <w:lang w:val="en-US"/>
        </w:rPr>
        <w:instrText>for</w:instrText>
      </w:r>
      <w:r w:rsidR="005D560B" w:rsidRPr="00FE2263">
        <w:instrText xml:space="preserve"> </w:instrText>
      </w:r>
      <w:r w:rsidR="005D560B" w:rsidRPr="00FE2263">
        <w:rPr>
          <w:lang w:val="en-US"/>
        </w:rPr>
        <w:instrText>patients</w:instrText>
      </w:r>
      <w:r w:rsidR="005D560B" w:rsidRPr="00FE2263">
        <w:instrText xml:space="preserve"> </w:instrText>
      </w:r>
      <w:r w:rsidR="005D560B" w:rsidRPr="00FE2263">
        <w:rPr>
          <w:lang w:val="en-US"/>
        </w:rPr>
        <w:instrText>receiving</w:instrText>
      </w:r>
      <w:r w:rsidR="005D560B" w:rsidRPr="00FE2263">
        <w:instrText xml:space="preserve"> </w:instrText>
      </w:r>
      <w:r w:rsidR="005D560B" w:rsidRPr="00FE2263">
        <w:rPr>
          <w:lang w:val="en-US"/>
        </w:rPr>
        <w:instrText>therapy</w:instrText>
      </w:r>
      <w:r w:rsidR="005D560B" w:rsidRPr="00FE2263">
        <w:instrText xml:space="preserve"> 0–3</w:instrText>
      </w:r>
      <w:r w:rsidR="005D560B" w:rsidRPr="00FE2263">
        <w:rPr>
          <w:lang w:val="en-US"/>
        </w:rPr>
        <w:instrText> months</w:instrText>
      </w:r>
      <w:r w:rsidR="005D560B" w:rsidRPr="00FE2263">
        <w:instrText xml:space="preserve"> </w:instrText>
      </w:r>
      <w:r w:rsidR="005D560B" w:rsidRPr="00FE2263">
        <w:rPr>
          <w:lang w:val="en-US"/>
        </w:rPr>
        <w:instrText>after</w:instrText>
      </w:r>
      <w:r w:rsidR="005D560B" w:rsidRPr="00FE2263">
        <w:instrText xml:space="preserve"> </w:instrText>
      </w:r>
      <w:r w:rsidR="005D560B" w:rsidRPr="00FE2263">
        <w:rPr>
          <w:lang w:val="en-US"/>
        </w:rPr>
        <w:instrText>diagnosis</w:instrText>
      </w:r>
      <w:r w:rsidR="005D560B" w:rsidRPr="00FE2263">
        <w:instrText xml:space="preserve">, </w:instrText>
      </w:r>
      <w:r w:rsidR="005D560B" w:rsidRPr="00FE2263">
        <w:rPr>
          <w:lang w:val="en-US"/>
        </w:rPr>
        <w:instrText>and</w:instrText>
      </w:r>
      <w:r w:rsidR="005D560B" w:rsidRPr="00FE2263">
        <w:instrText xml:space="preserve"> </w:instrText>
      </w:r>
      <w:r w:rsidR="005D560B" w:rsidRPr="00FE2263">
        <w:rPr>
          <w:lang w:val="en-US"/>
        </w:rPr>
        <w:instrText>age</w:instrText>
      </w:r>
      <w:r w:rsidR="005D560B" w:rsidRPr="00FE2263">
        <w:instrText xml:space="preserve">, </w:instrText>
      </w:r>
      <w:r w:rsidR="005D560B" w:rsidRPr="00FE2263">
        <w:rPr>
          <w:lang w:val="en-US"/>
        </w:rPr>
        <w:instrText>poor</w:instrText>
      </w:r>
      <w:r w:rsidR="005D560B" w:rsidRPr="00FE2263">
        <w:instrText xml:space="preserve"> </w:instrText>
      </w:r>
      <w:r w:rsidR="005D560B" w:rsidRPr="00FE2263">
        <w:rPr>
          <w:lang w:val="en-US"/>
        </w:rPr>
        <w:instrText>performance</w:instrText>
      </w:r>
      <w:r w:rsidR="005D560B" w:rsidRPr="00FE2263">
        <w:instrText xml:space="preserve"> </w:instrText>
      </w:r>
      <w:r w:rsidR="005D560B" w:rsidRPr="00FE2263">
        <w:rPr>
          <w:lang w:val="en-US"/>
        </w:rPr>
        <w:instrText>status</w:instrText>
      </w:r>
      <w:r w:rsidR="005D560B" w:rsidRPr="00FE2263">
        <w:instrText xml:space="preserve">, </w:instrText>
      </w:r>
      <w:r w:rsidR="005D560B" w:rsidRPr="00FE2263">
        <w:rPr>
          <w:lang w:val="en-US"/>
        </w:rPr>
        <w:instrText>haemoglobin</w:instrText>
      </w:r>
      <w:r w:rsidR="005D560B" w:rsidRPr="00FE2263">
        <w:instrText xml:space="preserve"> ≤115</w:instrText>
      </w:r>
      <w:r w:rsidR="005D560B" w:rsidRPr="00FE2263">
        <w:rPr>
          <w:lang w:val="en-US"/>
        </w:rPr>
        <w:instrText> g</w:instrText>
      </w:r>
      <w:r w:rsidR="005D560B" w:rsidRPr="00FE2263">
        <w:instrText>/</w:instrText>
      </w:r>
      <w:r w:rsidR="005D560B" w:rsidRPr="00FE2263">
        <w:rPr>
          <w:lang w:val="en-US"/>
        </w:rPr>
        <w:instrText>l</w:instrText>
      </w:r>
      <w:r w:rsidR="005D560B" w:rsidRPr="00FE2263">
        <w:instrText xml:space="preserve">, </w:instrText>
      </w:r>
      <w:r w:rsidR="005D560B" w:rsidRPr="00FE2263">
        <w:rPr>
          <w:lang w:val="en-US"/>
        </w:rPr>
        <w:instrText>and</w:instrText>
      </w:r>
      <w:r w:rsidR="005D560B" w:rsidRPr="00FE2263">
        <w:instrText xml:space="preserve"> </w:instrText>
      </w:r>
      <w:r w:rsidR="005D560B" w:rsidRPr="00FE2263">
        <w:rPr>
          <w:lang w:val="en-US"/>
        </w:rPr>
        <w:instrText>female</w:instrText>
      </w:r>
      <w:r w:rsidR="005D560B" w:rsidRPr="00FE2263">
        <w:instrText xml:space="preserve"> </w:instrText>
      </w:r>
      <w:r w:rsidR="005D560B" w:rsidRPr="00FE2263">
        <w:rPr>
          <w:lang w:val="en-US"/>
        </w:rPr>
        <w:instrText>sex</w:instrText>
      </w:r>
      <w:r w:rsidR="005D560B" w:rsidRPr="00FE2263">
        <w:instrText xml:space="preserve"> </w:instrText>
      </w:r>
      <w:r w:rsidR="005D560B" w:rsidRPr="00FE2263">
        <w:rPr>
          <w:lang w:val="en-US"/>
        </w:rPr>
        <w:instrText>in</w:instrText>
      </w:r>
      <w:r w:rsidR="005D560B" w:rsidRPr="00FE2263">
        <w:instrText xml:space="preserve"> “</w:instrText>
      </w:r>
      <w:r w:rsidR="005D560B" w:rsidRPr="00FE2263">
        <w:rPr>
          <w:lang w:val="en-US"/>
        </w:rPr>
        <w:instrText>watch</w:instrText>
      </w:r>
      <w:r w:rsidR="005D560B" w:rsidRPr="00FE2263">
        <w:instrText xml:space="preserve"> </w:instrText>
      </w:r>
      <w:r w:rsidR="005D560B" w:rsidRPr="00FE2263">
        <w:rPr>
          <w:lang w:val="en-US"/>
        </w:rPr>
        <w:instrText>and</w:instrText>
      </w:r>
      <w:r w:rsidR="005D560B" w:rsidRPr="00FE2263">
        <w:instrText xml:space="preserve"> </w:instrText>
      </w:r>
      <w:r w:rsidR="005D560B" w:rsidRPr="00FE2263">
        <w:rPr>
          <w:lang w:val="en-US"/>
        </w:rPr>
        <w:instrText>wait</w:instrText>
      </w:r>
      <w:r w:rsidR="005D560B" w:rsidRPr="00FE2263">
        <w:instrText xml:space="preserve">” </w:instrText>
      </w:r>
      <w:r w:rsidR="005D560B" w:rsidRPr="00FE2263">
        <w:rPr>
          <w:lang w:val="en-US"/>
        </w:rPr>
        <w:instrText>patients</w:instrText>
      </w:r>
      <w:r w:rsidR="005D560B" w:rsidRPr="00FE2263">
        <w:instrText xml:space="preserve"> (</w:instrText>
      </w:r>
      <w:r w:rsidR="005D560B" w:rsidRPr="00FE2263">
        <w:rPr>
          <w:lang w:val="en-US"/>
        </w:rPr>
        <w:instrText>multivariable</w:instrText>
      </w:r>
      <w:r w:rsidR="005D560B" w:rsidRPr="00FE2263">
        <w:instrText xml:space="preserve"> </w:instrText>
      </w:r>
      <w:r w:rsidR="005D560B" w:rsidRPr="00FE2263">
        <w:rPr>
          <w:lang w:val="en-US"/>
        </w:rPr>
        <w:instrText>analysis</w:instrText>
      </w:r>
      <w:r w:rsidR="005D560B" w:rsidRPr="00FE2263">
        <w:instrText xml:space="preserve">). </w:instrText>
      </w:r>
      <w:r w:rsidR="005D560B" w:rsidRPr="00FE2263">
        <w:rPr>
          <w:lang w:val="en-US"/>
        </w:rPr>
        <w:instrText>The</w:instrText>
      </w:r>
      <w:r w:rsidR="005D560B" w:rsidRPr="00FE2263">
        <w:instrText xml:space="preserve"> </w:instrText>
      </w:r>
      <w:r w:rsidR="005D560B" w:rsidRPr="00FE2263">
        <w:rPr>
          <w:lang w:val="en-US"/>
        </w:rPr>
        <w:instrText>level</w:instrText>
      </w:r>
      <w:r w:rsidR="005D560B" w:rsidRPr="00FE2263">
        <w:instrText xml:space="preserve"> </w:instrText>
      </w:r>
      <w:r w:rsidR="005D560B" w:rsidRPr="00FE2263">
        <w:rPr>
          <w:lang w:val="en-US"/>
        </w:rPr>
        <w:instrText>of</w:instrText>
      </w:r>
      <w:r w:rsidR="005D560B" w:rsidRPr="00FE2263">
        <w:instrText xml:space="preserve"> </w:instrText>
      </w:r>
      <w:r w:rsidR="005D560B" w:rsidRPr="00FE2263">
        <w:rPr>
          <w:lang w:val="en-US"/>
        </w:rPr>
        <w:instrText>the</w:instrText>
      </w:r>
      <w:r w:rsidR="005D560B" w:rsidRPr="00FE2263">
        <w:instrText xml:space="preserve"> </w:instrText>
      </w:r>
      <w:r w:rsidR="005D560B" w:rsidRPr="00FE2263">
        <w:rPr>
          <w:lang w:val="en-US"/>
        </w:rPr>
        <w:instrText>IgM</w:instrText>
      </w:r>
      <w:r w:rsidR="005D560B" w:rsidRPr="00FE2263">
        <w:instrText xml:space="preserve"> </w:instrText>
      </w:r>
      <w:r w:rsidR="005D560B" w:rsidRPr="00FE2263">
        <w:rPr>
          <w:lang w:val="en-US"/>
        </w:rPr>
        <w:instrText>monoclonal</w:instrText>
      </w:r>
      <w:r w:rsidR="005D560B" w:rsidRPr="00FE2263">
        <w:instrText xml:space="preserve"> </w:instrText>
      </w:r>
      <w:r w:rsidR="005D560B" w:rsidRPr="00FE2263">
        <w:rPr>
          <w:lang w:val="en-US"/>
        </w:rPr>
        <w:instrText>immunoglobulin</w:instrText>
      </w:r>
      <w:r w:rsidR="005D560B" w:rsidRPr="00FE2263">
        <w:instrText xml:space="preserve"> </w:instrText>
      </w:r>
      <w:r w:rsidR="005D560B" w:rsidRPr="00FE2263">
        <w:rPr>
          <w:lang w:val="en-US"/>
        </w:rPr>
        <w:instrText>had</w:instrText>
      </w:r>
      <w:r w:rsidR="005D560B" w:rsidRPr="00FE2263">
        <w:instrText xml:space="preserve"> </w:instrText>
      </w:r>
      <w:r w:rsidR="005D560B" w:rsidRPr="00FE2263">
        <w:rPr>
          <w:lang w:val="en-US"/>
        </w:rPr>
        <w:instrText>no</w:instrText>
      </w:r>
      <w:r w:rsidR="005D560B" w:rsidRPr="00FE2263">
        <w:instrText xml:space="preserve"> </w:instrText>
      </w:r>
      <w:r w:rsidR="005D560B" w:rsidRPr="00FE2263">
        <w:rPr>
          <w:lang w:val="en-US"/>
        </w:rPr>
        <w:instrText>significant</w:instrText>
      </w:r>
      <w:r w:rsidR="005D560B" w:rsidRPr="00FE2263">
        <w:instrText xml:space="preserve"> </w:instrText>
      </w:r>
      <w:r w:rsidR="005D560B" w:rsidRPr="00FE2263">
        <w:rPr>
          <w:lang w:val="en-US"/>
        </w:rPr>
        <w:instrText>prognostic</w:instrText>
      </w:r>
      <w:r w:rsidR="005D560B" w:rsidRPr="00FE2263">
        <w:instrText xml:space="preserve"> </w:instrText>
      </w:r>
      <w:r w:rsidR="005D560B" w:rsidRPr="00FE2263">
        <w:rPr>
          <w:lang w:val="en-US"/>
        </w:rPr>
        <w:instrText>value</w:instrText>
      </w:r>
      <w:r w:rsidR="005D560B" w:rsidRPr="00FE2263">
        <w:instrText xml:space="preserve">. </w:instrText>
      </w:r>
      <w:r w:rsidR="005D560B" w:rsidRPr="00FE2263">
        <w:rPr>
          <w:lang w:val="en-US"/>
        </w:rPr>
        <w:instrText>Rituximab</w:instrText>
      </w:r>
      <w:r w:rsidR="005D560B" w:rsidRPr="00FE2263">
        <w:instrText xml:space="preserve"> </w:instrText>
      </w:r>
      <w:r w:rsidR="005D560B" w:rsidRPr="00FE2263">
        <w:rPr>
          <w:lang w:val="en-US"/>
        </w:rPr>
        <w:instrText>included</w:instrText>
      </w:r>
      <w:r w:rsidR="005D560B" w:rsidRPr="00FE2263">
        <w:instrText xml:space="preserve"> </w:instrText>
      </w:r>
      <w:r w:rsidR="005D560B" w:rsidRPr="00FE2263">
        <w:rPr>
          <w:lang w:val="en-US"/>
        </w:rPr>
        <w:instrText>in</w:instrText>
      </w:r>
      <w:r w:rsidR="005D560B" w:rsidRPr="00FE2263">
        <w:instrText xml:space="preserve"> </w:instrText>
      </w:r>
      <w:r w:rsidR="005D560B" w:rsidRPr="00FE2263">
        <w:rPr>
          <w:lang w:val="en-US"/>
        </w:rPr>
        <w:instrText>first</w:instrText>
      </w:r>
      <w:r w:rsidR="005D560B" w:rsidRPr="00FE2263">
        <w:instrText>-</w:instrText>
      </w:r>
      <w:r w:rsidR="005D560B" w:rsidRPr="00FE2263">
        <w:rPr>
          <w:lang w:val="en-US"/>
        </w:rPr>
        <w:instrText>line</w:instrText>
      </w:r>
      <w:r w:rsidR="005D560B" w:rsidRPr="00FE2263">
        <w:instrText xml:space="preserve"> </w:instrText>
      </w:r>
      <w:r w:rsidR="005D560B" w:rsidRPr="00FE2263">
        <w:rPr>
          <w:lang w:val="en-US"/>
        </w:rPr>
        <w:instrText>therapy</w:instrText>
      </w:r>
      <w:r w:rsidR="005D560B" w:rsidRPr="00FE2263">
        <w:instrText xml:space="preserve"> </w:instrText>
      </w:r>
      <w:r w:rsidR="005D560B" w:rsidRPr="00FE2263">
        <w:rPr>
          <w:lang w:val="en-US"/>
        </w:rPr>
        <w:instrText>was</w:instrText>
      </w:r>
      <w:r w:rsidR="005D560B" w:rsidRPr="00FE2263">
        <w:instrText xml:space="preserve"> </w:instrText>
      </w:r>
      <w:r w:rsidR="005D560B" w:rsidRPr="00FE2263">
        <w:rPr>
          <w:lang w:val="en-US"/>
        </w:rPr>
        <w:instrText>associated</w:instrText>
      </w:r>
      <w:r w:rsidR="005D560B" w:rsidRPr="00FE2263">
        <w:instrText xml:space="preserve"> </w:instrText>
      </w:r>
      <w:r w:rsidR="005D560B" w:rsidRPr="00FE2263">
        <w:rPr>
          <w:lang w:val="en-US"/>
        </w:rPr>
        <w:instrText>with</w:instrText>
      </w:r>
      <w:r w:rsidR="005D560B" w:rsidRPr="00FE2263">
        <w:instrText xml:space="preserve"> </w:instrText>
      </w:r>
      <w:r w:rsidR="005D560B" w:rsidRPr="00FE2263">
        <w:rPr>
          <w:lang w:val="en-US"/>
        </w:rPr>
        <w:instrText>improved</w:instrText>
      </w:r>
      <w:r w:rsidR="005D560B" w:rsidRPr="00FE2263">
        <w:instrText xml:space="preserve"> </w:instrText>
      </w:r>
      <w:r w:rsidR="005D560B" w:rsidRPr="00FE2263">
        <w:rPr>
          <w:lang w:val="en-US"/>
        </w:rPr>
        <w:instrText>survival</w:instrText>
      </w:r>
      <w:r w:rsidR="005D560B" w:rsidRPr="00FE2263">
        <w:instrText>.","</w:instrText>
      </w:r>
      <w:r w:rsidR="005D560B" w:rsidRPr="00FE2263">
        <w:rPr>
          <w:lang w:val="en-US"/>
        </w:rPr>
        <w:instrText>author</w:instrText>
      </w:r>
      <w:r w:rsidR="005D560B" w:rsidRPr="00FE2263">
        <w:instrText>":[{"</w:instrText>
      </w:r>
      <w:r w:rsidR="005D560B" w:rsidRPr="00FE2263">
        <w:rPr>
          <w:lang w:val="en-US"/>
        </w:rPr>
        <w:instrText>dropping</w:instrText>
      </w:r>
      <w:r w:rsidR="005D560B" w:rsidRPr="00FE2263">
        <w:instrText>-</w:instrText>
      </w:r>
      <w:r w:rsidR="005D560B" w:rsidRPr="00FE2263">
        <w:rPr>
          <w:lang w:val="en-US"/>
        </w:rPr>
        <w:instrText>particle</w:instrText>
      </w:r>
      <w:r w:rsidR="005D560B" w:rsidRPr="00FE2263">
        <w:instrText>":"","</w:instrText>
      </w:r>
      <w:r w:rsidR="005D560B" w:rsidRPr="00FE2263">
        <w:rPr>
          <w:lang w:val="en-US"/>
        </w:rPr>
        <w:instrText>family</w:instrText>
      </w:r>
      <w:r w:rsidR="005D560B" w:rsidRPr="00FE2263">
        <w:instrText>":"</w:instrText>
      </w:r>
      <w:r w:rsidR="005D560B" w:rsidRPr="00FE2263">
        <w:rPr>
          <w:lang w:val="en-US"/>
        </w:rPr>
        <w:instrText>Brandefors</w:instrText>
      </w:r>
      <w:r w:rsidR="005D560B" w:rsidRPr="00FE2263">
        <w:instrText>","</w:instrText>
      </w:r>
      <w:r w:rsidR="005D560B" w:rsidRPr="00FE2263">
        <w:rPr>
          <w:lang w:val="en-US"/>
        </w:rPr>
        <w:instrText>given</w:instrText>
      </w:r>
      <w:r w:rsidR="005D560B" w:rsidRPr="00FE2263">
        <w:instrText>":"</w:instrText>
      </w:r>
      <w:r w:rsidR="005D560B" w:rsidRPr="00FE2263">
        <w:rPr>
          <w:lang w:val="en-US"/>
        </w:rPr>
        <w:instrText>Lena</w:instrText>
      </w:r>
      <w:r w:rsidR="005D560B" w:rsidRPr="00FE2263">
        <w:instrText>","</w:instrText>
      </w:r>
      <w:r w:rsidR="005D560B" w:rsidRPr="00FE2263">
        <w:rPr>
          <w:lang w:val="en-US"/>
        </w:rPr>
        <w:instrText>non</w:instrText>
      </w:r>
      <w:r w:rsidR="005D560B" w:rsidRPr="00FE2263">
        <w:instrText>-</w:instrText>
      </w:r>
      <w:r w:rsidR="005D560B" w:rsidRPr="00FE2263">
        <w:rPr>
          <w:lang w:val="en-US"/>
        </w:rPr>
        <w:instrText>dropping</w:instrText>
      </w:r>
      <w:r w:rsidR="005D560B" w:rsidRPr="00FE2263">
        <w:instrText>-</w:instrText>
      </w:r>
      <w:r w:rsidR="005D560B" w:rsidRPr="00FE2263">
        <w:rPr>
          <w:lang w:val="en-US"/>
        </w:rPr>
        <w:instrText>particle</w:instrText>
      </w:r>
      <w:r w:rsidR="005D560B" w:rsidRPr="00FE2263">
        <w:instrText>":"","</w:instrText>
      </w:r>
      <w:r w:rsidR="005D560B" w:rsidRPr="00FE2263">
        <w:rPr>
          <w:lang w:val="en-US"/>
        </w:rPr>
        <w:instrText>parse</w:instrText>
      </w:r>
      <w:r w:rsidR="005D560B" w:rsidRPr="00FE2263">
        <w:instrText>-</w:instrText>
      </w:r>
      <w:r w:rsidR="005D560B" w:rsidRPr="00FE2263">
        <w:rPr>
          <w:lang w:val="en-US"/>
        </w:rPr>
        <w:instrText>names</w:instrText>
      </w:r>
      <w:r w:rsidR="005D560B" w:rsidRPr="00FE2263">
        <w:instrText>":</w:instrText>
      </w:r>
      <w:r w:rsidR="005D560B" w:rsidRPr="00FE2263">
        <w:rPr>
          <w:lang w:val="en-US"/>
        </w:rPr>
        <w:instrText>false</w:instrText>
      </w:r>
      <w:r w:rsidR="005D560B" w:rsidRPr="00FE2263">
        <w:instrText>,"</w:instrText>
      </w:r>
      <w:r w:rsidR="005D560B" w:rsidRPr="00FE2263">
        <w:rPr>
          <w:lang w:val="en-US"/>
        </w:rPr>
        <w:instrText>suffix</w:instrText>
      </w:r>
      <w:r w:rsidR="005D560B" w:rsidRPr="00FE2263">
        <w:instrText>":""},{"</w:instrText>
      </w:r>
      <w:r w:rsidR="005D560B" w:rsidRPr="00FE2263">
        <w:rPr>
          <w:lang w:val="en-US"/>
        </w:rPr>
        <w:instrText>dropping</w:instrText>
      </w:r>
      <w:r w:rsidR="005D560B" w:rsidRPr="00FE2263">
        <w:instrText>-</w:instrText>
      </w:r>
      <w:r w:rsidR="005D560B" w:rsidRPr="00FE2263">
        <w:rPr>
          <w:lang w:val="en-US"/>
        </w:rPr>
        <w:instrText>particle</w:instrText>
      </w:r>
      <w:r w:rsidR="005D560B" w:rsidRPr="00FE2263">
        <w:instrText>":"","</w:instrText>
      </w:r>
      <w:r w:rsidR="005D560B" w:rsidRPr="00FE2263">
        <w:rPr>
          <w:lang w:val="en-US"/>
        </w:rPr>
        <w:instrText>family</w:instrText>
      </w:r>
      <w:r w:rsidR="005D560B" w:rsidRPr="00FE2263">
        <w:instrText>":"</w:instrText>
      </w:r>
      <w:r w:rsidR="005D560B" w:rsidRPr="00FE2263">
        <w:rPr>
          <w:lang w:val="en-US"/>
        </w:rPr>
        <w:instrText>Melin</w:instrText>
      </w:r>
      <w:r w:rsidR="005D560B" w:rsidRPr="00FE2263">
        <w:instrText>","</w:instrText>
      </w:r>
      <w:r w:rsidR="005D560B" w:rsidRPr="00FE2263">
        <w:rPr>
          <w:lang w:val="en-US"/>
        </w:rPr>
        <w:instrText>given</w:instrText>
      </w:r>
      <w:r w:rsidR="005D560B" w:rsidRPr="00FE2263">
        <w:instrText>":"</w:instrText>
      </w:r>
      <w:r w:rsidR="005D560B" w:rsidRPr="00FE2263">
        <w:rPr>
          <w:lang w:val="en-US"/>
        </w:rPr>
        <w:instrText>Beatrice</w:instrText>
      </w:r>
      <w:r w:rsidR="005D560B" w:rsidRPr="00FE2263">
        <w:instrText>","</w:instrText>
      </w:r>
      <w:r w:rsidR="005D560B" w:rsidRPr="00FE2263">
        <w:rPr>
          <w:lang w:val="en-US"/>
        </w:rPr>
        <w:instrText>non</w:instrText>
      </w:r>
      <w:r w:rsidR="005D560B" w:rsidRPr="00FE2263">
        <w:instrText>-</w:instrText>
      </w:r>
      <w:r w:rsidR="005D560B" w:rsidRPr="00FE2263">
        <w:rPr>
          <w:lang w:val="en-US"/>
        </w:rPr>
        <w:instrText>dropping</w:instrText>
      </w:r>
      <w:r w:rsidR="005D560B" w:rsidRPr="00FE2263">
        <w:instrText>-</w:instrText>
      </w:r>
      <w:r w:rsidR="005D560B" w:rsidRPr="00FE2263">
        <w:rPr>
          <w:lang w:val="en-US"/>
        </w:rPr>
        <w:instrText>particle</w:instrText>
      </w:r>
      <w:r w:rsidR="005D560B" w:rsidRPr="00FE2263">
        <w:instrText>":"","</w:instrText>
      </w:r>
      <w:r w:rsidR="005D560B" w:rsidRPr="00FE2263">
        <w:rPr>
          <w:lang w:val="en-US"/>
        </w:rPr>
        <w:instrText>parse</w:instrText>
      </w:r>
      <w:r w:rsidR="005D560B" w:rsidRPr="00FE2263">
        <w:instrText>-</w:instrText>
      </w:r>
      <w:r w:rsidR="005D560B" w:rsidRPr="00FE2263">
        <w:rPr>
          <w:lang w:val="en-US"/>
        </w:rPr>
        <w:instrText>names</w:instrText>
      </w:r>
      <w:r w:rsidR="005D560B" w:rsidRPr="00FE2263">
        <w:instrText>":</w:instrText>
      </w:r>
      <w:r w:rsidR="005D560B" w:rsidRPr="00FE2263">
        <w:rPr>
          <w:lang w:val="en-US"/>
        </w:rPr>
        <w:instrText>false</w:instrText>
      </w:r>
      <w:r w:rsidR="005D560B" w:rsidRPr="00FE2263">
        <w:instrText>,"</w:instrText>
      </w:r>
      <w:r w:rsidR="005D560B" w:rsidRPr="00FE2263">
        <w:rPr>
          <w:lang w:val="en-US"/>
        </w:rPr>
        <w:instrText>suffix</w:instrText>
      </w:r>
      <w:r w:rsidR="005D560B" w:rsidRPr="00FE2263">
        <w:instrText>":""},{"</w:instrText>
      </w:r>
      <w:r w:rsidR="005D560B" w:rsidRPr="00FE2263">
        <w:rPr>
          <w:lang w:val="en-US"/>
        </w:rPr>
        <w:instrText>dropping</w:instrText>
      </w:r>
      <w:r w:rsidR="005D560B" w:rsidRPr="00FE2263">
        <w:instrText>-</w:instrText>
      </w:r>
      <w:r w:rsidR="005D560B" w:rsidRPr="00FE2263">
        <w:rPr>
          <w:lang w:val="en-US"/>
        </w:rPr>
        <w:instrText>particle</w:instrText>
      </w:r>
      <w:r w:rsidR="005D560B" w:rsidRPr="00FE2263">
        <w:instrText>":"","</w:instrText>
      </w:r>
      <w:r w:rsidR="005D560B" w:rsidRPr="00FE2263">
        <w:rPr>
          <w:lang w:val="en-US"/>
        </w:rPr>
        <w:instrText>family</w:instrText>
      </w:r>
      <w:r w:rsidR="005D560B" w:rsidRPr="00FE2263">
        <w:instrText>":"</w:instrText>
      </w:r>
      <w:r w:rsidR="005D560B" w:rsidRPr="00FE2263">
        <w:rPr>
          <w:lang w:val="en-US"/>
        </w:rPr>
        <w:instrText>Lindh</w:instrText>
      </w:r>
      <w:r w:rsidR="005D560B" w:rsidRPr="00FE2263">
        <w:instrText>","</w:instrText>
      </w:r>
      <w:r w:rsidR="005D560B" w:rsidRPr="00FE2263">
        <w:rPr>
          <w:lang w:val="en-US"/>
        </w:rPr>
        <w:instrText>given</w:instrText>
      </w:r>
      <w:r w:rsidR="005D560B" w:rsidRPr="00FE2263">
        <w:instrText>":"</w:instrText>
      </w:r>
      <w:r w:rsidR="005D560B" w:rsidRPr="00FE2263">
        <w:rPr>
          <w:lang w:val="en-US"/>
        </w:rPr>
        <w:instrText>Jack</w:instrText>
      </w:r>
      <w:r w:rsidR="005D560B" w:rsidRPr="00FE2263">
        <w:instrText>","</w:instrText>
      </w:r>
      <w:r w:rsidR="005D560B" w:rsidRPr="00FE2263">
        <w:rPr>
          <w:lang w:val="en-US"/>
        </w:rPr>
        <w:instrText>non</w:instrText>
      </w:r>
      <w:r w:rsidR="005D560B" w:rsidRPr="00FE2263">
        <w:instrText>-</w:instrText>
      </w:r>
      <w:r w:rsidR="005D560B" w:rsidRPr="00FE2263">
        <w:rPr>
          <w:lang w:val="en-US"/>
        </w:rPr>
        <w:instrText>dropping</w:instrText>
      </w:r>
      <w:r w:rsidR="005D560B" w:rsidRPr="00FE2263">
        <w:instrText>-</w:instrText>
      </w:r>
      <w:r w:rsidR="005D560B" w:rsidRPr="00FE2263">
        <w:rPr>
          <w:lang w:val="en-US"/>
        </w:rPr>
        <w:instrText>particle</w:instrText>
      </w:r>
      <w:r w:rsidR="005D560B" w:rsidRPr="00FE2263">
        <w:instrText>":"","</w:instrText>
      </w:r>
      <w:r w:rsidR="005D560B" w:rsidRPr="00FE2263">
        <w:rPr>
          <w:lang w:val="en-US"/>
        </w:rPr>
        <w:instrText>parse</w:instrText>
      </w:r>
      <w:r w:rsidR="005D560B" w:rsidRPr="00FE2263">
        <w:instrText>-</w:instrText>
      </w:r>
      <w:r w:rsidR="005D560B" w:rsidRPr="00FE2263">
        <w:rPr>
          <w:lang w:val="en-US"/>
        </w:rPr>
        <w:instrText>names</w:instrText>
      </w:r>
      <w:r w:rsidR="005D560B" w:rsidRPr="00FE2263">
        <w:instrText>":</w:instrText>
      </w:r>
      <w:r w:rsidR="005D560B" w:rsidRPr="00FE2263">
        <w:rPr>
          <w:lang w:val="en-US"/>
        </w:rPr>
        <w:instrText>false</w:instrText>
      </w:r>
      <w:r w:rsidR="005D560B" w:rsidRPr="00FE2263">
        <w:instrText>,"</w:instrText>
      </w:r>
      <w:r w:rsidR="005D560B" w:rsidRPr="00FE2263">
        <w:rPr>
          <w:lang w:val="en-US"/>
        </w:rPr>
        <w:instrText>suffix</w:instrText>
      </w:r>
      <w:r w:rsidR="005D560B" w:rsidRPr="00FE2263">
        <w:instrText>":""},{"</w:instrText>
      </w:r>
      <w:r w:rsidR="005D560B" w:rsidRPr="00FE2263">
        <w:rPr>
          <w:lang w:val="en-US"/>
        </w:rPr>
        <w:instrText>dropping</w:instrText>
      </w:r>
      <w:r w:rsidR="005D560B" w:rsidRPr="00FE2263">
        <w:instrText>-</w:instrText>
      </w:r>
      <w:r w:rsidR="005D560B" w:rsidRPr="00FE2263">
        <w:rPr>
          <w:lang w:val="en-US"/>
        </w:rPr>
        <w:instrText>particle</w:instrText>
      </w:r>
      <w:r w:rsidR="005D560B" w:rsidRPr="00FE2263">
        <w:instrText>":"","</w:instrText>
      </w:r>
      <w:r w:rsidR="005D560B" w:rsidRPr="00FE2263">
        <w:rPr>
          <w:lang w:val="en-US"/>
        </w:rPr>
        <w:instrText>family</w:instrText>
      </w:r>
      <w:r w:rsidR="005D560B" w:rsidRPr="00FE2263">
        <w:instrText>":"</w:instrText>
      </w:r>
      <w:r w:rsidR="005D560B" w:rsidRPr="00FE2263">
        <w:rPr>
          <w:lang w:val="en-US"/>
        </w:rPr>
        <w:instrText>Lundqvist</w:instrText>
      </w:r>
      <w:r w:rsidR="005D560B" w:rsidRPr="00FE2263">
        <w:instrText>","</w:instrText>
      </w:r>
      <w:r w:rsidR="005D560B" w:rsidRPr="00FE2263">
        <w:rPr>
          <w:lang w:val="en-US"/>
        </w:rPr>
        <w:instrText>given</w:instrText>
      </w:r>
      <w:r w:rsidR="005D560B" w:rsidRPr="00FE2263">
        <w:instrText>":"</w:instrText>
      </w:r>
      <w:r w:rsidR="005D560B" w:rsidRPr="00FE2263">
        <w:rPr>
          <w:lang w:val="en-US"/>
        </w:rPr>
        <w:instrText>Kristina</w:instrText>
      </w:r>
      <w:r w:rsidR="005D560B" w:rsidRPr="00FE2263">
        <w:instrText>","</w:instrText>
      </w:r>
      <w:r w:rsidR="005D560B" w:rsidRPr="00FE2263">
        <w:rPr>
          <w:lang w:val="en-US"/>
        </w:rPr>
        <w:instrText>non</w:instrText>
      </w:r>
      <w:r w:rsidR="005D560B" w:rsidRPr="00FE2263">
        <w:instrText>-</w:instrText>
      </w:r>
      <w:r w:rsidR="005D560B" w:rsidRPr="00FE2263">
        <w:rPr>
          <w:lang w:val="en-US"/>
        </w:rPr>
        <w:instrText>dropping</w:instrText>
      </w:r>
      <w:r w:rsidR="005D560B" w:rsidRPr="00FE2263">
        <w:instrText>-</w:instrText>
      </w:r>
      <w:r w:rsidR="005D560B" w:rsidRPr="00FE2263">
        <w:rPr>
          <w:lang w:val="en-US"/>
        </w:rPr>
        <w:instrText>particle</w:instrText>
      </w:r>
      <w:r w:rsidR="005D560B" w:rsidRPr="00FE2263">
        <w:instrText>":"","</w:instrText>
      </w:r>
      <w:r w:rsidR="005D560B" w:rsidRPr="00FE2263">
        <w:rPr>
          <w:lang w:val="en-US"/>
        </w:rPr>
        <w:instrText>parse</w:instrText>
      </w:r>
      <w:r w:rsidR="005D560B" w:rsidRPr="00FE2263">
        <w:instrText>-</w:instrText>
      </w:r>
      <w:r w:rsidR="005D560B" w:rsidRPr="00FE2263">
        <w:rPr>
          <w:lang w:val="en-US"/>
        </w:rPr>
        <w:instrText>names</w:instrText>
      </w:r>
      <w:r w:rsidR="005D560B" w:rsidRPr="00FE2263">
        <w:instrText>":</w:instrText>
      </w:r>
      <w:r w:rsidR="005D560B" w:rsidRPr="00FE2263">
        <w:rPr>
          <w:lang w:val="en-US"/>
        </w:rPr>
        <w:instrText>false</w:instrText>
      </w:r>
      <w:r w:rsidR="005D560B" w:rsidRPr="00FE2263">
        <w:instrText>,"</w:instrText>
      </w:r>
      <w:r w:rsidR="005D560B" w:rsidRPr="00FE2263">
        <w:rPr>
          <w:lang w:val="en-US"/>
        </w:rPr>
        <w:instrText>suffix</w:instrText>
      </w:r>
      <w:r w:rsidR="005D560B" w:rsidRPr="00FE2263">
        <w:instrText>":""},{"</w:instrText>
      </w:r>
      <w:r w:rsidR="005D560B" w:rsidRPr="00FE2263">
        <w:rPr>
          <w:lang w:val="en-US"/>
        </w:rPr>
        <w:instrText>dropping</w:instrText>
      </w:r>
      <w:r w:rsidR="005D560B" w:rsidRPr="00FE2263">
        <w:instrText>-</w:instrText>
      </w:r>
      <w:r w:rsidR="005D560B" w:rsidRPr="00FE2263">
        <w:rPr>
          <w:lang w:val="en-US"/>
        </w:rPr>
        <w:instrText>particle</w:instrText>
      </w:r>
      <w:r w:rsidR="005D560B" w:rsidRPr="00FE2263">
        <w:instrText>":"","</w:instrText>
      </w:r>
      <w:r w:rsidR="005D560B" w:rsidRPr="00FE2263">
        <w:rPr>
          <w:lang w:val="en-US"/>
        </w:rPr>
        <w:instrText>family</w:instrText>
      </w:r>
      <w:r w:rsidR="005D560B" w:rsidRPr="00FE2263">
        <w:instrText>":"</w:instrText>
      </w:r>
      <w:r w:rsidR="005D560B" w:rsidRPr="00FE2263">
        <w:rPr>
          <w:lang w:val="en-US"/>
        </w:rPr>
        <w:instrText>Kimby</w:instrText>
      </w:r>
      <w:r w:rsidR="005D560B" w:rsidRPr="00FE2263">
        <w:instrText>","</w:instrText>
      </w:r>
      <w:r w:rsidR="005D560B" w:rsidRPr="00FE2263">
        <w:rPr>
          <w:lang w:val="en-US"/>
        </w:rPr>
        <w:instrText>given</w:instrText>
      </w:r>
      <w:r w:rsidR="005D560B" w:rsidRPr="00FE2263">
        <w:instrText>":"</w:instrText>
      </w:r>
      <w:r w:rsidR="005D560B" w:rsidRPr="00FE2263">
        <w:rPr>
          <w:lang w:val="en-US"/>
        </w:rPr>
        <w:instrText>Eva</w:instrText>
      </w:r>
      <w:r w:rsidR="005D560B" w:rsidRPr="00FE2263">
        <w:instrText>","</w:instrText>
      </w:r>
      <w:r w:rsidR="005D560B" w:rsidRPr="00FE2263">
        <w:rPr>
          <w:lang w:val="en-US"/>
        </w:rPr>
        <w:instrText>non</w:instrText>
      </w:r>
      <w:r w:rsidR="005D560B" w:rsidRPr="00FE2263">
        <w:instrText>-</w:instrText>
      </w:r>
      <w:r w:rsidR="005D560B" w:rsidRPr="00FE2263">
        <w:rPr>
          <w:lang w:val="en-US"/>
        </w:rPr>
        <w:instrText>dropping</w:instrText>
      </w:r>
      <w:r w:rsidR="005D560B" w:rsidRPr="00FE2263">
        <w:instrText>-</w:instrText>
      </w:r>
      <w:r w:rsidR="005D560B" w:rsidRPr="00FE2263">
        <w:rPr>
          <w:lang w:val="en-US"/>
        </w:rPr>
        <w:instrText>particle</w:instrText>
      </w:r>
      <w:r w:rsidR="005D560B" w:rsidRPr="00FE2263">
        <w:instrText>":"","</w:instrText>
      </w:r>
      <w:r w:rsidR="005D560B" w:rsidRPr="00FE2263">
        <w:rPr>
          <w:lang w:val="en-US"/>
        </w:rPr>
        <w:instrText>parse</w:instrText>
      </w:r>
      <w:r w:rsidR="005D560B" w:rsidRPr="00FE2263">
        <w:instrText>-</w:instrText>
      </w:r>
      <w:r w:rsidR="005D560B" w:rsidRPr="00FE2263">
        <w:rPr>
          <w:lang w:val="en-US"/>
        </w:rPr>
        <w:instrText>names</w:instrText>
      </w:r>
      <w:r w:rsidR="005D560B" w:rsidRPr="00FE2263">
        <w:instrText>":</w:instrText>
      </w:r>
      <w:r w:rsidR="005D560B" w:rsidRPr="00FE2263">
        <w:rPr>
          <w:lang w:val="en-US"/>
        </w:rPr>
        <w:instrText>false</w:instrText>
      </w:r>
      <w:r w:rsidR="005D560B" w:rsidRPr="00FE2263">
        <w:instrText>,"</w:instrText>
      </w:r>
      <w:r w:rsidR="005D560B" w:rsidRPr="00FE2263">
        <w:rPr>
          <w:lang w:val="en-US"/>
        </w:rPr>
        <w:instrText>suffix</w:instrText>
      </w:r>
      <w:r w:rsidR="005D560B" w:rsidRPr="00FE2263">
        <w:instrText>":""}],"</w:instrText>
      </w:r>
      <w:r w:rsidR="005D560B" w:rsidRPr="00FE2263">
        <w:rPr>
          <w:lang w:val="en-US"/>
        </w:rPr>
        <w:instrText>container</w:instrText>
      </w:r>
      <w:r w:rsidR="005D560B" w:rsidRPr="00FE2263">
        <w:instrText>-</w:instrText>
      </w:r>
      <w:r w:rsidR="005D560B" w:rsidRPr="00FE2263">
        <w:rPr>
          <w:lang w:val="en-US"/>
        </w:rPr>
        <w:instrText>title</w:instrText>
      </w:r>
      <w:r w:rsidR="005D560B" w:rsidRPr="00FE2263">
        <w:instrText>":"</w:instrText>
      </w:r>
      <w:r w:rsidR="005D560B" w:rsidRPr="00FE2263">
        <w:rPr>
          <w:lang w:val="en-US"/>
        </w:rPr>
        <w:instrText>British</w:instrText>
      </w:r>
      <w:r w:rsidR="005D560B" w:rsidRPr="00FE2263">
        <w:instrText xml:space="preserve"> </w:instrText>
      </w:r>
      <w:r w:rsidR="005D560B" w:rsidRPr="00FE2263">
        <w:rPr>
          <w:lang w:val="en-US"/>
        </w:rPr>
        <w:instrText>Journal</w:instrText>
      </w:r>
      <w:r w:rsidR="005D560B" w:rsidRPr="00FE2263">
        <w:instrText xml:space="preserve"> </w:instrText>
      </w:r>
      <w:r w:rsidR="005D560B" w:rsidRPr="00FE2263">
        <w:rPr>
          <w:lang w:val="en-US"/>
        </w:rPr>
        <w:instrText>of</w:instrText>
      </w:r>
      <w:r w:rsidR="005D560B" w:rsidRPr="00FE2263">
        <w:instrText xml:space="preserve"> </w:instrText>
      </w:r>
      <w:r w:rsidR="005D560B" w:rsidRPr="00FE2263">
        <w:rPr>
          <w:lang w:val="en-US"/>
        </w:rPr>
        <w:instrText>Haematology</w:instrText>
      </w:r>
      <w:r w:rsidR="005D560B" w:rsidRPr="00FE2263">
        <w:instrText>","</w:instrText>
      </w:r>
      <w:r w:rsidR="005D560B" w:rsidRPr="00FE2263">
        <w:rPr>
          <w:lang w:val="en-US"/>
        </w:rPr>
        <w:instrText>id</w:instrText>
      </w:r>
      <w:r w:rsidR="005D560B" w:rsidRPr="00FE2263">
        <w:instrText>":"</w:instrText>
      </w:r>
      <w:r w:rsidR="005D560B" w:rsidRPr="00FE2263">
        <w:rPr>
          <w:lang w:val="en-US"/>
        </w:rPr>
        <w:instrText>ITEM</w:instrText>
      </w:r>
      <w:r w:rsidR="005D560B" w:rsidRPr="00FE2263">
        <w:instrText>-1","</w:instrText>
      </w:r>
      <w:r w:rsidR="005D560B" w:rsidRPr="00FE2263">
        <w:rPr>
          <w:lang w:val="en-US"/>
        </w:rPr>
        <w:instrText>issue</w:instrText>
      </w:r>
      <w:r w:rsidR="005D560B" w:rsidRPr="00FE2263">
        <w:instrText>":"4","</w:instrText>
      </w:r>
      <w:r w:rsidR="005D560B" w:rsidRPr="00FE2263">
        <w:rPr>
          <w:lang w:val="en-US"/>
        </w:rPr>
        <w:instrText>issued</w:instrText>
      </w:r>
      <w:r w:rsidR="005D560B" w:rsidRPr="00FE2263">
        <w:instrText>":{"</w:instrText>
      </w:r>
      <w:r w:rsidR="005D560B" w:rsidRPr="00FE2263">
        <w:rPr>
          <w:lang w:val="en-US"/>
        </w:rPr>
        <w:instrText>date</w:instrText>
      </w:r>
      <w:r w:rsidR="005D560B" w:rsidRPr="00FE2263">
        <w:instrText>-</w:instrText>
      </w:r>
      <w:r w:rsidR="005D560B" w:rsidRPr="00FE2263">
        <w:rPr>
          <w:lang w:val="en-US"/>
        </w:rPr>
        <w:instrText>parts</w:instrText>
      </w:r>
      <w:r w:rsidR="005D560B" w:rsidRPr="00FE2263">
        <w:instrText>":[["2018","11","1"]]},"</w:instrText>
      </w:r>
      <w:r w:rsidR="005D560B" w:rsidRPr="00FE2263">
        <w:rPr>
          <w:lang w:val="en-US"/>
        </w:rPr>
        <w:instrText>page</w:instrText>
      </w:r>
      <w:r w:rsidR="005D560B" w:rsidRPr="00FE2263">
        <w:instrText>":"564-577","</w:instrText>
      </w:r>
      <w:r w:rsidR="005D560B" w:rsidRPr="00FE2263">
        <w:rPr>
          <w:lang w:val="en-US"/>
        </w:rPr>
        <w:instrText>publisher</w:instrText>
      </w:r>
      <w:r w:rsidR="005D560B" w:rsidRPr="00FE2263">
        <w:instrText>":"</w:instrText>
      </w:r>
      <w:r w:rsidR="005D560B" w:rsidRPr="00FE2263">
        <w:rPr>
          <w:lang w:val="en-US"/>
        </w:rPr>
        <w:instrText>Blackwell</w:instrText>
      </w:r>
      <w:r w:rsidR="005D560B" w:rsidRPr="00FE2263">
        <w:instrText xml:space="preserve"> </w:instrText>
      </w:r>
      <w:r w:rsidR="005D560B" w:rsidRPr="00FE2263">
        <w:rPr>
          <w:lang w:val="en-US"/>
        </w:rPr>
        <w:instrText>Publishing</w:instrText>
      </w:r>
      <w:r w:rsidR="005D560B" w:rsidRPr="00FE2263">
        <w:instrText xml:space="preserve"> </w:instrText>
      </w:r>
      <w:r w:rsidR="005D560B" w:rsidRPr="00FE2263">
        <w:rPr>
          <w:lang w:val="en-US"/>
        </w:rPr>
        <w:instrText>Ltd</w:instrText>
      </w:r>
      <w:r w:rsidR="005D560B" w:rsidRPr="00FE2263">
        <w:instrText>","</w:instrText>
      </w:r>
      <w:r w:rsidR="005D560B" w:rsidRPr="00FE2263">
        <w:rPr>
          <w:lang w:val="en-US"/>
        </w:rPr>
        <w:instrText>title</w:instrText>
      </w:r>
      <w:r w:rsidR="005D560B" w:rsidRPr="00FE2263">
        <w:instrText>":"</w:instrText>
      </w:r>
      <w:r w:rsidR="005D560B" w:rsidRPr="00FE2263">
        <w:rPr>
          <w:lang w:val="en-US"/>
        </w:rPr>
        <w:instrText>Prognostic</w:instrText>
      </w:r>
      <w:r w:rsidR="005D560B" w:rsidRPr="00FE2263">
        <w:instrText xml:space="preserve"> </w:instrText>
      </w:r>
      <w:r w:rsidR="005D560B" w:rsidRPr="00FE2263">
        <w:rPr>
          <w:lang w:val="en-US"/>
        </w:rPr>
        <w:instrText>factors</w:instrText>
      </w:r>
      <w:r w:rsidR="005D560B" w:rsidRPr="00FE2263">
        <w:instrText xml:space="preserve"> </w:instrText>
      </w:r>
      <w:r w:rsidR="005D560B" w:rsidRPr="00FE2263">
        <w:rPr>
          <w:lang w:val="en-US"/>
        </w:rPr>
        <w:instrText>and</w:instrText>
      </w:r>
      <w:r w:rsidR="005D560B" w:rsidRPr="00FE2263">
        <w:instrText xml:space="preserve"> </w:instrText>
      </w:r>
      <w:r w:rsidR="005D560B" w:rsidRPr="00FE2263">
        <w:rPr>
          <w:lang w:val="en-US"/>
        </w:rPr>
        <w:instrText>primary</w:instrText>
      </w:r>
      <w:r w:rsidR="005D560B" w:rsidRPr="00FE2263">
        <w:instrText xml:space="preserve"> </w:instrText>
      </w:r>
      <w:r w:rsidR="005D560B" w:rsidRPr="00FE2263">
        <w:rPr>
          <w:lang w:val="en-US"/>
        </w:rPr>
        <w:instrText>treatment</w:instrText>
      </w:r>
      <w:r w:rsidR="005D560B" w:rsidRPr="00FE2263">
        <w:instrText xml:space="preserve"> </w:instrText>
      </w:r>
      <w:r w:rsidR="005D560B" w:rsidRPr="00FE2263">
        <w:rPr>
          <w:lang w:val="en-US"/>
        </w:rPr>
        <w:instrText>for</w:instrText>
      </w:r>
      <w:r w:rsidR="005D560B" w:rsidRPr="00FE2263">
        <w:instrText xml:space="preserve"> </w:instrText>
      </w:r>
      <w:r w:rsidR="005D560B" w:rsidRPr="00FE2263">
        <w:rPr>
          <w:lang w:val="en-US"/>
        </w:rPr>
        <w:instrText>Waldenstr</w:instrText>
      </w:r>
      <w:r w:rsidR="005D560B" w:rsidRPr="00FE2263">
        <w:instrText>ö</w:instrText>
      </w:r>
      <w:r w:rsidR="005D560B" w:rsidRPr="00FE2263">
        <w:rPr>
          <w:lang w:val="en-US"/>
        </w:rPr>
        <w:instrText>m</w:instrText>
      </w:r>
      <w:r w:rsidR="005D560B" w:rsidRPr="00FE2263">
        <w:instrText xml:space="preserve"> </w:instrText>
      </w:r>
      <w:r w:rsidR="005D560B" w:rsidRPr="00FE2263">
        <w:rPr>
          <w:lang w:val="en-US"/>
        </w:rPr>
        <w:instrText>macroglobulinemia</w:instrText>
      </w:r>
      <w:r w:rsidR="005D560B" w:rsidRPr="00FE2263">
        <w:instrText xml:space="preserve"> – </w:instrText>
      </w:r>
      <w:r w:rsidR="005D560B" w:rsidRPr="00FE2263">
        <w:rPr>
          <w:lang w:val="en-US"/>
        </w:rPr>
        <w:instrText>a</w:instrText>
      </w:r>
      <w:r w:rsidR="005D560B" w:rsidRPr="00FE2263">
        <w:instrText xml:space="preserve"> </w:instrText>
      </w:r>
      <w:r w:rsidR="005D560B" w:rsidRPr="00FE2263">
        <w:rPr>
          <w:lang w:val="en-US"/>
        </w:rPr>
        <w:instrText>Swedish</w:instrText>
      </w:r>
      <w:r w:rsidR="005D560B" w:rsidRPr="00FE2263">
        <w:instrText xml:space="preserve"> </w:instrText>
      </w:r>
      <w:r w:rsidR="005D560B" w:rsidRPr="00FE2263">
        <w:rPr>
          <w:lang w:val="en-US"/>
        </w:rPr>
        <w:instrText>Lymphoma</w:instrText>
      </w:r>
      <w:r w:rsidR="005D560B" w:rsidRPr="00FE2263">
        <w:instrText xml:space="preserve"> </w:instrText>
      </w:r>
      <w:r w:rsidR="005D560B" w:rsidRPr="00FE2263">
        <w:rPr>
          <w:lang w:val="en-US"/>
        </w:rPr>
        <w:instrText>Registry</w:instrText>
      </w:r>
      <w:r w:rsidR="005D560B" w:rsidRPr="00FE2263">
        <w:instrText xml:space="preserve"> </w:instrText>
      </w:r>
      <w:r w:rsidR="005D560B" w:rsidRPr="00FE2263">
        <w:rPr>
          <w:lang w:val="en-US"/>
        </w:rPr>
        <w:instrText>study</w:instrText>
      </w:r>
      <w:r w:rsidR="005D560B" w:rsidRPr="00FE2263">
        <w:instrText>","</w:instrText>
      </w:r>
      <w:r w:rsidR="005D560B" w:rsidRPr="00FE2263">
        <w:rPr>
          <w:lang w:val="en-US"/>
        </w:rPr>
        <w:instrText>type</w:instrText>
      </w:r>
      <w:r w:rsidR="005D560B" w:rsidRPr="00FE2263">
        <w:instrText>":"</w:instrText>
      </w:r>
      <w:r w:rsidR="005D560B" w:rsidRPr="00FE2263">
        <w:rPr>
          <w:lang w:val="en-US"/>
        </w:rPr>
        <w:instrText>article</w:instrText>
      </w:r>
      <w:r w:rsidR="005D560B" w:rsidRPr="00FE2263">
        <w:instrText>-</w:instrText>
      </w:r>
      <w:r w:rsidR="005D560B" w:rsidRPr="00FE2263">
        <w:rPr>
          <w:lang w:val="en-US"/>
        </w:rPr>
        <w:instrText>journal</w:instrText>
      </w:r>
      <w:r w:rsidR="005D560B" w:rsidRPr="00FE2263">
        <w:instrText>","</w:instrText>
      </w:r>
      <w:r w:rsidR="005D560B" w:rsidRPr="00FE2263">
        <w:rPr>
          <w:lang w:val="en-US"/>
        </w:rPr>
        <w:instrText>volume</w:instrText>
      </w:r>
      <w:r w:rsidR="005D560B" w:rsidRPr="00FE2263">
        <w:instrText>":"183"},"</w:instrText>
      </w:r>
      <w:r w:rsidR="005D560B" w:rsidRPr="00FE2263">
        <w:rPr>
          <w:lang w:val="en-US"/>
        </w:rPr>
        <w:instrText>uris</w:instrText>
      </w:r>
      <w:r w:rsidR="005D560B" w:rsidRPr="00FE2263">
        <w:instrText>":["</w:instrText>
      </w:r>
      <w:r w:rsidR="005D560B" w:rsidRPr="00FE2263">
        <w:rPr>
          <w:lang w:val="en-US"/>
        </w:rPr>
        <w:instrText>http</w:instrText>
      </w:r>
      <w:r w:rsidR="005D560B" w:rsidRPr="00FE2263">
        <w:instrText>://</w:instrText>
      </w:r>
      <w:r w:rsidR="005D560B" w:rsidRPr="00FE2263">
        <w:rPr>
          <w:lang w:val="en-US"/>
        </w:rPr>
        <w:instrText>www</w:instrText>
      </w:r>
      <w:r w:rsidR="005D560B" w:rsidRPr="00FE2263">
        <w:instrText>.</w:instrText>
      </w:r>
      <w:r w:rsidR="005D560B" w:rsidRPr="00FE2263">
        <w:rPr>
          <w:lang w:val="en-US"/>
        </w:rPr>
        <w:instrText>mendeley</w:instrText>
      </w:r>
      <w:r w:rsidR="005D560B" w:rsidRPr="00FE2263">
        <w:instrText>.</w:instrText>
      </w:r>
      <w:r w:rsidR="005D560B" w:rsidRPr="00FE2263">
        <w:rPr>
          <w:lang w:val="en-US"/>
        </w:rPr>
        <w:instrText>com</w:instrText>
      </w:r>
      <w:r w:rsidR="005D560B" w:rsidRPr="00FE2263">
        <w:instrText>/</w:instrText>
      </w:r>
      <w:r w:rsidR="005D560B" w:rsidRPr="00FE2263">
        <w:rPr>
          <w:lang w:val="en-US"/>
        </w:rPr>
        <w:instrText>documents</w:instrText>
      </w:r>
      <w:r w:rsidR="005D560B" w:rsidRPr="00FE2263">
        <w:instrText>/?</w:instrText>
      </w:r>
      <w:r w:rsidR="005D560B" w:rsidRPr="00FE2263">
        <w:rPr>
          <w:lang w:val="en-US"/>
        </w:rPr>
        <w:instrText>uuid</w:instrText>
      </w:r>
      <w:r w:rsidR="005D560B" w:rsidRPr="00FE2263">
        <w:instrText>=</w:instrText>
      </w:r>
      <w:r w:rsidR="005D560B" w:rsidRPr="00FE2263">
        <w:rPr>
          <w:lang w:val="en-US"/>
        </w:rPr>
        <w:instrText>c</w:instrText>
      </w:r>
      <w:r w:rsidR="005D560B" w:rsidRPr="00FE2263">
        <w:instrText>741879</w:instrText>
      </w:r>
      <w:r w:rsidR="005D560B" w:rsidRPr="00FE2263">
        <w:rPr>
          <w:lang w:val="en-US"/>
        </w:rPr>
        <w:instrText>a</w:instrText>
      </w:r>
      <w:r w:rsidR="005D560B" w:rsidRPr="00FE2263">
        <w:instrText>-</w:instrText>
      </w:r>
      <w:r w:rsidR="005D560B" w:rsidRPr="00FE2263">
        <w:rPr>
          <w:lang w:val="en-US"/>
        </w:rPr>
        <w:instrText>e</w:instrText>
      </w:r>
      <w:r w:rsidR="005D560B" w:rsidRPr="00FE2263">
        <w:instrText>360-35</w:instrText>
      </w:r>
      <w:r w:rsidR="005D560B" w:rsidRPr="00FE2263">
        <w:rPr>
          <w:lang w:val="en-US"/>
        </w:rPr>
        <w:instrText>e</w:instrText>
      </w:r>
      <w:r w:rsidR="005D560B" w:rsidRPr="00FE2263">
        <w:instrText>8-97</w:instrText>
      </w:r>
      <w:r w:rsidR="005D560B" w:rsidRPr="00FE2263">
        <w:rPr>
          <w:lang w:val="en-US"/>
        </w:rPr>
        <w:instrText>b</w:instrText>
      </w:r>
      <w:r w:rsidR="005D560B" w:rsidRPr="00FE2263">
        <w:instrText>1-1</w:instrText>
      </w:r>
      <w:r w:rsidR="005D560B" w:rsidRPr="00FE2263">
        <w:rPr>
          <w:lang w:val="en-US"/>
        </w:rPr>
        <w:instrText>e</w:instrText>
      </w:r>
      <w:r w:rsidR="005D560B" w:rsidRPr="00FE2263">
        <w:instrText>0</w:instrText>
      </w:r>
      <w:r w:rsidR="005D560B" w:rsidRPr="00FE2263">
        <w:rPr>
          <w:lang w:val="en-US"/>
        </w:rPr>
        <w:instrText>b</w:instrText>
      </w:r>
      <w:r w:rsidR="005D560B" w:rsidRPr="00FE2263">
        <w:instrText>7</w:instrText>
      </w:r>
      <w:r w:rsidR="005D560B" w:rsidRPr="00FE2263">
        <w:rPr>
          <w:lang w:val="en-US"/>
        </w:rPr>
        <w:instrText>fb</w:instrText>
      </w:r>
      <w:r w:rsidR="005D560B" w:rsidRPr="00FE2263">
        <w:instrText>3</w:instrText>
      </w:r>
      <w:r w:rsidR="005D560B" w:rsidRPr="00FE2263">
        <w:rPr>
          <w:lang w:val="en-US"/>
        </w:rPr>
        <w:instrText>f</w:instrText>
      </w:r>
      <w:r w:rsidR="005D560B" w:rsidRPr="00FE2263">
        <w:instrText>056"]}],"</w:instrText>
      </w:r>
      <w:r w:rsidR="005D560B" w:rsidRPr="00FE2263">
        <w:rPr>
          <w:lang w:val="en-US"/>
        </w:rPr>
        <w:instrText>mendeley</w:instrText>
      </w:r>
      <w:r w:rsidR="005D560B" w:rsidRPr="00FE2263">
        <w:instrText>":{"</w:instrText>
      </w:r>
      <w:r w:rsidR="005D560B" w:rsidRPr="00FE2263">
        <w:rPr>
          <w:lang w:val="en-US"/>
        </w:rPr>
        <w:instrText>formattedCitation</w:instrText>
      </w:r>
      <w:r w:rsidR="005D560B" w:rsidRPr="00FE2263">
        <w:instrText>":"[17]","</w:instrText>
      </w:r>
      <w:r w:rsidR="005D560B" w:rsidRPr="00FE2263">
        <w:rPr>
          <w:lang w:val="en-US"/>
        </w:rPr>
        <w:instrText>plainTextFormattedCitation</w:instrText>
      </w:r>
      <w:r w:rsidR="005D560B" w:rsidRPr="00FE2263">
        <w:instrText>":"[17]","</w:instrText>
      </w:r>
      <w:r w:rsidR="005D560B" w:rsidRPr="00FE2263">
        <w:rPr>
          <w:lang w:val="en-US"/>
        </w:rPr>
        <w:instrText>previouslyFormattedCitation</w:instrText>
      </w:r>
      <w:r w:rsidR="005D560B" w:rsidRPr="00FE2263">
        <w:instrText>":"[17]"},"</w:instrText>
      </w:r>
      <w:r w:rsidR="005D560B" w:rsidRPr="00FE2263">
        <w:rPr>
          <w:lang w:val="en-US"/>
        </w:rPr>
        <w:instrText>properties</w:instrText>
      </w:r>
      <w:r w:rsidR="005D560B" w:rsidRPr="00FE2263">
        <w:instrText>":{"</w:instrText>
      </w:r>
      <w:r w:rsidR="005D560B" w:rsidRPr="00FE2263">
        <w:rPr>
          <w:lang w:val="en-US"/>
        </w:rPr>
        <w:instrText>noteIndex</w:instrText>
      </w:r>
      <w:r w:rsidR="005D560B" w:rsidRPr="00FE2263">
        <w:instrText>":0},"</w:instrText>
      </w:r>
      <w:r w:rsidR="005D560B" w:rsidRPr="00FE2263">
        <w:rPr>
          <w:lang w:val="en-US"/>
        </w:rPr>
        <w:instrText>schema</w:instrText>
      </w:r>
      <w:r w:rsidR="005D560B" w:rsidRPr="00FE2263">
        <w:instrText>":"</w:instrText>
      </w:r>
      <w:r w:rsidR="005D560B" w:rsidRPr="00FE2263">
        <w:rPr>
          <w:lang w:val="en-US"/>
        </w:rPr>
        <w:instrText>https</w:instrText>
      </w:r>
      <w:r w:rsidR="005D560B" w:rsidRPr="00FE2263">
        <w:instrText>://</w:instrText>
      </w:r>
      <w:r w:rsidR="005D560B" w:rsidRPr="00FE2263">
        <w:rPr>
          <w:lang w:val="en-US"/>
        </w:rPr>
        <w:instrText>github</w:instrText>
      </w:r>
      <w:r w:rsidR="005D560B" w:rsidRPr="00FE2263">
        <w:instrText>.</w:instrText>
      </w:r>
      <w:r w:rsidR="005D560B" w:rsidRPr="00FE2263">
        <w:rPr>
          <w:lang w:val="en-US"/>
        </w:rPr>
        <w:instrText>com</w:instrText>
      </w:r>
      <w:r w:rsidR="005D560B" w:rsidRPr="00FE2263">
        <w:instrText>/</w:instrText>
      </w:r>
      <w:r w:rsidR="005D560B" w:rsidRPr="00FE2263">
        <w:rPr>
          <w:lang w:val="en-US"/>
        </w:rPr>
        <w:instrText>citation</w:instrText>
      </w:r>
      <w:r w:rsidR="005D560B" w:rsidRPr="00FE2263">
        <w:instrText>-</w:instrText>
      </w:r>
      <w:r w:rsidR="005D560B" w:rsidRPr="00FE2263">
        <w:rPr>
          <w:lang w:val="en-US"/>
        </w:rPr>
        <w:instrText>style</w:instrText>
      </w:r>
      <w:r w:rsidR="005D560B" w:rsidRPr="00FE2263">
        <w:instrText>-</w:instrText>
      </w:r>
      <w:r w:rsidR="005D560B" w:rsidRPr="00FE2263">
        <w:rPr>
          <w:lang w:val="en-US"/>
        </w:rPr>
        <w:instrText>language</w:instrText>
      </w:r>
      <w:r w:rsidR="005D560B" w:rsidRPr="00FE2263">
        <w:instrText>/</w:instrText>
      </w:r>
      <w:r w:rsidR="005D560B" w:rsidRPr="00FE2263">
        <w:rPr>
          <w:lang w:val="en-US"/>
        </w:rPr>
        <w:instrText>schema</w:instrText>
      </w:r>
      <w:r w:rsidR="005D560B" w:rsidRPr="00FE2263">
        <w:instrText>/</w:instrText>
      </w:r>
      <w:r w:rsidR="005D560B" w:rsidRPr="00FE2263">
        <w:rPr>
          <w:lang w:val="en-US"/>
        </w:rPr>
        <w:instrText>raw</w:instrText>
      </w:r>
      <w:r w:rsidR="005D560B" w:rsidRPr="00FE2263">
        <w:instrText>/</w:instrText>
      </w:r>
      <w:r w:rsidR="005D560B" w:rsidRPr="00FE2263">
        <w:rPr>
          <w:lang w:val="en-US"/>
        </w:rPr>
        <w:instrText>master</w:instrText>
      </w:r>
      <w:r w:rsidR="005D560B" w:rsidRPr="00FE2263">
        <w:instrText>/</w:instrText>
      </w:r>
      <w:r w:rsidR="005D560B" w:rsidRPr="00FE2263">
        <w:rPr>
          <w:lang w:val="en-US"/>
        </w:rPr>
        <w:instrText>csl</w:instrText>
      </w:r>
      <w:r w:rsidR="005D560B" w:rsidRPr="00FE2263">
        <w:instrText>-</w:instrText>
      </w:r>
      <w:r w:rsidR="005D560B" w:rsidRPr="00FE2263">
        <w:rPr>
          <w:lang w:val="en-US"/>
        </w:rPr>
        <w:instrText>citation</w:instrText>
      </w:r>
      <w:r w:rsidR="005D560B" w:rsidRPr="00FE2263">
        <w:instrText>.</w:instrText>
      </w:r>
      <w:r w:rsidR="005D560B" w:rsidRPr="00FE2263">
        <w:rPr>
          <w:lang w:val="en-US"/>
        </w:rPr>
        <w:instrText>json</w:instrText>
      </w:r>
      <w:r w:rsidR="005D560B" w:rsidRPr="00FE2263">
        <w:instrText>"}</w:instrText>
      </w:r>
      <w:r w:rsidR="005D560B" w:rsidRPr="00FE2263">
        <w:rPr>
          <w:lang w:val="en-US"/>
        </w:rPr>
        <w:fldChar w:fldCharType="separate"/>
      </w:r>
      <w:r w:rsidR="005D560B" w:rsidRPr="00FE2263">
        <w:rPr>
          <w:noProof/>
        </w:rPr>
        <w:t>[17]</w:t>
      </w:r>
      <w:r w:rsidR="005D560B" w:rsidRPr="00FE2263">
        <w:rPr>
          <w:lang w:val="en-US"/>
        </w:rPr>
        <w:fldChar w:fldCharType="end"/>
      </w:r>
      <w:r w:rsidRPr="00FE2263">
        <w:t>.</w:t>
      </w:r>
    </w:p>
    <w:p w14:paraId="46330093" w14:textId="76068856" w:rsidR="00580D79" w:rsidRPr="00FE2263" w:rsidRDefault="00580D79" w:rsidP="00F817BC">
      <w:pPr>
        <w:pStyle w:val="afe"/>
        <w:ind w:firstLine="0"/>
        <w:rPr>
          <w:b/>
        </w:rPr>
      </w:pPr>
      <w:bookmarkStart w:id="47" w:name="_Toc33974226"/>
      <w:r w:rsidRPr="00FE2263">
        <w:rPr>
          <w:b/>
        </w:rPr>
        <w:t xml:space="preserve">Уровень убедительности рекомендаций </w:t>
      </w:r>
      <w:r w:rsidR="005D560B" w:rsidRPr="00FE2263">
        <w:rPr>
          <w:b/>
          <w:lang w:val="en-US"/>
        </w:rPr>
        <w:t>B</w:t>
      </w:r>
      <w:r w:rsidR="00D30852" w:rsidRPr="00FE2263">
        <w:rPr>
          <w:b/>
        </w:rPr>
        <w:t xml:space="preserve"> </w:t>
      </w:r>
      <w:r w:rsidRPr="00FE2263">
        <w:rPr>
          <w:b/>
        </w:rPr>
        <w:t xml:space="preserve">(уровень достоверности доказательств </w:t>
      </w:r>
      <w:r w:rsidR="005D560B" w:rsidRPr="00FE2263">
        <w:rPr>
          <w:b/>
        </w:rPr>
        <w:t>3</w:t>
      </w:r>
      <w:r w:rsidRPr="00FE2263">
        <w:rPr>
          <w:b/>
        </w:rPr>
        <w:t>).</w:t>
      </w:r>
    </w:p>
    <w:p w14:paraId="2DA9F27A" w14:textId="77777777" w:rsidR="00580D79" w:rsidRPr="00FE2263" w:rsidRDefault="00580D79" w:rsidP="005D560B">
      <w:pPr>
        <w:pStyle w:val="2"/>
        <w:spacing w:before="0"/>
      </w:pPr>
      <w:bookmarkStart w:id="48" w:name="_Toc66184318"/>
      <w:r w:rsidRPr="00FE2263">
        <w:rPr>
          <w:rStyle w:val="affb"/>
          <w:b/>
          <w:bCs w:val="0"/>
        </w:rPr>
        <w:t>3.2 Лечение пациентов с впервые диагностированной МВ</w:t>
      </w:r>
      <w:bookmarkEnd w:id="47"/>
      <w:bookmarkEnd w:id="48"/>
    </w:p>
    <w:p w14:paraId="1E95D883" w14:textId="0547A77E" w:rsidR="005D560B" w:rsidRPr="00FE2263" w:rsidRDefault="005D560B" w:rsidP="00F817BC">
      <w:pPr>
        <w:pStyle w:val="afd"/>
        <w:spacing w:beforeAutospacing="0" w:afterAutospacing="0" w:line="360" w:lineRule="auto"/>
        <w:rPr>
          <w:i/>
          <w:iCs/>
        </w:rPr>
      </w:pPr>
      <w:r w:rsidRPr="00FE2263">
        <w:rPr>
          <w:i/>
        </w:rPr>
        <w:t xml:space="preserve">В данных рекомендациях </w:t>
      </w:r>
      <w:r w:rsidR="00474C67" w:rsidRPr="00FE2263">
        <w:rPr>
          <w:i/>
        </w:rPr>
        <w:t>терапевтические подходы,</w:t>
      </w:r>
      <w:r w:rsidRPr="00FE2263">
        <w:rPr>
          <w:i/>
        </w:rPr>
        <w:t xml:space="preserve"> лекарственные препараты и дозировки, </w:t>
      </w:r>
      <w:r w:rsidR="00474C67" w:rsidRPr="00FE2263">
        <w:rPr>
          <w:i/>
        </w:rPr>
        <w:t xml:space="preserve">изученные и </w:t>
      </w:r>
      <w:r w:rsidRPr="00FE2263">
        <w:rPr>
          <w:i/>
        </w:rPr>
        <w:t xml:space="preserve">зарегистрированные у взрослых пациентов с макроглобулинемией Вальденстрема. Учитывая, что данная патология в детской популяции встречается крайне редко, до сих пор нет достаточной убедительной базы по применению </w:t>
      </w:r>
      <w:r w:rsidRPr="00FE2263">
        <w:rPr>
          <w:i/>
        </w:rPr>
        <w:lastRenderedPageBreak/>
        <w:t>лекарственных препаратов для лечения МВ у детей и многие препараты не имеют зарегистрированных показаний к применению у пациентов моложе 18 лет. Поэтому терапия у детей с верифицированным диагнозом макроглобулинемия Вальденстрема должна назначаться на основании рекомендаций для лечения взрослых пациентов консилиумом врачей по жизненным показаниям.</w:t>
      </w:r>
    </w:p>
    <w:p w14:paraId="6BC7FB73" w14:textId="28A00969" w:rsidR="00580D79" w:rsidRPr="00FE2263" w:rsidRDefault="00580D79" w:rsidP="00F817BC">
      <w:pPr>
        <w:pStyle w:val="afd"/>
        <w:spacing w:beforeAutospacing="0" w:afterAutospacing="0" w:line="360" w:lineRule="auto"/>
        <w:rPr>
          <w:rFonts w:eastAsiaTheme="minorEastAsia"/>
          <w:i/>
          <w:iCs/>
        </w:rPr>
      </w:pPr>
      <w:r w:rsidRPr="00FE2263">
        <w:rPr>
          <w:i/>
          <w:iCs/>
        </w:rPr>
        <w:t>Так как опухолевые клетки МВ экспрессируют CD20, наиболее широко используемым препаратом для лечения МВ является ритуксимаб**, как в монотерапии, так и в комбинациях. Общая эффективность лечения пациентов с первые диагностированной МВ составляет от 20 до 50%, медиана продолжительности ответа на лечение от 8 до 27 мес. Противоопухолевый эффект при лечении ритуксимабом** наступает в среднем спустя 3 мес. после начала терапии. После начала терапии ритуксимабом** у 40-50% пациентов отмечается внезапное транзиторное повышение уровня моноклонального IgM, которое может сопровождаться синдромом гипервязкости, нарастанием полинейропатии, связанной с секрецией IgM, криоглобулинемии. Для снижения уровня моноклонального IgM используют плазмаферез. Сеансы плазмафереза для профилактики развития синдрома гипервязкости необходимо проводить у пациентов с уровнем моноклонального IgM ≥ 50 г/л перед ведением ритуксимаба**.</w:t>
      </w:r>
    </w:p>
    <w:p w14:paraId="72064F67" w14:textId="77777777" w:rsidR="00580D79" w:rsidRPr="00FE2263" w:rsidRDefault="00580D79" w:rsidP="00F817BC">
      <w:pPr>
        <w:pStyle w:val="afd"/>
        <w:spacing w:beforeAutospacing="0" w:afterAutospacing="0" w:line="360" w:lineRule="auto"/>
        <w:rPr>
          <w:i/>
          <w:iCs/>
        </w:rPr>
      </w:pPr>
      <w:r w:rsidRPr="00FE2263">
        <w:rPr>
          <w:i/>
          <w:iCs/>
        </w:rPr>
        <w:t>В исследовании II фазы была оценена эффективность бортезомиба** в монорежиме у пациентов как с впервые диагностированной МВ, так и у ранее получавших специфическую терапию. Лечение бортезомибом** проводилось в стандартном режиме до прогрессирования болезни или достижения наилучшего ответа с последующим проведением 2 курсов лечения. Общая эффективность лечения составила 26%, но при этом отмечено развитие сенсорной полинейропатии в 74% случаев. Следует обратить внимание на обязательную профилактику герпес-вирусной инфекции при использовании бортезомиб-содержащих схем.</w:t>
      </w:r>
    </w:p>
    <w:p w14:paraId="77212085" w14:textId="77777777" w:rsidR="00580D79" w:rsidRPr="00FE2263" w:rsidRDefault="00580D79" w:rsidP="00F817BC">
      <w:pPr>
        <w:pStyle w:val="afd"/>
        <w:spacing w:beforeAutospacing="0" w:afterAutospacing="0" w:line="360" w:lineRule="auto"/>
        <w:rPr>
          <w:i/>
          <w:iCs/>
        </w:rPr>
      </w:pPr>
      <w:r w:rsidRPr="00FE2263">
        <w:rPr>
          <w:i/>
          <w:iCs/>
        </w:rPr>
        <w:t>Комбинация ритуксимаба** с кортикостероидами** и бортезомибом** исследована у пациентов с активной МВ (схема BDR). Противоопухолевый эффект был получен 96% случаев, при этом 22 % пациентов достигли ПР. При медиане наблюдения 2 года, у 80% пациентов остаются в ремиссии. Среди нежелательных явлений наиболее частым была полинейропатия, у 30% - 3 степени. Транзиторное повышение моноклоналльного IgM отмечено только у 2 пациентов (9%). Таким образом, применение схемы BDR может снизить риск повышения уровня моноклонального IgM в процессе лечения.</w:t>
      </w:r>
    </w:p>
    <w:p w14:paraId="4CE98321" w14:textId="77777777" w:rsidR="00580D79" w:rsidRPr="00FE2263" w:rsidRDefault="00580D79" w:rsidP="0070759B">
      <w:pPr>
        <w:pStyle w:val="afd"/>
        <w:spacing w:beforeAutospacing="0" w:afterAutospacing="0" w:line="360" w:lineRule="auto"/>
        <w:rPr>
          <w:i/>
          <w:iCs/>
        </w:rPr>
      </w:pPr>
      <w:r w:rsidRPr="00FE2263">
        <w:rPr>
          <w:i/>
          <w:iCs/>
        </w:rPr>
        <w:lastRenderedPageBreak/>
        <w:t>Сочетание ритуксимаба** с бортезомибом** (схема BR) у пациентов с впервые диагностированной МВ также высоко эффективно. Противоопухолевый эффект, как было показано в исследовании II фазы, составил 88%, у 65% пациентов получены ПР или ЧР. При медиане наблюдения 14 мес. медианы ВБП и ВДП не достигнуты. Полинейропатии 3-4 степени не отмечено, вероятно, из-за назначения бортезомиба** 1 раз в неделю. Транзиторное повышение моноклонального IgM отмечено у 31% пациентов после 1 и 4 курсов лечения (после ритуксимаба**).</w:t>
      </w:r>
    </w:p>
    <w:p w14:paraId="355869B9" w14:textId="77777777" w:rsidR="00580D79" w:rsidRPr="00FE2263" w:rsidRDefault="00580D79" w:rsidP="0070759B">
      <w:pPr>
        <w:pStyle w:val="afd"/>
        <w:spacing w:beforeAutospacing="0" w:afterAutospacing="0" w:line="360" w:lineRule="auto"/>
        <w:rPr>
          <w:i/>
          <w:iCs/>
        </w:rPr>
      </w:pPr>
      <w:r w:rsidRPr="00FE2263">
        <w:rPr>
          <w:i/>
          <w:iCs/>
        </w:rPr>
        <w:t>Таким образом, для лечения пациентов с впервые диагностированной МВ могут быть рекомендованы программы с включением бортезомиба**: BDR, BR, а у пациентов с непереносимостью ритуксимаба** – сочетание бортезомиба** с дексаметазоном**.</w:t>
      </w:r>
    </w:p>
    <w:p w14:paraId="1BDCA4CB" w14:textId="77777777" w:rsidR="00580D79" w:rsidRPr="00FE2263" w:rsidRDefault="00580D79" w:rsidP="0070759B">
      <w:pPr>
        <w:pStyle w:val="afd"/>
        <w:spacing w:beforeAutospacing="0" w:afterAutospacing="0" w:line="360" w:lineRule="auto"/>
        <w:rPr>
          <w:i/>
          <w:iCs/>
        </w:rPr>
      </w:pPr>
      <w:r w:rsidRPr="00FE2263">
        <w:rPr>
          <w:i/>
          <w:iCs/>
        </w:rPr>
        <w:t xml:space="preserve">В последние годы для лечения пациентов с впервые диагностированной МВ стали широко использовать противоопухолевый препарат бендамустин**, сочетающий свойства алкилирующего соединения и пуринового аналога. В рандомизированном исследовании проведено сравнение эффективности лечения пациентов с впервые диагностированными индолентными НХЛ по схемам R-B (ритуксимаб**, бендамустин**) и R-CHOP**. Среди них был 41 пациент с МВ или лимфоплазмоцитарной лимфомой. При медиане наблюдения 45 мес. медиана выживаемости без прогрессии была значительно выше на режиме </w:t>
      </w:r>
      <w:r w:rsidRPr="00FE2263">
        <w:rPr>
          <w:i/>
          <w:iCs/>
          <w:lang w:val="en-US"/>
        </w:rPr>
        <w:t>R</w:t>
      </w:r>
      <w:r w:rsidRPr="00FE2263">
        <w:rPr>
          <w:i/>
          <w:iCs/>
        </w:rPr>
        <w:t>-</w:t>
      </w:r>
      <w:r w:rsidRPr="00FE2263">
        <w:rPr>
          <w:i/>
          <w:iCs/>
          <w:lang w:val="en-US"/>
        </w:rPr>
        <w:t>B</w:t>
      </w:r>
      <w:r w:rsidRPr="00FE2263">
        <w:rPr>
          <w:i/>
          <w:iCs/>
        </w:rPr>
        <w:t xml:space="preserve"> (69,5мес) против 28,5мес на </w:t>
      </w:r>
      <w:r w:rsidRPr="00FE2263">
        <w:rPr>
          <w:i/>
          <w:iCs/>
          <w:lang w:val="en-US"/>
        </w:rPr>
        <w:t>R</w:t>
      </w:r>
      <w:r w:rsidRPr="00FE2263">
        <w:rPr>
          <w:i/>
          <w:iCs/>
        </w:rPr>
        <w:t>-</w:t>
      </w:r>
      <w:r w:rsidRPr="00FE2263">
        <w:rPr>
          <w:i/>
          <w:iCs/>
          <w:lang w:val="en-US"/>
        </w:rPr>
        <w:t>CHOP</w:t>
      </w:r>
      <w:r w:rsidRPr="00FE2263">
        <w:rPr>
          <w:i/>
          <w:iCs/>
        </w:rPr>
        <w:t xml:space="preserve">. При лечении по схеме R-B отмечена низкая частота нейтропении 3 и 4 степени, инфекционных осложнений и алопеции. Эти данные позволяют рекомендовать режим </w:t>
      </w:r>
      <w:bookmarkStart w:id="49" w:name="_Hlk33952705"/>
      <w:r w:rsidRPr="00FE2263">
        <w:rPr>
          <w:i/>
          <w:iCs/>
        </w:rPr>
        <w:t xml:space="preserve">R-B </w:t>
      </w:r>
      <w:bookmarkEnd w:id="49"/>
      <w:r w:rsidRPr="00FE2263">
        <w:rPr>
          <w:i/>
          <w:iCs/>
        </w:rPr>
        <w:t>к использованию в первой линии лечения МВ. При проведении терапии по схеме R-B обязательно назначение профилактики пневмоцистной пневмонии.</w:t>
      </w:r>
    </w:p>
    <w:p w14:paraId="7AAAB744" w14:textId="77777777" w:rsidR="00580D79" w:rsidRPr="00FE2263" w:rsidRDefault="00580D79" w:rsidP="0070759B">
      <w:pPr>
        <w:pStyle w:val="afd"/>
        <w:spacing w:beforeAutospacing="0" w:afterAutospacing="0" w:line="360" w:lineRule="auto"/>
        <w:rPr>
          <w:i/>
          <w:iCs/>
        </w:rPr>
      </w:pPr>
      <w:r w:rsidRPr="00FE2263">
        <w:rPr>
          <w:i/>
          <w:iCs/>
        </w:rPr>
        <w:t>Терапия первичных пациентов МВ также может быть начата с программ, сочетающих циклофосфамид**, ритуксимаб** и кортикостероиды** (RDC, R-CHOP, R-CP). Противоопухолевый эффект у пациентов, получающих режим RDC, достигается у 83% пациентов, у 7% пациентов может быть получена ПР. Двухлетняя ВБП составляет 67%. Переносимость лечения удовлетворительная: у 9% пациентов развивается нейтропения 3-4 степени, приблизительно в 20% случаях диагностируются нежелательные явления, связанные с ритуксимабом**.</w:t>
      </w:r>
    </w:p>
    <w:p w14:paraId="02459C66" w14:textId="77777777" w:rsidR="00580D79" w:rsidRPr="00FE2263" w:rsidRDefault="00580D79" w:rsidP="0070759B">
      <w:pPr>
        <w:pStyle w:val="afd"/>
        <w:spacing w:beforeAutospacing="0" w:afterAutospacing="0" w:line="360" w:lineRule="auto"/>
        <w:rPr>
          <w:i/>
          <w:iCs/>
        </w:rPr>
      </w:pPr>
      <w:r w:rsidRPr="00FE2263">
        <w:rPr>
          <w:i/>
          <w:iCs/>
        </w:rPr>
        <w:t xml:space="preserve">Включение винкристина** в программы, содержащие циклофосфамид**, сопровождается увеличением риска полинейропатии при МВ. В ретроспективном исследовании проведена оценка эффективности лечения активной МВ по трех схемам: R-CHOP, R-CVP и R-CP. Существенной разницы между группами по общей эффективности не выявлено: противоопухолевый эффект был получен у 96% пациентов при лечении по </w:t>
      </w:r>
      <w:r w:rsidRPr="00FE2263">
        <w:rPr>
          <w:i/>
          <w:iCs/>
        </w:rPr>
        <w:lastRenderedPageBreak/>
        <w:t>схеме R-CHOP, по схеме R-CVP – у 88% пациентов и по схеме R-СР – у 95% пациентов. Нежелательные явления, связанные с лечением, включая связанную с винкристином нейропатию, фебрильную нейтропению, а также необходимость госпитализации были значительно выше при лечении по схемам R-CHOP, R-CVP, чем при использовании программы R-CP.</w:t>
      </w:r>
    </w:p>
    <w:p w14:paraId="438DAFB9" w14:textId="77777777" w:rsidR="00580D79" w:rsidRPr="00FE2263" w:rsidRDefault="00580D79" w:rsidP="0070759B">
      <w:pPr>
        <w:pStyle w:val="afd"/>
        <w:spacing w:beforeAutospacing="0" w:afterAutospacing="0" w:line="360" w:lineRule="auto"/>
        <w:rPr>
          <w:i/>
          <w:iCs/>
        </w:rPr>
      </w:pPr>
      <w:r w:rsidRPr="00FE2263">
        <w:rPr>
          <w:rStyle w:val="affc"/>
        </w:rPr>
        <w:t xml:space="preserve">В 2015 г. опубликованы результаты исследовании II фазы по оценке эффективности ибрутиниба** (ингибитор тирозинкиназы Брутона) у пациентов, получивших не менее одного варианта лечения. Ибрутиниб** назначали в суточной дозе 420 мг. Общая эффективность лечения составила 90,5%, большой ответ получен у 73% пациентов. Показатели 2-х летней ВБП и ОВ составили 69,1 и 95,2% соответственно [32]. Наилучших результатов удалось добиться у пациентов с мутацией </w:t>
      </w:r>
      <w:r w:rsidRPr="00FE2263">
        <w:rPr>
          <w:rStyle w:val="affc"/>
          <w:lang w:val="en-US"/>
        </w:rPr>
        <w:t>MYD</w:t>
      </w:r>
      <w:r w:rsidRPr="00FE2263">
        <w:rPr>
          <w:rStyle w:val="affc"/>
        </w:rPr>
        <w:t xml:space="preserve">88. В настоящее время ибрутиниб в дозе 420мг/сутки также рекомендован к использованию в первой линии терапии у пациентов с МВ, которым невозможно проведение химиотерапии. Перед назначением ибрутиниба рекомендуется определение статуса </w:t>
      </w:r>
      <w:r w:rsidRPr="00FE2263">
        <w:rPr>
          <w:rStyle w:val="affc"/>
          <w:lang w:val="en-US"/>
        </w:rPr>
        <w:t>CXC</w:t>
      </w:r>
      <w:r w:rsidRPr="00FE2263">
        <w:rPr>
          <w:rStyle w:val="affc"/>
        </w:rPr>
        <w:t>-4, при выявлении мутации данного гена (около 40% всех пациентов с МВ) эффект от назначения ибрутиниба может нивелироваться.</w:t>
      </w:r>
    </w:p>
    <w:p w14:paraId="2D9B2EAB" w14:textId="77777777" w:rsidR="00580D79" w:rsidRPr="00FE2263" w:rsidRDefault="00580D79" w:rsidP="0070759B">
      <w:pPr>
        <w:pStyle w:val="afd"/>
        <w:spacing w:beforeAutospacing="0" w:afterAutospacing="0" w:line="360" w:lineRule="auto"/>
        <w:rPr>
          <w:i/>
          <w:iCs/>
        </w:rPr>
      </w:pPr>
      <w:r w:rsidRPr="00FE2263">
        <w:rPr>
          <w:i/>
          <w:iCs/>
        </w:rPr>
        <w:t>Аналоги нуклеозидов (кладрибин** и флударабин**) в монорежиме или в сочетании с ритуксимабом** и/или циклофосфамидом** также эффективны у пациентов с впервые диагностированной МВ. Общая эффективность кладрибина** и флударабина** составляет от 40 до 100%. Использование этих препаратов при МВ улучшает и выживаемость. Однако длительная терапия аналогами нуклеозидов обычно сопровождается миелосупрессией, иммуносупрессией с развитием инфекционных осложнений. Кроме того, имеются сообщения, указывающие на увеличение риска трансформации МВ в агрессивные лимфомы, и увеличение развития вторичного острого миелобластного лейкоза и миелодисплазии. Поэтому использование аналогов нуклеозидов следует ограничить.</w:t>
      </w:r>
    </w:p>
    <w:p w14:paraId="355A142A" w14:textId="77777777" w:rsidR="00580D79" w:rsidRPr="00FE2263" w:rsidRDefault="00580D79" w:rsidP="0070759B">
      <w:pPr>
        <w:pStyle w:val="afd"/>
        <w:spacing w:beforeAutospacing="0" w:afterAutospacing="0" w:line="360" w:lineRule="auto"/>
      </w:pPr>
      <w:r w:rsidRPr="00FE2263">
        <w:rPr>
          <w:i/>
          <w:iCs/>
        </w:rPr>
        <w:t>Алкилирующие препараты в качестве терапии 1 линии в монорежиме или в сочетании с кортикостероидами применяется в основном у пожилых пациентов. В исследовании по сравнению длительного приема хлорамбуцила** по 0,1 мг/кг и курсового лечения по 0,3 мг/кг в течение 7 дней каждые 6 недель существенной разницы в эффективности лечения не выявлено. При длительном лечении хлорамбуцилом** общая эффективность лечения составила 79%, при курсовом — 68%, медиана ОВ – 5,4 года. Лечение хлорамбуцилом** проводят не менее 6 месяцев, так как противоопухолевый эффект наступает медленно. После достижения плато терапию следует остановить.</w:t>
      </w:r>
    </w:p>
    <w:p w14:paraId="5BC45204" w14:textId="3B973BF7" w:rsidR="00580D79" w:rsidRPr="00FE2263" w:rsidRDefault="008B7F08" w:rsidP="00710EC8">
      <w:pPr>
        <w:pStyle w:val="afff8"/>
        <w:spacing w:before="0"/>
      </w:pPr>
      <w:r w:rsidRPr="00FE2263">
        <w:rPr>
          <w:rStyle w:val="affb"/>
          <w:b w:val="0"/>
          <w:bCs w:val="0"/>
        </w:rPr>
        <w:lastRenderedPageBreak/>
        <w:t>Пациентам с впервые верифицированной МВ</w:t>
      </w:r>
      <w:r w:rsidRPr="00FE2263">
        <w:rPr>
          <w:rStyle w:val="affb"/>
        </w:rPr>
        <w:t xml:space="preserve"> рекомендуются</w:t>
      </w:r>
      <w:r w:rsidRPr="00FE2263">
        <w:t xml:space="preserve"> </w:t>
      </w:r>
      <w:r w:rsidR="00580D79" w:rsidRPr="00FE2263">
        <w:t>программы, включающие ритуксимаб**</w:t>
      </w:r>
      <w:r w:rsidR="00474C67" w:rsidRPr="00FE2263">
        <w:t xml:space="preserve"> </w:t>
      </w:r>
      <w:r w:rsidR="00710EC8" w:rsidRPr="00FE2263">
        <w:fldChar w:fldCharType="begin" w:fldLock="1"/>
      </w:r>
      <w:r w:rsidR="00710EC8" w:rsidRPr="00FE2263">
        <w:instrText>ADDIN CSL_CITATION {"citationItems":[{"id":"ITEM-1","itemData":{"DOI":"10.3816/clm.2005.n.014","ISSN":"1526-9655","PMID":"15794863","abstract":"Rituximab is an active agent for the treatment of Waldenstrom's macroglobulinemia. However, many patients do not respond to this agent and several others develop secondary resistance. In order to identify clinical and laboratory parameters that could predict a higher likelihood for response, we evaluated 54 patients who were treated with single-agent rituximab. Twenty-four patients (44%)exhibited &gt; or = 50% reduction of serum monoclonal protein. Previously untreated and pretreated patients had the same probability for response. Low response rates were noted in patients with serum monoclonal protein level &gt; or = 40 g/L (17%) and serum albumin level &lt; 35 g/L (14%). Furthermore, a multivariate analysis indicated that high serum monoclonal protein and low albumin were the dominant variables associated with shorter time to progression. The presence of 2, 1, or none of these variables was associated with median times to progression of 4 months, 11 months, and approximately 48 months, respectively. We conclude that patients with low levels of monoclonal protein and normal albumin are the best candidates for treatment with rituximab.","author":[{"dropping-particle":"","family":"Dimopoulos","given":"Meletios A","non-dropping-particle":"","parse-names":false,"suffix":""},{"dropping-particle":"","family":"Anagnostopoulos","given":"Athanasios","non-dropping-particle":"","parse-names":false,"suffix":""},{"dropping-particle":"","family":"Zervas","given":"Constantinos","non-dropping-particle":"","parse-names":false,"suffix":""},{"dropping-particle":"","family":"Kyrtsonis","given":"Marie C","non-dropping-particle":"","parse-names":false,"suffix":""},{"dropping-particle":"","family":"Zomas","given":"Athanasios","non-dropping-particle":"","parse-names":false,"suffix":""},{"dropping-particle":"","family":"Bourantas","given":"Constantinos","non-dropping-particle":"","parse-names":false,"suffix":""},{"dropping-particle":"","family":"Anagnostopoulos","given":"Nicolaos","non-dropping-particle":"","parse-names":false,"suffix":""},{"dropping-particle":"","family":"Pangalis","given":"Gerrassimos","non-dropping-particle":"","parse-names":false,"suffix":""}],"container-title":"Clinical lymphoma","id":"ITEM-1","issue":"4","issued":{"date-parts":[["2005","3"]]},"page":"270-2","title":"Predictive factors for response to rituximab in Waldenstrom's macroglobulinemia.","type":"article-journal","volume":"5"},"uris":["http://www.mendeley.com/documents/?uuid=8824f404-d36c-3ffb-885c-be910c13fa87"]},{"id":"ITEM-2","itemData":{"DOI":"10.1200/JCO.2008.20.4677","ISSN":"0732183X","abstract":"Purpose: We examined the activity of bortezomib, dexamethasone, and rituximab (BDR) in patients with symptomatic, untreated Waldenström macroglobulinemia (WM). Patients and Methods: A cycle of therapy consisted of bortezomib 1.3 mg/m2 intravenously; dexamethasone 40 mg on days 1, 4, 8, and 11; and rituximab 375 mg/m2 on day 11. Patients received four consecutive cycles for induction therapy and then four more cycles, each given 3 months apart, for maintenance therapy. Twenty-three patients received a median of seven cycles of treatment. Results: Median bone marrow disease involvement declined from 55% to 10% (P = .0004), serum immunoglobulin M levels declined from 4,830 to 1,115 mg/dL (P = .0001), and hematocrit increased from 29.8% to 38.2% (P = .0002) at best response. The overall response rates and major response rates were 96% and 83% with three complete responses, two near complete responses, three very good partial responses, 11 partial responses, and three minor responses. Responses occurred at a median of 1.4 months. With a median follow-up of 22.8 months, 18 of 23 patients remained free of disease progression. Peripheral neuropathy was the most common toxicity, and it resolved to grade ≤ 1 in 13 of 16 patients at a median of 6.0 months. Four of the first seven treated patients developed herpes zoster, resulting in the institution of prophylactic antiviral therapy. Conclusion: The results demonstrate that BDR produces rapid and durable responses, along with high rates of response and complete remissions in WM. Herpes zoster prophylaxis is necessary with BDR, and reversible peripheral neuropathy was the most common toxicity leading to premature discontinuation of bortezomib in 61% of patients. Exploration of alternative schedules for bortezomib administration that includes weekly dosing should be pursued. © 2009 by American Society of Clinical Oncology.","author":[{"dropping-particle":"","family":"Treon","given":"Steven P.","non-dropping-particle":"","parse-names":false,"suffix":""},{"dropping-particle":"","family":"Ioakimidis","given":"Leukothea","non-dropping-particle":"","parse-names":false,"suffix":""},{"dropping-particle":"","family":"Soumerai","given":"Jacob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Sheehy","given":"Patricia","non-dropping-particle":"","parse-names":false,"suffix":""},{"dropping-particle":"","family":"Nelson","given":"Marybeth","non-dropping-particle":"","parse-names":false,"suffix":""},{"dropping-particle":"","family":"Willen","given":"Michael","non-dropping-particle":"","parse-names":false,"suffix":""},{"dropping-particle":"","family":"Matous","given":"Jeffrey","non-dropping-particle":"","parse-names":false,"suffix":""},{"dropping-particle":"","family":"Mattern","given":"John","non-dropping-particle":"","parse-names":false,"suffix":""},{"dropping-particle":"","family":"Diener","given":"Jakow G.","non-dropping-particle":"","parse-names":false,"suffix":""},{"dropping-particle":"","family":"Keogh","given":"George P.","non-dropping-particle":"","parse-names":false,"suffix":""},{"dropping-particle":"","family":"Myers","given":"Thomas J.","non-dropping-particle":"","parse-names":false,"suffix":""},{"dropping-particle":"","family":"Boral","given":"Andy","non-dropping-particle":"","parse-names":false,"suffix":""},{"dropping-particle":"","family":"Birner","given":"Ann","non-dropping-particle":"","parse-names":false,"suffix":""},{"dropping-particle":"","family":"Esseltine","given":"Dixie L.","non-dropping-particle":"","parse-names":false,"suffix":""},{"dropping-particle":"","family":"Ghobrial","given":"Irene M.","non-dropping-particle":"","parse-names":false,"suffix":""}],"container-title":"Journal of Clinical Oncology","id":"ITEM-2","issue":"23","issued":{"date-parts":[["2009","8","10"]]},"page":"3830-3835","title":"Primary therapy of Waldenström macroglobulinemia with bortezomib, dexamethasone, and rituximab: WMCTG clinical trial 05-180","type":"article-journal","volume":"27"},"uris":["http://www.mendeley.com/documents/?uuid=50a2ce48-f9bf-36fc-a5ec-34724b6fbca5"]},{"id":"ITEM-3","itemData":{"DOI":"10.1002/ajh.21788","ISSN":"10968652","abstract":"This study aimed to determine the activity and safety of weekly bortezomib and rituximab in patients with untreated Waldenström Macroglobulinemia (WM). Patients with no prior therapy and symptomatic disease were eligible. Patients received bortezomib IV weekly at 1.6 mg/m2 on days 1, 8, 15, q 28 days × 6 cycles, and rituximab 375 mg/m2 weekly on cycles 1 and 4. Primary endpoint was the percent of patients with at least a minor response (MR). Twenty-six patients were treated. At least MR was observed in 23/26 patients (88%) (95% CI: 70-98%) with 1 complete response (4%), 1 near-complete response (4%), 15 partial remission (58%), and 6 MR (23%). Using IgM response evaluated by nephlometry, all 26 patients (100%) achieved at least MR or better. The median time to progression has not been reached, with an estimated 1-year event free rate of 79% (95% CI: 53, 91%). Common grade 3 and 4 therapy related adverse events included reversible neutropenia in 12%, anemia in 8%, and thrombocytopenia in 8%. No grade 3 or 4 neuropathy occurred. The combination of weekly bortezomib and rituximab exhibited significant activity and minimal neurological toxicity in patients with untreated WM. © 2010 Wiley-Liss, Inc.","author":[{"dropping-particle":"","family":"Ghobrial","given":"Irene M.","non-dropping-particle":"","parse-names":false,"suffix":""},{"dropping-particle":"","family":"Xie","given":"Wanling","non-dropping-particle":"","parse-names":false,"suffix":""},{"dropping-particle":"","family":"Padmanabhan","given":"Swaminathan","non-dropping-particle":"","parse-names":false,"suffix":""},{"dropping-particle":"","family":"Badros","given":"Ashraf","non-dropping-particle":"","parse-names":false,"suffix":""},{"dropping-particle":"","family":"Rourke","given":"Meghan","non-dropping-particle":"","parse-names":false,"suffix":""},{"dropping-particle":"","family":"Leduc","given":"Renee","non-dropping-particle":"","parse-names":false,"suffix":""},{"dropping-particle":"","family":"Chuma","given":"Stacey","non-dropping-particle":"","parse-names":false,"suffix":""},{"dropping-particle":"","family":"Kunsman","given":"Janet","non-dropping-particle":"","parse-names":false,"suffix":""},{"dropping-particle":"","family":"Warren","given":"Diane","non-dropping-particle":"","parse-names":false,"suffix":""},{"dropping-particle":"","family":"Poon","given":"Tiffany","non-dropping-particle":"","parse-names":false,"suffix":""},{"dropping-particle":"","family":"Harris","given":"Brianna","non-dropping-particle":"","parse-names":false,"suffix":""},{"dropping-particle":"","family":"Sam","given":"Amy","non-dropping-particle":"","parse-names":false,"suffix":""},{"dropping-particle":"","family":"Anderson","given":"Kenneth C.","non-dropping-particle":"","parse-names":false,"suffix":""},{"dropping-particle":"","family":"Richardson","given":"Paul G.","non-dropping-particle":"","parse-names":false,"suffix":""},{"dropping-particle":"","family":"Treon","given":"Steven P.","non-dropping-particle":"","parse-names":false,"suffix":""},{"dropping-particle":"","family":"Weller","given":"Edie","non-dropping-particle":"","parse-names":false,"suffix":""},{"dropping-particle":"","family":"Matous","given":"Jeffrey","non-dropping-particle":"","parse-names":false,"suffix":""}],"container-title":"American Journal of Hematology","id":"ITEM-3","issue":"9","issued":{"date-parts":[["2010","9"]]},"page":"670-674","publisher":"Wiley-Liss Inc.","title":"Phase II trial of weekly bortezomib in combination with rituximab in untreated patients with Waldenström Macroglobulinemia","type":"article-journal","volume":"85"},"uris":["http://www.mendeley.com/documents/?uuid=944f46df-4d40-3a6f-bb6b-2198a3617c78"]},{"id":"ITEM-4","itemData":{"DOI":"10.1200/JCO.2007.10.9926","ISSN":"0732183X","abstract":"Purpose: Alkylating agents and the anti-CD20 monoclonal antibody rituximab are among appropriate choices for the primary treatment of symptomatic patients with Waldenström macroglobulinemia (WM), and they induce at least a partial response in 30% to 50% of patients. To improve these results, we designed a phase II study that included previously untreated symptomatic patients with WM who received a combination of dexamethasone, rituximab, and cyclophosphamide (DRC). Patients and Methods: Seventy-two patients were treated with dexamethasone 20 mg intravenously followed by rituximab 375 mg/m2 intravenously on day 1 and cyclophosphamide 100 mg/m2 orally bid on days 1 to 5 (total dose, 1,000 mg/m2). This regimen was repeated every 21 days for 6 months. Patients' median age was 69 years and many had features of advanced disease such as anemia (57%), hypoalbuminemia (40%), and elevated serum beta2-microglobulin (43%). Results: On an intent-to-treat basis, 83% of patients (95% CI, 73% to 91 %) achieved a response, including 7% complete, 67% partial, and 9% minor responses. The median time to response was 4.1 months. The 2-year progression-free survival rate for all patients was 67%; for patients who responded to DRC, it was 80%. The 2-year disease-specific survival rate was 90%. Treatment with DRC was well tolerated, with 9% of patients experiencing grade 3 or 4 neutropenia and approximately 20% of patients experiencing some form of toxicity related to rituximab. Conclusion: Our large, multicenter trial showed that the non-stem-cell toxic DRC regimen is an active, well-tolerated treatment for symptomatic patients with WM. © 2007 by American Society of Clinical Oncology.","author":[{"dropping-particle":"","family":"Dimopoulos","given":"Meletios Athanasios","non-dropping-particle":"","parse-names":false,"suffix":""},{"dropping-particle":"","family":"Anagnostopoulos","given":"Athanasios","non-dropping-particle":"","parse-names":false,"suffix":""},{"dropping-particle":"","family":"Kyrtsonis","given":"Marie Christine","non-dropping-particle":"","parse-names":false,"suffix":""},{"dropping-particle":"","family":"Zervas","given":"Konstantinos","non-dropping-particle":"","parse-names":false,"suffix":""},{"dropping-particle":"","family":"Tsatalas","given":"Constantinos","non-dropping-particle":"","parse-names":false,"suffix":""},{"dropping-particle":"","family":"Kokkinis","given":"Garyfallia","non-dropping-particle":"","parse-names":false,"suffix":""},{"dropping-particle":"","family":"Repoussis","given":"Panagiotis","non-dropping-particle":"","parse-names":false,"suffix":""},{"dropping-particle":"","family":"Symeonidis","given":"Argyris","non-dropping-particle":"","parse-names":false,"suffix":""},{"dropping-particle":"","family":"Delimpasi","given":"Souzana","non-dropping-particle":"","parse-names":false,"suffix":""},{"dropping-particle":"","family":"Katodritou","given":"Eirini","non-dropping-particle":"","parse-names":false,"suffix":""},{"dropping-particle":"","family":"Vervessou","given":"Elina","non-dropping-particle":"","parse-names":false,"suffix":""},{"dropping-particle":"","family":"Michali","given":"Evridiki","non-dropping-particle":"","parse-names":false,"suffix":""},{"dropping-particle":"","family":"Pouli","given":"Anastasia","non-dropping-particle":"","parse-names":false,"suffix":""},{"dropping-particle":"","family":"Gika","given":"Dimitra","non-dropping-particle":"","parse-names":false,"suffix":""},{"dropping-particle":"","family":"Vassou","given":"Amalia","non-dropping-particle":"","parse-names":false,"suffix":""},{"dropping-particle":"","family":"Terpos","given":"Evangelos","non-dropping-particle":"","parse-names":false,"suffix":""},{"dropping-particle":"","family":"Anagnostopoulos","given":"Nikolaos","non-dropping-particle":"","parse-names":false,"suffix":""},{"dropping-particle":"","family":"Economopoulos","given":"Theophanis","non-dropping-particle":"","parse-names":false,"suffix":""},{"dropping-particle":"","family":"Pangalis","given":"Gerasimos","non-dropping-particle":"","parse-names":false,"suffix":""}],"container-title":"Journal of Clinical Oncology","id":"ITEM-4","issue":"22","issued":{"date-parts":[["2007","8","1"]]},"page":"3344-3349","title":"Primary treatment of Waldenström macroglobulinemia with dexamethasone, rituximab, and cyclophosphamide","type":"article-journal","volume":"25"},"uris":["http://www.mendeley.com/documents/?uuid=a0794f97-fda7-3505-8347-dee264ca0db0"]},{"id":"ITEM-5","itemData":{"DOI":"10.1038/leu.2008.261","ISSN":"14765551","abstract":"Lymphoplasmacytic lymphoma (LPL) is an indolent lymphoma with moderate sensitivity to conventional chemotherapy. This study investigated whether the addition of rituximab to standard chemotherapy improves treatment outcome in LPL and the subgroup of LPL patients fulfilling the criteria of Waldenstroem's macroglobulinemia (WM). A total of 69 patients with previously untreated LPL were enrolled into the trial; 64 patients were evaluable for treatment outcome. In all, 48 of the 64 LPL patients fulfilled the criteria of WM. Patients were randomly assigned to R-CHOP (rituximab, cyclophosphamide, doxorubicin, vincristine and prednisone, n=34) or CHOP (n=30). R-CHOP resulted in significantly higher overall response (OR) rate (94 vs 67%, P=0.0085) in the LPL patients and in the WM subgroup (91 vs 60%, P=0.0188). With a median observation time of 42 months, R-CHOP induced a significantly longer time to treatment failure (TTF) with a median of 63 months for R-CHOP vs 22 months in the CHOP arm in the LPL patients (P=0.0033) and in the WM subgroup (P=0.0241). There was no major difference of treatment-associated toxicity between both treatment groups. These data indicate that the addition of rituximab to front-line chemotherapy improves treatment outcome in patients with LPL or WM.","author":[{"dropping-particle":"","family":"Buske","given":"C.","non-dropping-particle":"","parse-names":false,"suffix":""},{"dropping-particle":"","family":"Hoster","given":"E.","non-dropping-particle":"","parse-names":false,"suffix":""},{"dropping-particle":"","family":"Dreyling","given":"M.","non-dropping-particle":"","parse-names":false,"suffix":""},{"dropping-particle":"","family":"Eimermacher","given":"H.","non-dropping-particle":"","parse-names":false,"suffix":""},{"dropping-particle":"","family":"Wandt","given":"H.","non-dropping-particle":"","parse-names":false,"suffix":""},{"dropping-particle":"","family":"Metzner","given":"B.","non-dropping-particle":"","parse-names":false,"suffix":""},{"dropping-particle":"","family":"Fuchs","given":"R.","non-dropping-particle":"","parse-names":false,"suffix":""},{"dropping-particle":"","family":"Bittenbring","given":"J.","non-dropping-particle":"","parse-names":false,"suffix":""},{"dropping-particle":"","family":"Woermann","given":"B.","non-dropping-particle":"","parse-names":false,"suffix":""},{"dropping-particle":"","family":"Hohloch","given":"K.","non-dropping-particle":"","parse-names":false,"suffix":""},{"dropping-particle":"","family":"Hess","given":"G.","non-dropping-particle":"","parse-names":false,"suffix":""},{"dropping-particle":"","family":"Ludwig","given":"W. D.","non-dropping-particle":"","parse-names":false,"suffix":""},{"dropping-particle":"","family":"Schimke","given":"J.","non-dropping-particle":"","parse-names":false,"suffix":""},{"dropping-particle":"","family":"Schmitz","given":"S.","non-dropping-particle":"","parse-names":false,"suffix":""},{"dropping-particle":"","family":"Kneba","given":"M.","non-dropping-particle":"","parse-names":false,"suffix":""},{"dropping-particle":"","family":"Reiser","given":"M.","non-dropping-particle":"","parse-names":false,"suffix":""},{"dropping-particle":"","family":"Graeven","given":"U.","non-dropping-particle":"","parse-names":false,"suffix":""},{"dropping-particle":"","family":"Klapper","given":"W.","non-dropping-particle":"","parse-names":false,"suffix":""},{"dropping-particle":"","family":"Unterhalt","given":"M.","non-dropping-particle":"","parse-names":false,"suffix":""},{"dropping-particle":"","family":"Hiddemann","given":"W.","non-dropping-particle":"","parse-names":false,"suffix":""}],"container-title":"Leukemia","id":"ITEM-5","issue":"1","issued":{"date-parts":[["2009","1"]]},"page":"153-161","publisher":"Nature Publishing Group","title":"The addition of rituximab to front-line therapy with CHOP (R-CHOP) results in a higher response rate and longer time to treatment failure in patients with lymphoplasmacytic lymphoma: Results of a randomized trial of the German Low-Grade Lymphoma Study Group (GLSG)","type":"article-journal","volume":"23"},"uris":["http://www.mendeley.com/documents/?uuid=4e01cf7f-4756-3189-9d5d-fe062582e4cb"]},{"id":"ITEM-6","itemData":{"DOI":"10.1111/j.1365-2141.2011.08750.x","ISSN":"00071048","abstract":"This study examined the outcome of 248 Waldenstrom macroglobulinaemia (WM) rituximab-naïve patients who responded to a rituximab-containing regimen. Eighty-six patients (35%) subsequently received maintenance rituximab (M-Rituximab). No differences in baseline characteristics, and post-induction categorical responses between cohorts were observed. The median rituximab infusions during induction was 6 for both cohorts; and 8 over a 2-year period for patients receiving M-Rituximab. Categorical responses improved in 16/162 (10%) of observed, and 36/86 (41·8%) of M-Rituximab patients respectively, following induction therapy (P&lt; 0·0001). Both progression-free (56·3 vs. 28·6months; P=0·0001) and overall survival (Not reached versus 116months; P=0·0095) were longer in patients who received M-Rituximab. Improved progression-free survival was evident despite previous treatment status, induction with rituximab alone or in combination therapy (P≤0·0001). Best serum IgM response was lower (P&lt;0·0001), and haematocrit higher (P=0·001) for patients receiving M-Rituximab. Among patients receiving M-Rituximab, an increased number of infectious events were observed, but were mainly ≤grade 2 (P=0·008). The findings of this observational study suggest improved clinical outcomes following M-Rituximab in WM patients who respond to induction with a rituximab-containing regimen. Prospective studies aimed at clarifying the role of M-Rituximab therapy in WM patients are needed to confirm these findings. © 2011 Blackwell Publishing Ltd.","author":[{"dropping-particle":"","family":"Treon","given":"Steven P.","non-dropping-particle":"","parse-names":false,"suffix":""},{"dropping-particle":"","family":"Hanzis","given":"Christina","non-dropping-particle":"","parse-names":false,"suffix":""},{"dropping-particle":"","family":"Manning","given":"Robert J.","non-dropping-particle":"","parse-names":false,"suffix":""},{"dropping-particle":"","family":"Ioakimidis","given":"Leukothea","non-dropping-particle":"","parse-names":false,"suffix":""},{"dropping-particle":"","family":"Patterson","given":"Christopher J.","non-dropping-particle":"","parse-names":false,"suffix":""},{"dropping-particle":"","family":"Hunter","given":"Zachary R.","non-dropping-particle":"","parse-names":false,"suffix":""},{"dropping-particle":"","family":"Sheehy","given":"Patricia","non-dropping-particle":"","parse-names":false,"suffix":""},{"dropping-particle":"","family":"Turnbull","given":"Barry","non-dropping-particle":"","parse-names":false,"suffix":""}],"container-title":"British Journal of Haematology","id":"ITEM-6","issue":"3","issued":{"date-parts":[["2011","8"]]},"page":"357-362","title":"Maintenance Rituximab is associated with improved clinical outcome in rituximab naïve patients with Waldenstrom Macroglobulinaemia who respond to a rituximab-containing regimen","type":"article-journal","volume":"154"},"uris":["http://www.mendeley.com/documents/?uuid=8b50c9e5-ad16-33cb-9e11-e81d590ff167"]}],"mendeley":{"formattedCitation":"[18–23]","plainTextFormattedCitation":"[18–23]","previouslyFormattedCitation":"[18–23]"},"properties":{"noteIndex":0},"schema":"https://github.com/citation-style-language/schema/raw/master/csl-citation.json"}</w:instrText>
      </w:r>
      <w:r w:rsidR="00710EC8" w:rsidRPr="00FE2263">
        <w:fldChar w:fldCharType="separate"/>
      </w:r>
      <w:r w:rsidR="00710EC8" w:rsidRPr="00FE2263">
        <w:rPr>
          <w:noProof/>
        </w:rPr>
        <w:t>[18–23]</w:t>
      </w:r>
      <w:r w:rsidR="00710EC8" w:rsidRPr="00FE2263">
        <w:fldChar w:fldCharType="end"/>
      </w:r>
      <w:r w:rsidR="00580D79" w:rsidRPr="00FE2263">
        <w:t>.</w:t>
      </w:r>
    </w:p>
    <w:p w14:paraId="158B5D97" w14:textId="3B5AC5E4" w:rsidR="00580D79" w:rsidRPr="00FE2263" w:rsidRDefault="00580D79" w:rsidP="00F817BC">
      <w:pPr>
        <w:pStyle w:val="afe"/>
        <w:ind w:firstLine="0"/>
        <w:rPr>
          <w:b/>
        </w:rPr>
      </w:pPr>
      <w:r w:rsidRPr="00FE2263">
        <w:rPr>
          <w:b/>
        </w:rPr>
        <w:t xml:space="preserve">Уровень убедительности рекомендаций </w:t>
      </w:r>
      <w:r w:rsidR="00F4745B" w:rsidRPr="00FE2263">
        <w:rPr>
          <w:b/>
        </w:rPr>
        <w:t xml:space="preserve">В </w:t>
      </w:r>
      <w:r w:rsidRPr="00FE2263">
        <w:rPr>
          <w:b/>
        </w:rPr>
        <w:t xml:space="preserve">(уровень достоверности доказательств </w:t>
      </w:r>
      <w:r w:rsidR="00F4745B" w:rsidRPr="00FE2263">
        <w:rPr>
          <w:b/>
        </w:rPr>
        <w:t>2</w:t>
      </w:r>
      <w:r w:rsidRPr="00FE2263">
        <w:rPr>
          <w:b/>
        </w:rPr>
        <w:t>).</w:t>
      </w:r>
    </w:p>
    <w:p w14:paraId="1E92202E" w14:textId="77777777" w:rsidR="00580D79" w:rsidRPr="00FE2263" w:rsidRDefault="00580D79" w:rsidP="00F817BC">
      <w:pPr>
        <w:pStyle w:val="afd"/>
        <w:spacing w:beforeAutospacing="0" w:afterAutospacing="0" w:line="360" w:lineRule="auto"/>
      </w:pPr>
      <w:r w:rsidRPr="00FE2263">
        <w:rPr>
          <w:rStyle w:val="affb"/>
        </w:rPr>
        <w:t>Комментарии:</w:t>
      </w:r>
      <w:r w:rsidRPr="00FE2263">
        <w:rPr>
          <w:rStyle w:val="affc"/>
        </w:rPr>
        <w:t xml:space="preserve"> начало лечения с программ терапии, включающих препарат ритуксимаб**, относится к рекомендациям IV-го Международного рабочего совещания по МВ для лечения пациентов с впервые диагностированной болезнью в большинстве случаев.</w:t>
      </w:r>
    </w:p>
    <w:p w14:paraId="66E952A2" w14:textId="4E0F9EA8" w:rsidR="00580D79" w:rsidRPr="00FE2263" w:rsidRDefault="008B7F08" w:rsidP="00710EC8">
      <w:pPr>
        <w:pStyle w:val="afff8"/>
        <w:spacing w:before="0"/>
      </w:pPr>
      <w:r w:rsidRPr="00FE2263">
        <w:rPr>
          <w:rStyle w:val="affb"/>
          <w:b w:val="0"/>
          <w:bCs w:val="0"/>
        </w:rPr>
        <w:t>Пациентам с впервые верифицированной МВ с синдромом гипервязкости</w:t>
      </w:r>
      <w:r w:rsidRPr="00FE2263">
        <w:rPr>
          <w:rStyle w:val="affb"/>
        </w:rPr>
        <w:t xml:space="preserve"> рекомендуются</w:t>
      </w:r>
      <w:r w:rsidRPr="00FE2263">
        <w:t xml:space="preserve"> </w:t>
      </w:r>
      <w:r w:rsidR="00580D79" w:rsidRPr="00FE2263">
        <w:t>бортезомиб**-содержащие курсы</w:t>
      </w:r>
      <w:r w:rsidR="00710EC8" w:rsidRPr="00FE2263">
        <w:t xml:space="preserve"> </w:t>
      </w:r>
      <w:r w:rsidR="00710EC8" w:rsidRPr="00FE2263">
        <w:fldChar w:fldCharType="begin" w:fldLock="1"/>
      </w:r>
      <w:r w:rsidR="00710EC8" w:rsidRPr="00FE2263">
        <w:instrText>ADDIN CSL_CITATION {"citationItems":[{"id":"ITEM-1","itemData":{"DOI":"10.1200/JCO.2008.20.4677","ISSN":"0732183X","abstract":"Purpose: We examined the activity of bortezomib, dexamethasone, and rituximab (BDR) in patients with symptomatic, untreated Waldenström macroglobulinemia (WM). Patients and Methods: A cycle of therapy consisted of bortezomib 1.3 mg/m2 intravenously; dexamethasone 40 mg on days 1, 4, 8, and 11; and rituximab 375 mg/m2 on day 11. Patients received four consecutive cycles for induction therapy and then four more cycles, each given 3 months apart, for maintenance therapy. Twenty-three patients received a median of seven cycles of treatment. Results: Median bone marrow disease involvement declined from 55% to 10% (P = .0004), serum immunoglobulin M levels declined from 4,830 to 1,115 mg/dL (P = .0001), and hematocrit increased from 29.8% to 38.2% (P = .0002) at best response. The overall response rates and major response rates were 96% and 83% with three complete responses, two near complete responses, three very good partial responses, 11 partial responses, and three minor responses. Responses occurred at a median of 1.4 months. With a median follow-up of 22.8 months, 18 of 23 patients remained free of disease progression. Peripheral neuropathy was the most common toxicity, and it resolved to grade ≤ 1 in 13 of 16 patients at a median of 6.0 months. Four of the first seven treated patients developed herpes zoster, resulting in the institution of prophylactic antiviral therapy. Conclusion: The results demonstrate that BDR produces rapid and durable responses, along with high rates of response and complete remissions in WM. Herpes zoster prophylaxis is necessary with BDR, and reversible peripheral neuropathy was the most common toxicity leading to premature discontinuation of bortezomib in 61% of patients. Exploration of alternative schedules for bortezomib administration that includes weekly dosing should be pursued. © 2009 by American Society of Clinical Oncology.","author":[{"dropping-particle":"","family":"Treon","given":"Steven P.","non-dropping-particle":"","parse-names":false,"suffix":""},{"dropping-particle":"","family":"Ioakimidis","given":"Leukothea","non-dropping-particle":"","parse-names":false,"suffix":""},{"dropping-particle":"","family":"Soumerai","given":"Jacob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Sheehy","given":"Patricia","non-dropping-particle":"","parse-names":false,"suffix":""},{"dropping-particle":"","family":"Nelson","given":"Marybeth","non-dropping-particle":"","parse-names":false,"suffix":""},{"dropping-particle":"","family":"Willen","given":"Michael","non-dropping-particle":"","parse-names":false,"suffix":""},{"dropping-particle":"","family":"Matous","given":"Jeffrey","non-dropping-particle":"","parse-names":false,"suffix":""},{"dropping-particle":"","family":"Mattern","given":"John","non-dropping-particle":"","parse-names":false,"suffix":""},{"dropping-particle":"","family":"Diener","given":"Jakow G.","non-dropping-particle":"","parse-names":false,"suffix":""},{"dropping-particle":"","family":"Keogh","given":"George P.","non-dropping-particle":"","parse-names":false,"suffix":""},{"dropping-particle":"","family":"Myers","given":"Thomas J.","non-dropping-particle":"","parse-names":false,"suffix":""},{"dropping-particle":"","family":"Boral","given":"Andy","non-dropping-particle":"","parse-names":false,"suffix":""},{"dropping-particle":"","family":"Birner","given":"Ann","non-dropping-particle":"","parse-names":false,"suffix":""},{"dropping-particle":"","family":"Esseltine","given":"Dixie L.","non-dropping-particle":"","parse-names":false,"suffix":""},{"dropping-particle":"","family":"Ghobrial","given":"Irene M.","non-dropping-particle":"","parse-names":false,"suffix":""}],"container-title":"Journal of Clinical Oncology","id":"ITEM-1","issue":"23","issued":{"date-parts":[["2009","8","10"]]},"page":"3830-3835","title":"Primary therapy of Waldenström macroglobulinemia with bortezomib, dexamethasone, and rituximab: WMCTG clinical trial 05-180","type":"article-journal","volume":"27"},"uris":["http://www.mendeley.com/documents/?uuid=50a2ce48-f9bf-36fc-a5ec-34724b6fbca5"]},{"id":"ITEM-2","itemData":{"DOI":"10.1200/JCO.2006.07.8659","ISSN":"0732183X","abstract":"Purpose: To evaluate the efficacy and toxicity of single-agent bortezomib in Waldenström's macroglobulinemia (WM). Patients and Methods: Symptomatic WM patients, untreated or previously treated, received bortezomib 1.3 mg/m 2 intravenously days 1, 4, 8, and 11 on a 21-day cycle until two cycles past complete response (CR), stable disease (SD) attained, progression (PD), or unacceptable toxicity. Responses were based on both paraprotein levels and bidimensional disease measurements. Results: Twenty-seven patients were enrolled. A median of six cycles (range, two to 39) of bortezomib were administered. Twenty-one patients had a decrease in immunoglobulin M (IgM) of at least 25%, with 12 patients (44%) reaching at least 50% IgM reduction. Using both IgM and bidimensional criteria, responses included seven partial responses (PRs; 26%), 19 SDs (70%), and one PD (4%). Total response rate was 26%. IgM reductions were prompt, with nodal responses lagging. Hemoglobin levels increased by at least 10 g/L in 18 patients (66%). Most nonhematologic toxicities were grade 1 to 2, but 20 patients (74%) developed new or worsening peripheral neuropathy (five patients with grade 3, no grade 4), a common cause for dose reduction. Onset of neuropathy was within two to four cycles and reversible in the majority. Hematologic toxicities included grade 3 to 4 thrombocytopenia in eight patients (29.6%) and neutropenia in five (19%). Toxicity led to treatment discontinuation in 12 patients (44%), most commonly because of neuropathy. Conclusion: Bortezomib has efficacy in WM, but neurotoxicity can be dose limiting. The slower response in nodal disease may require prolonged therapy, perhaps with a less intensive dosing schedule to avoid early discontinuation because of toxicity. Future studies of bortezomib in combination with other agents are warranted. © 2007 by American Society of Clinical Oncology.","author":[{"dropping-particle":"","family":"Chen","given":"Christine I.","non-dropping-particle":"","parse-names":false,"suffix":""},{"dropping-particle":"","family":"Kouroukis","given":"C. Tom","non-dropping-particle":"","parse-names":false,"suffix":""},{"dropping-particle":"","family":"White","given":"Darrell","non-dropping-particle":"","parse-names":false,"suffix":""},{"dropping-particle":"","family":"Voralia","given":"Michael","non-dropping-particle":"","parse-names":false,"suffix":""},{"dropping-particle":"","family":"Stadtmauer","given":"Edward","non-dropping-particle":"","parse-names":false,"suffix":""},{"dropping-particle":"","family":"Stewart","given":"A. Keith","non-dropping-particle":"","parse-names":false,"suffix":""},{"dropping-particle":"","family":"Wright","given":"John J.","non-dropping-particle":"","parse-names":false,"suffix":""},{"dropping-particle":"","family":"Powers","given":"Jean","non-dropping-particle":"","parse-names":false,"suffix":""},{"dropping-particle":"","family":"Walsh","given":"Wendy","non-dropping-particle":"","parse-names":false,"suffix":""},{"dropping-particle":"","family":"Eisenhauer","given":"Elizabeth","non-dropping-particle":"","parse-names":false,"suffix":""}],"container-title":"Journal of Clinical Oncology","id":"ITEM-2","issue":"12","issued":{"date-parts":[["2007","4","20"]]},"page":"1570-1575","title":"Bortezomib is active in patients with untreated or relapsed Waldenström's macroglobulinemia: A phase II study of the National Cancer Institute of Canada Clinical Trials Group","type":"article-journal","volume":"25"},"uris":["http://www.mendeley.com/documents/?uuid=41c8fa70-c352-3681-b30b-ca4edd157b43"]},{"id":"ITEM-3","itemData":{"DOI":"10.1002/ajh.21788","ISSN":"10968652","abstract":"This study aimed to determine the activity and safety of weekly bortezomib and rituximab in patients with untreated Waldenström Macroglobulinemia (WM). Patients with no prior therapy and symptomatic disease were eligible. Patients received bortezomib IV weekly at 1.6 mg/m2 on days 1, 8, 15, q 28 days × 6 cycles, and rituximab 375 mg/m2 weekly on cycles 1 and 4. Primary endpoint was the percent of patients with at least a minor response (MR). Twenty-six patients were treated. At least MR was observed in 23/26 patients (88%) (95% CI: 70-98%) with 1 complete response (4%), 1 near-complete response (4%), 15 partial remission (58%), and 6 MR (23%). Using IgM response evaluated by nephlometry, all 26 patients (100%) achieved at least MR or better. The median time to progression has not been reached, with an estimated 1-year event free rate of 79% (95% CI: 53, 91%). Common grade 3 and 4 therapy related adverse events included reversible neutropenia in 12%, anemia in 8%, and thrombocytopenia in 8%. No grade 3 or 4 neuropathy occurred. The combination of weekly bortezomib and rituximab exhibited significant activity and minimal neurological toxicity in patients with untreated WM. © 2010 Wiley-Liss, Inc.","author":[{"dropping-particle":"","family":"Ghobrial","given":"Irene M.","non-dropping-particle":"","parse-names":false,"suffix":""},{"dropping-particle":"","family":"Xie","given":"Wanling","non-dropping-particle":"","parse-names":false,"suffix":""},{"dropping-particle":"","family":"Padmanabhan","given":"Swaminathan","non-dropping-particle":"","parse-names":false,"suffix":""},{"dropping-particle":"","family":"Badros","given":"Ashraf","non-dropping-particle":"","parse-names":false,"suffix":""},{"dropping-particle":"","family":"Rourke","given":"Meghan","non-dropping-particle":"","parse-names":false,"suffix":""},{"dropping-particle":"","family":"Leduc","given":"Renee","non-dropping-particle":"","parse-names":false,"suffix":""},{"dropping-particle":"","family":"Chuma","given":"Stacey","non-dropping-particle":"","parse-names":false,"suffix":""},{"dropping-particle":"","family":"Kunsman","given":"Janet","non-dropping-particle":"","parse-names":false,"suffix":""},{"dropping-particle":"","family":"Warren","given":"Diane","non-dropping-particle":"","parse-names":false,"suffix":""},{"dropping-particle":"","family":"Poon","given":"Tiffany","non-dropping-particle":"","parse-names":false,"suffix":""},{"dropping-particle":"","family":"Harris","given":"Brianna","non-dropping-particle":"","parse-names":false,"suffix":""},{"dropping-particle":"","family":"Sam","given":"Amy","non-dropping-particle":"","parse-names":false,"suffix":""},{"dropping-particle":"","family":"Anderson","given":"Kenneth C.","non-dropping-particle":"","parse-names":false,"suffix":""},{"dropping-particle":"","family":"Richardson","given":"Paul G.","non-dropping-particle":"","parse-names":false,"suffix":""},{"dropping-particle":"","family":"Treon","given":"Steven P.","non-dropping-particle":"","parse-names":false,"suffix":""},{"dropping-particle":"","family":"Weller","given":"Edie","non-dropping-particle":"","parse-names":false,"suffix":""},{"dropping-particle":"","family":"Matous","given":"Jeffrey","non-dropping-particle":"","parse-names":false,"suffix":""}],"container-title":"American Journal of Hematology","id":"ITEM-3","issue":"9","issued":{"date-parts":[["2010","9"]]},"page":"670-674","publisher":"Wiley-Liss Inc.","title":"Phase II trial of weekly bortezomib in combination with rituximab in untreated patients with Waldenström Macroglobulinemia","type":"article-journal","volume":"85"},"uris":["http://www.mendeley.com/documents/?uuid=944f46df-4d40-3a6f-bb6b-2198a3617c78"]}],"mendeley":{"formattedCitation":"[19,20,24]","plainTextFormattedCitation":"[19,20,24]","previouslyFormattedCitation":"[19,20,24]"},"properties":{"noteIndex":0},"schema":"https://github.com/citation-style-language/schema/raw/master/csl-citation.json"}</w:instrText>
      </w:r>
      <w:r w:rsidR="00710EC8" w:rsidRPr="00FE2263">
        <w:fldChar w:fldCharType="separate"/>
      </w:r>
      <w:r w:rsidR="00710EC8" w:rsidRPr="00FE2263">
        <w:rPr>
          <w:noProof/>
        </w:rPr>
        <w:t>[19,20,24]</w:t>
      </w:r>
      <w:r w:rsidR="00710EC8" w:rsidRPr="00FE2263">
        <w:fldChar w:fldCharType="end"/>
      </w:r>
      <w:r w:rsidR="00710EC8" w:rsidRPr="00FE2263">
        <w:rPr>
          <w:lang w:val="en-US"/>
        </w:rPr>
        <w:t>.</w:t>
      </w:r>
    </w:p>
    <w:p w14:paraId="20140D76" w14:textId="1C1C5EE7" w:rsidR="00580D79" w:rsidRPr="00FE2263" w:rsidRDefault="00580D79" w:rsidP="00F817BC">
      <w:pPr>
        <w:pStyle w:val="afe"/>
        <w:ind w:firstLine="0"/>
        <w:rPr>
          <w:b/>
        </w:rPr>
      </w:pPr>
      <w:r w:rsidRPr="00FE2263">
        <w:rPr>
          <w:b/>
        </w:rPr>
        <w:t xml:space="preserve">Уровень убедительности рекомендаций </w:t>
      </w:r>
      <w:r w:rsidR="00F4745B" w:rsidRPr="00FE2263">
        <w:rPr>
          <w:b/>
        </w:rPr>
        <w:t xml:space="preserve">С </w:t>
      </w:r>
      <w:r w:rsidRPr="00FE2263">
        <w:rPr>
          <w:b/>
        </w:rPr>
        <w:t xml:space="preserve">(уровень достоверности доказательств </w:t>
      </w:r>
      <w:r w:rsidR="00F4745B" w:rsidRPr="00FE2263">
        <w:rPr>
          <w:b/>
        </w:rPr>
        <w:t>4</w:t>
      </w:r>
      <w:r w:rsidRPr="00FE2263">
        <w:rPr>
          <w:b/>
        </w:rPr>
        <w:t>).</w:t>
      </w:r>
    </w:p>
    <w:p w14:paraId="3C551DF7" w14:textId="77777777" w:rsidR="00580D79" w:rsidRPr="00FE2263" w:rsidRDefault="00580D79" w:rsidP="00F817BC">
      <w:pPr>
        <w:pStyle w:val="afd"/>
        <w:spacing w:beforeAutospacing="0" w:afterAutospacing="0" w:line="360" w:lineRule="auto"/>
      </w:pPr>
      <w:r w:rsidRPr="00FE2263">
        <w:rPr>
          <w:rStyle w:val="affb"/>
        </w:rPr>
        <w:t>Комментарии:</w:t>
      </w:r>
      <w:r w:rsidRPr="00FE2263">
        <w:rPr>
          <w:rStyle w:val="affc"/>
        </w:rPr>
        <w:t xml:space="preserve"> </w:t>
      </w:r>
      <w:r w:rsidR="001062BB" w:rsidRPr="00FE2263">
        <w:rPr>
          <w:rStyle w:val="affc"/>
        </w:rPr>
        <w:t xml:space="preserve">при </w:t>
      </w:r>
      <w:r w:rsidRPr="00FE2263">
        <w:rPr>
          <w:rStyle w:val="affc"/>
        </w:rPr>
        <w:t xml:space="preserve">синдроме гипервязкости в качестве программы выбора предлагают бортезомиб**-содержащий режим BDR (бортезомиб, дексаметазон, ритуксимаб). </w:t>
      </w:r>
    </w:p>
    <w:p w14:paraId="286B6C1E" w14:textId="679B4F85" w:rsidR="00580D79" w:rsidRPr="00FE2263" w:rsidRDefault="008B7F08" w:rsidP="00710EC8">
      <w:pPr>
        <w:pStyle w:val="afff8"/>
        <w:spacing w:before="0"/>
      </w:pPr>
      <w:r w:rsidRPr="00FE2263">
        <w:rPr>
          <w:rStyle w:val="affb"/>
          <w:b w:val="0"/>
          <w:bCs w:val="0"/>
        </w:rPr>
        <w:t>Пациентам с впервые верифицированной МВ</w:t>
      </w:r>
      <w:r w:rsidRPr="00FE2263">
        <w:rPr>
          <w:rStyle w:val="affb"/>
          <w:b w:val="0"/>
          <w:bCs w:val="0"/>
          <w:i/>
          <w:iCs/>
        </w:rPr>
        <w:t xml:space="preserve"> </w:t>
      </w:r>
      <w:r w:rsidRPr="00FE2263">
        <w:rPr>
          <w:rStyle w:val="affc"/>
          <w:i w:val="0"/>
          <w:iCs w:val="0"/>
        </w:rPr>
        <w:t>с синдромом гипервязкости, большими размерами л/у или селезенки, криоглобулинемией, когда необходима быстрая редукция опухоли</w:t>
      </w:r>
      <w:r w:rsidRPr="00FE2263">
        <w:rPr>
          <w:rStyle w:val="affb"/>
        </w:rPr>
        <w:t xml:space="preserve"> рекомендуются</w:t>
      </w:r>
      <w:r w:rsidRPr="00FE2263">
        <w:t xml:space="preserve"> </w:t>
      </w:r>
      <w:r w:rsidR="00580D79" w:rsidRPr="00FE2263">
        <w:t xml:space="preserve">программы с включением циклофосфамида** (R-CHOP, </w:t>
      </w:r>
      <w:r w:rsidR="00F4745B" w:rsidRPr="00FE2263">
        <w:t>R</w:t>
      </w:r>
      <w:r w:rsidR="00F4745B" w:rsidRPr="00FE2263">
        <w:rPr>
          <w:lang w:val="en-US"/>
        </w:rPr>
        <w:t>CD</w:t>
      </w:r>
      <w:r w:rsidR="00580D79" w:rsidRPr="00FE2263">
        <w:t>)</w:t>
      </w:r>
      <w:r w:rsidR="00710EC8" w:rsidRPr="00FE2263">
        <w:t xml:space="preserve"> </w:t>
      </w:r>
      <w:r w:rsidR="00710EC8" w:rsidRPr="00FE2263">
        <w:fldChar w:fldCharType="begin" w:fldLock="1"/>
      </w:r>
      <w:r w:rsidR="00923D82" w:rsidRPr="00FE2263">
        <w:instrText>ADDIN CSL_CITATION {"citationItems":[{"id":"ITEM-1","itemData":{"DOI":"10.1038/leu.2008.261","ISSN":"14765551","abstract":"Lymphoplasmacytic lymphoma (LPL) is an indolent lymphoma with moderate sensitivity to conventional chemotherapy. This study investigated whether the addition of rituximab to standard chemotherapy improves treatment outcome in LPL and the subgroup of LPL patients fulfilling the criteria of Waldenstroem's macroglobulinemia (WM). A total of 69 patients with previously untreated LPL were enrolled into the trial; 64 patients were evaluable for treatment outcome. In all, 48 of the 64 LPL patients fulfilled the criteria of WM. Patients were randomly assigned to R-CHOP (rituximab, cyclophosphamide, doxorubicin, vincristine and prednisone, n=34) or CHOP (n=30). R-CHOP resulted in significantly higher overall response (OR) rate (94 vs 67%, P=0.0085) in the LPL patients and in the WM subgroup (91 vs 60%, P=0.0188). With a median observation time of 42 months, R-CHOP induced a significantly longer time to treatment failure (TTF) with a median of 63 months for R-CHOP vs 22 months in the CHOP arm in the LPL patients (P=0.0033) and in the WM subgroup (P=0.0241). There was no major difference of treatment-associated toxicity between both treatment groups. These data indicate that the addition of rituximab to front-line chemotherapy improves treatment outcome in patients with LPL or WM.","author":[{"dropping-particle":"","family":"Buske","given":"C.","non-dropping-particle":"","parse-names":false,"suffix":""},{"dropping-particle":"","family":"Hoster","given":"E.","non-dropping-particle":"","parse-names":false,"suffix":""},{"dropping-particle":"","family":"Dreyling","given":"M.","non-dropping-particle":"","parse-names":false,"suffix":""},{"dropping-particle":"","family":"Eimermacher","given":"H.","non-dropping-particle":"","parse-names":false,"suffix":""},{"dropping-particle":"","family":"Wandt","given":"H.","non-dropping-particle":"","parse-names":false,"suffix":""},{"dropping-particle":"","family":"Metzner","given":"B.","non-dropping-particle":"","parse-names":false,"suffix":""},{"dropping-particle":"","family":"Fuchs","given":"R.","non-dropping-particle":"","parse-names":false,"suffix":""},{"dropping-particle":"","family":"Bittenbring","given":"J.","non-dropping-particle":"","parse-names":false,"suffix":""},{"dropping-particle":"","family":"Woermann","given":"B.","non-dropping-particle":"","parse-names":false,"suffix":""},{"dropping-particle":"","family":"Hohloch","given":"K.","non-dropping-particle":"","parse-names":false,"suffix":""},{"dropping-particle":"","family":"Hess","given":"G.","non-dropping-particle":"","parse-names":false,"suffix":""},{"dropping-particle":"","family":"Ludwig","given":"W. D.","non-dropping-particle":"","parse-names":false,"suffix":""},{"dropping-particle":"","family":"Schimke","given":"J.","non-dropping-particle":"","parse-names":false,"suffix":""},{"dropping-particle":"","family":"Schmitz","given":"S.","non-dropping-particle":"","parse-names":false,"suffix":""},{"dropping-particle":"","family":"Kneba","given":"M.","non-dropping-particle":"","parse-names":false,"suffix":""},{"dropping-particle":"","family":"Reiser","given":"M.","non-dropping-particle":"","parse-names":false,"suffix":""},{"dropping-particle":"","family":"Graeven","given":"U.","non-dropping-particle":"","parse-names":false,"suffix":""},{"dropping-particle":"","family":"Klapper","given":"W.","non-dropping-particle":"","parse-names":false,"suffix":""},{"dropping-particle":"","family":"Unterhalt","given":"M.","non-dropping-particle":"","parse-names":false,"suffix":""},{"dropping-particle":"","family":"Hiddemann","given":"W.","non-dropping-particle":"","parse-names":false,"suffix":""}],"container-title":"Leukemia","id":"ITEM-1","issue":"1","issued":{"date-parts":[["2009","1"]]},"page":"153-161","publisher":"Nature Publishing Group","title":"The addition of rituximab to front-line therapy with CHOP (R-CHOP) results in a higher response rate and longer time to treatment failure in patients with lymphoplasmacytic lymphoma: Results of a randomized trial of the German Low-Grade Lymphoma Study Group (GLSG)","type":"article-journal","volume":"23"},"uris":["http://www.mendeley.com/documents/?uuid=4e01cf7f-4756-3189-9d5d-fe062582e4cb"]},{"id":"ITEM-2","itemData":{"DOI":"10.1007/s00277-018-3311-z","ISSN":"14320584","abstract":"The treatment approaches for Waldenstrom macroglobulinemia (WM) are largely based upon information from single-arm phase II trials, without comparative data. We compared the efficacy of two commonly used regimens in routine practice (bendamustine-rituximab (BR) and dexamethasone, rituximab plus cyclophosphamide (DRC)) and evaluated their activity with respect to the patients’ MYD88L265P mutation status. Of 160 consecutive patients, 60 received BR (43 with relapsed/refractory WM) and 100 received DRC (50 had relapsed/refractory WM). In the treatment-naïve setting, overall response rate (ORR) was 93% with BR versus 96% with DRC (p = 0.55). Two-year progression-free survival (PFS) with BR and DRC was 88 and 61%, respectively (p = 0.07). In salvage setting, ORR was 95% with BR versus 87% with DRC, p = 0.45; median PFS with BR was 58 versus 32 months with DRC (2-year PFS was 66 versus 53%; p = 0.08). Median disease-specific survival was not reached with BR versus 166 months with DRC (p = 0.51). The time-to-event endpoints and depth of response were independent of the MYD88 mutation status. Grade ≥ 3 adverse events of both regimens were comparable. A trend for longer PFS was observed with BR although the regimens have comparable toxicities. The activity of BR and DRC appears to be unaffected by patients’ MYD88 mutation status.","author":[{"dropping-particle":"","family":"Paludo","given":"Jonas","non-dropping-particle":"","parse-names":false,"suffix":""},{"dropping-particle":"","family":"Abeykoon","given":"Jithma P.","non-dropping-particle":"","parse-names":false,"suffix":""},{"dropping-particle":"","family":"Shreders","given":"Amanda","non-dropping-particle":"","parse-names":false,"suffix":""},{"dropping-particle":"","family":"Ansell","given":"Stephen M.","non-dropping-particle":"","parse-names":false,"suffix":""},{"dropping-particle":"","family":"Kumar","given":"Shaji","non-dropping-particle":"","parse-names":false,"suffix":""},{"dropping-particle":"","family":"Ailawadhi","given":"Sikander","non-dropping-particle":"","parse-names":false,"suffix":""},{"dropping-particle":"","family":"King","given":"Rebecca L.","non-dropping-particle":"","parse-names":false,"suffix":""},{"dropping-particle":"","family":"Koehler","given":"Amber B.","non-dropping-particle":"","parse-names":false,"suffix":""},{"dropping-particle":"","family":"Reeder","given":"Craig B.","non-dropping-particle":"","parse-names":false,"suffix":""},{"dropping-particle":"","family":"Buadi","given":"Francis K.","non-dropping-particle":"","parse-names":false,"suffix":""},{"dropping-particle":"","family":"Dispenzieri","given":"Angela","non-dropping-particle":"","parse-names":false,"suffix":""},{"dropping-particle":"","family":"Lacy","given":"Martha Q.","non-dropping-particle":"","parse-names":false,"suffix":""},{"dropping-particle":"","family":"Dingli","given":"David","non-dropping-particle":"","parse-names":false,"suffix":""},{"dropping-particle":"","family":"Witzig","given":"Thomas E.","non-dropping-particle":"","parse-names":false,"suffix":""},{"dropping-particle":"","family":"Go","given":"Ronald S.","non-dropping-particle":"","parse-names":false,"suffix":""},{"dropping-particle":"","family":"Gonsalves","given":"Wilson I.","non-dropping-particle":"","parse-names":false,"suffix":""},{"dropping-particle":"","family":"Kourelis","given":"Taxiarchis","non-dropping-particle":"","parse-names":false,"suffix":""},{"dropping-particle":"","family":"Warsame","given":"Rahma","non-dropping-particle":"","parse-names":false,"suffix":""},{"dropping-particle":"","family":"Leung","given":"Nelson","non-dropping-particle":"","parse-names":false,"suffix":""},{"dropping-particle":"","family":"Habermann","given":"Thomas M.","non-dropping-particle":"","parse-names":false,"suffix":""},{"dropping-particle":"","family":"Hayman","given":"Suzanne","non-dropping-particle":"","parse-names":false,"suffix":""},{"dropping-particle":"","family":"Lin","given":"Yi","non-dropping-particle":"","parse-names":false,"suffix":""},{"dropping-particle":"","family":"Kyle","given":"Robert A.","non-dropping-particle":"","parse-names":false,"suffix":""},{"dropping-particle":"","family":"Rajkumar","given":"S. Vincent","non-dropping-particle":"","parse-names":false,"suffix":""},{"dropping-particle":"","family":"Gertz","given":"Morie A.","non-dropping-particle":"","parse-names":false,"suffix":""},{"dropping-particle":"","family":"Kapoor","given":"Prashant","non-dropping-particle":"","parse-names":false,"suffix":""}],"container-title":"Annals of Hematology","id":"ITEM-2","issue":"8","issued":{"date-parts":[["2018","8","1"]]},"page":"1417-1425","publisher":"Springer Verlag","title":"Bendamustine and rituximab (BR) versus dexamethasone, rituximab, and cyclophosphamide (DRC) in patients with Waldenström macroglobulinemia","type":"article-journal","volume":"97"},"uris":["http://www.mendeley.com/documents/?uuid=5cce7a92-f5e1-3ef3-a35b-9cdb7f8b2649"]},{"id":"ITEM-3","itemData":{"DOI":"10.1200/JCO.2007.10.9926","ISSN":"0732183X","abstract":"Purpose: Alkylating agents and the anti-CD20 monoclonal antibody rituximab are among appropriate choices for the primary treatment of symptomatic patients with Waldenström macroglobulinemia (WM), and they induce at least a partial response in 30% to 50% of patients. To improve these results, we designed a phase II study that included previously untreated symptomatic patients with WM who received a combination of dexamethasone, rituximab, and cyclophosphamide (DRC). Patients and Methods: Seventy-two patients were treated with dexamethasone 20 mg intravenously followed by rituximab 375 mg/m2 intravenously on day 1 and cyclophosphamide 100 mg/m2 orally bid on days 1 to 5 (total dose, 1,000 mg/m2). This regimen was repeated every 21 days for 6 months. Patients' median age was 69 years and many had features of advanced disease such as anemia (57%), hypoalbuminemia (40%), and elevated serum beta2-microglobulin (43%). Results: On an intent-to-treat basis, 83% of patients (95% CI, 73% to 91 %) achieved a response, including 7% complete, 67% partial, and 9% minor responses. The median time to response was 4.1 months. The 2-year progression-free survival rate for all patients was 67%; for patients who responded to DRC, it was 80%. The 2-year disease-specific survival rate was 90%. Treatment with DRC was well tolerated, with 9% of patients experiencing grade 3 or 4 neutropenia and approximately 20% of patients experiencing some form of toxicity related to rituximab. Conclusion: Our large, multicenter trial showed that the non-stem-cell toxic DRC regimen is an active, well-tolerated treatment for symptomatic patients with WM. © 2007 by American Society of Clinical Oncology.","author":[{"dropping-particle":"","family":"Dimopoulos","given":"Meletios Athanasios","non-dropping-particle":"","parse-names":false,"suffix":""},{"dropping-particle":"","family":"Anagnostopoulos","given":"Athanasios","non-dropping-particle":"","parse-names":false,"suffix":""},{"dropping-particle":"","family":"Kyrtsonis","given":"Marie Christine","non-dropping-particle":"","parse-names":false,"suffix":""},{"dropping-particle":"","family":"Zervas","given":"Konstantinos","non-dropping-particle":"","parse-names":false,"suffix":""},{"dropping-particle":"","family":"Tsatalas","given":"Constantinos","non-dropping-particle":"","parse-names":false,"suffix":""},{"dropping-particle":"","family":"Kokkinis","given":"Garyfallia","non-dropping-particle":"","parse-names":false,"suffix":""},{"dropping-particle":"","family":"Repoussis","given":"Panagiotis","non-dropping-particle":"","parse-names":false,"suffix":""},{"dropping-particle":"","family":"Symeonidis","given":"Argyris","non-dropping-particle":"","parse-names":false,"suffix":""},{"dropping-particle":"","family":"Delimpasi","given":"Souzana","non-dropping-particle":"","parse-names":false,"suffix":""},{"dropping-particle":"","family":"Katodritou","given":"Eirini","non-dropping-particle":"","parse-names":false,"suffix":""},{"dropping-particle":"","family":"Vervessou","given":"Elina","non-dropping-particle":"","parse-names":false,"suffix":""},{"dropping-particle":"","family":"Michali","given":"Evridiki","non-dropping-particle":"","parse-names":false,"suffix":""},{"dropping-particle":"","family":"Pouli","given":"Anastasia","non-dropping-particle":"","parse-names":false,"suffix":""},{"dropping-particle":"","family":"Gika","given":"Dimitra","non-dropping-particle":"","parse-names":false,"suffix":""},{"dropping-particle":"","family":"Vassou","given":"Amalia","non-dropping-particle":"","parse-names":false,"suffix":""},{"dropping-particle":"","family":"Terpos","given":"Evangelos","non-dropping-particle":"","parse-names":false,"suffix":""},{"dropping-particle":"","family":"Anagnostopoulos","given":"Nikolaos","non-dropping-particle":"","parse-names":false,"suffix":""},{"dropping-particle":"","family":"Economopoulos","given":"Theophanis","non-dropping-particle":"","parse-names":false,"suffix":""},{"dropping-particle":"","family":"Pangalis","given":"Gerasimos","non-dropping-particle":"","parse-names":false,"suffix":""}],"container-title":"Journal of Clinical Oncology","id":"ITEM-3","issue":"22","issued":{"date-parts":[["2007","8","1"]]},"page":"3344-3349","title":"Primary treatment of Waldenström macroglobulinemia with dexamethasone, rituximab, and cyclophosphamide","type":"article-journal","volume":"25"},"uris":["http://www.mendeley.com/documents/?uuid=a0794f97-fda7-3505-8347-dee264ca0db0"]}],"mendeley":{"formattedCitation":"[21,22,25]","plainTextFormattedCitation":"[21,22,25]","previouslyFormattedCitation":"[21,22,25]"},"properties":{"noteIndex":0},"schema":"https://github.com/citation-style-language/schema/raw/master/csl-citation.json"}</w:instrText>
      </w:r>
      <w:r w:rsidR="00710EC8" w:rsidRPr="00FE2263">
        <w:fldChar w:fldCharType="separate"/>
      </w:r>
      <w:r w:rsidR="00923D82" w:rsidRPr="00FE2263">
        <w:rPr>
          <w:noProof/>
        </w:rPr>
        <w:t>[21,22,25]</w:t>
      </w:r>
      <w:r w:rsidR="00710EC8" w:rsidRPr="00FE2263">
        <w:fldChar w:fldCharType="end"/>
      </w:r>
      <w:r w:rsidR="00923D82" w:rsidRPr="00FE2263">
        <w:rPr>
          <w:rStyle w:val="affb"/>
          <w:b w:val="0"/>
          <w:bCs w:val="0"/>
          <w:lang w:val="en-US"/>
        </w:rPr>
        <w:t>.</w:t>
      </w:r>
    </w:p>
    <w:p w14:paraId="3C1F7724" w14:textId="77777777" w:rsidR="00580D79" w:rsidRPr="00FE2263" w:rsidRDefault="00580D79" w:rsidP="00F817BC">
      <w:pPr>
        <w:pStyle w:val="afe"/>
        <w:ind w:firstLine="0"/>
        <w:rPr>
          <w:b/>
        </w:rPr>
      </w:pPr>
      <w:r w:rsidRPr="00FE2263">
        <w:rPr>
          <w:b/>
        </w:rPr>
        <w:t xml:space="preserve">Уровень убедительности рекомендаций </w:t>
      </w:r>
      <w:r w:rsidRPr="00FE2263">
        <w:rPr>
          <w:b/>
          <w:lang w:val="en-US"/>
        </w:rPr>
        <w:t>B</w:t>
      </w:r>
      <w:r w:rsidRPr="00FE2263">
        <w:rPr>
          <w:b/>
        </w:rPr>
        <w:t xml:space="preserve"> (уровень достоверности доказательств 2).</w:t>
      </w:r>
    </w:p>
    <w:p w14:paraId="1E2A7B6B" w14:textId="541914AB" w:rsidR="00580D79" w:rsidRPr="00FE2263" w:rsidRDefault="008B7F08" w:rsidP="00923D82">
      <w:pPr>
        <w:pStyle w:val="afff8"/>
        <w:spacing w:before="0"/>
      </w:pPr>
      <w:r w:rsidRPr="00FE2263">
        <w:rPr>
          <w:rStyle w:val="affb"/>
          <w:b w:val="0"/>
          <w:bCs w:val="0"/>
        </w:rPr>
        <w:t>Пациентам с впервые верифицированной МВ</w:t>
      </w:r>
      <w:r w:rsidRPr="00FE2263">
        <w:rPr>
          <w:rStyle w:val="affb"/>
        </w:rPr>
        <w:t xml:space="preserve"> </w:t>
      </w:r>
      <w:r w:rsidRPr="00FE2263">
        <w:rPr>
          <w:rStyle w:val="affb"/>
          <w:b w:val="0"/>
          <w:bCs w:val="0"/>
        </w:rPr>
        <w:t>с цитопениями (особенно с тромбоцитопенией)</w:t>
      </w:r>
      <w:r w:rsidRPr="00FE2263">
        <w:rPr>
          <w:rStyle w:val="affb"/>
        </w:rPr>
        <w:t xml:space="preserve"> рекомендуется</w:t>
      </w:r>
      <w:r w:rsidRPr="00FE2263">
        <w:t xml:space="preserve"> </w:t>
      </w:r>
      <w:r w:rsidR="00580D79" w:rsidRPr="00FE2263">
        <w:t xml:space="preserve">лечение по программе </w:t>
      </w:r>
      <w:r w:rsidR="00F4745B" w:rsidRPr="00FE2263">
        <w:t>R</w:t>
      </w:r>
      <w:r w:rsidR="00F4745B" w:rsidRPr="00FE2263">
        <w:rPr>
          <w:lang w:val="en-US"/>
        </w:rPr>
        <w:t>CD</w:t>
      </w:r>
      <w:r w:rsidR="00F4745B" w:rsidRPr="00FE2263">
        <w:t xml:space="preserve"> </w:t>
      </w:r>
      <w:r w:rsidR="00580D79" w:rsidRPr="00FE2263">
        <w:t>(ритуксимаб**, дексаметазон**, циклофосфан**)</w:t>
      </w:r>
      <w:r w:rsidR="00923D82" w:rsidRPr="00FE2263">
        <w:t xml:space="preserve"> </w:t>
      </w:r>
      <w:r w:rsidR="00923D82" w:rsidRPr="00FE2263">
        <w:fldChar w:fldCharType="begin" w:fldLock="1"/>
      </w:r>
      <w:r w:rsidR="00923D82" w:rsidRPr="00FE2263">
        <w:instrText>ADDIN CSL_CITATION {"citationItems":[{"id":"ITEM-1","itemData":{"DOI":"10.1200/JCO.2007.10.9926","ISSN":"0732183X","abstract":"Purpose: Alkylating agents and the anti-CD20 monoclonal antibody rituximab are among appropriate choices for the primary treatment of symptomatic patients with Waldenström macroglobulinemia (WM), and they induce at least a partial response in 30% to 50% of patients. To improve these results, we designed a phase II study that included previously untreated symptomatic patients with WM who received a combination of dexamethasone, rituximab, and cyclophosphamide (DRC). Patients and Methods: Seventy-two patients were treated with dexamethasone 20 mg intravenously followed by rituximab 375 mg/m2 intravenously on day 1 and cyclophosphamide 100 mg/m2 orally bid on days 1 to 5 (total dose, 1,000 mg/m2). This regimen was repeated every 21 days for 6 months. Patients' median age was 69 years and many had features of advanced disease such as anemia (57%), hypoalbuminemia (40%), and elevated serum beta2-microglobulin (43%). Results: On an intent-to-treat basis, 83% of patients (95% CI, 73% to 91 %) achieved a response, including 7% complete, 67% partial, and 9% minor responses. The median time to response was 4.1 months. The 2-year progression-free survival rate for all patients was 67%; for patients who responded to DRC, it was 80%. The 2-year disease-specific survival rate was 90%. Treatment with DRC was well tolerated, with 9% of patients experiencing grade 3 or 4 neutropenia and approximately 20% of patients experiencing some form of toxicity related to rituximab. Conclusion: Our large, multicenter trial showed that the non-stem-cell toxic DRC regimen is an active, well-tolerated treatment for symptomatic patients with WM. © 2007 by American Society of Clinical Oncology.","author":[{"dropping-particle":"","family":"Dimopoulos","given":"Meletios Athanasios","non-dropping-particle":"","parse-names":false,"suffix":""},{"dropping-particle":"","family":"Anagnostopoulos","given":"Athanasios","non-dropping-particle":"","parse-names":false,"suffix":""},{"dropping-particle":"","family":"Kyrtsonis","given":"Marie Christine","non-dropping-particle":"","parse-names":false,"suffix":""},{"dropping-particle":"","family":"Zervas","given":"Konstantinos","non-dropping-particle":"","parse-names":false,"suffix":""},{"dropping-particle":"","family":"Tsatalas","given":"Constantinos","non-dropping-particle":"","parse-names":false,"suffix":""},{"dropping-particle":"","family":"Kokkinis","given":"Garyfallia","non-dropping-particle":"","parse-names":false,"suffix":""},{"dropping-particle":"","family":"Repoussis","given":"Panagiotis","non-dropping-particle":"","parse-names":false,"suffix":""},{"dropping-particle":"","family":"Symeonidis","given":"Argyris","non-dropping-particle":"","parse-names":false,"suffix":""},{"dropping-particle":"","family":"Delimpasi","given":"Souzana","non-dropping-particle":"","parse-names":false,"suffix":""},{"dropping-particle":"","family":"Katodritou","given":"Eirini","non-dropping-particle":"","parse-names":false,"suffix":""},{"dropping-particle":"","family":"Vervessou","given":"Elina","non-dropping-particle":"","parse-names":false,"suffix":""},{"dropping-particle":"","family":"Michali","given":"Evridiki","non-dropping-particle":"","parse-names":false,"suffix":""},{"dropping-particle":"","family":"Pouli","given":"Anastasia","non-dropping-particle":"","parse-names":false,"suffix":""},{"dropping-particle":"","family":"Gika","given":"Dimitra","non-dropping-particle":"","parse-names":false,"suffix":""},{"dropping-particle":"","family":"Vassou","given":"Amalia","non-dropping-particle":"","parse-names":false,"suffix":""},{"dropping-particle":"","family":"Terpos","given":"Evangelos","non-dropping-particle":"","parse-names":false,"suffix":""},{"dropping-particle":"","family":"Anagnostopoulos","given":"Nikolaos","non-dropping-particle":"","parse-names":false,"suffix":""},{"dropping-particle":"","family":"Economopoulos","given":"Theophanis","non-dropping-particle":"","parse-names":false,"suffix":""},{"dropping-particle":"","family":"Pangalis","given":"Gerasimos","non-dropping-particle":"","parse-names":false,"suffix":""}],"container-title":"Journal of Clinical Oncology","id":"ITEM-1","issue":"22","issued":{"date-parts":[["2007","8","1"]]},"page":"3344-3349","title":"Primary treatment of Waldenström macroglobulinemia with dexamethasone, rituximab, and cyclophosphamide","type":"article-journal","volume":"25"},"uris":["http://www.mendeley.com/documents/?uuid=a0794f97-fda7-3505-8347-dee264ca0db0"]},{"id":"ITEM-2","itemData":{"DOI":"10.1007/s00277-018-3311-z","ISSN":"14320584","abstract":"The treatment approaches for Waldenstrom macroglobulinemia (WM) are largely based upon information from single-arm phase II trials, without comparative data. We compared the efficacy of two commonly used regimens in routine practice (bendamustine-rituximab (BR) and dexamethasone, rituximab plus cyclophosphamide (DRC)) and evaluated their activity with respect to the patients’ MYD88L265P mutation status. Of 160 consecutive patients, 60 received BR (43 with relapsed/refractory WM) and 100 received DRC (50 had relapsed/refractory WM). In the treatment-naïve setting, overall response rate (ORR) was 93% with BR versus 96% with DRC (p = 0.55). Two-year progression-free survival (PFS) with BR and DRC was 88 and 61%, respectively (p = 0.07). In salvage setting, ORR was 95% with BR versus 87% with DRC, p = 0.45; median PFS with BR was 58 versus 32 months with DRC (2-year PFS was 66 versus 53%; p = 0.08). Median disease-specific survival was not reached with BR versus 166 months with DRC (p = 0.51). The time-to-event endpoints and depth of response were independent of the MYD88 mutation status. Grade ≥ 3 adverse events of both regimens were comparable. A trend for longer PFS was observed with BR although the regimens have comparable toxicities. The activity of BR and DRC appears to be unaffected by patients’ MYD88 mutation status.","author":[{"dropping-particle":"","family":"Paludo","given":"Jonas","non-dropping-particle":"","parse-names":false,"suffix":""},{"dropping-particle":"","family":"Abeykoon","given":"Jithma P.","non-dropping-particle":"","parse-names":false,"suffix":""},{"dropping-particle":"","family":"Shreders","given":"Amanda","non-dropping-particle":"","parse-names":false,"suffix":""},{"dropping-particle":"","family":"Ansell","given":"Stephen M.","non-dropping-particle":"","parse-names":false,"suffix":""},{"dropping-particle":"","family":"Kumar","given":"Shaji","non-dropping-particle":"","parse-names":false,"suffix":""},{"dropping-particle":"","family":"Ailawadhi","given":"Sikander","non-dropping-particle":"","parse-names":false,"suffix":""},{"dropping-particle":"","family":"King","given":"Rebecca L.","non-dropping-particle":"","parse-names":false,"suffix":""},{"dropping-particle":"","family":"Koehler","given":"Amber B.","non-dropping-particle":"","parse-names":false,"suffix":""},{"dropping-particle":"","family":"Reeder","given":"Craig B.","non-dropping-particle":"","parse-names":false,"suffix":""},{"dropping-particle":"","family":"Buadi","given":"Francis K.","non-dropping-particle":"","parse-names":false,"suffix":""},{"dropping-particle":"","family":"Dispenzieri","given":"Angela","non-dropping-particle":"","parse-names":false,"suffix":""},{"dropping-particle":"","family":"Lacy","given":"Martha Q.","non-dropping-particle":"","parse-names":false,"suffix":""},{"dropping-particle":"","family":"Dingli","given":"David","non-dropping-particle":"","parse-names":false,"suffix":""},{"dropping-particle":"","family":"Witzig","given":"Thomas E.","non-dropping-particle":"","parse-names":false,"suffix":""},{"dropping-particle":"","family":"Go","given":"Ronald S.","non-dropping-particle":"","parse-names":false,"suffix":""},{"dropping-particle":"","family":"Gonsalves","given":"Wilson I.","non-dropping-particle":"","parse-names":false,"suffix":""},{"dropping-particle":"","family":"Kourelis","given":"Taxiarchis","non-dropping-particle":"","parse-names":false,"suffix":""},{"dropping-particle":"","family":"Warsame","given":"Rahma","non-dropping-particle":"","parse-names":false,"suffix":""},{"dropping-particle":"","family":"Leung","given":"Nelson","non-dropping-particle":"","parse-names":false,"suffix":""},{"dropping-particle":"","family":"Habermann","given":"Thomas M.","non-dropping-particle":"","parse-names":false,"suffix":""},{"dropping-particle":"","family":"Hayman","given":"Suzanne","non-dropping-particle":"","parse-names":false,"suffix":""},{"dropping-particle":"","family":"Lin","given":"Yi","non-dropping-particle":"","parse-names":false,"suffix":""},{"dropping-particle":"","family":"Kyle","given":"Robert A.","non-dropping-particle":"","parse-names":false,"suffix":""},{"dropping-particle":"","family":"Rajkumar","given":"S. Vincent","non-dropping-particle":"","parse-names":false,"suffix":""},{"dropping-particle":"","family":"Gertz","given":"Morie A.","non-dropping-particle":"","parse-names":false,"suffix":""},{"dropping-particle":"","family":"Kapoor","given":"Prashant","non-dropping-particle":"","parse-names":false,"suffix":""}],"container-title":"Annals of Hematology","id":"ITEM-2","issue":"8","issued":{"date-parts":[["2018","8","1"]]},"page":"1417-1425","publisher":"Springer Verlag","title":"Bendamustine and rituximab (BR) versus dexamethasone, rituximab, and cyclophosphamide (DRC) in patients with Waldenström macroglobulinemia","type":"article-journal","volume":"97"},"uris":["http://www.mendeley.com/documents/?uuid=5cce7a92-f5e1-3ef3-a35b-9cdb7f8b2649"]}],"mendeley":{"formattedCitation":"[21,25]","plainTextFormattedCitation":"[21,25]","previouslyFormattedCitation":"[21,25]"},"properties":{"noteIndex":0},"schema":"https://github.com/citation-style-language/schema/raw/master/csl-citation.json"}</w:instrText>
      </w:r>
      <w:r w:rsidR="00923D82" w:rsidRPr="00FE2263">
        <w:fldChar w:fldCharType="separate"/>
      </w:r>
      <w:r w:rsidR="00923D82" w:rsidRPr="00FE2263">
        <w:rPr>
          <w:noProof/>
        </w:rPr>
        <w:t>[21,25]</w:t>
      </w:r>
      <w:r w:rsidR="00923D82" w:rsidRPr="00FE2263">
        <w:fldChar w:fldCharType="end"/>
      </w:r>
      <w:r w:rsidR="00580D79" w:rsidRPr="00FE2263">
        <w:t>.</w:t>
      </w:r>
    </w:p>
    <w:p w14:paraId="5ECD7B74" w14:textId="5DE4D2A2" w:rsidR="00580D79" w:rsidRPr="00FE2263" w:rsidRDefault="00580D79" w:rsidP="00F817BC">
      <w:pPr>
        <w:pStyle w:val="afe"/>
        <w:ind w:firstLine="0"/>
        <w:rPr>
          <w:b/>
        </w:rPr>
      </w:pPr>
      <w:r w:rsidRPr="00FE2263">
        <w:rPr>
          <w:b/>
        </w:rPr>
        <w:t xml:space="preserve">Уровень убедительности рекомендаций </w:t>
      </w:r>
      <w:r w:rsidRPr="00FE2263">
        <w:rPr>
          <w:b/>
          <w:lang w:val="en-US"/>
        </w:rPr>
        <w:t>B</w:t>
      </w:r>
      <w:r w:rsidRPr="00FE2263">
        <w:rPr>
          <w:b/>
        </w:rPr>
        <w:t xml:space="preserve"> (уровень достоверности доказательств </w:t>
      </w:r>
      <w:r w:rsidR="00077424" w:rsidRPr="00FE2263">
        <w:rPr>
          <w:b/>
        </w:rPr>
        <w:t>3</w:t>
      </w:r>
      <w:r w:rsidRPr="00FE2263">
        <w:rPr>
          <w:b/>
        </w:rPr>
        <w:t>).</w:t>
      </w:r>
    </w:p>
    <w:p w14:paraId="0C060B34" w14:textId="5667FC35" w:rsidR="00580D79" w:rsidRPr="00FE2263" w:rsidRDefault="008B7F08" w:rsidP="00923D82">
      <w:pPr>
        <w:pStyle w:val="afff8"/>
        <w:spacing w:before="0"/>
      </w:pPr>
      <w:r w:rsidRPr="00FE2263">
        <w:rPr>
          <w:rStyle w:val="affb"/>
          <w:b w:val="0"/>
          <w:bCs w:val="0"/>
        </w:rPr>
        <w:t>Пациентам с впервые верифицированной МВ</w:t>
      </w:r>
      <w:r w:rsidRPr="00FE2263">
        <w:rPr>
          <w:rStyle w:val="affb"/>
        </w:rPr>
        <w:t xml:space="preserve"> рекомендуется</w:t>
      </w:r>
      <w:r w:rsidRPr="00FE2263">
        <w:t xml:space="preserve"> </w:t>
      </w:r>
      <w:r w:rsidR="00580D79" w:rsidRPr="00FE2263">
        <w:t>лечение по программе R-В (ритуксимаб**, бендамустин**</w:t>
      </w:r>
      <w:r w:rsidR="00F4745B" w:rsidRPr="00FE2263">
        <w:t>)</w:t>
      </w:r>
      <w:r w:rsidR="00923D82" w:rsidRPr="00FE2263">
        <w:t xml:space="preserve"> </w:t>
      </w:r>
      <w:r w:rsidR="00923D82" w:rsidRPr="00FE2263">
        <w:fldChar w:fldCharType="begin" w:fldLock="1"/>
      </w:r>
      <w:r w:rsidR="00923D82" w:rsidRPr="00FE2263">
        <w:instrText>ADDIN CSL_CITATION {"citationItems":[{"id":"ITEM-1","itemData":{"DOI":"10.1200/JCO.2007.10.9926","ISSN":"0732183X","abstract":"Purpose: Alkylating agents and the anti-CD20 monoclonal antibody rituximab are among appropriate choices for the primary treatment of symptomatic patients with Waldenström macroglobulinemia (WM), and they induce at least a partial response in 30% to 50% of patients. To improve these results, we designed a phase II study that included previously untreated symptomatic patients with WM who received a combination of dexamethasone, rituximab, and cyclophosphamide (DRC). Patients and Methods: Seventy-two patients were treated with dexamethasone 20 mg intravenously followed by rituximab 375 mg/m2 intravenously on day 1 and cyclophosphamide 100 mg/m2 orally bid on days 1 to 5 (total dose, 1,000 mg/m2). This regimen was repeated every 21 days for 6 months. Patients' median age was 69 years and many had features of advanced disease such as anemia (57%), hypoalbuminemia (40%), and elevated serum beta2-microglobulin (43%). Results: On an intent-to-treat basis, 83% of patients (95% CI, 73% to 91 %) achieved a response, including 7% complete, 67% partial, and 9% minor responses. The median time to response was 4.1 months. The 2-year progression-free survival rate for all patients was 67%; for patients who responded to DRC, it was 80%. The 2-year disease-specific survival rate was 90%. Treatment with DRC was well tolerated, with 9% of patients experiencing grade 3 or 4 neutropenia and approximately 20% of patients experiencing some form of toxicity related to rituximab. Conclusion: Our large, multicenter trial showed that the non-stem-cell toxic DRC regimen is an active, well-tolerated treatment for symptomatic patients with WM. © 2007 by American Society of Clinical Oncology.","author":[{"dropping-particle":"","family":"Dimopoulos","given":"Meletios Athanasios","non-dropping-particle":"","parse-names":false,"suffix":""},{"dropping-particle":"","family":"Anagnostopoulos","given":"Athanasios","non-dropping-particle":"","parse-names":false,"suffix":""},{"dropping-particle":"","family":"Kyrtsonis","given":"Marie Christine","non-dropping-particle":"","parse-names":false,"suffix":""},{"dropping-particle":"","family":"Zervas","given":"Konstantinos","non-dropping-particle":"","parse-names":false,"suffix":""},{"dropping-particle":"","family":"Tsatalas","given":"Constantinos","non-dropping-particle":"","parse-names":false,"suffix":""},{"dropping-particle":"","family":"Kokkinis","given":"Garyfallia","non-dropping-particle":"","parse-names":false,"suffix":""},{"dropping-particle":"","family":"Repoussis","given":"Panagiotis","non-dropping-particle":"","parse-names":false,"suffix":""},{"dropping-particle":"","family":"Symeonidis","given":"Argyris","non-dropping-particle":"","parse-names":false,"suffix":""},{"dropping-particle":"","family":"Delimpasi","given":"Souzana","non-dropping-particle":"","parse-names":false,"suffix":""},{"dropping-particle":"","family":"Katodritou","given":"Eirini","non-dropping-particle":"","parse-names":false,"suffix":""},{"dropping-particle":"","family":"Vervessou","given":"Elina","non-dropping-particle":"","parse-names":false,"suffix":""},{"dropping-particle":"","family":"Michali","given":"Evridiki","non-dropping-particle":"","parse-names":false,"suffix":""},{"dropping-particle":"","family":"Pouli","given":"Anastasia","non-dropping-particle":"","parse-names":false,"suffix":""},{"dropping-particle":"","family":"Gika","given":"Dimitra","non-dropping-particle":"","parse-names":false,"suffix":""},{"dropping-particle":"","family":"Vassou","given":"Amalia","non-dropping-particle":"","parse-names":false,"suffix":""},{"dropping-particle":"","family":"Terpos","given":"Evangelos","non-dropping-particle":"","parse-names":false,"suffix":""},{"dropping-particle":"","family":"Anagnostopoulos","given":"Nikolaos","non-dropping-particle":"","parse-names":false,"suffix":""},{"dropping-particle":"","family":"Economopoulos","given":"Theophanis","non-dropping-particle":"","parse-names":false,"suffix":""},{"dropping-particle":"","family":"Pangalis","given":"Gerasimos","non-dropping-particle":"","parse-names":false,"suffix":""}],"container-title":"Journal of Clinical Oncology","id":"ITEM-1","issue":"22","issued":{"date-parts":[["2007","8","1"]]},"page":"3344-3349","title":"Primary treatment of Waldenström macroglobulinemia with dexamethasone, rituximab, and cyclophosphamide","type":"article-journal","volume":"25"},"uris":["http://www.mendeley.com/documents/?uuid=a0794f97-fda7-3505-8347-dee264ca0db0"]},{"id":"ITEM-2","itemData":{"DOI":"10.1007/s00277-018-3311-z","ISSN":"14320584","abstract":"The treatment approaches for Waldenstrom macroglobulinemia (WM) are largely based upon information from single-arm phase II trials, without comparative data. We compared the efficacy of two commonly used regimens in routine practice (bendamustine-rituximab (BR) and dexamethasone, rituximab plus cyclophosphamide (DRC)) and evaluated their activity with respect to the patients’ MYD88L265P mutation status. Of 160 consecutive patients, 60 received BR (43 with relapsed/refractory WM) and 100 received DRC (50 had relapsed/refractory WM). In the treatment-naïve setting, overall response rate (ORR) was 93% with BR versus 96% with DRC (p = 0.55). Two-year progression-free survival (PFS) with BR and DRC was 88 and 61%, respectively (p = 0.07). In salvage setting, ORR was 95% with BR versus 87% with DRC, p = 0.45; median PFS with BR was 58 versus 32 months with DRC (2-year PFS was 66 versus 53%; p = 0.08). Median disease-specific survival was not reached with BR versus 166 months with DRC (p = 0.51). The time-to-event endpoints and depth of response were independent of the MYD88 mutation status. Grade ≥ 3 adverse events of both regimens were comparable. A trend for longer PFS was observed with BR although the regimens have comparable toxicities. The activity of BR and DRC appears to be unaffected by patients’ MYD88 mutation status.","author":[{"dropping-particle":"","family":"Paludo","given":"Jonas","non-dropping-particle":"","parse-names":false,"suffix":""},{"dropping-particle":"","family":"Abeykoon","given":"Jithma P.","non-dropping-particle":"","parse-names":false,"suffix":""},{"dropping-particle":"","family":"Shreders","given":"Amanda","non-dropping-particle":"","parse-names":false,"suffix":""},{"dropping-particle":"","family":"Ansell","given":"Stephen M.","non-dropping-particle":"","parse-names":false,"suffix":""},{"dropping-particle":"","family":"Kumar","given":"Shaji","non-dropping-particle":"","parse-names":false,"suffix":""},{"dropping-particle":"","family":"Ailawadhi","given":"Sikander","non-dropping-particle":"","parse-names":false,"suffix":""},{"dropping-particle":"","family":"King","given":"Rebecca L.","non-dropping-particle":"","parse-names":false,"suffix":""},{"dropping-particle":"","family":"Koehler","given":"Amber B.","non-dropping-particle":"","parse-names":false,"suffix":""},{"dropping-particle":"","family":"Reeder","given":"Craig B.","non-dropping-particle":"","parse-names":false,"suffix":""},{"dropping-particle":"","family":"Buadi","given":"Francis K.","non-dropping-particle":"","parse-names":false,"suffix":""},{"dropping-particle":"","family":"Dispenzieri","given":"Angela","non-dropping-particle":"","parse-names":false,"suffix":""},{"dropping-particle":"","family":"Lacy","given":"Martha Q.","non-dropping-particle":"","parse-names":false,"suffix":""},{"dropping-particle":"","family":"Dingli","given":"David","non-dropping-particle":"","parse-names":false,"suffix":""},{"dropping-particle":"","family":"Witzig","given":"Thomas E.","non-dropping-particle":"","parse-names":false,"suffix":""},{"dropping-particle":"","family":"Go","given":"Ronald S.","non-dropping-particle":"","parse-names":false,"suffix":""},{"dropping-particle":"","family":"Gonsalves","given":"Wilson I.","non-dropping-particle":"","parse-names":false,"suffix":""},{"dropping-particle":"","family":"Kourelis","given":"Taxiarchis","non-dropping-particle":"","parse-names":false,"suffix":""},{"dropping-particle":"","family":"Warsame","given":"Rahma","non-dropping-particle":"","parse-names":false,"suffix":""},{"dropping-particle":"","family":"Leung","given":"Nelson","non-dropping-particle":"","parse-names":false,"suffix":""},{"dropping-particle":"","family":"Habermann","given":"Thomas M.","non-dropping-particle":"","parse-names":false,"suffix":""},{"dropping-particle":"","family":"Hayman","given":"Suzanne","non-dropping-particle":"","parse-names":false,"suffix":""},{"dropping-particle":"","family":"Lin","given":"Yi","non-dropping-particle":"","parse-names":false,"suffix":""},{"dropping-particle":"","family":"Kyle","given":"Robert A.","non-dropping-particle":"","parse-names":false,"suffix":""},{"dropping-particle":"","family":"Rajkumar","given":"S. Vincent","non-dropping-particle":"","parse-names":false,"suffix":""},{"dropping-particle":"","family":"Gertz","given":"Morie A.","non-dropping-particle":"","parse-names":false,"suffix":""},{"dropping-particle":"","family":"Kapoor","given":"Prashant","non-dropping-particle":"","parse-names":false,"suffix":""}],"container-title":"Annals of Hematology","id":"ITEM-2","issue":"8","issued":{"date-parts":[["2018","8","1"]]},"page":"1417-1425","publisher":"Springer Verlag","title":"Bendamustine and rituximab (BR) versus dexamethasone, rituximab, and cyclophosphamide (DRC) in patients with Waldenström macroglobulinemia","type":"article-journal","volume":"97"},"uris":["http://www.mendeley.com/documents/?uuid=5cce7a92-f5e1-3ef3-a35b-9cdb7f8b2649"]}],"mendeley":{"formattedCitation":"[21,25]","plainTextFormattedCitation":"[21,25]","previouslyFormattedCitation":"[21,25]"},"properties":{"noteIndex":0},"schema":"https://github.com/citation-style-language/schema/raw/master/csl-citation.json"}</w:instrText>
      </w:r>
      <w:r w:rsidR="00923D82" w:rsidRPr="00FE2263">
        <w:fldChar w:fldCharType="separate"/>
      </w:r>
      <w:r w:rsidR="00923D82" w:rsidRPr="00FE2263">
        <w:rPr>
          <w:noProof/>
        </w:rPr>
        <w:t>[21,25]</w:t>
      </w:r>
      <w:r w:rsidR="00923D82" w:rsidRPr="00FE2263">
        <w:fldChar w:fldCharType="end"/>
      </w:r>
      <w:r w:rsidR="00580D79" w:rsidRPr="00FE2263">
        <w:t>.</w:t>
      </w:r>
    </w:p>
    <w:p w14:paraId="5EE8793E" w14:textId="6E436447" w:rsidR="00580D79" w:rsidRPr="00FE2263" w:rsidRDefault="00580D79" w:rsidP="00F817BC">
      <w:pPr>
        <w:pStyle w:val="afe"/>
        <w:ind w:firstLine="0"/>
        <w:rPr>
          <w:b/>
        </w:rPr>
      </w:pPr>
      <w:r w:rsidRPr="00FE2263">
        <w:rPr>
          <w:b/>
        </w:rPr>
        <w:t xml:space="preserve">Уровень убедительности рекомендаций </w:t>
      </w:r>
      <w:r w:rsidRPr="00FE2263">
        <w:rPr>
          <w:b/>
          <w:lang w:val="en-US"/>
        </w:rPr>
        <w:t>B</w:t>
      </w:r>
      <w:r w:rsidRPr="00FE2263">
        <w:rPr>
          <w:b/>
        </w:rPr>
        <w:t xml:space="preserve"> (уровень достоверности доказательств </w:t>
      </w:r>
      <w:r w:rsidR="00077424" w:rsidRPr="00FE2263">
        <w:rPr>
          <w:b/>
        </w:rPr>
        <w:t>3</w:t>
      </w:r>
      <w:r w:rsidRPr="00FE2263">
        <w:rPr>
          <w:b/>
        </w:rPr>
        <w:t>).</w:t>
      </w:r>
    </w:p>
    <w:p w14:paraId="178037F0" w14:textId="080020C9" w:rsidR="00580D79" w:rsidRPr="00FE2263" w:rsidRDefault="008B7F08" w:rsidP="00D95255">
      <w:pPr>
        <w:pStyle w:val="afff8"/>
        <w:spacing w:before="0"/>
      </w:pPr>
      <w:r w:rsidRPr="00FE2263">
        <w:rPr>
          <w:rStyle w:val="affb"/>
          <w:b w:val="0"/>
          <w:bCs w:val="0"/>
        </w:rPr>
        <w:t>Пациентам с впервые верифицированной МВ</w:t>
      </w:r>
      <w:r w:rsidRPr="00FE2263">
        <w:rPr>
          <w:rStyle w:val="affb"/>
        </w:rPr>
        <w:t xml:space="preserve"> </w:t>
      </w:r>
      <w:r w:rsidRPr="00FE2263">
        <w:rPr>
          <w:rStyle w:val="affb"/>
          <w:b w:val="0"/>
          <w:bCs w:val="0"/>
        </w:rPr>
        <w:t xml:space="preserve">с генерализованными формами заболевания </w:t>
      </w:r>
      <w:r w:rsidRPr="00FE2263">
        <w:rPr>
          <w:rStyle w:val="affb"/>
        </w:rPr>
        <w:t>рекомендуется</w:t>
      </w:r>
      <w:r w:rsidRPr="00FE2263">
        <w:t xml:space="preserve"> </w:t>
      </w:r>
      <w:r w:rsidR="00580D79" w:rsidRPr="00FE2263">
        <w:t>сочетание ритуксимаба** с аналогами нуклеозидов (кладрибин** и флударабин**) с циклофосфамидом** или без него</w:t>
      </w:r>
      <w:r w:rsidR="00923D82" w:rsidRPr="00FE2263">
        <w:t xml:space="preserve"> </w:t>
      </w:r>
      <w:r w:rsidR="00923D82" w:rsidRPr="00FE2263">
        <w:fldChar w:fldCharType="begin" w:fldLock="1"/>
      </w:r>
      <w:r w:rsidR="00D95255" w:rsidRPr="00FE2263">
        <w:instrText>ADDIN CSL_CITATION {"citationItems":[{"id":"ITEM-1","itemData":{"DOI":"10.1182/blood-2008-09-177329","ISSN":"00064971","abstract":"We report the long-term outcome of a multicenter, prospective study examining fludarabine and rituximab in Waldenström macroglobulinemia (WM). WM patients with less than 2 prior therapies were eligible. Intended therapy consisted of 6 cycles (25 mg/m 2 per day for 5 days) of fludarabine and 8 infusions (375 mg/m 2 per week) of rituximab.Atotal of 43 patients were enrolled. Responses were: complete response (n = 2), very good partial response (n = 14), partial response (n = 21), and minor response (n = 4), for overall and major response rates of 95.3% and 86.0%, respectively. Median time to progression for all patients was 51.2 months and was longer for untreated patients (P = .017) and those achieving at least a very good partial response (P = .049). Grade 3 or higher toxicities included neutropenia (n = 27), thrombocytopenia (n = 7), and pneumonia (n = 6), including 2 patients who died of non-Pneumocystis carinii pneumonia. With a median follow-up of 40.3 months, we observed 3 cases of transformation to aggressive lymphoma and 3 cases of myelodysplastic syndrome/acute myeloid leukemia. The results of this study demonstrate that fludarabine and rituximab are highly active in WM, although short- and long-term toxicities need to be carefully weighed against other available treatment options. This study is registered at clinicaltrials.gov as NCT00020800. © 2009 by The American Society of Hematology.","author":[{"dropping-particle":"","family":"Treon","given":"Steven P.","non-dropping-particle":"","parse-names":false,"suffix":""},{"dropping-particle":"","family":"Branagan","given":"Andrew R.","non-dropping-particle":"","parse-names":false,"suffix":""},{"dropping-particle":"","family":"Ioakimidis","given":"Leukothea","non-dropping-particle":"","parse-names":false,"suffix":""},{"dropping-particle":"","family":"Soumerai","given":"Jacob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Turnbull","given":"Barry","non-dropping-particle":"","parse-names":false,"suffix":""},{"dropping-particle":"","family":"Wasi","given":"Parveen","non-dropping-particle":"","parse-names":false,"suffix":""},{"dropping-particle":"","family":"Emmanouilides","given":"Christos","non-dropping-particle":"","parse-names":false,"suffix":""},{"dropping-particle":"","family":"Frankel","given":"Stanley R.","non-dropping-particle":"","parse-names":false,"suffix":""},{"dropping-particle":"","family":"Lister","given":"Andrew","non-dropping-particle":"","parse-names":false,"suffix":""},{"dropping-particle":"","family":"Morel","given":"Pierre","non-dropping-particle":"","parse-names":false,"suffix":""},{"dropping-particle":"","family":"Matous","given":"Jeffrey","non-dropping-particle":"","parse-names":false,"suffix":""},{"dropping-particle":"","family":"Gregory","given":"Stephanie A.","non-dropping-particle":"","parse-names":false,"suffix":""},{"dropping-particle":"","family":"Kimby","given":"Eva","non-dropping-particle":"","parse-names":false,"suffix":""}],"container-title":"Blood","id":"ITEM-1","issue":"16","issued":{"date-parts":[["2009","4","16"]]},"page":"3673-3678","title":"Long-term outcomes to fludarabine and rituximab in Waldenström macroglobulinemia","type":"article-journal","volume":"113"},"uris":["http://www.mendeley.com/documents/?uuid=e11adc5e-b6bd-3284-816e-2de2267283a6"]},{"id":"ITEM-2","itemData":{"DOI":"10.3816/CLML.2011.n.029","ISSN":"21522650","abstract":"With the aim to assess the efficacy of subcutaneous cladribine in combination with rituximab, 29 newly diagnosed/pretreated WM patients were enrolled in a multicenter phase II trial. Intended therapy consisted of rituximab on day 1 followed by s.c. cladribine 0.1 mg/kg for 5 consecutive days, administered monthly for 4 cycles. The expression of genes involved in cladribine metabolism was evaluated. With a median follow-up of 50 months the ORR rate observed was 89.6% without any difference between newly or pretreated patients (P = .522). The therapy was well tolerated; no major infections were observed, no patients developed transformation to high-grade NHL nor myelodysplasia. Low expression levels of hCNT1 correlated with the failure to achieve a CR (P = .024). The combination of rituximab/cladribine is safe and effective in WM patients requiring treatment. The pharmacogenomic analysis suggests that hCNT1 might be beneficial in predicting clinical response to such a combination treatment. © 2011 Elsevier Inc. All rights reserved.","author":[{"dropping-particle":"","family":"Laszlo","given":"D.","non-dropping-particle":"","parse-names":false,"suffix":""},{"dropping-particle":"","family":"Andreola","given":"G.","non-dropping-particle":"","parse-names":false,"suffix":""},{"dropping-particle":"","family":"Rigacci","given":"L.","non-dropping-particle":"","parse-names":false,"suffix":""},{"dropping-particle":"","family":"Fabbri","given":"A.","non-dropping-particle":"","parse-names":false,"suffix":""},{"dropping-particle":"","family":"Rabascio","given":"C.","non-dropping-particle":"","parse-names":false,"suffix":""},{"dropping-particle":"","family":"Pinto","given":"A.","non-dropping-particle":"","parse-names":false,"suffix":""},{"dropping-particle":"","family":"Negri","given":"M.","non-dropping-particle":"","parse-names":false,"suffix":""},{"dropping-particle":"","family":"Martinelli","given":"G.","non-dropping-particle":"","parse-names":false,"suffix":""}],"container-title":"Clinical Lymphoma, Myeloma and Leukemia","id":"ITEM-2","issue":"1","issued":{"date-parts":[["2011","2","1"]]},"page":"130-132","title":"Rituximab and subcutaneous 2-chloro-2'-deoxyadenosine as therapy in untreated and relapsed Waldenström's macroglobulinemia","type":"paper-conference","volume":"11"},"uris":["http://www.mendeley.com/documents/?uuid=d8d7ac45-ef5e-3788-a997-476678a0077f"]},{"id":"ITEM-3","itemData":{"DOI":"10.1002/cncr.26303","ISSN":"0008543X","abstract":"BACKGROUND: The combination of fludarabine, cyclophosphamide, and rituximab (FCR) has produced promising results in chronic lymphocytic leukemia and other lymphoproliferative disorders. The authors report the final results from a multicenter, prospective study examining FCR in Waldenstrom macroglobulinemia (WM). METHODS: Forty-three patients with symptomatic WM that was untreated or pretreated with 1 line of chemotherapy received rituximab 375 mg/m 2 intravenously on day 1 and fludarabine 25 mg/m 2 and cyclophosphamide 250 mg/m 2 intravenously on days 2 through 4. FCR was repeated every 28 days for up to 6 courses. RESULTS: The overall response rate was 79%, and the major response rate of 74.4%, including 11.6% complete remissions (CRs) and 20.9% very good partial remissions. An amelioration of the quality of responses was observed during follow-up, leading to 18.6% of CRs. No differences in terms of responses were observed among previously treated or untreated patients. Among the clinical and laboratory features that were considered, only the β2-microglobulin level had a significant impact in terms of achieving a major response. The major toxicity reported was grade 3/4 neutropenia, which occurred in 45% of courses and was the main reason for treatment discontinuation. After the end of treatment, 19 patients (44%) had long-lasting episodes of neutropenia. Three patients developed myelodysplastic syndrome during follow-up. CONCLUSIONS: The FCR regimen was capable of neutralizing adverse prognostic factors and proved to be active in patients with WM, leading to rapid disease control and good-quality responses. Because myelosuppression was the main concern, further studies are warranted to optimize dosages and treatment duration. © 2011 American Cancer Society.","author":[{"dropping-particle":"","family":"Tedeschi","given":"Alessandra","non-dropping-particle":"","parse-names":false,"suffix":""},{"dropping-particle":"","family":"Benevolo","given":"Giulia","non-dropping-particle":"","parse-names":false,"suffix":""},{"dropping-particle":"","family":"Varettoni","given":"Marzia","non-dropping-particle":"","parse-names":false,"suffix":""},{"dropping-particle":"","family":"Battista","given":"Marta L.","non-dropping-particle":"","parse-names":false,"suffix":""},{"dropping-particle":"","family":"Zinzani","given":"Pier L.","non-dropping-particle":"","parse-names":false,"suffix":""},{"dropping-particle":"","family":"Visco","given":"Carlo","non-dropping-particle":"","parse-names":false,"suffix":""},{"dropping-particle":"","family":"Meneghini","given":"Vittorio","non-dropping-particle":"","parse-names":false,"suffix":""},{"dropping-particle":"","family":"Pioltelli","given":"Pietro","non-dropping-particle":"","parse-names":false,"suffix":""},{"dropping-particle":"","family":"Sacchi","given":"Stefano","non-dropping-particle":"","parse-names":false,"suffix":""},{"dropping-particle":"","family":"Ricci","given":"Francesca","non-dropping-particle":"","parse-names":false,"suffix":""},{"dropping-particle":"","family":"Nichelatti","given":"Michele","non-dropping-particle":"","parse-names":false,"suffix":""},{"dropping-particle":"","family":"Zaja","given":"Francesco","non-dropping-particle":"","parse-names":false,"suffix":""},{"dropping-particle":"","family":"Lazzarino","given":"Mario","non-dropping-particle":"","parse-names":false,"suffix":""},{"dropping-particle":"","family":"Vitolo","given":"Umbero","non-dropping-particle":"","parse-names":false,"suffix":""},{"dropping-particle":"","family":"Morra","given":"Enrica","non-dropping-particle":"","parse-names":false,"suffix":""}],"container-title":"Cancer","id":"ITEM-3","issue":"2","issued":{"date-parts":[["2012","1","15"]]},"page":"434-443","title":"Fludarabine plus cyclophosphamide and rituximab in waldenstrom macroglobulinemia: An effective but myelosuppressive regimen to be offered to patients with advanced disease","type":"article-journal","volume":"118"},"uris":["http://www.mendeley.com/documents/?uuid=20d56568-be22-3c2e-b4a7-52a9dc1dd73f"]},{"id":"ITEM-4","itemData":{"DOI":"10.1002/ajh.24405","ISSN":"10968652","abstract":"Waldenstrom's macroglobulinemia is generally treated with alkylating agents, purine analogs and monoclonal antibodies, alone or in combination. We report the outcomes of 82 patients (median age 61 years) treated with the RFC combination. Twenty-five patients were treatment-naive. RFC was administered every 4 weeks, for a median of five cycles. At treatment discontinuation, the overall response rate was 85.4%. The responses improved after treatment discontinuation in 25 patients, with a median time to best response achievement of 10.8 months, raising the major response rate (PR, VGPR and CR) from 64.6% to 76.8%. With a median follow-up of 47 months, the median progression-free survival time had not been reached (67% PFS at 48 months) and was influenced by age and treatment status before RFC. Likewise, the median time to next therapy had not been reached. Two cases of myelodysplastic syndrome/AML and 3 cases of transformation to aggressive lymphoma occurred. Thirteen patients died. The 3-year overall survival rate was 90%. Long-lasting cytopenias occurred in 19 patients. The RFC combination thus gave a high response rate and durable responses, even in heavily treatment-experienced patients. The high incidence of long-lasting cytopenia might be reduced by giving fewer courses and thereby minimizing myelotoxicity. Am. J. Hematol. 91:782–786, 2016. © 2016 Wiley Periodicals, Inc.","author":[{"dropping-particle":"","family":"Souchet","given":"Laetitia","non-dropping-particle":"","parse-names":false,"suffix":""},{"dropping-particle":"","family":"Levy","given":"Vincent","non-dropping-particle":"","parse-names":false,"suffix":""},{"dropping-particle":"","family":"Ouzegdouh","given":"Maya","non-dropping-particle":"","parse-names":false,"suffix":""},{"dropping-particle":"","family":"Tamburini","given":"Jérôme","non-dropping-particle":"","parse-names":false,"suffix":""},{"dropping-particle":"","family":"Delmer","given":"Alain","non-dropping-particle":"","parse-names":false,"suffix":""},{"dropping-particle":"","family":"Dupuis","given":"Jehan","non-dropping-particle":"","parse-names":false,"suffix":""},{"dropping-particle":"","family":"Gouill","given":"Steven","non-dropping-particle":"Le","parse-names":false,"suffix":""},{"dropping-particle":"","family":"Pégourié-Bandelier","given":"Brigitte","non-dropping-particle":"","parse-names":false,"suffix":""},{"dropping-particle":"","family":"Tournilhac","given":"Olivier","non-dropping-particle":"","parse-names":false,"suffix":""},{"dropping-particle":"","family":"Boubaya","given":"Marouanne","non-dropping-particle":"","parse-names":false,"suffix":""},{"dropping-particle":"","family":"Vargaftig","given":"Jacques","non-dropping-particle":"","parse-names":false,"suffix":""},{"dropping-particle":"","family":"Choquet","given":"Sylvain","non-dropping-particle":"","parse-names":false,"suffix":""},{"dropping-particle":"","family":"Leblond","given":"Véronique","non-dropping-particle":"","parse-names":false,"suffix":""}],"container-title":"American Journal of Hematology","id":"ITEM-4","issue":"8","issued":{"date-parts":[["2016","8","1"]]},"page":"782-786","publisher":"Wiley-Liss Inc.","title":"Efficacy and long-term toxicity of the rituximab-fludarabine-cyclophosphamide combination therapy in Waldenstrom's macroglobulinemia","type":"article-journal","volume":"91"},"uris":["http://www.mendeley.com/documents/?uuid=40e0fcc9-0735-3c19-b038-d93626315819"]}],"mendeley":{"formattedCitation":"[26–29]","plainTextFormattedCitation":"[26–29]","previouslyFormattedCitation":"[26–29]"},"properties":{"noteIndex":0},"schema":"https://github.com/citation-style-language/schema/raw/master/csl-citation.json"}</w:instrText>
      </w:r>
      <w:r w:rsidR="00923D82" w:rsidRPr="00FE2263">
        <w:fldChar w:fldCharType="separate"/>
      </w:r>
      <w:r w:rsidR="00D95255" w:rsidRPr="00FE2263">
        <w:rPr>
          <w:noProof/>
        </w:rPr>
        <w:t>[26–29]</w:t>
      </w:r>
      <w:r w:rsidR="00923D82" w:rsidRPr="00FE2263">
        <w:fldChar w:fldCharType="end"/>
      </w:r>
      <w:r w:rsidR="00580D79" w:rsidRPr="00FE2263">
        <w:t>.</w:t>
      </w:r>
    </w:p>
    <w:p w14:paraId="2CEEA1B2" w14:textId="3227D383" w:rsidR="00580D79" w:rsidRPr="00FE2263" w:rsidRDefault="00580D79" w:rsidP="00F817BC">
      <w:pPr>
        <w:pStyle w:val="afe"/>
        <w:ind w:firstLine="0"/>
        <w:rPr>
          <w:b/>
        </w:rPr>
      </w:pPr>
      <w:r w:rsidRPr="00FE2263">
        <w:rPr>
          <w:b/>
        </w:rPr>
        <w:t xml:space="preserve">Уровень убедительности рекомендаций </w:t>
      </w:r>
      <w:r w:rsidR="00923D82" w:rsidRPr="00FE2263">
        <w:rPr>
          <w:b/>
          <w:lang w:val="en-US"/>
        </w:rPr>
        <w:t>C</w:t>
      </w:r>
      <w:r w:rsidR="00923D82" w:rsidRPr="00FE2263">
        <w:rPr>
          <w:b/>
        </w:rPr>
        <w:t xml:space="preserve"> </w:t>
      </w:r>
      <w:r w:rsidRPr="00FE2263">
        <w:rPr>
          <w:b/>
        </w:rPr>
        <w:t xml:space="preserve">(уровень достоверности доказательств </w:t>
      </w:r>
      <w:r w:rsidR="00923D82" w:rsidRPr="00FE2263">
        <w:rPr>
          <w:b/>
        </w:rPr>
        <w:t>4</w:t>
      </w:r>
      <w:r w:rsidRPr="00FE2263">
        <w:rPr>
          <w:b/>
        </w:rPr>
        <w:t>).</w:t>
      </w:r>
    </w:p>
    <w:p w14:paraId="279B400D" w14:textId="41819E92" w:rsidR="0053565F" w:rsidRPr="00FE2263" w:rsidRDefault="008B7F08" w:rsidP="00D95255">
      <w:pPr>
        <w:pStyle w:val="afff8"/>
        <w:spacing w:before="0"/>
      </w:pPr>
      <w:r w:rsidRPr="00FE2263">
        <w:rPr>
          <w:rStyle w:val="affb"/>
          <w:b w:val="0"/>
          <w:bCs w:val="0"/>
        </w:rPr>
        <w:lastRenderedPageBreak/>
        <w:t xml:space="preserve">Пациентам с впервые верифицированной МВ </w:t>
      </w:r>
      <w:r w:rsidRPr="00FE2263">
        <w:rPr>
          <w:rStyle w:val="affc"/>
          <w:i w:val="0"/>
          <w:iCs w:val="0"/>
        </w:rPr>
        <w:t>с</w:t>
      </w:r>
      <w:r w:rsidRPr="00FE2263">
        <w:rPr>
          <w:rStyle w:val="affc"/>
        </w:rPr>
        <w:t xml:space="preserve"> </w:t>
      </w:r>
      <w:r w:rsidRPr="00FE2263">
        <w:rPr>
          <w:rStyle w:val="affc"/>
          <w:i w:val="0"/>
          <w:iCs w:val="0"/>
        </w:rPr>
        <w:t>низким уровнем моноклонального белка, медленно прогрессирующей болезнью, а также с сопутствующей патологией</w:t>
      </w:r>
      <w:r w:rsidRPr="00FE2263">
        <w:rPr>
          <w:rStyle w:val="affb"/>
        </w:rPr>
        <w:t xml:space="preserve"> рекомендуется</w:t>
      </w:r>
      <w:r w:rsidRPr="00FE2263">
        <w:t xml:space="preserve"> </w:t>
      </w:r>
      <w:r w:rsidR="00580D79" w:rsidRPr="00FE2263">
        <w:t xml:space="preserve">ритуксимаб** </w:t>
      </w:r>
      <w:r w:rsidR="0053565F" w:rsidRPr="00FE2263">
        <w:t>в монорежиме</w:t>
      </w:r>
      <w:r w:rsidR="00D95255" w:rsidRPr="00FE2263">
        <w:t xml:space="preserve"> </w:t>
      </w:r>
      <w:r w:rsidR="00D95255" w:rsidRPr="00FE2263">
        <w:fldChar w:fldCharType="begin" w:fldLock="1"/>
      </w:r>
      <w:r w:rsidR="00D95255" w:rsidRPr="00FE2263">
        <w:instrText>ADDIN CSL_CITATION {"citationItems":[{"id":"ITEM-1","itemData":{"DOI":"10.3816/clm.2005.n.014","ISSN":"1526-9655","PMID":"15794863","abstract":"Rituximab is an active agent for the treatment of Waldenstrom's macroglobulinemia. However, many patients do not respond to this agent and several others develop secondary resistance. In order to identify clinical and laboratory parameters that could predict a higher likelihood for response, we evaluated 54 patients who were treated with single-agent rituximab. Twenty-four patients (44%)exhibited &gt; or = 50% reduction of serum monoclonal protein. Previously untreated and pretreated patients had the same probability for response. Low response rates were noted in patients with serum monoclonal protein level &gt; or = 40 g/L (17%) and serum albumin level &lt; 35 g/L (14%). Furthermore, a multivariate analysis indicated that high serum monoclonal protein and low albumin were the dominant variables associated with shorter time to progression. The presence of 2, 1, or none of these variables was associated with median times to progression of 4 months, 11 months, and approximately 48 months, respectively. We conclude that patients with low levels of monoclonal protein and normal albumin are the best candidates for treatment with rituximab.","author":[{"dropping-particle":"","family":"Dimopoulos","given":"Meletios A","non-dropping-particle":"","parse-names":false,"suffix":""},{"dropping-particle":"","family":"Anagnostopoulos","given":"Athanasios","non-dropping-particle":"","parse-names":false,"suffix":""},{"dropping-particle":"","family":"Zervas","given":"Constantinos","non-dropping-particle":"","parse-names":false,"suffix":""},{"dropping-particle":"","family":"Kyrtsonis","given":"Marie C","non-dropping-particle":"","parse-names":false,"suffix":""},{"dropping-particle":"","family":"Zomas","given":"Athanasios","non-dropping-particle":"","parse-names":false,"suffix":""},{"dropping-particle":"","family":"Bourantas","given":"Constantinos","non-dropping-particle":"","parse-names":false,"suffix":""},{"dropping-particle":"","family":"Anagnostopoulos","given":"Nicolaos","non-dropping-particle":"","parse-names":false,"suffix":""},{"dropping-particle":"","family":"Pangalis","given":"Gerrassimos","non-dropping-particle":"","parse-names":false,"suffix":""}],"container-title":"Clinical lymphoma","id":"ITEM-1","issue":"4","issued":{"date-parts":[["2005","3"]]},"page":"270-2","title":"Predictive factors for response to rituximab in Waldenstrom's macroglobulinemia.","type":"article-journal","volume":"5"},"uris":["http://www.mendeley.com/documents/?uuid=8824f404-d36c-3ffb-885c-be910c13fa87"]},{"id":"ITEM-2","itemData":{"DOI":"10.1111/j.1365-2141.2011.08750.x","ISSN":"00071048","abstract":"This study examined the outcome of 248 Waldenstrom macroglobulinaemia (WM) rituximab-naïve patients who responded to a rituximab-containing regimen. Eighty-six patients (35%) subsequently received maintenance rituximab (M-Rituximab). No differences in baseline characteristics, and post-induction categorical responses between cohorts were observed. The median rituximab infusions during induction was 6 for both cohorts; and 8 over a 2-year period for patients receiving M-Rituximab. Categorical responses improved in 16/162 (10%) of observed, and 36/86 (41·8%) of M-Rituximab patients respectively, following induction therapy (P&lt; 0·0001). Both progression-free (56·3 vs. 28·6months; P=0·0001) and overall survival (Not reached versus 116months; P=0·0095) were longer in patients who received M-Rituximab. Improved progression-free survival was evident despite previous treatment status, induction with rituximab alone or in combination therapy (P≤0·0001). Best serum IgM response was lower (P&lt;0·0001), and haematocrit higher (P=0·001) for patients receiving M-Rituximab. Among patients receiving M-Rituximab, an increased number of infectious events were observed, but were mainly ≤grade 2 (P=0·008). The findings of this observational study suggest improved clinical outcomes following M-Rituximab in WM patients who respond to induction with a rituximab-containing regimen. Prospective studies aimed at clarifying the role of M-Rituximab therapy in WM patients are needed to confirm these findings. © 2011 Blackwell Publishing Ltd.","author":[{"dropping-particle":"","family":"Treon","given":"Steven P.","non-dropping-particle":"","parse-names":false,"suffix":""},{"dropping-particle":"","family":"Hanzis","given":"Christina","non-dropping-particle":"","parse-names":false,"suffix":""},{"dropping-particle":"","family":"Manning","given":"Robert J.","non-dropping-particle":"","parse-names":false,"suffix":""},{"dropping-particle":"","family":"Ioakimidis","given":"Leukothea","non-dropping-particle":"","parse-names":false,"suffix":""},{"dropping-particle":"","family":"Patterson","given":"Christopher J.","non-dropping-particle":"","parse-names":false,"suffix":""},{"dropping-particle":"","family":"Hunter","given":"Zachary R.","non-dropping-particle":"","parse-names":false,"suffix":""},{"dropping-particle":"","family":"Sheehy","given":"Patricia","non-dropping-particle":"","parse-names":false,"suffix":""},{"dropping-particle":"","family":"Turnbull","given":"Barry","non-dropping-particle":"","parse-names":false,"suffix":""}],"container-title":"British Journal of Haematology","id":"ITEM-2","issue":"3","issued":{"date-parts":[["2011","8"]]},"page":"357-362","title":"Maintenance Rituximab is associated with improved clinical outcome in rituximab naïve patients with Waldenstrom Macroglobulinaemia who respond to a rituximab-containing regimen","type":"article-journal","volume":"154"},"uris":["http://www.mendeley.com/documents/?uuid=8b50c9e5-ad16-33cb-9e11-e81d590ff167"]}],"mendeley":{"formattedCitation":"[18,23]","plainTextFormattedCitation":"[18,23]","previouslyFormattedCitation":"[18,23]"},"properties":{"noteIndex":0},"schema":"https://github.com/citation-style-language/schema/raw/master/csl-citation.json"}</w:instrText>
      </w:r>
      <w:r w:rsidR="00D95255" w:rsidRPr="00FE2263">
        <w:fldChar w:fldCharType="separate"/>
      </w:r>
      <w:r w:rsidR="00D95255" w:rsidRPr="00FE2263">
        <w:rPr>
          <w:noProof/>
        </w:rPr>
        <w:t>[18,23]</w:t>
      </w:r>
      <w:r w:rsidR="00D95255" w:rsidRPr="00FE2263">
        <w:fldChar w:fldCharType="end"/>
      </w:r>
    </w:p>
    <w:p w14:paraId="3FFA04A5" w14:textId="77777777" w:rsidR="0053565F" w:rsidRPr="00FE2263" w:rsidRDefault="0053565F" w:rsidP="00D95255">
      <w:pPr>
        <w:pStyle w:val="afe"/>
        <w:ind w:firstLine="0"/>
        <w:rPr>
          <w:b/>
        </w:rPr>
      </w:pPr>
      <w:r w:rsidRPr="00FE2263">
        <w:rPr>
          <w:b/>
        </w:rPr>
        <w:t>Уровень убедительности рекомендаций B (уровень достоверности доказательств 3).</w:t>
      </w:r>
    </w:p>
    <w:p w14:paraId="59BDE348" w14:textId="4071BF9B" w:rsidR="00580D79" w:rsidRPr="00FE2263" w:rsidRDefault="0053565F" w:rsidP="00D95255">
      <w:pPr>
        <w:pStyle w:val="afff8"/>
        <w:spacing w:before="0"/>
      </w:pPr>
      <w:r w:rsidRPr="00FE2263">
        <w:rPr>
          <w:rStyle w:val="affb"/>
          <w:b w:val="0"/>
          <w:bCs w:val="0"/>
        </w:rPr>
        <w:t xml:space="preserve">Пациентам с впервые верифицированной МВ </w:t>
      </w:r>
      <w:r w:rsidRPr="00FE2263">
        <w:rPr>
          <w:rStyle w:val="affc"/>
          <w:i w:val="0"/>
          <w:iCs w:val="0"/>
        </w:rPr>
        <w:t>с</w:t>
      </w:r>
      <w:r w:rsidRPr="00FE2263">
        <w:rPr>
          <w:rStyle w:val="affc"/>
        </w:rPr>
        <w:t xml:space="preserve"> </w:t>
      </w:r>
      <w:r w:rsidRPr="00FE2263">
        <w:rPr>
          <w:rStyle w:val="affc"/>
          <w:i w:val="0"/>
          <w:iCs w:val="0"/>
        </w:rPr>
        <w:t>низким уровнем моноклонального белка, медленно прогрессирующей болезнью, а также с сопутствующей патологией</w:t>
      </w:r>
      <w:r w:rsidR="00D95255" w:rsidRPr="00FE2263">
        <w:rPr>
          <w:rStyle w:val="affc"/>
          <w:i w:val="0"/>
          <w:iCs w:val="0"/>
        </w:rPr>
        <w:t xml:space="preserve"> при невозможности назначения ритуксимаба**</w:t>
      </w:r>
      <w:r w:rsidRPr="00FE2263">
        <w:rPr>
          <w:rStyle w:val="affb"/>
        </w:rPr>
        <w:t xml:space="preserve"> рекомендуется</w:t>
      </w:r>
      <w:r w:rsidRPr="00FE2263" w:rsidDel="0053565F">
        <w:t xml:space="preserve"> </w:t>
      </w:r>
      <w:r w:rsidR="00580D79" w:rsidRPr="00FE2263">
        <w:t>хлорамбуцил** в монорежиме</w:t>
      </w:r>
      <w:r w:rsidR="00D95255" w:rsidRPr="00FE2263">
        <w:t xml:space="preserve"> </w:t>
      </w:r>
      <w:r w:rsidR="00D95255" w:rsidRPr="00FE2263">
        <w:fldChar w:fldCharType="begin" w:fldLock="1"/>
      </w:r>
      <w:r w:rsidR="00D95255" w:rsidRPr="00FE2263">
        <w:instrText>ADDIN CSL_CITATION {"citationItems":[{"id":"ITEM-1","itemData":{"DOI":"10.1046/j.1365-2141.2000.01918.x","ISSN":"00071048","abstract":"This prospective study compared continuous and intermittent chlorambucil therapy of untreated Waldenstrom's macroglobulinaemia. The diagnosis was established by the presence of an IsM monoclonal (M-) protein in the serum, an infiltrate of lymphocytes and plasma cells in the bone marrow, anaemia or other laboratory abnormalities, physical findings or constitutional symptoms. Patients were randomized to receive chlorambucil 0.1 mg/kg/d or chlorambucil 0.3 mg/kg/d orally for 7 d, repeated every 6 weeks. Criteria for response included 50% or more reduction of serum M-protein, increase in haemoglobin level of 2 g/dl without transfusion, ≥ 50% decrease of urine M-protein, or a reduction of 2 cm in the size of the liver, spleen or lymph nodes. Forty-six patients were randomized to continuous chlorambucil (n = 24) or to intermittent chlorambucil (n = 22). Nineteen (79%) (95% CI = 58-93) of the 24 patients given continuous therapy had an objective improvement by either reduction of serum M-protein or increase in haemoglobin. Fifteen (68%) (95% CI = 45-86) of the 22 patients given chlorambucil intermittently had an objective response. The size of the liver decreased by ≥2 cm in 55% of patients, and the size of the spleen decreased ≥2 cm in 67%. Lymphadenopathy decreased in 71%. Acute leukaemia or refractory anaemia developed in four patients. The median duration of survival was 5.4 years, and there was no difference between the regimens. Chlorambucil is effective for the treatment of Waldenstrom's macroglobulinaemia. Patients must be treated for at least 6 months before therapy is abandoned because response is slow. Chlorambucil is an effective agent and should be compared with purine analogues or rituxan (Rituximab) in a prospective study.","author":[{"dropping-particle":"","family":"Kyle","given":"Robert A.","non-dropping-particle":"","parse-names":false,"suffix":""},{"dropping-particle":"","family":"Greipp","given":"Philip R.","non-dropping-particle":"","parse-names":false,"suffix":""},{"dropping-particle":"","family":"Gertz","given":"Morie A.","non-dropping-particle":"","parse-names":false,"suffix":""},{"dropping-particle":"","family":"Witzig","given":"Thomas E.","non-dropping-particle":"","parse-names":false,"suffix":""},{"dropping-particle":"","family":"Lust","given":"John A.","non-dropping-particle":"","parse-names":false,"suffix":""},{"dropping-particle":"","family":"Lacy","given":"Martha Q.","non-dropping-particle":"","parse-names":false,"suffix":""},{"dropping-particle":"","family":"Therneau","given":"Terry M.","non-dropping-particle":"","parse-names":false,"suffix":""}],"container-title":"British Journal of Haematology","id":"ITEM-1","issue":"4","issued":{"date-parts":[["2000","3"]]},"page":"737-742","title":"Waldenstrom's macroglobulinaemia: A prospective study comparing daily intermittent oral chlorambucil","type":"article-journal","volume":"108"},"uris":["http://www.mendeley.com/documents/?uuid=d09cbf44-f48a-39ee-a5dd-86aad6fd5010"]}],"mendeley":{"formattedCitation":"[30]","plainTextFormattedCitation":"[30]","previouslyFormattedCitation":"[30]"},"properties":{"noteIndex":0},"schema":"https://github.com/citation-style-language/schema/raw/master/csl-citation.json"}</w:instrText>
      </w:r>
      <w:r w:rsidR="00D95255" w:rsidRPr="00FE2263">
        <w:fldChar w:fldCharType="separate"/>
      </w:r>
      <w:r w:rsidR="00D95255" w:rsidRPr="00FE2263">
        <w:rPr>
          <w:noProof/>
        </w:rPr>
        <w:t>[30]</w:t>
      </w:r>
      <w:r w:rsidR="00D95255" w:rsidRPr="00FE2263">
        <w:fldChar w:fldCharType="end"/>
      </w:r>
      <w:r w:rsidR="00580D79" w:rsidRPr="00FE2263">
        <w:t>.</w:t>
      </w:r>
    </w:p>
    <w:p w14:paraId="64C53525" w14:textId="77777777" w:rsidR="00580D79" w:rsidRPr="00FE2263" w:rsidRDefault="00580D79" w:rsidP="00F817BC">
      <w:pPr>
        <w:pStyle w:val="afe"/>
        <w:ind w:firstLine="0"/>
        <w:rPr>
          <w:b/>
        </w:rPr>
      </w:pPr>
      <w:r w:rsidRPr="00FE2263">
        <w:rPr>
          <w:b/>
        </w:rPr>
        <w:t xml:space="preserve">Уровень убедительности рекомендаций </w:t>
      </w:r>
      <w:r w:rsidRPr="00FE2263">
        <w:rPr>
          <w:b/>
          <w:lang w:val="en-US"/>
        </w:rPr>
        <w:t>B</w:t>
      </w:r>
      <w:r w:rsidRPr="00FE2263">
        <w:rPr>
          <w:b/>
        </w:rPr>
        <w:t xml:space="preserve"> (уровень достоверности доказательств 2).</w:t>
      </w:r>
    </w:p>
    <w:p w14:paraId="7C94AD2C" w14:textId="61F09F38" w:rsidR="00580D79" w:rsidRPr="00FE2263" w:rsidRDefault="008B7F08" w:rsidP="00D95255">
      <w:pPr>
        <w:pStyle w:val="afff8"/>
        <w:spacing w:before="0"/>
      </w:pPr>
      <w:r w:rsidRPr="00FE2263">
        <w:rPr>
          <w:rStyle w:val="affb"/>
          <w:b w:val="0"/>
          <w:bCs w:val="0"/>
        </w:rPr>
        <w:t>Пациентам с впервые верифицированной МВ, которым не может быть назначена химиотерапия,</w:t>
      </w:r>
      <w:r w:rsidRPr="00FE2263">
        <w:rPr>
          <w:rStyle w:val="affb"/>
        </w:rPr>
        <w:t xml:space="preserve"> рекомендуется</w:t>
      </w:r>
      <w:r w:rsidRPr="00FE2263">
        <w:t xml:space="preserve"> </w:t>
      </w:r>
      <w:r w:rsidR="00580D79" w:rsidRPr="00FE2263">
        <w:t>ибрутиниб**в монорежиме</w:t>
      </w:r>
      <w:r w:rsidR="00D95255" w:rsidRPr="00FE2263">
        <w:t xml:space="preserve"> </w:t>
      </w:r>
      <w:r w:rsidR="00D95255" w:rsidRPr="00FE2263">
        <w:fldChar w:fldCharType="begin" w:fldLock="1"/>
      </w:r>
      <w:r w:rsidR="00D95255" w:rsidRPr="00FE2263">
        <w:instrText>ADDIN CSL_CITATION {"citationItems":[{"id":"ITEM-1","itemData":{"DOI":"10.1200/JCO.2018.78.6426","ISSN":"15277755","abstract":"Purpose Ibrutinib is active in previously treated Waldenström macroglobulinemia (WM). MYD88 mutations (MYD88 MUT) and CXCR4 mutations (CXCR4MUT) affect ibrutinib response. We report on a prospective study of ibrutinib monotherapy in symptomatic, untreated patients with WM, and the effect of CXCR4 MUT status on outcome. Patients and Methods Symptomatic, treatment-naïve patients with WM were eligible. Ibrutinib (420 mg) was administered daily until progressionorunacceptable toxicity. All tumors were genotyped for MYD88MUT and CXCR4 MUT. Results A total of 30 patients with WM received ibrutinib. All carried MYD88 MUT, and 14 (47%) carried a CXCR4 MUT. After ibrutinib treatment, median serum IgM levels declined from 4,370 to 1,513 mg/dL, bone marrow involvement declined from 65% to 20%, and hemoglobin level rose from 10.3 to 13.9 g/dL (P, .001 for all comparisons). Overall (minor or more than minor) and major (partial or greater than partial) responses for all patients were 100% and 83%, respectively. Rates of major (94% v 71%) and very good partial (31 v 7%) responses were higher and time to major responses more rapid (1.8 v 7.3 months; P = 0.01) in patients with wildtypeCXCR4versus those with CXCR4MUT, respectively. With a median follow-up of 14.6 months, disease in two patients (both with CXCR4MUT) progressed. The 18-month, estimated progression-free survival is 92% (95% CI, 73% to 98%). All patients are alive. Grade 2/3 treatment-related toxicities in . 5% of patients included arthralgia (7%), bruising (7%), neutropenia (7%), upper respiratory tract infection (7%), urinary tract infection (7%), atrial fibrillation (10%), and hypertension (13%). There were no grade 4 or unexpected toxicities. Conclusion Ibrutinib is highly active, produces durable responses, and is safe as primary therapy in patients with symptomatic WM. CXCR4 MUT status affects responses to ibrutinib.","author":[{"dropping-particle":"","family":"Treon","given":"Steven P.","non-dropping-particle":"","parse-names":false,"suffix":""},{"dropping-particle":"","family":"Gustine","given":"Joshua","non-dropping-particle":"","parse-names":false,"suffix":""},{"dropping-particle":"","family":"Meid","given":"Kirsten","non-dropping-particle":"","parse-names":false,"suffix":""},{"dropping-particle":"","family":"Yang","given":"Guang","non-dropping-particle":"","parse-names":false,"suffix":""},{"dropping-particle":"","family":"Xu","given":"Lian","non-dropping-particle":"","parse-names":false,"suffix":""},{"dropping-particle":"","family":"Liu","given":"Xia","non-dropping-particle":"","parse-names":false,"suffix":""},{"dropping-particle":"","family":"Demos","given":"Maria","non-dropping-particle":"","parse-names":false,"suffix":""},{"dropping-particle":"","family":"Kofides","given":"Amanda","non-dropping-particle":"","parse-names":false,"suffix":""},{"dropping-particle":"","family":"Tsakmaklis","given":"Nicholas","non-dropping-particle":"","parse-names":false,"suffix":""},{"dropping-particle":"","family":"Chen","given":"Jiaji G.","non-dropping-particle":"","parse-names":false,"suffix":""},{"dropping-particle":"","family":"Munshi","given":"Manit","non-dropping-particle":"","parse-names":false,"suffix":""},{"dropping-particle":"","family":"Chan","given":"Gloria","non-dropping-particle":"","parse-names":false,"suffix":""},{"dropping-particle":"","family":"Dubeau","given":"Toni","non-dropping-particle":"","parse-names":false,"suffix":""},{"dropping-particle":"","family":"Raje","given":"Noopur","non-dropping-particle":"","parse-names":false,"suffix":""},{"dropping-particle":"","family":"Yee","given":"Andrew","non-dropping-particle":"","parse-names":false,"suffix":""},{"dropping-particle":"","family":"O’Donnell","given":"Elizabeth","non-dropping-particle":"","parse-names":false,"suffix":""},{"dropping-particle":"","family":"Hunter","given":"Zachary R.","non-dropping-particle":"","parse-names":false,"suffix":""},{"dropping-particle":"","family":"Castillo","given":"Jorge J.","non-dropping-particle":"","parse-names":false,"suffix":""}],"container-title":"Journal of Clinical Oncology","id":"ITEM-1","issue":"27","issued":{"date-parts":[["2018","9","20"]]},"page":"2755-2761","publisher":"American Society of Clinical Oncology","title":"Ibrutinib monotherapy in symptomatic, treatment-naïve patients with waldenström macroglobulinemia","type":"article-journal","volume":"36"},"uris":["http://www.mendeley.com/documents/?uuid=bc17dd92-a90e-389d-b969-2cb744dd417f"]}],"mendeley":{"formattedCitation":"[31]","plainTextFormattedCitation":"[31]","previouslyFormattedCitation":"[31]"},"properties":{"noteIndex":0},"schema":"https://github.com/citation-style-language/schema/raw/master/csl-citation.json"}</w:instrText>
      </w:r>
      <w:r w:rsidR="00D95255" w:rsidRPr="00FE2263">
        <w:fldChar w:fldCharType="separate"/>
      </w:r>
      <w:r w:rsidR="00D95255" w:rsidRPr="00FE2263">
        <w:rPr>
          <w:noProof/>
        </w:rPr>
        <w:t>[31]</w:t>
      </w:r>
      <w:r w:rsidR="00D95255" w:rsidRPr="00FE2263">
        <w:fldChar w:fldCharType="end"/>
      </w:r>
      <w:r w:rsidRPr="00FE2263">
        <w:t>.</w:t>
      </w:r>
    </w:p>
    <w:p w14:paraId="6EC45DED" w14:textId="1EDCFA27" w:rsidR="00580D79" w:rsidRPr="00FE2263" w:rsidRDefault="00580D79" w:rsidP="00F817BC">
      <w:pPr>
        <w:pStyle w:val="afe"/>
        <w:ind w:firstLine="0"/>
        <w:rPr>
          <w:b/>
        </w:rPr>
      </w:pPr>
      <w:r w:rsidRPr="00FE2263">
        <w:rPr>
          <w:b/>
        </w:rPr>
        <w:t xml:space="preserve">Уровень убедительности рекомендаций </w:t>
      </w:r>
      <w:r w:rsidR="00A64208" w:rsidRPr="00FE2263">
        <w:rPr>
          <w:b/>
        </w:rPr>
        <w:t xml:space="preserve">С </w:t>
      </w:r>
      <w:r w:rsidRPr="00FE2263">
        <w:rPr>
          <w:b/>
        </w:rPr>
        <w:t xml:space="preserve">(уровень достоверности доказательств </w:t>
      </w:r>
      <w:r w:rsidR="00A64208" w:rsidRPr="00FE2263">
        <w:rPr>
          <w:b/>
        </w:rPr>
        <w:t>4</w:t>
      </w:r>
      <w:r w:rsidRPr="00FE2263">
        <w:rPr>
          <w:b/>
        </w:rPr>
        <w:t>).</w:t>
      </w:r>
    </w:p>
    <w:p w14:paraId="7E54517E" w14:textId="69A9D32C" w:rsidR="00580D79" w:rsidRPr="00FE2263" w:rsidRDefault="00580D79" w:rsidP="00D95255">
      <w:pPr>
        <w:pStyle w:val="afff8"/>
        <w:spacing w:before="0"/>
      </w:pPr>
      <w:r w:rsidRPr="00FE2263">
        <w:rPr>
          <w:rStyle w:val="affb"/>
        </w:rPr>
        <w:t>Не рекомендуется</w:t>
      </w:r>
      <w:r w:rsidRPr="00FE2263">
        <w:t xml:space="preserve"> начало терапии молодых пациентов с МВ аналогами нуклеозидов (флударабин**, кладрибин**), а также хлорамбуцилом**</w:t>
      </w:r>
      <w:r w:rsidR="00D95255" w:rsidRPr="00FE2263">
        <w:t xml:space="preserve"> </w:t>
      </w:r>
      <w:r w:rsidR="00D95255" w:rsidRPr="00FE2263">
        <w:fldChar w:fldCharType="begin" w:fldLock="1"/>
      </w:r>
      <w:r w:rsidR="00FF0157" w:rsidRPr="00FE2263">
        <w:instrText>ADDIN CSL_CITATION {"citationItems":[{"id":"ITEM-1","itemData":{"DOI":"10.1200/JCO.2008.17.7865","ISSN":"0732183X","abstract":"Waldenström macroglobulinemia (WM) is a distinct B-cell lymphoproliferative disorder characterized by lymphoplasmacytic bone marrow infiltration along with an immunoglobulin M (lgM) monoclonal gammopathy. Patients with disease-related cytopenias, bulky adenopathy or organomegaly, symptomatic hyperviscosity, severe neuropathy, amyloidosis, cryoglobulinemia, cold agglutinin disease, or evidence of disease transformation should be considered for immediate therapy. Initiation of therapy should not be based on serum lgM levels alone, and asymptomatic patients should be observed. Individual patient considerations should be considered when deciding on a first-line agent including the presence of cytopenias, need for rapid disease control, age, and candidacy for autologous transplantation. Therapeutic outcomes should be evaluated using updated criteria. As part of the Fourth International Workshop on Waldenström's Macroglobulinemia, a consensus panel updated its recommendations on both first-line and salvage therapy in view of recently published and ongoing clinical trials. The panel considered encouraging results from recent studies of first-line combinations such as rituximab with nucleoside analogs with or without alkylating agents or with cyclophosphamide-based therapies (eg, cyclophosphamide, doxorubicin, vincristine, and prednisone or cyclophosphamide and dexamethasone) or the combination of rituximab with thalidomide. Such therapeutic approaches are likely to yield responses at least as good as, if not better than, monotherapy with any of the alkylating agents, nucleoside analogs, or rituximab. In the salvage setting, reuse of a first-line regimen or use of a different regimen should be considered along with bortezomib, alemtuzumab, autologous transplantation, and, in selected circumstances, allogeneic transplantation. Finally, the panel reaffirmed its encouragement of the active enrollment of patients with WM onto innovative clinical trials whenever possible. © 2008 by American Society of Clinical Oncology.","author":[{"dropping-particle":"","family":"Dimopoulos","given":"Meletios Athanasios","non-dropping-particle":"","parse-names":false,"suffix":""},{"dropping-particle":"","family":"Gertz","given":"Morie A.","non-dropping-particle":"","parse-names":false,"suffix":""},{"dropping-particle":"","family":"Kastritis","given":"Efstathios","non-dropping-particle":"","parse-names":false,"suffix":""},{"dropping-particle":"","family":"Garcia-Sanz","given":"Ramon","non-dropping-particle":"","parse-names":false,"suffix":""},{"dropping-particle":"","family":"Kimby","given":"Eva K.","non-dropping-particle":"","parse-names":false,"suffix":""},{"dropping-particle":"","family":"LeBlond","given":"Veronique","non-dropping-particle":"","parse-names":false,"suffix":""},{"dropping-particle":"","family":"Fermand","given":"Jean Paul","non-dropping-particle":"","parse-names":false,"suffix":""},{"dropping-particle":"","family":"Merlini","given":"Giampaolo","non-dropping-particle":"","parse-names":false,"suffix":""},{"dropping-particle":"","family":"Morel","given":"Pierre","non-dropping-particle":"","parse-names":false,"suffix":""},{"dropping-particle":"","family":"Morra","given":"Enrica","non-dropping-particle":"","parse-names":false,"suffix":""},{"dropping-particle":"","family":"Ocio","given":"Enrique M.","non-dropping-particle":"","parse-names":false,"suffix":""},{"dropping-particle":"","family":"Owen","given":"Roger","non-dropping-particle":"","parse-names":false,"suffix":""},{"dropping-particle":"","family":"Ghobrial","given":"Irene M.","non-dropping-particle":"","parse-names":false,"suffix":""},{"dropping-particle":"","family":"Seymour","given":"John","non-dropping-particle":"","parse-names":false,"suffix":""},{"dropping-particle":"","family":"Kyle","given":"Robert A.","non-dropping-particle":"","parse-names":false,"suffix":""},{"dropping-particle":"","family":"Treon","given":"Steven P.","non-dropping-particle":"","parse-names":false,"suffix":""}],"container-title":"Journal of Clinical Oncology","id":"ITEM-1","issue":"1","issued":{"date-parts":[["2009","1","1"]]},"page":"120-126","title":"Update on treatment recommendations from the fourth international workshop on Waldenström's macroglobulinemia","type":"article","volume":"27"},"uris":["http://www.mendeley.com/documents/?uuid=3ddfaef9-3636-30c5-b3e4-f1540e17d2dc"]}],"mendeley":{"formattedCitation":"[32]","plainTextFormattedCitation":"[32]","previouslyFormattedCitation":"[32]"},"properties":{"noteIndex":0},"schema":"https://github.com/citation-style-language/schema/raw/master/csl-citation.json"}</w:instrText>
      </w:r>
      <w:r w:rsidR="00D95255" w:rsidRPr="00FE2263">
        <w:fldChar w:fldCharType="separate"/>
      </w:r>
      <w:r w:rsidR="00D95255" w:rsidRPr="00FE2263">
        <w:rPr>
          <w:noProof/>
        </w:rPr>
        <w:t>[32]</w:t>
      </w:r>
      <w:r w:rsidR="00D95255" w:rsidRPr="00FE2263">
        <w:fldChar w:fldCharType="end"/>
      </w:r>
      <w:r w:rsidRPr="00FE2263">
        <w:t>.</w:t>
      </w:r>
    </w:p>
    <w:p w14:paraId="03C74D7B" w14:textId="13BE573A" w:rsidR="00580D79" w:rsidRPr="00FE2263" w:rsidRDefault="00580D79" w:rsidP="00F817BC">
      <w:pPr>
        <w:pStyle w:val="afe"/>
        <w:ind w:firstLine="0"/>
        <w:rPr>
          <w:b/>
        </w:rPr>
      </w:pPr>
      <w:r w:rsidRPr="00FE2263">
        <w:rPr>
          <w:b/>
        </w:rPr>
        <w:t xml:space="preserve">Уровень убедительности рекомендаций </w:t>
      </w:r>
      <w:r w:rsidR="00A64208" w:rsidRPr="00FE2263">
        <w:rPr>
          <w:b/>
        </w:rPr>
        <w:t xml:space="preserve">С </w:t>
      </w:r>
      <w:r w:rsidRPr="00FE2263">
        <w:rPr>
          <w:b/>
        </w:rPr>
        <w:t xml:space="preserve">(уровень достоверности доказательств </w:t>
      </w:r>
      <w:r w:rsidR="00A64208" w:rsidRPr="00FE2263">
        <w:rPr>
          <w:b/>
        </w:rPr>
        <w:t>5</w:t>
      </w:r>
      <w:r w:rsidRPr="00FE2263">
        <w:rPr>
          <w:b/>
        </w:rPr>
        <w:t>).</w:t>
      </w:r>
    </w:p>
    <w:p w14:paraId="0FF42128" w14:textId="77777777" w:rsidR="00580D79" w:rsidRPr="00FE2263" w:rsidRDefault="00580D79" w:rsidP="00F817BC">
      <w:pPr>
        <w:pStyle w:val="afd"/>
        <w:spacing w:beforeAutospacing="0" w:afterAutospacing="0" w:line="360" w:lineRule="auto"/>
      </w:pPr>
      <w:r w:rsidRPr="00FE2263">
        <w:rPr>
          <w:rStyle w:val="affb"/>
        </w:rPr>
        <w:t>Комментарии:</w:t>
      </w:r>
      <w:r w:rsidRPr="00FE2263">
        <w:rPr>
          <w:rStyle w:val="affc"/>
        </w:rPr>
        <w:t xml:space="preserve"> данные препараты не следует использовать в качестве терапии первой линии, так как это может помешать адекватному сбору ГСК в случае принятия решения о проведении высокодозной химиотерапии с ТГСК при рецидиве заболевания в группе молодых соматически-сохранных пациентов. </w:t>
      </w:r>
    </w:p>
    <w:p w14:paraId="23A8BB39" w14:textId="77777777" w:rsidR="00580D79" w:rsidRPr="00FE2263" w:rsidRDefault="00580D79" w:rsidP="00D95255">
      <w:pPr>
        <w:pStyle w:val="2"/>
        <w:spacing w:before="0"/>
      </w:pPr>
      <w:bookmarkStart w:id="50" w:name="_Toc33974227"/>
      <w:bookmarkStart w:id="51" w:name="_Toc66184319"/>
      <w:r w:rsidRPr="00FE2263">
        <w:t>3.3 Поддерживающая терапия</w:t>
      </w:r>
      <w:bookmarkEnd w:id="50"/>
      <w:bookmarkEnd w:id="51"/>
    </w:p>
    <w:p w14:paraId="1B233C52" w14:textId="7EBE6368" w:rsidR="00580D79" w:rsidRPr="00FE2263" w:rsidRDefault="00580D79" w:rsidP="00FF0157">
      <w:pPr>
        <w:pStyle w:val="afff8"/>
        <w:spacing w:before="0"/>
        <w:rPr>
          <w:rFonts w:eastAsiaTheme="minorEastAsia"/>
        </w:rPr>
      </w:pPr>
      <w:r w:rsidRPr="00FE2263">
        <w:rPr>
          <w:rStyle w:val="affb"/>
        </w:rPr>
        <w:t>Рекомендуется</w:t>
      </w:r>
      <w:r w:rsidRPr="00FE2263">
        <w:t xml:space="preserve"> ритуксимаб ** по 375 мг/м</w:t>
      </w:r>
      <w:r w:rsidRPr="00FE2263">
        <w:rPr>
          <w:vertAlign w:val="superscript"/>
        </w:rPr>
        <w:t>2</w:t>
      </w:r>
      <w:r w:rsidRPr="00FE2263">
        <w:t xml:space="preserve"> каждые 3 месяца в течение 2 лет</w:t>
      </w:r>
      <w:r w:rsidR="00D95255" w:rsidRPr="00FE2263">
        <w:t xml:space="preserve"> </w:t>
      </w:r>
      <w:r w:rsidR="00FF0157" w:rsidRPr="00FE2263">
        <w:fldChar w:fldCharType="begin" w:fldLock="1"/>
      </w:r>
      <w:r w:rsidR="00FF0157" w:rsidRPr="00FE2263">
        <w:instrText>ADDIN CSL_CITATION {"citationItems":[{"id":"ITEM-1","itemData":{"DOI":"10.1111/j.1365-2141.2011.08750.x","ISSN":"00071048","abstract":"This study examined the outcome of 248 Waldenstrom macroglobulinaemia (WM) rituximab-naïve patients who responded to a rituximab-containing regimen. Eighty-six patients (35%) subsequently received maintenance rituximab (M-Rituximab). No differences in baseline characteristics, and post-induction categorical responses between cohorts were observed. The median rituximab infusions during induction was 6 for both cohorts; and 8 over a 2-year period for patients receiving M-Rituximab. Categorical responses improved in 16/162 (10%) of observed, and 36/86 (41·8%) of M-Rituximab patients respectively, following induction therapy (P&lt; 0·0001). Both progression-free (56·3 vs. 28·6months; P=0·0001) and overall survival (Not reached versus 116months; P=0·0095) were longer in patients who received M-Rituximab. Improved progression-free survival was evident despite previous treatment status, induction with rituximab alone or in combination therapy (P≤0·0001). Best serum IgM response was lower (P&lt;0·0001), and haematocrit higher (P=0·001) for patients receiving M-Rituximab. Among patients receiving M-Rituximab, an increased number of infectious events were observed, but were mainly ≤grade 2 (P=0·008). The findings of this observational study suggest improved clinical outcomes following M-Rituximab in WM patients who respond to induction with a rituximab-containing regimen. Prospective studies aimed at clarifying the role of M-Rituximab therapy in WM patients are needed to confirm these findings. © 2011 Blackwell Publishing Ltd.","author":[{"dropping-particle":"","family":"Treon","given":"Steven P.","non-dropping-particle":"","parse-names":false,"suffix":""},{"dropping-particle":"","family":"Hanzis","given":"Christina","non-dropping-particle":"","parse-names":false,"suffix":""},{"dropping-particle":"","family":"Manning","given":"Robert J.","non-dropping-particle":"","parse-names":false,"suffix":""},{"dropping-particle":"","family":"Ioakimidis","given":"Leukothea","non-dropping-particle":"","parse-names":false,"suffix":""},{"dropping-particle":"","family":"Patterson","given":"Christopher J.","non-dropping-particle":"","parse-names":false,"suffix":""},{"dropping-particle":"","family":"Hunter","given":"Zachary R.","non-dropping-particle":"","parse-names":false,"suffix":""},{"dropping-particle":"","family":"Sheehy","given":"Patricia","non-dropping-particle":"","parse-names":false,"suffix":""},{"dropping-particle":"","family":"Turnbull","given":"Barry","non-dropping-particle":"","parse-names":false,"suffix":""}],"container-title":"British Journal of Haematology","id":"ITEM-1","issue":"3","issued":{"date-parts":[["2011","8"]]},"page":"357-362","title":"Maintenance Rituximab is associated with improved clinical outcome in rituximab naïve patients with Waldenstrom Macroglobulinaemia who respond to a rituximab-containing regimen","type":"article-journal","volume":"154"},"uris":["http://www.mendeley.com/documents/?uuid=8b50c9e5-ad16-33cb-9e11-e81d590ff167"]}],"mendeley":{"formattedCitation":"[23]","plainTextFormattedCitation":"[23]","previouslyFormattedCitation":"[23]"},"properties":{"noteIndex":0},"schema":"https://github.com/citation-style-language/schema/raw/master/csl-citation.json"}</w:instrText>
      </w:r>
      <w:r w:rsidR="00FF0157" w:rsidRPr="00FE2263">
        <w:fldChar w:fldCharType="separate"/>
      </w:r>
      <w:r w:rsidR="00FF0157" w:rsidRPr="00FE2263">
        <w:rPr>
          <w:noProof/>
        </w:rPr>
        <w:t>[23]</w:t>
      </w:r>
      <w:r w:rsidR="00FF0157" w:rsidRPr="00FE2263">
        <w:fldChar w:fldCharType="end"/>
      </w:r>
      <w:r w:rsidRPr="00FE2263">
        <w:t>.</w:t>
      </w:r>
    </w:p>
    <w:p w14:paraId="31CDDBA0" w14:textId="77777777" w:rsidR="00580D79" w:rsidRPr="00FE2263" w:rsidRDefault="00580D79" w:rsidP="00F817BC">
      <w:pPr>
        <w:pStyle w:val="afe"/>
        <w:ind w:firstLine="0"/>
        <w:rPr>
          <w:b/>
        </w:rPr>
      </w:pPr>
      <w:r w:rsidRPr="00FE2263">
        <w:rPr>
          <w:b/>
        </w:rPr>
        <w:t>Уровень убедительности рекомендаций С (уровень достоверности доказательств 3).</w:t>
      </w:r>
    </w:p>
    <w:p w14:paraId="416F47B1" w14:textId="77777777" w:rsidR="00580D79" w:rsidRPr="00FE2263" w:rsidRDefault="00580D79" w:rsidP="00F817BC">
      <w:pPr>
        <w:pStyle w:val="afd"/>
        <w:spacing w:beforeAutospacing="0" w:afterAutospacing="0" w:line="360" w:lineRule="auto"/>
        <w:rPr>
          <w:rStyle w:val="affc"/>
        </w:rPr>
      </w:pPr>
      <w:r w:rsidRPr="00FE2263">
        <w:rPr>
          <w:rStyle w:val="affb"/>
        </w:rPr>
        <w:t>Комментарии:</w:t>
      </w:r>
      <w:r w:rsidRPr="00FE2263">
        <w:rPr>
          <w:rStyle w:val="affc"/>
        </w:rPr>
        <w:t xml:space="preserve"> Вопрос о поддерживающей терапии ритуксимабом** при МВ обсуждается. В отдельных центрах назначают ритуксимаб** пациентам МВ после успешного лечения по программах с включением этого препарата по 375 мг/м2 каждые 3 месяца в течение 2 лет. В одном исследовании было показано, что назначение ритуксимаба** в качестве поддерживающей терапии улучшает общую эффективность лечения, ВБП и ОВ. Однако при длительном лечении ритуксимабом** отмечено увеличение инфекционных осложнений, по сравнению с группой пациентов, не получавших </w:t>
      </w:r>
      <w:r w:rsidRPr="00FE2263">
        <w:rPr>
          <w:rStyle w:val="affc"/>
        </w:rPr>
        <w:lastRenderedPageBreak/>
        <w:t>поддерживающей терапии. Проспективное исследование, проводимое в настоящее время, возможно, позволит ответить на вопрос о целесообразности поддерживающей терапии ритуксимабом** при МВ [26]. Поддерживающая терапия ритуксимабом может быть рекомендована пациентам, у которых получен полный или очень хороший частичный ответ на индукционной ритуксимаб-содержащей терапии</w:t>
      </w:r>
    </w:p>
    <w:p w14:paraId="651E1E7A" w14:textId="77777777" w:rsidR="00580D79" w:rsidRPr="00FE2263" w:rsidRDefault="00580D79" w:rsidP="00FF0157">
      <w:pPr>
        <w:pStyle w:val="2"/>
        <w:spacing w:before="0"/>
      </w:pPr>
      <w:bookmarkStart w:id="52" w:name="_Toc66184320"/>
      <w:r w:rsidRPr="00FE2263">
        <w:rPr>
          <w:rStyle w:val="affb"/>
          <w:b/>
          <w:bCs w:val="0"/>
        </w:rPr>
        <w:t>3.4 Лечение рецидивов МВ</w:t>
      </w:r>
      <w:bookmarkEnd w:id="52"/>
    </w:p>
    <w:p w14:paraId="4F840B9B" w14:textId="77777777" w:rsidR="00580D79" w:rsidRPr="00FE2263" w:rsidRDefault="00580D79" w:rsidP="00F817BC">
      <w:pPr>
        <w:pStyle w:val="afd"/>
        <w:spacing w:beforeAutospacing="0" w:afterAutospacing="0" w:line="360" w:lineRule="auto"/>
        <w:rPr>
          <w:rFonts w:eastAsiaTheme="minorEastAsia"/>
        </w:rPr>
      </w:pPr>
      <w:r w:rsidRPr="00FE2263">
        <w:rPr>
          <w:rStyle w:val="affc"/>
        </w:rPr>
        <w:t>Пациенты с рецидивом МВ должны быть обследованы в том же объеме, что и первичные пациенты.</w:t>
      </w:r>
    </w:p>
    <w:p w14:paraId="17BE189F" w14:textId="77777777" w:rsidR="00580D79" w:rsidRPr="00FE2263" w:rsidRDefault="00580D79" w:rsidP="00F817BC">
      <w:pPr>
        <w:pStyle w:val="afd"/>
        <w:spacing w:beforeAutospacing="0" w:afterAutospacing="0" w:line="360" w:lineRule="auto"/>
        <w:rPr>
          <w:i/>
          <w:iCs/>
        </w:rPr>
      </w:pPr>
      <w:r w:rsidRPr="00FE2263">
        <w:rPr>
          <w:rStyle w:val="affc"/>
        </w:rPr>
        <w:t>Выбор программы лечения рецидивов МВ зависит от эффективности предшествующей терапии, длительности ремиссии, состояния и возраста пациента, сопутствующей патологии и осложнений, сопровождавших первоначальную терапию. При поздних рецидивах, развившихся через год и более после достижения противоопухолевого ответа, возможно использование применявшихся ранее методов лечения. Для лечения ранних рецидивов МВ (при длительности ремиссии менее 1 года), а также при рефрактерном течении болезни следует использовать альтернативную программу. Эти программы должны включать лекарственные препараты других групп, могут быть использованы как в монорежиме, так и в виде комбинации препаратов</w:t>
      </w:r>
      <w:r w:rsidRPr="00FE2263">
        <w:rPr>
          <w:rStyle w:val="affc"/>
          <w:i w:val="0"/>
          <w:iCs w:val="0"/>
        </w:rPr>
        <w:t>.</w:t>
      </w:r>
    </w:p>
    <w:p w14:paraId="72C34108" w14:textId="5794BB34" w:rsidR="00580D79" w:rsidRPr="00FE2263" w:rsidRDefault="00BD78B2" w:rsidP="00FF0157">
      <w:pPr>
        <w:pStyle w:val="afff8"/>
        <w:spacing w:before="0"/>
      </w:pPr>
      <w:r w:rsidRPr="00FE2263">
        <w:rPr>
          <w:rStyle w:val="affb"/>
          <w:b w:val="0"/>
          <w:bCs w:val="0"/>
        </w:rPr>
        <w:t>Пациентам с рецидивами МВ</w:t>
      </w:r>
      <w:r w:rsidRPr="00FE2263">
        <w:rPr>
          <w:rStyle w:val="affb"/>
        </w:rPr>
        <w:t xml:space="preserve"> рекомендуются</w:t>
      </w:r>
      <w:r w:rsidRPr="00FE2263">
        <w:t xml:space="preserve"> </w:t>
      </w:r>
      <w:r w:rsidR="00580D79" w:rsidRPr="00FE2263">
        <w:t>программы с включением бортезомиба**</w:t>
      </w:r>
      <w:r w:rsidR="00FF0157" w:rsidRPr="00FE2263">
        <w:t xml:space="preserve"> </w:t>
      </w:r>
      <w:r w:rsidR="00FF0157" w:rsidRPr="00FE2263">
        <w:fldChar w:fldCharType="begin" w:fldLock="1"/>
      </w:r>
      <w:r w:rsidR="00FF0157" w:rsidRPr="00FE2263">
        <w:instrText>ADDIN CSL_CITATION {"citationItems":[{"id":"ITEM-1","itemData":{"DOI":"10.1200/JCO.2008.20.4677","ISSN":"0732183X","abstract":"Purpose: We examined the activity of bortezomib, dexamethasone, and rituximab (BDR) in patients with symptomatic, untreated Waldenström macroglobulinemia (WM). Patients and Methods: A cycle of therapy consisted of bortezomib 1.3 mg/m2 intravenously; dexamethasone 40 mg on days 1, 4, 8, and 11; and rituximab 375 mg/m2 on day 11. Patients received four consecutive cycles for induction therapy and then four more cycles, each given 3 months apart, for maintenance therapy. Twenty-three patients received a median of seven cycles of treatment. Results: Median bone marrow disease involvement declined from 55% to 10% (P = .0004), serum immunoglobulin M levels declined from 4,830 to 1,115 mg/dL (P = .0001), and hematocrit increased from 29.8% to 38.2% (P = .0002) at best response. The overall response rates and major response rates were 96% and 83% with three complete responses, two near complete responses, three very good partial responses, 11 partial responses, and three minor responses. Responses occurred at a median of 1.4 months. With a median follow-up of 22.8 months, 18 of 23 patients remained free of disease progression. Peripheral neuropathy was the most common toxicity, and it resolved to grade ≤ 1 in 13 of 16 patients at a median of 6.0 months. Four of the first seven treated patients developed herpes zoster, resulting in the institution of prophylactic antiviral therapy. Conclusion: The results demonstrate that BDR produces rapid and durable responses, along with high rates of response and complete remissions in WM. Herpes zoster prophylaxis is necessary with BDR, and reversible peripheral neuropathy was the most common toxicity leading to premature discontinuation of bortezomib in 61% of patients. Exploration of alternative schedules for bortezomib administration that includes weekly dosing should be pursued. © 2009 by American Society of Clinical Oncology.","author":[{"dropping-particle":"","family":"Treon","given":"Steven P.","non-dropping-particle":"","parse-names":false,"suffix":""},{"dropping-particle":"","family":"Ioakimidis","given":"Leukothea","non-dropping-particle":"","parse-names":false,"suffix":""},{"dropping-particle":"","family":"Soumerai","given":"Jacob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Sheehy","given":"Patricia","non-dropping-particle":"","parse-names":false,"suffix":""},{"dropping-particle":"","family":"Nelson","given":"Marybeth","non-dropping-particle":"","parse-names":false,"suffix":""},{"dropping-particle":"","family":"Willen","given":"Michael","non-dropping-particle":"","parse-names":false,"suffix":""},{"dropping-particle":"","family":"Matous","given":"Jeffrey","non-dropping-particle":"","parse-names":false,"suffix":""},{"dropping-particle":"","family":"Mattern","given":"John","non-dropping-particle":"","parse-names":false,"suffix":""},{"dropping-particle":"","family":"Diener","given":"Jakow G.","non-dropping-particle":"","parse-names":false,"suffix":""},{"dropping-particle":"","family":"Keogh","given":"George P.","non-dropping-particle":"","parse-names":false,"suffix":""},{"dropping-particle":"","family":"Myers","given":"Thomas J.","non-dropping-particle":"","parse-names":false,"suffix":""},{"dropping-particle":"","family":"Boral","given":"Andy","non-dropping-particle":"","parse-names":false,"suffix":""},{"dropping-particle":"","family":"Birner","given":"Ann","non-dropping-particle":"","parse-names":false,"suffix":""},{"dropping-particle":"","family":"Esseltine","given":"Dixie L.","non-dropping-particle":"","parse-names":false,"suffix":""},{"dropping-particle":"","family":"Ghobrial","given":"Irene M.","non-dropping-particle":"","parse-names":false,"suffix":""}],"container-title":"Journal of Clinical Oncology","id":"ITEM-1","issue":"23","issued":{"date-parts":[["2009","8","10"]]},"page":"3830-3835","title":"Primary therapy of Waldenström macroglobulinemia with bortezomib, dexamethasone, and rituximab: WMCTG clinical trial 05-180","type":"article-journal","volume":"27"},"uris":["http://www.mendeley.com/documents/?uuid=50a2ce48-f9bf-36fc-a5ec-34724b6fbca5"]},{"id":"ITEM-2","itemData":{"DOI":"10.1200/JCO.2006.07.8659","ISSN":"0732183X","abstract":"Purpose: To evaluate the efficacy and toxicity of single-agent bortezomib in Waldenström's macroglobulinemia (WM). Patients and Methods: Symptomatic WM patients, untreated or previously treated, received bortezomib 1.3 mg/m 2 intravenously days 1, 4, 8, and 11 on a 21-day cycle until two cycles past complete response (CR), stable disease (SD) attained, progression (PD), or unacceptable toxicity. Responses were based on both paraprotein levels and bidimensional disease measurements. Results: Twenty-seven patients were enrolled. A median of six cycles (range, two to 39) of bortezomib were administered. Twenty-one patients had a decrease in immunoglobulin M (IgM) of at least 25%, with 12 patients (44%) reaching at least 50% IgM reduction. Using both IgM and bidimensional criteria, responses included seven partial responses (PRs; 26%), 19 SDs (70%), and one PD (4%). Total response rate was 26%. IgM reductions were prompt, with nodal responses lagging. Hemoglobin levels increased by at least 10 g/L in 18 patients (66%). Most nonhematologic toxicities were grade 1 to 2, but 20 patients (74%) developed new or worsening peripheral neuropathy (five patients with grade 3, no grade 4), a common cause for dose reduction. Onset of neuropathy was within two to four cycles and reversible in the majority. Hematologic toxicities included grade 3 to 4 thrombocytopenia in eight patients (29.6%) and neutropenia in five (19%). Toxicity led to treatment discontinuation in 12 patients (44%), most commonly because of neuropathy. Conclusion: Bortezomib has efficacy in WM, but neurotoxicity can be dose limiting. The slower response in nodal disease may require prolonged therapy, perhaps with a less intensive dosing schedule to avoid early discontinuation because of toxicity. Future studies of bortezomib in combination with other agents are warranted. © 2007 by American Society of Clinical Oncology.","author":[{"dropping-particle":"","family":"Chen","given":"Christine I.","non-dropping-particle":"","parse-names":false,"suffix":""},{"dropping-particle":"","family":"Kouroukis","given":"C. Tom","non-dropping-particle":"","parse-names":false,"suffix":""},{"dropping-particle":"","family":"White","given":"Darrell","non-dropping-particle":"","parse-names":false,"suffix":""},{"dropping-particle":"","family":"Voralia","given":"Michael","non-dropping-particle":"","parse-names":false,"suffix":""},{"dropping-particle":"","family":"Stadtmauer","given":"Edward","non-dropping-particle":"","parse-names":false,"suffix":""},{"dropping-particle":"","family":"Stewart","given":"A. Keith","non-dropping-particle":"","parse-names":false,"suffix":""},{"dropping-particle":"","family":"Wright","given":"John J.","non-dropping-particle":"","parse-names":false,"suffix":""},{"dropping-particle":"","family":"Powers","given":"Jean","non-dropping-particle":"","parse-names":false,"suffix":""},{"dropping-particle":"","family":"Walsh","given":"Wendy","non-dropping-particle":"","parse-names":false,"suffix":""},{"dropping-particle":"","family":"Eisenhauer","given":"Elizabeth","non-dropping-particle":"","parse-names":false,"suffix":""}],"container-title":"Journal of Clinical Oncology","id":"ITEM-2","issue":"12","issued":{"date-parts":[["2007","4","20"]]},"page":"1570-1575","title":"Bortezomib is active in patients with untreated or relapsed Waldenström's macroglobulinemia: A phase II study of the National Cancer Institute of Canada Clinical Trials Group","type":"article-journal","volume":"25"},"uris":["http://www.mendeley.com/documents/?uuid=41c8fa70-c352-3681-b30b-ca4edd157b43"]},{"id":"ITEM-3","itemData":{"DOI":"10.1002/ajh.21788","ISSN":"10968652","abstract":"This study aimed to determine the activity and safety of weekly bortezomib and rituximab in patients with untreated Waldenström Macroglobulinemia (WM). Patients with no prior therapy and symptomatic disease were eligible. Patients received bortezomib IV weekly at 1.6 mg/m2 on days 1, 8, 15, q 28 days × 6 cycles, and rituximab 375 mg/m2 weekly on cycles 1 and 4. Primary endpoint was the percent of patients with at least a minor response (MR). Twenty-six patients were treated. At least MR was observed in 23/26 patients (88%) (95% CI: 70-98%) with 1 complete response (4%), 1 near-complete response (4%), 15 partial remission (58%), and 6 MR (23%). Using IgM response evaluated by nephlometry, all 26 patients (100%) achieved at least MR or better. The median time to progression has not been reached, with an estimated 1-year event free rate of 79% (95% CI: 53, 91%). Common grade 3 and 4 therapy related adverse events included reversible neutropenia in 12%, anemia in 8%, and thrombocytopenia in 8%. No grade 3 or 4 neuropathy occurred. The combination of weekly bortezomib and rituximab exhibited significant activity and minimal neurological toxicity in patients with untreated WM. © 2010 Wiley-Liss, Inc.","author":[{"dropping-particle":"","family":"Ghobrial","given":"Irene M.","non-dropping-particle":"","parse-names":false,"suffix":""},{"dropping-particle":"","family":"Xie","given":"Wanling","non-dropping-particle":"","parse-names":false,"suffix":""},{"dropping-particle":"","family":"Padmanabhan","given":"Swaminathan","non-dropping-particle":"","parse-names":false,"suffix":""},{"dropping-particle":"","family":"Badros","given":"Ashraf","non-dropping-particle":"","parse-names":false,"suffix":""},{"dropping-particle":"","family":"Rourke","given":"Meghan","non-dropping-particle":"","parse-names":false,"suffix":""},{"dropping-particle":"","family":"Leduc","given":"Renee","non-dropping-particle":"","parse-names":false,"suffix":""},{"dropping-particle":"","family":"Chuma","given":"Stacey","non-dropping-particle":"","parse-names":false,"suffix":""},{"dropping-particle":"","family":"Kunsman","given":"Janet","non-dropping-particle":"","parse-names":false,"suffix":""},{"dropping-particle":"","family":"Warren","given":"Diane","non-dropping-particle":"","parse-names":false,"suffix":""},{"dropping-particle":"","family":"Poon","given":"Tiffany","non-dropping-particle":"","parse-names":false,"suffix":""},{"dropping-particle":"","family":"Harris","given":"Brianna","non-dropping-particle":"","parse-names":false,"suffix":""},{"dropping-particle":"","family":"Sam","given":"Amy","non-dropping-particle":"","parse-names":false,"suffix":""},{"dropping-particle":"","family":"Anderson","given":"Kenneth C.","non-dropping-particle":"","parse-names":false,"suffix":""},{"dropping-particle":"","family":"Richardson","given":"Paul G.","non-dropping-particle":"","parse-names":false,"suffix":""},{"dropping-particle":"","family":"Treon","given":"Steven P.","non-dropping-particle":"","parse-names":false,"suffix":""},{"dropping-particle":"","family":"Weller","given":"Edie","non-dropping-particle":"","parse-names":false,"suffix":""},{"dropping-particle":"","family":"Matous","given":"Jeffrey","non-dropping-particle":"","parse-names":false,"suffix":""}],"container-title":"American Journal of Hematology","id":"ITEM-3","issue":"9","issued":{"date-parts":[["2010","9"]]},"page":"670-674","publisher":"Wiley-Liss Inc.","title":"Phase II trial of weekly bortezomib in combination with rituximab in untreated patients with Waldenström Macroglobulinemia","type":"article-journal","volume":"85"},"uris":["http://www.mendeley.com/documents/?uuid=944f46df-4d40-3a6f-bb6b-2198a3617c78"]},{"id":"ITEM-4","itemData":{"DOI":"10.1200/JCO.2007.10.9926","ISSN":"0732183X","abstract":"Purpose: Alkylating agents and the anti-CD20 monoclonal antibody rituximab are among appropriate choices for the primary treatment of symptomatic patients with Waldenström macroglobulinemia (WM), and they induce at least a partial response in 30% to 50% of patients. To improve these results, we designed a phase II study that included previously untreated symptomatic patients with WM who received a combination of dexamethasone, rituximab, and cyclophosphamide (DRC). Patients and Methods: Seventy-two patients were treated with dexamethasone 20 mg intravenously followed by rituximab 375 mg/m2 intravenously on day 1 and cyclophosphamide 100 mg/m2 orally bid on days 1 to 5 (total dose, 1,000 mg/m2). This regimen was repeated every 21 days for 6 months. Patients' median age was 69 years and many had features of advanced disease such as anemia (57%), hypoalbuminemia (40%), and elevated serum beta2-microglobulin (43%). Results: On an intent-to-treat basis, 83% of patients (95% CI, 73% to 91 %) achieved a response, including 7% complete, 67% partial, and 9% minor responses. The median time to response was 4.1 months. The 2-year progression-free survival rate for all patients was 67%; for patients who responded to DRC, it was 80%. The 2-year disease-specific survival rate was 90%. Treatment with DRC was well tolerated, with 9% of patients experiencing grade 3 or 4 neutropenia and approximately 20% of patients experiencing some form of toxicity related to rituximab. Conclusion: Our large, multicenter trial showed that the non-stem-cell toxic DRC regimen is an active, well-tolerated treatment for symptomatic patients with WM. © 2007 by American Society of Clinical Oncology.","author":[{"dropping-particle":"","family":"Dimopoulos","given":"Meletios Athanasios","non-dropping-particle":"","parse-names":false,"suffix":""},{"dropping-particle":"","family":"Anagnostopoulos","given":"Athanasios","non-dropping-particle":"","parse-names":false,"suffix":""},{"dropping-particle":"","family":"Kyrtsonis","given":"Marie Christine","non-dropping-particle":"","parse-names":false,"suffix":""},{"dropping-particle":"","family":"Zervas","given":"Konstantinos","non-dropping-particle":"","parse-names":false,"suffix":""},{"dropping-particle":"","family":"Tsatalas","given":"Constantinos","non-dropping-particle":"","parse-names":false,"suffix":""},{"dropping-particle":"","family":"Kokkinis","given":"Garyfallia","non-dropping-particle":"","parse-names":false,"suffix":""},{"dropping-particle":"","family":"Repoussis","given":"Panagiotis","non-dropping-particle":"","parse-names":false,"suffix":""},{"dropping-particle":"","family":"Symeonidis","given":"Argyris","non-dropping-particle":"","parse-names":false,"suffix":""},{"dropping-particle":"","family":"Delimpasi","given":"Souzana","non-dropping-particle":"","parse-names":false,"suffix":""},{"dropping-particle":"","family":"Katodritou","given":"Eirini","non-dropping-particle":"","parse-names":false,"suffix":""},{"dropping-particle":"","family":"Vervessou","given":"Elina","non-dropping-particle":"","parse-names":false,"suffix":""},{"dropping-particle":"","family":"Michali","given":"Evridiki","non-dropping-particle":"","parse-names":false,"suffix":""},{"dropping-particle":"","family":"Pouli","given":"Anastasia","non-dropping-particle":"","parse-names":false,"suffix":""},{"dropping-particle":"","family":"Gika","given":"Dimitra","non-dropping-particle":"","parse-names":false,"suffix":""},{"dropping-particle":"","family":"Vassou","given":"Amalia","non-dropping-particle":"","parse-names":false,"suffix":""},{"dropping-particle":"","family":"Terpos","given":"Evangelos","non-dropping-particle":"","parse-names":false,"suffix":""},{"dropping-particle":"","family":"Anagnostopoulos","given":"Nikolaos","non-dropping-particle":"","parse-names":false,"suffix":""},{"dropping-particle":"","family":"Economopoulos","given":"Theophanis","non-dropping-particle":"","parse-names":false,"suffix":""},{"dropping-particle":"","family":"Pangalis","given":"Gerasimos","non-dropping-particle":"","parse-names":false,"suffix":""}],"container-title":"Journal of Clinical Oncology","id":"ITEM-4","issue":"22","issued":{"date-parts":[["2007","8","1"]]},"page":"3344-3349","title":"Primary treatment of Waldenström macroglobulinemia with dexamethasone, rituximab, and cyclophosphamide","type":"article-journal","volume":"25"},"uris":["http://www.mendeley.com/documents/?uuid=a0794f97-fda7-3505-8347-dee264ca0db0"]}],"mendeley":{"formattedCitation":"[19–21,24]","plainTextFormattedCitation":"[19–21,24]","previouslyFormattedCitation":"[19–21,24]"},"properties":{"noteIndex":0},"schema":"https://github.com/citation-style-language/schema/raw/master/csl-citation.json"}</w:instrText>
      </w:r>
      <w:r w:rsidR="00FF0157" w:rsidRPr="00FE2263">
        <w:fldChar w:fldCharType="separate"/>
      </w:r>
      <w:r w:rsidR="00FF0157" w:rsidRPr="00FE2263">
        <w:rPr>
          <w:noProof/>
        </w:rPr>
        <w:t>[19–21,24]</w:t>
      </w:r>
      <w:r w:rsidR="00FF0157" w:rsidRPr="00FE2263">
        <w:fldChar w:fldCharType="end"/>
      </w:r>
      <w:r w:rsidR="00580D79" w:rsidRPr="00FE2263">
        <w:t>.</w:t>
      </w:r>
    </w:p>
    <w:p w14:paraId="47A2D5BA" w14:textId="19696A97" w:rsidR="001062BB" w:rsidRPr="00FE2263" w:rsidRDefault="001062BB" w:rsidP="00F817BC">
      <w:pPr>
        <w:pStyle w:val="afe"/>
        <w:ind w:firstLine="0"/>
        <w:rPr>
          <w:b/>
        </w:rPr>
      </w:pPr>
      <w:r w:rsidRPr="00FE2263">
        <w:rPr>
          <w:b/>
        </w:rPr>
        <w:t xml:space="preserve">Уровень убедительности рекомендаций </w:t>
      </w:r>
      <w:r w:rsidR="00A64208" w:rsidRPr="00FE2263">
        <w:rPr>
          <w:b/>
        </w:rPr>
        <w:t xml:space="preserve">С </w:t>
      </w:r>
      <w:r w:rsidRPr="00FE2263">
        <w:rPr>
          <w:b/>
        </w:rPr>
        <w:t xml:space="preserve">(уровень достоверности доказательств </w:t>
      </w:r>
      <w:r w:rsidR="00A64208" w:rsidRPr="00FE2263">
        <w:rPr>
          <w:b/>
        </w:rPr>
        <w:t>4</w:t>
      </w:r>
      <w:r w:rsidRPr="00FE2263">
        <w:rPr>
          <w:b/>
        </w:rPr>
        <w:t>).</w:t>
      </w:r>
    </w:p>
    <w:p w14:paraId="4CEE2A4B" w14:textId="7C2AE0D1" w:rsidR="00580D79" w:rsidRPr="00FE2263" w:rsidRDefault="00580D79" w:rsidP="00F817BC">
      <w:pPr>
        <w:pStyle w:val="afd"/>
        <w:spacing w:beforeAutospacing="0" w:afterAutospacing="0" w:line="360" w:lineRule="auto"/>
      </w:pPr>
      <w:r w:rsidRPr="00FE2263">
        <w:rPr>
          <w:rStyle w:val="affb"/>
        </w:rPr>
        <w:t>Комментарии:</w:t>
      </w:r>
      <w:r w:rsidRPr="00FE2263">
        <w:rPr>
          <w:rStyle w:val="affc"/>
        </w:rPr>
        <w:t xml:space="preserve"> </w:t>
      </w:r>
      <w:r w:rsidR="00BD78B2" w:rsidRPr="00FE2263">
        <w:rPr>
          <w:rStyle w:val="affc"/>
        </w:rPr>
        <w:t xml:space="preserve">использование </w:t>
      </w:r>
      <w:r w:rsidRPr="00FE2263">
        <w:rPr>
          <w:rStyle w:val="affc"/>
        </w:rPr>
        <w:t xml:space="preserve">программ с включением бортезомиба** при рецидивах МВ позволяет получить противоопухолевый эффект у 60% пациентов, при сочетании с дексаметазоном** или ритуксимабом** в 60-70% случаев. </w:t>
      </w:r>
    </w:p>
    <w:p w14:paraId="67D96466" w14:textId="6DF906BA" w:rsidR="00580D79" w:rsidRPr="00FE2263" w:rsidRDefault="00BD78B2" w:rsidP="00FF0157">
      <w:pPr>
        <w:pStyle w:val="afff8"/>
        <w:spacing w:before="0"/>
      </w:pPr>
      <w:r w:rsidRPr="00FE2263">
        <w:rPr>
          <w:rStyle w:val="affb"/>
          <w:b w:val="0"/>
          <w:bCs w:val="0"/>
        </w:rPr>
        <w:t>Пациентам с рецидивами МВ</w:t>
      </w:r>
      <w:r w:rsidRPr="00FE2263">
        <w:rPr>
          <w:rStyle w:val="affb"/>
        </w:rPr>
        <w:t xml:space="preserve"> рекомендуются</w:t>
      </w:r>
      <w:r w:rsidRPr="00FE2263">
        <w:t xml:space="preserve"> </w:t>
      </w:r>
      <w:r w:rsidR="00580D79" w:rsidRPr="00FE2263">
        <w:t>программы на основе бендамустина**</w:t>
      </w:r>
      <w:r w:rsidR="00FF0157" w:rsidRPr="00FE2263">
        <w:t xml:space="preserve"> </w:t>
      </w:r>
      <w:r w:rsidR="00FF0157" w:rsidRPr="00FE2263">
        <w:fldChar w:fldCharType="begin" w:fldLock="1"/>
      </w:r>
      <w:r w:rsidR="00FF0157" w:rsidRPr="00FE2263">
        <w:instrText>ADDIN CSL_CITATION {"citationItems":[{"id":"ITEM-1","itemData":{"DOI":"10.1016/S0140-6736(12)61763-2","ISSN":"1474547X","abstract":"Background: Rituximab plus chemotherapy, most often CHOP (cyclophosphamide, doxorubicin, vincristine, and prednisone), is the first-line standard of care for patients with advanced indolent lymphoma, and for elderly patients with mantle-cell lymphoma. Bendamustine plus rituximab is effective for relapsed or refractory disease. We compared bendamustine plus rituximab with CHOP plus rituximab (R-CHOP) as first-line treatment for patients with indolent and mantle-cell lymphomas. Methods: We did a prospective, multicentre, randomised, open-label, non-inferiority trial at 81 centres in Germany between Sept 1, 2003, and Aug 31, 2008. Patients aged 18 years or older with a WHO performance status of 2 or less were eligible if they had newly diagnosed stage III or IV indolent or mantle-cell lymphoma. Patients were stratified by histological lymphoma subtype, then randomly assigned according to a prespecified randomisation list to receive either intravenous bendamustine (90 mg/m2 on days 1 and 2 of a 4-week cycle) or CHOP (cycles every 3 weeks of cyclophosphamide 750 mg/m2, doxorubicin 50 mg/m2, and vincristine 1·4 mg/m2 on day 1, and prednisone 100 mg/day for 5 days) for a maximum of six cycles. Patients in both groups received rituximab 375 mg/m2 on day 1 of each cycle. Patients and treating physicians were not masked to treatment allocation. The primary endpoint was progression-free survival, with a non-inferiority margin of 10%. Analysis was per protocol. This study is registered with ClinicalTrials.gov, number NCT00991211, and the Federal Institute for Drugs and Medical Devices of Germany, BfArM 4021335. Findings: 274 patients were assigned to bendamustine plus rituximab (261 assessed) and 275 to R-CHOP (253 assessed). At median follow-up of 45 months (IQR 25-57), median progression-free survival was significantly longer in the bendamustine plus rituximab group than in the R-CHOP group (69·5 months [26·1 to not yet reached] vs 31·2 months [15·2-65·7]; hazard ratio 0·58, 95% CI 0·44-0·74; p&lt;0·0001). Bendamustine plus rituximab was better tolerated than R-CHOP, with lower rates of alopecia (0 patients vs 245 (100%) of 245 patients who recieved ≥3 cycles; p&lt;0·0001), haematological toxicity (77 [30%] vs 173 [68%]; p&lt;0·0001), infections (96 [37%] vs 127 [50%]); p=0·0025), peripheral neuropathy (18 [7%] vs 73 [29%]; p&lt;0·0001), and stomatitis (16 [6%] vs 47 [19%]; p&lt;0·0001). Erythematous skin reactions were more common in patients in the bendamustine plus rituximab…","author":[{"dropping-particle":"","family":"Rummel","given":"Mathias J.","non-dropping-particle":"","parse-names":false,"suffix":""},{"dropping-particle":"","family":"Niederle","given":"Norbert","non-dropping-particle":"","parse-names":false,"suffix":""},{"dropping-particle":"","family":"Maschmeyer","given":"Georg","non-dropping-particle":"","parse-names":false,"suffix":""},{"dropping-particle":"","family":"Banat","given":"G. Andre","non-dropping-particle":"","parse-names":false,"suffix":""},{"dropping-particle":"","family":"Grünhagen","given":"Ulrich","non-dropping-particle":"Von","parse-names":false,"suffix":""},{"dropping-particle":"","family":"Losem","given":"Christoph","non-dropping-particle":"","parse-names":false,"suffix":""},{"dropping-particle":"","family":"Kofahl-Krause","given":"Dorothea","non-dropping-particle":"","parse-names":false,"suffix":""},{"dropping-particle":"","family":"Heil","given":"Gerhard","non-dropping-particle":"","parse-names":false,"suffix":""},{"dropping-particle":"","family":"Welslau","given":"Manfred","non-dropping-particle":"","parse-names":false,"suffix":""},{"dropping-particle":"","family":"Balser","given":"Christina","non-dropping-particle":"","parse-names":false,"suffix":""},{"dropping-particle":"","family":"Kaiser","given":"Ulrich","non-dropping-particle":"","parse-names":false,"suffix":""},{"dropping-particle":"","family":"Weidmann","given":"Eckhart","non-dropping-particle":"","parse-names":false,"suffix":""},{"dropping-particle":"","family":"Dürk","given":"Heinz","non-dropping-particle":"","parse-names":false,"suffix":""},{"dropping-particle":"","family":"Ballo","given":"Harald","non-dropping-particle":"","parse-names":false,"suffix":""},{"dropping-particle":"","family":"Stauch","given":"Martina","non-dropping-particle":"","parse-names":false,"suffix":""},{"dropping-particle":"","family":"Roller","given":"Fritz","non-dropping-particle":"","parse-names":false,"suffix":""},{"dropping-particle":"","family":"Barth","given":"Juergen","non-dropping-particle":"","parse-names":false,"suffix":""},{"dropping-particle":"","family":"Hoelzer","given":"Dieter","non-dropping-particle":"","parse-names":false,"suffix":""},{"dropping-particle":"","family":"Hinke","given":"Axel","non-dropping-particle":"","parse-names":false,"suffix":""},{"dropping-particle":"","family":"Brugger","given":"Wolfram","non-dropping-particle":"","parse-names":false,"suffix":""}],"container-title":"The Lancet","id":"ITEM-1","issue":"9873","issued":{"date-parts":[["2013"]]},"page":"1203-1210","publisher":"Lancet Publishing Group","title":"Bendamustine plus rituximab versus CHOP plus rituximab as first-line treatment for patients with indolent and mantle-cell lymphomas: An open-label, multicentre, randomised, phase 3 non-inferiority trial","type":"article-journal","volume":"381"},"uris":["http://www.mendeley.com/documents/?uuid=f533b9ea-31f2-4af8-8f8f-7d497f5730cc"]},{"id":"ITEM-2","itemData":{"DOI":"10.3816/CLML.2011.n.030","ISSN":"21522650","abstract":"We report the treatment outcome for 30 relapsed/refractory Waldenström's macroglobulinemia (WM) patients following bendamustine-containing therapy. Treatment consisted of bendamustine (90 mg/m2 I.V. on days 1, 2) and rituximab (375 mg/m2 I.V. on either day 1 or 2) for 24 patients. Six rituximab-intolerant patients received bendamustine alone (n = 4) or with ofatumumab (1000 mg I.V. on day 1; n = 2). Each cycle was 4 weeks, and median number of treatment cycles was 5. At best response, median serum IgM declined from 3980 to 698 mg/dL (P &lt; .0001), and hematocrit rose from 31.9% to 36.6% (P = .0002). Overall response rate was 83.3%, with 5 VGPR and 20 PR. The median estimated progression-free survival for all patients was 13.2 months. Overall therapy was well tolerated. Prolonged myelosuppression was more common in patients who received prior nucleoside analogues. Bendamustine is active and produces durable responses in previously treated WM, both as monotherapy and with CD20-directed monoclonal antibodies. © 2011 Elsevier Inc. All rights reserved.","author":[{"dropping-particle":"","family":"Treon","given":"Steven P.","non-dropping-particle":"","parse-names":false,"suffix":""},{"dropping-particle":"","family":"Hanzis","given":"Christina","non-dropping-particle":"","parse-names":false,"suffix":""},{"dropping-particle":"","family":"Tripsas","given":"Christina","non-dropping-particle":"","parse-names":false,"suffix":""},{"dropping-particle":"","family":"Ioakimidis","given":"Leukothea","non-dropping-particle":"","parse-names":false,"suffix":""},{"dropping-particle":"","family":"Patterson","given":"Christopher J.","non-dropping-particle":"","parse-names":false,"suffix":""},{"dropping-particle":"","family":"Manning","given":"Robert J.","non-dropping-particle":"","parse-names":false,"suffix":""},{"dropping-particle":"","family":"Sheehy","given":"Patricia","non-dropping-particle":"","parse-names":false,"suffix":""}],"container-title":"Clinical Lymphoma, Myeloma and Leukemia","id":"ITEM-2","issue":"1","issued":{"date-parts":[["2011","2","1"]]},"page":"133-135","title":"Bendamustine therapy in patients with relapsed or refractory Waldenström's macroglobulinemia","type":"paper-conference","volume":"11"},"uris":["http://www.mendeley.com/documents/?uuid=3d71eec6-07c1-3e58-b1b7-b5991c073f33"]}],"mendeley":{"formattedCitation":"[33,34]","plainTextFormattedCitation":"[33,34]","previouslyFormattedCitation":"[33,34]"},"properties":{"noteIndex":0},"schema":"https://github.com/citation-style-language/schema/raw/master/csl-citation.json"}</w:instrText>
      </w:r>
      <w:r w:rsidR="00FF0157" w:rsidRPr="00FE2263">
        <w:fldChar w:fldCharType="separate"/>
      </w:r>
      <w:r w:rsidR="00FF0157" w:rsidRPr="00FE2263">
        <w:rPr>
          <w:noProof/>
        </w:rPr>
        <w:t>[33,34]</w:t>
      </w:r>
      <w:r w:rsidR="00FF0157" w:rsidRPr="00FE2263">
        <w:fldChar w:fldCharType="end"/>
      </w:r>
      <w:r w:rsidR="00580D79" w:rsidRPr="00FE2263">
        <w:t>.</w:t>
      </w:r>
    </w:p>
    <w:p w14:paraId="19ED7F23" w14:textId="3E7DE1C7" w:rsidR="001062BB" w:rsidRPr="00FE2263" w:rsidRDefault="001062BB" w:rsidP="00F817BC">
      <w:pPr>
        <w:pStyle w:val="afe"/>
        <w:ind w:firstLine="0"/>
        <w:rPr>
          <w:b/>
        </w:rPr>
      </w:pPr>
      <w:r w:rsidRPr="00FE2263">
        <w:rPr>
          <w:b/>
        </w:rPr>
        <w:t xml:space="preserve">Уровень убедительности рекомендаций </w:t>
      </w:r>
      <w:r w:rsidR="00A64208" w:rsidRPr="00FE2263">
        <w:rPr>
          <w:b/>
        </w:rPr>
        <w:t xml:space="preserve">С </w:t>
      </w:r>
      <w:r w:rsidRPr="00FE2263">
        <w:rPr>
          <w:b/>
        </w:rPr>
        <w:t xml:space="preserve">(уровень достоверности доказательств </w:t>
      </w:r>
      <w:r w:rsidR="00A64208" w:rsidRPr="00FE2263">
        <w:rPr>
          <w:b/>
        </w:rPr>
        <w:t>4</w:t>
      </w:r>
      <w:r w:rsidRPr="00FE2263">
        <w:rPr>
          <w:b/>
        </w:rPr>
        <w:t>).</w:t>
      </w:r>
    </w:p>
    <w:p w14:paraId="473332A3" w14:textId="77777777" w:rsidR="00580D79" w:rsidRPr="00FE2263" w:rsidRDefault="00580D79" w:rsidP="00F817BC">
      <w:pPr>
        <w:pStyle w:val="afd"/>
        <w:spacing w:beforeAutospacing="0" w:afterAutospacing="0" w:line="360" w:lineRule="auto"/>
      </w:pPr>
      <w:r w:rsidRPr="00FE2263">
        <w:rPr>
          <w:rStyle w:val="affb"/>
        </w:rPr>
        <w:t>Комментарии:</w:t>
      </w:r>
      <w:r w:rsidRPr="00FE2263">
        <w:rPr>
          <w:rStyle w:val="affc"/>
        </w:rPr>
        <w:t xml:space="preserve"> наиболее эффективен при рецидивах и рефрактерной МВ бендамустин**  в сочетании с ритуксимабом**. Как было показано в исследовании II фазы, противоопухолевый эффект получен у 83,3% пациентов, медиана ВБП составила 13,2 мес. </w:t>
      </w:r>
    </w:p>
    <w:p w14:paraId="122A77A7" w14:textId="247E4754" w:rsidR="00580D79" w:rsidRPr="00FE2263" w:rsidRDefault="00BD78B2" w:rsidP="00FF0157">
      <w:pPr>
        <w:pStyle w:val="afff8"/>
        <w:spacing w:before="0"/>
      </w:pPr>
      <w:r w:rsidRPr="00FE2263">
        <w:rPr>
          <w:rStyle w:val="affb"/>
          <w:b w:val="0"/>
          <w:bCs w:val="0"/>
        </w:rPr>
        <w:t>Пациентам</w:t>
      </w:r>
      <w:r w:rsidR="004B21E9" w:rsidRPr="00FE2263">
        <w:rPr>
          <w:rStyle w:val="affb"/>
          <w:b w:val="0"/>
          <w:bCs w:val="0"/>
        </w:rPr>
        <w:t xml:space="preserve"> старше 18 лет</w:t>
      </w:r>
      <w:r w:rsidRPr="00FE2263">
        <w:rPr>
          <w:rStyle w:val="affb"/>
          <w:b w:val="0"/>
          <w:bCs w:val="0"/>
        </w:rPr>
        <w:t xml:space="preserve"> с рецидивами МВ</w:t>
      </w:r>
      <w:r w:rsidRPr="00FE2263">
        <w:rPr>
          <w:rStyle w:val="affb"/>
        </w:rPr>
        <w:t xml:space="preserve"> рекомендуется</w:t>
      </w:r>
      <w:r w:rsidRPr="00FE2263">
        <w:t xml:space="preserve"> </w:t>
      </w:r>
      <w:r w:rsidR="00580D79" w:rsidRPr="00FE2263">
        <w:t>монотерапия ибрутинибом</w:t>
      </w:r>
      <w:bookmarkStart w:id="53" w:name="_Hlk33955098"/>
      <w:r w:rsidR="00580D79" w:rsidRPr="00FE2263">
        <w:t>**</w:t>
      </w:r>
      <w:r w:rsidR="00FF0157" w:rsidRPr="00FE2263">
        <w:t xml:space="preserve"> </w:t>
      </w:r>
      <w:r w:rsidR="00FF0157" w:rsidRPr="00FE2263">
        <w:rPr>
          <w:lang w:val="en-US"/>
        </w:rPr>
        <w:fldChar w:fldCharType="begin" w:fldLock="1"/>
      </w:r>
      <w:r w:rsidR="00FF0157" w:rsidRPr="00FE2263">
        <w:rPr>
          <w:lang w:val="en-US"/>
        </w:rPr>
        <w:instrText>ADDIN</w:instrText>
      </w:r>
      <w:r w:rsidR="00FF0157" w:rsidRPr="00FE2263">
        <w:instrText xml:space="preserve"> </w:instrText>
      </w:r>
      <w:r w:rsidR="00FF0157" w:rsidRPr="00FE2263">
        <w:rPr>
          <w:lang w:val="en-US"/>
        </w:rPr>
        <w:instrText>CSL</w:instrText>
      </w:r>
      <w:r w:rsidR="00FF0157" w:rsidRPr="00FE2263">
        <w:instrText>_</w:instrText>
      </w:r>
      <w:r w:rsidR="00FF0157" w:rsidRPr="00FE2263">
        <w:rPr>
          <w:lang w:val="en-US"/>
        </w:rPr>
        <w:instrText>CITATION</w:instrText>
      </w:r>
      <w:r w:rsidR="00FF0157" w:rsidRPr="00FE2263">
        <w:instrText xml:space="preserve"> {"</w:instrText>
      </w:r>
      <w:r w:rsidR="00FF0157" w:rsidRPr="00FE2263">
        <w:rPr>
          <w:lang w:val="en-US"/>
        </w:rPr>
        <w:instrText>citationItems</w:instrText>
      </w:r>
      <w:r w:rsidR="00FF0157" w:rsidRPr="00FE2263">
        <w:instrText>":[{"</w:instrText>
      </w:r>
      <w:r w:rsidR="00FF0157" w:rsidRPr="00FE2263">
        <w:rPr>
          <w:lang w:val="en-US"/>
        </w:rPr>
        <w:instrText>id</w:instrText>
      </w:r>
      <w:r w:rsidR="00FF0157" w:rsidRPr="00FE2263">
        <w:instrText>":"</w:instrText>
      </w:r>
      <w:r w:rsidR="00FF0157" w:rsidRPr="00FE2263">
        <w:rPr>
          <w:lang w:val="en-US"/>
        </w:rPr>
        <w:instrText>ITEM</w:instrText>
      </w:r>
      <w:r w:rsidR="00FF0157" w:rsidRPr="00FE2263">
        <w:instrText>-1","</w:instrText>
      </w:r>
      <w:r w:rsidR="00FF0157" w:rsidRPr="00FE2263">
        <w:rPr>
          <w:lang w:val="en-US"/>
        </w:rPr>
        <w:instrText>itemData</w:instrText>
      </w:r>
      <w:r w:rsidR="00FF0157" w:rsidRPr="00FE2263">
        <w:instrText>":{"</w:instrText>
      </w:r>
      <w:r w:rsidR="00FF0157" w:rsidRPr="00FE2263">
        <w:rPr>
          <w:lang w:val="en-US"/>
        </w:rPr>
        <w:instrText>ISBN</w:instrText>
      </w:r>
      <w:r w:rsidR="00FF0157" w:rsidRPr="00FE2263">
        <w:instrText>":"0028-4793","</w:instrText>
      </w:r>
      <w:r w:rsidR="00FF0157" w:rsidRPr="00FE2263">
        <w:rPr>
          <w:lang w:val="en-US"/>
        </w:rPr>
        <w:instrText>ISSN</w:instrText>
      </w:r>
      <w:r w:rsidR="00FF0157" w:rsidRPr="00FE2263">
        <w:instrText>":"0028-4793","</w:instrText>
      </w:r>
      <w:r w:rsidR="00FF0157" w:rsidRPr="00FE2263">
        <w:rPr>
          <w:lang w:val="en-US"/>
        </w:rPr>
        <w:instrText>PMID</w:instrText>
      </w:r>
      <w:r w:rsidR="00FF0157" w:rsidRPr="00FE2263">
        <w:instrText>":"25853747","</w:instrText>
      </w:r>
      <w:r w:rsidR="00FF0157" w:rsidRPr="00FE2263">
        <w:rPr>
          <w:lang w:val="en-US"/>
        </w:rPr>
        <w:instrText>abstract</w:instrText>
      </w:r>
      <w:r w:rsidR="00FF0157" w:rsidRPr="00FE2263">
        <w:instrText>":"</w:instrText>
      </w:r>
      <w:r w:rsidR="00FF0157" w:rsidRPr="00FE2263">
        <w:rPr>
          <w:lang w:val="en-US"/>
        </w:rPr>
        <w:instrText>BackgroundMYD</w:instrText>
      </w:r>
      <w:r w:rsidR="00FF0157" w:rsidRPr="00FE2263">
        <w:instrText>88</w:instrText>
      </w:r>
      <w:r w:rsidR="00FF0157" w:rsidRPr="00FE2263">
        <w:rPr>
          <w:lang w:val="en-US"/>
        </w:rPr>
        <w:instrText>L</w:instrText>
      </w:r>
      <w:r w:rsidR="00FF0157" w:rsidRPr="00FE2263">
        <w:instrText>265</w:instrText>
      </w:r>
      <w:r w:rsidR="00FF0157" w:rsidRPr="00FE2263">
        <w:rPr>
          <w:lang w:val="en-US"/>
        </w:rPr>
        <w:instrText>P</w:instrText>
      </w:r>
      <w:r w:rsidR="00FF0157" w:rsidRPr="00FE2263">
        <w:instrText xml:space="preserve"> </w:instrText>
      </w:r>
      <w:r w:rsidR="00FF0157" w:rsidRPr="00FE2263">
        <w:rPr>
          <w:lang w:val="en-US"/>
        </w:rPr>
        <w:instrText>and</w:instrText>
      </w:r>
      <w:r w:rsidR="00FF0157" w:rsidRPr="00FE2263">
        <w:instrText xml:space="preserve"> </w:instrText>
      </w:r>
      <w:r w:rsidR="00FF0157" w:rsidRPr="00FE2263">
        <w:rPr>
          <w:lang w:val="en-US"/>
        </w:rPr>
        <w:instrText>CXCR</w:instrText>
      </w:r>
      <w:r w:rsidR="00FF0157" w:rsidRPr="00FE2263">
        <w:instrText>4</w:instrText>
      </w:r>
      <w:r w:rsidR="00FF0157" w:rsidRPr="00FE2263">
        <w:rPr>
          <w:lang w:val="en-US"/>
        </w:rPr>
        <w:instrText>WHIM</w:instrText>
      </w:r>
      <w:r w:rsidR="00FF0157" w:rsidRPr="00FE2263">
        <w:instrText xml:space="preserve"> </w:instrText>
      </w:r>
      <w:r w:rsidR="00FF0157" w:rsidRPr="00FE2263">
        <w:rPr>
          <w:lang w:val="en-US"/>
        </w:rPr>
        <w:instrText>mutations</w:instrText>
      </w:r>
      <w:r w:rsidR="00FF0157" w:rsidRPr="00FE2263">
        <w:instrText xml:space="preserve"> </w:instrText>
      </w:r>
      <w:r w:rsidR="00FF0157" w:rsidRPr="00FE2263">
        <w:rPr>
          <w:lang w:val="en-US"/>
        </w:rPr>
        <w:instrText>are</w:instrText>
      </w:r>
      <w:r w:rsidR="00FF0157" w:rsidRPr="00FE2263">
        <w:instrText xml:space="preserve"> </w:instrText>
      </w:r>
      <w:r w:rsidR="00FF0157" w:rsidRPr="00FE2263">
        <w:rPr>
          <w:lang w:val="en-US"/>
        </w:rPr>
        <w:instrText>highly</w:instrText>
      </w:r>
      <w:r w:rsidR="00FF0157" w:rsidRPr="00FE2263">
        <w:instrText xml:space="preserve"> </w:instrText>
      </w:r>
      <w:r w:rsidR="00FF0157" w:rsidRPr="00FE2263">
        <w:rPr>
          <w:lang w:val="en-US"/>
        </w:rPr>
        <w:instrText>prevalent</w:instrText>
      </w:r>
      <w:r w:rsidR="00FF0157" w:rsidRPr="00FE2263">
        <w:instrText xml:space="preserve"> </w:instrText>
      </w:r>
      <w:r w:rsidR="00FF0157" w:rsidRPr="00FE2263">
        <w:rPr>
          <w:lang w:val="en-US"/>
        </w:rPr>
        <w:instrText>in</w:instrText>
      </w:r>
      <w:r w:rsidR="00FF0157" w:rsidRPr="00FE2263">
        <w:instrText xml:space="preserve"> </w:instrText>
      </w:r>
      <w:r w:rsidR="00FF0157" w:rsidRPr="00FE2263">
        <w:rPr>
          <w:lang w:val="en-US"/>
        </w:rPr>
        <w:instrText>Waldenstr</w:instrText>
      </w:r>
      <w:r w:rsidR="00FF0157" w:rsidRPr="00FE2263">
        <w:instrText>ö</w:instrText>
      </w:r>
      <w:r w:rsidR="00FF0157" w:rsidRPr="00FE2263">
        <w:rPr>
          <w:lang w:val="en-US"/>
        </w:rPr>
        <w:instrText>m</w:instrText>
      </w:r>
      <w:r w:rsidR="00FF0157" w:rsidRPr="00FE2263">
        <w:instrText>’</w:instrText>
      </w:r>
      <w:r w:rsidR="00FF0157" w:rsidRPr="00FE2263">
        <w:rPr>
          <w:lang w:val="en-US"/>
        </w:rPr>
        <w:instrText>s</w:instrText>
      </w:r>
      <w:r w:rsidR="00FF0157" w:rsidRPr="00FE2263">
        <w:instrText xml:space="preserve"> </w:instrText>
      </w:r>
      <w:r w:rsidR="00FF0157" w:rsidRPr="00FE2263">
        <w:rPr>
          <w:lang w:val="en-US"/>
        </w:rPr>
        <w:instrText>macroglobulinemia</w:instrText>
      </w:r>
      <w:r w:rsidR="00FF0157" w:rsidRPr="00FE2263">
        <w:instrText xml:space="preserve">. </w:instrText>
      </w:r>
      <w:r w:rsidR="00FF0157" w:rsidRPr="00FE2263">
        <w:rPr>
          <w:lang w:val="en-US"/>
        </w:rPr>
        <w:instrText>MYD</w:instrText>
      </w:r>
      <w:r w:rsidR="00FF0157" w:rsidRPr="00FE2263">
        <w:instrText>88</w:instrText>
      </w:r>
      <w:r w:rsidR="00FF0157" w:rsidRPr="00FE2263">
        <w:rPr>
          <w:lang w:val="en-US"/>
        </w:rPr>
        <w:instrText>L</w:instrText>
      </w:r>
      <w:r w:rsidR="00FF0157" w:rsidRPr="00FE2263">
        <w:instrText>265</w:instrText>
      </w:r>
      <w:r w:rsidR="00FF0157" w:rsidRPr="00FE2263">
        <w:rPr>
          <w:lang w:val="en-US"/>
        </w:rPr>
        <w:instrText>P</w:instrText>
      </w:r>
      <w:r w:rsidR="00FF0157" w:rsidRPr="00FE2263">
        <w:instrText xml:space="preserve"> </w:instrText>
      </w:r>
      <w:r w:rsidR="00FF0157" w:rsidRPr="00FE2263">
        <w:rPr>
          <w:lang w:val="en-US"/>
        </w:rPr>
        <w:instrText>triggers</w:instrText>
      </w:r>
      <w:r w:rsidR="00FF0157" w:rsidRPr="00FE2263">
        <w:instrText xml:space="preserve"> </w:instrText>
      </w:r>
      <w:r w:rsidR="00FF0157" w:rsidRPr="00FE2263">
        <w:rPr>
          <w:lang w:val="en-US"/>
        </w:rPr>
        <w:instrText>tumor</w:instrText>
      </w:r>
      <w:r w:rsidR="00FF0157" w:rsidRPr="00FE2263">
        <w:instrText>-</w:instrText>
      </w:r>
      <w:r w:rsidR="00FF0157" w:rsidRPr="00FE2263">
        <w:rPr>
          <w:lang w:val="en-US"/>
        </w:rPr>
        <w:instrText>cell</w:instrText>
      </w:r>
      <w:r w:rsidR="00FF0157" w:rsidRPr="00FE2263">
        <w:instrText xml:space="preserve"> </w:instrText>
      </w:r>
      <w:r w:rsidR="00FF0157" w:rsidRPr="00FE2263">
        <w:rPr>
          <w:lang w:val="en-US"/>
        </w:rPr>
        <w:instrText>growth</w:instrText>
      </w:r>
      <w:r w:rsidR="00FF0157" w:rsidRPr="00FE2263">
        <w:instrText xml:space="preserve"> </w:instrText>
      </w:r>
      <w:r w:rsidR="00FF0157" w:rsidRPr="00FE2263">
        <w:rPr>
          <w:lang w:val="en-US"/>
        </w:rPr>
        <w:instrText>through</w:instrText>
      </w:r>
      <w:r w:rsidR="00FF0157" w:rsidRPr="00FE2263">
        <w:instrText xml:space="preserve"> </w:instrText>
      </w:r>
      <w:r w:rsidR="00FF0157" w:rsidRPr="00FE2263">
        <w:rPr>
          <w:lang w:val="en-US"/>
        </w:rPr>
        <w:instrText>Bruton</w:instrText>
      </w:r>
      <w:r w:rsidR="00FF0157" w:rsidRPr="00FE2263">
        <w:instrText>’</w:instrText>
      </w:r>
      <w:r w:rsidR="00FF0157" w:rsidRPr="00FE2263">
        <w:rPr>
          <w:lang w:val="en-US"/>
        </w:rPr>
        <w:instrText>s</w:instrText>
      </w:r>
      <w:r w:rsidR="00FF0157" w:rsidRPr="00FE2263">
        <w:instrText xml:space="preserve"> </w:instrText>
      </w:r>
      <w:r w:rsidR="00FF0157" w:rsidRPr="00FE2263">
        <w:rPr>
          <w:lang w:val="en-US"/>
        </w:rPr>
        <w:instrText>tyrosine</w:instrText>
      </w:r>
      <w:r w:rsidR="00FF0157" w:rsidRPr="00FE2263">
        <w:instrText xml:space="preserve"> </w:instrText>
      </w:r>
      <w:r w:rsidR="00FF0157" w:rsidRPr="00FE2263">
        <w:rPr>
          <w:lang w:val="en-US"/>
        </w:rPr>
        <w:instrText>kinase</w:instrText>
      </w:r>
      <w:r w:rsidR="00FF0157" w:rsidRPr="00FE2263">
        <w:instrText xml:space="preserve">, </w:instrText>
      </w:r>
      <w:r w:rsidR="00FF0157" w:rsidRPr="00FE2263">
        <w:rPr>
          <w:lang w:val="en-US"/>
        </w:rPr>
        <w:instrText>a</w:instrText>
      </w:r>
      <w:r w:rsidR="00FF0157" w:rsidRPr="00FE2263">
        <w:instrText xml:space="preserve"> </w:instrText>
      </w:r>
      <w:r w:rsidR="00FF0157" w:rsidRPr="00FE2263">
        <w:rPr>
          <w:lang w:val="en-US"/>
        </w:rPr>
        <w:instrText>target</w:instrText>
      </w:r>
      <w:r w:rsidR="00FF0157" w:rsidRPr="00FE2263">
        <w:instrText xml:space="preserve"> </w:instrText>
      </w:r>
      <w:r w:rsidR="00FF0157" w:rsidRPr="00FE2263">
        <w:rPr>
          <w:lang w:val="en-US"/>
        </w:rPr>
        <w:instrText>of</w:instrText>
      </w:r>
      <w:r w:rsidR="00FF0157" w:rsidRPr="00FE2263">
        <w:instrText xml:space="preserve"> </w:instrText>
      </w:r>
      <w:r w:rsidR="00FF0157" w:rsidRPr="00FE2263">
        <w:rPr>
          <w:lang w:val="en-US"/>
        </w:rPr>
        <w:instrText>ibrutinib</w:instrText>
      </w:r>
      <w:r w:rsidR="00FF0157" w:rsidRPr="00FE2263">
        <w:instrText xml:space="preserve">. </w:instrText>
      </w:r>
      <w:r w:rsidR="00FF0157" w:rsidRPr="00FE2263">
        <w:rPr>
          <w:lang w:val="en-US"/>
        </w:rPr>
        <w:instrText>CXCR</w:instrText>
      </w:r>
      <w:r w:rsidR="00FF0157" w:rsidRPr="00FE2263">
        <w:instrText>4</w:instrText>
      </w:r>
      <w:r w:rsidR="00FF0157" w:rsidRPr="00FE2263">
        <w:rPr>
          <w:lang w:val="en-US"/>
        </w:rPr>
        <w:instrText>WHIM</w:instrText>
      </w:r>
      <w:r w:rsidR="00FF0157" w:rsidRPr="00FE2263">
        <w:instrText xml:space="preserve"> </w:instrText>
      </w:r>
      <w:r w:rsidR="00FF0157" w:rsidRPr="00FE2263">
        <w:rPr>
          <w:lang w:val="en-US"/>
        </w:rPr>
        <w:instrText>mutations</w:instrText>
      </w:r>
      <w:r w:rsidR="00FF0157" w:rsidRPr="00FE2263">
        <w:instrText xml:space="preserve"> </w:instrText>
      </w:r>
      <w:r w:rsidR="00FF0157" w:rsidRPr="00FE2263">
        <w:rPr>
          <w:lang w:val="en-US"/>
        </w:rPr>
        <w:instrText>confer</w:instrText>
      </w:r>
      <w:r w:rsidR="00FF0157" w:rsidRPr="00FE2263">
        <w:instrText xml:space="preserve"> </w:instrText>
      </w:r>
      <w:r w:rsidR="00FF0157" w:rsidRPr="00FE2263">
        <w:rPr>
          <w:lang w:val="en-US"/>
        </w:rPr>
        <w:instrText>in</w:instrText>
      </w:r>
      <w:r w:rsidR="00FF0157" w:rsidRPr="00FE2263">
        <w:instrText xml:space="preserve"> </w:instrText>
      </w:r>
      <w:r w:rsidR="00FF0157" w:rsidRPr="00FE2263">
        <w:rPr>
          <w:lang w:val="en-US"/>
        </w:rPr>
        <w:instrText>vitro</w:instrText>
      </w:r>
      <w:r w:rsidR="00FF0157" w:rsidRPr="00FE2263">
        <w:instrText xml:space="preserve"> </w:instrText>
      </w:r>
      <w:r w:rsidR="00FF0157" w:rsidRPr="00FE2263">
        <w:rPr>
          <w:lang w:val="en-US"/>
        </w:rPr>
        <w:instrText>resistance</w:instrText>
      </w:r>
      <w:r w:rsidR="00FF0157" w:rsidRPr="00FE2263">
        <w:instrText xml:space="preserve"> </w:instrText>
      </w:r>
      <w:r w:rsidR="00FF0157" w:rsidRPr="00FE2263">
        <w:rPr>
          <w:lang w:val="en-US"/>
        </w:rPr>
        <w:instrText>to</w:instrText>
      </w:r>
      <w:r w:rsidR="00FF0157" w:rsidRPr="00FE2263">
        <w:instrText xml:space="preserve"> </w:instrText>
      </w:r>
      <w:r w:rsidR="00FF0157" w:rsidRPr="00FE2263">
        <w:rPr>
          <w:lang w:val="en-US"/>
        </w:rPr>
        <w:instrText>ibrutinib</w:instrText>
      </w:r>
      <w:r w:rsidR="00FF0157" w:rsidRPr="00FE2263">
        <w:instrText xml:space="preserve">. </w:instrText>
      </w:r>
      <w:r w:rsidR="00FF0157" w:rsidRPr="00FE2263">
        <w:rPr>
          <w:lang w:val="en-US"/>
        </w:rPr>
        <w:instrText>MethodsWe</w:instrText>
      </w:r>
      <w:r w:rsidR="00FF0157" w:rsidRPr="00FE2263">
        <w:instrText xml:space="preserve"> </w:instrText>
      </w:r>
      <w:r w:rsidR="00FF0157" w:rsidRPr="00FE2263">
        <w:rPr>
          <w:lang w:val="en-US"/>
        </w:rPr>
        <w:instrText>performed</w:instrText>
      </w:r>
      <w:r w:rsidR="00FF0157" w:rsidRPr="00FE2263">
        <w:instrText xml:space="preserve"> </w:instrText>
      </w:r>
      <w:r w:rsidR="00FF0157" w:rsidRPr="00FE2263">
        <w:rPr>
          <w:lang w:val="en-US"/>
        </w:rPr>
        <w:instrText>a</w:instrText>
      </w:r>
      <w:r w:rsidR="00FF0157" w:rsidRPr="00FE2263">
        <w:instrText xml:space="preserve"> </w:instrText>
      </w:r>
      <w:r w:rsidR="00FF0157" w:rsidRPr="00FE2263">
        <w:rPr>
          <w:lang w:val="en-US"/>
        </w:rPr>
        <w:instrText>prospective</w:instrText>
      </w:r>
      <w:r w:rsidR="00FF0157" w:rsidRPr="00FE2263">
        <w:instrText xml:space="preserve"> </w:instrText>
      </w:r>
      <w:r w:rsidR="00FF0157" w:rsidRPr="00FE2263">
        <w:rPr>
          <w:lang w:val="en-US"/>
        </w:rPr>
        <w:instrText>study</w:instrText>
      </w:r>
      <w:r w:rsidR="00FF0157" w:rsidRPr="00FE2263">
        <w:instrText xml:space="preserve"> </w:instrText>
      </w:r>
      <w:r w:rsidR="00FF0157" w:rsidRPr="00FE2263">
        <w:rPr>
          <w:lang w:val="en-US"/>
        </w:rPr>
        <w:instrText>of</w:instrText>
      </w:r>
      <w:r w:rsidR="00FF0157" w:rsidRPr="00FE2263">
        <w:instrText xml:space="preserve"> </w:instrText>
      </w:r>
      <w:r w:rsidR="00FF0157" w:rsidRPr="00FE2263">
        <w:rPr>
          <w:lang w:val="en-US"/>
        </w:rPr>
        <w:instrText>ibrutinib</w:instrText>
      </w:r>
      <w:r w:rsidR="00FF0157" w:rsidRPr="00FE2263">
        <w:instrText xml:space="preserve"> </w:instrText>
      </w:r>
      <w:r w:rsidR="00FF0157" w:rsidRPr="00FE2263">
        <w:rPr>
          <w:lang w:val="en-US"/>
        </w:rPr>
        <w:instrText>in</w:instrText>
      </w:r>
      <w:r w:rsidR="00FF0157" w:rsidRPr="00FE2263">
        <w:instrText xml:space="preserve"> 63 </w:instrText>
      </w:r>
      <w:r w:rsidR="00FF0157" w:rsidRPr="00FE2263">
        <w:rPr>
          <w:lang w:val="en-US"/>
        </w:rPr>
        <w:instrText>symptomatic</w:instrText>
      </w:r>
      <w:r w:rsidR="00FF0157" w:rsidRPr="00FE2263">
        <w:instrText xml:space="preserve"> </w:instrText>
      </w:r>
      <w:r w:rsidR="00FF0157" w:rsidRPr="00FE2263">
        <w:rPr>
          <w:lang w:val="en-US"/>
        </w:rPr>
        <w:instrText>patients</w:instrText>
      </w:r>
      <w:r w:rsidR="00FF0157" w:rsidRPr="00FE2263">
        <w:instrText xml:space="preserve"> </w:instrText>
      </w:r>
      <w:r w:rsidR="00FF0157" w:rsidRPr="00FE2263">
        <w:rPr>
          <w:lang w:val="en-US"/>
        </w:rPr>
        <w:instrText>with</w:instrText>
      </w:r>
      <w:r w:rsidR="00FF0157" w:rsidRPr="00FE2263">
        <w:instrText xml:space="preserve"> </w:instrText>
      </w:r>
      <w:r w:rsidR="00FF0157" w:rsidRPr="00FE2263">
        <w:rPr>
          <w:lang w:val="en-US"/>
        </w:rPr>
        <w:instrText>Waldenstr</w:instrText>
      </w:r>
      <w:r w:rsidR="00FF0157" w:rsidRPr="00FE2263">
        <w:instrText>ö</w:instrText>
      </w:r>
      <w:r w:rsidR="00FF0157" w:rsidRPr="00FE2263">
        <w:rPr>
          <w:lang w:val="en-US"/>
        </w:rPr>
        <w:instrText>m</w:instrText>
      </w:r>
      <w:r w:rsidR="00FF0157" w:rsidRPr="00FE2263">
        <w:instrText>’</w:instrText>
      </w:r>
      <w:r w:rsidR="00FF0157" w:rsidRPr="00FE2263">
        <w:rPr>
          <w:lang w:val="en-US"/>
        </w:rPr>
        <w:instrText>s</w:instrText>
      </w:r>
      <w:r w:rsidR="00FF0157" w:rsidRPr="00FE2263">
        <w:instrText xml:space="preserve"> </w:instrText>
      </w:r>
      <w:r w:rsidR="00FF0157" w:rsidRPr="00FE2263">
        <w:rPr>
          <w:lang w:val="en-US"/>
        </w:rPr>
        <w:instrText>macroglobulinemia</w:instrText>
      </w:r>
      <w:r w:rsidR="00FF0157" w:rsidRPr="00FE2263">
        <w:instrText xml:space="preserve"> </w:instrText>
      </w:r>
      <w:r w:rsidR="00FF0157" w:rsidRPr="00FE2263">
        <w:rPr>
          <w:lang w:val="en-US"/>
        </w:rPr>
        <w:instrText>who</w:instrText>
      </w:r>
      <w:r w:rsidR="00FF0157" w:rsidRPr="00FE2263">
        <w:instrText xml:space="preserve"> </w:instrText>
      </w:r>
      <w:r w:rsidR="00FF0157" w:rsidRPr="00FE2263">
        <w:rPr>
          <w:lang w:val="en-US"/>
        </w:rPr>
        <w:instrText>had</w:instrText>
      </w:r>
      <w:r w:rsidR="00FF0157" w:rsidRPr="00FE2263">
        <w:instrText xml:space="preserve"> </w:instrText>
      </w:r>
      <w:r w:rsidR="00FF0157" w:rsidRPr="00FE2263">
        <w:rPr>
          <w:lang w:val="en-US"/>
        </w:rPr>
        <w:instrText>received</w:instrText>
      </w:r>
      <w:r w:rsidR="00FF0157" w:rsidRPr="00FE2263">
        <w:instrText xml:space="preserve"> </w:instrText>
      </w:r>
      <w:r w:rsidR="00FF0157" w:rsidRPr="00FE2263">
        <w:rPr>
          <w:lang w:val="en-US"/>
        </w:rPr>
        <w:instrText>at</w:instrText>
      </w:r>
      <w:r w:rsidR="00FF0157" w:rsidRPr="00FE2263">
        <w:instrText xml:space="preserve"> </w:instrText>
      </w:r>
      <w:r w:rsidR="00FF0157" w:rsidRPr="00FE2263">
        <w:rPr>
          <w:lang w:val="en-US"/>
        </w:rPr>
        <w:instrText>least</w:instrText>
      </w:r>
      <w:r w:rsidR="00FF0157" w:rsidRPr="00FE2263">
        <w:instrText xml:space="preserve"> </w:instrText>
      </w:r>
      <w:r w:rsidR="00FF0157" w:rsidRPr="00FE2263">
        <w:rPr>
          <w:lang w:val="en-US"/>
        </w:rPr>
        <w:instrText>one</w:instrText>
      </w:r>
      <w:r w:rsidR="00FF0157" w:rsidRPr="00FE2263">
        <w:instrText xml:space="preserve"> </w:instrText>
      </w:r>
      <w:r w:rsidR="00FF0157" w:rsidRPr="00FE2263">
        <w:rPr>
          <w:lang w:val="en-US"/>
        </w:rPr>
        <w:instrText>previous</w:instrText>
      </w:r>
      <w:r w:rsidR="00FF0157" w:rsidRPr="00FE2263">
        <w:instrText xml:space="preserve"> </w:instrText>
      </w:r>
      <w:r w:rsidR="00FF0157" w:rsidRPr="00FE2263">
        <w:rPr>
          <w:lang w:val="en-US"/>
        </w:rPr>
        <w:instrText>treatment</w:instrText>
      </w:r>
      <w:r w:rsidR="00FF0157" w:rsidRPr="00FE2263">
        <w:instrText xml:space="preserve">, </w:instrText>
      </w:r>
      <w:r w:rsidR="00FF0157" w:rsidRPr="00FE2263">
        <w:rPr>
          <w:lang w:val="en-US"/>
        </w:rPr>
        <w:instrText>and</w:instrText>
      </w:r>
      <w:r w:rsidR="00FF0157" w:rsidRPr="00FE2263">
        <w:instrText xml:space="preserve"> </w:instrText>
      </w:r>
      <w:r w:rsidR="00FF0157" w:rsidRPr="00FE2263">
        <w:rPr>
          <w:lang w:val="en-US"/>
        </w:rPr>
        <w:instrText>we</w:instrText>
      </w:r>
      <w:r w:rsidR="00FF0157" w:rsidRPr="00FE2263">
        <w:instrText xml:space="preserve"> </w:instrText>
      </w:r>
      <w:r w:rsidR="00FF0157" w:rsidRPr="00FE2263">
        <w:rPr>
          <w:lang w:val="en-US"/>
        </w:rPr>
        <w:instrText>investigated</w:instrText>
      </w:r>
      <w:r w:rsidR="00FF0157" w:rsidRPr="00FE2263">
        <w:instrText xml:space="preserve"> </w:instrText>
      </w:r>
      <w:r w:rsidR="00FF0157" w:rsidRPr="00FE2263">
        <w:rPr>
          <w:lang w:val="en-US"/>
        </w:rPr>
        <w:instrText>the</w:instrText>
      </w:r>
      <w:r w:rsidR="00FF0157" w:rsidRPr="00FE2263">
        <w:instrText xml:space="preserve"> </w:instrText>
      </w:r>
      <w:r w:rsidR="00FF0157" w:rsidRPr="00FE2263">
        <w:rPr>
          <w:lang w:val="en-US"/>
        </w:rPr>
        <w:instrText>effect</w:instrText>
      </w:r>
      <w:r w:rsidR="00FF0157" w:rsidRPr="00FE2263">
        <w:instrText xml:space="preserve"> </w:instrText>
      </w:r>
      <w:r w:rsidR="00FF0157" w:rsidRPr="00FE2263">
        <w:rPr>
          <w:lang w:val="en-US"/>
        </w:rPr>
        <w:instrText>of</w:instrText>
      </w:r>
      <w:r w:rsidR="00FF0157" w:rsidRPr="00FE2263">
        <w:instrText xml:space="preserve"> </w:instrText>
      </w:r>
      <w:r w:rsidR="00FF0157" w:rsidRPr="00FE2263">
        <w:rPr>
          <w:lang w:val="en-US"/>
        </w:rPr>
        <w:instrText>MYD</w:instrText>
      </w:r>
      <w:r w:rsidR="00FF0157" w:rsidRPr="00FE2263">
        <w:instrText xml:space="preserve">88 </w:instrText>
      </w:r>
      <w:r w:rsidR="00FF0157" w:rsidRPr="00FE2263">
        <w:rPr>
          <w:lang w:val="en-US"/>
        </w:rPr>
        <w:instrText>and</w:instrText>
      </w:r>
      <w:r w:rsidR="00FF0157" w:rsidRPr="00FE2263">
        <w:instrText xml:space="preserve"> </w:instrText>
      </w:r>
      <w:r w:rsidR="00FF0157" w:rsidRPr="00FE2263">
        <w:rPr>
          <w:lang w:val="en-US"/>
        </w:rPr>
        <w:instrText>CXCR</w:instrText>
      </w:r>
      <w:r w:rsidR="00FF0157" w:rsidRPr="00FE2263">
        <w:instrText xml:space="preserve">4 </w:instrText>
      </w:r>
      <w:r w:rsidR="00FF0157" w:rsidRPr="00FE2263">
        <w:rPr>
          <w:lang w:val="en-US"/>
        </w:rPr>
        <w:instrText>mutations</w:instrText>
      </w:r>
      <w:r w:rsidR="00FF0157" w:rsidRPr="00FE2263">
        <w:instrText xml:space="preserve"> </w:instrText>
      </w:r>
      <w:r w:rsidR="00FF0157" w:rsidRPr="00FE2263">
        <w:rPr>
          <w:lang w:val="en-US"/>
        </w:rPr>
        <w:instrText>on</w:instrText>
      </w:r>
      <w:r w:rsidR="00FF0157" w:rsidRPr="00FE2263">
        <w:instrText xml:space="preserve"> </w:instrText>
      </w:r>
      <w:r w:rsidR="00FF0157" w:rsidRPr="00FE2263">
        <w:rPr>
          <w:lang w:val="en-US"/>
        </w:rPr>
        <w:instrText>outcomes</w:instrText>
      </w:r>
      <w:r w:rsidR="00FF0157" w:rsidRPr="00FE2263">
        <w:instrText xml:space="preserve">. </w:instrText>
      </w:r>
      <w:r w:rsidR="00FF0157" w:rsidRPr="00FE2263">
        <w:rPr>
          <w:lang w:val="en-US"/>
        </w:rPr>
        <w:instrText>Ibrutinib</w:instrText>
      </w:r>
      <w:r w:rsidR="00FF0157" w:rsidRPr="00FE2263">
        <w:instrText xml:space="preserve"> </w:instrText>
      </w:r>
      <w:r w:rsidR="00FF0157" w:rsidRPr="00FE2263">
        <w:rPr>
          <w:lang w:val="en-US"/>
        </w:rPr>
        <w:instrText>at</w:instrText>
      </w:r>
      <w:r w:rsidR="00FF0157" w:rsidRPr="00FE2263">
        <w:instrText xml:space="preserve"> </w:instrText>
      </w:r>
      <w:r w:rsidR="00FF0157" w:rsidRPr="00FE2263">
        <w:rPr>
          <w:lang w:val="en-US"/>
        </w:rPr>
        <w:instrText>a</w:instrText>
      </w:r>
      <w:r w:rsidR="00FF0157" w:rsidRPr="00FE2263">
        <w:instrText xml:space="preserve"> </w:instrText>
      </w:r>
      <w:r w:rsidR="00FF0157" w:rsidRPr="00FE2263">
        <w:rPr>
          <w:lang w:val="en-US"/>
        </w:rPr>
        <w:instrText>daily</w:instrText>
      </w:r>
      <w:r w:rsidR="00FF0157" w:rsidRPr="00FE2263">
        <w:instrText xml:space="preserve"> </w:instrText>
      </w:r>
      <w:r w:rsidR="00FF0157" w:rsidRPr="00FE2263">
        <w:rPr>
          <w:lang w:val="en-US"/>
        </w:rPr>
        <w:instrText>dose</w:instrText>
      </w:r>
      <w:r w:rsidR="00FF0157" w:rsidRPr="00FE2263">
        <w:instrText xml:space="preserve"> </w:instrText>
      </w:r>
      <w:r w:rsidR="00FF0157" w:rsidRPr="00FE2263">
        <w:rPr>
          <w:lang w:val="en-US"/>
        </w:rPr>
        <w:instrText>of</w:instrText>
      </w:r>
      <w:r w:rsidR="00FF0157" w:rsidRPr="00FE2263">
        <w:instrText xml:space="preserve"> 420 </w:instrText>
      </w:r>
      <w:r w:rsidR="00FF0157" w:rsidRPr="00FE2263">
        <w:rPr>
          <w:lang w:val="en-US"/>
        </w:rPr>
        <w:instrText>mg</w:instrText>
      </w:r>
      <w:r w:rsidR="00FF0157" w:rsidRPr="00FE2263">
        <w:instrText xml:space="preserve"> </w:instrText>
      </w:r>
      <w:r w:rsidR="00FF0157" w:rsidRPr="00FE2263">
        <w:rPr>
          <w:lang w:val="en-US"/>
        </w:rPr>
        <w:instrText>was</w:instrText>
      </w:r>
      <w:r w:rsidR="00FF0157" w:rsidRPr="00FE2263">
        <w:instrText xml:space="preserve"> </w:instrText>
      </w:r>
      <w:r w:rsidR="00FF0157" w:rsidRPr="00FE2263">
        <w:rPr>
          <w:lang w:val="en-US"/>
        </w:rPr>
        <w:instrText>administered</w:instrText>
      </w:r>
      <w:r w:rsidR="00FF0157" w:rsidRPr="00FE2263">
        <w:instrText xml:space="preserve"> </w:instrText>
      </w:r>
      <w:r w:rsidR="00FF0157" w:rsidRPr="00FE2263">
        <w:rPr>
          <w:lang w:val="en-US"/>
        </w:rPr>
        <w:instrText>orally</w:instrText>
      </w:r>
      <w:r w:rsidR="00FF0157" w:rsidRPr="00FE2263">
        <w:instrText xml:space="preserve"> </w:instrText>
      </w:r>
      <w:r w:rsidR="00FF0157" w:rsidRPr="00FE2263">
        <w:rPr>
          <w:lang w:val="en-US"/>
        </w:rPr>
        <w:instrText>until</w:instrText>
      </w:r>
      <w:r w:rsidR="00FF0157" w:rsidRPr="00FE2263">
        <w:instrText xml:space="preserve"> </w:instrText>
      </w:r>
      <w:r w:rsidR="00FF0157" w:rsidRPr="00FE2263">
        <w:rPr>
          <w:lang w:val="en-US"/>
        </w:rPr>
        <w:instrText>disease</w:instrText>
      </w:r>
      <w:r w:rsidR="00FF0157" w:rsidRPr="00FE2263">
        <w:instrText xml:space="preserve"> </w:instrText>
      </w:r>
      <w:r w:rsidR="00FF0157" w:rsidRPr="00FE2263">
        <w:rPr>
          <w:lang w:val="en-US"/>
        </w:rPr>
        <w:instrText>progression</w:instrText>
      </w:r>
      <w:r w:rsidR="00FF0157" w:rsidRPr="00FE2263">
        <w:instrText xml:space="preserve"> </w:instrText>
      </w:r>
      <w:r w:rsidR="00FF0157" w:rsidRPr="00FE2263">
        <w:rPr>
          <w:lang w:val="en-US"/>
        </w:rPr>
        <w:instrText>or</w:instrText>
      </w:r>
      <w:r w:rsidR="00FF0157" w:rsidRPr="00FE2263">
        <w:instrText xml:space="preserve"> </w:instrText>
      </w:r>
      <w:r w:rsidR="00FF0157" w:rsidRPr="00FE2263">
        <w:rPr>
          <w:lang w:val="en-US"/>
        </w:rPr>
        <w:instrText>the</w:instrText>
      </w:r>
      <w:r w:rsidR="00FF0157" w:rsidRPr="00FE2263">
        <w:instrText xml:space="preserve"> </w:instrText>
      </w:r>
      <w:r w:rsidR="00FF0157" w:rsidRPr="00FE2263">
        <w:rPr>
          <w:lang w:val="en-US"/>
        </w:rPr>
        <w:instrText>development</w:instrText>
      </w:r>
      <w:r w:rsidR="00FF0157" w:rsidRPr="00FE2263">
        <w:instrText xml:space="preserve"> </w:instrText>
      </w:r>
      <w:r w:rsidR="00FF0157" w:rsidRPr="00FE2263">
        <w:rPr>
          <w:lang w:val="en-US"/>
        </w:rPr>
        <w:instrText>of</w:instrText>
      </w:r>
      <w:r w:rsidR="00FF0157" w:rsidRPr="00FE2263">
        <w:instrText xml:space="preserve"> </w:instrText>
      </w:r>
      <w:r w:rsidR="00FF0157" w:rsidRPr="00FE2263">
        <w:rPr>
          <w:lang w:val="en-US"/>
        </w:rPr>
        <w:instrText>unacceptable</w:instrText>
      </w:r>
      <w:r w:rsidR="00FF0157" w:rsidRPr="00FE2263">
        <w:instrText xml:space="preserve"> </w:instrText>
      </w:r>
      <w:r w:rsidR="00FF0157" w:rsidRPr="00FE2263">
        <w:rPr>
          <w:lang w:val="en-US"/>
        </w:rPr>
        <w:instrText>toxic</w:instrText>
      </w:r>
      <w:r w:rsidR="00FF0157" w:rsidRPr="00FE2263">
        <w:instrText xml:space="preserve"> </w:instrText>
      </w:r>
      <w:r w:rsidR="00FF0157" w:rsidRPr="00FE2263">
        <w:rPr>
          <w:lang w:val="en-US"/>
        </w:rPr>
        <w:instrText>effects</w:instrText>
      </w:r>
      <w:r w:rsidR="00FF0157" w:rsidRPr="00FE2263">
        <w:instrText xml:space="preserve">. </w:instrText>
      </w:r>
      <w:r w:rsidR="00FF0157" w:rsidRPr="00FE2263">
        <w:rPr>
          <w:lang w:val="en-US"/>
        </w:rPr>
        <w:instrText>ResultsAfter</w:instrText>
      </w:r>
      <w:r w:rsidR="00FF0157" w:rsidRPr="00FE2263">
        <w:instrText xml:space="preserve"> </w:instrText>
      </w:r>
      <w:r w:rsidR="00FF0157" w:rsidRPr="00FE2263">
        <w:rPr>
          <w:lang w:val="en-US"/>
        </w:rPr>
        <w:instrText>the</w:instrText>
      </w:r>
      <w:r w:rsidR="00FF0157" w:rsidRPr="00FE2263">
        <w:instrText xml:space="preserve"> </w:instrText>
      </w:r>
      <w:r w:rsidR="00FF0157" w:rsidRPr="00FE2263">
        <w:rPr>
          <w:lang w:val="en-US"/>
        </w:rPr>
        <w:instrText>patients</w:instrText>
      </w:r>
      <w:r w:rsidR="00FF0157" w:rsidRPr="00FE2263">
        <w:instrText xml:space="preserve"> </w:instrText>
      </w:r>
      <w:r w:rsidR="00FF0157" w:rsidRPr="00FE2263">
        <w:rPr>
          <w:lang w:val="en-US"/>
        </w:rPr>
        <w:instrText>received</w:instrText>
      </w:r>
      <w:r w:rsidR="00FF0157" w:rsidRPr="00FE2263">
        <w:instrText xml:space="preserve"> </w:instrText>
      </w:r>
      <w:r w:rsidR="00FF0157" w:rsidRPr="00FE2263">
        <w:rPr>
          <w:lang w:val="en-US"/>
        </w:rPr>
        <w:instrText>ibrutinib</w:instrText>
      </w:r>
      <w:r w:rsidR="00FF0157" w:rsidRPr="00FE2263">
        <w:instrText xml:space="preserve">, </w:instrText>
      </w:r>
      <w:r w:rsidR="00FF0157" w:rsidRPr="00FE2263">
        <w:rPr>
          <w:lang w:val="en-US"/>
        </w:rPr>
        <w:instrText>median</w:instrText>
      </w:r>
      <w:r w:rsidR="00FF0157" w:rsidRPr="00FE2263">
        <w:instrText xml:space="preserve"> </w:instrText>
      </w:r>
      <w:r w:rsidR="00FF0157" w:rsidRPr="00FE2263">
        <w:rPr>
          <w:lang w:val="en-US"/>
        </w:rPr>
        <w:instrText>serum</w:instrText>
      </w:r>
      <w:r w:rsidR="00FF0157" w:rsidRPr="00FE2263">
        <w:instrText xml:space="preserve"> </w:instrText>
      </w:r>
      <w:r w:rsidR="00FF0157" w:rsidRPr="00FE2263">
        <w:rPr>
          <w:lang w:val="en-US"/>
        </w:rPr>
        <w:instrText>IgM</w:instrText>
      </w:r>
      <w:r w:rsidR="00FF0157" w:rsidRPr="00FE2263">
        <w:instrText xml:space="preserve"> </w:instrText>
      </w:r>
      <w:r w:rsidR="00FF0157" w:rsidRPr="00FE2263">
        <w:rPr>
          <w:lang w:val="en-US"/>
        </w:rPr>
        <w:instrText>levels</w:instrText>
      </w:r>
      <w:r w:rsidR="00FF0157" w:rsidRPr="00FE2263">
        <w:instrText xml:space="preserve"> </w:instrText>
      </w:r>
      <w:r w:rsidR="00FF0157" w:rsidRPr="00FE2263">
        <w:rPr>
          <w:lang w:val="en-US"/>
        </w:rPr>
        <w:instrText>decreased</w:instrText>
      </w:r>
      <w:r w:rsidR="00FF0157" w:rsidRPr="00FE2263">
        <w:instrText xml:space="preserve"> </w:instrText>
      </w:r>
      <w:r w:rsidR="00FF0157" w:rsidRPr="00FE2263">
        <w:rPr>
          <w:lang w:val="en-US"/>
        </w:rPr>
        <w:instrText>from</w:instrText>
      </w:r>
      <w:r w:rsidR="00FF0157" w:rsidRPr="00FE2263">
        <w:instrText xml:space="preserve"> 3520 </w:instrText>
      </w:r>
      <w:r w:rsidR="00FF0157" w:rsidRPr="00FE2263">
        <w:rPr>
          <w:lang w:val="en-US"/>
        </w:rPr>
        <w:instrText>mg</w:instrText>
      </w:r>
      <w:r w:rsidR="00FF0157" w:rsidRPr="00FE2263">
        <w:instrText xml:space="preserve"> </w:instrText>
      </w:r>
      <w:r w:rsidR="00FF0157" w:rsidRPr="00FE2263">
        <w:rPr>
          <w:lang w:val="en-US"/>
        </w:rPr>
        <w:instrText>per</w:instrText>
      </w:r>
      <w:r w:rsidR="00FF0157" w:rsidRPr="00FE2263">
        <w:instrText xml:space="preserve"> </w:instrText>
      </w:r>
      <w:r w:rsidR="00FF0157" w:rsidRPr="00FE2263">
        <w:rPr>
          <w:lang w:val="en-US"/>
        </w:rPr>
        <w:instrText>deciliter</w:instrText>
      </w:r>
      <w:r w:rsidR="00FF0157" w:rsidRPr="00FE2263">
        <w:instrText xml:space="preserve"> </w:instrText>
      </w:r>
      <w:r w:rsidR="00FF0157" w:rsidRPr="00FE2263">
        <w:rPr>
          <w:lang w:val="en-US"/>
        </w:rPr>
        <w:instrText>to</w:instrText>
      </w:r>
      <w:r w:rsidR="00FF0157" w:rsidRPr="00FE2263">
        <w:instrText xml:space="preserve"> 880 </w:instrText>
      </w:r>
      <w:r w:rsidR="00FF0157" w:rsidRPr="00FE2263">
        <w:rPr>
          <w:lang w:val="en-US"/>
        </w:rPr>
        <w:instrText>mg</w:instrText>
      </w:r>
      <w:r w:rsidR="00FF0157" w:rsidRPr="00FE2263">
        <w:instrText xml:space="preserve"> </w:instrText>
      </w:r>
      <w:r w:rsidR="00FF0157" w:rsidRPr="00FE2263">
        <w:rPr>
          <w:lang w:val="en-US"/>
        </w:rPr>
        <w:instrText>per</w:instrText>
      </w:r>
      <w:r w:rsidR="00FF0157" w:rsidRPr="00FE2263">
        <w:instrText xml:space="preserve"> </w:instrText>
      </w:r>
      <w:r w:rsidR="00FF0157" w:rsidRPr="00FE2263">
        <w:rPr>
          <w:lang w:val="en-US"/>
        </w:rPr>
        <w:instrText>deciliter</w:instrText>
      </w:r>
      <w:r w:rsidR="00FF0157" w:rsidRPr="00FE2263">
        <w:instrText xml:space="preserve">, </w:instrText>
      </w:r>
      <w:r w:rsidR="00FF0157" w:rsidRPr="00FE2263">
        <w:rPr>
          <w:lang w:val="en-US"/>
        </w:rPr>
        <w:instrText>median</w:instrText>
      </w:r>
      <w:r w:rsidR="00FF0157" w:rsidRPr="00FE2263">
        <w:instrText xml:space="preserve"> </w:instrText>
      </w:r>
      <w:r w:rsidR="00FF0157" w:rsidRPr="00FE2263">
        <w:rPr>
          <w:lang w:val="en-US"/>
        </w:rPr>
        <w:instrText>hemoglobin</w:instrText>
      </w:r>
      <w:r w:rsidR="00FF0157" w:rsidRPr="00FE2263">
        <w:instrText xml:space="preserve"> </w:instrText>
      </w:r>
      <w:r w:rsidR="00FF0157" w:rsidRPr="00FE2263">
        <w:rPr>
          <w:lang w:val="en-US"/>
        </w:rPr>
        <w:instrText>levels</w:instrText>
      </w:r>
      <w:r w:rsidR="00FF0157" w:rsidRPr="00FE2263">
        <w:instrText xml:space="preserve"> </w:instrText>
      </w:r>
      <w:r w:rsidR="00FF0157" w:rsidRPr="00FE2263">
        <w:rPr>
          <w:lang w:val="en-US"/>
        </w:rPr>
        <w:instrText>increased</w:instrText>
      </w:r>
      <w:r w:rsidR="00FF0157" w:rsidRPr="00FE2263">
        <w:instrText xml:space="preserve"> </w:instrText>
      </w:r>
      <w:r w:rsidR="00FF0157" w:rsidRPr="00FE2263">
        <w:rPr>
          <w:lang w:val="en-US"/>
        </w:rPr>
        <w:instrText>from</w:instrText>
      </w:r>
      <w:r w:rsidR="00FF0157" w:rsidRPr="00FE2263">
        <w:instrText xml:space="preserve"> 10.5 </w:instrText>
      </w:r>
      <w:r w:rsidR="00FF0157" w:rsidRPr="00FE2263">
        <w:rPr>
          <w:lang w:val="en-US"/>
        </w:rPr>
        <w:instrText>g</w:instrText>
      </w:r>
      <w:r w:rsidR="00FF0157" w:rsidRPr="00FE2263">
        <w:instrText xml:space="preserve"> </w:instrText>
      </w:r>
      <w:r w:rsidR="00FF0157" w:rsidRPr="00FE2263">
        <w:rPr>
          <w:lang w:val="en-US"/>
        </w:rPr>
        <w:instrText>per</w:instrText>
      </w:r>
      <w:r w:rsidR="00FF0157" w:rsidRPr="00FE2263">
        <w:instrText xml:space="preserve"> </w:instrText>
      </w:r>
      <w:r w:rsidR="00FF0157" w:rsidRPr="00FE2263">
        <w:rPr>
          <w:lang w:val="en-US"/>
        </w:rPr>
        <w:instrText>deciliter</w:instrText>
      </w:r>
      <w:r w:rsidR="00FF0157" w:rsidRPr="00FE2263">
        <w:instrText xml:space="preserve"> </w:instrText>
      </w:r>
      <w:r w:rsidR="00FF0157" w:rsidRPr="00FE2263">
        <w:rPr>
          <w:lang w:val="en-US"/>
        </w:rPr>
        <w:instrText>to</w:instrText>
      </w:r>
      <w:r w:rsidR="00FF0157" w:rsidRPr="00FE2263">
        <w:instrText xml:space="preserve"> 13.8 </w:instrText>
      </w:r>
      <w:r w:rsidR="00FF0157" w:rsidRPr="00FE2263">
        <w:rPr>
          <w:lang w:val="en-US"/>
        </w:rPr>
        <w:instrText>g</w:instrText>
      </w:r>
      <w:r w:rsidR="00FF0157" w:rsidRPr="00FE2263">
        <w:instrText xml:space="preserve"> </w:instrText>
      </w:r>
      <w:r w:rsidR="00FF0157" w:rsidRPr="00FE2263">
        <w:rPr>
          <w:lang w:val="en-US"/>
        </w:rPr>
        <w:instrText>per</w:instrText>
      </w:r>
      <w:r w:rsidR="00FF0157" w:rsidRPr="00FE2263">
        <w:instrText xml:space="preserve"> </w:instrText>
      </w:r>
      <w:r w:rsidR="00FF0157" w:rsidRPr="00FE2263">
        <w:rPr>
          <w:lang w:val="en-US"/>
        </w:rPr>
        <w:instrText>deciliter</w:instrText>
      </w:r>
      <w:r w:rsidR="00FF0157" w:rsidRPr="00FE2263">
        <w:instrText xml:space="preserve">, </w:instrText>
      </w:r>
      <w:r w:rsidR="00FF0157" w:rsidRPr="00FE2263">
        <w:rPr>
          <w:lang w:val="en-US"/>
        </w:rPr>
        <w:instrText>and</w:instrText>
      </w:r>
      <w:r w:rsidR="00FF0157" w:rsidRPr="00FE2263">
        <w:instrText xml:space="preserve"> </w:instrText>
      </w:r>
      <w:r w:rsidR="00FF0157" w:rsidRPr="00FE2263">
        <w:rPr>
          <w:lang w:val="en-US"/>
        </w:rPr>
        <w:instrText>bone</w:instrText>
      </w:r>
      <w:r w:rsidR="00FF0157" w:rsidRPr="00FE2263">
        <w:instrText xml:space="preserve"> </w:instrText>
      </w:r>
      <w:r w:rsidR="00FF0157" w:rsidRPr="00FE2263">
        <w:rPr>
          <w:lang w:val="en-US"/>
        </w:rPr>
        <w:instrText>marrow</w:instrText>
      </w:r>
      <w:r w:rsidR="00FF0157" w:rsidRPr="00FE2263">
        <w:instrText xml:space="preserve"> </w:instrText>
      </w:r>
      <w:r w:rsidR="00FF0157" w:rsidRPr="00FE2263">
        <w:rPr>
          <w:lang w:val="en-US"/>
        </w:rPr>
        <w:instrText>involvement</w:instrText>
      </w:r>
      <w:r w:rsidR="00FF0157" w:rsidRPr="00FE2263">
        <w:instrText xml:space="preserve"> </w:instrText>
      </w:r>
      <w:r w:rsidR="00FF0157" w:rsidRPr="00FE2263">
        <w:rPr>
          <w:lang w:val="en-US"/>
        </w:rPr>
        <w:instrText>decreased</w:instrText>
      </w:r>
      <w:r w:rsidR="00FF0157" w:rsidRPr="00FE2263">
        <w:instrText xml:space="preserve"> </w:instrText>
      </w:r>
      <w:r w:rsidR="00FF0157" w:rsidRPr="00FE2263">
        <w:rPr>
          <w:lang w:val="en-US"/>
        </w:rPr>
        <w:instrText>from</w:instrText>
      </w:r>
      <w:r w:rsidR="00FF0157" w:rsidRPr="00FE2263">
        <w:instrText xml:space="preserve"> 60% </w:instrText>
      </w:r>
      <w:r w:rsidR="00FF0157" w:rsidRPr="00FE2263">
        <w:rPr>
          <w:lang w:val="en-US"/>
        </w:rPr>
        <w:instrText>to</w:instrText>
      </w:r>
      <w:r w:rsidR="00FF0157" w:rsidRPr="00FE2263">
        <w:instrText xml:space="preserve"> 25% (</w:instrText>
      </w:r>
      <w:r w:rsidR="00FF0157" w:rsidRPr="00FE2263">
        <w:rPr>
          <w:lang w:val="en-US"/>
        </w:rPr>
        <w:instrText>P</w:instrText>
      </w:r>
      <w:r w:rsidR="00FF0157" w:rsidRPr="00FE2263">
        <w:instrText xml:space="preserve">&lt;0.01 </w:instrText>
      </w:r>
      <w:r w:rsidR="00FF0157" w:rsidRPr="00FE2263">
        <w:rPr>
          <w:lang w:val="en-US"/>
        </w:rPr>
        <w:instrText>for</w:instrText>
      </w:r>
      <w:r w:rsidR="00FF0157" w:rsidRPr="00FE2263">
        <w:instrText xml:space="preserve"> </w:instrText>
      </w:r>
      <w:r w:rsidR="00FF0157" w:rsidRPr="00FE2263">
        <w:rPr>
          <w:lang w:val="en-US"/>
        </w:rPr>
        <w:instrText>all</w:instrText>
      </w:r>
      <w:r w:rsidR="00FF0157" w:rsidRPr="00FE2263">
        <w:instrText xml:space="preserve"> </w:instrText>
      </w:r>
      <w:r w:rsidR="00FF0157" w:rsidRPr="00FE2263">
        <w:rPr>
          <w:lang w:val="en-US"/>
        </w:rPr>
        <w:instrText>comparisons</w:instrText>
      </w:r>
      <w:r w:rsidR="00FF0157" w:rsidRPr="00FE2263">
        <w:instrText xml:space="preserve">). </w:instrText>
      </w:r>
      <w:r w:rsidR="00FF0157" w:rsidRPr="00FE2263">
        <w:rPr>
          <w:lang w:val="en-US"/>
        </w:rPr>
        <w:instrText>The</w:instrText>
      </w:r>
      <w:r w:rsidR="00FF0157" w:rsidRPr="00FE2263">
        <w:instrText xml:space="preserve"> </w:instrText>
      </w:r>
      <w:r w:rsidR="00FF0157" w:rsidRPr="00FE2263">
        <w:rPr>
          <w:lang w:val="en-US"/>
        </w:rPr>
        <w:instrText>median</w:instrText>
      </w:r>
      <w:r w:rsidR="00FF0157" w:rsidRPr="00FE2263">
        <w:instrText xml:space="preserve"> </w:instrText>
      </w:r>
      <w:r w:rsidR="00FF0157" w:rsidRPr="00FE2263">
        <w:rPr>
          <w:lang w:val="en-US"/>
        </w:rPr>
        <w:instrText>time</w:instrText>
      </w:r>
      <w:r w:rsidR="00FF0157" w:rsidRPr="00FE2263">
        <w:instrText xml:space="preserve"> </w:instrText>
      </w:r>
      <w:r w:rsidR="00FF0157" w:rsidRPr="00FE2263">
        <w:rPr>
          <w:lang w:val="en-US"/>
        </w:rPr>
        <w:instrText>to</w:instrText>
      </w:r>
      <w:r w:rsidR="00FF0157" w:rsidRPr="00FE2263">
        <w:instrText xml:space="preserve"> </w:instrText>
      </w:r>
      <w:r w:rsidR="00FF0157" w:rsidRPr="00FE2263">
        <w:rPr>
          <w:lang w:val="en-US"/>
        </w:rPr>
        <w:instrText>at</w:instrText>
      </w:r>
      <w:r w:rsidR="00FF0157" w:rsidRPr="00FE2263">
        <w:instrText xml:space="preserve"> </w:instrText>
      </w:r>
      <w:r w:rsidR="00FF0157" w:rsidRPr="00FE2263">
        <w:rPr>
          <w:lang w:val="en-US"/>
        </w:rPr>
        <w:instrText>least</w:instrText>
      </w:r>
      <w:r w:rsidR="00FF0157" w:rsidRPr="00FE2263">
        <w:instrText xml:space="preserve"> </w:instrText>
      </w:r>
      <w:r w:rsidR="00FF0157" w:rsidRPr="00FE2263">
        <w:rPr>
          <w:lang w:val="en-US"/>
        </w:rPr>
        <w:instrText>a</w:instrText>
      </w:r>
      <w:r w:rsidR="00FF0157" w:rsidRPr="00FE2263">
        <w:instrText xml:space="preserve"> </w:instrText>
      </w:r>
      <w:r w:rsidR="00FF0157" w:rsidRPr="00FE2263">
        <w:rPr>
          <w:lang w:val="en-US"/>
        </w:rPr>
        <w:instrText>minor</w:instrText>
      </w:r>
      <w:r w:rsidR="00FF0157" w:rsidRPr="00FE2263">
        <w:instrText xml:space="preserve"> </w:instrText>
      </w:r>
      <w:r w:rsidR="00FF0157" w:rsidRPr="00FE2263">
        <w:rPr>
          <w:lang w:val="en-US"/>
        </w:rPr>
        <w:instrText>response</w:instrText>
      </w:r>
      <w:r w:rsidR="00FF0157" w:rsidRPr="00FE2263">
        <w:instrText xml:space="preserve"> </w:instrText>
      </w:r>
      <w:r w:rsidR="00FF0157" w:rsidRPr="00FE2263">
        <w:rPr>
          <w:lang w:val="en-US"/>
        </w:rPr>
        <w:instrText>was</w:instrText>
      </w:r>
      <w:r w:rsidR="00FF0157" w:rsidRPr="00FE2263">
        <w:instrText xml:space="preserve"> 4 </w:instrText>
      </w:r>
      <w:r w:rsidR="00FF0157" w:rsidRPr="00FE2263">
        <w:rPr>
          <w:lang w:val="en-US"/>
        </w:rPr>
        <w:instrText>weeks</w:instrText>
      </w:r>
      <w:r w:rsidR="00FF0157" w:rsidRPr="00FE2263">
        <w:instrText xml:space="preserve">. </w:instrText>
      </w:r>
      <w:r w:rsidR="00FF0157" w:rsidRPr="00FE2263">
        <w:rPr>
          <w:lang w:val="en-US"/>
        </w:rPr>
        <w:instrText>The</w:instrText>
      </w:r>
      <w:r w:rsidR="00FF0157" w:rsidRPr="00FE2263">
        <w:instrText xml:space="preserve"> </w:instrText>
      </w:r>
      <w:r w:rsidR="00FF0157" w:rsidRPr="00FE2263">
        <w:rPr>
          <w:lang w:val="en-US"/>
        </w:rPr>
        <w:instrText>overall</w:instrText>
      </w:r>
      <w:r w:rsidR="00FF0157" w:rsidRPr="00FE2263">
        <w:instrText xml:space="preserve"> </w:instrText>
      </w:r>
      <w:r w:rsidR="00FF0157" w:rsidRPr="00FE2263">
        <w:rPr>
          <w:lang w:val="en-US"/>
        </w:rPr>
        <w:instrText>response</w:instrText>
      </w:r>
      <w:r w:rsidR="00FF0157" w:rsidRPr="00FE2263">
        <w:instrText xml:space="preserve"> </w:instrText>
      </w:r>
      <w:r w:rsidR="00FF0157" w:rsidRPr="00FE2263">
        <w:rPr>
          <w:lang w:val="en-US"/>
        </w:rPr>
        <w:instrText>rate</w:instrText>
      </w:r>
      <w:r w:rsidR="00FF0157" w:rsidRPr="00FE2263">
        <w:instrText xml:space="preserve"> ...","</w:instrText>
      </w:r>
      <w:r w:rsidR="00FF0157" w:rsidRPr="00FE2263">
        <w:rPr>
          <w:lang w:val="en-US"/>
        </w:rPr>
        <w:instrText>author</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Treon</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Steven</w:instrText>
      </w:r>
      <w:r w:rsidR="00FF0157" w:rsidRPr="00FE2263">
        <w:instrText xml:space="preserve"> </w:instrText>
      </w:r>
      <w:r w:rsidR="00FF0157" w:rsidRPr="00FE2263">
        <w:rPr>
          <w:lang w:val="en-US"/>
        </w:rPr>
        <w:instrText>P</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Tripsas</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Christina</w:instrText>
      </w:r>
      <w:r w:rsidR="00FF0157" w:rsidRPr="00FE2263">
        <w:instrText xml:space="preserve"> </w:instrText>
      </w:r>
      <w:r w:rsidR="00FF0157" w:rsidRPr="00FE2263">
        <w:rPr>
          <w:lang w:val="en-US"/>
        </w:rPr>
        <w:instrText>K</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Meid</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Kirsten</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Warren</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Diane</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Varma</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Gaurav</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Green</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Rebecca</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V</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Argyropoulos</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Kimon</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Yang</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Guang</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Cao</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Yang</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Xu</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Lian</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Patterson</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Christopher</w:instrText>
      </w:r>
      <w:r w:rsidR="00FF0157" w:rsidRPr="00FE2263">
        <w:instrText xml:space="preserve"> </w:instrText>
      </w:r>
      <w:r w:rsidR="00FF0157" w:rsidRPr="00FE2263">
        <w:rPr>
          <w:lang w:val="en-US"/>
        </w:rPr>
        <w:instrText>J</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Rodig</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Scott</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Zehnder</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James</w:instrText>
      </w:r>
      <w:r w:rsidR="00FF0157" w:rsidRPr="00FE2263">
        <w:instrText xml:space="preserve"> </w:instrText>
      </w:r>
      <w:r w:rsidR="00FF0157" w:rsidRPr="00FE2263">
        <w:rPr>
          <w:lang w:val="en-US"/>
        </w:rPr>
        <w:instrText>L</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Aster</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Jon</w:instrText>
      </w:r>
      <w:r w:rsidR="00FF0157" w:rsidRPr="00FE2263">
        <w:instrText xml:space="preserve"> </w:instrText>
      </w:r>
      <w:r w:rsidR="00FF0157" w:rsidRPr="00FE2263">
        <w:rPr>
          <w:lang w:val="en-US"/>
        </w:rPr>
        <w:instrText>C</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w:instrText>
      </w:r>
      <w:r w:rsidR="00FF0157" w:rsidRPr="00FE2263">
        <w:instrText>-</w:instrText>
      </w:r>
      <w:r w:rsidR="00FF0157" w:rsidRPr="00FE2263">
        <w:rPr>
          <w:lang w:val="en-US"/>
        </w:rPr>
        <w:instrText>names</w:instrText>
      </w:r>
      <w:r w:rsidR="00FF0157" w:rsidRPr="00FE2263">
        <w:instrText>":</w:instrText>
      </w:r>
      <w:r w:rsidR="00FF0157" w:rsidRPr="00FE2263">
        <w:rPr>
          <w:lang w:val="en-US"/>
        </w:rPr>
        <w:instrText>false</w:instrText>
      </w:r>
      <w:r w:rsidR="00FF0157" w:rsidRPr="00FE2263">
        <w:instrText>,"</w:instrText>
      </w:r>
      <w:r w:rsidR="00FF0157" w:rsidRPr="00FE2263">
        <w:rPr>
          <w:lang w:val="en-US"/>
        </w:rPr>
        <w:instrText>suffix</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family</w:instrText>
      </w:r>
      <w:r w:rsidR="00FF0157" w:rsidRPr="00FE2263">
        <w:instrText>":"</w:instrText>
      </w:r>
      <w:r w:rsidR="00FF0157" w:rsidRPr="00FE2263">
        <w:rPr>
          <w:lang w:val="en-US"/>
        </w:rPr>
        <w:instrText>Harris</w:instrText>
      </w:r>
      <w:r w:rsidR="00FF0157" w:rsidRPr="00FE2263">
        <w:instrText>","</w:instrText>
      </w:r>
      <w:r w:rsidR="00FF0157" w:rsidRPr="00FE2263">
        <w:rPr>
          <w:lang w:val="en-US"/>
        </w:rPr>
        <w:instrText>given</w:instrText>
      </w:r>
      <w:r w:rsidR="00FF0157" w:rsidRPr="00FE2263">
        <w:instrText>":"</w:instrText>
      </w:r>
      <w:r w:rsidR="00FF0157" w:rsidRPr="00FE2263">
        <w:rPr>
          <w:lang w:val="en-US"/>
        </w:rPr>
        <w:instrText>Nancy</w:instrText>
      </w:r>
      <w:r w:rsidR="00FF0157" w:rsidRPr="00FE2263">
        <w:instrText xml:space="preserve"> </w:instrText>
      </w:r>
      <w:r w:rsidR="00FF0157" w:rsidRPr="00FE2263">
        <w:rPr>
          <w:lang w:val="en-US"/>
        </w:rPr>
        <w:instrText>Lee</w:instrText>
      </w:r>
      <w:r w:rsidR="00FF0157" w:rsidRPr="00FE2263">
        <w:instrText>","</w:instrText>
      </w:r>
      <w:r w:rsidR="00FF0157" w:rsidRPr="00FE2263">
        <w:rPr>
          <w:lang w:val="en-US"/>
        </w:rPr>
        <w:instrText>non</w:instrText>
      </w:r>
      <w:r w:rsidR="00FF0157" w:rsidRPr="00FE2263">
        <w:instrText>-</w:instrText>
      </w:r>
      <w:r w:rsidR="00FF0157" w:rsidRPr="00FE2263">
        <w:rPr>
          <w:lang w:val="en-US"/>
        </w:rPr>
        <w:instrText>dropping</w:instrText>
      </w:r>
      <w:r w:rsidR="00FF0157" w:rsidRPr="00FE2263">
        <w:instrText>-</w:instrText>
      </w:r>
      <w:r w:rsidR="00FF0157" w:rsidRPr="00FE2263">
        <w:rPr>
          <w:lang w:val="en-US"/>
        </w:rPr>
        <w:instrText>particle</w:instrText>
      </w:r>
      <w:r w:rsidR="00FF0157" w:rsidRPr="00FE2263">
        <w:instrText>":"","</w:instrText>
      </w:r>
      <w:r w:rsidR="00FF0157" w:rsidRPr="00FE2263">
        <w:rPr>
          <w:lang w:val="en-US"/>
        </w:rPr>
        <w:instrText>parse-names":false,"suffix":""},{"dropping-particle":"","family":"Kanan","given":"Sandra","non-dropping-particle":"","parse-names":false,"suffix":""},{"dropping-particle":"","family":"Ghobrial","given":"Irene","non-dropping-particle":"","parse-names":false,"suffix":""},{"dropping-particle":"","family":"Castillo","given":"Jorge J.","non-dropping-particle":"","parse-names":false,"suffix":""},{"dropping-particle":"","family":"Laubach","given":"Jacob P.","non-dropping-particle":"","parse-names":false,"suffix":""},{"dropping-particle":"","family":"Hunter","given":"Zachary R.","non-dropping-particle":"","parse-names":false,"suffix":""},{"dropping-particle":"","family":"Salman","given":"Zeena","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Graef","given":"Thorsten","non-dropping-particle":"","parse-names":false,"suffix":""},{"dropping-particle":"","family":"Palomba","given":"M. Lia","non-dropping-particle":"","parse-names":false,"suffix":""},{"dropping-particle":"","family":"Advani","given":"Ranjana H.","non-dropping-particle":"","parse-names":false,"suffix":""}],"container-title":"New England Journal of Medicine","id":"ITEM-1","issue":"15","issued":{"date-parts":[["2015"]]},"page":"1430-1440","title":"Ibrutinib in Previously Treated Waldenström’s Macroglobulinemia. Supplemental Appendix.","type":"article-journal","volume":"372"},"uris":["http://www.mendeley.com/documents/?uuid=454ad98e-da71-3be6-bb20-5af4b1625925"]}],"mendeley":{"formattedCitation":"[35]","plainTextFormattedCitation":"[35]","previouslyFormattedCitation":"[35]"},"properties":{"noteIndex":0},"schema":"https://github.com/citation-style-language/schema/raw/master/csl-citation.json"}</w:instrText>
      </w:r>
      <w:r w:rsidR="00FF0157" w:rsidRPr="00FE2263">
        <w:rPr>
          <w:lang w:val="en-US"/>
        </w:rPr>
        <w:fldChar w:fldCharType="separate"/>
      </w:r>
      <w:r w:rsidR="00FF0157" w:rsidRPr="00FE2263">
        <w:rPr>
          <w:noProof/>
          <w:lang w:val="en-US"/>
        </w:rPr>
        <w:t>[35]</w:t>
      </w:r>
      <w:r w:rsidR="00FF0157" w:rsidRPr="00FE2263">
        <w:rPr>
          <w:lang w:val="en-US"/>
        </w:rPr>
        <w:fldChar w:fldCharType="end"/>
      </w:r>
      <w:r w:rsidR="00580D79" w:rsidRPr="00FE2263">
        <w:t>.</w:t>
      </w:r>
      <w:bookmarkEnd w:id="53"/>
    </w:p>
    <w:p w14:paraId="023CEC62" w14:textId="13832B2F" w:rsidR="001062BB" w:rsidRPr="00FE2263" w:rsidRDefault="001062BB" w:rsidP="00F817BC">
      <w:pPr>
        <w:pStyle w:val="afe"/>
        <w:ind w:firstLine="0"/>
        <w:rPr>
          <w:b/>
        </w:rPr>
      </w:pPr>
      <w:r w:rsidRPr="00FE2263">
        <w:rPr>
          <w:b/>
        </w:rPr>
        <w:lastRenderedPageBreak/>
        <w:t xml:space="preserve">Уровень убедительности рекомендаций </w:t>
      </w:r>
      <w:r w:rsidR="00A64208" w:rsidRPr="00FE2263">
        <w:rPr>
          <w:b/>
        </w:rPr>
        <w:t xml:space="preserve">С </w:t>
      </w:r>
      <w:r w:rsidRPr="00FE2263">
        <w:rPr>
          <w:b/>
        </w:rPr>
        <w:t xml:space="preserve">(уровень достоверности доказательств </w:t>
      </w:r>
      <w:r w:rsidR="00A64208" w:rsidRPr="00FE2263">
        <w:rPr>
          <w:b/>
        </w:rPr>
        <w:t>4</w:t>
      </w:r>
      <w:r w:rsidRPr="00FE2263">
        <w:rPr>
          <w:b/>
        </w:rPr>
        <w:t>).</w:t>
      </w:r>
    </w:p>
    <w:p w14:paraId="76450D3E" w14:textId="77777777" w:rsidR="00580D79" w:rsidRPr="00FE2263" w:rsidRDefault="00580D79" w:rsidP="00F817BC">
      <w:pPr>
        <w:rPr>
          <w:rStyle w:val="affc"/>
          <w:rFonts w:eastAsia="Times New Roman"/>
          <w:i w:val="0"/>
          <w:iCs w:val="0"/>
        </w:rPr>
      </w:pPr>
      <w:r w:rsidRPr="00FE2263">
        <w:rPr>
          <w:rStyle w:val="affb"/>
        </w:rPr>
        <w:t>Комментарии:</w:t>
      </w:r>
      <w:r w:rsidRPr="00FE2263">
        <w:rPr>
          <w:rStyle w:val="affc"/>
        </w:rPr>
        <w:t xml:space="preserve"> в 2015 г. опубликованы результаты исследовании II фазы по оценке эффективности ибрутиниба** у пациентов, получивших не менее одного варианта лечения. Ибрутиниб** назначали по 420 мг в день. Общая эффективность лечения составила 90,5%, большой ответ получен у 73% пациентов. Показатели 2-х летней ВБП и ОВ составили 69,1 и 95,2% соответственно.</w:t>
      </w:r>
    </w:p>
    <w:p w14:paraId="5219F2B8" w14:textId="107FF154" w:rsidR="00580D79" w:rsidRPr="00FE2263" w:rsidRDefault="00BD78B2" w:rsidP="00FF0157">
      <w:pPr>
        <w:pStyle w:val="afff8"/>
        <w:spacing w:before="0"/>
      </w:pPr>
      <w:r w:rsidRPr="00FE2263">
        <w:rPr>
          <w:rStyle w:val="affb"/>
          <w:b w:val="0"/>
          <w:bCs w:val="0"/>
        </w:rPr>
        <w:t>Пациентам с рецидивами МВ</w:t>
      </w:r>
      <w:r w:rsidRPr="00FE2263">
        <w:rPr>
          <w:rStyle w:val="affb"/>
        </w:rPr>
        <w:t xml:space="preserve"> рекомендуются</w:t>
      </w:r>
      <w:r w:rsidRPr="00FE2263">
        <w:t xml:space="preserve"> </w:t>
      </w:r>
      <w:r w:rsidR="00580D79" w:rsidRPr="00FE2263">
        <w:t>программы FR (фл</w:t>
      </w:r>
      <w:r w:rsidRPr="00FE2263">
        <w:t>у</w:t>
      </w:r>
      <w:r w:rsidR="00580D79" w:rsidRPr="00FE2263">
        <w:t xml:space="preserve">дарабин**, ритуксимаб**) </w:t>
      </w:r>
      <w:r w:rsidRPr="00FE2263">
        <w:t>или</w:t>
      </w:r>
      <w:r w:rsidR="00580D79" w:rsidRPr="00FE2263">
        <w:t xml:space="preserve"> FCR (фл</w:t>
      </w:r>
      <w:r w:rsidR="001062BB" w:rsidRPr="00FE2263">
        <w:t>у</w:t>
      </w:r>
      <w:r w:rsidR="00580D79" w:rsidRPr="00FE2263">
        <w:t xml:space="preserve">дарабин**, </w:t>
      </w:r>
      <w:r w:rsidR="00FF0157" w:rsidRPr="00FE2263">
        <w:t>циклофосфамид</w:t>
      </w:r>
      <w:r w:rsidR="00580D79" w:rsidRPr="00FE2263">
        <w:t>**, ритуксимаб**)</w:t>
      </w:r>
      <w:r w:rsidR="00FF0157" w:rsidRPr="00FE2263">
        <w:t xml:space="preserve"> </w:t>
      </w:r>
      <w:r w:rsidR="00FF0157" w:rsidRPr="00FE2263">
        <w:fldChar w:fldCharType="begin" w:fldLock="1"/>
      </w:r>
      <w:r w:rsidR="00FF0157" w:rsidRPr="00FE2263">
        <w:instrText>ADDIN CSL_CITATION {"citationItems":[{"id":"ITEM-1","itemData":{"DOI":"10.1002/ajh.24405","ISSN":"10968652","abstract":"Waldenstrom's macroglobulinemia is generally treated with alkylating agents, purine analogs and monoclonal antibodies, alone or in combination. We report the outcomes of 82 patients (median age 61 years) treated with the RFC combination. Twenty-five patients were treatment-naive. RFC was administered every 4 weeks, for a median of five cycles. At treatment discontinuation, the overall response rate was 85.4%. The responses improved after treatment discontinuation in 25 patients, with a median time to best response achievement of 10.8 months, raising the major response rate (PR, VGPR and CR) from 64.6% to 76.8%. With a median follow-up of 47 months, the median progression-free survival time had not been reached (67% PFS at 48 months) and was influenced by age and treatment status before RFC. Likewise, the median time to next therapy had not been reached. Two cases of myelodysplastic syndrome/AML and 3 cases of transformation to aggressive lymphoma occurred. Thirteen patients died. The 3-year overall survival rate was 90%. Long-lasting cytopenias occurred in 19 patients. The RFC combination thus gave a high response rate and durable responses, even in heavily treatment-experienced patients. The high incidence of long-lasting cytopenia might be reduced by giving fewer courses and thereby minimizing myelotoxicity. Am. J. Hematol. 91:782–786, 2016. © 2016 Wiley Periodicals, Inc.","author":[{"dropping-particle":"","family":"Souchet","given":"Laetitia","non-dropping-particle":"","parse-names":false,"suffix":""},{"dropping-particle":"","family":"Levy","given":"Vincent","non-dropping-particle":"","parse-names":false,"suffix":""},{"dropping-particle":"","family":"Ouzegdouh","given":"Maya","non-dropping-particle":"","parse-names":false,"suffix":""},{"dropping-particle":"","family":"Tamburini","given":"Jérôme","non-dropping-particle":"","parse-names":false,"suffix":""},{"dropping-particle":"","family":"Delmer","given":"Alain","non-dropping-particle":"","parse-names":false,"suffix":""},{"dropping-particle":"","family":"Dupuis","given":"Jehan","non-dropping-particle":"","parse-names":false,"suffix":""},{"dropping-particle":"","family":"Gouill","given":"Steven","non-dropping-particle":"Le","parse-names":false,"suffix":""},{"dropping-particle":"","family":"Pégourié-Bandelier","given":"Brigitte","non-dropping-particle":"","parse-names":false,"suffix":""},{"dropping-particle":"","family":"Tournilhac","given":"Olivier","non-dropping-particle":"","parse-names":false,"suffix":""},{"dropping-particle":"","family":"Boubaya","given":"Marouanne","non-dropping-particle":"","parse-names":false,"suffix":""},{"dropping-particle":"","family":"Vargaftig","given":"Jacques","non-dropping-particle":"","parse-names":false,"suffix":""},{"dropping-particle":"","family":"Choquet","given":"Sylvain","non-dropping-particle":"","parse-names":false,"suffix":""},{"dropping-particle":"","family":"Leblond","given":"Véronique","non-dropping-particle":"","parse-names":false,"suffix":""}],"container-title":"American Journal of Hematology","id":"ITEM-1","issue":"8","issued":{"date-parts":[["2016","8","1"]]},"page":"782-786","publisher":"Wiley-Liss Inc.","title":"Efficacy and long-term toxicity of the rituximab-fludarabine-cyclophosphamide combination therapy in Waldenstrom's macroglobulinemia","type":"article-journal","volume":"91"},"uris":["http://www.mendeley.com/documents/?uuid=40e0fcc9-0735-3c19-b038-d93626315819"]},{"id":"ITEM-2","itemData":{"DOI":"10.1182/blood-2008-09-177329","ISSN":"00064971","abstract":"We report the long-term outcome of a multicenter, prospective study examining fludarabine and rituximab in Waldenström macroglobulinemia (WM). WM patients with less than 2 prior therapies were eligible. Intended therapy consisted of 6 cycles (25 mg/m 2 per day for 5 days) of fludarabine and 8 infusions (375 mg/m 2 per week) of rituximab.Atotal of 43 patients were enrolled. Responses were: complete response (n = 2), very good partial response (n = 14), partial response (n = 21), and minor response (n = 4), for overall and major response rates of 95.3% and 86.0%, respectively. Median time to progression for all patients was 51.2 months and was longer for untreated patients (P = .017) and those achieving at least a very good partial response (P = .049). Grade 3 or higher toxicities included neutropenia (n = 27), thrombocytopenia (n = 7), and pneumonia (n = 6), including 2 patients who died of non-Pneumocystis carinii pneumonia. With a median follow-up of 40.3 months, we observed 3 cases of transformation to aggressive lymphoma and 3 cases of myelodysplastic syndrome/acute myeloid leukemia. The results of this study demonstrate that fludarabine and rituximab are highly active in WM, although short- and long-term toxicities need to be carefully weighed against other available treatment options. This study is registered at clinicaltrials.gov as NCT00020800. © 2009 by The American Society of Hematology.","author":[{"dropping-particle":"","family":"Treon","given":"Steven P.","non-dropping-particle":"","parse-names":false,"suffix":""},{"dropping-particle":"","family":"Branagan","given":"Andrew R.","non-dropping-particle":"","parse-names":false,"suffix":""},{"dropping-particle":"","family":"Ioakimidis","given":"Leukothea","non-dropping-particle":"","parse-names":false,"suffix":""},{"dropping-particle":"","family":"Soumerai","given":"Jacob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Turnbull","given":"Barry","non-dropping-particle":"","parse-names":false,"suffix":""},{"dropping-particle":"","family":"Wasi","given":"Parveen","non-dropping-particle":"","parse-names":false,"suffix":""},{"dropping-particle":"","family":"Emmanouilides","given":"Christos","non-dropping-particle":"","parse-names":false,"suffix":""},{"dropping-particle":"","family":"Frankel","given":"Stanley R.","non-dropping-particle":"","parse-names":false,"suffix":""},{"dropping-particle":"","family":"Lister","given":"Andrew","non-dropping-particle":"","parse-names":false,"suffix":""},{"dropping-particle":"","family":"Morel","given":"Pierre","non-dropping-particle":"","parse-names":false,"suffix":""},{"dropping-particle":"","family":"Matous","given":"Jeffrey","non-dropping-particle":"","parse-names":false,"suffix":""},{"dropping-particle":"","family":"Gregory","given":"Stephanie A.","non-dropping-particle":"","parse-names":false,"suffix":""},{"dropping-particle":"","family":"Kimby","given":"Eva","non-dropping-particle":"","parse-names":false,"suffix":""}],"container-title":"Blood","id":"ITEM-2","issue":"16","issued":{"date-parts":[["2009","4","16"]]},"page":"3673-3678","title":"Long-term outcomes to fludarabine and rituximab in Waldenström macroglobulinemia","type":"article-journal","volume":"113"},"uris":["http://www.mendeley.com/documents/?uuid=e11adc5e-b6bd-3284-816e-2de2267283a6"]}],"mendeley":{"formattedCitation":"[26,29]","plainTextFormattedCitation":"[26,29]","previouslyFormattedCitation":"[26,29]"},"properties":{"noteIndex":0},"schema":"https://github.com/citation-style-language/schema/raw/master/csl-citation.json"}</w:instrText>
      </w:r>
      <w:r w:rsidR="00FF0157" w:rsidRPr="00FE2263">
        <w:fldChar w:fldCharType="separate"/>
      </w:r>
      <w:r w:rsidR="00FF0157" w:rsidRPr="00FE2263">
        <w:rPr>
          <w:noProof/>
        </w:rPr>
        <w:t>[26,29]</w:t>
      </w:r>
      <w:r w:rsidR="00FF0157" w:rsidRPr="00FE2263">
        <w:fldChar w:fldCharType="end"/>
      </w:r>
      <w:r w:rsidR="00580D79" w:rsidRPr="00FE2263">
        <w:t xml:space="preserve"> [27].</w:t>
      </w:r>
    </w:p>
    <w:p w14:paraId="48815CAD" w14:textId="1AFC4B17" w:rsidR="001062BB" w:rsidRPr="00FE2263" w:rsidRDefault="001062BB" w:rsidP="00F817BC">
      <w:pPr>
        <w:pStyle w:val="afe"/>
        <w:ind w:firstLine="0"/>
        <w:rPr>
          <w:b/>
        </w:rPr>
      </w:pPr>
      <w:r w:rsidRPr="00FE2263">
        <w:rPr>
          <w:b/>
        </w:rPr>
        <w:t xml:space="preserve">Уровень убедительности рекомендаций </w:t>
      </w:r>
      <w:r w:rsidR="00C47A3E" w:rsidRPr="00FE2263">
        <w:rPr>
          <w:b/>
        </w:rPr>
        <w:t xml:space="preserve">С </w:t>
      </w:r>
      <w:r w:rsidRPr="00FE2263">
        <w:rPr>
          <w:b/>
        </w:rPr>
        <w:t xml:space="preserve">(уровень достоверности доказательств </w:t>
      </w:r>
      <w:r w:rsidR="00C47A3E" w:rsidRPr="00FE2263">
        <w:rPr>
          <w:b/>
        </w:rPr>
        <w:t>4</w:t>
      </w:r>
      <w:r w:rsidRPr="00FE2263">
        <w:rPr>
          <w:b/>
        </w:rPr>
        <w:t>).</w:t>
      </w:r>
    </w:p>
    <w:p w14:paraId="25CD3EE7" w14:textId="77777777" w:rsidR="00580D79" w:rsidRPr="00FE2263" w:rsidRDefault="00580D79" w:rsidP="00F817BC">
      <w:pPr>
        <w:pStyle w:val="afd"/>
        <w:spacing w:beforeAutospacing="0" w:afterAutospacing="0" w:line="360" w:lineRule="auto"/>
        <w:rPr>
          <w:rFonts w:eastAsiaTheme="minorEastAsia"/>
        </w:rPr>
      </w:pPr>
      <w:r w:rsidRPr="00FE2263">
        <w:rPr>
          <w:rStyle w:val="affb"/>
        </w:rPr>
        <w:t>Комментарии:</w:t>
      </w:r>
      <w:r w:rsidRPr="00FE2263">
        <w:rPr>
          <w:rStyle w:val="affc"/>
        </w:rPr>
        <w:t xml:space="preserve"> данные схемы терапии зарекомендовали себя как высоко эффективные программы. Результаты исследования лечения по схеме FR, используемой как у пациентов с впервые диагностированной МВ, так и ранее получавших терапию, показали общую эффективность лечения у 95% пациентов. В 86% случаев получены ПР и ЧР. При длительности наблюдения 40,1 мес. медиана ВДП составила 51,2 мес., медиана ОВ не достигнута. Учитывая частоту развития и длительность цитопений, авторы исследования предлагают использовать 4-дневное введение флударабина** и ограничить число курсов до 4. </w:t>
      </w:r>
    </w:p>
    <w:p w14:paraId="4DF2E687" w14:textId="7B123B3F" w:rsidR="00580D79" w:rsidRPr="00FE2263" w:rsidRDefault="00BD78B2" w:rsidP="00FF0157">
      <w:pPr>
        <w:pStyle w:val="afff8"/>
        <w:spacing w:before="0"/>
      </w:pPr>
      <w:r w:rsidRPr="00FE2263">
        <w:rPr>
          <w:rStyle w:val="affb"/>
          <w:b w:val="0"/>
          <w:bCs w:val="0"/>
        </w:rPr>
        <w:t>Пациентам с рецидивами МВ</w:t>
      </w:r>
      <w:r w:rsidRPr="00FE2263">
        <w:rPr>
          <w:rStyle w:val="affb"/>
        </w:rPr>
        <w:t xml:space="preserve"> рекомендуется</w:t>
      </w:r>
      <w:r w:rsidRPr="00FE2263">
        <w:t xml:space="preserve"> </w:t>
      </w:r>
      <w:r w:rsidR="00580D79" w:rsidRPr="00FE2263">
        <w:t>рассмотрение варианта осуществления высокодозной химиотерапии (ВДХТ) с последующей аутоТГСК</w:t>
      </w:r>
      <w:r w:rsidR="00FF0157" w:rsidRPr="00FE2263">
        <w:t xml:space="preserve"> </w:t>
      </w:r>
      <w:r w:rsidR="00FF0157" w:rsidRPr="00FE2263">
        <w:fldChar w:fldCharType="begin" w:fldLock="1"/>
      </w:r>
      <w:r w:rsidR="00AE6DD2" w:rsidRPr="00FE2263">
        <w:instrText>ADDIN CSL_CITATION {"citationItems":[{"id":"ITEM-1","itemData":{"DOI":"10.1182/blood-2009-05-174359","ISSN":"00064971","abstract":"Waldenström macroglobulinemia (WM) is a distinct B-cell disorder resulting from the accumulation, predominantly in the bone marrow, of clonally related IgM-secreting lymphoplasmacytic cells. Genetic factors play an important role, with 20% of patients demonstrating a familial predisposition. Asymptomatic patients should be observed. Patients with a disease-related hemoglobin level less than 10 g/L, platelet count less than 100 × 10 9/L, bulky adenopathy or organomegaly, symptomatic hyperviscosity, peripheral neuropathy, amyloidosis, cryoglobulinemia, cold-agglutinin disease, or evidence of disease transformation should be considered for therapy. Plasmapheresis shouldbeconsidered forsymptomatic hyperviscosity and for prophylaxis in patients in whom rituximab therapy is contemplated. The use of rituximab as monotherapy or in combination with cyclophosphamide, nucleoside analog, bortezomib, or thalidomide-based regimens can be considered for the first-line therapy of WM and should take into account specific treatment goals, future autologous stem cell transplantation eligibility, and long-term risks of secondary malignancies. In the salvage setting, the reuse or use of an alternative frontline regimen can be considered as well as bortezomib, alemtuzumab, and stem cell transplantation. Newer agents, such as bendamustine and everolimus, can also be considered in the treatment of WM. © 2009 by The American Society of Hematology.","author":[{"dropping-particle":"","family":"Treon","given":"Steven P.","non-dropping-particle":"","parse-names":false,"suffix":""}],"container-title":"Blood","id":"ITEM-1","issue":"12","issued":{"date-parts":[["2009"]]},"page":"2375-2385","title":"How I treat Waldenström macroglobulinemia","type":"article","volume":"114"},"uris":["http://www.mendeley.com/documents/?uuid=4510301e-df8c-3b31-ace6-f730be6093f3"]}],"mendeley":{"formattedCitation":"[36]","plainTextFormattedCitation":"[36]","previouslyFormattedCitation":"[36]"},"properties":{"noteIndex":0},"schema":"https://github.com/citation-style-language/schema/raw/master/csl-citation.json"}</w:instrText>
      </w:r>
      <w:r w:rsidR="00FF0157" w:rsidRPr="00FE2263">
        <w:fldChar w:fldCharType="separate"/>
      </w:r>
      <w:r w:rsidR="00FF0157" w:rsidRPr="00FE2263">
        <w:rPr>
          <w:noProof/>
        </w:rPr>
        <w:t>[36]</w:t>
      </w:r>
      <w:r w:rsidR="00FF0157" w:rsidRPr="00FE2263">
        <w:fldChar w:fldCharType="end"/>
      </w:r>
      <w:r w:rsidR="00580D79" w:rsidRPr="00FE2263">
        <w:t>.</w:t>
      </w:r>
    </w:p>
    <w:p w14:paraId="7A82B53C" w14:textId="412A6F6D" w:rsidR="001062BB" w:rsidRPr="00FE2263" w:rsidRDefault="001062BB" w:rsidP="00F817BC">
      <w:pPr>
        <w:pStyle w:val="afe"/>
        <w:ind w:firstLine="0"/>
        <w:rPr>
          <w:b/>
        </w:rPr>
      </w:pPr>
      <w:r w:rsidRPr="00FE2263">
        <w:rPr>
          <w:b/>
        </w:rPr>
        <w:t xml:space="preserve">Уровень убедительности рекомендаций С (уровень достоверности доказательств </w:t>
      </w:r>
      <w:r w:rsidR="00C47A3E" w:rsidRPr="00FE2263">
        <w:rPr>
          <w:b/>
        </w:rPr>
        <w:t>5</w:t>
      </w:r>
      <w:r w:rsidRPr="00FE2263">
        <w:rPr>
          <w:b/>
        </w:rPr>
        <w:t>).</w:t>
      </w:r>
    </w:p>
    <w:p w14:paraId="036FCA18" w14:textId="77777777" w:rsidR="00580D79" w:rsidRPr="00FE2263" w:rsidRDefault="00580D79" w:rsidP="00F817BC">
      <w:pPr>
        <w:pStyle w:val="afd"/>
        <w:spacing w:beforeAutospacing="0" w:afterAutospacing="0" w:line="360" w:lineRule="auto"/>
      </w:pPr>
      <w:r w:rsidRPr="00FE2263">
        <w:rPr>
          <w:rStyle w:val="affb"/>
        </w:rPr>
        <w:t>Комментарии:</w:t>
      </w:r>
      <w:r w:rsidRPr="00FE2263">
        <w:rPr>
          <w:rStyle w:val="affc"/>
        </w:rPr>
        <w:t xml:space="preserve"> </w:t>
      </w:r>
      <w:r w:rsidR="00BD78B2" w:rsidRPr="00FE2263">
        <w:rPr>
          <w:rStyle w:val="affc"/>
        </w:rPr>
        <w:t xml:space="preserve">в </w:t>
      </w:r>
      <w:r w:rsidRPr="00FE2263">
        <w:rPr>
          <w:rStyle w:val="affc"/>
        </w:rPr>
        <w:t xml:space="preserve">настоящее время проводятся исследования по оценке эффективности высокодозной химиотерапии с аутоТГСК при МВ. Обсуждается целесообразность использования этого метода лечения у молодых пациентов с множественными рецидивами или первично рефрактерной болезнью. ВДХТ при рецидивах у молодых пациентов МВ может быть использована в отдельных случаях по согласованию с трансплантационным центром. </w:t>
      </w:r>
    </w:p>
    <w:p w14:paraId="72A8A19B" w14:textId="15ED4C74" w:rsidR="000414F6" w:rsidRPr="00FE2263" w:rsidRDefault="00CB71DA" w:rsidP="00FF0157">
      <w:pPr>
        <w:pStyle w:val="CustomContentNormal"/>
        <w:spacing w:before="0"/>
      </w:pPr>
      <w:bookmarkStart w:id="54" w:name="_Toc66184321"/>
      <w:r w:rsidRPr="00FE2263">
        <w:lastRenderedPageBreak/>
        <w:t xml:space="preserve">4. </w:t>
      </w:r>
      <w:bookmarkEnd w:id="45"/>
      <w:bookmarkEnd w:id="46"/>
      <w:r w:rsidR="0090571C" w:rsidRPr="00F543FD">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54"/>
    </w:p>
    <w:p w14:paraId="4A4C9B90" w14:textId="29CCD67E" w:rsidR="00BD78B2" w:rsidRDefault="00BD78B2" w:rsidP="00F817BC">
      <w:pPr>
        <w:pStyle w:val="10"/>
        <w:numPr>
          <w:ilvl w:val="0"/>
          <w:numId w:val="0"/>
        </w:numPr>
        <w:spacing w:before="0"/>
        <w:ind w:firstLine="709"/>
        <w:rPr>
          <w:i/>
          <w:iCs/>
        </w:rPr>
      </w:pPr>
      <w:bookmarkStart w:id="55" w:name="__RefHeading___doc_5"/>
      <w:r w:rsidRPr="00FE2263">
        <w:rPr>
          <w:i/>
          <w:iCs/>
        </w:rPr>
        <w:t>Специальных методов реабилитации при МВ не существует. Реабилитация при возникновении осложнений в течение заболевания и лечения проводится в рамках соответствующих нозологий. Рекомендуется вести здоровый образ жизни, исключить избыточную инсоляцию и тепловые физиопроцедуры.</w:t>
      </w:r>
    </w:p>
    <w:p w14:paraId="324D5785" w14:textId="77777777" w:rsidR="0090571C" w:rsidRPr="00FE2263" w:rsidRDefault="0090571C" w:rsidP="00F817BC">
      <w:pPr>
        <w:pStyle w:val="10"/>
        <w:numPr>
          <w:ilvl w:val="0"/>
          <w:numId w:val="0"/>
        </w:numPr>
        <w:spacing w:before="0"/>
        <w:ind w:firstLine="709"/>
        <w:rPr>
          <w:i/>
          <w:iCs/>
        </w:rPr>
      </w:pPr>
    </w:p>
    <w:p w14:paraId="77F8BEA6" w14:textId="77777777" w:rsidR="00A43CE5" w:rsidRPr="00FE2263" w:rsidRDefault="00094ED6" w:rsidP="00FF0157">
      <w:pPr>
        <w:pStyle w:val="CustomContentNormal"/>
        <w:spacing w:before="0"/>
      </w:pPr>
      <w:bookmarkStart w:id="56" w:name="_Toc11747747"/>
      <w:bookmarkStart w:id="57" w:name="_Toc66184322"/>
      <w:r w:rsidRPr="00FE2263">
        <w:t xml:space="preserve">5. </w:t>
      </w:r>
      <w:r w:rsidR="00CB71DA" w:rsidRPr="00FE2263">
        <w:t>Профилактика</w:t>
      </w:r>
      <w:bookmarkEnd w:id="55"/>
      <w:r w:rsidR="00B104EF" w:rsidRPr="00FE2263">
        <w:t xml:space="preserve"> и диспансерное наблюдение</w:t>
      </w:r>
      <w:r w:rsidR="00A43CE5" w:rsidRPr="00FE2263">
        <w:t>,</w:t>
      </w:r>
      <w:r w:rsidR="008371F9" w:rsidRPr="00FE2263">
        <w:t xml:space="preserve"> </w:t>
      </w:r>
      <w:r w:rsidR="00A43CE5" w:rsidRPr="00FE2263">
        <w:t>медицинские показания и противопоказания к применению методов профилактики</w:t>
      </w:r>
      <w:bookmarkEnd w:id="56"/>
      <w:bookmarkEnd w:id="57"/>
    </w:p>
    <w:p w14:paraId="1CB6D041" w14:textId="77777777" w:rsidR="00BD78B2" w:rsidRPr="00FE2263" w:rsidRDefault="00BD78B2" w:rsidP="00F817BC">
      <w:pPr>
        <w:pStyle w:val="afd"/>
        <w:spacing w:beforeAutospacing="0" w:afterAutospacing="0" w:line="360" w:lineRule="auto"/>
        <w:rPr>
          <w:i/>
          <w:iCs/>
        </w:rPr>
      </w:pPr>
      <w:bookmarkStart w:id="58" w:name="_Toc11747748"/>
      <w:bookmarkStart w:id="59" w:name="__RefHeading___doc_6"/>
      <w:r w:rsidRPr="00FE2263">
        <w:rPr>
          <w:i/>
          <w:iCs/>
        </w:rPr>
        <w:t>Методов профилактики МВ в настоящее время не существует, поскольку неизвестен этиологический фактор(ы), ведущие к развитию заболевания. Диспансерное наблюдение гематологом или онкологом осуществляется в период лечения и после достижения ремиссии лимфомы.</w:t>
      </w:r>
    </w:p>
    <w:p w14:paraId="0B4572F7" w14:textId="2868A779" w:rsidR="003D2163" w:rsidRPr="00FE2263" w:rsidRDefault="003D2163" w:rsidP="0010608C">
      <w:pPr>
        <w:numPr>
          <w:ilvl w:val="0"/>
          <w:numId w:val="23"/>
        </w:numPr>
        <w:spacing w:before="120"/>
        <w:ind w:left="709" w:hanging="425"/>
        <w:rPr>
          <w:rFonts w:eastAsia="Times New Roman"/>
          <w:szCs w:val="24"/>
          <w:lang w:eastAsia="ru-RU"/>
        </w:rPr>
      </w:pPr>
      <w:r w:rsidRPr="00FE2263">
        <w:t xml:space="preserve">Всем пациентам с ЛКМ на протяжении всей жизни пациента – как в период лечения, так и вне лечения – </w:t>
      </w:r>
      <w:r w:rsidRPr="00FE2263">
        <w:rPr>
          <w:b/>
        </w:rPr>
        <w:t xml:space="preserve">рекомендуется </w:t>
      </w:r>
      <w:r w:rsidRPr="00FE2263">
        <w:rPr>
          <w:rFonts w:eastAsia="Times New Roman"/>
        </w:rPr>
        <w:t xml:space="preserve">соблюдать предписания врача-гематолога по лечению, избегать провоцирующих заболевание факторов, изменить виды и условия труда на невредные и облегченные, ограничить инсоляции и физиотерапевтические методы лечения </w:t>
      </w:r>
      <w:r w:rsidRPr="00FE2263">
        <w:rPr>
          <w:rFonts w:eastAsia="Times New Roman"/>
        </w:rPr>
        <w:fldChar w:fldCharType="begin" w:fldLock="1"/>
      </w:r>
      <w:r w:rsidR="004C3BA5">
        <w:rPr>
          <w:rFonts w:eastAsia="Times New Roman"/>
        </w:rPr>
        <w:instrText>ADDIN CSL_CITATION {"citationItems":[{"id":"ITEM-1","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практика","id":"ITEM-1","issue":"2","issued":{"date-parts":[["2009"]]},"page":"121-136","title":"Макроглобулинемия Вальденстрема","type":"article-journal","volume":"2"},"uris":["http://www.mendeley.com/documents/?uuid=a5b41185-3218-46e4-ad25-9878f84d5d1b"]}],"mendeley":{"formattedCitation":"[3]","plainTextFormattedCitation":"[3]","previouslyFormattedCitation":"[3]"},"properties":{"noteIndex":0},"schema":"https://github.com/citation-style-language/schema/raw/master/csl-citation.json"}</w:instrText>
      </w:r>
      <w:r w:rsidRPr="00FE2263">
        <w:rPr>
          <w:rFonts w:eastAsia="Times New Roman"/>
        </w:rPr>
        <w:fldChar w:fldCharType="separate"/>
      </w:r>
      <w:r w:rsidR="00D2308B" w:rsidRPr="00D2308B">
        <w:rPr>
          <w:rFonts w:eastAsia="Times New Roman"/>
          <w:noProof/>
        </w:rPr>
        <w:t>[3]</w:t>
      </w:r>
      <w:r w:rsidRPr="00FE2263">
        <w:rPr>
          <w:rFonts w:eastAsia="Times New Roman"/>
        </w:rPr>
        <w:fldChar w:fldCharType="end"/>
      </w:r>
      <w:r w:rsidRPr="00FE2263">
        <w:rPr>
          <w:rFonts w:eastAsia="Times New Roman"/>
        </w:rPr>
        <w:t xml:space="preserve">. </w:t>
      </w:r>
    </w:p>
    <w:p w14:paraId="02582D20" w14:textId="77777777" w:rsidR="003D2163" w:rsidRPr="00FE2263" w:rsidRDefault="003D2163" w:rsidP="003D2163">
      <w:pPr>
        <w:spacing w:before="120"/>
        <w:ind w:left="709" w:firstLine="0"/>
        <w:rPr>
          <w:rFonts w:eastAsia="Times New Roman"/>
          <w:szCs w:val="24"/>
          <w:lang w:eastAsia="ru-RU"/>
        </w:rPr>
      </w:pPr>
      <w:r w:rsidRPr="00FE2263">
        <w:rPr>
          <w:rFonts w:eastAsia="Times New Roman"/>
          <w:b/>
          <w:bCs/>
          <w:szCs w:val="24"/>
          <w:lang w:eastAsia="ru-RU"/>
        </w:rPr>
        <w:t xml:space="preserve">Уровень убедительности рекомендаций – </w:t>
      </w:r>
      <w:r w:rsidRPr="00FE2263">
        <w:rPr>
          <w:rFonts w:eastAsia="Times New Roman"/>
          <w:b/>
          <w:bCs/>
          <w:szCs w:val="24"/>
          <w:lang w:val="en-US" w:eastAsia="ru-RU"/>
        </w:rPr>
        <w:t>C</w:t>
      </w:r>
      <w:r w:rsidRPr="00FE2263">
        <w:rPr>
          <w:rFonts w:eastAsia="Times New Roman"/>
          <w:b/>
          <w:bCs/>
          <w:szCs w:val="24"/>
          <w:lang w:eastAsia="ru-RU"/>
        </w:rPr>
        <w:t xml:space="preserve"> (уровень достоверности доказательств – 5)</w:t>
      </w:r>
      <w:r w:rsidRPr="00FE2263">
        <w:rPr>
          <w:rFonts w:eastAsia="Times New Roman"/>
          <w:szCs w:val="24"/>
          <w:lang w:eastAsia="ru-RU"/>
        </w:rPr>
        <w:t>.</w:t>
      </w:r>
    </w:p>
    <w:p w14:paraId="2C602176" w14:textId="38D5E8A4" w:rsidR="00BD78B2" w:rsidRPr="00FE2263" w:rsidRDefault="003D2163" w:rsidP="00F817BC">
      <w:pPr>
        <w:pStyle w:val="afd"/>
        <w:spacing w:beforeAutospacing="0" w:afterAutospacing="0" w:line="360" w:lineRule="auto"/>
        <w:rPr>
          <w:i/>
          <w:iCs/>
        </w:rPr>
      </w:pPr>
      <w:r w:rsidRPr="00FE2263">
        <w:rPr>
          <w:b/>
          <w:bCs/>
        </w:rPr>
        <w:t>Комментарии:</w:t>
      </w:r>
      <w:r w:rsidRPr="00FE2263">
        <w:rPr>
          <w:i/>
          <w:iCs/>
        </w:rPr>
        <w:t xml:space="preserve"> в </w:t>
      </w:r>
      <w:r w:rsidR="00BD78B2" w:rsidRPr="00FE2263">
        <w:rPr>
          <w:i/>
          <w:iCs/>
        </w:rPr>
        <w:t>процессе наблюдения иммунохимическое исследование сыворотки крови и мочи необходимо выполнять каждые 3 месяца. При использовании ритуксимаба во время первых курсов лечения необходимо выполнение электрофореза белков сыворотки крови 1 раз в неделю. Исследование костного мозга, включая трепанобиопсию подвздошной кости, рекомендуется только для подтверждения ПР. УЗИ всех групп периферических ЛУ, ЛУ брюшной полости, забрюшинного пространства, печени, селезенки следует выполнять каждые 3 месяца. Рентгенографию грудной клетки проводят 1 раз в год. Рентгенография костей выполняется по клиническим показаниям. КТ брюшной полости при исходном увеличении ЛУ или поражении органов - для оценки эффективности лечения и по клиническим показаниям.</w:t>
      </w:r>
    </w:p>
    <w:p w14:paraId="7EF06928" w14:textId="0DA4364F" w:rsidR="009B4039" w:rsidRPr="00FE2263" w:rsidRDefault="00C4630C" w:rsidP="00FF0157">
      <w:pPr>
        <w:pStyle w:val="afff2"/>
        <w:spacing w:before="0"/>
      </w:pPr>
      <w:bookmarkStart w:id="60" w:name="_Toc66184323"/>
      <w:r w:rsidRPr="00FE2263">
        <w:lastRenderedPageBreak/>
        <w:t xml:space="preserve">6. </w:t>
      </w:r>
      <w:r w:rsidR="009B4039" w:rsidRPr="00FE2263">
        <w:t xml:space="preserve">Организация </w:t>
      </w:r>
      <w:r w:rsidR="00FB4B80" w:rsidRPr="00FE2263">
        <w:t xml:space="preserve">оказания </w:t>
      </w:r>
      <w:r w:rsidR="009B4039" w:rsidRPr="00FE2263">
        <w:t>медицинской помощи</w:t>
      </w:r>
      <w:bookmarkEnd w:id="58"/>
      <w:bookmarkEnd w:id="60"/>
    </w:p>
    <w:p w14:paraId="67FF13B2" w14:textId="77777777" w:rsidR="00B16138" w:rsidRPr="00FE2263" w:rsidRDefault="00B16138" w:rsidP="00FF0157">
      <w:pPr>
        <w:rPr>
          <w:color w:val="000000"/>
        </w:rPr>
      </w:pPr>
      <w:bookmarkStart w:id="61" w:name="_Toc11747749"/>
      <w:r w:rsidRPr="00FE2263">
        <w:rPr>
          <w:color w:val="000000"/>
        </w:rPr>
        <w:t>Медицинская помощь, за исключением медицинской помощи в рамках клинической апробации, в соответствии с Федеральным законом от 21.11.2011 № 323-ФЗ (ред. от 25.05.2019) «Об основах охраны здоровья граждан в Российской Федерации» организуется и оказывается:</w:t>
      </w:r>
    </w:p>
    <w:p w14:paraId="3FA390B8" w14:textId="77777777" w:rsidR="00B16138" w:rsidRPr="00FE2263" w:rsidRDefault="00B16138" w:rsidP="0010608C">
      <w:pPr>
        <w:pStyle w:val="afe"/>
        <w:numPr>
          <w:ilvl w:val="0"/>
          <w:numId w:val="7"/>
        </w:numPr>
        <w:ind w:left="993"/>
        <w:contextualSpacing w:val="0"/>
        <w:rPr>
          <w:color w:val="000000"/>
        </w:rPr>
      </w:pPr>
      <w:r w:rsidRPr="00FE2263">
        <w:rPr>
          <w:color w:val="000000"/>
        </w:rPr>
        <w:t>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14:paraId="00F3C2C2" w14:textId="77777777" w:rsidR="00B16138" w:rsidRPr="00FE2263" w:rsidRDefault="00B16138" w:rsidP="0010608C">
      <w:pPr>
        <w:pStyle w:val="afe"/>
        <w:numPr>
          <w:ilvl w:val="0"/>
          <w:numId w:val="7"/>
        </w:numPr>
        <w:ind w:left="993"/>
        <w:contextualSpacing w:val="0"/>
        <w:rPr>
          <w:color w:val="000000"/>
        </w:rPr>
      </w:pPr>
      <w:r w:rsidRPr="00FE2263">
        <w:rPr>
          <w:color w:val="000000"/>
        </w:rPr>
        <w:t>в соответствии с порядком оказания помощи по профилю «гематология», обязательным для исполнения на территории Российской Федерации всеми медицинскими организациями;</w:t>
      </w:r>
    </w:p>
    <w:p w14:paraId="22832CC6" w14:textId="77777777" w:rsidR="00B16138" w:rsidRPr="00FE2263" w:rsidRDefault="00B16138" w:rsidP="0010608C">
      <w:pPr>
        <w:pStyle w:val="afe"/>
        <w:numPr>
          <w:ilvl w:val="0"/>
          <w:numId w:val="7"/>
        </w:numPr>
        <w:ind w:left="993"/>
        <w:contextualSpacing w:val="0"/>
        <w:rPr>
          <w:color w:val="000000"/>
        </w:rPr>
      </w:pPr>
      <w:r w:rsidRPr="00FE2263">
        <w:rPr>
          <w:color w:val="000000"/>
        </w:rPr>
        <w:t>на основе настоящих клинических рекомендаций;</w:t>
      </w:r>
    </w:p>
    <w:p w14:paraId="1D59666C" w14:textId="77777777" w:rsidR="00B16138" w:rsidRPr="00FE2263" w:rsidRDefault="00B16138" w:rsidP="0010608C">
      <w:pPr>
        <w:pStyle w:val="afe"/>
        <w:numPr>
          <w:ilvl w:val="0"/>
          <w:numId w:val="7"/>
        </w:numPr>
        <w:ind w:left="993"/>
        <w:contextualSpacing w:val="0"/>
        <w:rPr>
          <w:color w:val="000000"/>
        </w:rPr>
      </w:pPr>
      <w:r w:rsidRPr="00FE2263">
        <w:rPr>
          <w:color w:val="000000"/>
        </w:rPr>
        <w:t>с учетом стандартов медицинской помощи, утвержденных уполномоченным федеральным органом исполнительной власти.</w:t>
      </w:r>
    </w:p>
    <w:p w14:paraId="09BB0EF3" w14:textId="77777777" w:rsidR="00B16138" w:rsidRPr="00FE2263" w:rsidRDefault="00B16138" w:rsidP="0070759B">
      <w:pPr>
        <w:rPr>
          <w:color w:val="000000"/>
        </w:rPr>
      </w:pPr>
      <w:r w:rsidRPr="00FE2263">
        <w:rPr>
          <w:color w:val="000000"/>
        </w:rPr>
        <w:t>Первичная специализированная медико-санитарная помощь оказывается врачом-гематологом и иными врачами-специалистами в центре амбулаторной гематологической/онкологической помощи либо в первичном гематологическом/онкологическом кабинете, первичном гематологическом отделении, поликлиническом отделении онкологического диспансера.</w:t>
      </w:r>
    </w:p>
    <w:p w14:paraId="6839239B" w14:textId="77777777" w:rsidR="00B16138" w:rsidRPr="00FE2263" w:rsidRDefault="00B16138" w:rsidP="0070759B">
      <w:pPr>
        <w:rPr>
          <w:color w:val="000000"/>
        </w:rPr>
      </w:pPr>
      <w:r w:rsidRPr="00FE2263">
        <w:rPr>
          <w:color w:val="000000"/>
        </w:rPr>
        <w:t xml:space="preserve">При выявлении у пациента </w:t>
      </w:r>
      <w:r w:rsidRPr="00FE2263">
        <w:t>МВ</w:t>
      </w:r>
      <w:r w:rsidRPr="00FE2263">
        <w:rPr>
          <w:color w:val="000000"/>
        </w:rPr>
        <w:t xml:space="preserve"> или подозрении на него врачи-терапевты, врачи-терапевты участковые, врачи общей практики (семейные врачи), врачи-специалисты, средние медицинские работники в установленном порядке направляют пациента на консультацию в центр амбулаторной гематологической/онкологической помощи либо в первичный гематологический кабинет, первичное гематологическое отделение медицинской организации для оказания ему первичной специализированной медико-санитарной помощи.</w:t>
      </w:r>
    </w:p>
    <w:p w14:paraId="7317D0A7" w14:textId="77777777" w:rsidR="00B16138" w:rsidRPr="00FE2263" w:rsidRDefault="00B16138" w:rsidP="0070759B">
      <w:pPr>
        <w:rPr>
          <w:color w:val="000000"/>
        </w:rPr>
      </w:pPr>
      <w:r w:rsidRPr="00FE2263">
        <w:rPr>
          <w:color w:val="000000"/>
        </w:rPr>
        <w:t>Врач-гематолог амбулаторного или стационарного звена гематологической помощи организует выполнение диагностических исследований, необходимых для установления диагноза, включая распространенность и стадию заболевания.</w:t>
      </w:r>
    </w:p>
    <w:p w14:paraId="73AC8901" w14:textId="77777777" w:rsidR="00B16138" w:rsidRPr="00FE2263" w:rsidRDefault="00B16138" w:rsidP="0070759B">
      <w:pPr>
        <w:rPr>
          <w:color w:val="000000"/>
        </w:rPr>
      </w:pPr>
      <w:r w:rsidRPr="00FE2263">
        <w:rPr>
          <w:color w:val="000000"/>
        </w:rPr>
        <w:t>В случае невозможности проведения диагностических исследований пациент направляется лечащим врачом в медицинскую организацию, оказывающую медицинскую помощь пациентам с гематологическими заболеваниями для установления диагноза и оказания специализированной, в том числе высокотехнологичной, медицинской помощи.</w:t>
      </w:r>
    </w:p>
    <w:p w14:paraId="3D10F2C2" w14:textId="77777777" w:rsidR="00B16138" w:rsidRPr="00FE2263" w:rsidRDefault="00B16138" w:rsidP="0070759B">
      <w:pPr>
        <w:rPr>
          <w:color w:val="000000"/>
        </w:rPr>
      </w:pPr>
      <w:r w:rsidRPr="00FE2263">
        <w:rPr>
          <w:color w:val="000000"/>
        </w:rPr>
        <w:lastRenderedPageBreak/>
        <w:t xml:space="preserve">При выявлении </w:t>
      </w:r>
      <w:r w:rsidRPr="00FE2263">
        <w:t>МВ</w:t>
      </w:r>
      <w:r w:rsidRPr="00FE2263">
        <w:rPr>
          <w:color w:val="000000"/>
        </w:rPr>
        <w:t xml:space="preserve"> или подозрении на него в ходе оказания скорой медицинской помощи пациента переводят или направляют в медицинские организации, оказывающие медицинскую помощь пациентам с гематологическими заболеваниями, для определения тактики ведения и необходимости применения дополнительно других методов специализированного противоопухолевого лечения.</w:t>
      </w:r>
    </w:p>
    <w:p w14:paraId="4E3DDF02" w14:textId="77777777" w:rsidR="00B16138" w:rsidRPr="00FE2263" w:rsidRDefault="00B16138" w:rsidP="0070759B">
      <w:pPr>
        <w:rPr>
          <w:color w:val="000000"/>
        </w:rPr>
      </w:pPr>
      <w:r w:rsidRPr="00FE2263">
        <w:rPr>
          <w:color w:val="000000"/>
        </w:rPr>
        <w:t xml:space="preserve">Специализированная, в том числе высокотехнологичная, медицинская помощь оказывается врачами-гематологами в медицинских организациях, оказывающих медицинскую помощь пациентам с </w:t>
      </w:r>
      <w:r w:rsidRPr="00FE2263">
        <w:t>МВ</w:t>
      </w:r>
      <w:r w:rsidRPr="00FE2263">
        <w:rPr>
          <w:color w:val="000000"/>
        </w:rPr>
        <w:t>, имеющих лицензию, необходимую материально-техническую базу, сертифицированных специалистов, в стационарных условиях и условиях дневного стационара и включает профилактику, диагностику, лечение гематологических заболеваний, требующих использования специальных методов и сложных уникальных медицинских технологий, а также медицинскую реабилитацию.</w:t>
      </w:r>
    </w:p>
    <w:p w14:paraId="36A12419" w14:textId="77777777" w:rsidR="00B16138" w:rsidRPr="00FE2263" w:rsidRDefault="00B16138" w:rsidP="0070759B">
      <w:pPr>
        <w:rPr>
          <w:color w:val="000000"/>
        </w:rPr>
      </w:pPr>
      <w:r w:rsidRPr="00FE2263">
        <w:rPr>
          <w:color w:val="000000"/>
        </w:rPr>
        <w:t xml:space="preserve">В медицинской организации, оказывающей медицинскую помощь пациентам с </w:t>
      </w:r>
      <w:r w:rsidRPr="00FE2263">
        <w:t>МВ</w:t>
      </w:r>
      <w:r w:rsidRPr="00FE2263">
        <w:rPr>
          <w:color w:val="000000"/>
        </w:rPr>
        <w:t>, тактика медицинского обследования и лечения устанавливается врачами-гематологами с привлечением при необходимости других врачей-специалистов, при необходимости – с проведением консилиума. Решение консилиума врачей оформляется протоколом, подписывается участниками консилиума врачей и вносится в медицинскую документацию пациента.</w:t>
      </w:r>
    </w:p>
    <w:p w14:paraId="5EF29AC9" w14:textId="77777777" w:rsidR="00B16138" w:rsidRPr="00FE2263" w:rsidRDefault="00B16138" w:rsidP="0070759B">
      <w:pPr>
        <w:rPr>
          <w:color w:val="000000"/>
        </w:rPr>
      </w:pPr>
      <w:r w:rsidRPr="00FE2263">
        <w:rPr>
          <w:color w:val="000000"/>
        </w:rPr>
        <w:t>Показания к госпитализации в круглосуточный или дневной стационар медицинской организации, оказывающей специализированную, в том числе высокотехнологичную, медицинскую помощь по профилю «гематология», определяются врачом-гематологом/консилиумом врачей с привлечением при необходимости других врачей-специалистов.</w:t>
      </w:r>
    </w:p>
    <w:p w14:paraId="1C290AB5" w14:textId="77777777" w:rsidR="00B16138" w:rsidRPr="00FE2263" w:rsidRDefault="00B16138" w:rsidP="0070759B">
      <w:pPr>
        <w:pStyle w:val="1f0"/>
        <w:contextualSpacing/>
        <w:rPr>
          <w:b/>
        </w:rPr>
      </w:pPr>
      <w:r w:rsidRPr="00FE2263">
        <w:rPr>
          <w:b/>
        </w:rPr>
        <w:t xml:space="preserve">Показания к экстренной госпитализации: </w:t>
      </w:r>
    </w:p>
    <w:p w14:paraId="6D8C74A1" w14:textId="77777777" w:rsidR="00B16138" w:rsidRPr="00FE2263" w:rsidRDefault="00B16138" w:rsidP="00C46D62">
      <w:pPr>
        <w:pStyle w:val="1f0"/>
        <w:contextualSpacing/>
      </w:pPr>
      <w:r w:rsidRPr="00FE2263">
        <w:t>1.</w:t>
      </w:r>
      <w:r w:rsidRPr="00FE2263">
        <w:tab/>
        <w:t>Развитие тяжелой инфекции (необязательна госпитализация в гематологический стационар).</w:t>
      </w:r>
    </w:p>
    <w:p w14:paraId="40632B24" w14:textId="77777777" w:rsidR="00B16138" w:rsidRPr="00FE2263" w:rsidRDefault="00B16138" w:rsidP="00C46D62">
      <w:pPr>
        <w:pStyle w:val="1f0"/>
        <w:contextualSpacing/>
      </w:pPr>
      <w:r w:rsidRPr="00FE2263">
        <w:t>2.</w:t>
      </w:r>
      <w:r w:rsidRPr="00FE2263">
        <w:tab/>
        <w:t>Развитие угрожающих жизни цитопений (глубокой анемии, геморрагического синдрома, нейтропении).</w:t>
      </w:r>
    </w:p>
    <w:p w14:paraId="377AD839" w14:textId="77777777" w:rsidR="00B16138" w:rsidRPr="00FE2263" w:rsidRDefault="00B16138" w:rsidP="003D7932">
      <w:pPr>
        <w:pStyle w:val="1f0"/>
        <w:contextualSpacing/>
      </w:pPr>
      <w:r w:rsidRPr="00FE2263">
        <w:t>3.</w:t>
      </w:r>
      <w:r w:rsidRPr="00FE2263">
        <w:tab/>
        <w:t xml:space="preserve">Развитие осложнений МВ, угрожающих жизни. </w:t>
      </w:r>
    </w:p>
    <w:p w14:paraId="7EC5DBDE" w14:textId="77777777" w:rsidR="00B16138" w:rsidRPr="00FE2263" w:rsidRDefault="00B16138" w:rsidP="003D7932">
      <w:pPr>
        <w:pStyle w:val="1f0"/>
        <w:contextualSpacing/>
      </w:pPr>
      <w:r w:rsidRPr="00FE2263">
        <w:t>4.</w:t>
      </w:r>
      <w:r w:rsidRPr="00FE2263">
        <w:tab/>
        <w:t>Развитие осложнений терапии, включая синдром лизиса опухоли, тяжелые инфузионные реакции, миелотоксический агранулоцитоз с лихорадкой и другие осложнения, угрожающие жизни.</w:t>
      </w:r>
    </w:p>
    <w:p w14:paraId="0790D9B3" w14:textId="77777777" w:rsidR="00B16138" w:rsidRPr="00FE2263" w:rsidRDefault="00B16138" w:rsidP="00FF0157">
      <w:pPr>
        <w:pStyle w:val="1f0"/>
        <w:contextualSpacing/>
        <w:rPr>
          <w:b/>
        </w:rPr>
      </w:pPr>
      <w:r w:rsidRPr="00FE2263">
        <w:rPr>
          <w:b/>
        </w:rPr>
        <w:t xml:space="preserve">Показания к плановой госпитализации: </w:t>
      </w:r>
    </w:p>
    <w:p w14:paraId="5AFC59DA" w14:textId="77777777" w:rsidR="00B16138" w:rsidRPr="00FE2263" w:rsidRDefault="00B16138" w:rsidP="00F817BC">
      <w:pPr>
        <w:pStyle w:val="1f0"/>
        <w:contextualSpacing/>
      </w:pPr>
      <w:r w:rsidRPr="00FE2263">
        <w:t>1.</w:t>
      </w:r>
      <w:r w:rsidRPr="00FE2263">
        <w:tab/>
        <w:t xml:space="preserve">Проведение терапии в случаях, требующих круглосуточного наблюдения за </w:t>
      </w:r>
      <w:r w:rsidRPr="00FE2263">
        <w:lastRenderedPageBreak/>
        <w:t>пациентом по причине тяжести состояния, обусловленного опухолью, или по причине риска осложнений, связанных с программой лечения или сопутствующими заболеваниями.</w:t>
      </w:r>
    </w:p>
    <w:p w14:paraId="1E0FF862" w14:textId="77777777" w:rsidR="00B16138" w:rsidRPr="00FE2263" w:rsidRDefault="00B16138" w:rsidP="00F817BC">
      <w:pPr>
        <w:pStyle w:val="1f0"/>
        <w:contextualSpacing/>
      </w:pPr>
      <w:r w:rsidRPr="00FE2263">
        <w:t>2.</w:t>
      </w:r>
      <w:r w:rsidRPr="00FE2263">
        <w:tab/>
        <w:t>Обследование пациента, включающее биопсию и инвазивные вмешательства, в случаях, когда оно не может быть проведено амбулаторно.</w:t>
      </w:r>
    </w:p>
    <w:p w14:paraId="65B88890" w14:textId="77777777" w:rsidR="00B16138" w:rsidRPr="00FE2263" w:rsidRDefault="00B16138" w:rsidP="00F817BC">
      <w:pPr>
        <w:rPr>
          <w:b/>
        </w:rPr>
      </w:pPr>
      <w:r w:rsidRPr="00FE2263">
        <w:rPr>
          <w:b/>
        </w:rPr>
        <w:t>Показания к выписке пациента из медицинской организации:</w:t>
      </w:r>
    </w:p>
    <w:p w14:paraId="735BE8A8" w14:textId="77777777" w:rsidR="00B16138" w:rsidRPr="00FE2263" w:rsidRDefault="00B16138" w:rsidP="0010608C">
      <w:pPr>
        <w:pStyle w:val="afe"/>
        <w:numPr>
          <w:ilvl w:val="0"/>
          <w:numId w:val="8"/>
        </w:numPr>
        <w:tabs>
          <w:tab w:val="left" w:pos="1134"/>
        </w:tabs>
        <w:contextualSpacing w:val="0"/>
      </w:pPr>
      <w:r w:rsidRPr="00FE2263">
        <w:t>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27F967E6" w14:textId="77777777" w:rsidR="00B16138" w:rsidRPr="00FE2263" w:rsidRDefault="00B16138" w:rsidP="0010608C">
      <w:pPr>
        <w:pStyle w:val="afe"/>
        <w:numPr>
          <w:ilvl w:val="0"/>
          <w:numId w:val="8"/>
        </w:numPr>
        <w:tabs>
          <w:tab w:val="left" w:pos="1134"/>
        </w:tabs>
        <w:contextualSpacing w:val="0"/>
      </w:pPr>
      <w:r w:rsidRPr="00FE2263">
        <w:t>Отказ пациента или его законного представителя от специализированной, в том числе высокотехнологичной, медицинской помощи в условиях круглосуточного или дневного стационара, установленной консилиумом медицинской организации, оказывающей онкологическую помощь, при условии отсутствия осложнений основного заболевания и/или лечения, требующих медикаментозной коррекции и/или медицинских вмешательств в стационарных условиях.</w:t>
      </w:r>
    </w:p>
    <w:p w14:paraId="2613A791" w14:textId="77777777" w:rsidR="00B16138" w:rsidRPr="00FE2263" w:rsidRDefault="00B16138" w:rsidP="0010608C">
      <w:pPr>
        <w:pStyle w:val="afe"/>
        <w:numPr>
          <w:ilvl w:val="0"/>
          <w:numId w:val="8"/>
        </w:numPr>
        <w:tabs>
          <w:tab w:val="left" w:pos="1134"/>
        </w:tabs>
        <w:contextualSpacing w:val="0"/>
      </w:pPr>
      <w:r w:rsidRPr="00FE2263">
        <w:t>Необходимость перевода пациента в другую медицинскую организацию по соответствующему профилю оказания медицинской помощи.</w:t>
      </w:r>
    </w:p>
    <w:p w14:paraId="5B102451" w14:textId="77777777" w:rsidR="00B16138" w:rsidRPr="00FE2263" w:rsidRDefault="00B16138" w:rsidP="0010608C">
      <w:pPr>
        <w:pStyle w:val="afe"/>
        <w:numPr>
          <w:ilvl w:val="0"/>
          <w:numId w:val="8"/>
        </w:numPr>
        <w:tabs>
          <w:tab w:val="left" w:pos="1134"/>
        </w:tabs>
        <w:contextualSpacing w:val="0"/>
      </w:pPr>
      <w:r w:rsidRPr="00FE2263">
        <w:t>Решение врачебной комиссии об отсутствии показаний к пребыванию пациента в стационаре в связи с бесперспективностью лечения и необходимостью оказания только паллиативной помощи.</w:t>
      </w:r>
    </w:p>
    <w:p w14:paraId="154E0B93" w14:textId="77777777" w:rsidR="00B16138" w:rsidRPr="00FE2263" w:rsidRDefault="00B16138" w:rsidP="0070759B">
      <w:r w:rsidRPr="00FE2263">
        <w:t>Заключение о целесообразности перевода пациента в профильную медицинскую организацию составляется после предварительной консультации по предоставленным медицинским документам и/или предварительного осмотра пациента врачами специалистами медицинской организации, в которую планируется перевод.</w:t>
      </w:r>
    </w:p>
    <w:p w14:paraId="6E1EB934" w14:textId="77777777" w:rsidR="00CB562F" w:rsidRPr="00FE2263" w:rsidRDefault="00C4630C" w:rsidP="00FF0157">
      <w:pPr>
        <w:pStyle w:val="afff2"/>
        <w:spacing w:before="0"/>
      </w:pPr>
      <w:bookmarkStart w:id="62" w:name="_Toc66184324"/>
      <w:r w:rsidRPr="00FE2263">
        <w:t xml:space="preserve">7. </w:t>
      </w:r>
      <w:r w:rsidR="00CB71DA" w:rsidRPr="00FE2263">
        <w:t>Дополнительная инфор</w:t>
      </w:r>
      <w:r w:rsidR="009B4039" w:rsidRPr="00FE2263">
        <w:t>мация (</w:t>
      </w:r>
      <w:r w:rsidR="00A43CE5" w:rsidRPr="00FE2263">
        <w:t>в том числе факторы, влияющие на</w:t>
      </w:r>
      <w:r w:rsidR="00CB71DA" w:rsidRPr="00FE2263">
        <w:t xml:space="preserve"> исход заболевания</w:t>
      </w:r>
      <w:bookmarkEnd w:id="59"/>
      <w:r w:rsidR="008371F9" w:rsidRPr="00FE2263">
        <w:t xml:space="preserve"> </w:t>
      </w:r>
      <w:r w:rsidR="00A43CE5" w:rsidRPr="00FE2263">
        <w:t>или состояния)</w:t>
      </w:r>
      <w:bookmarkEnd w:id="61"/>
      <w:bookmarkEnd w:id="62"/>
    </w:p>
    <w:p w14:paraId="2BB3DF93" w14:textId="77777777" w:rsidR="00BD78B2" w:rsidRPr="00FE2263" w:rsidRDefault="00BD78B2" w:rsidP="00FF0157">
      <w:pPr>
        <w:pStyle w:val="2"/>
        <w:spacing w:before="0"/>
      </w:pPr>
      <w:bookmarkStart w:id="63" w:name="_Toc33974228"/>
      <w:bookmarkStart w:id="64" w:name="_Toc66184325"/>
      <w:bookmarkStart w:id="65" w:name="__RefHeading___doc_criteria"/>
      <w:bookmarkStart w:id="66" w:name="_Toc11747750"/>
      <w:r w:rsidRPr="00FE2263">
        <w:rPr>
          <w:rStyle w:val="affb"/>
          <w:b/>
          <w:bCs w:val="0"/>
        </w:rPr>
        <w:t>7.1 Факторы прогноза.</w:t>
      </w:r>
      <w:bookmarkEnd w:id="63"/>
      <w:bookmarkEnd w:id="64"/>
    </w:p>
    <w:p w14:paraId="2E94E298" w14:textId="7A9FB293" w:rsidR="00BD78B2" w:rsidRPr="00FE2263" w:rsidRDefault="00BD78B2" w:rsidP="00F817BC">
      <w:pPr>
        <w:pStyle w:val="afd"/>
        <w:spacing w:beforeAutospacing="0" w:afterAutospacing="0" w:line="360" w:lineRule="auto"/>
        <w:rPr>
          <w:rFonts w:eastAsiaTheme="minorEastAsia"/>
        </w:rPr>
      </w:pPr>
      <w:r w:rsidRPr="00FE2263">
        <w:t xml:space="preserve">К основным факторам неблагоприятного прогноза при установлении диагноза МВ относятся: возраст старше 65 лет, уровень Нв ≤ 11,5 г/дл, уровень тромбоцитов ≤100х109/л, β-2 микроглобулин сыворотки крови &gt; 3 мг/л, концентрация моноклонального IgM &gt; 70 г/л. Эти признаки болезни и возраст </w:t>
      </w:r>
      <w:r w:rsidR="001C75A3" w:rsidRPr="00FE2263">
        <w:t xml:space="preserve">пациентов </w:t>
      </w:r>
      <w:r w:rsidRPr="00FE2263">
        <w:t xml:space="preserve">включены в международную прогностическую систему (International prognostic scoring system for Waldenstrom’s makroglobulinemia). </w:t>
      </w:r>
      <w:r w:rsidRPr="00FE2263">
        <w:lastRenderedPageBreak/>
        <w:t xml:space="preserve">Использование этой системы позволяет прогнозировать продолжительность жизни </w:t>
      </w:r>
      <w:r w:rsidR="001C75A3" w:rsidRPr="00FE2263">
        <w:t xml:space="preserve">пацитентов </w:t>
      </w:r>
      <w:r w:rsidRPr="00FE2263">
        <w:t>и ответ на терапию, но не являются определяющими при выборе тактика лечения. Пятилетняя выживаемость пациентов МВ в зависимости от количества неблагоприятных признаков составляет от 87 до 36%</w:t>
      </w:r>
      <w:r w:rsidR="00AE6DD2" w:rsidRPr="00FE2263">
        <w:t xml:space="preserve"> </w:t>
      </w:r>
      <w:r w:rsidR="00AE6DD2" w:rsidRPr="00FE2263">
        <w:fldChar w:fldCharType="begin" w:fldLock="1"/>
      </w:r>
      <w:r w:rsidR="00AE6DD2" w:rsidRPr="00FE2263">
        <w:instrText>ADDIN CSL_CITATION {"citationItems":[{"id":"ITEM-1","itemData":{"DOI":"10.1053/sonc.2003.50038","ISSN":"00937754","abstract":"This presentation represents consensus recommendations on prognostic markers and criteria to initiate therapy in patients with Waldenstrom's macroglobulinemia (WM), which were prepared in conjunction with the Second International Workshop held in Athens, Greece during September 2002. The panel recommended that initiation of therapy should not be based on the IgM level per se since this may not correlate with the clinical manifestations of WM. The consensus panel agreed that initiation of therapy was appropriate for patients with constitutional symptoms such as recurrent fever, night sweats, fatigue due to anemia, or weight loss. The presence of progressive, symptomatic lymphadenopathy or splenomegaly provide additional reasons to begin therapy. The presence of anemia with a hemoglobin value of ≤ 10 g/dL or a platelet count &lt; 100 × 109/L due to marrow infiltration also justifies treatment. Certain complications such as hyperviscosity syndrome, symptomatic sensorimotor peripheral neuropathy, systemic amyloidosis, renal insufficiency, or symptomatic cryoglobulinemia may also be indications for therapy. Recommendations for follow-up of watch-and-wait patients are that those with monoclonal gammopathy of undetermined significance (MGUS) should have serum protein electrophoresis repeated each year. Patients with asymptomatic (smoldering) macroglobulinemia should be evaluated every 6 months. Regarding prognostic markers, hemoglobin and β2-microglobulin levels at diagnosis are important prognostic markers in WM: they influence the timing of treatment and survival. Age is a consistently important prognostic factor for survival. However, the panel felt that current data are inadequate to support the use of any prognostic marker to select the timing and type of therapy, and called for studies on the application of prognostic markers in WM. © 2003 Elsevier Inc. All rights reserved.","author":[{"dropping-particle":"","family":"Kyle","given":"Robert A.","non-dropping-particle":"","parse-names":false,"suffix":""},{"dropping-particle":"","family":"Treon","given":"Steven P.","non-dropping-particle":"","parse-names":false,"suffix":""},{"dropping-particle":"","family":"Alexanian","given":"Raymond","non-dropping-particle":"","parse-names":false,"suffix":""},{"dropping-particle":"","family":"Barlogie","given":"Bart","non-dropping-particle":"","parse-names":false,"suffix":""},{"dropping-particle":"","family":"Björkholm","given":"Magnus","non-dropping-particle":"","parse-names":false,"suffix":""},{"dropping-particle":"","family":"Dhodapkar","given":"Madhav","non-dropping-particle":"","parse-names":false,"suffix":""},{"dropping-particle":"","family":"Lister","given":"T. Andrew","non-dropping-particle":"","parse-names":false,"suffix":""},{"dropping-particle":"","family":"Merlini","given":"Giampaolo","non-dropping-particle":"","parse-names":false,"suffix":""},{"dropping-particle":"","family":"Morel","given":"Pierre","non-dropping-particle":"","parse-names":false,"suffix":""},{"dropping-particle":"","family":"Stone","given":"Marvin","non-dropping-particle":"","parse-names":false,"suffix":""},{"dropping-particle":"","family":"Branagan","given":"Andrew R.","non-dropping-particle":"","parse-names":false,"suffix":""},{"dropping-particle":"","family":"Leblond","given":"Véronique","non-dropping-particle":"","parse-names":false,"suffix":""}],"container-title":"Seminars in Oncology","id":"ITEM-1","issue":"2","issued":{"date-parts":[["2003","4"]]},"page":"116-120","publisher":"W.B. Saunders","title":"Prognostic markers and criteria to initiate therapy in Waldenstrom's macroglobulinemia: Consensus panel recommendations from the Second International Workshop on Waldenstrom's Macroglobulinemia","type":"paper-conference","volume":"30"},"uris":["http://www.mendeley.com/documents/?uuid=757a3983-daf0-33cc-a876-627381700548"]},{"id":"ITEM-2","itemData":{"DOI":"10.1182/blood-2008-08-174961","ISSN":"00064971","abstract":"Recently, many new drugs have been developed for the treatment of Waldenström macroglobulinemia (WM). To optimize the treatment according to the prognosis and to facilitate the comparison of trials, we developed an International Prognostic Scoring System for WM in a series of 587 patients with clearly defined criteria for diagnosis and for initiation of treatment. The median survival after treatment initiation was 87 months. Five adverse covariates were identified: advanced age (&gt;65 years), hemoglobin less than or equal to 11.5 g/dL, platelet count less than or equal to 100 × 10 9/L, β2-microglobulin more than 3 mg/L, and serum monoclonal protein concentration more than 7.0 g/dL. Low-risk patients (27%) presented with no or 1 of the adverse characteristics and advanced age, intermediate-risk patients (38%) with 2 adverse characteristics or only advanced age, and high-risk patients (35%) with more than 2 adverse characteristics. Five-year survival rates were 87%, 68%, and 36%, respectively (P &lt; .001). The ISSWM retained its prognostic significance in subgroups defined by age, treatment with alkylating agent, and purine analog. Thus, the ISSWM may provide a means to design risk-adapted studies. However, independent validation and new biologic markers may enhance its significance. © 2009 by The American Society of Hematology.","author":[{"dropping-particle":"","family":"Morel","given":"Pierre","non-dropping-particle":"","parse-names":false,"suffix":""},{"dropping-particle":"","family":"Duhamel","given":"Alain","non-dropping-particle":"","parse-names":false,"suffix":""},{"dropping-particle":"","family":"Gobbi","given":"Paolo","non-dropping-particle":"","parse-names":false,"suffix":""},{"dropping-particle":"","family":"Dimopoulos","given":"Meletios A.","non-dropping-particle":"","parse-names":false,"suffix":""},{"dropping-particle":"V.","family":"Dhodapkar","given":"Madhav","non-dropping-particle":"","parse-names":false,"suffix":""},{"dropping-particle":"","family":"McCoy","given":"Jason","non-dropping-particle":"","parse-names":false,"suffix":""},{"dropping-particle":"","family":"Crowley","given":"John","non-dropping-particle":"","parse-names":false,"suffix":""},{"dropping-particle":"","family":"Ocio","given":"Enrique M.","non-dropping-particle":"","parse-names":false,"suffix":""},{"dropping-particle":"","family":"Garcia-Sanz","given":"Ramon","non-dropping-particle":"","parse-names":false,"suffix":""},{"dropping-particle":"","family":"Treon","given":"Steven P.","non-dropping-particle":"","parse-names":false,"suffix":""},{"dropping-particle":"","family":"Leblond","given":"Veronique","non-dropping-particle":"","parse-names":false,"suffix":""},{"dropping-particle":"","family":"Kyle","given":"Robert A.","non-dropping-particle":"","parse-names":false,"suffix":""},{"dropping-particle":"","family":"Barlogie","given":"Bart","non-dropping-particle":"","parse-names":false,"suffix":""},{"dropping-particle":"","family":"Merlini","given":"Giampaolo","non-dropping-particle":"","parse-names":false,"suffix":""}],"container-title":"Blood","id":"ITEM-2","issue":"18","issued":{"date-parts":[["2009","4","30"]]},"page":"4163-4170","title":"International prognostic scoring system for Waldenström macroglobulinemia","type":"article-journal","volume":"113"},"uris":["http://www.mendeley.com/documents/?uuid=076392d3-8e9f-3db3-9423-3f91179d60c2"]}],"mendeley":{"formattedCitation":"[6,13]","plainTextFormattedCitation":"[6,13]","previouslyFormattedCitation":"[6,13]"},"properties":{"noteIndex":0},"schema":"https://github.com/citation-style-language/schema/raw/master/csl-citation.json"}</w:instrText>
      </w:r>
      <w:r w:rsidR="00AE6DD2" w:rsidRPr="00FE2263">
        <w:fldChar w:fldCharType="separate"/>
      </w:r>
      <w:r w:rsidR="00AE6DD2" w:rsidRPr="00FE2263">
        <w:rPr>
          <w:noProof/>
        </w:rPr>
        <w:t>[6,13]</w:t>
      </w:r>
      <w:r w:rsidR="00AE6DD2" w:rsidRPr="00FE2263">
        <w:fldChar w:fldCharType="end"/>
      </w:r>
      <w:r w:rsidRPr="00FE2263">
        <w:t>.</w:t>
      </w:r>
    </w:p>
    <w:p w14:paraId="20C5B30B" w14:textId="77777777" w:rsidR="00BD78B2" w:rsidRPr="00FE2263" w:rsidRDefault="00BD78B2" w:rsidP="00AE6DD2">
      <w:pPr>
        <w:pStyle w:val="2"/>
        <w:spacing w:before="0"/>
      </w:pPr>
      <w:bookmarkStart w:id="67" w:name="_Toc33974229"/>
      <w:bookmarkStart w:id="68" w:name="_Toc66184326"/>
      <w:r w:rsidRPr="00FE2263">
        <w:rPr>
          <w:rStyle w:val="affb"/>
          <w:b/>
          <w:bCs w:val="0"/>
        </w:rPr>
        <w:t>7.2 Лечение периферической нейропатии</w:t>
      </w:r>
      <w:bookmarkEnd w:id="67"/>
      <w:bookmarkEnd w:id="68"/>
    </w:p>
    <w:p w14:paraId="5B726DF5" w14:textId="77777777" w:rsidR="00BD78B2" w:rsidRPr="00FE2263" w:rsidRDefault="00BD78B2" w:rsidP="00F817BC">
      <w:pPr>
        <w:pStyle w:val="afd"/>
        <w:spacing w:beforeAutospacing="0" w:afterAutospacing="0" w:line="360" w:lineRule="auto"/>
        <w:rPr>
          <w:rFonts w:eastAsiaTheme="minorEastAsia"/>
          <w:i/>
          <w:iCs/>
        </w:rPr>
      </w:pPr>
      <w:r w:rsidRPr="00FE2263">
        <w:rPr>
          <w:i/>
          <w:iCs/>
        </w:rPr>
        <w:t>Периферическая полинейропатия при МВ встречается с частотой от 10 до 20%. При сложности механизмов развития полинейропатии в качестве основного обсуждается иммунная активность моноклонального IgM, направленная против миелинассоциированного гликопротеина (MAG) и других антигенов нервной ткани. Поэтому периферическая полинейропатия при МВ рассматривается в большинстве случаев как IgM-ассоциированная.</w:t>
      </w:r>
    </w:p>
    <w:p w14:paraId="7C2B0A75" w14:textId="4FF7D840" w:rsidR="00BD78B2" w:rsidRPr="00FE2263" w:rsidRDefault="00AE6DD2" w:rsidP="00F817BC">
      <w:pPr>
        <w:pStyle w:val="afd"/>
        <w:spacing w:beforeAutospacing="0" w:afterAutospacing="0" w:line="360" w:lineRule="auto"/>
      </w:pPr>
      <w:r w:rsidRPr="00FE2263">
        <w:rPr>
          <w:rStyle w:val="affc"/>
        </w:rPr>
        <w:t>Д</w:t>
      </w:r>
      <w:r w:rsidR="00BD78B2" w:rsidRPr="00FE2263">
        <w:rPr>
          <w:rStyle w:val="affc"/>
        </w:rPr>
        <w:t xml:space="preserve">ля лечения IgM-ассоциированной периферической полинейропатии выполняют процедуры плазмафереза. </w:t>
      </w:r>
    </w:p>
    <w:p w14:paraId="1A3D2EE8" w14:textId="101406DB" w:rsidR="00BD78B2" w:rsidRPr="00FE2263" w:rsidRDefault="00BD78B2" w:rsidP="00AE6DD2">
      <w:pPr>
        <w:pStyle w:val="afff8"/>
        <w:spacing w:before="0"/>
      </w:pPr>
      <w:r w:rsidRPr="00FE2263">
        <w:rPr>
          <w:rStyle w:val="affb"/>
        </w:rPr>
        <w:t>Рекомендуется</w:t>
      </w:r>
      <w:r w:rsidRPr="00FE2263">
        <w:t xml:space="preserve"> при тяжелой периферической полинейропатии применять комбинации R-СP и DRC для более выраженного снижения парапротеина</w:t>
      </w:r>
      <w:r w:rsidR="00AE6DD2" w:rsidRPr="00FE2263">
        <w:t xml:space="preserve"> </w:t>
      </w:r>
      <w:r w:rsidR="00AE6DD2" w:rsidRPr="00FE2263">
        <w:fldChar w:fldCharType="begin" w:fldLock="1"/>
      </w:r>
      <w:r w:rsidR="00AE6DD2" w:rsidRPr="00FE2263">
        <w:instrText>ADDIN CSL_CITATION {"citationItems":[{"id":"ITEM-1","itemData":{"DOI":"10.1182/blood-2009-05-174359","ISSN":"00064971","abstract":"Waldenström macroglobulinemia (WM) is a distinct B-cell disorder resulting from the accumulation, predominantly in the bone marrow, of clonally related IgM-secreting lymphoplasmacytic cells. Genetic factors play an important role, with 20% of patients demonstrating a familial predisposition. Asymptomatic patients should be observed. Patients with a disease-related hemoglobin level less than 10 g/L, platelet count less than 100 × 10 9/L, bulky adenopathy or organomegaly, symptomatic hyperviscosity, peripheral neuropathy, amyloidosis, cryoglobulinemia, cold-agglutinin disease, or evidence of disease transformation should be considered for therapy. Plasmapheresis shouldbeconsidered forsymptomatic hyperviscosity and for prophylaxis in patients in whom rituximab therapy is contemplated. The use of rituximab as monotherapy or in combination with cyclophosphamide, nucleoside analog, bortezomib, or thalidomide-based regimens can be considered for the first-line therapy of WM and should take into account specific treatment goals, future autologous stem cell transplantation eligibility, and long-term risks of secondary malignancies. In the salvage setting, the reuse or use of an alternative frontline regimen can be considered as well as bortezomib, alemtuzumab, and stem cell transplantation. Newer agents, such as bendamustine and everolimus, can also be considered in the treatment of WM. © 2009 by The American Society of Hematology.","author":[{"dropping-particle":"","family":"Treon","given":"Steven P.","non-dropping-particle":"","parse-names":false,"suffix":""}],"container-title":"Blood","id":"ITEM-1","issue":"12","issued":{"date-parts":[["2009"]]},"page":"2375-2385","title":"How I treat Waldenström macroglobulinemia","type":"article","volume":"114"},"uris":["http://www.mendeley.com/documents/?uuid=4510301e-df8c-3b31-ace6-f730be6093f3"]}],"mendeley":{"formattedCitation":"[36]","plainTextFormattedCitation":"[36]","previouslyFormattedCitation":"[36]"},"properties":{"noteIndex":0},"schema":"https://github.com/citation-style-language/schema/raw/master/csl-citation.json"}</w:instrText>
      </w:r>
      <w:r w:rsidR="00AE6DD2" w:rsidRPr="00FE2263">
        <w:fldChar w:fldCharType="separate"/>
      </w:r>
      <w:r w:rsidR="00AE6DD2" w:rsidRPr="00FE2263">
        <w:rPr>
          <w:noProof/>
        </w:rPr>
        <w:t>[36]</w:t>
      </w:r>
      <w:r w:rsidR="00AE6DD2" w:rsidRPr="00FE2263">
        <w:fldChar w:fldCharType="end"/>
      </w:r>
      <w:r w:rsidRPr="00FE2263">
        <w:t>.</w:t>
      </w:r>
    </w:p>
    <w:p w14:paraId="383D2C42" w14:textId="7AB9E373" w:rsidR="00A2640D" w:rsidRPr="00FE2263" w:rsidRDefault="00A2640D" w:rsidP="00AE6DD2">
      <w:pPr>
        <w:pStyle w:val="afffa"/>
      </w:pPr>
      <w:r w:rsidRPr="00FE2263">
        <w:t xml:space="preserve">Уровень убедительности рекомендаций </w:t>
      </w:r>
      <w:r w:rsidR="005C30B2" w:rsidRPr="00FE2263">
        <w:t xml:space="preserve">С </w:t>
      </w:r>
      <w:r w:rsidRPr="00FE2263">
        <w:t xml:space="preserve">(уровень достоверности доказательств </w:t>
      </w:r>
      <w:r w:rsidR="005C30B2" w:rsidRPr="00FE2263">
        <w:t>5</w:t>
      </w:r>
      <w:r w:rsidRPr="00FE2263">
        <w:t>).</w:t>
      </w:r>
    </w:p>
    <w:p w14:paraId="1DD7BFBD" w14:textId="77777777" w:rsidR="00BD78B2" w:rsidRPr="00FE2263" w:rsidRDefault="00BD78B2" w:rsidP="00AE6DD2">
      <w:pPr>
        <w:pStyle w:val="2"/>
        <w:spacing w:before="0"/>
      </w:pPr>
      <w:bookmarkStart w:id="69" w:name="_Toc33974230"/>
      <w:bookmarkStart w:id="70" w:name="_Toc66184327"/>
      <w:r w:rsidRPr="00FE2263">
        <w:rPr>
          <w:rStyle w:val="affb"/>
          <w:b/>
          <w:bCs w:val="0"/>
        </w:rPr>
        <w:t>7.3 Ведение пациентов с синдромом гипервязкости</w:t>
      </w:r>
      <w:bookmarkEnd w:id="69"/>
      <w:bookmarkEnd w:id="70"/>
    </w:p>
    <w:p w14:paraId="78E36E61" w14:textId="47EA6746" w:rsidR="00BD78B2" w:rsidRPr="00FE2263" w:rsidRDefault="00BD78B2" w:rsidP="00AE6DD2">
      <w:pPr>
        <w:pStyle w:val="afff8"/>
        <w:spacing w:before="0"/>
        <w:rPr>
          <w:rFonts w:eastAsiaTheme="minorEastAsia"/>
        </w:rPr>
      </w:pPr>
      <w:r w:rsidRPr="00FE2263">
        <w:rPr>
          <w:rStyle w:val="affb"/>
        </w:rPr>
        <w:t>Рекомендуется</w:t>
      </w:r>
      <w:r w:rsidRPr="00FE2263">
        <w:t xml:space="preserve"> у пациентов МВ при наличии синдрома гипервязкости, криоглобулинемии лечение начинать терапию с плазмафереза для быстрого снижения уровня моноклонального белка</w:t>
      </w:r>
      <w:r w:rsidR="00AE6DD2" w:rsidRPr="00FE2263">
        <w:t xml:space="preserve"> </w:t>
      </w:r>
      <w:r w:rsidR="00AE6DD2" w:rsidRPr="00FE2263">
        <w:fldChar w:fldCharType="begin" w:fldLock="1"/>
      </w:r>
      <w:r w:rsidR="00AE6DD2" w:rsidRPr="00FE2263">
        <w:instrText>ADDIN CSL_CITATION {"citationItems":[{"id":"ITEM-1","itemData":{"DOI":"10.1182/blood-2009-05-174359","ISSN":"00064971","abstract":"Waldenström macroglobulinemia (WM) is a distinct B-cell disorder resulting from the accumulation, predominantly in the bone marrow, of clonally related IgM-secreting lymphoplasmacytic cells. Genetic factors play an important role, with 20% of patients demonstrating a familial predisposition. Asymptomatic patients should be observed. Patients with a disease-related hemoglobin level less than 10 g/L, platelet count less than 100 × 10 9/L, bulky adenopathy or organomegaly, symptomatic hyperviscosity, peripheral neuropathy, amyloidosis, cryoglobulinemia, cold-agglutinin disease, or evidence of disease transformation should be considered for therapy. Plasmapheresis shouldbeconsidered forsymptomatic hyperviscosity and for prophylaxis in patients in whom rituximab therapy is contemplated. The use of rituximab as monotherapy or in combination with cyclophosphamide, nucleoside analog, bortezomib, or thalidomide-based regimens can be considered for the first-line therapy of WM and should take into account specific treatment goals, future autologous stem cell transplantation eligibility, and long-term risks of secondary malignancies. In the salvage setting, the reuse or use of an alternative frontline regimen can be considered as well as bortezomib, alemtuzumab, and stem cell transplantation. Newer agents, such as bendamustine and everolimus, can also be considered in the treatment of WM. © 2009 by The American Society of Hematology.","author":[{"dropping-particle":"","family":"Treon","given":"Steven P.","non-dropping-particle":"","parse-names":false,"suffix":""}],"container-title":"Blood","id":"ITEM-1","issue":"12","issued":{"date-parts":[["2009"]]},"page":"2375-2385","title":"How I treat Waldenström macroglobulinemia","type":"article","volume":"114"},"uris":["http://www.mendeley.com/documents/?uuid=4510301e-df8c-3b31-ace6-f730be6093f3"]}],"mendeley":{"formattedCitation":"[36]","plainTextFormattedCitation":"[36]","previouslyFormattedCitation":"[36]"},"properties":{"noteIndex":0},"schema":"https://github.com/citation-style-language/schema/raw/master/csl-citation.json"}</w:instrText>
      </w:r>
      <w:r w:rsidR="00AE6DD2" w:rsidRPr="00FE2263">
        <w:fldChar w:fldCharType="separate"/>
      </w:r>
      <w:r w:rsidR="00AE6DD2" w:rsidRPr="00FE2263">
        <w:rPr>
          <w:noProof/>
        </w:rPr>
        <w:t>[36]</w:t>
      </w:r>
      <w:r w:rsidR="00AE6DD2" w:rsidRPr="00FE2263">
        <w:fldChar w:fldCharType="end"/>
      </w:r>
      <w:r w:rsidR="00AE6DD2" w:rsidRPr="00FE2263">
        <w:t>.</w:t>
      </w:r>
    </w:p>
    <w:p w14:paraId="480E6C55" w14:textId="111D89EC" w:rsidR="00A2640D" w:rsidRPr="00FE2263" w:rsidRDefault="00A2640D" w:rsidP="00AE6DD2">
      <w:pPr>
        <w:pStyle w:val="afffa"/>
      </w:pPr>
      <w:r w:rsidRPr="00FE2263">
        <w:t xml:space="preserve">Уровень убедительности рекомендаций С (уровень достоверности доказательств </w:t>
      </w:r>
      <w:r w:rsidR="005C30B2" w:rsidRPr="00FE2263">
        <w:t>5</w:t>
      </w:r>
      <w:r w:rsidRPr="00FE2263">
        <w:t>).</w:t>
      </w:r>
    </w:p>
    <w:p w14:paraId="6C5EE4B3" w14:textId="77777777" w:rsidR="00BD78B2" w:rsidRPr="00FE2263" w:rsidRDefault="00BD78B2" w:rsidP="00F817BC">
      <w:pPr>
        <w:pStyle w:val="afd"/>
        <w:spacing w:beforeAutospacing="0" w:afterAutospacing="0" w:line="360" w:lineRule="auto"/>
      </w:pPr>
      <w:r w:rsidRPr="00FE2263">
        <w:rPr>
          <w:rStyle w:val="affb"/>
        </w:rPr>
        <w:t>Коментарии:</w:t>
      </w:r>
      <w:r w:rsidRPr="00FE2263">
        <w:t xml:space="preserve"> </w:t>
      </w:r>
      <w:r w:rsidR="00A2640D" w:rsidRPr="00FE2263">
        <w:rPr>
          <w:rStyle w:val="affc"/>
        </w:rPr>
        <w:t xml:space="preserve">обычно </w:t>
      </w:r>
      <w:r w:rsidRPr="00FE2263">
        <w:rPr>
          <w:rStyle w:val="affc"/>
        </w:rPr>
        <w:t>выполняют 2-3 процедуры плазмафереза для снижения уровня IgM на 30-60%. После сеансов плазмафереза в ближайшее время начинают специфическое лечение, так как в течение 4-5 недель уровень парапротеина может возвратиться к исходному уровню.</w:t>
      </w:r>
    </w:p>
    <w:p w14:paraId="0F788F7B" w14:textId="77777777" w:rsidR="00BD78B2" w:rsidRPr="00FE2263" w:rsidRDefault="00BD78B2" w:rsidP="00AE6DD2">
      <w:pPr>
        <w:pStyle w:val="2"/>
        <w:spacing w:before="0"/>
      </w:pPr>
      <w:bookmarkStart w:id="71" w:name="_Toc33974231"/>
      <w:bookmarkStart w:id="72" w:name="_Toc66184328"/>
      <w:r w:rsidRPr="00FE2263">
        <w:rPr>
          <w:rStyle w:val="affb"/>
          <w:b/>
          <w:bCs w:val="0"/>
        </w:rPr>
        <w:t>7.4 Особенности сопроводительной терапии пациентов, в схему лечения которым включен препарат бортезомиб **.</w:t>
      </w:r>
      <w:bookmarkEnd w:id="71"/>
      <w:bookmarkEnd w:id="72"/>
    </w:p>
    <w:p w14:paraId="1F251D41" w14:textId="45A974E6" w:rsidR="00BD78B2" w:rsidRDefault="00BD78B2" w:rsidP="00F817BC">
      <w:pPr>
        <w:pStyle w:val="afd"/>
        <w:spacing w:beforeAutospacing="0" w:afterAutospacing="0" w:line="360" w:lineRule="auto"/>
      </w:pPr>
      <w:r w:rsidRPr="00FE2263">
        <w:t xml:space="preserve">При лечении бортезомибом** необходимо профилактическое назначение валацикловира** или ацикловира** в связи с увеличением риска развития опоясывающего герпеса, а также своевременное снижение дозы бортезомиба** при развитии полинейропатии. Кроме того, подкожное введение бортезомиба** вместо внутривенного существенно снижает частоту развития нежелательных явлений. При назначении </w:t>
      </w:r>
      <w:r w:rsidRPr="00FE2263">
        <w:lastRenderedPageBreak/>
        <w:t>бортезомиба** следует отдать предпочтение схемам с назначением бортезомиба** 1 раз в неделю, а также использовать подкожный путь введения препарата вместо внутривенного с целью снижения частоты развития тяжелой полинейропатии</w:t>
      </w:r>
      <w:r w:rsidR="00AE6DD2" w:rsidRPr="00FE2263">
        <w:t xml:space="preserve"> </w:t>
      </w:r>
      <w:r w:rsidR="00AE6DD2" w:rsidRPr="00FE2263">
        <w:fldChar w:fldCharType="begin" w:fldLock="1"/>
      </w:r>
      <w:r w:rsidR="00D2308B">
        <w:instrText>ADDIN CSL_CITATION {"citationItems":[{"id":"ITEM-1","itemData":{"author":[{"dropping-particle":"","family":"Балакирева","given":"Т.В.","non-dropping-particle":"","parse-names":false,"suffix":""},{"dropping-particle":"","family":"Андреева","given":"Н.Е.","non-dropping-particle":"","parse-names":false,"suffix":""}],"container-title":"Клиническая онкогематология. Фундаментальные исследования и клиническая практика","id":"ITEM-1","issue":"2","issued":{"date-parts":[["2009"]]},"page":"121-136","title":"Макроглобулинемия Вальденстрема","type":"article-journal","volume":"2"},"uris":["http://www.mendeley.com/documents/?uuid=a5b41185-3218-46e4-ad25-9878f84d5d1b"]},{"id":"ITEM-2","itemData":{"DOI":"10.1200/JCO.2008.20.4677","ISSN":"0732183X","abstract":"Purpose: We examined the activity of bortezomib, dexamethasone, and rituximab (BDR) in patients with symptomatic, untreated Waldenström macroglobulinemia (WM). Patients and Methods: A cycle of therapy consisted of bortezomib 1.3 mg/m2 intravenously; dexamethasone 40 mg on days 1, 4, 8, and 11; and rituximab 375 mg/m2 on day 11. Patients received four consecutive cycles for induction therapy and then four more cycles, each given 3 months apart, for maintenance therapy. Twenty-three patients received a median of seven cycles of treatment. Results: Median bone marrow disease involvement declined from 55% to 10% (P = .0004), serum immunoglobulin M levels declined from 4,830 to 1,115 mg/dL (P = .0001), and hematocrit increased from 29.8% to 38.2% (P = .0002) at best response. The overall response rates and major response rates were 96% and 83% with three complete responses, two near complete responses, three very good partial responses, 11 partial responses, and three minor responses. Responses occurred at a median of 1.4 months. With a median follow-up of 22.8 months, 18 of 23 patients remained free of disease progression. Peripheral neuropathy was the most common toxicity, and it resolved to grade ≤ 1 in 13 of 16 patients at a median of 6.0 months. Four of the first seven treated patients developed herpes zoster, resulting in the institution of prophylactic antiviral therapy. Conclusion: The results demonstrate that BDR produces rapid and durable responses, along with high rates of response and complete remissions in WM. Herpes zoster prophylaxis is necessary with BDR, and reversible peripheral neuropathy was the most common toxicity leading to premature discontinuation of bortezomib in 61% of patients. Exploration of alternative schedules for bortezomib administration that includes weekly dosing should be pursued. © 2009 by American Society of Clinical Oncology.","author":[{"dropping-particle":"","family":"Treon","given":"Steven P.","non-dropping-particle":"","parse-names":false,"suffix":""},{"dropping-particle":"","family":"Ioakimidis","given":"Leukothea","non-dropping-particle":"","parse-names":false,"suffix":""},{"dropping-particle":"","family":"Soumerai","given":"Jacob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Sheehy","given":"Patricia","non-dropping-particle":"","parse-names":false,"suffix":""},{"dropping-particle":"","family":"Nelson","given":"Marybeth","non-dropping-particle":"","parse-names":false,"suffix":""},{"dropping-particle":"","family":"Willen","given":"Michael","non-dropping-particle":"","parse-names":false,"suffix":""},{"dropping-particle":"","family":"Matous","given":"Jeffrey","non-dropping-particle":"","parse-names":false,"suffix":""},{"dropping-particle":"","family":"Mattern","given":"John","non-dropping-particle":"","parse-names":false,"suffix":""},{"dropping-particle":"","family":"Diener","given":"Jakow G.","non-dropping-particle":"","parse-names":false,"suffix":""},{"dropping-particle":"","family":"Keogh","given":"George P.","non-dropping-particle":"","parse-names":false,"suffix":""},{"dropping-particle":"","family":"Myers","given":"Thomas J.","non-dropping-particle":"","parse-names":false,"suffix":""},{"dropping-particle":"","family":"Boral","given":"Andy","non-dropping-particle":"","parse-names":false,"suffix":""},{"dropping-particle":"","family":"Birner","given":"Ann","non-dropping-particle":"","parse-names":false,"suffix":""},{"dropping-particle":"","family":"Esseltine","given":"Dixie L.","non-dropping-particle":"","parse-names":false,"suffix":""},{"dropping-particle":"","family":"Ghobrial","given":"Irene M.","non-dropping-particle":"","parse-names":false,"suffix":""}],"container-title":"Journal of Clinical Oncology","id":"ITEM-2","issue":"23","issued":{"date-parts":[["2009","8","10"]]},"page":"3830-3835","title":"Primary therapy of Waldenström macroglobulinemia with bortezomib, dexamethasone, and rituximab: WMCTG clinical trial 05-180","type":"article-journal","volume":"27"},"uris":["http://www.mendeley.com/documents/?uuid=50a2ce48-f9bf-36fc-a5ec-34724b6fbca5"]},{"id":"ITEM-3","itemData":{"DOI":"10.1200/JCO.2006.07.8659","ISSN":"0732183X","abstract":"Purpose: To evaluate the efficacy and toxicity of single-agent bortezomib in Waldenström's macroglobulinemia (WM). Patients and Methods: Symptomatic WM patients, untreated or previously treated, received bortezomib 1.3 mg/m 2 intravenously days 1, 4, 8, and 11 on a 21-day cycle until two cycles past complete response (CR), stable disease (SD) attained, progression (PD), or unacceptable toxicity. Responses were based on both paraprotein levels and bidimensional disease measurements. Results: Twenty-seven patients were enrolled. A median of six cycles (range, two to 39) of bortezomib were administered. Twenty-one patients had a decrease in immunoglobulin M (IgM) of at least 25%, with 12 patients (44%) reaching at least 50% IgM reduction. Using both IgM and bidimensional criteria, responses included seven partial responses (PRs; 26%), 19 SDs (70%), and one PD (4%). Total response rate was 26%. IgM reductions were prompt, with nodal responses lagging. Hemoglobin levels increased by at least 10 g/L in 18 patients (66%). Most nonhematologic toxicities were grade 1 to 2, but 20 patients (74%) developed new or worsening peripheral neuropathy (five patients with grade 3, no grade 4), a common cause for dose reduction. Onset of neuropathy was within two to four cycles and reversible in the majority. Hematologic toxicities included grade 3 to 4 thrombocytopenia in eight patients (29.6%) and neutropenia in five (19%). Toxicity led to treatment discontinuation in 12 patients (44%), most commonly because of neuropathy. Conclusion: Bortezomib has efficacy in WM, but neurotoxicity can be dose limiting. The slower response in nodal disease may require prolonged therapy, perhaps with a less intensive dosing schedule to avoid early discontinuation because of toxicity. Future studies of bortezomib in combination with other agents are warranted. © 2007 by American Society of Clinical Oncology.","author":[{"dropping-particle":"","family":"Chen","given":"Christine I.","non-dropping-particle":"","parse-names":false,"suffix":""},{"dropping-particle":"","family":"Kouroukis","given":"C. Tom","non-dropping-particle":"","parse-names":false,"suffix":""},{"dropping-particle":"","family":"White","given":"Darrell","non-dropping-particle":"","parse-names":false,"suffix":""},{"dropping-particle":"","family":"Voralia","given":"Michael","non-dropping-particle":"","parse-names":false,"suffix":""},{"dropping-particle":"","family":"Stadtmauer","given":"Edward","non-dropping-particle":"","parse-names":false,"suffix":""},{"dropping-particle":"","family":"Stewart","given":"A. Keith","non-dropping-particle":"","parse-names":false,"suffix":""},{"dropping-particle":"","family":"Wright","given":"John J.","non-dropping-particle":"","parse-names":false,"suffix":""},{"dropping-particle":"","family":"Powers","given":"Jean","non-dropping-particle":"","parse-names":false,"suffix":""},{"dropping-particle":"","family":"Walsh","given":"Wendy","non-dropping-particle":"","parse-names":false,"suffix":""},{"dropping-particle":"","family":"Eisenhauer","given":"Elizabeth","non-dropping-particle":"","parse-names":false,"suffix":""}],"container-title":"Journal of Clinical Oncology","id":"ITEM-3","issue":"12","issued":{"date-parts":[["2007","4","20"]]},"page":"1570-1575","title":"Bortezomib is active in patients with untreated or relapsed Waldenström's macroglobulinemia: A phase II study of the National Cancer Institute of Canada Clinical Trials Group","type":"article-journal","volume":"25"},"uris":["http://www.mendeley.com/documents/?uuid=41c8fa70-c352-3681-b30b-ca4edd157b43"]}],"mendeley":{"formattedCitation":"[3,19,24]","plainTextFormattedCitation":"[3,19,24]","previouslyFormattedCitation":"[3,19,24]"},"properties":{"noteIndex":0},"schema":"https://github.com/citation-style-language/schema/raw/master/csl-citation.json"}</w:instrText>
      </w:r>
      <w:r w:rsidR="00AE6DD2" w:rsidRPr="00FE2263">
        <w:fldChar w:fldCharType="separate"/>
      </w:r>
      <w:r w:rsidR="00AE6DD2" w:rsidRPr="00FE2263">
        <w:rPr>
          <w:noProof/>
        </w:rPr>
        <w:t>[3,19,24]</w:t>
      </w:r>
      <w:r w:rsidR="00AE6DD2" w:rsidRPr="00FE2263">
        <w:fldChar w:fldCharType="end"/>
      </w:r>
      <w:r w:rsidRPr="00FE2263">
        <w:t>.</w:t>
      </w:r>
    </w:p>
    <w:p w14:paraId="2C59ECEC" w14:textId="77777777" w:rsidR="0090571C" w:rsidRPr="00FE2263" w:rsidRDefault="0090571C" w:rsidP="00F817BC">
      <w:pPr>
        <w:pStyle w:val="afd"/>
        <w:spacing w:beforeAutospacing="0" w:afterAutospacing="0" w:line="360" w:lineRule="auto"/>
      </w:pPr>
    </w:p>
    <w:p w14:paraId="6DE00999" w14:textId="77777777" w:rsidR="00B16138" w:rsidRPr="00FE2263" w:rsidRDefault="00B16138" w:rsidP="00AE6DD2">
      <w:pPr>
        <w:pStyle w:val="2"/>
        <w:spacing w:before="0"/>
        <w:rPr>
          <w:rStyle w:val="affb"/>
          <w:b/>
          <w:bCs w:val="0"/>
        </w:rPr>
      </w:pPr>
      <w:bookmarkStart w:id="73" w:name="_Toc66184329"/>
      <w:r w:rsidRPr="00FE2263">
        <w:rPr>
          <w:rStyle w:val="affb"/>
          <w:b/>
          <w:bCs w:val="0"/>
        </w:rPr>
        <w:t>7.5 Оценка эффективности лечения.</w:t>
      </w:r>
      <w:bookmarkEnd w:id="73"/>
    </w:p>
    <w:p w14:paraId="46DD1B42" w14:textId="77777777" w:rsidR="00B16138" w:rsidRPr="00FE2263" w:rsidRDefault="00B16138" w:rsidP="00F817BC">
      <w:pPr>
        <w:pStyle w:val="afd"/>
        <w:spacing w:beforeAutospacing="0" w:afterAutospacing="0" w:line="360" w:lineRule="auto"/>
        <w:rPr>
          <w:rFonts w:eastAsiaTheme="minorEastAsia"/>
        </w:rPr>
      </w:pPr>
      <w:r w:rsidRPr="00FE2263">
        <w:t>Оценка эффективности лечения МB проводится согласно международным критериям, предложенным на 6 международном рабочем совещании по МВ, по изменению уровня моноклонального IgM в сыворотке крови и моче, динамике размеров лимфоузлов и пораженных органов. При ПР необходимо выполнение стернальной пункции и трепанобиопсии подвздошной кости.</w:t>
      </w:r>
    </w:p>
    <w:p w14:paraId="2B6B8360" w14:textId="77777777" w:rsidR="00B16138" w:rsidRPr="00FE2263" w:rsidRDefault="00B16138" w:rsidP="00F817BC">
      <w:pPr>
        <w:pStyle w:val="afd"/>
        <w:spacing w:beforeAutospacing="0" w:afterAutospacing="0" w:line="360" w:lineRule="auto"/>
      </w:pPr>
      <w:r w:rsidRPr="00FE2263">
        <w:rPr>
          <w:rStyle w:val="affc"/>
        </w:rPr>
        <w:t>Полная ремиссия (ПР)</w:t>
      </w:r>
      <w:r w:rsidRPr="00FE2263">
        <w:t>: нормальный уровень IgM, отсутствие моноклонального белка в сыворотке крови и моче по данным иммунофиксации; отсутствие инфильтрации костного мозга по данным гистологического исследования, отсутствие лимфоаденопатии и органомегалии (если определялись исходно) по данным КТ, отсутствие симптомов МВ. Для подтверждения ПР необходимо повторное исследование М-градиента методом иммунофиксации.</w:t>
      </w:r>
    </w:p>
    <w:p w14:paraId="569BCFE4" w14:textId="77777777" w:rsidR="00B16138" w:rsidRPr="00FE2263" w:rsidRDefault="00B16138" w:rsidP="0070759B">
      <w:pPr>
        <w:pStyle w:val="afd"/>
        <w:spacing w:beforeAutospacing="0" w:afterAutospacing="0" w:line="360" w:lineRule="auto"/>
      </w:pPr>
      <w:r w:rsidRPr="00FE2263">
        <w:rPr>
          <w:rStyle w:val="affc"/>
        </w:rPr>
        <w:t>Очень хорошая частичная ремиссия (ОХЧР)</w:t>
      </w:r>
      <w:r w:rsidRPr="00FE2263">
        <w:t>: снижение уровня моноклонального IgM сыворотки крови на 90% и более и уменьшение размеров лимфоаденопатии/органомегалии (если определялись исходно), по данным физикального обследования или КТ. Отсутствие новых симптомов активной МВ.</w:t>
      </w:r>
    </w:p>
    <w:p w14:paraId="32834BC0" w14:textId="77777777" w:rsidR="00B16138" w:rsidRPr="00FE2263" w:rsidRDefault="00B16138" w:rsidP="0070759B">
      <w:pPr>
        <w:pStyle w:val="afd"/>
        <w:spacing w:beforeAutospacing="0" w:afterAutospacing="0" w:line="360" w:lineRule="auto"/>
      </w:pPr>
      <w:r w:rsidRPr="00FE2263">
        <w:rPr>
          <w:rStyle w:val="affc"/>
        </w:rPr>
        <w:t>Частичная ремиссия (ЧР)</w:t>
      </w:r>
      <w:r w:rsidRPr="00FE2263">
        <w:t>: снижение уровня моноклонального IgM сыворотки крови на 50% и более и уменьшение размеров лимфоаденопатии/органомегалии (если определялись исходно), по данным физикального обследования или КТ. Отсутствие новых симптомов активной МВ.</w:t>
      </w:r>
    </w:p>
    <w:p w14:paraId="71FDCA22" w14:textId="77777777" w:rsidR="00B16138" w:rsidRPr="00FE2263" w:rsidRDefault="00B16138" w:rsidP="0070759B">
      <w:pPr>
        <w:pStyle w:val="afd"/>
        <w:spacing w:beforeAutospacing="0" w:afterAutospacing="0" w:line="360" w:lineRule="auto"/>
      </w:pPr>
      <w:r w:rsidRPr="00FE2263">
        <w:rPr>
          <w:rStyle w:val="affc"/>
        </w:rPr>
        <w:t>Минимальный ответ</w:t>
      </w:r>
      <w:r w:rsidRPr="00FE2263">
        <w:t>: снижение уровня моноклонального IgM сыворотки крови на 25% и более, но менее 50% Отсутствие новых симптомов активной МВ.</w:t>
      </w:r>
    </w:p>
    <w:p w14:paraId="30405BD6" w14:textId="77777777" w:rsidR="00B16138" w:rsidRPr="00FE2263" w:rsidRDefault="00B16138" w:rsidP="0070759B">
      <w:pPr>
        <w:pStyle w:val="afd"/>
        <w:spacing w:beforeAutospacing="0" w:afterAutospacing="0" w:line="360" w:lineRule="auto"/>
      </w:pPr>
      <w:r w:rsidRPr="00FE2263">
        <w:rPr>
          <w:rStyle w:val="affc"/>
        </w:rPr>
        <w:t>Стабилизация (Ст)</w:t>
      </w:r>
      <w:r w:rsidRPr="00FE2263">
        <w:t>: снижение менее 25% или увеличение менее 25% уровня моноклонального IgM сыворотки крови менее 25% без признаков нарастания лимфоаденопатии/органомегалии, цитопений или клинически значимых симптомов, связанных с МВ.</w:t>
      </w:r>
    </w:p>
    <w:p w14:paraId="300FE05C" w14:textId="4CCF0183" w:rsidR="00B16138" w:rsidRDefault="00B16138" w:rsidP="0070759B">
      <w:pPr>
        <w:pStyle w:val="afd"/>
        <w:spacing w:beforeAutospacing="0" w:afterAutospacing="0" w:line="360" w:lineRule="auto"/>
      </w:pPr>
      <w:r w:rsidRPr="00FE2263">
        <w:rPr>
          <w:rStyle w:val="affc"/>
        </w:rPr>
        <w:t>Прогрессия заболевания (ПЗ)</w:t>
      </w:r>
      <w:r w:rsidRPr="00FE2263">
        <w:t xml:space="preserve">: увеличение уровня моноклонального IgM сыворотки крови на 25% и более при повторном исследовании или прогрессирование клинически значимых симптомов болезни (необъяснимая лихорадка 38,4 C, ночная потливость, потеря </w:t>
      </w:r>
      <w:r w:rsidRPr="00FE2263">
        <w:lastRenderedPageBreak/>
        <w:t>веса тела на 10% и более или синдром гипервязкости, нейропатия, симптоматическая криоглобулинемия или амилоидоз), связанные с МВ.</w:t>
      </w:r>
    </w:p>
    <w:p w14:paraId="3C79D68E" w14:textId="74ED3A46" w:rsidR="0090571C" w:rsidRDefault="0090571C" w:rsidP="0070759B">
      <w:pPr>
        <w:pStyle w:val="afd"/>
        <w:spacing w:beforeAutospacing="0" w:afterAutospacing="0" w:line="360" w:lineRule="auto"/>
      </w:pPr>
    </w:p>
    <w:p w14:paraId="2D9A9C8C" w14:textId="5DB2EB66" w:rsidR="00972DD8" w:rsidRDefault="0090571C" w:rsidP="00972DD8">
      <w:pPr>
        <w:pStyle w:val="2"/>
        <w:spacing w:before="0"/>
      </w:pPr>
      <w:bookmarkStart w:id="74" w:name="_Toc66184330"/>
      <w:r w:rsidRPr="00FE2263">
        <w:rPr>
          <w:rStyle w:val="affb"/>
          <w:b/>
          <w:bCs w:val="0"/>
        </w:rPr>
        <w:t>7.</w:t>
      </w:r>
      <w:r>
        <w:rPr>
          <w:rStyle w:val="affb"/>
          <w:b/>
          <w:bCs w:val="0"/>
        </w:rPr>
        <w:t xml:space="preserve">6 </w:t>
      </w:r>
      <w:bookmarkStart w:id="75" w:name="_Toc64295957"/>
      <w:bookmarkStart w:id="76" w:name="_Toc64479345"/>
      <w:bookmarkStart w:id="77" w:name="_Toc24572135"/>
      <w:r w:rsidR="00972DD8">
        <w:t>Профилактика, диагностика и лечение тромботических осложнений</w:t>
      </w:r>
      <w:bookmarkEnd w:id="74"/>
      <w:bookmarkEnd w:id="75"/>
      <w:bookmarkEnd w:id="76"/>
    </w:p>
    <w:p w14:paraId="1F7477EF" w14:textId="28312E43" w:rsidR="00972DD8" w:rsidRDefault="00972DD8" w:rsidP="00972DD8">
      <w:pPr>
        <w:rPr>
          <w:rFonts w:eastAsia="Times New Roman"/>
          <w:szCs w:val="24"/>
          <w:lang w:eastAsia="ru-RU"/>
        </w:rPr>
      </w:pPr>
      <w:r>
        <w:rPr>
          <w:szCs w:val="24"/>
          <w:lang w:eastAsia="ru-RU"/>
        </w:rPr>
        <w:t>При гематологических заболеваниях, как первично, так и в процессе их лечения часто возникают тромботические осложнения, требующие профилактики и терапии. Частота тромботических нарушений при опухолях системы крови различна, проведение химиотерапии (ХТ) увеличивает частоту тромботических осложнений практически в 2 раза с 2.21% до 4.24% относительно исходного уровня</w:t>
      </w:r>
      <w:r w:rsidRPr="002470CB">
        <w:rPr>
          <w:szCs w:val="24"/>
          <w:lang w:eastAsia="ru-RU"/>
        </w:rPr>
        <w:t xml:space="preserve"> </w:t>
      </w:r>
      <w:r>
        <w:rPr>
          <w:szCs w:val="24"/>
          <w:lang w:eastAsia="ru-RU"/>
        </w:rPr>
        <w:fldChar w:fldCharType="begin" w:fldLock="1"/>
      </w:r>
      <w:r w:rsidR="004C3BA5">
        <w:rPr>
          <w:szCs w:val="24"/>
          <w:lang w:eastAsia="ru-RU"/>
        </w:rPr>
        <w:instrText>ADDIN CSL_CITATION {"citationItems":[{"id":"ITEM-1","itemData":{"DOI":"10.1016/j.critrevonc.2018.02.003","ISSN":"18790461","PMID":"29548485","abstract":"Venous Thromboembolism (VTE) frequently complicates the course of hematologic malignancies (HM) and its incidence is similar to that observed in high-risk solid tumors. Despite that, pharmacologic prophylaxis and treatment of VTE in patients with HM is challenging, mainly because a severe thrombocytopenia frequently complicates the course of treatments or may be present since diagnosis, thus increasing the risk of bleeding. Therefore, in this setting, safe and effective methods of VTE prophylaxis and treatment have not been well defined and hematologists generally refer to guidelines produced for cancer patients that give indications on anticoagulation in patients with thrombocytopenia. In this review, besides to summarize the incidence and the available data on prophylaxis and treatment of VTE in HM, we give some advices on how to use antithrombotic drugs in patients with HM according to platelets count.","author":[{"dropping-particle":"","family":"Annibali","given":"Ombretta","non-dropping-particle":"","parse-names":false,"suffix":""},{"dropping-particle":"","family":"Napolitano","given":"Mariasanta","non-dropping-particle":"","parse-names":false,"suffix":""},{"dropping-particle":"","family":"Avvisati","given":"Giuseppe","non-dropping-particle":"","parse-names":false,"suffix":""},{"dropping-particle":"","family":"Siragusa","given":"Sergio","non-dropping-particle":"","parse-names":false,"suffix":""}],"container-title":"Critical Reviews in Oncology/Hematology","id":"ITEM-1","issued":{"date-parts":[["2018","4","1"]]},"page":"41-50","publisher":"Elsevier Ireland Ltd","title":"Incidence of venous thromboembolism and use of anticoagulation in hematological malignancies: Critical review of the literature","type":"article","volume":"124"},"uris":["http://www.mendeley.com/documents/?uuid=22f80e37-ad15-39e0-a4bd-123ad1adb983"]},{"id":"ITEM-2","itemData":{"DOI":"10.1097/CCO.0b013e3283592331","ISSN":"10408746","PMID":"23014188","abstract":"Purpose of Review: This review summarizes the current knowledge of the epidemiology, prophylaxis, and treatment of venous thromboembolism (VTE) in patients with lymphoma, multiple myeloma or acute leukemia. Recent Findings: Hematologic malignancies are associated with a high risk of thrombotic complications. The incidence of these events is greatly variable and is influenced by many factors, including the type and the stage of disease, antitumor therapies, and the use of central venous device (CVD). Epidemiological data allow an estimate of the incidence of VTE in acute leukemia, lymphomas, and multiple myeloma. The effect of chemotherapy on the incidence of thrombosis is particularly evident in acute leukemia as it causes the exacerbation of the clotting/bleeding syndrome typical of this disease. The role of chemotherapy is also relevant in lymphoma, and in multiple myeloma, in which the use of immunomodulating agents, in combination with chemotherapy and steroids significantly increases the risk of VTE. Summary: Thrombotic complications have a significant impact on morbidity and mortality of hematological cancer patients, therefore, in this setting, the issue of thromboprophylaxis to prevent VTE is important. However, no clear recommendation in these conditions is available, with the exception of multiple myeloma. Large prospective randomized clinical trials are needed to establish the best practice for prevention and treatment of VTE in these types of malignant diseases. © 2012 Wolters Kluwer Health | Lippincott Williams &amp; Wilkins.","author":[{"dropping-particle":"","family":"Falanga","given":"Anna","non-dropping-particle":"","parse-names":false,"suffix":""},{"dropping-particle":"","family":"Marchetti","given":"Marina","non-dropping-particle":"","parse-names":false,"suffix":""},{"dropping-particle":"","family":"Russo","given":"Laura","non-dropping-particle":"","parse-names":false,"suffix":""}],"container-title":"Current Opinion in Oncology","id":"ITEM-2","issue":"6","issued":{"date-parts":[["2012","11"]]},"page":"702-710","publisher":"Curr Opin Oncol","title":"Venous thromboembolism in the hematologic malignancies","type":"article","volume":"24"},"uris":["http://www.mendeley.com/documents/?uuid=59d797ff-66d3-3605-b564-548d92885ee6"]}],"mendeley":{"formattedCitation":"[37,38]","plainTextFormattedCitation":"[37,38]","previouslyFormattedCitation":"[37,38]"},"properties":{"noteIndex":0},"schema":"https://github.com/citation-style-language/schema/raw/master/csl-citation.json"}</w:instrText>
      </w:r>
      <w:r>
        <w:rPr>
          <w:szCs w:val="24"/>
          <w:lang w:eastAsia="ru-RU"/>
        </w:rPr>
        <w:fldChar w:fldCharType="separate"/>
      </w:r>
      <w:r w:rsidR="00D2308B" w:rsidRPr="00D2308B">
        <w:rPr>
          <w:noProof/>
          <w:szCs w:val="24"/>
          <w:lang w:eastAsia="ru-RU"/>
        </w:rPr>
        <w:t>[37,38]</w:t>
      </w:r>
      <w:r>
        <w:rPr>
          <w:szCs w:val="24"/>
          <w:lang w:eastAsia="ru-RU"/>
        </w:rPr>
        <w:fldChar w:fldCharType="end"/>
      </w:r>
      <w:r>
        <w:rPr>
          <w:szCs w:val="24"/>
          <w:lang w:eastAsia="ru-RU"/>
        </w:rPr>
        <w:t xml:space="preserve">. </w:t>
      </w:r>
      <w:r>
        <w:rPr>
          <w:rFonts w:eastAsia="Times New Roman"/>
          <w:szCs w:val="24"/>
          <w:lang w:eastAsia="ru-RU"/>
        </w:rPr>
        <w:t xml:space="preserve">Причинами тромбозов у пациентов онкогематологическими заболеваниями, в частности с лимфомами, могут быть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[39]","plainTextFormattedCitation":"[39]","previouslyFormattedCitation":"[39]"},"properties":{"noteIndex":0},"schema":"https://github.com/citation-style-language/schema/raw/master/csl-citation.json"}</w:instrText>
      </w:r>
      <w:r>
        <w:fldChar w:fldCharType="separate"/>
      </w:r>
      <w:r w:rsidR="00D2308B" w:rsidRPr="00D2308B">
        <w:rPr>
          <w:noProof/>
        </w:rPr>
        <w:t>[39]</w:t>
      </w:r>
      <w:r>
        <w:fldChar w:fldCharType="end"/>
      </w:r>
      <w:r>
        <w:rPr>
          <w:rFonts w:eastAsia="Times New Roman"/>
          <w:szCs w:val="24"/>
          <w:lang w:eastAsia="ru-RU"/>
        </w:rPr>
        <w:t>:</w:t>
      </w:r>
    </w:p>
    <w:p w14:paraId="5229D3D4" w14:textId="77777777" w:rsidR="00972DD8" w:rsidRPr="00F62DEE" w:rsidRDefault="00972DD8" w:rsidP="0010608C">
      <w:pPr>
        <w:numPr>
          <w:ilvl w:val="0"/>
          <w:numId w:val="30"/>
        </w:numPr>
        <w:rPr>
          <w:rFonts w:eastAsia="Times New Roman"/>
          <w:szCs w:val="24"/>
          <w:lang w:eastAsia="ru-RU"/>
        </w:rPr>
      </w:pPr>
      <w:r w:rsidRPr="00E5560E">
        <w:rPr>
          <w:rFonts w:eastAsia="Times New Roman"/>
          <w:szCs w:val="24"/>
          <w:lang w:eastAsia="ru-RU"/>
        </w:rPr>
        <w:t>механические факторы (сдавление опухолью кровеносного сосуда, центральный или периферический венозные катетеры, нарушение целостности эндотелия некоторыми химиопрепаратами и др.);</w:t>
      </w:r>
    </w:p>
    <w:p w14:paraId="29B05B36" w14:textId="77777777" w:rsidR="00972DD8" w:rsidRPr="00F62DEE" w:rsidRDefault="00972DD8" w:rsidP="0010608C">
      <w:pPr>
        <w:numPr>
          <w:ilvl w:val="0"/>
          <w:numId w:val="30"/>
        </w:numPr>
        <w:rPr>
          <w:rFonts w:eastAsia="Times New Roman"/>
          <w:szCs w:val="24"/>
          <w:lang w:eastAsia="ru-RU"/>
        </w:rPr>
      </w:pPr>
      <w:r w:rsidRPr="00E5560E">
        <w:rPr>
          <w:rFonts w:eastAsia="Times New Roman"/>
          <w:szCs w:val="24"/>
          <w:lang w:eastAsia="ru-RU"/>
        </w:rPr>
        <w:t>коагулогические факторы (повышение или снижение активности факторов свертывания крови, повышение агрегационных свойств тромбоцитов и гипертромбоцитоз);</w:t>
      </w:r>
    </w:p>
    <w:p w14:paraId="6DA7EF5F" w14:textId="77777777" w:rsidR="00972DD8" w:rsidRPr="00F62DEE" w:rsidRDefault="00972DD8" w:rsidP="0010608C">
      <w:pPr>
        <w:numPr>
          <w:ilvl w:val="0"/>
          <w:numId w:val="30"/>
        </w:numPr>
        <w:rPr>
          <w:rFonts w:eastAsia="Times New Roman"/>
          <w:szCs w:val="24"/>
          <w:lang w:eastAsia="ru-RU"/>
        </w:rPr>
      </w:pPr>
      <w:r w:rsidRPr="00E5560E">
        <w:rPr>
          <w:rFonts w:eastAsia="Times New Roman"/>
          <w:szCs w:val="24"/>
          <w:lang w:eastAsia="ru-RU"/>
        </w:rPr>
        <w:t xml:space="preserve">реологические факторы (в том числе за счет гиперлейкоцитоза, эритроцитоза, гипертромбоцитоза); </w:t>
      </w:r>
    </w:p>
    <w:p w14:paraId="5E96F7A9" w14:textId="77777777" w:rsidR="00972DD8" w:rsidRPr="00F62DEE" w:rsidRDefault="00972DD8" w:rsidP="0010608C">
      <w:pPr>
        <w:numPr>
          <w:ilvl w:val="0"/>
          <w:numId w:val="30"/>
        </w:numPr>
        <w:rPr>
          <w:rFonts w:eastAsia="Times New Roman"/>
          <w:szCs w:val="24"/>
          <w:lang w:eastAsia="ru-RU"/>
        </w:rPr>
      </w:pPr>
      <w:r w:rsidRPr="00E5560E">
        <w:rPr>
          <w:rFonts w:eastAsia="Times New Roman"/>
          <w:szCs w:val="24"/>
          <w:lang w:eastAsia="ru-RU"/>
        </w:rPr>
        <w:t>химиолучевая терапия.</w:t>
      </w:r>
    </w:p>
    <w:p w14:paraId="60A7FAD0" w14:textId="77777777" w:rsidR="00972DD8" w:rsidRDefault="00972DD8" w:rsidP="00972DD8">
      <w:pPr>
        <w:rPr>
          <w:rFonts w:eastAsia="Times New Roman"/>
          <w:szCs w:val="24"/>
          <w:lang w:eastAsia="ru-RU"/>
        </w:rPr>
      </w:pPr>
      <w:r>
        <w:rPr>
          <w:rFonts w:eastAsia="Times New Roman"/>
          <w:szCs w:val="24"/>
          <w:lang w:eastAsia="ru-RU"/>
        </w:rPr>
        <w:t>Эти факторы часто сочетаются друг с другом.</w:t>
      </w:r>
    </w:p>
    <w:p w14:paraId="274DF766" w14:textId="77777777" w:rsidR="00972DD8" w:rsidRDefault="00972DD8" w:rsidP="00972DD8">
      <w:pPr>
        <w:ind w:firstLine="567"/>
        <w:rPr>
          <w:rFonts w:eastAsia="Times New Roman"/>
          <w:szCs w:val="24"/>
          <w:lang w:eastAsia="ru-RU"/>
        </w:rPr>
      </w:pPr>
    </w:p>
    <w:p w14:paraId="7518C4DD" w14:textId="77777777" w:rsidR="00972DD8" w:rsidRPr="00E5560E" w:rsidRDefault="00972DD8" w:rsidP="00972DD8">
      <w:pPr>
        <w:rPr>
          <w:rFonts w:eastAsia="Times New Roman"/>
          <w:i/>
          <w:iCs/>
          <w:szCs w:val="24"/>
          <w:u w:val="single"/>
          <w:lang w:eastAsia="ru-RU"/>
        </w:rPr>
      </w:pPr>
      <w:r w:rsidRPr="00E5560E">
        <w:rPr>
          <w:rFonts w:eastAsia="Times New Roman"/>
          <w:i/>
          <w:iCs/>
          <w:szCs w:val="24"/>
          <w:u w:val="single"/>
          <w:lang w:eastAsia="ru-RU"/>
        </w:rPr>
        <w:t>Клинические проявления тромботических осложнений.</w:t>
      </w:r>
    </w:p>
    <w:p w14:paraId="5245570F" w14:textId="77777777" w:rsidR="00972DD8" w:rsidRDefault="00972DD8" w:rsidP="00972DD8">
      <w:pPr>
        <w:rPr>
          <w:rFonts w:eastAsia="Times New Roman"/>
          <w:szCs w:val="24"/>
          <w:lang w:eastAsia="ru-RU"/>
        </w:rPr>
      </w:pPr>
      <w:r>
        <w:rPr>
          <w:rFonts w:eastAsia="Times New Roman"/>
          <w:szCs w:val="24"/>
          <w:lang w:eastAsia="ru-RU"/>
        </w:rPr>
        <w:t xml:space="preserve">Тромботические осложнения имеют гетерогенные проявления и подтверждаются различными лабораторными (коагулологическими, молекулярно-генетическими, биохимическими, цитологическими) и инструментальными методами. </w:t>
      </w:r>
    </w:p>
    <w:p w14:paraId="4929AF31" w14:textId="4EAC2666" w:rsidR="00972DD8" w:rsidRDefault="00972DD8" w:rsidP="00972DD8">
      <w:pPr>
        <w:rPr>
          <w:rFonts w:eastAsia="Times New Roman"/>
          <w:szCs w:val="24"/>
          <w:lang w:eastAsia="ru-RU"/>
        </w:rPr>
      </w:pPr>
      <w:r>
        <w:rPr>
          <w:rFonts w:eastAsia="Times New Roman"/>
          <w:szCs w:val="24"/>
          <w:lang w:eastAsia="ru-RU"/>
        </w:rPr>
        <w:t xml:space="preserve">Для тромбозов характерны следующие признаки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fldChar w:fldCharType="separate"/>
      </w:r>
      <w:r w:rsidR="00D2308B" w:rsidRPr="00D2308B">
        <w:rPr>
          <w:noProof/>
        </w:rPr>
        <w:t>[39,40]</w:t>
      </w:r>
      <w:r>
        <w:fldChar w:fldCharType="end"/>
      </w:r>
      <w:r>
        <w:rPr>
          <w:rFonts w:eastAsia="Times New Roman"/>
          <w:szCs w:val="24"/>
          <w:lang w:eastAsia="ru-RU"/>
        </w:rPr>
        <w:t xml:space="preserve">: </w:t>
      </w:r>
    </w:p>
    <w:p w14:paraId="5F32D559" w14:textId="77777777" w:rsidR="00972DD8" w:rsidRDefault="00972DD8" w:rsidP="0010608C">
      <w:pPr>
        <w:numPr>
          <w:ilvl w:val="0"/>
          <w:numId w:val="33"/>
        </w:numPr>
        <w:rPr>
          <w:rFonts w:eastAsia="Times New Roman"/>
          <w:szCs w:val="24"/>
          <w:lang w:eastAsia="ru-RU"/>
        </w:rPr>
      </w:pPr>
      <w:r>
        <w:rPr>
          <w:rFonts w:eastAsia="Times New Roman"/>
          <w:szCs w:val="24"/>
          <w:lang w:eastAsia="ru-RU"/>
        </w:rPr>
        <w:t>отек на месте тромбоза (венозный тромбоз);</w:t>
      </w:r>
    </w:p>
    <w:p w14:paraId="3C2F9C69" w14:textId="77777777" w:rsidR="00972DD8" w:rsidRDefault="00972DD8" w:rsidP="0010608C">
      <w:pPr>
        <w:numPr>
          <w:ilvl w:val="0"/>
          <w:numId w:val="33"/>
        </w:numPr>
        <w:rPr>
          <w:rFonts w:eastAsia="Times New Roman"/>
          <w:szCs w:val="24"/>
          <w:lang w:eastAsia="ru-RU"/>
        </w:rPr>
      </w:pPr>
      <w:r>
        <w:rPr>
          <w:rFonts w:eastAsia="Times New Roman"/>
          <w:szCs w:val="24"/>
          <w:lang w:eastAsia="ru-RU"/>
        </w:rPr>
        <w:t>умеренные болевые ощущения - чувство распирания, постоянные локальные боли (венозные и артериальные тромбозы);</w:t>
      </w:r>
    </w:p>
    <w:p w14:paraId="09904343" w14:textId="77777777" w:rsidR="00972DD8" w:rsidRDefault="00972DD8" w:rsidP="0010608C">
      <w:pPr>
        <w:numPr>
          <w:ilvl w:val="0"/>
          <w:numId w:val="33"/>
        </w:numPr>
        <w:rPr>
          <w:rFonts w:eastAsia="Times New Roman"/>
          <w:szCs w:val="24"/>
          <w:lang w:eastAsia="ru-RU"/>
        </w:rPr>
      </w:pPr>
      <w:r>
        <w:rPr>
          <w:rFonts w:eastAsia="Times New Roman"/>
          <w:szCs w:val="24"/>
          <w:lang w:eastAsia="ru-RU"/>
        </w:rPr>
        <w:t xml:space="preserve">повышение кожной температуры непосредственно в области тромбоза (венозные тромбозы); </w:t>
      </w:r>
    </w:p>
    <w:p w14:paraId="7E711004" w14:textId="77777777" w:rsidR="00972DD8" w:rsidRDefault="00972DD8" w:rsidP="0010608C">
      <w:pPr>
        <w:numPr>
          <w:ilvl w:val="0"/>
          <w:numId w:val="33"/>
        </w:numPr>
        <w:rPr>
          <w:rFonts w:eastAsia="Times New Roman"/>
          <w:szCs w:val="24"/>
          <w:lang w:eastAsia="ru-RU"/>
        </w:rPr>
      </w:pPr>
      <w:r>
        <w:rPr>
          <w:rFonts w:eastAsia="Times New Roman"/>
          <w:szCs w:val="24"/>
          <w:lang w:eastAsia="ru-RU"/>
        </w:rPr>
        <w:t>резкая болезненность, цианоз (синюшность), снижение температуры в области тромбообразования и прилежащих тканях (артериальные тромбозы);</w:t>
      </w:r>
    </w:p>
    <w:p w14:paraId="52806FE0" w14:textId="77777777" w:rsidR="00972DD8" w:rsidRDefault="00972DD8" w:rsidP="0010608C">
      <w:pPr>
        <w:numPr>
          <w:ilvl w:val="0"/>
          <w:numId w:val="33"/>
        </w:numPr>
        <w:rPr>
          <w:rFonts w:eastAsia="Times New Roman"/>
          <w:szCs w:val="24"/>
          <w:lang w:eastAsia="ru-RU"/>
        </w:rPr>
      </w:pPr>
      <w:r>
        <w:rPr>
          <w:rFonts w:eastAsia="Times New Roman"/>
          <w:szCs w:val="24"/>
          <w:lang w:eastAsia="ru-RU"/>
        </w:rPr>
        <w:t>перемежающаяся хромота (артериальные тромбозы);</w:t>
      </w:r>
    </w:p>
    <w:p w14:paraId="2450B91F" w14:textId="77777777" w:rsidR="00972DD8" w:rsidRDefault="00972DD8" w:rsidP="0010608C">
      <w:pPr>
        <w:numPr>
          <w:ilvl w:val="0"/>
          <w:numId w:val="33"/>
        </w:numPr>
        <w:rPr>
          <w:rFonts w:eastAsia="Times New Roman"/>
          <w:szCs w:val="24"/>
          <w:lang w:eastAsia="ru-RU"/>
        </w:rPr>
      </w:pPr>
      <w:r>
        <w:rPr>
          <w:rFonts w:eastAsia="Times New Roman"/>
          <w:szCs w:val="24"/>
          <w:lang w:eastAsia="ru-RU"/>
        </w:rPr>
        <w:t>при незначительных неокклюзирующих венозных и артериальных тромбозах клинические проявления могут быть минимальными или отсутствовать;</w:t>
      </w:r>
    </w:p>
    <w:p w14:paraId="47DA9E72" w14:textId="77777777" w:rsidR="00972DD8" w:rsidRDefault="00972DD8" w:rsidP="0010608C">
      <w:pPr>
        <w:numPr>
          <w:ilvl w:val="0"/>
          <w:numId w:val="33"/>
        </w:numPr>
        <w:rPr>
          <w:rFonts w:eastAsia="Times New Roman"/>
          <w:szCs w:val="24"/>
          <w:lang w:eastAsia="ru-RU"/>
        </w:rPr>
      </w:pPr>
      <w:r>
        <w:rPr>
          <w:rFonts w:eastAsia="Times New Roman"/>
          <w:szCs w:val="24"/>
          <w:lang w:eastAsia="ru-RU"/>
        </w:rPr>
        <w:t>головные боли, неврологическая симптоматика, нарушение сознания (признаки ишемического инсульта).</w:t>
      </w:r>
    </w:p>
    <w:p w14:paraId="28FD607E" w14:textId="77777777" w:rsidR="00972DD8" w:rsidRDefault="00972DD8" w:rsidP="0010608C">
      <w:pPr>
        <w:numPr>
          <w:ilvl w:val="0"/>
          <w:numId w:val="33"/>
        </w:numPr>
        <w:rPr>
          <w:rFonts w:eastAsia="Times New Roman"/>
          <w:szCs w:val="24"/>
          <w:lang w:eastAsia="ru-RU"/>
        </w:rPr>
      </w:pPr>
      <w:r>
        <w:rPr>
          <w:szCs w:val="24"/>
        </w:rPr>
        <w:t>синдром сдавления венозного ствола или вены;</w:t>
      </w:r>
    </w:p>
    <w:p w14:paraId="1B6B9CE4" w14:textId="77777777" w:rsidR="00972DD8" w:rsidRDefault="00972DD8" w:rsidP="0010608C">
      <w:pPr>
        <w:numPr>
          <w:ilvl w:val="0"/>
          <w:numId w:val="33"/>
        </w:numPr>
        <w:rPr>
          <w:rFonts w:eastAsia="Times New Roman"/>
          <w:szCs w:val="24"/>
          <w:lang w:eastAsia="ru-RU"/>
        </w:rPr>
      </w:pPr>
      <w:r>
        <w:rPr>
          <w:szCs w:val="24"/>
        </w:rPr>
        <w:t>расширение венозной сети;</w:t>
      </w:r>
    </w:p>
    <w:p w14:paraId="0A6E8583" w14:textId="77777777" w:rsidR="00972DD8" w:rsidRDefault="00972DD8" w:rsidP="0010608C">
      <w:pPr>
        <w:numPr>
          <w:ilvl w:val="0"/>
          <w:numId w:val="33"/>
        </w:numPr>
        <w:rPr>
          <w:rFonts w:eastAsia="Times New Roman"/>
          <w:szCs w:val="24"/>
          <w:lang w:eastAsia="ru-RU"/>
        </w:rPr>
      </w:pPr>
      <w:r>
        <w:rPr>
          <w:szCs w:val="24"/>
        </w:rPr>
        <w:t xml:space="preserve"> признаки дыхательной недостаточности при тромбоэмболии легочной артерии (ТЭЛА).</w:t>
      </w:r>
    </w:p>
    <w:p w14:paraId="4D04AC49" w14:textId="77777777" w:rsidR="00972DD8" w:rsidRDefault="00972DD8" w:rsidP="00972DD8">
      <w:pPr>
        <w:rPr>
          <w:rFonts w:eastAsia="Times New Roman"/>
          <w:szCs w:val="24"/>
          <w:lang w:eastAsia="ru-RU"/>
        </w:rPr>
      </w:pPr>
      <w:r>
        <w:rPr>
          <w:szCs w:val="24"/>
        </w:rPr>
        <w:t xml:space="preserve">Для оценки риска развития тромботических нарушений и их рецидивов при лимфоме необходим тщательный сбор анамнеза с уточнением наличия тромбозов у пациента и родственников первой линии, а также оценка общего состояния пациента и выявление сопутствующих заболеваний. </w:t>
      </w:r>
    </w:p>
    <w:p w14:paraId="4752411D" w14:textId="77777777" w:rsidR="00972DD8" w:rsidRDefault="00972DD8" w:rsidP="00972DD8">
      <w:pPr>
        <w:pStyle w:val="Numlist"/>
        <w:spacing w:line="360" w:lineRule="auto"/>
        <w:ind w:firstLine="360"/>
        <w:jc w:val="both"/>
        <w:rPr>
          <w:b/>
        </w:rPr>
      </w:pPr>
    </w:p>
    <w:p w14:paraId="3998D226" w14:textId="4C8F8571" w:rsidR="00972DD8" w:rsidRDefault="00972DD8" w:rsidP="00972DD8">
      <w:pPr>
        <w:pStyle w:val="Numlist"/>
        <w:spacing w:line="360" w:lineRule="auto"/>
        <w:ind w:firstLine="360"/>
        <w:jc w:val="both"/>
      </w:pPr>
      <w:r w:rsidRPr="00D74B57">
        <w:rPr>
          <w:bCs/>
          <w:i/>
          <w:iCs/>
          <w:u w:val="single"/>
        </w:rPr>
        <w:t>Лабораторная диагностика</w:t>
      </w:r>
      <w:r>
        <w:rPr>
          <w:b/>
        </w:rPr>
        <w:t xml:space="preserve"> </w:t>
      </w:r>
      <w:r>
        <w:t xml:space="preserve">тромботических осложнений должна включать следующие исследования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fldChar w:fldCharType="separate"/>
      </w:r>
      <w:r w:rsidR="00D2308B" w:rsidRPr="00D2308B">
        <w:rPr>
          <w:noProof/>
        </w:rPr>
        <w:t>[39,40]</w:t>
      </w:r>
      <w:r>
        <w:fldChar w:fldCharType="end"/>
      </w:r>
      <w:r>
        <w:t xml:space="preserve">: </w:t>
      </w:r>
    </w:p>
    <w:p w14:paraId="36C2C2C3" w14:textId="77777777" w:rsidR="00972DD8" w:rsidRDefault="00972DD8" w:rsidP="00972DD8">
      <w:r>
        <w:t xml:space="preserve">1) </w:t>
      </w:r>
      <w:r>
        <w:rPr>
          <w:szCs w:val="24"/>
        </w:rPr>
        <w:t>Исследование периферической крови с подсчетом количества эритроцитов, гемоглобина и гематокрита, тромбоцитов (с подсчетом в мазке по Фонио), лейкоцитов, лейкоцитарной формулы – обязательно при диагностике, далее по показаниям с целью оценки динамики гематологических показателей и для контроля эффективности лечения</w:t>
      </w:r>
      <w:r>
        <w:t>.</w:t>
      </w:r>
    </w:p>
    <w:p w14:paraId="68B68D34" w14:textId="77777777" w:rsidR="00972DD8" w:rsidRDefault="00972DD8" w:rsidP="00972DD8">
      <w:pPr>
        <w:rPr>
          <w:szCs w:val="24"/>
        </w:rPr>
      </w:pPr>
      <w:r>
        <w:rPr>
          <w:szCs w:val="24"/>
        </w:rPr>
        <w:t>2) Коагулограмма с определением следующих показателей:</w:t>
      </w:r>
    </w:p>
    <w:p w14:paraId="3E53DFFA" w14:textId="77777777" w:rsidR="00972DD8" w:rsidRDefault="00972DD8" w:rsidP="0010608C">
      <w:pPr>
        <w:pStyle w:val="afe"/>
        <w:widowControl w:val="0"/>
        <w:numPr>
          <w:ilvl w:val="0"/>
          <w:numId w:val="29"/>
        </w:numPr>
        <w:ind w:left="1418" w:hanging="567"/>
        <w:rPr>
          <w:szCs w:val="24"/>
        </w:rPr>
      </w:pPr>
      <w:r>
        <w:rPr>
          <w:szCs w:val="24"/>
        </w:rPr>
        <w:t>активированное частичное тромбопластиновое время (АЧТВ);</w:t>
      </w:r>
    </w:p>
    <w:p w14:paraId="32C45CBA" w14:textId="77777777" w:rsidR="00972DD8" w:rsidRDefault="00972DD8" w:rsidP="0010608C">
      <w:pPr>
        <w:pStyle w:val="afe"/>
        <w:widowControl w:val="0"/>
        <w:numPr>
          <w:ilvl w:val="0"/>
          <w:numId w:val="29"/>
        </w:numPr>
        <w:ind w:left="1418" w:hanging="567"/>
        <w:rPr>
          <w:szCs w:val="24"/>
        </w:rPr>
      </w:pPr>
      <w:r>
        <w:rPr>
          <w:szCs w:val="24"/>
        </w:rPr>
        <w:t>тромбиновое время (ТВ);</w:t>
      </w:r>
    </w:p>
    <w:p w14:paraId="32261C6B" w14:textId="77777777" w:rsidR="00972DD8" w:rsidRDefault="00972DD8" w:rsidP="0010608C">
      <w:pPr>
        <w:pStyle w:val="afe"/>
        <w:widowControl w:val="0"/>
        <w:numPr>
          <w:ilvl w:val="0"/>
          <w:numId w:val="29"/>
        </w:numPr>
        <w:ind w:left="1418" w:hanging="567"/>
        <w:rPr>
          <w:szCs w:val="24"/>
        </w:rPr>
      </w:pPr>
      <w:r>
        <w:rPr>
          <w:szCs w:val="24"/>
        </w:rPr>
        <w:t>протромбин по Квику (международное нормализованное отношение - МНО);</w:t>
      </w:r>
    </w:p>
    <w:p w14:paraId="7B1D0E55" w14:textId="77777777" w:rsidR="00972DD8" w:rsidRDefault="00972DD8" w:rsidP="0010608C">
      <w:pPr>
        <w:pStyle w:val="afe"/>
        <w:widowControl w:val="0"/>
        <w:numPr>
          <w:ilvl w:val="0"/>
          <w:numId w:val="29"/>
        </w:numPr>
        <w:ind w:left="1418" w:hanging="567"/>
        <w:rPr>
          <w:szCs w:val="24"/>
        </w:rPr>
      </w:pPr>
      <w:r>
        <w:rPr>
          <w:szCs w:val="24"/>
        </w:rPr>
        <w:t>плазменная концентрация фибриногена;</w:t>
      </w:r>
    </w:p>
    <w:p w14:paraId="24BBCE70" w14:textId="77777777" w:rsidR="00972DD8" w:rsidRDefault="00972DD8" w:rsidP="0010608C">
      <w:pPr>
        <w:pStyle w:val="afe"/>
        <w:widowControl w:val="0"/>
        <w:numPr>
          <w:ilvl w:val="0"/>
          <w:numId w:val="29"/>
        </w:numPr>
        <w:ind w:left="1418" w:hanging="567"/>
        <w:rPr>
          <w:szCs w:val="24"/>
        </w:rPr>
      </w:pPr>
      <w:r>
        <w:rPr>
          <w:szCs w:val="24"/>
        </w:rPr>
        <w:t xml:space="preserve">плазменная концентрация антитромбина III (АТ </w:t>
      </w:r>
      <w:r>
        <w:rPr>
          <w:szCs w:val="24"/>
          <w:lang w:val="en-US"/>
        </w:rPr>
        <w:t>III</w:t>
      </w:r>
      <w:r>
        <w:rPr>
          <w:szCs w:val="24"/>
        </w:rPr>
        <w:t>), особенно для групп высокого риска, в частности, получающих L-аспарагиназу;</w:t>
      </w:r>
    </w:p>
    <w:p w14:paraId="53EB6665" w14:textId="77777777" w:rsidR="00972DD8" w:rsidRDefault="00972DD8" w:rsidP="0010608C">
      <w:pPr>
        <w:pStyle w:val="afe"/>
        <w:widowControl w:val="0"/>
        <w:numPr>
          <w:ilvl w:val="0"/>
          <w:numId w:val="29"/>
        </w:numPr>
        <w:ind w:left="1418" w:hanging="567"/>
        <w:rPr>
          <w:szCs w:val="24"/>
        </w:rPr>
      </w:pPr>
      <w:r>
        <w:rPr>
          <w:szCs w:val="24"/>
        </w:rPr>
        <w:t>агрегация тромбоцитов, индуцированная АДФ и адреналином для пациентов, получающих терапию, соответственно клопидогрелом или ацетилсалициловой кислотой;</w:t>
      </w:r>
    </w:p>
    <w:p w14:paraId="08C40404" w14:textId="57B58810" w:rsidR="00972DD8" w:rsidRDefault="00972DD8" w:rsidP="0010608C">
      <w:pPr>
        <w:pStyle w:val="afe"/>
        <w:widowControl w:val="0"/>
        <w:numPr>
          <w:ilvl w:val="0"/>
          <w:numId w:val="29"/>
        </w:numPr>
        <w:ind w:left="1418" w:hanging="567"/>
        <w:rPr>
          <w:szCs w:val="24"/>
        </w:rPr>
      </w:pPr>
      <w:r>
        <w:rPr>
          <w:szCs w:val="24"/>
        </w:rPr>
        <w:t>D-димер</w:t>
      </w:r>
      <w:r>
        <w:rPr>
          <w:szCs w:val="24"/>
          <w:lang w:val="en-US"/>
        </w:rPr>
        <w:t xml:space="preserve"> </w:t>
      </w:r>
      <w:r>
        <w:rPr>
          <w:szCs w:val="24"/>
          <w:lang w:val="en-US"/>
        </w:rPr>
        <w:fldChar w:fldCharType="begin" w:fldLock="1"/>
      </w:r>
      <w:r w:rsidR="004C3BA5">
        <w:rPr>
          <w:szCs w:val="24"/>
          <w:lang w:val="en-US"/>
        </w:rPr>
        <w:instrText>ADDIN CSL_CITATION {"citationItems":[{"id":"ITEM-1","itemData":{"author":[{"dropping-particle":"","family":"Greenberg","given":"C.S.","non-dropping-particle":"","parse-names":false,"suffix":""}],"container-title":"Clinical Advances in Hematology &amp; Oncology","id":"ITEM-1","issue":"8","issued":{"date-parts":[["2017"]]},"page":"580-583","title":"The role of D-dimer testing in clinical hematology and oncology","type":"article-journal","volume":"15"},"uris":["http://www.mendeley.com/documents/?uuid=bcd25bdb-3f17-4690-af2f-221107e95f2a"]}],"mendeley":{"formattedCitation":"[41]","plainTextFormattedCitation":"[41]","previouslyFormattedCitation":"[41]"},"properties":{"noteIndex":0},"schema":"https://github.com/citation-style-language/schema/raw/master/csl-citation.json"}</w:instrText>
      </w:r>
      <w:r>
        <w:rPr>
          <w:szCs w:val="24"/>
          <w:lang w:val="en-US"/>
        </w:rPr>
        <w:fldChar w:fldCharType="separate"/>
      </w:r>
      <w:r w:rsidR="00D2308B" w:rsidRPr="00D2308B">
        <w:rPr>
          <w:noProof/>
          <w:szCs w:val="24"/>
          <w:lang w:val="en-US"/>
        </w:rPr>
        <w:t>[41]</w:t>
      </w:r>
      <w:r>
        <w:rPr>
          <w:szCs w:val="24"/>
          <w:lang w:val="en-US"/>
        </w:rPr>
        <w:fldChar w:fldCharType="end"/>
      </w:r>
      <w:r>
        <w:rPr>
          <w:szCs w:val="24"/>
        </w:rPr>
        <w:t>;</w:t>
      </w:r>
    </w:p>
    <w:p w14:paraId="62DAC054" w14:textId="77777777" w:rsidR="00972DD8" w:rsidRDefault="00972DD8" w:rsidP="0010608C">
      <w:pPr>
        <w:pStyle w:val="afe"/>
        <w:widowControl w:val="0"/>
        <w:numPr>
          <w:ilvl w:val="0"/>
          <w:numId w:val="29"/>
        </w:numPr>
        <w:ind w:left="1418" w:hanging="567"/>
        <w:rPr>
          <w:szCs w:val="24"/>
        </w:rPr>
      </w:pPr>
      <w:r>
        <w:rPr>
          <w:szCs w:val="24"/>
        </w:rPr>
        <w:t>протеин С;</w:t>
      </w:r>
    </w:p>
    <w:p w14:paraId="7D113D2A" w14:textId="77777777" w:rsidR="00972DD8" w:rsidRDefault="00972DD8" w:rsidP="0010608C">
      <w:pPr>
        <w:pStyle w:val="afe"/>
        <w:widowControl w:val="0"/>
        <w:numPr>
          <w:ilvl w:val="0"/>
          <w:numId w:val="29"/>
        </w:numPr>
        <w:ind w:left="1418" w:hanging="567"/>
        <w:rPr>
          <w:szCs w:val="24"/>
        </w:rPr>
      </w:pPr>
      <w:r>
        <w:rPr>
          <w:szCs w:val="24"/>
        </w:rPr>
        <w:t xml:space="preserve">протеин </w:t>
      </w:r>
      <w:r>
        <w:rPr>
          <w:szCs w:val="24"/>
          <w:lang w:val="en-US"/>
        </w:rPr>
        <w:t>S</w:t>
      </w:r>
      <w:r>
        <w:rPr>
          <w:szCs w:val="24"/>
        </w:rPr>
        <w:t>;</w:t>
      </w:r>
    </w:p>
    <w:p w14:paraId="19646E9E" w14:textId="77777777" w:rsidR="00972DD8" w:rsidRDefault="00972DD8" w:rsidP="0010608C">
      <w:pPr>
        <w:pStyle w:val="afe"/>
        <w:widowControl w:val="0"/>
        <w:numPr>
          <w:ilvl w:val="0"/>
          <w:numId w:val="29"/>
        </w:numPr>
        <w:ind w:left="1418" w:hanging="567"/>
        <w:rPr>
          <w:szCs w:val="24"/>
        </w:rPr>
      </w:pPr>
      <w:r>
        <w:rPr>
          <w:szCs w:val="24"/>
        </w:rPr>
        <w:t>XIIa-зависимый фибринолиз;</w:t>
      </w:r>
    </w:p>
    <w:p w14:paraId="3CF46EB4" w14:textId="77777777" w:rsidR="00972DD8" w:rsidRDefault="00972DD8" w:rsidP="00972DD8">
      <w:pPr>
        <w:widowControl w:val="0"/>
        <w:rPr>
          <w:szCs w:val="24"/>
        </w:rPr>
      </w:pPr>
      <w:r>
        <w:rPr>
          <w:szCs w:val="24"/>
        </w:rPr>
        <w:t>Для исследования показателей гемостаза забор крови производят строго натощак, с помощью вакуумных пробирок. Забор крови из катетеров запрещен. Кровь набирают в пробирки, содержащие 3,2% цитрат натрия в соотношении 1:9. Исследование должно проводиться в течение 2-х часов после забора крови.  Достоверность результатов агрегабельности тромбоцитов можно оценить только при содержании в крови тромбоцитов ≥ 100 х 10</w:t>
      </w:r>
      <w:r>
        <w:rPr>
          <w:szCs w:val="24"/>
          <w:vertAlign w:val="superscript"/>
        </w:rPr>
        <w:t>9</w:t>
      </w:r>
      <w:r>
        <w:rPr>
          <w:szCs w:val="24"/>
        </w:rPr>
        <w:t>/л.</w:t>
      </w:r>
    </w:p>
    <w:p w14:paraId="0847B7ED" w14:textId="707A9CD0" w:rsidR="00972DD8" w:rsidRDefault="00972DD8" w:rsidP="00972DD8">
      <w:pPr>
        <w:widowControl w:val="0"/>
        <w:rPr>
          <w:szCs w:val="24"/>
        </w:rPr>
      </w:pPr>
      <w:r>
        <w:rPr>
          <w:szCs w:val="24"/>
        </w:rPr>
        <w:t xml:space="preserve">Повышенная концентрация </w:t>
      </w:r>
      <w:r>
        <w:rPr>
          <w:szCs w:val="24"/>
          <w:lang w:val="en-US"/>
        </w:rPr>
        <w:t>D</w:t>
      </w:r>
      <w:r>
        <w:rPr>
          <w:szCs w:val="24"/>
        </w:rPr>
        <w:t>-димера у онкогематологических больных встречается при различных ситуациях, не всегда обусловленных венозными тромбо-эмболическими осложнениями (ВТЭО): синдром диссеминированного внутрисосудистого свертывания (ДВС-синдром), гиперфибринолиз, сепсис, поражения печени, серповидноклеточная анемия и др</w:t>
      </w:r>
      <w:r w:rsidRPr="00B06F48">
        <w:rPr>
          <w:szCs w:val="24"/>
        </w:rPr>
        <w:t xml:space="preserve"> </w:t>
      </w:r>
      <w:r>
        <w:rPr>
          <w:szCs w:val="24"/>
        </w:rPr>
        <w:fldChar w:fldCharType="begin" w:fldLock="1"/>
      </w:r>
      <w:r w:rsidR="004C3BA5">
        <w:rPr>
          <w:szCs w:val="24"/>
        </w:rPr>
        <w:instrText>ADDIN CSL_CITATION {"citationItems":[{"id":"ITEM-1","itemData":{"author":[{"dropping-particle":"","family":"Greenberg","given":"C.S.","non-dropping-particle":"","parse-names":false,"suffix":""}],"container-title":"Clinical Advances in Hematology &amp; Oncology","id":"ITEM-1","issue":"8","issued":{"date-parts":[["2017"]]},"page":"580-583","title":"The role of D-dimer testing in clinical hematology and oncology","type":"article-journal","volume":"15"},"uris":["http://www.mendeley.com/documents/?uuid=bcd25bdb-3f17-4690-af2f-221107e95f2a"]}],"mendeley":{"formattedCitation":"[41]","plainTextFormattedCitation":"[41]","previouslyFormattedCitation":"[41]"},"properties":{"noteIndex":0},"schema":"https://github.com/citation-style-language/schema/raw/master/csl-citation.json"}</w:instrText>
      </w:r>
      <w:r>
        <w:rPr>
          <w:szCs w:val="24"/>
        </w:rPr>
        <w:fldChar w:fldCharType="separate"/>
      </w:r>
      <w:r w:rsidR="00D2308B" w:rsidRPr="00D2308B">
        <w:rPr>
          <w:noProof/>
          <w:szCs w:val="24"/>
        </w:rPr>
        <w:t>[41]</w:t>
      </w:r>
      <w:r>
        <w:rPr>
          <w:szCs w:val="24"/>
        </w:rPr>
        <w:fldChar w:fldCharType="end"/>
      </w:r>
      <w:r>
        <w:rPr>
          <w:szCs w:val="24"/>
        </w:rPr>
        <w:t xml:space="preserve">. Поэтому не рекомендуется начинать тромбопрофилактику ориентируясь только на повышенную концентрацию </w:t>
      </w:r>
      <w:r>
        <w:rPr>
          <w:szCs w:val="24"/>
          <w:lang w:val="en-US"/>
        </w:rPr>
        <w:t>D</w:t>
      </w:r>
      <w:r>
        <w:rPr>
          <w:szCs w:val="24"/>
        </w:rPr>
        <w:t>-димера. При концентрации D-димера выше порогового значения рекомендуется дополнительное проведение инструментальных методов обследования.</w:t>
      </w:r>
    </w:p>
    <w:p w14:paraId="4267ABFB" w14:textId="77777777" w:rsidR="00972DD8" w:rsidRPr="00494FA4" w:rsidRDefault="00972DD8" w:rsidP="00972DD8">
      <w:pPr>
        <w:rPr>
          <w:szCs w:val="24"/>
        </w:rPr>
      </w:pPr>
      <w:r>
        <w:rPr>
          <w:szCs w:val="24"/>
        </w:rPr>
        <w:t xml:space="preserve">3) Биохимический анализ крови: общий белок, альбумины, общий и прямой/непрямой билирубин, АСТ, АЛТ, ЛДГ, мочевая кислота, мочевина, креатинин, щелочная фосфатаза, </w:t>
      </w:r>
      <w:r w:rsidRPr="002B7BF0">
        <w:rPr>
          <w:szCs w:val="24"/>
        </w:rPr>
        <w:t xml:space="preserve">холестерин, триглицериды, индекс атерогенности </w:t>
      </w:r>
      <w:r>
        <w:rPr>
          <w:szCs w:val="24"/>
        </w:rPr>
        <w:t xml:space="preserve">– на этапе диагностике, далее по показаниям. </w:t>
      </w:r>
      <w:r w:rsidRPr="00494FA4">
        <w:rPr>
          <w:rStyle w:val="affb"/>
          <w:iCs/>
          <w:shd w:val="clear" w:color="auto" w:fill="FFFFFF"/>
        </w:rPr>
        <w:t>В</w:t>
      </w:r>
      <w:r w:rsidRPr="00111FC7">
        <w:rPr>
          <w:rStyle w:val="affc"/>
        </w:rPr>
        <w:t xml:space="preserve">ыполнение биохимического анализа крови необходимо для уточнения функциональной способности печени, что важно для выбора адекватной терапии. </w:t>
      </w:r>
    </w:p>
    <w:p w14:paraId="1E3D8E75" w14:textId="77777777" w:rsidR="00972DD8" w:rsidRDefault="00972DD8" w:rsidP="00972DD8">
      <w:pPr>
        <w:rPr>
          <w:szCs w:val="24"/>
        </w:rPr>
      </w:pPr>
      <w:r>
        <w:rPr>
          <w:szCs w:val="24"/>
        </w:rPr>
        <w:t>4) Определение концентрации гомоцистеина – важно в диагностике гипергомоцистеинемии.</w:t>
      </w:r>
    </w:p>
    <w:p w14:paraId="3A8EE2EA" w14:textId="77777777" w:rsidR="00972DD8" w:rsidRDefault="00972DD8" w:rsidP="00972DD8">
      <w:r>
        <w:t xml:space="preserve">5) Исследование мутации генов факторов, участвующих в гемостазе (протромбина G20210A, фактора V Лейден, </w:t>
      </w:r>
      <w:r w:rsidRPr="00A042E1">
        <w:t>метилентетрагидрофолатредуктазы</w:t>
      </w:r>
      <w:r>
        <w:t>), важно для верификации формы и варианта наследственных тромбофилий, определяется по показаниям.</w:t>
      </w:r>
    </w:p>
    <w:p w14:paraId="16A3FEA1" w14:textId="77777777" w:rsidR="00972DD8" w:rsidRPr="00494FA4" w:rsidRDefault="00972DD8" w:rsidP="00972DD8">
      <w:pPr>
        <w:rPr>
          <w:szCs w:val="24"/>
        </w:rPr>
      </w:pPr>
      <w:r>
        <w:t xml:space="preserve">6) Тромбоэластография, пространственная тромбодинамика и определение тромбинового потенциала – по показаниям. </w:t>
      </w:r>
    </w:p>
    <w:p w14:paraId="2C6C353D" w14:textId="77777777" w:rsidR="00972DD8" w:rsidRDefault="00972DD8" w:rsidP="00972DD8">
      <w:pPr>
        <w:pStyle w:val="Numlist"/>
        <w:spacing w:line="360" w:lineRule="auto"/>
        <w:jc w:val="both"/>
      </w:pPr>
      <w:r>
        <w:t>Лабораторную оценку состояния системы свертывания крови осуществляют при первичном обследовании больного, до начала проведения специфической терапии, в том числе перед каждым курсом ХТ (по показаниям), а также в случае развития тромботических нарушений на любом этапе диагностики, наблюдения, лечения.</w:t>
      </w:r>
    </w:p>
    <w:p w14:paraId="4E433B54" w14:textId="77777777" w:rsidR="00972DD8" w:rsidRDefault="00972DD8" w:rsidP="00972DD8">
      <w:pPr>
        <w:rPr>
          <w:b/>
          <w:szCs w:val="24"/>
        </w:rPr>
      </w:pPr>
    </w:p>
    <w:p w14:paraId="0447DB03" w14:textId="3B9AD95D" w:rsidR="00972DD8" w:rsidRDefault="00972DD8" w:rsidP="00972DD8">
      <w:pPr>
        <w:rPr>
          <w:szCs w:val="24"/>
        </w:rPr>
      </w:pPr>
      <w:r w:rsidRPr="004C1787">
        <w:rPr>
          <w:bCs/>
          <w:i/>
          <w:iCs/>
          <w:szCs w:val="24"/>
          <w:u w:val="single"/>
        </w:rPr>
        <w:t>Инструментальная диагностика</w:t>
      </w:r>
      <w:r>
        <w:rPr>
          <w:szCs w:val="24"/>
        </w:rPr>
        <w:t xml:space="preserve"> рекомендуется для определения выраженности и уточнения локализации тромботических осложнений. Выбор метода зависит от клинической картины и данных лабораторного обследования. Проводятся следующие виды исследования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fldChar w:fldCharType="separate"/>
      </w:r>
      <w:r w:rsidR="00D2308B" w:rsidRPr="00D2308B">
        <w:rPr>
          <w:noProof/>
        </w:rPr>
        <w:t>[39,40]</w:t>
      </w:r>
      <w:r>
        <w:fldChar w:fldCharType="end"/>
      </w:r>
      <w:r>
        <w:rPr>
          <w:szCs w:val="24"/>
        </w:rPr>
        <w:t>:</w:t>
      </w:r>
    </w:p>
    <w:p w14:paraId="53A9BF3B" w14:textId="77777777" w:rsidR="00972DD8" w:rsidRDefault="00972DD8" w:rsidP="0010608C">
      <w:pPr>
        <w:pStyle w:val="afe"/>
        <w:numPr>
          <w:ilvl w:val="0"/>
          <w:numId w:val="32"/>
        </w:numPr>
        <w:spacing w:after="200"/>
        <w:ind w:left="1134"/>
        <w:rPr>
          <w:szCs w:val="24"/>
        </w:rPr>
      </w:pPr>
      <w:r>
        <w:rPr>
          <w:szCs w:val="24"/>
        </w:rPr>
        <w:t>УЗИ сосудов, при котором определяются локализация тромбоза, размеры тромба, окклюзирующий или неокклюзирующий характер тромбоза, флотирующий или нефлотирующий характер тромба.</w:t>
      </w:r>
    </w:p>
    <w:p w14:paraId="321A1CAA" w14:textId="77777777" w:rsidR="00972DD8" w:rsidRDefault="00972DD8" w:rsidP="0010608C">
      <w:pPr>
        <w:pStyle w:val="afe"/>
        <w:numPr>
          <w:ilvl w:val="0"/>
          <w:numId w:val="32"/>
        </w:numPr>
        <w:ind w:left="1134"/>
        <w:rPr>
          <w:bCs/>
          <w:szCs w:val="24"/>
        </w:rPr>
      </w:pPr>
      <w:r>
        <w:rPr>
          <w:bCs/>
          <w:szCs w:val="24"/>
        </w:rPr>
        <w:t xml:space="preserve">УЗИ органов брюшной полости (размеры печени, селезенки, </w:t>
      </w:r>
      <w:r w:rsidRPr="00A042E1">
        <w:rPr>
          <w:bCs/>
          <w:szCs w:val="24"/>
        </w:rPr>
        <w:t>вены портальной системы и собственные вены печени</w:t>
      </w:r>
      <w:r>
        <w:rPr>
          <w:bCs/>
          <w:szCs w:val="24"/>
        </w:rPr>
        <w:t>), гемодинамические критерии портальной гипертензии при органомегалии и подозрении на тромбоз.</w:t>
      </w:r>
    </w:p>
    <w:p w14:paraId="2ECA849E" w14:textId="77777777" w:rsidR="00972DD8" w:rsidRDefault="00972DD8" w:rsidP="0010608C">
      <w:pPr>
        <w:pStyle w:val="afe"/>
        <w:numPr>
          <w:ilvl w:val="0"/>
          <w:numId w:val="32"/>
        </w:numPr>
        <w:ind w:left="1134"/>
        <w:rPr>
          <w:bCs/>
          <w:szCs w:val="24"/>
        </w:rPr>
      </w:pPr>
      <w:r w:rsidRPr="0065075D">
        <w:rPr>
          <w:iCs/>
          <w:szCs w:val="24"/>
        </w:rPr>
        <w:t xml:space="preserve">КТ </w:t>
      </w:r>
      <w:r w:rsidRPr="0065075D">
        <w:rPr>
          <w:bCs/>
          <w:szCs w:val="24"/>
        </w:rPr>
        <w:t xml:space="preserve">органов грудной клетки и брюшной полости с внутривенным контрастным </w:t>
      </w:r>
      <w:r>
        <w:rPr>
          <w:bCs/>
          <w:szCs w:val="24"/>
        </w:rPr>
        <w:t xml:space="preserve">усилением </w:t>
      </w:r>
      <w:r w:rsidRPr="0065075D">
        <w:rPr>
          <w:bCs/>
          <w:szCs w:val="24"/>
        </w:rPr>
        <w:t>для диагностики ТЭЛА, тромбоза вен и артерий брюшной полости, инфарктов паренхиматозных органов, оценки коллатералей.</w:t>
      </w:r>
    </w:p>
    <w:p w14:paraId="2A4E7997" w14:textId="77777777" w:rsidR="00972DD8" w:rsidRPr="004C1787" w:rsidRDefault="00972DD8" w:rsidP="0010608C">
      <w:pPr>
        <w:pStyle w:val="afe"/>
        <w:numPr>
          <w:ilvl w:val="0"/>
          <w:numId w:val="32"/>
        </w:numPr>
        <w:ind w:left="1134"/>
        <w:rPr>
          <w:bCs/>
          <w:szCs w:val="24"/>
        </w:rPr>
      </w:pPr>
      <w:r w:rsidRPr="004C1787">
        <w:rPr>
          <w:iCs/>
          <w:color w:val="000000"/>
          <w:szCs w:val="24"/>
        </w:rPr>
        <w:t>Магнитно-резонансная томография (МРТ)</w:t>
      </w:r>
      <w:r w:rsidRPr="004C1787">
        <w:rPr>
          <w:i/>
          <w:iCs/>
          <w:color w:val="000000"/>
          <w:szCs w:val="24"/>
        </w:rPr>
        <w:t xml:space="preserve"> </w:t>
      </w:r>
      <w:r w:rsidRPr="004C1787">
        <w:rPr>
          <w:szCs w:val="24"/>
        </w:rPr>
        <w:t>с внутривенным контрастным усилением головного мозга для выявления тромботических изменений в сосудах головного мозга, ишемических инсультов, кровоизлияний в головной мозг. МРТ органов грудной клетки и брюшной полости – при невозможности проведения КТ.</w:t>
      </w:r>
    </w:p>
    <w:p w14:paraId="1F9B67AE" w14:textId="77777777" w:rsidR="00972DD8" w:rsidRPr="004C1787" w:rsidRDefault="00972DD8" w:rsidP="0010608C">
      <w:pPr>
        <w:pStyle w:val="afe"/>
        <w:numPr>
          <w:ilvl w:val="0"/>
          <w:numId w:val="32"/>
        </w:numPr>
        <w:ind w:left="1134"/>
        <w:rPr>
          <w:bCs/>
          <w:szCs w:val="24"/>
        </w:rPr>
      </w:pPr>
      <w:r w:rsidRPr="004C1787">
        <w:rPr>
          <w:iCs/>
          <w:szCs w:val="24"/>
        </w:rPr>
        <w:t xml:space="preserve">Эзофагогастродуоденоскопия (ЭГДС) </w:t>
      </w:r>
      <w:r w:rsidRPr="004C1787">
        <w:rPr>
          <w:szCs w:val="24"/>
        </w:rPr>
        <w:t>с целью определения наличия варикозно расширенных вен пищевода и желудка даже при отсутствии симптоматики портальной гипертензии (в том числе и портальной гипертензионной гастропатии). Этот метод исследования может носить как диагностический, так и лечебный характер в отношении источника возникшего кровотечения. Желудочно-кишечное кровотечение, в том числе и анамнестическое, должно рассматриваться как абсолютное показание к неотложному эндоскопическому исследованию, которое тем эффективнее, чем раньше выполнено от начала кровотечения. Очень важным моментом диагностической ЭГДС является определение источника кровотечения: варикозно расширенные вены пищевода и/или язвы желудка или двенадцатиперстной кишки, а</w:t>
      </w:r>
      <w:r w:rsidRPr="004C1787">
        <w:rPr>
          <w:i/>
          <w:color w:val="4472C4" w:themeColor="accent5"/>
          <w:szCs w:val="24"/>
        </w:rPr>
        <w:t xml:space="preserve"> </w:t>
      </w:r>
      <w:r w:rsidRPr="004C1787">
        <w:rPr>
          <w:szCs w:val="24"/>
        </w:rPr>
        <w:t>также оценка степени</w:t>
      </w:r>
      <w:r w:rsidRPr="004C1787">
        <w:rPr>
          <w:i/>
          <w:color w:val="4472C4" w:themeColor="accent5"/>
          <w:szCs w:val="24"/>
        </w:rPr>
        <w:t xml:space="preserve"> </w:t>
      </w:r>
      <w:r w:rsidRPr="004C1787">
        <w:rPr>
          <w:szCs w:val="24"/>
        </w:rPr>
        <w:t>устойчивости гемостаза из обнаруженных источников. Исследование выполняется всем пациентам на этапе диагностики, далее проводится мониторинг при выявлении патологии каждые 6 месяцев, и по показаниям.</w:t>
      </w:r>
    </w:p>
    <w:p w14:paraId="27E53F2D" w14:textId="77777777" w:rsidR="00972DD8" w:rsidRPr="004C1787" w:rsidRDefault="00972DD8" w:rsidP="0010608C">
      <w:pPr>
        <w:pStyle w:val="afe"/>
        <w:numPr>
          <w:ilvl w:val="0"/>
          <w:numId w:val="32"/>
        </w:numPr>
        <w:ind w:left="1134"/>
        <w:rPr>
          <w:bCs/>
          <w:szCs w:val="24"/>
        </w:rPr>
      </w:pPr>
      <w:r w:rsidRPr="004C1787">
        <w:rPr>
          <w:iCs/>
          <w:szCs w:val="24"/>
        </w:rPr>
        <w:t xml:space="preserve">Рентгенологическое исследование пищевода и желудка </w:t>
      </w:r>
      <w:r w:rsidRPr="004C1787">
        <w:rPr>
          <w:szCs w:val="24"/>
        </w:rPr>
        <w:t xml:space="preserve">позволяет определить протяжённость варикозного расширения вен по длине пищевода, состояние нижнего пищеводного сфинктера и его функциональные возможности (по показаниям).  </w:t>
      </w:r>
    </w:p>
    <w:p w14:paraId="20B56755" w14:textId="77777777" w:rsidR="00972DD8" w:rsidRPr="004C1787" w:rsidRDefault="00972DD8" w:rsidP="0010608C">
      <w:pPr>
        <w:pStyle w:val="afe"/>
        <w:numPr>
          <w:ilvl w:val="0"/>
          <w:numId w:val="32"/>
        </w:numPr>
        <w:ind w:left="1134"/>
        <w:rPr>
          <w:bCs/>
          <w:szCs w:val="24"/>
        </w:rPr>
      </w:pPr>
      <w:r w:rsidRPr="004C1787">
        <w:rPr>
          <w:szCs w:val="24"/>
        </w:rPr>
        <w:t>Контрастные артерио- и венографии выявляют локализацию и анатомические особенности тромботических процессов.</w:t>
      </w:r>
    </w:p>
    <w:p w14:paraId="6A49F461" w14:textId="77777777" w:rsidR="00972DD8" w:rsidRPr="004C1787" w:rsidRDefault="00972DD8" w:rsidP="0010608C">
      <w:pPr>
        <w:pStyle w:val="afe"/>
        <w:numPr>
          <w:ilvl w:val="0"/>
          <w:numId w:val="32"/>
        </w:numPr>
        <w:ind w:left="1134"/>
        <w:rPr>
          <w:bCs/>
          <w:szCs w:val="24"/>
        </w:rPr>
      </w:pPr>
      <w:r w:rsidRPr="004C1787">
        <w:rPr>
          <w:szCs w:val="24"/>
        </w:rPr>
        <w:t>ЭхоКГ для оценки легочной гипертензии.</w:t>
      </w:r>
    </w:p>
    <w:p w14:paraId="32311889" w14:textId="77777777" w:rsidR="00972DD8" w:rsidRPr="004C1787" w:rsidRDefault="00972DD8" w:rsidP="0010608C">
      <w:pPr>
        <w:pStyle w:val="afe"/>
        <w:numPr>
          <w:ilvl w:val="0"/>
          <w:numId w:val="32"/>
        </w:numPr>
        <w:ind w:left="1134"/>
        <w:rPr>
          <w:bCs/>
          <w:szCs w:val="24"/>
        </w:rPr>
      </w:pPr>
      <w:r>
        <w:t>Для установления объема опухолевого поражения и степени компрессии сосудов опухолью возможно проведение по показаниям КТ и УЗИ органов и полостей.</w:t>
      </w:r>
    </w:p>
    <w:p w14:paraId="20871DCF" w14:textId="77777777" w:rsidR="00972DD8" w:rsidRDefault="00972DD8" w:rsidP="00972DD8">
      <w:pPr>
        <w:pStyle w:val="Numlist"/>
        <w:spacing w:line="360" w:lineRule="auto"/>
        <w:ind w:firstLine="709"/>
        <w:jc w:val="both"/>
        <w:rPr>
          <w:b/>
        </w:rPr>
      </w:pPr>
    </w:p>
    <w:p w14:paraId="7A8F4019" w14:textId="0D07D20C" w:rsidR="00972DD8" w:rsidRDefault="00972DD8" w:rsidP="00972DD8">
      <w:pPr>
        <w:pStyle w:val="Numlist"/>
        <w:spacing w:line="360" w:lineRule="auto"/>
        <w:ind w:firstLine="709"/>
        <w:jc w:val="both"/>
      </w:pPr>
      <w:r w:rsidRPr="004C1787">
        <w:rPr>
          <w:bCs/>
          <w:i/>
          <w:iCs/>
        </w:rPr>
        <w:t>Консультации специалистов</w:t>
      </w:r>
      <w:r>
        <w:t xml:space="preserve"> проводятся при необходимости уточнения тактики ведения пациентов с тромботическими осложнениями. По показаниям возможны консультации: ангиохирурга, травматолога-ортопеда, хирурга, уролога, невролога, кардиолога, ревматолога, оториноларинголога, гепатолога и др. специалистов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[39]","plainTextFormattedCitation":"[39]","previouslyFormattedCitation":"[39]"},"properties":{"noteIndex":0},"schema":"https://github.com/citation-style-language/schema/raw/master/csl-citation.json"}</w:instrText>
      </w:r>
      <w:r>
        <w:fldChar w:fldCharType="separate"/>
      </w:r>
      <w:r w:rsidR="00D2308B" w:rsidRPr="00D2308B">
        <w:rPr>
          <w:noProof/>
        </w:rPr>
        <w:t>[39]</w:t>
      </w:r>
      <w:r>
        <w:fldChar w:fldCharType="end"/>
      </w:r>
      <w:r>
        <w:t>.</w:t>
      </w:r>
    </w:p>
    <w:p w14:paraId="649AFE3C" w14:textId="77777777" w:rsidR="00972DD8" w:rsidRDefault="00972DD8" w:rsidP="00972DD8">
      <w:pPr>
        <w:rPr>
          <w:b/>
          <w:szCs w:val="24"/>
        </w:rPr>
      </w:pPr>
    </w:p>
    <w:p w14:paraId="29182714" w14:textId="77777777" w:rsidR="00972DD8" w:rsidRPr="004C1787" w:rsidRDefault="00972DD8" w:rsidP="00972DD8">
      <w:pPr>
        <w:rPr>
          <w:bCs/>
          <w:i/>
          <w:iCs/>
          <w:szCs w:val="24"/>
          <w:u w:val="single"/>
        </w:rPr>
      </w:pPr>
      <w:r w:rsidRPr="004C1787">
        <w:rPr>
          <w:bCs/>
          <w:i/>
          <w:iCs/>
          <w:szCs w:val="24"/>
          <w:u w:val="single"/>
        </w:rPr>
        <w:t xml:space="preserve">Общие принципы профилактики ВТЭО у гематологических больных. </w:t>
      </w:r>
    </w:p>
    <w:p w14:paraId="1E9FF798" w14:textId="77777777" w:rsidR="00972DD8" w:rsidRDefault="00972DD8" w:rsidP="00972DD8">
      <w:pPr>
        <w:pStyle w:val="Numlist"/>
        <w:spacing w:line="360" w:lineRule="auto"/>
        <w:jc w:val="both"/>
      </w:pPr>
      <w:r>
        <w:t>Риск тромботических осложнений при проведении ХТ может быть высоким и низким. На высокий риск развития тромботических нарушений указывают тромбозы в анамнезе; привычное невынашивание беременности; одновременное выявление трех и более показателей, характеризующих гиперкоагуляционное состояние, а именно укорочение (замедление) АЧТВ, повышение концентрации протромбина, фибриногена, D-димера, угнетение (замедление) XIIa-зависимого фибринолиза; повышение количества тромбоцитов и их агрегабельности; гиперкоагуляция при тромбоэластографии, тромбодинамике, в тесте определения тромбинового потенциала; генетические тромбофилии (мутации генов протромбина G20210A, фактора V Лейден); дефицит АТ III, протеина С и протеина S; гипергомоцистеинемия; наличие АФС; применение овариопротекторов и глюкокортикоидов.</w:t>
      </w:r>
    </w:p>
    <w:p w14:paraId="79EA4713" w14:textId="77777777" w:rsidR="00972DD8" w:rsidRPr="00F855C8" w:rsidRDefault="00972DD8" w:rsidP="00972DD8">
      <w:pPr>
        <w:rPr>
          <w:szCs w:val="24"/>
        </w:rPr>
      </w:pPr>
      <w:r>
        <w:rPr>
          <w:szCs w:val="24"/>
        </w:rPr>
        <w:t>С целью определения тактики ведения пациента у</w:t>
      </w:r>
      <w:r w:rsidRPr="00F855C8">
        <w:rPr>
          <w:szCs w:val="24"/>
        </w:rPr>
        <w:t xml:space="preserve"> каждого больного должна быть оценена степень риска развития ВТЭО; у больных, получающих лекарственную противоопухолевую терапию, следует учитывать до</w:t>
      </w:r>
      <w:r>
        <w:rPr>
          <w:szCs w:val="24"/>
        </w:rPr>
        <w:t>полнительные факторы риска ВТЭО.</w:t>
      </w:r>
      <w:r w:rsidRPr="00F855C8">
        <w:rPr>
          <w:szCs w:val="24"/>
        </w:rPr>
        <w:t xml:space="preserve"> </w:t>
      </w:r>
    </w:p>
    <w:p w14:paraId="2BB5A155" w14:textId="783BAECF" w:rsidR="00972DD8" w:rsidRPr="00111FC7" w:rsidRDefault="00972DD8" w:rsidP="00972DD8">
      <w:pPr>
        <w:ind w:firstLine="708"/>
        <w:rPr>
          <w:szCs w:val="24"/>
        </w:rPr>
      </w:pPr>
      <w:r w:rsidRPr="00111FC7">
        <w:rPr>
          <w:szCs w:val="24"/>
        </w:rPr>
        <w:t>Профилактические мероприятия следует проводить у всех больных, относящихся к группам риска</w:t>
      </w:r>
      <w:r>
        <w:rPr>
          <w:szCs w:val="24"/>
        </w:rPr>
        <w:t xml:space="preserve">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fldChar w:fldCharType="separate"/>
      </w:r>
      <w:r w:rsidR="00D2308B" w:rsidRPr="00D2308B">
        <w:rPr>
          <w:noProof/>
        </w:rPr>
        <w:t>[39,40]</w:t>
      </w:r>
      <w:r>
        <w:fldChar w:fldCharType="end"/>
      </w:r>
      <w:r w:rsidRPr="00111FC7">
        <w:rPr>
          <w:szCs w:val="24"/>
        </w:rPr>
        <w:t>:</w:t>
      </w:r>
    </w:p>
    <w:p w14:paraId="71FB166A" w14:textId="77777777" w:rsidR="00972DD8" w:rsidRDefault="00972DD8" w:rsidP="0010608C">
      <w:pPr>
        <w:pStyle w:val="afe"/>
        <w:numPr>
          <w:ilvl w:val="0"/>
          <w:numId w:val="25"/>
        </w:numPr>
        <w:rPr>
          <w:szCs w:val="24"/>
        </w:rPr>
      </w:pPr>
      <w:r>
        <w:rPr>
          <w:szCs w:val="24"/>
        </w:rPr>
        <w:t>обеспечение максимально возможной активности мышц нижних конечностей пациентов, находящихся на длительном постельном режиме, местные процедуры, увеличивающие объемный поток крови через глубокие вены нижних конечностей (эластическая компрессия нижних конечностей, перемежающаяся пневмокомпрессия, венозный насос для стопы);</w:t>
      </w:r>
    </w:p>
    <w:p w14:paraId="4897C6DC" w14:textId="77777777" w:rsidR="00972DD8" w:rsidRDefault="00972DD8" w:rsidP="0010608C">
      <w:pPr>
        <w:pStyle w:val="afe"/>
        <w:numPr>
          <w:ilvl w:val="0"/>
          <w:numId w:val="25"/>
        </w:numPr>
        <w:rPr>
          <w:szCs w:val="24"/>
        </w:rPr>
      </w:pPr>
      <w:r>
        <w:rPr>
          <w:szCs w:val="24"/>
        </w:rPr>
        <w:t>массаж, активные и пассивные нагрузки на верхние конечности, улучшающие циркуляцию крови; механические способы профилактики (компрессионный трикотаж, перемежающаяся пневматическая компрессия);</w:t>
      </w:r>
    </w:p>
    <w:p w14:paraId="01B4C48F" w14:textId="77777777" w:rsidR="00972DD8" w:rsidRPr="0019724D" w:rsidRDefault="00972DD8" w:rsidP="0010608C">
      <w:pPr>
        <w:pStyle w:val="afe"/>
        <w:numPr>
          <w:ilvl w:val="0"/>
          <w:numId w:val="25"/>
        </w:numPr>
        <w:rPr>
          <w:szCs w:val="24"/>
        </w:rPr>
      </w:pPr>
      <w:r>
        <w:rPr>
          <w:szCs w:val="24"/>
        </w:rPr>
        <w:t>о</w:t>
      </w:r>
      <w:r w:rsidRPr="0019724D">
        <w:rPr>
          <w:szCs w:val="24"/>
        </w:rPr>
        <w:t xml:space="preserve">собенно важно применять механические способы профилактики при наличии противопоказаний к использованию антикоагулянтов; </w:t>
      </w:r>
    </w:p>
    <w:p w14:paraId="0EE5653D" w14:textId="77777777" w:rsidR="00972DD8" w:rsidRDefault="00972DD8" w:rsidP="0010608C">
      <w:pPr>
        <w:pStyle w:val="afe"/>
        <w:numPr>
          <w:ilvl w:val="0"/>
          <w:numId w:val="25"/>
        </w:numPr>
        <w:rPr>
          <w:szCs w:val="24"/>
        </w:rPr>
      </w:pPr>
      <w:r>
        <w:rPr>
          <w:szCs w:val="24"/>
        </w:rPr>
        <w:t>у больных с крайне высоким риском ВТЭО медикаментозная и механическая профилактика должны сочетаться;</w:t>
      </w:r>
    </w:p>
    <w:p w14:paraId="11698CFD" w14:textId="77777777" w:rsidR="00972DD8" w:rsidRDefault="00972DD8" w:rsidP="0010608C">
      <w:pPr>
        <w:pStyle w:val="afe"/>
        <w:numPr>
          <w:ilvl w:val="0"/>
          <w:numId w:val="25"/>
        </w:numPr>
        <w:rPr>
          <w:szCs w:val="24"/>
        </w:rPr>
      </w:pPr>
      <w:r>
        <w:rPr>
          <w:szCs w:val="24"/>
        </w:rPr>
        <w:t xml:space="preserve">проведение лекарственной тромбопрофилактики прямыми (парентеральными и пероральными) и непрямыми антикоагулянтами; </w:t>
      </w:r>
    </w:p>
    <w:p w14:paraId="19527664" w14:textId="77777777" w:rsidR="00972DD8" w:rsidRDefault="00972DD8" w:rsidP="0010608C">
      <w:pPr>
        <w:pStyle w:val="afe"/>
        <w:numPr>
          <w:ilvl w:val="0"/>
          <w:numId w:val="25"/>
        </w:numPr>
        <w:rPr>
          <w:szCs w:val="24"/>
        </w:rPr>
      </w:pPr>
      <w:r>
        <w:rPr>
          <w:szCs w:val="24"/>
        </w:rPr>
        <w:t xml:space="preserve">наличие острого кровотечения является абсолютным противопоказанием к назначению препаратов антикоагулянтного, антитромботического и антиагрегантного действия; </w:t>
      </w:r>
    </w:p>
    <w:p w14:paraId="0B94A1D0" w14:textId="77777777" w:rsidR="00972DD8" w:rsidRDefault="00972DD8" w:rsidP="0010608C">
      <w:pPr>
        <w:pStyle w:val="afe"/>
        <w:numPr>
          <w:ilvl w:val="0"/>
          <w:numId w:val="25"/>
        </w:numPr>
        <w:rPr>
          <w:szCs w:val="24"/>
        </w:rPr>
      </w:pPr>
      <w:r>
        <w:rPr>
          <w:szCs w:val="24"/>
        </w:rPr>
        <w:t xml:space="preserve">установка кава-фильтра в нижней полой вене при повторных ТЭЛА при применении адекватной схемы антикоагулянтной лекарственной профилактики;  </w:t>
      </w:r>
    </w:p>
    <w:p w14:paraId="601066FA" w14:textId="77777777" w:rsidR="00972DD8" w:rsidRDefault="00972DD8" w:rsidP="0010608C">
      <w:pPr>
        <w:pStyle w:val="afe"/>
        <w:numPr>
          <w:ilvl w:val="0"/>
          <w:numId w:val="25"/>
        </w:numPr>
        <w:rPr>
          <w:szCs w:val="24"/>
        </w:rPr>
      </w:pPr>
      <w:r>
        <w:rPr>
          <w:szCs w:val="24"/>
        </w:rPr>
        <w:t xml:space="preserve">у пациентов после оперативных вмешательств - максимальная и возможно более ранняя активизация, включая методы пассивной нагрузки. </w:t>
      </w:r>
    </w:p>
    <w:p w14:paraId="704B6A6C" w14:textId="77777777" w:rsidR="00972DD8" w:rsidRDefault="00972DD8" w:rsidP="0010608C">
      <w:pPr>
        <w:pStyle w:val="afe"/>
        <w:numPr>
          <w:ilvl w:val="0"/>
          <w:numId w:val="24"/>
        </w:numPr>
        <w:rPr>
          <w:szCs w:val="24"/>
        </w:rPr>
      </w:pPr>
      <w:r>
        <w:rPr>
          <w:szCs w:val="24"/>
        </w:rPr>
        <w:t>Проводить профилактику следует до тех пор, пока сохраняется высокий риск развития тромботических осложнений (месяцы и годы).</w:t>
      </w:r>
    </w:p>
    <w:p w14:paraId="183E96C4" w14:textId="77777777" w:rsidR="00972DD8" w:rsidRDefault="00972DD8" w:rsidP="00972DD8">
      <w:pPr>
        <w:pStyle w:val="3"/>
        <w:keepLines w:val="0"/>
        <w:spacing w:before="0"/>
        <w:rPr>
          <w:rFonts w:ascii="Times New Roman" w:hAnsi="Times New Roman"/>
          <w:b/>
          <w:bCs/>
          <w:i/>
          <w:iCs/>
          <w:color w:val="auto"/>
          <w:u w:val="single"/>
          <w:lang w:eastAsia="ru-RU"/>
        </w:rPr>
      </w:pPr>
    </w:p>
    <w:p w14:paraId="342A957A" w14:textId="77777777" w:rsidR="00972DD8" w:rsidRPr="00F149A1" w:rsidRDefault="00972DD8" w:rsidP="00972DD8">
      <w:pPr>
        <w:pStyle w:val="afd"/>
        <w:spacing w:beforeAutospacing="0" w:afterAutospacing="0" w:line="360" w:lineRule="auto"/>
        <w:rPr>
          <w:i/>
          <w:iCs/>
          <w:u w:val="single"/>
        </w:rPr>
      </w:pPr>
      <w:r w:rsidRPr="00F149A1">
        <w:rPr>
          <w:i/>
          <w:iCs/>
          <w:u w:val="single"/>
        </w:rPr>
        <w:t>Профилактика и лечение тромботических нарушений у онкогематологических пациентов.</w:t>
      </w:r>
    </w:p>
    <w:p w14:paraId="60B52C9B" w14:textId="2A5DA075" w:rsidR="00972DD8" w:rsidRDefault="00972DD8" w:rsidP="00972DD8">
      <w:pPr>
        <w:ind w:firstLine="360"/>
        <w:contextualSpacing/>
        <w:rPr>
          <w:rFonts w:eastAsia="Times New Roman"/>
          <w:szCs w:val="24"/>
          <w:lang w:eastAsia="ru-RU"/>
        </w:rPr>
      </w:pPr>
      <w:r>
        <w:rPr>
          <w:rFonts w:eastAsia="Times New Roman"/>
          <w:szCs w:val="24"/>
          <w:lang w:eastAsia="ru-RU"/>
        </w:rPr>
        <w:t xml:space="preserve">При выявлении ВТЭО и определении его давности, локализации, распространенности, назначается соответствующая терапия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fldChar w:fldCharType="separate"/>
      </w:r>
      <w:r w:rsidR="00D2308B" w:rsidRPr="00D2308B">
        <w:rPr>
          <w:noProof/>
        </w:rPr>
        <w:t>[39,40]</w:t>
      </w:r>
      <w:r>
        <w:fldChar w:fldCharType="end"/>
      </w:r>
      <w:r>
        <w:rPr>
          <w:rFonts w:eastAsia="Times New Roman"/>
          <w:szCs w:val="24"/>
          <w:lang w:eastAsia="ru-RU"/>
        </w:rPr>
        <w:t>. Терапия должна проводиться в течение всего периода проведения специфической терапии основного гематологического заболевания в стационарных и/или амбулаторных условиях. Пациенты с острыми тромбозами чаще всего нуждаются в госпитализации в стационар.</w:t>
      </w:r>
    </w:p>
    <w:p w14:paraId="217D147F" w14:textId="77777777" w:rsidR="00972DD8" w:rsidRDefault="00972DD8" w:rsidP="00972DD8">
      <w:pPr>
        <w:rPr>
          <w:rFonts w:eastAsia="Times New Roman"/>
          <w:szCs w:val="24"/>
          <w:u w:val="single"/>
          <w:lang w:eastAsia="ru-RU"/>
        </w:rPr>
      </w:pPr>
    </w:p>
    <w:p w14:paraId="56880BF9" w14:textId="77777777" w:rsidR="00972DD8" w:rsidRDefault="00972DD8" w:rsidP="00972DD8">
      <w:pPr>
        <w:rPr>
          <w:rFonts w:eastAsia="Times New Roman"/>
          <w:szCs w:val="24"/>
          <w:u w:val="single"/>
          <w:lang w:eastAsia="ru-RU"/>
        </w:rPr>
      </w:pPr>
      <w:r>
        <w:rPr>
          <w:rFonts w:eastAsia="Times New Roman"/>
          <w:szCs w:val="24"/>
          <w:u w:val="single"/>
          <w:lang w:eastAsia="ru-RU"/>
        </w:rPr>
        <w:t>Медикаментозная терапия.</w:t>
      </w:r>
    </w:p>
    <w:p w14:paraId="3C40465E" w14:textId="6A3AEEE8" w:rsidR="00972DD8" w:rsidRPr="003F7AC3" w:rsidRDefault="00972DD8" w:rsidP="00972DD8">
      <w:pPr>
        <w:ind w:firstLine="708"/>
        <w:rPr>
          <w:rFonts w:eastAsia="Times New Roman"/>
          <w:szCs w:val="24"/>
          <w:lang w:eastAsia="ru-RU"/>
        </w:rPr>
      </w:pPr>
      <w:r w:rsidRPr="003F7AC3">
        <w:rPr>
          <w:rFonts w:eastAsia="Times New Roman"/>
          <w:szCs w:val="24"/>
          <w:lang w:eastAsia="ru-RU"/>
        </w:rPr>
        <w:t>1) Антикоагулянтная терапия</w:t>
      </w:r>
      <w:r>
        <w:rPr>
          <w:rFonts w:eastAsia="Times New Roman"/>
          <w:szCs w:val="24"/>
          <w:lang w:eastAsia="ru-RU"/>
        </w:rPr>
        <w:t xml:space="preserve">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терапия","type":"article-journal","volume":"61"},"uris":["http://www.mendeley.com/documents/?uuid=9198cd60-8a8e-46bc-9cfc-b0a20a2d96ea"]},{"id":"ITEM-2","itemData":{"DOI":"10.1016/j.critrevonc.2018.02.003","ISSN":"18790461","PMID":"29548485","abstract":"Venous Thromboembolism (VTE) frequently complicates the course of hematologic malignancies (HM) and its incidence is similar to that observed in high-risk solid tumors. Despite that, pharmacologic prophylaxis and treatment of VTE in patients with HM is challenging, mainly because a severe thrombocytopenia frequently complicates the course of treatments or may be present since diagnosis, thus increasing the risk of bleeding. Therefore, in this setting, safe and effective methods of VTE prophylaxis and treatment have not been well defined and hematologists generally refer to guidelines produced for cancer patients that give indications on anticoagulation in patients with thrombocytopenia. In this review, besides to summarize the incidence and the available data on prophylaxis and treatment of VTE in HM, we give some advices on how to use antithrombotic drugs in patients with HM according to platelets count.","author":[{"dropping-particle":"","family":"Annibali","given":"Ombretta","non-dropping-particle":"","parse-names":false,"suffix":""},{"dropping-particle":"","family":"Napolitano","given":"Mariasanta","non-dropping-particle":"","parse-names":false,"suffix":""},{"dropping-particle":"","family":"Avvisati","given":"Giuseppe","non-dropping-particle":"","parse-names":false,"suffix":""},{"dropping-particle":"","family":"Siragusa","given":"Sergio","non-dropping-particle":"","parse-names":false,"suffix":""}],"container-title":"Critical Reviews in Oncology/Hematology","id":"ITEM-2","issued":{"date-parts":[["2018","4","1"]]},"page":"41-50","publisher":"Elsevier Ireland Ltd","title":"Incidence of venous thromboembolism and use of anticoagulation in hematological malignancies: Critical review of the literature","type":"article","volume":"124"},"uris":["http://www.mendeley.com/documents/?uuid=22f80e37-ad15-39e0-a4bd-123ad1adb983"]},{"id":"ITEM-3","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-3","issued":{"date-parts":[["2010"]]},"number-of-pages":"192","title":"Практическая коагулология","type":"book"},"uris":["http://www.mendeley.com/documents/?uuid=36d7b04e-d654-47d2-a073-3cc2bb6e80ce"]}],"mendeley":{"formattedCitation":"[37,39,40]","plainTextFormattedCitation":"[37,39,40]","previouslyFormattedCitation":"[37,39,40]"},"properties":{"noteIndex":0},"schema":"https://github.com/citation-style-language/schema/raw/master/csl-citation.json"}</w:instrText>
      </w:r>
      <w:r>
        <w:fldChar w:fldCharType="separate"/>
      </w:r>
      <w:r w:rsidR="00D2308B" w:rsidRPr="00D2308B">
        <w:rPr>
          <w:noProof/>
        </w:rPr>
        <w:t>[37,39,40]</w:t>
      </w:r>
      <w:r>
        <w:fldChar w:fldCharType="end"/>
      </w:r>
      <w:r>
        <w:rPr>
          <w:rFonts w:eastAsia="Times New Roman"/>
          <w:szCs w:val="24"/>
          <w:lang w:eastAsia="ru-RU"/>
        </w:rPr>
        <w:t>.</w:t>
      </w:r>
    </w:p>
    <w:p w14:paraId="08D8681B" w14:textId="34D6DAEC" w:rsidR="00972DD8" w:rsidRDefault="00972DD8" w:rsidP="00972DD8">
      <w:pPr>
        <w:widowControl w:val="0"/>
        <w:rPr>
          <w:rFonts w:eastAsia="Times New Roman"/>
          <w:szCs w:val="24"/>
          <w:lang w:eastAsia="ru-RU"/>
        </w:rPr>
      </w:pPr>
      <w:r>
        <w:rPr>
          <w:rFonts w:eastAsia="Times New Roman"/>
          <w:szCs w:val="24"/>
          <w:lang w:eastAsia="ru-RU"/>
        </w:rPr>
        <w:t>Осуществляется лечение нефракционированным гепарином (НФГ), предпочтительно путем постоянного внутривенного введения при помощи инфузомата</w:t>
      </w:r>
      <w:r w:rsidRPr="00987C04">
        <w:rPr>
          <w:rFonts w:eastAsia="Times New Roman"/>
          <w:szCs w:val="24"/>
          <w:lang w:eastAsia="ru-RU"/>
        </w:rPr>
        <w:t xml:space="preserve"> </w:t>
      </w:r>
      <w:r>
        <w:rPr>
          <w:rFonts w:eastAsia="Times New Roman"/>
          <w:szCs w:val="24"/>
          <w:lang w:eastAsia="ru-RU"/>
        </w:rPr>
        <w:fldChar w:fldCharType="begin" w:fldLock="1"/>
      </w:r>
      <w:r w:rsidR="004C3BA5">
        <w:rPr>
          <w:rFonts w:eastAsia="Times New Roman"/>
          <w:szCs w:val="24"/>
          <w:lang w:eastAsia="ru-RU"/>
        </w:rPr>
        <w:instrText>ADDIN CSL_CITATION {"citationItems":[{"id":"ITEM-1","itemData":{"author":[{"dropping-particle":"","family":"Weitz","given":"I. C.","non-dropping-particle":"","parse-names":false,"suffix":""},{"dropping-particle":"","family":"Israel","given":"V. K.","non-dropping-particle":"","parse-names":false,"suffix":""},{"dropping-particle":"","family":"Waisman","given":"James R","non-dropping-particle":"","parse-names":false,"suffix":""},{"dropping-particle":"","family":"Presant","given":"Cary A","non-dropping-particle":"","parse-names":false,"suffix":""},{"dropping-particle":"","family":"Rochanda","given":"Leanne","non-dropping-particle":"","parse-names":false,"suffix":""},{"dropping-particle":"","family":"Liebman","given":"Howard A","non-dropping-particle":"","parse-names":false,"suffix":""}],"container-title":"Thrombosis and Haemostasis","id":"ITEM-1","issue":"2","issued":{"date-parts":[["2002"]]},"page":"213-220","title":"Chemotherapy-induced activation of hemostasis: effect of a low molecular weight heparin (dalteparin sodium) on plasma markers of hemostatic activation","type":"article-journal","volume":"88"},"uris":["http://www.mendeley.com/documents/?uuid=4bd2d375-bafa-4614-b494-989a99e4214d"]}],"mendeley":{"formattedCitation":"[42]","plainTextFormattedCitation":"[42]","previouslyFormattedCitation":"[42]"},"properties":{"noteIndex":0},"schema":"https://github.com/citation-style-language/schema/raw/master/csl-citation.json"}</w:instrText>
      </w:r>
      <w:r>
        <w:rPr>
          <w:rFonts w:eastAsia="Times New Roman"/>
          <w:szCs w:val="24"/>
          <w:lang w:eastAsia="ru-RU"/>
        </w:rPr>
        <w:fldChar w:fldCharType="separate"/>
      </w:r>
      <w:r w:rsidR="00D2308B" w:rsidRPr="00D2308B">
        <w:rPr>
          <w:rFonts w:eastAsia="Times New Roman"/>
          <w:noProof/>
          <w:szCs w:val="24"/>
          <w:lang w:eastAsia="ru-RU"/>
        </w:rPr>
        <w:t>[42]</w:t>
      </w:r>
      <w:r>
        <w:rPr>
          <w:rFonts w:eastAsia="Times New Roman"/>
          <w:szCs w:val="24"/>
          <w:lang w:eastAsia="ru-RU"/>
        </w:rPr>
        <w:fldChar w:fldCharType="end"/>
      </w:r>
      <w:r>
        <w:rPr>
          <w:rFonts w:eastAsia="Times New Roman"/>
          <w:szCs w:val="24"/>
          <w:lang w:eastAsia="ru-RU"/>
        </w:rPr>
        <w:t xml:space="preserve">. Доза гепарина подбирается по АЧТВ, которое должно составлять 1,5-2 нормы. Начальная доза гепарина составляет 1000 МЕ/час. Профилактические и лечебные режимы введения НФГ представлены в таблицах 1 и 2. </w:t>
      </w:r>
    </w:p>
    <w:p w14:paraId="711E931F" w14:textId="4310B39C" w:rsidR="00972DD8" w:rsidRDefault="00972DD8" w:rsidP="00972DD8">
      <w:pPr>
        <w:widowControl w:val="0"/>
        <w:rPr>
          <w:szCs w:val="24"/>
        </w:rPr>
      </w:pPr>
      <w:r>
        <w:rPr>
          <w:rFonts w:eastAsia="Times New Roman"/>
          <w:szCs w:val="24"/>
          <w:lang w:eastAsia="ru-RU"/>
        </w:rPr>
        <w:t>Если количество тромбоцитов в крови меньше 100 </w:t>
      </w:r>
      <w:r>
        <w:rPr>
          <w:szCs w:val="24"/>
        </w:rPr>
        <w:t>х 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дозу НФГ снижают вдвое; если меньше 50</w:t>
      </w:r>
      <w:r>
        <w:rPr>
          <w:szCs w:val="24"/>
        </w:rPr>
        <w:t>х1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НФГ отменяют. При развитии геморрагического синдрома любой тяжести введение НФГ прекращают и вводят протамина сульфат или свежезамороженную плазму (СЗП) 10</w:t>
      </w:r>
      <w:r>
        <w:rPr>
          <w:i/>
          <w:szCs w:val="24"/>
        </w:rPr>
        <w:t>—</w:t>
      </w:r>
      <w:r>
        <w:rPr>
          <w:rFonts w:eastAsia="Times New Roman"/>
          <w:szCs w:val="24"/>
          <w:lang w:eastAsia="ru-RU"/>
        </w:rPr>
        <w:t xml:space="preserve">15 мл на кг массы тела. При гепаринотерапии обязателен контроль количества тромбоцитов в крови каждые 2-3 дня. В случае развития гепарин-индуцированной тромбоцитопении </w:t>
      </w:r>
      <w:r>
        <w:rPr>
          <w:rFonts w:eastAsia="Times New Roman"/>
          <w:szCs w:val="24"/>
          <w:lang w:val="en-US" w:eastAsia="ru-RU"/>
        </w:rPr>
        <w:t>II</w:t>
      </w:r>
      <w:r>
        <w:rPr>
          <w:rFonts w:eastAsia="Times New Roman"/>
          <w:szCs w:val="24"/>
          <w:lang w:eastAsia="ru-RU"/>
        </w:rPr>
        <w:t xml:space="preserve"> типа (ГИТ </w:t>
      </w:r>
      <w:r>
        <w:rPr>
          <w:rFonts w:eastAsia="Times New Roman"/>
          <w:szCs w:val="24"/>
          <w:lang w:val="en-US" w:eastAsia="ru-RU"/>
        </w:rPr>
        <w:t>II</w:t>
      </w:r>
      <w:r>
        <w:rPr>
          <w:rFonts w:eastAsia="Times New Roman"/>
          <w:szCs w:val="24"/>
          <w:lang w:eastAsia="ru-RU"/>
        </w:rPr>
        <w:t>) любые формы гепарина отменяются, не допускается промывка гепарином катетеров. При этом с антикоагулянтной целью применяются фондапаринукс или прямые оральные антикоагулянты (</w:t>
      </w:r>
      <w:r>
        <w:rPr>
          <w:szCs w:val="24"/>
        </w:rPr>
        <w:t>ривароксабан, дабигатран, апиксабан)</w:t>
      </w:r>
      <w:r w:rsidRPr="00E425CD">
        <w:rPr>
          <w:szCs w:val="24"/>
        </w:rPr>
        <w:t xml:space="preserve"> </w:t>
      </w:r>
      <w:r>
        <w:rPr>
          <w:szCs w:val="24"/>
        </w:rPr>
        <w:fldChar w:fldCharType="begin" w:fldLock="1"/>
      </w:r>
      <w:r w:rsidR="004C3BA5">
        <w:rPr>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[43]","plainTextFormattedCitation":"[43]","previouslyFormattedCitation":"[43]"},"properties":{"noteIndex":0},"schema":"https://github.com/citation-style-language/schema/raw/master/csl-citation.json"}</w:instrText>
      </w:r>
      <w:r>
        <w:rPr>
          <w:szCs w:val="24"/>
        </w:rPr>
        <w:fldChar w:fldCharType="separate"/>
      </w:r>
      <w:r w:rsidR="00D2308B" w:rsidRPr="00D2308B">
        <w:rPr>
          <w:noProof/>
          <w:szCs w:val="24"/>
        </w:rPr>
        <w:t>[43]</w:t>
      </w:r>
      <w:r>
        <w:rPr>
          <w:szCs w:val="24"/>
        </w:rPr>
        <w:fldChar w:fldCharType="end"/>
      </w:r>
      <w:r>
        <w:rPr>
          <w:szCs w:val="24"/>
        </w:rPr>
        <w:t xml:space="preserve">. </w:t>
      </w:r>
    </w:p>
    <w:p w14:paraId="3CFEF8C2" w14:textId="77777777" w:rsidR="00972DD8" w:rsidRDefault="00972DD8" w:rsidP="00972DD8">
      <w:pPr>
        <w:widowControl w:val="0"/>
        <w:rPr>
          <w:szCs w:val="24"/>
        </w:rPr>
      </w:pPr>
      <w:r>
        <w:rPr>
          <w:szCs w:val="24"/>
        </w:rPr>
        <w:t>ГИТ необходимо дифференцировать с миелотоксической тромбоцитопенией. Дифференциальным признаком является панцитопения при миелотоксичности и изолированная тромбоцитопения при ГИТ. Изолированное снижение тромбоцитов может быть и при инфекционных осложнениях – как признак потребления при микротромбировании.</w:t>
      </w:r>
    </w:p>
    <w:p w14:paraId="1C9A04EB" w14:textId="77777777" w:rsidR="00972DD8" w:rsidRDefault="00972DD8" w:rsidP="00972DD8">
      <w:pPr>
        <w:widowControl w:val="0"/>
        <w:rPr>
          <w:rFonts w:eastAsia="Times New Roman"/>
          <w:szCs w:val="24"/>
          <w:lang w:eastAsia="ru-RU"/>
        </w:rPr>
      </w:pPr>
      <w:r>
        <w:rPr>
          <w:rFonts w:eastAsia="Times New Roman"/>
          <w:szCs w:val="24"/>
          <w:lang w:eastAsia="ru-RU"/>
        </w:rPr>
        <w:t>Альтернативой НФГ является подкожное введение низкомолекулярного гепарина (НМГ). Доза подбирается из расчета 100 анти-</w:t>
      </w:r>
      <w:r>
        <w:rPr>
          <w:rFonts w:eastAsia="Times New Roman"/>
          <w:szCs w:val="24"/>
          <w:lang w:val="en-US" w:eastAsia="ru-RU"/>
        </w:rPr>
        <w:t>Xa</w:t>
      </w:r>
      <w:r>
        <w:rPr>
          <w:rFonts w:eastAsia="Times New Roman"/>
          <w:szCs w:val="24"/>
          <w:lang w:eastAsia="ru-RU"/>
        </w:rPr>
        <w:t xml:space="preserve"> МЕ на кг массы тела. Препарат НМГ вводится подкожно 1-2 раза в день. Профилактические и лечебные режимы введения НМГ представлены в таблицах 1 и 2. </w:t>
      </w:r>
    </w:p>
    <w:p w14:paraId="5BBB6810" w14:textId="77777777" w:rsidR="00972DD8" w:rsidRDefault="00972DD8" w:rsidP="00972DD8">
      <w:pPr>
        <w:rPr>
          <w:rFonts w:eastAsia="Times New Roman"/>
          <w:szCs w:val="24"/>
          <w:lang w:eastAsia="ru-RU"/>
        </w:rPr>
      </w:pPr>
      <w:r>
        <w:rPr>
          <w:rFonts w:eastAsia="Times New Roman"/>
          <w:szCs w:val="24"/>
          <w:lang w:eastAsia="ru-RU"/>
        </w:rPr>
        <w:t>Для контроля используется анти-</w:t>
      </w:r>
      <w:r>
        <w:rPr>
          <w:rFonts w:eastAsia="Times New Roman"/>
          <w:szCs w:val="24"/>
          <w:lang w:val="en-US" w:eastAsia="ru-RU"/>
        </w:rPr>
        <w:t>X</w:t>
      </w:r>
      <w:r>
        <w:rPr>
          <w:rFonts w:eastAsia="Times New Roman"/>
          <w:szCs w:val="24"/>
          <w:lang w:eastAsia="ru-RU"/>
        </w:rPr>
        <w:t>а активность, максимальный пик которой должен составлять 0,3-1,0 МЕ/мл через 3-4 часа после введения НМГ, а именно:</w:t>
      </w:r>
    </w:p>
    <w:p w14:paraId="3F940C99" w14:textId="77777777" w:rsidR="00972DD8" w:rsidRDefault="00972DD8" w:rsidP="0010608C">
      <w:pPr>
        <w:pStyle w:val="afe"/>
        <w:numPr>
          <w:ilvl w:val="0"/>
          <w:numId w:val="24"/>
        </w:numPr>
        <w:ind w:left="1134"/>
        <w:rPr>
          <w:szCs w:val="24"/>
        </w:rPr>
      </w:pPr>
      <w:r>
        <w:rPr>
          <w:szCs w:val="24"/>
        </w:rPr>
        <w:t xml:space="preserve">при профилактической дозе НМГ – 0,3-0,4 МЕ/мл плазмы, </w:t>
      </w:r>
    </w:p>
    <w:p w14:paraId="2DB41ACE" w14:textId="77777777" w:rsidR="00972DD8" w:rsidRDefault="00972DD8" w:rsidP="0010608C">
      <w:pPr>
        <w:pStyle w:val="afe"/>
        <w:numPr>
          <w:ilvl w:val="0"/>
          <w:numId w:val="26"/>
        </w:numPr>
        <w:ind w:left="1134"/>
        <w:rPr>
          <w:szCs w:val="24"/>
        </w:rPr>
      </w:pPr>
      <w:r>
        <w:rPr>
          <w:szCs w:val="24"/>
        </w:rPr>
        <w:t>при лечебной дозе НМГ при введении 2 р/сут – 0,5-1,0 МЕ/мл плазмы,</w:t>
      </w:r>
    </w:p>
    <w:p w14:paraId="717526C7" w14:textId="77777777" w:rsidR="00972DD8" w:rsidRDefault="00972DD8" w:rsidP="0010608C">
      <w:pPr>
        <w:pStyle w:val="afe"/>
        <w:numPr>
          <w:ilvl w:val="0"/>
          <w:numId w:val="26"/>
        </w:numPr>
        <w:ind w:left="1134"/>
        <w:rPr>
          <w:szCs w:val="24"/>
        </w:rPr>
      </w:pPr>
      <w:r>
        <w:rPr>
          <w:szCs w:val="24"/>
        </w:rPr>
        <w:t>при лечебной дозе НМГ при введении 1 р/сут – 1,0-2,0 МЕ/мл плазмы.</w:t>
      </w:r>
    </w:p>
    <w:p w14:paraId="365D873F" w14:textId="77777777" w:rsidR="00972DD8" w:rsidRDefault="00972DD8" w:rsidP="00972DD8">
      <w:pPr>
        <w:ind w:left="708"/>
        <w:rPr>
          <w:bCs/>
          <w:szCs w:val="24"/>
        </w:rPr>
      </w:pPr>
    </w:p>
    <w:p w14:paraId="3D1A458B" w14:textId="77777777" w:rsidR="00972DD8" w:rsidRPr="00B46409" w:rsidRDefault="00972DD8" w:rsidP="00972DD8">
      <w:pPr>
        <w:ind w:firstLine="0"/>
        <w:rPr>
          <w:bCs/>
          <w:szCs w:val="24"/>
        </w:rPr>
      </w:pPr>
      <w:r>
        <w:rPr>
          <w:bCs/>
          <w:szCs w:val="24"/>
        </w:rPr>
        <w:t>Таблица 1</w:t>
      </w:r>
      <w:r w:rsidRPr="00B46409">
        <w:rPr>
          <w:bCs/>
          <w:szCs w:val="24"/>
        </w:rPr>
        <w:t xml:space="preserve">. Дозы антикоагулянтных препаратов </w:t>
      </w:r>
      <w:r w:rsidRPr="00B46409">
        <w:rPr>
          <w:bCs/>
          <w:iCs/>
          <w:szCs w:val="24"/>
        </w:rPr>
        <w:t>для профилактики</w:t>
      </w:r>
      <w:r>
        <w:rPr>
          <w:bCs/>
          <w:iCs/>
          <w:szCs w:val="24"/>
        </w:rPr>
        <w:t xml:space="preserve"> </w:t>
      </w:r>
      <w:r w:rsidRPr="00B46409">
        <w:rPr>
          <w:bCs/>
          <w:szCs w:val="24"/>
        </w:rPr>
        <w:t>тромботических осложнений</w:t>
      </w:r>
    </w:p>
    <w:tbl>
      <w:tblPr>
        <w:tblStyle w:val="1f6"/>
        <w:tblW w:w="86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998"/>
        <w:gridCol w:w="4678"/>
      </w:tblGrid>
      <w:tr w:rsidR="00972DD8" w:rsidRPr="00B46409" w14:paraId="32948C70" w14:textId="77777777" w:rsidTr="002D3EBF">
        <w:trPr>
          <w:trHeight w:val="452"/>
        </w:trPr>
        <w:tc>
          <w:tcPr>
            <w:tcW w:w="3998" w:type="dxa"/>
            <w:shd w:val="clear" w:color="auto" w:fill="auto"/>
          </w:tcPr>
          <w:p w14:paraId="33EAAE2D" w14:textId="77777777" w:rsidR="00972DD8" w:rsidRPr="00B46409" w:rsidRDefault="00972DD8" w:rsidP="002D3EBF">
            <w:pPr>
              <w:ind w:firstLine="0"/>
              <w:jc w:val="center"/>
              <w:rPr>
                <w:rFonts w:cs="Times New Roman"/>
                <w:bCs/>
                <w:szCs w:val="24"/>
              </w:rPr>
            </w:pPr>
            <w:r w:rsidRPr="00B46409">
              <w:rPr>
                <w:rFonts w:eastAsiaTheme="majorEastAsia" w:cs="Times New Roman"/>
                <w:bCs/>
                <w:szCs w:val="24"/>
              </w:rPr>
              <w:t>Терапия</w:t>
            </w:r>
          </w:p>
        </w:tc>
        <w:tc>
          <w:tcPr>
            <w:tcW w:w="4678" w:type="dxa"/>
            <w:shd w:val="clear" w:color="auto" w:fill="auto"/>
          </w:tcPr>
          <w:p w14:paraId="4D28D587" w14:textId="77777777" w:rsidR="00972DD8" w:rsidRPr="00B46409" w:rsidRDefault="00972DD8" w:rsidP="002D3EBF">
            <w:pPr>
              <w:ind w:firstLine="0"/>
              <w:jc w:val="center"/>
              <w:rPr>
                <w:rFonts w:cs="Times New Roman"/>
                <w:bCs/>
                <w:szCs w:val="24"/>
              </w:rPr>
            </w:pPr>
            <w:r w:rsidRPr="00B46409">
              <w:rPr>
                <w:rFonts w:eastAsiaTheme="majorEastAsia" w:cs="Times New Roman"/>
                <w:bCs/>
                <w:szCs w:val="24"/>
              </w:rPr>
              <w:t>Дозы</w:t>
            </w:r>
          </w:p>
        </w:tc>
      </w:tr>
      <w:tr w:rsidR="00972DD8" w:rsidRPr="00B46409" w14:paraId="712C660B" w14:textId="77777777" w:rsidTr="002D3EBF">
        <w:trPr>
          <w:trHeight w:val="452"/>
        </w:trPr>
        <w:tc>
          <w:tcPr>
            <w:tcW w:w="3998" w:type="dxa"/>
            <w:shd w:val="clear" w:color="auto" w:fill="auto"/>
          </w:tcPr>
          <w:p w14:paraId="07DC69DA" w14:textId="77777777" w:rsidR="00972DD8" w:rsidRPr="00B46409" w:rsidRDefault="00972DD8" w:rsidP="002D3EBF">
            <w:pPr>
              <w:ind w:firstLine="0"/>
              <w:rPr>
                <w:rFonts w:cs="Times New Roman"/>
                <w:bCs/>
                <w:szCs w:val="24"/>
              </w:rPr>
            </w:pPr>
            <w:r w:rsidRPr="00B46409">
              <w:rPr>
                <w:rFonts w:eastAsiaTheme="majorEastAsia" w:cs="Times New Roman"/>
                <w:bCs/>
                <w:szCs w:val="24"/>
              </w:rPr>
              <w:t>Нефракционированный гепарин</w:t>
            </w:r>
          </w:p>
        </w:tc>
        <w:tc>
          <w:tcPr>
            <w:tcW w:w="4678" w:type="dxa"/>
            <w:shd w:val="clear" w:color="auto" w:fill="auto"/>
          </w:tcPr>
          <w:p w14:paraId="2DD57669" w14:textId="77777777" w:rsidR="00972DD8" w:rsidRPr="00B46409" w:rsidRDefault="00972DD8" w:rsidP="002D3EBF">
            <w:pPr>
              <w:ind w:firstLine="0"/>
              <w:rPr>
                <w:rFonts w:cs="Times New Roman"/>
                <w:bCs/>
                <w:szCs w:val="24"/>
              </w:rPr>
            </w:pPr>
            <w:r>
              <w:rPr>
                <w:rFonts w:eastAsiaTheme="majorEastAsia" w:cs="Times New Roman"/>
                <w:bCs/>
                <w:szCs w:val="24"/>
              </w:rPr>
              <w:t>500 МЕ/час</w:t>
            </w:r>
            <w:r w:rsidRPr="00B46409">
              <w:rPr>
                <w:rFonts w:eastAsiaTheme="majorEastAsia" w:cs="Times New Roman"/>
                <w:bCs/>
                <w:szCs w:val="24"/>
              </w:rPr>
              <w:t xml:space="preserve"> </w:t>
            </w:r>
            <w:r>
              <w:rPr>
                <w:rFonts w:eastAsiaTheme="majorEastAsia" w:cs="Times New Roman"/>
                <w:bCs/>
                <w:szCs w:val="24"/>
              </w:rPr>
              <w:t>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972DD8" w:rsidRPr="00B46409" w14:paraId="49EA19CF" w14:textId="77777777" w:rsidTr="002D3EBF">
        <w:trPr>
          <w:trHeight w:val="452"/>
        </w:trPr>
        <w:tc>
          <w:tcPr>
            <w:tcW w:w="3998" w:type="dxa"/>
            <w:shd w:val="clear" w:color="auto" w:fill="auto"/>
          </w:tcPr>
          <w:p w14:paraId="4F53B446" w14:textId="77777777" w:rsidR="00972DD8" w:rsidRPr="00B46409" w:rsidRDefault="00972DD8" w:rsidP="002D3EBF">
            <w:pPr>
              <w:ind w:firstLine="0"/>
              <w:rPr>
                <w:rFonts w:cs="Times New Roman"/>
                <w:bCs/>
                <w:szCs w:val="24"/>
              </w:rPr>
            </w:pPr>
            <w:r w:rsidRPr="00B46409">
              <w:rPr>
                <w:rFonts w:eastAsiaTheme="majorEastAsia" w:cs="Times New Roman"/>
                <w:bCs/>
                <w:szCs w:val="24"/>
              </w:rPr>
              <w:t>Далтепарин натрия</w:t>
            </w:r>
          </w:p>
        </w:tc>
        <w:tc>
          <w:tcPr>
            <w:tcW w:w="4678" w:type="dxa"/>
            <w:shd w:val="clear" w:color="auto" w:fill="auto"/>
          </w:tcPr>
          <w:p w14:paraId="5937BA12" w14:textId="77777777" w:rsidR="00972DD8" w:rsidRPr="00B46409" w:rsidRDefault="00972DD8" w:rsidP="002D3EBF">
            <w:pPr>
              <w:ind w:firstLine="0"/>
              <w:rPr>
                <w:rFonts w:cs="Times New Roman"/>
                <w:bCs/>
                <w:szCs w:val="24"/>
              </w:rPr>
            </w:pPr>
            <w:r w:rsidRPr="00B46409">
              <w:rPr>
                <w:rFonts w:eastAsiaTheme="majorEastAsia" w:cs="Times New Roman"/>
                <w:bCs/>
                <w:szCs w:val="24"/>
              </w:rPr>
              <w:t>5000 МЕ 1 раз в день, п/к</w:t>
            </w:r>
          </w:p>
        </w:tc>
      </w:tr>
      <w:tr w:rsidR="00972DD8" w:rsidRPr="00B46409" w14:paraId="7C3F7F1F" w14:textId="77777777" w:rsidTr="002D3EBF">
        <w:trPr>
          <w:trHeight w:val="452"/>
        </w:trPr>
        <w:tc>
          <w:tcPr>
            <w:tcW w:w="3998" w:type="dxa"/>
            <w:shd w:val="clear" w:color="auto" w:fill="auto"/>
          </w:tcPr>
          <w:p w14:paraId="34ECE8CD" w14:textId="77777777" w:rsidR="00972DD8" w:rsidRPr="00B46409" w:rsidRDefault="00972DD8" w:rsidP="002D3EBF">
            <w:pPr>
              <w:ind w:firstLine="0"/>
              <w:rPr>
                <w:rFonts w:cs="Times New Roman"/>
                <w:bCs/>
                <w:szCs w:val="24"/>
              </w:rPr>
            </w:pPr>
            <w:r w:rsidRPr="00B46409">
              <w:rPr>
                <w:rFonts w:eastAsiaTheme="majorEastAsia" w:cs="Times New Roman"/>
                <w:bCs/>
                <w:szCs w:val="24"/>
              </w:rPr>
              <w:t>Эноксапарин натрия</w:t>
            </w:r>
          </w:p>
        </w:tc>
        <w:tc>
          <w:tcPr>
            <w:tcW w:w="4678" w:type="dxa"/>
            <w:shd w:val="clear" w:color="auto" w:fill="auto"/>
          </w:tcPr>
          <w:p w14:paraId="7FABC8B3" w14:textId="77777777" w:rsidR="00972DD8" w:rsidRPr="00B46409" w:rsidRDefault="00972DD8" w:rsidP="002D3EBF">
            <w:pPr>
              <w:ind w:firstLine="0"/>
              <w:rPr>
                <w:rFonts w:cs="Times New Roman"/>
                <w:bCs/>
                <w:szCs w:val="24"/>
              </w:rPr>
            </w:pPr>
            <w:r w:rsidRPr="00B46409">
              <w:rPr>
                <w:rFonts w:eastAsiaTheme="majorEastAsia" w:cs="Times New Roman"/>
                <w:bCs/>
                <w:szCs w:val="24"/>
              </w:rPr>
              <w:t>0,4 мл 1 раз в день, п/к</w:t>
            </w:r>
          </w:p>
        </w:tc>
      </w:tr>
      <w:tr w:rsidR="00972DD8" w:rsidRPr="00B46409" w14:paraId="4B1B500F" w14:textId="77777777" w:rsidTr="002D3EBF">
        <w:trPr>
          <w:trHeight w:val="452"/>
        </w:trPr>
        <w:tc>
          <w:tcPr>
            <w:tcW w:w="3998" w:type="dxa"/>
            <w:shd w:val="clear" w:color="auto" w:fill="auto"/>
          </w:tcPr>
          <w:p w14:paraId="2AFCD175" w14:textId="77777777" w:rsidR="00972DD8" w:rsidRPr="00B46409" w:rsidRDefault="00972DD8" w:rsidP="002D3EBF">
            <w:pPr>
              <w:ind w:firstLine="0"/>
              <w:rPr>
                <w:rFonts w:cs="Times New Roman"/>
                <w:bCs/>
                <w:szCs w:val="24"/>
              </w:rPr>
            </w:pPr>
            <w:r w:rsidRPr="00B46409">
              <w:rPr>
                <w:rFonts w:eastAsiaTheme="majorEastAsia" w:cs="Times New Roman"/>
                <w:bCs/>
                <w:szCs w:val="24"/>
              </w:rPr>
              <w:t>Надропарин кальция</w:t>
            </w:r>
          </w:p>
        </w:tc>
        <w:tc>
          <w:tcPr>
            <w:tcW w:w="4678" w:type="dxa"/>
            <w:shd w:val="clear" w:color="auto" w:fill="auto"/>
          </w:tcPr>
          <w:p w14:paraId="3FFC3F75" w14:textId="77777777" w:rsidR="00972DD8" w:rsidRPr="00B46409" w:rsidRDefault="00972DD8" w:rsidP="002D3EBF">
            <w:pPr>
              <w:ind w:firstLine="0"/>
              <w:rPr>
                <w:rFonts w:cs="Times New Roman"/>
                <w:bCs/>
                <w:szCs w:val="24"/>
              </w:rPr>
            </w:pPr>
            <w:r w:rsidRPr="00B46409">
              <w:rPr>
                <w:rFonts w:eastAsiaTheme="majorEastAsia" w:cs="Times New Roman"/>
                <w:bCs/>
                <w:szCs w:val="24"/>
              </w:rPr>
              <w:t>0,3 мл 1 раз в день, п/к</w:t>
            </w:r>
          </w:p>
        </w:tc>
      </w:tr>
      <w:tr w:rsidR="00972DD8" w:rsidRPr="00B46409" w14:paraId="3B0B2351" w14:textId="77777777" w:rsidTr="002D3EBF">
        <w:trPr>
          <w:trHeight w:val="452"/>
        </w:trPr>
        <w:tc>
          <w:tcPr>
            <w:tcW w:w="3998" w:type="dxa"/>
            <w:shd w:val="clear" w:color="auto" w:fill="auto"/>
          </w:tcPr>
          <w:p w14:paraId="71DB2025" w14:textId="77777777" w:rsidR="00972DD8" w:rsidRPr="00B46409" w:rsidRDefault="00972DD8" w:rsidP="002D3EBF">
            <w:pPr>
              <w:ind w:firstLine="0"/>
              <w:rPr>
                <w:rFonts w:cs="Times New Roman"/>
                <w:bCs/>
                <w:szCs w:val="24"/>
              </w:rPr>
            </w:pPr>
            <w:r w:rsidRPr="00B46409">
              <w:rPr>
                <w:rFonts w:eastAsiaTheme="majorEastAsia" w:cs="Times New Roman"/>
                <w:bCs/>
                <w:szCs w:val="24"/>
              </w:rPr>
              <w:t>Фондапаринукс натрия</w:t>
            </w:r>
          </w:p>
        </w:tc>
        <w:tc>
          <w:tcPr>
            <w:tcW w:w="4678" w:type="dxa"/>
            <w:shd w:val="clear" w:color="auto" w:fill="auto"/>
          </w:tcPr>
          <w:p w14:paraId="7E6D1D54" w14:textId="77777777" w:rsidR="00972DD8" w:rsidRPr="00B46409" w:rsidRDefault="00972DD8" w:rsidP="002D3EBF">
            <w:pPr>
              <w:ind w:firstLine="0"/>
              <w:rPr>
                <w:rFonts w:cs="Times New Roman"/>
                <w:bCs/>
                <w:szCs w:val="24"/>
              </w:rPr>
            </w:pPr>
            <w:r w:rsidRPr="00B46409">
              <w:rPr>
                <w:rFonts w:eastAsiaTheme="majorEastAsia" w:cs="Times New Roman"/>
                <w:bCs/>
                <w:szCs w:val="24"/>
              </w:rPr>
              <w:t>2,5 мг 1 раз в день, п/к</w:t>
            </w:r>
          </w:p>
        </w:tc>
      </w:tr>
      <w:tr w:rsidR="00972DD8" w:rsidRPr="00B46409" w14:paraId="22A0EDD5" w14:textId="77777777" w:rsidTr="002D3EBF">
        <w:trPr>
          <w:trHeight w:val="452"/>
        </w:trPr>
        <w:tc>
          <w:tcPr>
            <w:tcW w:w="3998" w:type="dxa"/>
            <w:shd w:val="clear" w:color="auto" w:fill="auto"/>
          </w:tcPr>
          <w:p w14:paraId="3556A162"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4678" w:type="dxa"/>
            <w:shd w:val="clear" w:color="auto" w:fill="auto"/>
          </w:tcPr>
          <w:p w14:paraId="577A06F7"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w:t>
            </w:r>
            <w:r>
              <w:rPr>
                <w:rFonts w:eastAsia="Times New Roman" w:cs="Times New Roman"/>
                <w:bCs/>
                <w:color w:val="000000" w:themeColor="dark1" w:themeShade="BF"/>
                <w:kern w:val="2"/>
                <w:szCs w:val="24"/>
                <w:lang w:eastAsia="ru-RU"/>
              </w:rPr>
              <w:t>под контролем МНО (ц</w:t>
            </w:r>
            <w:r w:rsidRPr="00A4634E">
              <w:rPr>
                <w:rFonts w:eastAsia="Times New Roman" w:cs="Times New Roman"/>
                <w:bCs/>
                <w:color w:val="000000" w:themeColor="dark1" w:themeShade="BF"/>
                <w:kern w:val="2"/>
                <w:szCs w:val="24"/>
                <w:lang w:eastAsia="ru-RU"/>
              </w:rPr>
              <w:t>елевые значе</w:t>
            </w:r>
            <w:r>
              <w:rPr>
                <w:rFonts w:eastAsia="Times New Roman" w:cs="Times New Roman"/>
                <w:bCs/>
                <w:color w:val="000000" w:themeColor="dark1" w:themeShade="BF"/>
                <w:kern w:val="2"/>
                <w:szCs w:val="24"/>
                <w:lang w:eastAsia="ru-RU"/>
              </w:rPr>
              <w:t>ния МНО: 2.0-2.5)</w:t>
            </w:r>
            <w:r w:rsidRPr="00A4634E">
              <w:rPr>
                <w:rFonts w:eastAsia="Times New Roman" w:cs="Times New Roman"/>
                <w:bCs/>
                <w:color w:val="000000" w:themeColor="dark1" w:themeShade="BF"/>
                <w:kern w:val="2"/>
                <w:szCs w:val="24"/>
                <w:lang w:eastAsia="ru-RU"/>
              </w:rPr>
              <w:t xml:space="preserve">, </w:t>
            </w:r>
          </w:p>
          <w:p w14:paraId="7F6A0DD0"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972DD8" w:rsidRPr="00B46409" w14:paraId="02A8BBF8" w14:textId="77777777" w:rsidTr="002D3EBF">
        <w:trPr>
          <w:trHeight w:val="452"/>
        </w:trPr>
        <w:tc>
          <w:tcPr>
            <w:tcW w:w="3998" w:type="dxa"/>
            <w:shd w:val="clear" w:color="auto" w:fill="auto"/>
          </w:tcPr>
          <w:p w14:paraId="12D0D53B"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Ривароксабан</w:t>
            </w:r>
          </w:p>
        </w:tc>
        <w:tc>
          <w:tcPr>
            <w:tcW w:w="4678" w:type="dxa"/>
            <w:shd w:val="clear" w:color="auto" w:fill="auto"/>
          </w:tcPr>
          <w:p w14:paraId="7090EB88" w14:textId="77777777" w:rsidR="00972DD8" w:rsidRPr="00A4634E" w:rsidRDefault="00972DD8" w:rsidP="002D3EB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10-</w:t>
            </w:r>
            <w:r w:rsidRPr="00A4634E">
              <w:rPr>
                <w:rFonts w:eastAsia="Times New Roman" w:cs="Times New Roman"/>
                <w:bCs/>
                <w:color w:val="000000" w:themeColor="dark1" w:themeShade="BF"/>
                <w:kern w:val="2"/>
                <w:szCs w:val="24"/>
                <w:lang w:eastAsia="ru-RU"/>
              </w:rPr>
              <w:t>20 мг утром, перорально</w:t>
            </w:r>
          </w:p>
        </w:tc>
      </w:tr>
      <w:tr w:rsidR="00972DD8" w:rsidRPr="00B46409" w14:paraId="6C51F2F7" w14:textId="77777777" w:rsidTr="002D3EBF">
        <w:trPr>
          <w:trHeight w:val="452"/>
        </w:trPr>
        <w:tc>
          <w:tcPr>
            <w:tcW w:w="3998" w:type="dxa"/>
            <w:shd w:val="clear" w:color="auto" w:fill="auto"/>
          </w:tcPr>
          <w:p w14:paraId="1E3FBA70"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4678" w:type="dxa"/>
            <w:shd w:val="clear" w:color="auto" w:fill="auto"/>
          </w:tcPr>
          <w:p w14:paraId="0DE02E03" w14:textId="77777777" w:rsidR="00972DD8" w:rsidRPr="00A4634E" w:rsidRDefault="00972DD8" w:rsidP="002D3EB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2,5</w:t>
            </w:r>
            <w:r w:rsidRPr="00A4634E">
              <w:rPr>
                <w:rFonts w:eastAsia="Times New Roman" w:cs="Times New Roman"/>
                <w:bCs/>
                <w:color w:val="000000" w:themeColor="dark1" w:themeShade="BF"/>
                <w:kern w:val="2"/>
                <w:szCs w:val="24"/>
                <w:lang w:eastAsia="ru-RU"/>
              </w:rPr>
              <w:t xml:space="preserve"> мг х 2 р/сутки, перорально</w:t>
            </w:r>
          </w:p>
        </w:tc>
      </w:tr>
      <w:tr w:rsidR="00972DD8" w:rsidRPr="00B46409" w14:paraId="59BF5EEE" w14:textId="77777777" w:rsidTr="002D3EBF">
        <w:trPr>
          <w:trHeight w:val="452"/>
        </w:trPr>
        <w:tc>
          <w:tcPr>
            <w:tcW w:w="3998" w:type="dxa"/>
            <w:shd w:val="clear" w:color="auto" w:fill="auto"/>
          </w:tcPr>
          <w:p w14:paraId="1EE2F1AE"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4678" w:type="dxa"/>
            <w:shd w:val="clear" w:color="auto" w:fill="auto"/>
          </w:tcPr>
          <w:p w14:paraId="035E751C" w14:textId="77777777" w:rsidR="00972DD8" w:rsidRPr="00A4634E" w:rsidRDefault="00972DD8" w:rsidP="002D3EB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110-</w:t>
            </w:r>
            <w:r w:rsidRPr="00A4634E">
              <w:rPr>
                <w:rFonts w:eastAsia="Times New Roman" w:cs="Times New Roman"/>
                <w:bCs/>
                <w:color w:val="000000" w:themeColor="dark1" w:themeShade="BF"/>
                <w:kern w:val="2"/>
                <w:szCs w:val="24"/>
                <w:lang w:eastAsia="ru-RU"/>
              </w:rPr>
              <w:t>150 мг х 2р/сутки, перорально</w:t>
            </w:r>
          </w:p>
        </w:tc>
      </w:tr>
    </w:tbl>
    <w:p w14:paraId="1DA9AD4D" w14:textId="77777777" w:rsidR="00972DD8" w:rsidRDefault="00972DD8" w:rsidP="00972DD8">
      <w:pPr>
        <w:rPr>
          <w:b/>
          <w:bCs/>
          <w:szCs w:val="24"/>
        </w:rPr>
      </w:pPr>
    </w:p>
    <w:p w14:paraId="116A187A" w14:textId="77777777" w:rsidR="00972DD8" w:rsidRPr="00A4634E" w:rsidRDefault="00972DD8" w:rsidP="00972DD8">
      <w:pPr>
        <w:ind w:firstLine="0"/>
        <w:rPr>
          <w:szCs w:val="24"/>
        </w:rPr>
      </w:pPr>
      <w:r w:rsidRPr="00A4634E">
        <w:rPr>
          <w:bCs/>
          <w:szCs w:val="24"/>
        </w:rPr>
        <w:t xml:space="preserve">Таблица </w:t>
      </w:r>
      <w:r>
        <w:rPr>
          <w:bCs/>
          <w:szCs w:val="24"/>
        </w:rPr>
        <w:t>2</w:t>
      </w:r>
      <w:r w:rsidRPr="00A4634E">
        <w:rPr>
          <w:bCs/>
          <w:szCs w:val="24"/>
        </w:rPr>
        <w:t xml:space="preserve">. Режимы антикоагулянтной терапии </w:t>
      </w:r>
      <w:r w:rsidRPr="00A4634E">
        <w:rPr>
          <w:bCs/>
          <w:iCs/>
          <w:szCs w:val="24"/>
        </w:rPr>
        <w:t xml:space="preserve">для лечения </w:t>
      </w:r>
      <w:r w:rsidRPr="00A4634E">
        <w:rPr>
          <w:bCs/>
          <w:szCs w:val="24"/>
        </w:rPr>
        <w:t>тромботических осложнений</w:t>
      </w:r>
    </w:p>
    <w:tbl>
      <w:tblPr>
        <w:tblStyle w:val="1f6"/>
        <w:tblW w:w="86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573"/>
        <w:gridCol w:w="5103"/>
      </w:tblGrid>
      <w:tr w:rsidR="00972DD8" w:rsidRPr="00A4634E" w14:paraId="4C9EF952" w14:textId="77777777" w:rsidTr="002D3EBF">
        <w:trPr>
          <w:trHeight w:val="333"/>
        </w:trPr>
        <w:tc>
          <w:tcPr>
            <w:tcW w:w="3573" w:type="dxa"/>
            <w:shd w:val="clear" w:color="auto" w:fill="auto"/>
          </w:tcPr>
          <w:p w14:paraId="2E39A7F5" w14:textId="77777777" w:rsidR="00972DD8" w:rsidRPr="00A4634E" w:rsidRDefault="00972DD8" w:rsidP="002D3EBF">
            <w:pPr>
              <w:ind w:firstLine="0"/>
              <w:jc w:val="center"/>
              <w:rPr>
                <w:rFonts w:eastAsia="Times New Roman" w:cs="Times New Roman"/>
                <w:szCs w:val="24"/>
                <w:lang w:eastAsia="ru-RU"/>
              </w:rPr>
            </w:pPr>
            <w:r>
              <w:rPr>
                <w:rFonts w:eastAsia="Times New Roman" w:cs="Times New Roman"/>
                <w:bCs/>
                <w:color w:val="000000" w:themeColor="text1" w:themeShade="BF"/>
                <w:kern w:val="2"/>
                <w:szCs w:val="24"/>
                <w:lang w:eastAsia="ru-RU"/>
              </w:rPr>
              <w:t>Препарат</w:t>
            </w:r>
          </w:p>
        </w:tc>
        <w:tc>
          <w:tcPr>
            <w:tcW w:w="5103" w:type="dxa"/>
            <w:shd w:val="clear" w:color="auto" w:fill="auto"/>
          </w:tcPr>
          <w:p w14:paraId="74ED3F36" w14:textId="77777777" w:rsidR="00972DD8" w:rsidRPr="00A4634E" w:rsidRDefault="00972DD8" w:rsidP="002D3EBF">
            <w:pPr>
              <w:ind w:firstLine="0"/>
              <w:jc w:val="center"/>
              <w:rPr>
                <w:rFonts w:eastAsia="Times New Roman" w:cs="Times New Roman"/>
                <w:szCs w:val="24"/>
                <w:lang w:eastAsia="ru-RU"/>
              </w:rPr>
            </w:pPr>
            <w:r w:rsidRPr="00A4634E">
              <w:rPr>
                <w:rFonts w:eastAsia="Times New Roman" w:cs="Times New Roman"/>
                <w:bCs/>
                <w:color w:val="000000" w:themeColor="text1" w:themeShade="BF"/>
                <w:kern w:val="2"/>
                <w:szCs w:val="24"/>
                <w:lang w:eastAsia="ru-RU"/>
              </w:rPr>
              <w:t>Доза</w:t>
            </w:r>
          </w:p>
        </w:tc>
      </w:tr>
      <w:tr w:rsidR="00972DD8" w:rsidRPr="00A4634E" w14:paraId="48A25789" w14:textId="77777777" w:rsidTr="002D3EBF">
        <w:trPr>
          <w:trHeight w:val="574"/>
        </w:trPr>
        <w:tc>
          <w:tcPr>
            <w:tcW w:w="3573" w:type="dxa"/>
            <w:shd w:val="clear" w:color="auto" w:fill="auto"/>
          </w:tcPr>
          <w:p w14:paraId="09CF9EA0"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Нефракционированный гепарин</w:t>
            </w:r>
          </w:p>
        </w:tc>
        <w:tc>
          <w:tcPr>
            <w:tcW w:w="5103" w:type="dxa"/>
            <w:shd w:val="clear" w:color="auto" w:fill="auto"/>
          </w:tcPr>
          <w:p w14:paraId="7D051FD0" w14:textId="77777777" w:rsidR="00972DD8" w:rsidRPr="00A4634E" w:rsidRDefault="00972DD8" w:rsidP="002D3EB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1000 МЕ/час 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972DD8" w:rsidRPr="00A4634E" w14:paraId="134BD077" w14:textId="77777777" w:rsidTr="002D3EBF">
        <w:trPr>
          <w:trHeight w:val="574"/>
        </w:trPr>
        <w:tc>
          <w:tcPr>
            <w:tcW w:w="3573" w:type="dxa"/>
            <w:shd w:val="clear" w:color="auto" w:fill="auto"/>
          </w:tcPr>
          <w:p w14:paraId="17050F0B"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Далтепарин натрия</w:t>
            </w:r>
          </w:p>
        </w:tc>
        <w:tc>
          <w:tcPr>
            <w:tcW w:w="5103" w:type="dxa"/>
            <w:shd w:val="clear" w:color="auto" w:fill="auto"/>
          </w:tcPr>
          <w:p w14:paraId="381EDE88" w14:textId="77777777" w:rsidR="00972DD8" w:rsidRPr="00A4634E" w:rsidRDefault="00972DD8" w:rsidP="002D3EBF">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 xml:space="preserve">100 МЕ/кг каждые 12 ч или 200 МЕ/кг 1 раз в день, </w:t>
            </w:r>
            <w:r w:rsidRPr="00A4634E">
              <w:rPr>
                <w:rFonts w:eastAsia="Times New Roman" w:cs="Times New Roman"/>
                <w:bCs/>
                <w:color w:val="000000" w:themeColor="dark1" w:themeShade="BF"/>
                <w:kern w:val="2"/>
                <w:szCs w:val="24"/>
                <w:lang w:eastAsia="ru-RU"/>
              </w:rPr>
              <w:t>п/к</w:t>
            </w:r>
          </w:p>
        </w:tc>
      </w:tr>
      <w:tr w:rsidR="00972DD8" w:rsidRPr="00A4634E" w14:paraId="36C8AC69" w14:textId="77777777" w:rsidTr="002D3EBF">
        <w:trPr>
          <w:trHeight w:val="333"/>
        </w:trPr>
        <w:tc>
          <w:tcPr>
            <w:tcW w:w="3573" w:type="dxa"/>
            <w:shd w:val="clear" w:color="auto" w:fill="auto"/>
          </w:tcPr>
          <w:p w14:paraId="5E891C87"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Эноксапарин натрия</w:t>
            </w:r>
          </w:p>
        </w:tc>
        <w:tc>
          <w:tcPr>
            <w:tcW w:w="5103" w:type="dxa"/>
            <w:shd w:val="clear" w:color="auto" w:fill="auto"/>
          </w:tcPr>
          <w:p w14:paraId="4D1842D4"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100 МЕ/кг каждые 12 ч </w:t>
            </w:r>
            <w:r>
              <w:rPr>
                <w:rFonts w:eastAsia="Times New Roman" w:cs="Times New Roman"/>
                <w:bCs/>
                <w:color w:val="000000" w:themeColor="dark1" w:themeShade="BF"/>
                <w:kern w:val="2"/>
                <w:szCs w:val="24"/>
                <w:lang w:eastAsia="ru-RU"/>
              </w:rPr>
              <w:t>или</w:t>
            </w:r>
            <w:r w:rsidRPr="00A4634E">
              <w:rPr>
                <w:rFonts w:eastAsia="Times New Roman" w:cs="Times New Roman"/>
                <w:bCs/>
                <w:color w:val="000000" w:themeColor="dark1" w:themeShade="BF"/>
                <w:kern w:val="2"/>
                <w:szCs w:val="24"/>
                <w:lang w:eastAsia="ru-RU"/>
              </w:rPr>
              <w:t xml:space="preserve"> 1,5 мг/кг 1 раз в день, п/к</w:t>
            </w:r>
          </w:p>
        </w:tc>
      </w:tr>
      <w:tr w:rsidR="00972DD8" w:rsidRPr="00A4634E" w14:paraId="3CD214CD" w14:textId="77777777" w:rsidTr="002D3EBF">
        <w:trPr>
          <w:trHeight w:val="333"/>
        </w:trPr>
        <w:tc>
          <w:tcPr>
            <w:tcW w:w="3573" w:type="dxa"/>
            <w:shd w:val="clear" w:color="auto" w:fill="auto"/>
          </w:tcPr>
          <w:p w14:paraId="4B8B197A"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Надропарин кальция</w:t>
            </w:r>
          </w:p>
        </w:tc>
        <w:tc>
          <w:tcPr>
            <w:tcW w:w="5103" w:type="dxa"/>
            <w:shd w:val="clear" w:color="auto" w:fill="auto"/>
          </w:tcPr>
          <w:p w14:paraId="325D354A"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86 МЕ/кг х 2 раза в день, п/к</w:t>
            </w:r>
          </w:p>
        </w:tc>
      </w:tr>
      <w:tr w:rsidR="00972DD8" w:rsidRPr="00A4634E" w14:paraId="470B994D" w14:textId="77777777" w:rsidTr="002D3EBF">
        <w:trPr>
          <w:trHeight w:val="821"/>
        </w:trPr>
        <w:tc>
          <w:tcPr>
            <w:tcW w:w="3573" w:type="dxa"/>
            <w:shd w:val="clear" w:color="auto" w:fill="auto"/>
          </w:tcPr>
          <w:p w14:paraId="6274C9CC"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Фондапаринукс натрия</w:t>
            </w:r>
          </w:p>
        </w:tc>
        <w:tc>
          <w:tcPr>
            <w:tcW w:w="5103" w:type="dxa"/>
            <w:shd w:val="clear" w:color="auto" w:fill="auto"/>
          </w:tcPr>
          <w:p w14:paraId="356E8255"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менее 50 кг: 5 мг 1 раз в день</w:t>
            </w:r>
            <w:r>
              <w:rPr>
                <w:rFonts w:eastAsia="Times New Roman" w:cs="Times New Roman"/>
                <w:bCs/>
                <w:color w:val="000000" w:themeColor="dark1" w:themeShade="BF"/>
                <w:kern w:val="2"/>
                <w:szCs w:val="24"/>
                <w:lang w:eastAsia="ru-RU"/>
              </w:rPr>
              <w:t>, п/к</w:t>
            </w:r>
          </w:p>
          <w:p w14:paraId="6B8ACDF1"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50—100 кг: 7,5 мг 1 раз в д</w:t>
            </w:r>
            <w:r>
              <w:rPr>
                <w:rFonts w:eastAsia="Times New Roman" w:cs="Times New Roman"/>
                <w:bCs/>
                <w:color w:val="000000" w:themeColor="dark1" w:themeShade="BF"/>
                <w:kern w:val="2"/>
                <w:szCs w:val="24"/>
                <w:lang w:eastAsia="ru-RU"/>
              </w:rPr>
              <w:t xml:space="preserve">ень, п/к                         </w:t>
            </w:r>
            <w:r w:rsidRPr="00A4634E">
              <w:rPr>
                <w:rFonts w:eastAsia="Times New Roman" w:cs="Times New Roman"/>
                <w:bCs/>
                <w:color w:val="000000" w:themeColor="dark1" w:themeShade="BF"/>
                <w:kern w:val="2"/>
                <w:szCs w:val="24"/>
                <w:lang w:eastAsia="ru-RU"/>
              </w:rPr>
              <w:t>более 100 кг: 10 мг 1 раз в день</w:t>
            </w:r>
            <w:r>
              <w:rPr>
                <w:rFonts w:eastAsia="Times New Roman" w:cs="Times New Roman"/>
                <w:bCs/>
                <w:color w:val="000000" w:themeColor="dark1" w:themeShade="BF"/>
                <w:kern w:val="2"/>
                <w:szCs w:val="24"/>
                <w:lang w:eastAsia="ru-RU"/>
              </w:rPr>
              <w:t>, п/к</w:t>
            </w:r>
          </w:p>
        </w:tc>
      </w:tr>
      <w:tr w:rsidR="00972DD8" w:rsidRPr="00A4634E" w14:paraId="7FBAF402" w14:textId="77777777" w:rsidTr="002D3EBF">
        <w:trPr>
          <w:trHeight w:val="821"/>
        </w:trPr>
        <w:tc>
          <w:tcPr>
            <w:tcW w:w="3573" w:type="dxa"/>
            <w:shd w:val="clear" w:color="auto" w:fill="auto"/>
          </w:tcPr>
          <w:p w14:paraId="2304F777"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5103" w:type="dxa"/>
            <w:shd w:val="clear" w:color="auto" w:fill="auto"/>
          </w:tcPr>
          <w:p w14:paraId="10965791"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целевые значения МНО: 2.0—3.0, </w:t>
            </w:r>
          </w:p>
          <w:p w14:paraId="72AA0627"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972DD8" w:rsidRPr="00A4634E" w14:paraId="5AA2856E" w14:textId="77777777" w:rsidTr="002D3EBF">
        <w:trPr>
          <w:trHeight w:val="387"/>
        </w:trPr>
        <w:tc>
          <w:tcPr>
            <w:tcW w:w="3573" w:type="dxa"/>
            <w:shd w:val="clear" w:color="auto" w:fill="auto"/>
          </w:tcPr>
          <w:p w14:paraId="422FFC05"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Ривароксабан</w:t>
            </w:r>
          </w:p>
        </w:tc>
        <w:tc>
          <w:tcPr>
            <w:tcW w:w="5103" w:type="dxa"/>
            <w:shd w:val="clear" w:color="auto" w:fill="auto"/>
          </w:tcPr>
          <w:p w14:paraId="45E41911"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15 мг х 2 р/сутки в течение 21 дня, далее 20 мг утром, перорально</w:t>
            </w:r>
          </w:p>
        </w:tc>
      </w:tr>
      <w:tr w:rsidR="00972DD8" w:rsidRPr="00A4634E" w14:paraId="6A304EDC" w14:textId="77777777" w:rsidTr="002D3EBF">
        <w:trPr>
          <w:trHeight w:val="333"/>
        </w:trPr>
        <w:tc>
          <w:tcPr>
            <w:tcW w:w="3573" w:type="dxa"/>
            <w:shd w:val="clear" w:color="auto" w:fill="auto"/>
          </w:tcPr>
          <w:p w14:paraId="27E5A827"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5103" w:type="dxa"/>
            <w:shd w:val="clear" w:color="auto" w:fill="auto"/>
          </w:tcPr>
          <w:p w14:paraId="307095D1"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5,0 мг х 2 р/сутки, перорально</w:t>
            </w:r>
          </w:p>
        </w:tc>
      </w:tr>
      <w:tr w:rsidR="00972DD8" w:rsidRPr="00A4634E" w14:paraId="76FCA11A" w14:textId="77777777" w:rsidTr="002D3EBF">
        <w:trPr>
          <w:trHeight w:val="333"/>
        </w:trPr>
        <w:tc>
          <w:tcPr>
            <w:tcW w:w="3573" w:type="dxa"/>
            <w:shd w:val="clear" w:color="auto" w:fill="auto"/>
          </w:tcPr>
          <w:p w14:paraId="5A4E4941"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5103" w:type="dxa"/>
            <w:shd w:val="clear" w:color="auto" w:fill="auto"/>
          </w:tcPr>
          <w:p w14:paraId="085D1BB5" w14:textId="77777777" w:rsidR="00972DD8" w:rsidRPr="00A4634E" w:rsidRDefault="00972DD8" w:rsidP="002D3EBF">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150 мг х 2р/сутки, перорально</w:t>
            </w:r>
          </w:p>
        </w:tc>
      </w:tr>
    </w:tbl>
    <w:p w14:paraId="54BD650B" w14:textId="77777777" w:rsidR="00972DD8" w:rsidRDefault="00972DD8" w:rsidP="00972DD8">
      <w:pPr>
        <w:rPr>
          <w:szCs w:val="24"/>
        </w:rPr>
      </w:pPr>
    </w:p>
    <w:p w14:paraId="00DA47EB" w14:textId="77777777" w:rsidR="00972DD8" w:rsidRDefault="00972DD8" w:rsidP="00972DD8">
      <w:pPr>
        <w:ind w:firstLine="360"/>
        <w:rPr>
          <w:rFonts w:eastAsia="Times New Roman"/>
          <w:szCs w:val="24"/>
          <w:lang w:eastAsia="ru-RU"/>
        </w:rPr>
      </w:pPr>
    </w:p>
    <w:p w14:paraId="5105AB95" w14:textId="77777777" w:rsidR="00972DD8" w:rsidRDefault="00972DD8" w:rsidP="00972DD8">
      <w:pPr>
        <w:rPr>
          <w:szCs w:val="24"/>
        </w:rPr>
      </w:pPr>
      <w:r>
        <w:rPr>
          <w:rFonts w:eastAsia="Times New Roman"/>
          <w:szCs w:val="24"/>
          <w:lang w:eastAsia="ru-RU"/>
        </w:rPr>
        <w:t>При длительной терапии НМГ рекомендуется мониторинг анти-Ха активности и коррекция дозы НМГ (при необходимости) один раз в месяц.</w:t>
      </w:r>
    </w:p>
    <w:p w14:paraId="61944939" w14:textId="77777777" w:rsidR="00972DD8" w:rsidRDefault="00972DD8" w:rsidP="00972DD8">
      <w:pPr>
        <w:rPr>
          <w:rFonts w:eastAsia="Times New Roman"/>
          <w:szCs w:val="24"/>
          <w:lang w:eastAsia="ru-RU"/>
        </w:rPr>
      </w:pPr>
      <w:r>
        <w:rPr>
          <w:szCs w:val="24"/>
        </w:rPr>
        <w:t xml:space="preserve">Мониторинг анти-Ха активности абсолютно необходим в случае рецидивирующего тромбоза при использовании терапевтических доз НМГ или у пациентов с почечной недостаточностью. </w:t>
      </w:r>
      <w:r>
        <w:rPr>
          <w:rFonts w:eastAsia="Times New Roman"/>
          <w:szCs w:val="24"/>
          <w:lang w:eastAsia="ru-RU"/>
        </w:rPr>
        <w:t>Больным с нарушением функции почек рекомендуется коррекция дозы НМГ и мониторинг анти-Ха активности с частотой один раз в неделю. Для больных с клинически выраженной почечной недостаточностью (клиренс креатинина &lt;30 мл/мин) дозу НМГ корректируют таким образом, чтобы она соответствовала уровню анти-Ха 0,2</w:t>
      </w:r>
      <w:r>
        <w:rPr>
          <w:i/>
          <w:szCs w:val="24"/>
        </w:rPr>
        <w:t>—</w:t>
      </w:r>
      <w:r>
        <w:rPr>
          <w:rFonts w:eastAsia="Times New Roman"/>
          <w:szCs w:val="24"/>
          <w:lang w:eastAsia="ru-RU"/>
        </w:rPr>
        <w:t xml:space="preserve">0,3 </w:t>
      </w:r>
      <w:r>
        <w:rPr>
          <w:szCs w:val="24"/>
        </w:rPr>
        <w:t>анти-</w:t>
      </w:r>
      <w:r>
        <w:rPr>
          <w:szCs w:val="24"/>
          <w:lang w:val="en-US"/>
        </w:rPr>
        <w:t>Xa</w:t>
      </w:r>
      <w:r>
        <w:rPr>
          <w:szCs w:val="24"/>
        </w:rPr>
        <w:t xml:space="preserve"> МЕ</w:t>
      </w:r>
      <w:r>
        <w:rPr>
          <w:rFonts w:eastAsia="Times New Roman"/>
          <w:szCs w:val="24"/>
          <w:lang w:eastAsia="ru-RU"/>
        </w:rPr>
        <w:t xml:space="preserve">/мл. </w:t>
      </w:r>
    </w:p>
    <w:p w14:paraId="10C9E9B3" w14:textId="77777777" w:rsidR="00972DD8" w:rsidRDefault="00972DD8" w:rsidP="00972DD8">
      <w:pPr>
        <w:rPr>
          <w:szCs w:val="24"/>
        </w:rPr>
      </w:pPr>
      <w:r>
        <w:rPr>
          <w:szCs w:val="24"/>
        </w:rPr>
        <w:t>Для выявления возможного накопления НМГ после нескольких введений следует проанализировать анти-Ха активность через 4 часа после третьего введения, если НМГ вводится дважды в день, или через 4 часа после второго введения, если препарат вводится один раз в сутки.</w:t>
      </w:r>
    </w:p>
    <w:p w14:paraId="2D173146" w14:textId="77777777" w:rsidR="00972DD8" w:rsidRDefault="00972DD8" w:rsidP="00972DD8">
      <w:pPr>
        <w:rPr>
          <w:szCs w:val="24"/>
        </w:rPr>
      </w:pPr>
      <w:r>
        <w:rPr>
          <w:szCs w:val="24"/>
        </w:rPr>
        <w:t>Коррекция дозы НМГ у онкогематологических пациентов в связи с высоким риском кровотечений по причине тромбоцитопений заключается в двукратном снижении дозы при количестве тромбоцитов &lt;70×10</w:t>
      </w:r>
      <w:r>
        <w:rPr>
          <w:szCs w:val="24"/>
          <w:vertAlign w:val="superscript"/>
        </w:rPr>
        <w:t>9</w:t>
      </w:r>
      <w:r>
        <w:rPr>
          <w:szCs w:val="24"/>
        </w:rPr>
        <w:t>/л; временная отмена НМГ при количестве тромбоцитов &lt;30×10</w:t>
      </w:r>
      <w:r>
        <w:rPr>
          <w:szCs w:val="24"/>
          <w:vertAlign w:val="superscript"/>
        </w:rPr>
        <w:t>9</w:t>
      </w:r>
      <w:r>
        <w:rPr>
          <w:szCs w:val="24"/>
        </w:rPr>
        <w:t>/л. При острых тромбозах и тромбоцитопении в отсутствии геморрагических проявлений целесообразно использовать внутривенное с помощью инфузомата введение НФГ под контролем АЧТВ.</w:t>
      </w:r>
    </w:p>
    <w:p w14:paraId="6DCA1B93" w14:textId="77777777" w:rsidR="00972DD8" w:rsidRDefault="00972DD8" w:rsidP="00972DD8">
      <w:pPr>
        <w:rPr>
          <w:rFonts w:eastAsia="Times New Roman"/>
          <w:szCs w:val="24"/>
          <w:lang w:eastAsia="ru-RU"/>
        </w:rPr>
      </w:pPr>
      <w:r>
        <w:rPr>
          <w:rFonts w:eastAsia="Times New Roman"/>
          <w:szCs w:val="24"/>
          <w:lang w:eastAsia="ru-RU"/>
        </w:rPr>
        <w:t xml:space="preserve">В отдельных случаях тромбозов, а также при ГИТ </w:t>
      </w:r>
      <w:r>
        <w:rPr>
          <w:rFonts w:eastAsia="Times New Roman"/>
          <w:szCs w:val="24"/>
          <w:lang w:val="en-US" w:eastAsia="ru-RU"/>
        </w:rPr>
        <w:t>II</w:t>
      </w:r>
      <w:r>
        <w:rPr>
          <w:rFonts w:eastAsia="Times New Roman"/>
          <w:szCs w:val="24"/>
          <w:lang w:eastAsia="ru-RU"/>
        </w:rPr>
        <w:t xml:space="preserve"> применяется фондапаринукс 5 мг подкожно (п/к) 1 раз в день при весе пациента более 50кг. При весе пациента 75 кг и более фондапаринукс вводится в дозе 7,5 мг.</w:t>
      </w:r>
    </w:p>
    <w:p w14:paraId="7D90CBBD" w14:textId="7CC47346" w:rsidR="00972DD8" w:rsidRDefault="00972DD8" w:rsidP="00972DD8">
      <w:pPr>
        <w:rPr>
          <w:rFonts w:eastAsia="Times New Roman"/>
          <w:szCs w:val="24"/>
          <w:lang w:eastAsia="ru-RU"/>
        </w:rPr>
      </w:pPr>
      <w:r>
        <w:rPr>
          <w:rFonts w:eastAsia="Times New Roman"/>
          <w:szCs w:val="24"/>
          <w:lang w:eastAsia="ru-RU"/>
        </w:rPr>
        <w:t>Прямые оральные антикоагулянты (ПОАК)</w:t>
      </w:r>
      <w:r>
        <w:rPr>
          <w:rFonts w:eastAsia="Times New Roman"/>
          <w:szCs w:val="24"/>
          <w:lang w:val="en-US" w:eastAsia="ru-RU"/>
        </w:rPr>
        <w:t xml:space="preserve"> </w:t>
      </w:r>
      <w:r>
        <w:rPr>
          <w:szCs w:val="24"/>
        </w:rPr>
        <w:fldChar w:fldCharType="begin" w:fldLock="1"/>
      </w:r>
      <w:r w:rsidR="004C3BA5">
        <w:rPr>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[43]","plainTextFormattedCitation":"[43]","previouslyFormattedCitation":"[43]"},"properties":{"noteIndex":0},"schema":"https://github.com/citation-style-language/schema/raw/master/csl-citation.json"}</w:instrText>
      </w:r>
      <w:r>
        <w:rPr>
          <w:szCs w:val="24"/>
        </w:rPr>
        <w:fldChar w:fldCharType="separate"/>
      </w:r>
      <w:r w:rsidR="00D2308B" w:rsidRPr="00D2308B">
        <w:rPr>
          <w:noProof/>
          <w:szCs w:val="24"/>
        </w:rPr>
        <w:t>[43]</w:t>
      </w:r>
      <w:r>
        <w:rPr>
          <w:szCs w:val="24"/>
        </w:rPr>
        <w:fldChar w:fldCharType="end"/>
      </w:r>
      <w:r>
        <w:rPr>
          <w:rFonts w:eastAsia="Times New Roman"/>
          <w:szCs w:val="24"/>
          <w:lang w:eastAsia="ru-RU"/>
        </w:rPr>
        <w:t xml:space="preserve">: </w:t>
      </w:r>
    </w:p>
    <w:p w14:paraId="36E4FCE2" w14:textId="77777777" w:rsidR="00972DD8" w:rsidRPr="00C83EC0" w:rsidRDefault="00972DD8" w:rsidP="0010608C">
      <w:pPr>
        <w:pStyle w:val="afe"/>
        <w:numPr>
          <w:ilvl w:val="0"/>
          <w:numId w:val="34"/>
        </w:numPr>
        <w:ind w:left="1134"/>
        <w:contextualSpacing w:val="0"/>
        <w:rPr>
          <w:szCs w:val="24"/>
        </w:rPr>
      </w:pPr>
      <w:r w:rsidRPr="00C83EC0">
        <w:rPr>
          <w:szCs w:val="24"/>
        </w:rPr>
        <w:t>ривароксабан в дозе 15 мг 2 раза в сутки во время еды в первые 3 недели, затем в дозе 20 мг 1 раз в сутки во время еды. Доза ривароксабана должна быть скорректирована у пациентов с нарушенной выделительной функцией почек. Следует помнить, что протромбиновое время и АЧТВ не отражают истинной концентрации и эффект ПОАК;</w:t>
      </w:r>
    </w:p>
    <w:p w14:paraId="09C6413F" w14:textId="77777777" w:rsidR="00972DD8" w:rsidRPr="00C83EC0" w:rsidRDefault="00972DD8" w:rsidP="0010608C">
      <w:pPr>
        <w:pStyle w:val="afe"/>
        <w:numPr>
          <w:ilvl w:val="0"/>
          <w:numId w:val="34"/>
        </w:numPr>
        <w:ind w:left="1134"/>
        <w:contextualSpacing w:val="0"/>
        <w:rPr>
          <w:rFonts w:eastAsia="Times New Roman"/>
          <w:szCs w:val="24"/>
          <w:lang w:eastAsia="ru-RU"/>
        </w:rPr>
      </w:pPr>
      <w:r w:rsidRPr="00C83EC0">
        <w:rPr>
          <w:rFonts w:eastAsia="Times New Roman"/>
          <w:szCs w:val="24"/>
          <w:lang w:eastAsia="ru-RU"/>
        </w:rPr>
        <w:t>дабигатрана этексилат назначают в дозе 150 г 2 раза в сутки; исследование тромбинового времени помогает подбирать необходимую дозу дабигатрана этексилата. При его удлинении более 120</w:t>
      </w:r>
      <w:r w:rsidRPr="00C83EC0">
        <w:rPr>
          <w:i/>
          <w:szCs w:val="24"/>
        </w:rPr>
        <w:t>—</w:t>
      </w:r>
      <w:r w:rsidRPr="00C83EC0">
        <w:rPr>
          <w:rFonts w:eastAsia="Times New Roman"/>
          <w:szCs w:val="24"/>
          <w:lang w:eastAsia="ru-RU"/>
        </w:rPr>
        <w:t xml:space="preserve">150 сек дозу препарата уменьшают до 110 мг 2 раза в сутки. Больным старше 75 лет дабигатрана этексилата назначают в дозе 75 мг 2 раза в сутки; </w:t>
      </w:r>
    </w:p>
    <w:p w14:paraId="15C1CAE2" w14:textId="77777777" w:rsidR="00972DD8" w:rsidRPr="00C83EC0" w:rsidRDefault="00972DD8" w:rsidP="0010608C">
      <w:pPr>
        <w:pStyle w:val="afe"/>
        <w:numPr>
          <w:ilvl w:val="0"/>
          <w:numId w:val="34"/>
        </w:numPr>
        <w:ind w:left="1134"/>
        <w:contextualSpacing w:val="0"/>
        <w:rPr>
          <w:rFonts w:eastAsia="Times New Roman"/>
          <w:szCs w:val="24"/>
          <w:lang w:eastAsia="ru-RU"/>
        </w:rPr>
      </w:pPr>
      <w:r w:rsidRPr="00C83EC0">
        <w:rPr>
          <w:rFonts w:eastAsia="Times New Roman"/>
          <w:szCs w:val="24"/>
          <w:lang w:eastAsia="ru-RU"/>
        </w:rPr>
        <w:t>апиксабан применяют в дозе 5 мг 2 раза в сутки. Больным старше 75 лет апиксабан назначают в дозе 2,5 мг 2 раза в сутки. Лабораторный контроль не проводится;</w:t>
      </w:r>
    </w:p>
    <w:p w14:paraId="4690EE08" w14:textId="77777777" w:rsidR="00972DD8" w:rsidRPr="00C83EC0" w:rsidRDefault="00972DD8" w:rsidP="0010608C">
      <w:pPr>
        <w:pStyle w:val="afe"/>
        <w:numPr>
          <w:ilvl w:val="0"/>
          <w:numId w:val="34"/>
        </w:numPr>
        <w:ind w:left="1134"/>
        <w:contextualSpacing w:val="0"/>
        <w:rPr>
          <w:rFonts w:eastAsia="Times New Roman"/>
          <w:szCs w:val="24"/>
          <w:lang w:eastAsia="ru-RU"/>
        </w:rPr>
      </w:pPr>
      <w:r w:rsidRPr="00C83EC0">
        <w:rPr>
          <w:rFonts w:eastAsia="Times New Roman"/>
          <w:szCs w:val="24"/>
          <w:lang w:eastAsia="ru-RU"/>
        </w:rPr>
        <w:t>сулодексид 250 ЛЕ х 2 раза в день.</w:t>
      </w:r>
    </w:p>
    <w:p w14:paraId="41089002" w14:textId="77777777" w:rsidR="00972DD8" w:rsidRDefault="00972DD8" w:rsidP="00972DD8">
      <w:pPr>
        <w:rPr>
          <w:szCs w:val="24"/>
        </w:rPr>
      </w:pPr>
      <w:r>
        <w:rPr>
          <w:rFonts w:eastAsia="Times New Roman"/>
          <w:szCs w:val="24"/>
          <w:lang w:eastAsia="ru-RU"/>
        </w:rPr>
        <w:t xml:space="preserve">Антагонист витамина К (АВК) – варфарин. </w:t>
      </w:r>
      <w:r>
        <w:rPr>
          <w:szCs w:val="24"/>
        </w:rPr>
        <w:t>Препарат следует принимать один раз в день в фиксированное время (предпочтительнее вечером) после еды. Доза варфарина корригируется по показателю МНО</w:t>
      </w:r>
      <w:r>
        <w:rPr>
          <w:rFonts w:eastAsia="Times New Roman"/>
          <w:szCs w:val="24"/>
          <w:lang w:eastAsia="ru-RU"/>
        </w:rPr>
        <w:t>. Целевые значения МНО при лечении варфарином составляют 2-2,5. У пациентов с искусственными клапанами сердца МНО на терапии варфарином должно составлять 3.0-4.0.</w:t>
      </w:r>
      <w:r>
        <w:rPr>
          <w:rFonts w:ascii="Arial" w:eastAsia="Times New Roman" w:hAnsi="Arial" w:cs="Arial"/>
          <w:color w:val="FF0000"/>
          <w:szCs w:val="24"/>
          <w:lang w:eastAsia="ru-RU"/>
        </w:rPr>
        <w:t xml:space="preserve"> </w:t>
      </w:r>
      <w:r>
        <w:rPr>
          <w:szCs w:val="24"/>
        </w:rPr>
        <w:t xml:space="preserve">Начальная доза препарата для пациентов, которые ранее не применяли варфарин, составляет 2,5-5,0 мг/сут. Для пациентов, которые ранее применяли варфарин, рекомендуемая стартовая доза составляет двойную дозу известной поддерживающей дозы препарата и назначается в течение первых 2-х дней. В случае необходимости перевода пациента с инъекций НМГ на длительный прием АВК, рекомендуется в течение первых 4-5 дней приема варфарина продолжать инъекции НМГ в профилактической дозе во избежание тромботических осложнений вследствие угнетения активности протеина С АВК. Первый контроль MHO следует проводить через 24-48 часов после начала приема варфарина. На протяжении первой недели определение MHO рекомендуется проводить ежедневно. </w:t>
      </w:r>
      <w:r>
        <w:rPr>
          <w:rFonts w:eastAsia="Times New Roman"/>
          <w:szCs w:val="24"/>
          <w:lang w:eastAsia="ru-RU"/>
        </w:rPr>
        <w:t xml:space="preserve">Через 3-4 дня одновременного применения варфарина и гепарина проводят исследование МНО. При достижении МНО 2,0 и более - гепарин отменяется. Если МНО меньше 2,0, то дозу варфарина увеличивают на 0,5 таблетки и продолжают одновременные применение варфарина и гепарина в течение 3 дней. Вновь проводят исследование МНО. Если МНО 2,0 и более, то гепарин отменяется. </w:t>
      </w:r>
      <w:r>
        <w:rPr>
          <w:szCs w:val="24"/>
        </w:rPr>
        <w:t>Схема подбора дозы варфарина представлена в таблице 3. В дальнейшем лабораторный контроль проводят регулярно каждые 4-8 недель.</w:t>
      </w:r>
    </w:p>
    <w:p w14:paraId="0089742C" w14:textId="77777777" w:rsidR="00972DD8" w:rsidRDefault="00972DD8" w:rsidP="00972DD8">
      <w:pPr>
        <w:ind w:firstLine="708"/>
        <w:rPr>
          <w:szCs w:val="24"/>
        </w:rPr>
      </w:pPr>
    </w:p>
    <w:p w14:paraId="343A6E7D" w14:textId="77777777" w:rsidR="00972DD8" w:rsidRPr="00B46409" w:rsidRDefault="00972DD8" w:rsidP="00972DD8">
      <w:pPr>
        <w:ind w:firstLine="0"/>
        <w:rPr>
          <w:szCs w:val="24"/>
        </w:rPr>
      </w:pPr>
      <w:r w:rsidRPr="00B46409">
        <w:rPr>
          <w:szCs w:val="24"/>
        </w:rPr>
        <w:t xml:space="preserve">Таблица </w:t>
      </w:r>
      <w:r>
        <w:rPr>
          <w:szCs w:val="24"/>
        </w:rPr>
        <w:t>3</w:t>
      </w:r>
      <w:r w:rsidRPr="00B46409">
        <w:rPr>
          <w:szCs w:val="24"/>
        </w:rPr>
        <w:t xml:space="preserve">. </w:t>
      </w:r>
      <w:r w:rsidRPr="00B46409">
        <w:rPr>
          <w:bCs/>
          <w:szCs w:val="24"/>
        </w:rPr>
        <w:t>Коррекция дозы варфарина в зависимости от МНО</w:t>
      </w:r>
    </w:p>
    <w:tbl>
      <w:tblPr>
        <w:tblStyle w:val="1f6"/>
        <w:tblW w:w="89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394"/>
        <w:gridCol w:w="4570"/>
      </w:tblGrid>
      <w:tr w:rsidR="00972DD8" w14:paraId="3F80C261" w14:textId="77777777" w:rsidTr="002D3EBF">
        <w:trPr>
          <w:trHeight w:val="374"/>
        </w:trPr>
        <w:tc>
          <w:tcPr>
            <w:tcW w:w="4394" w:type="dxa"/>
            <w:shd w:val="clear" w:color="auto" w:fill="auto"/>
          </w:tcPr>
          <w:p w14:paraId="40AD7539" w14:textId="77777777" w:rsidR="00972DD8" w:rsidRPr="007C4816" w:rsidRDefault="00972DD8" w:rsidP="002D3EBF">
            <w:pPr>
              <w:ind w:firstLine="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2-5</w:t>
            </w:r>
          </w:p>
        </w:tc>
        <w:tc>
          <w:tcPr>
            <w:tcW w:w="4570" w:type="dxa"/>
            <w:shd w:val="clear" w:color="auto" w:fill="auto"/>
          </w:tcPr>
          <w:p w14:paraId="5976D972" w14:textId="77777777" w:rsidR="00972DD8" w:rsidRPr="007C4816" w:rsidRDefault="00972DD8" w:rsidP="002D3EBF">
            <w:pPr>
              <w:ind w:firstLine="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6 и далее</w:t>
            </w:r>
          </w:p>
        </w:tc>
      </w:tr>
      <w:tr w:rsidR="00972DD8" w14:paraId="282303CD" w14:textId="77777777" w:rsidTr="002D3EBF">
        <w:trPr>
          <w:trHeight w:val="714"/>
        </w:trPr>
        <w:tc>
          <w:tcPr>
            <w:tcW w:w="4394" w:type="dxa"/>
            <w:shd w:val="clear" w:color="auto" w:fill="auto"/>
          </w:tcPr>
          <w:p w14:paraId="49ADE685" w14:textId="77777777" w:rsidR="00972DD8" w:rsidRPr="007C4816" w:rsidRDefault="00972DD8" w:rsidP="002D3EBF">
            <w:pPr>
              <w:ind w:firstLine="0"/>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1.3 – повторить инициальную дозу</w:t>
            </w:r>
          </w:p>
        </w:tc>
        <w:tc>
          <w:tcPr>
            <w:tcW w:w="4570" w:type="dxa"/>
            <w:shd w:val="clear" w:color="auto" w:fill="auto"/>
          </w:tcPr>
          <w:p w14:paraId="2F7149A5" w14:textId="77777777" w:rsidR="00972DD8" w:rsidRPr="007C4816" w:rsidRDefault="00972DD8" w:rsidP="002D3EBF">
            <w:pPr>
              <w:ind w:firstLine="0"/>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1.4 – увеличить дозу на 20%</w:t>
            </w:r>
          </w:p>
        </w:tc>
      </w:tr>
      <w:tr w:rsidR="00972DD8" w14:paraId="3B993EBB" w14:textId="77777777" w:rsidTr="002D3EBF">
        <w:trPr>
          <w:trHeight w:val="515"/>
        </w:trPr>
        <w:tc>
          <w:tcPr>
            <w:tcW w:w="4394" w:type="dxa"/>
            <w:shd w:val="clear" w:color="auto" w:fill="auto"/>
          </w:tcPr>
          <w:p w14:paraId="6255A68A" w14:textId="77777777" w:rsidR="00972DD8" w:rsidRPr="007C4816" w:rsidRDefault="00972DD8" w:rsidP="002D3EBF">
            <w:pPr>
              <w:ind w:firstLine="0"/>
              <w:rPr>
                <w:rFonts w:cs="Times New Roman"/>
                <w:szCs w:val="24"/>
              </w:rPr>
            </w:pPr>
            <w:r w:rsidRPr="007C4816">
              <w:rPr>
                <w:rFonts w:eastAsiaTheme="majorEastAsia" w:cs="Times New Roman"/>
                <w:bCs/>
                <w:szCs w:val="24"/>
              </w:rPr>
              <w:t>МНО 1.4–1.9 – 50% инициальной дозы</w:t>
            </w:r>
          </w:p>
        </w:tc>
        <w:tc>
          <w:tcPr>
            <w:tcW w:w="4570" w:type="dxa"/>
            <w:shd w:val="clear" w:color="auto" w:fill="auto"/>
          </w:tcPr>
          <w:p w14:paraId="0AE2D886" w14:textId="77777777" w:rsidR="00972DD8" w:rsidRPr="007C4816" w:rsidRDefault="00972DD8" w:rsidP="002D3EB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1.5–</w:t>
            </w:r>
            <w:r w:rsidRPr="007C4816">
              <w:rPr>
                <w:rFonts w:eastAsiaTheme="majorEastAsia" w:cs="Times New Roman"/>
                <w:bCs/>
                <w:szCs w:val="24"/>
              </w:rPr>
              <w:t>1.9 – увеличить дозу на 10%</w:t>
            </w:r>
          </w:p>
        </w:tc>
      </w:tr>
      <w:tr w:rsidR="00972DD8" w14:paraId="3C98C888" w14:textId="77777777" w:rsidTr="002D3EBF">
        <w:trPr>
          <w:trHeight w:val="539"/>
        </w:trPr>
        <w:tc>
          <w:tcPr>
            <w:tcW w:w="4394" w:type="dxa"/>
            <w:shd w:val="clear" w:color="auto" w:fill="auto"/>
          </w:tcPr>
          <w:p w14:paraId="010872AA" w14:textId="77777777" w:rsidR="00972DD8" w:rsidRPr="007C4816" w:rsidRDefault="00972DD8" w:rsidP="002D3EB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50% инициальной дозы</w:t>
            </w:r>
          </w:p>
        </w:tc>
        <w:tc>
          <w:tcPr>
            <w:tcW w:w="4570" w:type="dxa"/>
            <w:shd w:val="clear" w:color="auto" w:fill="auto"/>
          </w:tcPr>
          <w:p w14:paraId="3C23985C" w14:textId="77777777" w:rsidR="00972DD8" w:rsidRPr="007C4816" w:rsidRDefault="00972DD8" w:rsidP="002D3EB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продолжать без изменений</w:t>
            </w:r>
          </w:p>
        </w:tc>
      </w:tr>
      <w:tr w:rsidR="00972DD8" w14:paraId="7C3DD27C" w14:textId="77777777" w:rsidTr="002D3EBF">
        <w:trPr>
          <w:trHeight w:val="437"/>
        </w:trPr>
        <w:tc>
          <w:tcPr>
            <w:tcW w:w="4394" w:type="dxa"/>
            <w:shd w:val="clear" w:color="auto" w:fill="auto"/>
          </w:tcPr>
          <w:p w14:paraId="4C51D6CF" w14:textId="77777777" w:rsidR="00972DD8" w:rsidRPr="007C4816" w:rsidRDefault="00972DD8" w:rsidP="002D3EBF">
            <w:pPr>
              <w:ind w:firstLine="0"/>
              <w:rPr>
                <w:rFonts w:cs="Times New Roman"/>
                <w:szCs w:val="24"/>
              </w:rPr>
            </w:pPr>
            <w:r w:rsidRPr="007C4816">
              <w:rPr>
                <w:rFonts w:eastAsiaTheme="majorEastAsia" w:cs="Times New Roman"/>
                <w:bCs/>
                <w:szCs w:val="24"/>
              </w:rPr>
              <w:t>МНО 3.1–3.5 – 25% инициальной дозы</w:t>
            </w:r>
          </w:p>
        </w:tc>
        <w:tc>
          <w:tcPr>
            <w:tcW w:w="4570" w:type="dxa"/>
            <w:shd w:val="clear" w:color="auto" w:fill="auto"/>
          </w:tcPr>
          <w:p w14:paraId="7AAA8F06" w14:textId="77777777" w:rsidR="00972DD8" w:rsidRPr="007C4816" w:rsidRDefault="00972DD8" w:rsidP="002D3EB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3.1–</w:t>
            </w:r>
            <w:r w:rsidRPr="007C4816">
              <w:rPr>
                <w:rFonts w:eastAsiaTheme="majorEastAsia" w:cs="Times New Roman"/>
                <w:bCs/>
                <w:szCs w:val="24"/>
              </w:rPr>
              <w:t>3.5 – уменьшить дозу на 10%</w:t>
            </w:r>
          </w:p>
        </w:tc>
      </w:tr>
      <w:tr w:rsidR="00972DD8" w14:paraId="0E4E89DB" w14:textId="77777777" w:rsidTr="002D3EBF">
        <w:trPr>
          <w:trHeight w:val="565"/>
        </w:trPr>
        <w:tc>
          <w:tcPr>
            <w:tcW w:w="4394" w:type="dxa"/>
            <w:vMerge w:val="restart"/>
            <w:shd w:val="clear" w:color="auto" w:fill="auto"/>
          </w:tcPr>
          <w:p w14:paraId="6AC0E23E" w14:textId="77777777" w:rsidR="00972DD8" w:rsidRPr="007C4816" w:rsidRDefault="00972DD8" w:rsidP="002D3EBF">
            <w:pPr>
              <w:ind w:firstLine="0"/>
              <w:rPr>
                <w:rFonts w:cs="Times New Roman"/>
                <w:szCs w:val="24"/>
              </w:rPr>
            </w:pPr>
            <w:r w:rsidRPr="007C4816">
              <w:rPr>
                <w:rFonts w:eastAsiaTheme="majorEastAsia" w:cs="Times New Roman"/>
                <w:bCs/>
                <w:szCs w:val="24"/>
              </w:rPr>
              <w:t>МНО &gt;</w:t>
            </w:r>
            <w:r w:rsidRPr="007C4816">
              <w:rPr>
                <w:rFonts w:eastAsiaTheme="majorEastAsia" w:cs="Times New Roman"/>
                <w:bCs/>
                <w:szCs w:val="24"/>
                <w:lang w:val="pl-PL"/>
              </w:rPr>
              <w:t xml:space="preserve"> 3</w:t>
            </w:r>
            <w:r w:rsidRPr="007C4816">
              <w:rPr>
                <w:rFonts w:eastAsiaTheme="majorEastAsia" w:cs="Times New Roman"/>
                <w:bCs/>
                <w:szCs w:val="24"/>
              </w:rPr>
              <w:t xml:space="preserve">.5 – пауза до тех пор, пока МНО не станет &lt; 3.5, затем начать повторный прием </w:t>
            </w:r>
            <w:r>
              <w:rPr>
                <w:rFonts w:eastAsiaTheme="majorEastAsia" w:cs="Times New Roman"/>
                <w:bCs/>
                <w:szCs w:val="24"/>
              </w:rPr>
              <w:t>50% предшествующей дозы</w:t>
            </w:r>
          </w:p>
          <w:p w14:paraId="04B466D4" w14:textId="77777777" w:rsidR="00972DD8" w:rsidRPr="007C4816" w:rsidRDefault="00972DD8" w:rsidP="002D3EBF">
            <w:pPr>
              <w:ind w:firstLine="0"/>
              <w:jc w:val="center"/>
              <w:rPr>
                <w:rFonts w:cs="Times New Roman"/>
                <w:szCs w:val="24"/>
              </w:rPr>
            </w:pPr>
          </w:p>
        </w:tc>
        <w:tc>
          <w:tcPr>
            <w:tcW w:w="4570" w:type="dxa"/>
            <w:shd w:val="clear" w:color="auto" w:fill="auto"/>
          </w:tcPr>
          <w:p w14:paraId="17D981A0" w14:textId="77777777" w:rsidR="00972DD8" w:rsidRPr="007C4816" w:rsidRDefault="00972DD8" w:rsidP="002D3EBF">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3.6</w:t>
            </w:r>
            <w:r w:rsidRPr="007C4816">
              <w:rPr>
                <w:rFonts w:eastAsiaTheme="majorEastAsia" w:cs="Times New Roman"/>
                <w:bCs/>
                <w:szCs w:val="24"/>
              </w:rPr>
              <w:t>–4.0 – однократно 50% дозы, затем в уменьшенной на 20%</w:t>
            </w:r>
            <w:r>
              <w:rPr>
                <w:rFonts w:eastAsiaTheme="majorEastAsia" w:cs="Times New Roman"/>
                <w:bCs/>
                <w:szCs w:val="24"/>
              </w:rPr>
              <w:t xml:space="preserve"> дозе</w:t>
            </w:r>
          </w:p>
        </w:tc>
      </w:tr>
      <w:tr w:rsidR="00972DD8" w14:paraId="4DF11EA8" w14:textId="77777777" w:rsidTr="002D3EBF">
        <w:trPr>
          <w:trHeight w:val="755"/>
        </w:trPr>
        <w:tc>
          <w:tcPr>
            <w:tcW w:w="4394" w:type="dxa"/>
            <w:vMerge/>
            <w:shd w:val="clear" w:color="auto" w:fill="auto"/>
          </w:tcPr>
          <w:p w14:paraId="760B48E8" w14:textId="77777777" w:rsidR="00972DD8" w:rsidRPr="007C4816" w:rsidRDefault="00972DD8" w:rsidP="002D3EBF">
            <w:pPr>
              <w:ind w:firstLine="0"/>
              <w:jc w:val="center"/>
              <w:rPr>
                <w:rFonts w:eastAsiaTheme="majorEastAsia" w:cs="Times New Roman"/>
                <w:bCs/>
                <w:szCs w:val="24"/>
              </w:rPr>
            </w:pPr>
          </w:p>
        </w:tc>
        <w:tc>
          <w:tcPr>
            <w:tcW w:w="4570" w:type="dxa"/>
            <w:shd w:val="clear" w:color="auto" w:fill="auto"/>
          </w:tcPr>
          <w:p w14:paraId="29F8EEE2" w14:textId="77777777" w:rsidR="00972DD8" w:rsidRPr="007C4816" w:rsidRDefault="00972DD8" w:rsidP="002D3EBF">
            <w:pPr>
              <w:ind w:firstLine="0"/>
              <w:rPr>
                <w:rFonts w:cs="Times New Roman"/>
                <w:szCs w:val="24"/>
              </w:rPr>
            </w:pPr>
            <w:r w:rsidRPr="007C4816">
              <w:rPr>
                <w:rFonts w:eastAsiaTheme="majorEastAsia" w:cs="Times New Roman"/>
                <w:bCs/>
                <w:szCs w:val="24"/>
              </w:rPr>
              <w:t>МНО &gt; 4.0 пауза до тех пор, пока МНО не станет &lt; 3.5, затем начать повторный прием (25% предшествующей дозы)</w:t>
            </w:r>
          </w:p>
        </w:tc>
      </w:tr>
    </w:tbl>
    <w:p w14:paraId="3631E29B" w14:textId="77777777" w:rsidR="00972DD8" w:rsidRDefault="00972DD8" w:rsidP="00972DD8">
      <w:pPr>
        <w:rPr>
          <w:strike/>
          <w:szCs w:val="24"/>
        </w:rPr>
      </w:pPr>
    </w:p>
    <w:p w14:paraId="32CF2A67" w14:textId="77777777" w:rsidR="00972DD8" w:rsidRDefault="00972DD8" w:rsidP="00972DD8">
      <w:pPr>
        <w:rPr>
          <w:rFonts w:eastAsia="Times New Roman"/>
          <w:szCs w:val="24"/>
          <w:lang w:eastAsia="ru-RU"/>
        </w:rPr>
      </w:pPr>
      <w:r>
        <w:rPr>
          <w:rFonts w:eastAsia="Times New Roman"/>
          <w:szCs w:val="24"/>
          <w:lang w:eastAsia="ru-RU"/>
        </w:rPr>
        <w:t xml:space="preserve">В случае если при лечении варфарином появляется патологическая кровоточивость, необходимо определить протромбин по Квику (МНО), отменить варфарин. В лечении тяжелых варфариновых кровотечений используются: концентраты протромбинового комплекса или свежезамороженная плазма (СЗП). </w:t>
      </w:r>
    </w:p>
    <w:p w14:paraId="509A7FF1" w14:textId="77777777" w:rsidR="00972DD8" w:rsidRDefault="00972DD8" w:rsidP="00972DD8">
      <w:pPr>
        <w:rPr>
          <w:szCs w:val="24"/>
        </w:rPr>
      </w:pPr>
      <w:r>
        <w:rPr>
          <w:szCs w:val="24"/>
        </w:rPr>
        <w:t>Перевод пациентов с парентеральных препаратов на прямые пероральные антитромботические средства может производиться по следующему алгоритму:</w:t>
      </w:r>
    </w:p>
    <w:p w14:paraId="522B282D" w14:textId="77777777" w:rsidR="00972DD8" w:rsidRDefault="00972DD8" w:rsidP="0010608C">
      <w:pPr>
        <w:pStyle w:val="afe"/>
        <w:numPr>
          <w:ilvl w:val="0"/>
          <w:numId w:val="27"/>
        </w:numPr>
        <w:ind w:left="1134"/>
        <w:rPr>
          <w:szCs w:val="24"/>
        </w:rPr>
      </w:pPr>
      <w:r>
        <w:rPr>
          <w:szCs w:val="24"/>
        </w:rPr>
        <w:t>лечение прямыми пероральными антикоагулянтами должно быть начато за 0-2 часа до следующего планового введения парентерального антикоагулянта;</w:t>
      </w:r>
    </w:p>
    <w:p w14:paraId="5CB12834" w14:textId="77777777" w:rsidR="00972DD8" w:rsidRDefault="00972DD8" w:rsidP="0010608C">
      <w:pPr>
        <w:pStyle w:val="afe"/>
        <w:numPr>
          <w:ilvl w:val="0"/>
          <w:numId w:val="27"/>
        </w:numPr>
        <w:ind w:left="1134"/>
        <w:rPr>
          <w:szCs w:val="24"/>
        </w:rPr>
      </w:pPr>
      <w:r>
        <w:rPr>
          <w:szCs w:val="24"/>
        </w:rPr>
        <w:t>замена введения очередной дозы парентерального препарата приемом дозы перорального антикоагулянта для НМГ и фондапаринукса – через 24 часа, для НФГ – через 8 часов (для ривароксабана – прием пероральной формы сразу после отмены НФГ).</w:t>
      </w:r>
    </w:p>
    <w:p w14:paraId="13603546" w14:textId="77777777" w:rsidR="00972DD8" w:rsidRDefault="00972DD8" w:rsidP="00972DD8">
      <w:pPr>
        <w:rPr>
          <w:rFonts w:eastAsia="Times New Roman"/>
          <w:szCs w:val="24"/>
          <w:lang w:eastAsia="ru-RU"/>
        </w:rPr>
      </w:pPr>
      <w:r>
        <w:rPr>
          <w:rFonts w:eastAsia="Times New Roman"/>
          <w:szCs w:val="24"/>
          <w:lang w:eastAsia="ru-RU"/>
        </w:rPr>
        <w:t>Препараты АВК и ПОАК можно использовать в виде монотерапии для профилактики тромботических нарушений во время ХТ и других видов специфического лечения.</w:t>
      </w:r>
    </w:p>
    <w:p w14:paraId="6CE884DC" w14:textId="77777777" w:rsidR="00972DD8" w:rsidRDefault="00972DD8" w:rsidP="00972DD8">
      <w:pPr>
        <w:rPr>
          <w:szCs w:val="24"/>
        </w:rPr>
      </w:pPr>
      <w:r>
        <w:rPr>
          <w:szCs w:val="24"/>
        </w:rPr>
        <w:t>В настоящее время перевод пациентов с приема пероральных антикоагулянтов к парентеральному введению антикоагулянтов осуществляется по следующему алгоритму:</w:t>
      </w:r>
    </w:p>
    <w:p w14:paraId="2F3DE23C" w14:textId="77777777" w:rsidR="00972DD8" w:rsidRDefault="00972DD8" w:rsidP="0010608C">
      <w:pPr>
        <w:pStyle w:val="afe"/>
        <w:numPr>
          <w:ilvl w:val="0"/>
          <w:numId w:val="28"/>
        </w:numPr>
        <w:ind w:left="1134"/>
        <w:rPr>
          <w:szCs w:val="24"/>
        </w:rPr>
      </w:pPr>
      <w:r>
        <w:rPr>
          <w:szCs w:val="24"/>
        </w:rPr>
        <w:t>для дабигатрана этексилата или ривароксабана необходим перерыв 24 часа с приема последней дозы, после чего нужно ввести парентеральный антикоагулянт;</w:t>
      </w:r>
    </w:p>
    <w:p w14:paraId="741CEA71" w14:textId="77777777" w:rsidR="00972DD8" w:rsidRDefault="00972DD8" w:rsidP="0010608C">
      <w:pPr>
        <w:pStyle w:val="afe"/>
        <w:numPr>
          <w:ilvl w:val="0"/>
          <w:numId w:val="28"/>
        </w:numPr>
        <w:ind w:left="1134"/>
        <w:rPr>
          <w:szCs w:val="24"/>
        </w:rPr>
      </w:pPr>
      <w:r>
        <w:rPr>
          <w:szCs w:val="24"/>
        </w:rPr>
        <w:t>для апиксабана – выждать 12 часов с приема последней дозы и ввести парентеральный антикоагулянт.</w:t>
      </w:r>
    </w:p>
    <w:p w14:paraId="145AD84E" w14:textId="77777777" w:rsidR="00972DD8" w:rsidRDefault="00972DD8" w:rsidP="00972DD8">
      <w:pPr>
        <w:ind w:firstLine="708"/>
        <w:rPr>
          <w:bCs/>
          <w:szCs w:val="24"/>
        </w:rPr>
      </w:pPr>
      <w:r>
        <w:rPr>
          <w:bCs/>
          <w:szCs w:val="24"/>
        </w:rPr>
        <w:t>Гематологическим пациентам с высоким риском тромботических осложнений необходимо обязательное проведение антитромботической профилактики в случае проведения хирургического вмешательства. Дозы и режимы лекарственных препаратов представлены в таблице 4.</w:t>
      </w:r>
    </w:p>
    <w:p w14:paraId="7C28E77F" w14:textId="77777777" w:rsidR="00972DD8" w:rsidRDefault="00972DD8" w:rsidP="00972DD8">
      <w:pPr>
        <w:ind w:firstLine="0"/>
        <w:rPr>
          <w:bCs/>
          <w:szCs w:val="24"/>
        </w:rPr>
      </w:pPr>
    </w:p>
    <w:p w14:paraId="4845F80F" w14:textId="77777777" w:rsidR="00972DD8" w:rsidRPr="00B46409" w:rsidRDefault="00972DD8" w:rsidP="00972DD8">
      <w:pPr>
        <w:ind w:firstLine="0"/>
        <w:rPr>
          <w:bCs/>
          <w:szCs w:val="24"/>
        </w:rPr>
      </w:pPr>
      <w:r w:rsidRPr="00B46409">
        <w:rPr>
          <w:bCs/>
          <w:szCs w:val="24"/>
        </w:rPr>
        <w:t xml:space="preserve">Таблица </w:t>
      </w:r>
      <w:r>
        <w:rPr>
          <w:bCs/>
          <w:szCs w:val="24"/>
        </w:rPr>
        <w:t>4</w:t>
      </w:r>
      <w:r w:rsidRPr="00B46409">
        <w:rPr>
          <w:bCs/>
          <w:szCs w:val="24"/>
        </w:rPr>
        <w:t xml:space="preserve">. Дозы антикоагулянтных препаратов </w:t>
      </w:r>
      <w:r w:rsidRPr="00B46409">
        <w:rPr>
          <w:bCs/>
          <w:iCs/>
          <w:szCs w:val="24"/>
        </w:rPr>
        <w:t>для профилактики</w:t>
      </w:r>
      <w:r>
        <w:rPr>
          <w:bCs/>
          <w:iCs/>
          <w:szCs w:val="24"/>
        </w:rPr>
        <w:t xml:space="preserve"> </w:t>
      </w:r>
      <w:r w:rsidRPr="00B46409">
        <w:rPr>
          <w:bCs/>
          <w:szCs w:val="24"/>
        </w:rPr>
        <w:t>тромботических осложнений при проведении хирургических вмешательств</w:t>
      </w:r>
    </w:p>
    <w:tbl>
      <w:tblPr>
        <w:tblStyle w:val="1f6"/>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258"/>
        <w:gridCol w:w="4680"/>
      </w:tblGrid>
      <w:tr w:rsidR="00972DD8" w:rsidRPr="00B46409" w14:paraId="36B084DB" w14:textId="77777777" w:rsidTr="002D3EBF">
        <w:trPr>
          <w:trHeight w:val="452"/>
        </w:trPr>
        <w:tc>
          <w:tcPr>
            <w:tcW w:w="3258" w:type="dxa"/>
            <w:shd w:val="clear" w:color="auto" w:fill="auto"/>
          </w:tcPr>
          <w:p w14:paraId="3F4A3A48" w14:textId="77777777" w:rsidR="00972DD8" w:rsidRPr="00B46409" w:rsidRDefault="00972DD8" w:rsidP="002D3EBF">
            <w:pPr>
              <w:ind w:firstLine="0"/>
              <w:rPr>
                <w:rFonts w:cs="Times New Roman"/>
                <w:bCs/>
                <w:szCs w:val="24"/>
              </w:rPr>
            </w:pPr>
            <w:r w:rsidRPr="00B46409">
              <w:rPr>
                <w:rFonts w:eastAsiaTheme="majorEastAsia" w:cs="Times New Roman"/>
                <w:bCs/>
                <w:szCs w:val="24"/>
              </w:rPr>
              <w:t>Нефракционированный гепарин</w:t>
            </w:r>
          </w:p>
        </w:tc>
        <w:tc>
          <w:tcPr>
            <w:tcW w:w="4680" w:type="dxa"/>
            <w:shd w:val="clear" w:color="auto" w:fill="auto"/>
          </w:tcPr>
          <w:p w14:paraId="1DAAA60A" w14:textId="77777777" w:rsidR="00972DD8" w:rsidRPr="00B46409" w:rsidRDefault="00972DD8" w:rsidP="002D3EBF">
            <w:pPr>
              <w:ind w:firstLine="0"/>
              <w:rPr>
                <w:rFonts w:cs="Times New Roman"/>
                <w:bCs/>
                <w:szCs w:val="24"/>
              </w:rPr>
            </w:pPr>
            <w:r w:rsidRPr="00B46409">
              <w:rPr>
                <w:rFonts w:eastAsiaTheme="majorEastAsia" w:cs="Times New Roman"/>
                <w:bCs/>
                <w:szCs w:val="24"/>
              </w:rPr>
              <w:t>5000 МЕ за 10—12 ч перед операцией и 5000 МЕ 1 раз в день после, п/к</w:t>
            </w:r>
          </w:p>
        </w:tc>
      </w:tr>
      <w:tr w:rsidR="00972DD8" w:rsidRPr="00B46409" w14:paraId="2B794B49" w14:textId="77777777" w:rsidTr="002D3EBF">
        <w:trPr>
          <w:trHeight w:val="452"/>
        </w:trPr>
        <w:tc>
          <w:tcPr>
            <w:tcW w:w="3258" w:type="dxa"/>
            <w:shd w:val="clear" w:color="auto" w:fill="auto"/>
          </w:tcPr>
          <w:p w14:paraId="2CE59A61" w14:textId="77777777" w:rsidR="00972DD8" w:rsidRPr="00B46409" w:rsidRDefault="00972DD8" w:rsidP="002D3EBF">
            <w:pPr>
              <w:ind w:firstLine="0"/>
              <w:rPr>
                <w:rFonts w:cs="Times New Roman"/>
                <w:bCs/>
                <w:szCs w:val="24"/>
              </w:rPr>
            </w:pPr>
            <w:r w:rsidRPr="00B46409">
              <w:rPr>
                <w:rFonts w:eastAsiaTheme="majorEastAsia" w:cs="Times New Roman"/>
                <w:bCs/>
                <w:szCs w:val="24"/>
              </w:rPr>
              <w:t>Далтепарин натрия</w:t>
            </w:r>
          </w:p>
        </w:tc>
        <w:tc>
          <w:tcPr>
            <w:tcW w:w="4680" w:type="dxa"/>
            <w:shd w:val="clear" w:color="auto" w:fill="auto"/>
          </w:tcPr>
          <w:p w14:paraId="7F604663" w14:textId="77777777" w:rsidR="00972DD8" w:rsidRPr="00B46409" w:rsidRDefault="00972DD8" w:rsidP="002D3EBF">
            <w:pPr>
              <w:ind w:firstLine="0"/>
              <w:rPr>
                <w:rFonts w:cs="Times New Roman"/>
                <w:bCs/>
                <w:szCs w:val="24"/>
              </w:rPr>
            </w:pPr>
            <w:r w:rsidRPr="00B46409">
              <w:rPr>
                <w:rFonts w:eastAsiaTheme="majorEastAsia" w:cs="Times New Roman"/>
                <w:bCs/>
                <w:szCs w:val="24"/>
              </w:rPr>
              <w:t>5000 МЕ за 10—12 ч перед операцией и 5000 МЕ 1 раз в день после, п/к</w:t>
            </w:r>
          </w:p>
        </w:tc>
      </w:tr>
      <w:tr w:rsidR="00972DD8" w:rsidRPr="00B46409" w14:paraId="361CBF7C" w14:textId="77777777" w:rsidTr="002D3EBF">
        <w:trPr>
          <w:trHeight w:val="561"/>
        </w:trPr>
        <w:tc>
          <w:tcPr>
            <w:tcW w:w="3258" w:type="dxa"/>
            <w:shd w:val="clear" w:color="auto" w:fill="auto"/>
          </w:tcPr>
          <w:p w14:paraId="674A0B28" w14:textId="77777777" w:rsidR="00972DD8" w:rsidRPr="00B46409" w:rsidRDefault="00972DD8" w:rsidP="002D3EBF">
            <w:pPr>
              <w:ind w:firstLine="0"/>
              <w:rPr>
                <w:rFonts w:cs="Times New Roman"/>
                <w:bCs/>
                <w:szCs w:val="24"/>
              </w:rPr>
            </w:pPr>
            <w:r w:rsidRPr="00B46409">
              <w:rPr>
                <w:rFonts w:eastAsiaTheme="majorEastAsia" w:cs="Times New Roman"/>
                <w:bCs/>
                <w:szCs w:val="24"/>
              </w:rPr>
              <w:t>Эноксапарин натрия</w:t>
            </w:r>
          </w:p>
        </w:tc>
        <w:tc>
          <w:tcPr>
            <w:tcW w:w="4680" w:type="dxa"/>
            <w:shd w:val="clear" w:color="auto" w:fill="auto"/>
          </w:tcPr>
          <w:p w14:paraId="1E9ADCFE" w14:textId="77777777" w:rsidR="00972DD8" w:rsidRPr="00B46409" w:rsidRDefault="00972DD8" w:rsidP="002D3EBF">
            <w:pPr>
              <w:ind w:firstLine="0"/>
              <w:rPr>
                <w:rFonts w:cs="Times New Roman"/>
                <w:bCs/>
                <w:szCs w:val="24"/>
              </w:rPr>
            </w:pPr>
            <w:r w:rsidRPr="00B46409">
              <w:rPr>
                <w:rFonts w:eastAsiaTheme="majorEastAsia" w:cs="Times New Roman"/>
                <w:bCs/>
                <w:szCs w:val="24"/>
              </w:rPr>
              <w:t>0,4 мл за 10—12 ч перед операцией и 0,4 мл 1 раз в день после, п/к</w:t>
            </w:r>
          </w:p>
        </w:tc>
      </w:tr>
      <w:tr w:rsidR="00972DD8" w:rsidRPr="00B46409" w14:paraId="5DE474EE" w14:textId="77777777" w:rsidTr="002D3EBF">
        <w:trPr>
          <w:trHeight w:val="452"/>
        </w:trPr>
        <w:tc>
          <w:tcPr>
            <w:tcW w:w="3258" w:type="dxa"/>
            <w:shd w:val="clear" w:color="auto" w:fill="auto"/>
          </w:tcPr>
          <w:p w14:paraId="07EACF44" w14:textId="77777777" w:rsidR="00972DD8" w:rsidRPr="00B46409" w:rsidRDefault="00972DD8" w:rsidP="002D3EBF">
            <w:pPr>
              <w:ind w:firstLine="0"/>
              <w:rPr>
                <w:rFonts w:cs="Times New Roman"/>
                <w:bCs/>
                <w:szCs w:val="24"/>
              </w:rPr>
            </w:pPr>
            <w:r w:rsidRPr="00B46409">
              <w:rPr>
                <w:rFonts w:eastAsiaTheme="majorEastAsia" w:cs="Times New Roman"/>
                <w:bCs/>
                <w:szCs w:val="24"/>
              </w:rPr>
              <w:t>Надропарин кальция</w:t>
            </w:r>
          </w:p>
        </w:tc>
        <w:tc>
          <w:tcPr>
            <w:tcW w:w="4680" w:type="dxa"/>
            <w:shd w:val="clear" w:color="auto" w:fill="auto"/>
          </w:tcPr>
          <w:p w14:paraId="561E27A9" w14:textId="77777777" w:rsidR="00972DD8" w:rsidRPr="00B46409" w:rsidRDefault="00972DD8" w:rsidP="002D3EBF">
            <w:pPr>
              <w:ind w:firstLine="0"/>
              <w:rPr>
                <w:rFonts w:cs="Times New Roman"/>
                <w:bCs/>
                <w:szCs w:val="24"/>
              </w:rPr>
            </w:pPr>
            <w:r w:rsidRPr="00B46409">
              <w:rPr>
                <w:rFonts w:eastAsiaTheme="majorEastAsia" w:cs="Times New Roman"/>
                <w:bCs/>
                <w:szCs w:val="24"/>
              </w:rPr>
              <w:t>0,3 мл за 10—12 ч перед операцией и 0,3 мл 1 раз в день после, п/к</w:t>
            </w:r>
          </w:p>
        </w:tc>
      </w:tr>
      <w:tr w:rsidR="00972DD8" w:rsidRPr="00B46409" w14:paraId="0931D26F" w14:textId="77777777" w:rsidTr="002D3EBF">
        <w:trPr>
          <w:trHeight w:val="780"/>
        </w:trPr>
        <w:tc>
          <w:tcPr>
            <w:tcW w:w="3258" w:type="dxa"/>
            <w:shd w:val="clear" w:color="auto" w:fill="auto"/>
          </w:tcPr>
          <w:p w14:paraId="2066B5F0" w14:textId="77777777" w:rsidR="00972DD8" w:rsidRPr="00B46409" w:rsidRDefault="00972DD8" w:rsidP="002D3EBF">
            <w:pPr>
              <w:ind w:firstLine="0"/>
              <w:rPr>
                <w:rFonts w:cs="Times New Roman"/>
                <w:bCs/>
                <w:szCs w:val="24"/>
              </w:rPr>
            </w:pPr>
            <w:r w:rsidRPr="00B46409">
              <w:rPr>
                <w:rFonts w:eastAsiaTheme="majorEastAsia" w:cs="Times New Roman"/>
                <w:bCs/>
                <w:szCs w:val="24"/>
              </w:rPr>
              <w:t>Фондапаринукс натрия</w:t>
            </w:r>
          </w:p>
        </w:tc>
        <w:tc>
          <w:tcPr>
            <w:tcW w:w="4680" w:type="dxa"/>
            <w:shd w:val="clear" w:color="auto" w:fill="auto"/>
          </w:tcPr>
          <w:p w14:paraId="1F5E8C1C" w14:textId="77777777" w:rsidR="00972DD8" w:rsidRPr="00B46409" w:rsidRDefault="00972DD8" w:rsidP="002D3EBF">
            <w:pPr>
              <w:ind w:firstLine="0"/>
              <w:rPr>
                <w:rFonts w:cs="Times New Roman"/>
                <w:bCs/>
                <w:szCs w:val="24"/>
              </w:rPr>
            </w:pPr>
            <w:r w:rsidRPr="00B46409">
              <w:rPr>
                <w:rFonts w:eastAsiaTheme="majorEastAsia" w:cs="Times New Roman"/>
                <w:bCs/>
                <w:szCs w:val="24"/>
              </w:rPr>
              <w:t>2,5 мг ежедневно 1 раз в день перед оперативным лечением и через 6—8 ч после, п/к</w:t>
            </w:r>
          </w:p>
        </w:tc>
      </w:tr>
    </w:tbl>
    <w:p w14:paraId="5762B202" w14:textId="77777777" w:rsidR="00972DD8" w:rsidRDefault="00972DD8" w:rsidP="00972DD8">
      <w:pPr>
        <w:rPr>
          <w:b/>
          <w:bCs/>
          <w:szCs w:val="24"/>
        </w:rPr>
      </w:pPr>
    </w:p>
    <w:p w14:paraId="0053CDB9" w14:textId="77777777" w:rsidR="00972DD8" w:rsidRPr="00C14067" w:rsidRDefault="00972DD8" w:rsidP="00972DD8">
      <w:pPr>
        <w:rPr>
          <w:rFonts w:eastAsia="Times New Roman"/>
          <w:szCs w:val="24"/>
          <w:lang w:eastAsia="ru-RU"/>
        </w:rPr>
      </w:pPr>
      <w:r>
        <w:rPr>
          <w:rFonts w:eastAsia="Times New Roman"/>
          <w:szCs w:val="24"/>
          <w:lang w:eastAsia="ru-RU"/>
        </w:rPr>
        <w:t>Длительность терапии определяется причиной, видом и локализацией тромботического осложнения. Обязательно учитываются данные анамнеза пациента по предшествующим тромботическим событиям. В некоторых ситуациях антикоагулянтная терапия проводится пожизненно.</w:t>
      </w:r>
    </w:p>
    <w:p w14:paraId="2A07E143" w14:textId="77777777" w:rsidR="00972DD8" w:rsidRDefault="00972DD8" w:rsidP="00972DD8">
      <w:pPr>
        <w:rPr>
          <w:rFonts w:eastAsia="Times New Roman"/>
          <w:szCs w:val="24"/>
          <w:u w:val="single"/>
          <w:lang w:eastAsia="ru-RU"/>
        </w:rPr>
      </w:pPr>
    </w:p>
    <w:p w14:paraId="0B59A3E2" w14:textId="40EC4537" w:rsidR="00972DD8" w:rsidRPr="00307C3E" w:rsidRDefault="00972DD8" w:rsidP="00972DD8">
      <w:pPr>
        <w:rPr>
          <w:rFonts w:eastAsia="Times New Roman"/>
          <w:szCs w:val="24"/>
          <w:lang w:eastAsia="ru-RU"/>
        </w:rPr>
      </w:pPr>
      <w:r w:rsidRPr="00307C3E">
        <w:rPr>
          <w:rFonts w:eastAsia="Times New Roman"/>
          <w:szCs w:val="24"/>
          <w:lang w:eastAsia="ru-RU"/>
        </w:rPr>
        <w:t>2) Фибринолитическая терапия</w:t>
      </w:r>
      <w:r>
        <w:rPr>
          <w:rFonts w:eastAsia="Times New Roman"/>
          <w:szCs w:val="24"/>
          <w:lang w:eastAsia="ru-RU"/>
        </w:rPr>
        <w:t xml:space="preserve">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fldChar w:fldCharType="separate"/>
      </w:r>
      <w:r w:rsidR="00D2308B" w:rsidRPr="00D2308B">
        <w:rPr>
          <w:noProof/>
        </w:rPr>
        <w:t>[39,40]</w:t>
      </w:r>
      <w:r>
        <w:fldChar w:fldCharType="end"/>
      </w:r>
      <w:r w:rsidRPr="00307C3E">
        <w:rPr>
          <w:rFonts w:eastAsia="Times New Roman"/>
          <w:szCs w:val="24"/>
          <w:lang w:eastAsia="ru-RU"/>
        </w:rPr>
        <w:t>.</w:t>
      </w:r>
    </w:p>
    <w:p w14:paraId="08F0BD1E" w14:textId="77777777" w:rsidR="00972DD8" w:rsidRDefault="00972DD8" w:rsidP="00972DD8">
      <w:pPr>
        <w:rPr>
          <w:rFonts w:eastAsia="Times New Roman"/>
          <w:sz w:val="28"/>
          <w:szCs w:val="28"/>
          <w:lang w:eastAsia="ru-RU"/>
        </w:rPr>
      </w:pPr>
      <w:r>
        <w:rPr>
          <w:rFonts w:eastAsia="Times New Roman"/>
          <w:szCs w:val="24"/>
          <w:lang w:eastAsia="ru-RU"/>
        </w:rPr>
        <w:t xml:space="preserve">Тромболизис эффективен при ТЭЛА, в раннем периоде острого инфаркта миокарда и ишемического инсульта, тромбозе синусов головного мозга, а также при угрозе формирования гангрены вследствие венозной окклюзии. С целью тромболизиса используются такие препараты, как стрептокиназа, урокиназа, алтеплаза. Дозы фибринолитических препаратов и режимы их применения различны и зависят от показаний. </w:t>
      </w:r>
    </w:p>
    <w:p w14:paraId="1693DB3A" w14:textId="77777777" w:rsidR="00972DD8" w:rsidRDefault="00972DD8" w:rsidP="00972DD8">
      <w:pPr>
        <w:rPr>
          <w:rFonts w:eastAsia="Times New Roman"/>
          <w:szCs w:val="24"/>
          <w:u w:val="single"/>
          <w:lang w:eastAsia="ru-RU"/>
        </w:rPr>
      </w:pPr>
    </w:p>
    <w:p w14:paraId="414E03CE" w14:textId="3D562DE5" w:rsidR="00972DD8" w:rsidRPr="00307C3E" w:rsidRDefault="00972DD8" w:rsidP="00972DD8">
      <w:pPr>
        <w:rPr>
          <w:rFonts w:eastAsia="Times New Roman"/>
          <w:szCs w:val="24"/>
          <w:lang w:eastAsia="ru-RU"/>
        </w:rPr>
      </w:pPr>
      <w:r w:rsidRPr="00307C3E">
        <w:rPr>
          <w:rFonts w:eastAsia="Times New Roman"/>
          <w:szCs w:val="24"/>
          <w:lang w:eastAsia="ru-RU"/>
        </w:rPr>
        <w:t>3) Антиагрегантная терапия</w:t>
      </w:r>
      <w:r>
        <w:rPr>
          <w:rFonts w:eastAsia="Times New Roman"/>
          <w:szCs w:val="24"/>
          <w:lang w:eastAsia="ru-RU"/>
        </w:rPr>
        <w:t xml:space="preserve">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[39,40]","plainTextFormattedCitation":"[39,40]","previouslyFormattedCitation":"[39,40]"},"properties":{"noteIndex":0},"schema":"https://github.com/citation-style-language/schema/raw/master/csl-citation.json"}</w:instrText>
      </w:r>
      <w:r>
        <w:fldChar w:fldCharType="separate"/>
      </w:r>
      <w:r w:rsidR="00D2308B" w:rsidRPr="00D2308B">
        <w:rPr>
          <w:noProof/>
        </w:rPr>
        <w:t>[39,40]</w:t>
      </w:r>
      <w:r>
        <w:fldChar w:fldCharType="end"/>
      </w:r>
      <w:r w:rsidRPr="00307C3E">
        <w:rPr>
          <w:rFonts w:eastAsia="Times New Roman"/>
          <w:szCs w:val="24"/>
          <w:lang w:eastAsia="ru-RU"/>
        </w:rPr>
        <w:t>.</w:t>
      </w:r>
    </w:p>
    <w:p w14:paraId="68F4D777" w14:textId="77777777" w:rsidR="00972DD8" w:rsidRDefault="00972DD8" w:rsidP="00972DD8">
      <w:pPr>
        <w:rPr>
          <w:rFonts w:eastAsia="Times New Roman"/>
          <w:szCs w:val="24"/>
          <w:lang w:eastAsia="ru-RU"/>
        </w:rPr>
      </w:pPr>
      <w:r w:rsidRPr="00A4634E">
        <w:rPr>
          <w:rFonts w:eastAsia="Times New Roman"/>
          <w:szCs w:val="24"/>
          <w:lang w:eastAsia="ru-RU"/>
        </w:rPr>
        <w:t>Антиагрегантная терапия</w:t>
      </w:r>
      <w:r>
        <w:rPr>
          <w:rFonts w:eastAsia="Times New Roman"/>
          <w:szCs w:val="24"/>
          <w:lang w:eastAsia="ru-RU"/>
        </w:rPr>
        <w:t xml:space="preserve"> применяется при артериальных тромбозах, венозных тромбозах, гипертромбоцитозах.  Используются следующие препараты:</w:t>
      </w:r>
    </w:p>
    <w:p w14:paraId="13FAE413" w14:textId="77777777" w:rsidR="00972DD8" w:rsidRDefault="00972DD8" w:rsidP="0010608C">
      <w:pPr>
        <w:numPr>
          <w:ilvl w:val="0"/>
          <w:numId w:val="31"/>
        </w:numPr>
        <w:ind w:left="1134"/>
        <w:rPr>
          <w:rFonts w:eastAsia="Times New Roman"/>
          <w:szCs w:val="24"/>
          <w:lang w:eastAsia="ru-RU"/>
        </w:rPr>
      </w:pPr>
      <w:r>
        <w:rPr>
          <w:rFonts w:eastAsia="Times New Roman"/>
          <w:szCs w:val="24"/>
          <w:lang w:eastAsia="ru-RU"/>
        </w:rPr>
        <w:t xml:space="preserve">Ацетилсалициловая кислота 75-150 мг в сутки. Подбор осуществляют с учетом показателей адреналин-индуцированной агрегации тромбоцитов. Агрегация должна составлять менее 50%. </w:t>
      </w:r>
    </w:p>
    <w:p w14:paraId="1B0C5956" w14:textId="77777777" w:rsidR="00972DD8" w:rsidRDefault="00972DD8" w:rsidP="0010608C">
      <w:pPr>
        <w:pStyle w:val="afe"/>
        <w:numPr>
          <w:ilvl w:val="0"/>
          <w:numId w:val="31"/>
        </w:numPr>
        <w:ind w:left="1134"/>
        <w:rPr>
          <w:rFonts w:eastAsia="Times New Roman"/>
          <w:szCs w:val="24"/>
          <w:lang w:eastAsia="ru-RU"/>
        </w:rPr>
      </w:pPr>
      <w:r w:rsidRPr="00A4634E">
        <w:rPr>
          <w:rFonts w:eastAsia="Times New Roman"/>
          <w:szCs w:val="24"/>
          <w:lang w:eastAsia="ru-RU"/>
        </w:rPr>
        <w:t xml:space="preserve">Клопидогрел (непрямой ингибитор АДФ-рецептора тромбоцитов </w:t>
      </w:r>
      <w:r w:rsidRPr="00A4634E">
        <w:rPr>
          <w:rFonts w:eastAsia="Times New Roman"/>
          <w:szCs w:val="24"/>
          <w:lang w:val="en-US" w:eastAsia="ru-RU"/>
        </w:rPr>
        <w:t>P</w:t>
      </w:r>
      <w:r w:rsidRPr="00A4634E">
        <w:rPr>
          <w:rFonts w:eastAsia="Times New Roman"/>
          <w:szCs w:val="24"/>
          <w:lang w:eastAsia="ru-RU"/>
        </w:rPr>
        <w:t>2</w:t>
      </w:r>
      <w:r w:rsidRPr="00A4634E">
        <w:rPr>
          <w:rFonts w:eastAsia="Times New Roman"/>
          <w:szCs w:val="24"/>
          <w:lang w:val="en-US" w:eastAsia="ru-RU"/>
        </w:rPr>
        <w:t>Y</w:t>
      </w:r>
      <w:r w:rsidRPr="00A4634E">
        <w:rPr>
          <w:rFonts w:eastAsia="Times New Roman"/>
          <w:szCs w:val="24"/>
          <w:lang w:eastAsia="ru-RU"/>
        </w:rPr>
        <w:t>12) 75 мг/сут; в острых случаях клопидогрел принимается внутрь в дозе 300–600 мг/сут. Подбор осуществляют с учетом АДФ-индуцированной агрегации тромбоцитов. Агрегация должна составлять менее 45</w:t>
      </w:r>
      <w:r w:rsidRPr="00A4634E">
        <w:rPr>
          <w:i/>
          <w:szCs w:val="24"/>
        </w:rPr>
        <w:t>—</w:t>
      </w:r>
      <w:r w:rsidRPr="00A4634E">
        <w:rPr>
          <w:rFonts w:eastAsia="Times New Roman"/>
          <w:szCs w:val="24"/>
          <w:lang w:eastAsia="ru-RU"/>
        </w:rPr>
        <w:t xml:space="preserve">50%. </w:t>
      </w:r>
    </w:p>
    <w:p w14:paraId="43CC0711" w14:textId="77777777" w:rsidR="00972DD8" w:rsidRPr="00A4634E" w:rsidRDefault="00972DD8" w:rsidP="0010608C">
      <w:pPr>
        <w:pStyle w:val="afe"/>
        <w:numPr>
          <w:ilvl w:val="0"/>
          <w:numId w:val="31"/>
        </w:numPr>
        <w:ind w:left="1134"/>
        <w:rPr>
          <w:rFonts w:eastAsia="Times New Roman"/>
          <w:szCs w:val="24"/>
          <w:lang w:eastAsia="ru-RU"/>
        </w:rPr>
      </w:pPr>
      <w:r w:rsidRPr="00A4634E">
        <w:rPr>
          <w:rFonts w:eastAsia="Times New Roman"/>
          <w:szCs w:val="24"/>
          <w:lang w:eastAsia="ru-RU"/>
        </w:rPr>
        <w:t>Дипиридамол 25-75 мг/сут.</w:t>
      </w:r>
    </w:p>
    <w:p w14:paraId="0537F451" w14:textId="77777777" w:rsidR="00972DD8" w:rsidRDefault="00972DD8" w:rsidP="0010608C">
      <w:pPr>
        <w:numPr>
          <w:ilvl w:val="0"/>
          <w:numId w:val="31"/>
        </w:numPr>
        <w:ind w:left="1134"/>
        <w:rPr>
          <w:rFonts w:eastAsia="Times New Roman"/>
          <w:szCs w:val="24"/>
          <w:lang w:eastAsia="ru-RU"/>
        </w:rPr>
      </w:pPr>
      <w:r>
        <w:rPr>
          <w:rFonts w:eastAsia="Times New Roman"/>
          <w:szCs w:val="24"/>
          <w:lang w:eastAsia="ru-RU"/>
        </w:rPr>
        <w:t>Пентоксифиллин 0,1 х 3 раза в день; или 400 мг 2-3раза в день.</w:t>
      </w:r>
    </w:p>
    <w:p w14:paraId="4EA4726F" w14:textId="77777777" w:rsidR="00972DD8" w:rsidRPr="003A104D" w:rsidRDefault="00972DD8" w:rsidP="0010608C">
      <w:pPr>
        <w:pStyle w:val="afe"/>
        <w:numPr>
          <w:ilvl w:val="0"/>
          <w:numId w:val="31"/>
        </w:numPr>
        <w:spacing w:after="200"/>
        <w:ind w:left="1134"/>
      </w:pPr>
      <w:r>
        <w:rPr>
          <w:rFonts w:eastAsia="Times New Roman"/>
          <w:szCs w:val="24"/>
          <w:lang w:eastAsia="ru-RU"/>
        </w:rPr>
        <w:t>Тикагрелор (прямой ингибитор АДФ-рецептора тромбоцитов Р2</w:t>
      </w:r>
      <w:r>
        <w:rPr>
          <w:rFonts w:eastAsia="Times New Roman"/>
          <w:szCs w:val="24"/>
          <w:lang w:val="en-US" w:eastAsia="ru-RU"/>
        </w:rPr>
        <w:t>Y</w:t>
      </w:r>
      <w:r>
        <w:rPr>
          <w:rFonts w:eastAsia="Times New Roman"/>
          <w:szCs w:val="24"/>
          <w:lang w:eastAsia="ru-RU"/>
        </w:rPr>
        <w:t>12) 90 мг х 2 раза в день совместно с ацетилсалициловой кислотой. Применяется при проведении химиотерапии у больных ишемической болезнью сердца. Подбор осуществляют с учетом АДФ-индуцированной агрегации тромбоцитов. Агрегация должна составлять менее 30</w:t>
      </w:r>
      <w:r>
        <w:rPr>
          <w:szCs w:val="24"/>
        </w:rPr>
        <w:t>—4</w:t>
      </w:r>
      <w:r>
        <w:rPr>
          <w:rFonts w:eastAsia="Times New Roman"/>
          <w:szCs w:val="24"/>
          <w:lang w:eastAsia="ru-RU"/>
        </w:rPr>
        <w:t>0%.</w:t>
      </w:r>
    </w:p>
    <w:p w14:paraId="15C6F035" w14:textId="77777777" w:rsidR="00972DD8" w:rsidRPr="00A4634E" w:rsidRDefault="00972DD8" w:rsidP="0010608C">
      <w:pPr>
        <w:pStyle w:val="afe"/>
        <w:numPr>
          <w:ilvl w:val="0"/>
          <w:numId w:val="31"/>
        </w:numPr>
        <w:spacing w:after="200"/>
        <w:ind w:left="1134"/>
      </w:pPr>
      <w:r w:rsidRPr="00A4634E">
        <w:rPr>
          <w:rFonts w:eastAsia="Times New Roman"/>
          <w:szCs w:val="24"/>
          <w:lang w:eastAsia="ru-RU"/>
        </w:rPr>
        <w:t>Прасугрел (прямой ингибитор АДФ-рецептора тромбоцитов P2Y12) 10мг: 1 день 6 таб., затем 1 таб. в день с ацетилсалициловой кислотой. Применяется при проведении химиотерапии у больных с ишемической болезнью сердца. Подбор осуществляется с учетом АДФ-индуцир</w:t>
      </w:r>
      <w:r>
        <w:rPr>
          <w:rFonts w:eastAsia="Times New Roman"/>
          <w:szCs w:val="24"/>
          <w:lang w:eastAsia="ru-RU"/>
        </w:rPr>
        <w:t>ованной агрегации тромбоцитов (а</w:t>
      </w:r>
      <w:r w:rsidRPr="00A4634E">
        <w:rPr>
          <w:rFonts w:eastAsia="Times New Roman"/>
          <w:szCs w:val="24"/>
          <w:lang w:eastAsia="ru-RU"/>
        </w:rPr>
        <w:t>грегация должна составлять менее 30-40%</w:t>
      </w:r>
      <w:r>
        <w:rPr>
          <w:rFonts w:eastAsia="Times New Roman"/>
          <w:szCs w:val="24"/>
          <w:lang w:eastAsia="ru-RU"/>
        </w:rPr>
        <w:t>)</w:t>
      </w:r>
      <w:r w:rsidRPr="00A4634E">
        <w:rPr>
          <w:rFonts w:eastAsia="Times New Roman"/>
          <w:szCs w:val="24"/>
          <w:lang w:eastAsia="ru-RU"/>
        </w:rPr>
        <w:t>.</w:t>
      </w:r>
    </w:p>
    <w:p w14:paraId="0BF9D99A" w14:textId="4F13D710" w:rsidR="00972DD8" w:rsidRPr="003A104D" w:rsidRDefault="00972DD8" w:rsidP="0010608C">
      <w:pPr>
        <w:pStyle w:val="afe"/>
        <w:numPr>
          <w:ilvl w:val="0"/>
          <w:numId w:val="31"/>
        </w:numPr>
        <w:spacing w:after="200"/>
        <w:ind w:left="1134"/>
      </w:pPr>
      <w:r w:rsidRPr="00972DD8">
        <w:rPr>
          <w:szCs w:val="24"/>
        </w:rPr>
        <w:t>Изосорбида мононитрат</w:t>
      </w:r>
      <w:r w:rsidRPr="003A104D">
        <w:rPr>
          <w:rFonts w:eastAsia="Times New Roman"/>
          <w:szCs w:val="24"/>
          <w:lang w:eastAsia="ru-RU"/>
        </w:rPr>
        <w:t xml:space="preserve"> 40 мг х 1-2 раза в день. Обладает наряду с дезагрегационными свойствами выраженным сосудорасширяющим эффектом.</w:t>
      </w:r>
    </w:p>
    <w:p w14:paraId="0B1DB334" w14:textId="77777777" w:rsidR="00972DD8" w:rsidRDefault="00972DD8" w:rsidP="0010608C">
      <w:pPr>
        <w:pStyle w:val="afe"/>
        <w:numPr>
          <w:ilvl w:val="0"/>
          <w:numId w:val="31"/>
        </w:numPr>
        <w:spacing w:after="200"/>
        <w:ind w:left="1134"/>
      </w:pPr>
      <w:r w:rsidRPr="003A104D">
        <w:rPr>
          <w:rFonts w:eastAsia="Times New Roman"/>
          <w:szCs w:val="24"/>
          <w:lang w:eastAsia="ru-RU"/>
        </w:rPr>
        <w:t>Возможно использование никотиновой кислоты в инъекционной или таблетированной формах. Доза никотиновой кислоты подбирается по эритематозному эффекту, который проявляется легким покраснением лица и верхней половины туловища, тахикардией, небольшим чувством жара.</w:t>
      </w:r>
    </w:p>
    <w:p w14:paraId="0D708598" w14:textId="2D741F97" w:rsidR="00972DD8" w:rsidRDefault="00972DD8" w:rsidP="00972DD8">
      <w:pPr>
        <w:rPr>
          <w:rFonts w:eastAsia="Times New Roman"/>
          <w:szCs w:val="24"/>
          <w:lang w:eastAsia="ru-RU"/>
        </w:rPr>
      </w:pPr>
      <w:r w:rsidRPr="006F5CEC">
        <w:rPr>
          <w:rFonts w:eastAsia="Times New Roman"/>
          <w:szCs w:val="24"/>
          <w:lang w:eastAsia="ru-RU"/>
        </w:rPr>
        <w:t>4)  Вазопротекторная терапия</w:t>
      </w:r>
      <w:r>
        <w:rPr>
          <w:rFonts w:eastAsia="Times New Roman"/>
          <w:szCs w:val="24"/>
          <w:lang w:eastAsia="ru-RU"/>
        </w:rPr>
        <w:t xml:space="preserve">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[39]","plainTextFormattedCitation":"[39]","previouslyFormattedCitation":"[39]"},"properties":{"noteIndex":0},"schema":"https://github.com/citation-style-language/schema/raw/master/csl-citation.json"}</w:instrText>
      </w:r>
      <w:r>
        <w:fldChar w:fldCharType="separate"/>
      </w:r>
      <w:r w:rsidR="00D2308B" w:rsidRPr="00D2308B">
        <w:rPr>
          <w:noProof/>
        </w:rPr>
        <w:t>[39]</w:t>
      </w:r>
      <w:r>
        <w:fldChar w:fldCharType="end"/>
      </w:r>
      <w:r w:rsidRPr="006F5CEC">
        <w:rPr>
          <w:rFonts w:eastAsia="Times New Roman"/>
          <w:szCs w:val="24"/>
          <w:lang w:eastAsia="ru-RU"/>
        </w:rPr>
        <w:t>:</w:t>
      </w:r>
    </w:p>
    <w:p w14:paraId="30C1D86F" w14:textId="77777777" w:rsidR="00972DD8" w:rsidRDefault="00972DD8" w:rsidP="0010608C">
      <w:pPr>
        <w:pStyle w:val="afe"/>
        <w:numPr>
          <w:ilvl w:val="0"/>
          <w:numId w:val="35"/>
        </w:numPr>
        <w:contextualSpacing w:val="0"/>
        <w:rPr>
          <w:rFonts w:eastAsia="Times New Roman"/>
          <w:szCs w:val="24"/>
          <w:lang w:eastAsia="ru-RU"/>
        </w:rPr>
      </w:pPr>
      <w:r w:rsidRPr="00440427">
        <w:rPr>
          <w:color w:val="333333"/>
          <w:szCs w:val="24"/>
        </w:rPr>
        <w:t>сухой экстракт красных листьев винограда</w:t>
      </w:r>
      <w:r w:rsidRPr="00440427">
        <w:rPr>
          <w:rFonts w:eastAsia="Times New Roman"/>
          <w:szCs w:val="24"/>
          <w:lang w:eastAsia="ru-RU"/>
        </w:rPr>
        <w:t xml:space="preserve"> 2 капс. утром натощак;</w:t>
      </w:r>
    </w:p>
    <w:p w14:paraId="1798E75A" w14:textId="77777777" w:rsidR="00972DD8" w:rsidRDefault="00972DD8" w:rsidP="0010608C">
      <w:pPr>
        <w:pStyle w:val="afe"/>
        <w:numPr>
          <w:ilvl w:val="0"/>
          <w:numId w:val="35"/>
        </w:numPr>
        <w:contextualSpacing w:val="0"/>
        <w:rPr>
          <w:rFonts w:eastAsia="Times New Roman"/>
          <w:szCs w:val="24"/>
          <w:lang w:eastAsia="ru-RU"/>
        </w:rPr>
      </w:pPr>
      <w:r w:rsidRPr="00440427">
        <w:rPr>
          <w:rFonts w:eastAsia="Times New Roman"/>
          <w:szCs w:val="24"/>
          <w:lang w:eastAsia="ru-RU"/>
        </w:rPr>
        <w:t>диосмин-содержащие препараты;</w:t>
      </w:r>
    </w:p>
    <w:p w14:paraId="5FF0370B" w14:textId="77777777" w:rsidR="00972DD8" w:rsidRPr="00440427" w:rsidRDefault="00972DD8" w:rsidP="0010608C">
      <w:pPr>
        <w:pStyle w:val="afe"/>
        <w:numPr>
          <w:ilvl w:val="0"/>
          <w:numId w:val="35"/>
        </w:numPr>
        <w:contextualSpacing w:val="0"/>
        <w:rPr>
          <w:rFonts w:eastAsia="Times New Roman"/>
          <w:szCs w:val="24"/>
          <w:lang w:eastAsia="ru-RU"/>
        </w:rPr>
      </w:pPr>
      <w:r w:rsidRPr="00440427">
        <w:rPr>
          <w:rFonts w:eastAsia="Times New Roman"/>
          <w:szCs w:val="24"/>
          <w:lang w:eastAsia="ru-RU"/>
        </w:rPr>
        <w:t>алпростадил 20 мкг в/в капельно 1 раз в  сутки 10-14 дней.</w:t>
      </w:r>
    </w:p>
    <w:p w14:paraId="1D7C888D" w14:textId="77777777" w:rsidR="00972DD8" w:rsidRDefault="00972DD8" w:rsidP="00972DD8">
      <w:pPr>
        <w:rPr>
          <w:rFonts w:eastAsia="Times New Roman"/>
          <w:szCs w:val="24"/>
          <w:u w:val="single"/>
          <w:lang w:eastAsia="ru-RU"/>
        </w:rPr>
      </w:pPr>
    </w:p>
    <w:p w14:paraId="4D8F3DBF" w14:textId="55F49E41" w:rsidR="00972DD8" w:rsidRDefault="00972DD8" w:rsidP="00972DD8">
      <w:pPr>
        <w:rPr>
          <w:rFonts w:eastAsia="Times New Roman"/>
          <w:szCs w:val="24"/>
          <w:lang w:eastAsia="ru-RU"/>
        </w:rPr>
      </w:pPr>
      <w:r w:rsidRPr="00440427">
        <w:rPr>
          <w:rFonts w:eastAsia="Times New Roman"/>
          <w:szCs w:val="24"/>
          <w:lang w:eastAsia="ru-RU"/>
        </w:rPr>
        <w:t>5) Коррекция тромбофилических состояний</w:t>
      </w:r>
      <w:r>
        <w:rPr>
          <w:rFonts w:eastAsia="Times New Roman"/>
          <w:szCs w:val="24"/>
          <w:lang w:eastAsia="ru-RU"/>
        </w:rPr>
        <w:t xml:space="preserve">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[39]","plainTextFormattedCitation":"[39]","previouslyFormattedCitation":"[39]"},"properties":{"noteIndex":0},"schema":"https://github.com/citation-style-language/schema/raw/master/csl-citation.json"}</w:instrText>
      </w:r>
      <w:r>
        <w:fldChar w:fldCharType="separate"/>
      </w:r>
      <w:r w:rsidR="00D2308B" w:rsidRPr="00D2308B">
        <w:rPr>
          <w:noProof/>
        </w:rPr>
        <w:t>[39]</w:t>
      </w:r>
      <w:r>
        <w:fldChar w:fldCharType="end"/>
      </w:r>
      <w:r w:rsidRPr="00440427">
        <w:rPr>
          <w:rFonts w:eastAsia="Times New Roman"/>
          <w:szCs w:val="24"/>
          <w:lang w:eastAsia="ru-RU"/>
        </w:rPr>
        <w:t>:</w:t>
      </w:r>
    </w:p>
    <w:p w14:paraId="0B40AEE4" w14:textId="77777777" w:rsidR="00972DD8" w:rsidRDefault="00972DD8" w:rsidP="0010608C">
      <w:pPr>
        <w:pStyle w:val="afe"/>
        <w:numPr>
          <w:ilvl w:val="0"/>
          <w:numId w:val="37"/>
        </w:numPr>
        <w:contextualSpacing w:val="0"/>
        <w:rPr>
          <w:rFonts w:eastAsia="Times New Roman"/>
          <w:szCs w:val="24"/>
          <w:lang w:eastAsia="ru-RU"/>
        </w:rPr>
      </w:pPr>
      <w:r w:rsidRPr="00B54A88">
        <w:rPr>
          <w:rFonts w:eastAsia="Times New Roman"/>
          <w:szCs w:val="24"/>
          <w:lang w:eastAsia="ru-RU"/>
        </w:rPr>
        <w:t>При гипергомоцистеинемии используются витамины В6, В12, фолиевая кислота.</w:t>
      </w:r>
    </w:p>
    <w:p w14:paraId="4B8226E3" w14:textId="77777777" w:rsidR="00972DD8" w:rsidRPr="00B54A88" w:rsidRDefault="00972DD8" w:rsidP="0010608C">
      <w:pPr>
        <w:pStyle w:val="afe"/>
        <w:numPr>
          <w:ilvl w:val="0"/>
          <w:numId w:val="37"/>
        </w:numPr>
        <w:contextualSpacing w:val="0"/>
        <w:rPr>
          <w:rFonts w:eastAsia="Times New Roman"/>
          <w:szCs w:val="24"/>
          <w:lang w:eastAsia="ru-RU"/>
        </w:rPr>
      </w:pPr>
      <w:r w:rsidRPr="00B54A88">
        <w:rPr>
          <w:rFonts w:eastAsia="Times New Roman"/>
          <w:szCs w:val="24"/>
          <w:lang w:eastAsia="ru-RU"/>
        </w:rPr>
        <w:t xml:space="preserve">При применении гепаринов может развиться резистентность к ним, наиболее часто обусловленная дефицитом АТ III вследствие его увеличенного потребления, длительной гепаринотерапией, патологией печени и действием лекарственных препаратов. Препарат Антитромбин </w:t>
      </w:r>
      <w:r w:rsidRPr="00B54A88">
        <w:rPr>
          <w:rFonts w:eastAsia="Times New Roman"/>
          <w:szCs w:val="24"/>
          <w:lang w:val="en-US" w:eastAsia="ru-RU"/>
        </w:rPr>
        <w:t>III</w:t>
      </w:r>
      <w:r w:rsidRPr="00B54A88">
        <w:rPr>
          <w:rFonts w:eastAsia="Times New Roman"/>
          <w:szCs w:val="24"/>
          <w:lang w:eastAsia="ru-RU"/>
        </w:rPr>
        <w:t xml:space="preserve"> показан также при наследственном и приобретенном дефиците АТ </w:t>
      </w:r>
      <w:r w:rsidRPr="00B54A88">
        <w:rPr>
          <w:rFonts w:eastAsia="Times New Roman"/>
          <w:szCs w:val="24"/>
          <w:lang w:val="en-US" w:eastAsia="ru-RU"/>
        </w:rPr>
        <w:t>III</w:t>
      </w:r>
      <w:r w:rsidRPr="00B54A88">
        <w:rPr>
          <w:rFonts w:eastAsia="Times New Roman"/>
          <w:szCs w:val="24"/>
          <w:lang w:eastAsia="ru-RU"/>
        </w:rPr>
        <w:t>.</w:t>
      </w:r>
    </w:p>
    <w:p w14:paraId="5B1AA5EF" w14:textId="77777777" w:rsidR="00972DD8" w:rsidRPr="00B54A88" w:rsidRDefault="00972DD8" w:rsidP="0010608C">
      <w:pPr>
        <w:pStyle w:val="afe"/>
        <w:numPr>
          <w:ilvl w:val="0"/>
          <w:numId w:val="36"/>
        </w:numPr>
        <w:contextualSpacing w:val="0"/>
        <w:rPr>
          <w:rFonts w:eastAsia="Times New Roman"/>
          <w:szCs w:val="24"/>
          <w:lang w:eastAsia="ru-RU"/>
        </w:rPr>
      </w:pPr>
      <w:r w:rsidRPr="00B54A88">
        <w:rPr>
          <w:rFonts w:eastAsia="Times New Roman"/>
          <w:szCs w:val="24"/>
          <w:lang w:eastAsia="ru-RU"/>
        </w:rPr>
        <w:t xml:space="preserve">Для коррекции дефицита АТ </w:t>
      </w:r>
      <w:r w:rsidRPr="00B54A88">
        <w:rPr>
          <w:rFonts w:eastAsia="Times New Roman"/>
          <w:szCs w:val="24"/>
          <w:lang w:val="en-US" w:eastAsia="ru-RU"/>
        </w:rPr>
        <w:t>III</w:t>
      </w:r>
      <w:r w:rsidRPr="00B54A88">
        <w:rPr>
          <w:rFonts w:eastAsia="Times New Roman"/>
          <w:szCs w:val="24"/>
          <w:lang w:eastAsia="ru-RU"/>
        </w:rPr>
        <w:t xml:space="preserve"> используют СЗП или концентрат АТ III в дозе, рассчитываемой по формуле:</w:t>
      </w:r>
    </w:p>
    <w:p w14:paraId="285CA901" w14:textId="77777777" w:rsidR="00972DD8" w:rsidRDefault="00972DD8" w:rsidP="0010608C">
      <w:pPr>
        <w:pStyle w:val="afe"/>
        <w:numPr>
          <w:ilvl w:val="0"/>
          <w:numId w:val="36"/>
        </w:numPr>
        <w:contextualSpacing w:val="0"/>
        <w:rPr>
          <w:rFonts w:eastAsia="Times New Roman"/>
          <w:szCs w:val="24"/>
          <w:lang w:eastAsia="ru-RU"/>
        </w:rPr>
      </w:pPr>
      <w:r w:rsidRPr="00B54A88">
        <w:rPr>
          <w:rFonts w:eastAsia="Times New Roman"/>
          <w:szCs w:val="24"/>
          <w:lang w:eastAsia="ru-RU"/>
        </w:rPr>
        <w:t xml:space="preserve">Необходимая доза АТ </w:t>
      </w:r>
      <w:r w:rsidRPr="00B54A88">
        <w:rPr>
          <w:rFonts w:eastAsia="Times New Roman"/>
          <w:szCs w:val="24"/>
          <w:lang w:val="en-US" w:eastAsia="ru-RU"/>
        </w:rPr>
        <w:t>III</w:t>
      </w:r>
      <w:r w:rsidRPr="00B54A88">
        <w:rPr>
          <w:rFonts w:eastAsia="Times New Roman"/>
          <w:szCs w:val="24"/>
          <w:lang w:eastAsia="ru-RU"/>
        </w:rPr>
        <w:t xml:space="preserve"> (ME) = масса тела (кг) × (целевое значение – исходная  активность АТ </w:t>
      </w:r>
      <w:r w:rsidRPr="00B54A88">
        <w:rPr>
          <w:rFonts w:eastAsia="Times New Roman"/>
          <w:szCs w:val="24"/>
          <w:lang w:val="en-US" w:eastAsia="ru-RU"/>
        </w:rPr>
        <w:t>III</w:t>
      </w:r>
      <w:r w:rsidRPr="00B54A88">
        <w:rPr>
          <w:rFonts w:eastAsia="Times New Roman"/>
          <w:szCs w:val="24"/>
          <w:lang w:eastAsia="ru-RU"/>
        </w:rPr>
        <w:t xml:space="preserve"> (%)) × 0.5</w:t>
      </w:r>
    </w:p>
    <w:p w14:paraId="05CC436A" w14:textId="77777777" w:rsidR="00972DD8" w:rsidRDefault="00972DD8" w:rsidP="0010608C">
      <w:pPr>
        <w:pStyle w:val="afe"/>
        <w:numPr>
          <w:ilvl w:val="0"/>
          <w:numId w:val="36"/>
        </w:numPr>
        <w:contextualSpacing w:val="0"/>
        <w:rPr>
          <w:rFonts w:eastAsia="Times New Roman"/>
          <w:szCs w:val="24"/>
          <w:lang w:eastAsia="ru-RU"/>
        </w:rPr>
      </w:pPr>
      <w:r w:rsidRPr="00B54A88">
        <w:rPr>
          <w:rFonts w:eastAsia="Times New Roman"/>
          <w:szCs w:val="24"/>
          <w:lang w:eastAsia="ru-RU"/>
        </w:rPr>
        <w:t xml:space="preserve">При дефиците плазменных антикоагулянтов, таких как АТ </w:t>
      </w:r>
      <w:r w:rsidRPr="00B54A88">
        <w:rPr>
          <w:rFonts w:eastAsia="Times New Roman"/>
          <w:szCs w:val="24"/>
          <w:lang w:val="en-US" w:eastAsia="ru-RU"/>
        </w:rPr>
        <w:t>III</w:t>
      </w:r>
      <w:r w:rsidRPr="00B54A88">
        <w:rPr>
          <w:rFonts w:eastAsia="Times New Roman"/>
          <w:szCs w:val="24"/>
          <w:lang w:eastAsia="ru-RU"/>
        </w:rPr>
        <w:t xml:space="preserve">, протеин С, протеин </w:t>
      </w:r>
      <w:r w:rsidRPr="00B54A88">
        <w:rPr>
          <w:rFonts w:eastAsia="Times New Roman"/>
          <w:szCs w:val="24"/>
          <w:lang w:val="en-US" w:eastAsia="ru-RU"/>
        </w:rPr>
        <w:t>S</w:t>
      </w:r>
      <w:r w:rsidRPr="00B54A88">
        <w:rPr>
          <w:rFonts w:eastAsia="Times New Roman"/>
          <w:szCs w:val="24"/>
          <w:lang w:eastAsia="ru-RU"/>
        </w:rPr>
        <w:t xml:space="preserve"> применяется СЗП. </w:t>
      </w:r>
    </w:p>
    <w:p w14:paraId="0842E7E4" w14:textId="77777777" w:rsidR="00972DD8" w:rsidRDefault="00972DD8" w:rsidP="0010608C">
      <w:pPr>
        <w:pStyle w:val="afe"/>
        <w:numPr>
          <w:ilvl w:val="0"/>
          <w:numId w:val="36"/>
        </w:numPr>
        <w:contextualSpacing w:val="0"/>
        <w:rPr>
          <w:rFonts w:eastAsia="Times New Roman"/>
          <w:szCs w:val="24"/>
          <w:lang w:eastAsia="ru-RU"/>
        </w:rPr>
      </w:pPr>
      <w:r w:rsidRPr="00B54A88">
        <w:rPr>
          <w:rFonts w:eastAsia="Times New Roman"/>
          <w:szCs w:val="24"/>
          <w:lang w:eastAsia="ru-RU"/>
        </w:rPr>
        <w:t xml:space="preserve">При глубоком дефиците протеина С возможно использование препарата очищенного протеина С (Сепротин).  </w:t>
      </w:r>
    </w:p>
    <w:p w14:paraId="09C6DA04" w14:textId="77777777" w:rsidR="00972DD8" w:rsidRPr="00B54A88" w:rsidRDefault="00972DD8" w:rsidP="0010608C">
      <w:pPr>
        <w:pStyle w:val="afe"/>
        <w:numPr>
          <w:ilvl w:val="0"/>
          <w:numId w:val="36"/>
        </w:numPr>
        <w:contextualSpacing w:val="0"/>
        <w:rPr>
          <w:rFonts w:eastAsia="Times New Roman"/>
          <w:szCs w:val="24"/>
          <w:lang w:eastAsia="ru-RU"/>
        </w:rPr>
      </w:pPr>
      <w:r w:rsidRPr="00B54A88">
        <w:rPr>
          <w:rFonts w:eastAsia="Times New Roman"/>
          <w:szCs w:val="24"/>
          <w:lang w:eastAsia="ru-RU"/>
        </w:rPr>
        <w:t>В комплексной терапии АФС может быть эффективна комбинация: дипиридамол, витамин Е, плаквенил.</w:t>
      </w:r>
    </w:p>
    <w:p w14:paraId="2CA68A2B" w14:textId="77777777" w:rsidR="00972DD8" w:rsidRDefault="00972DD8" w:rsidP="00972DD8">
      <w:pPr>
        <w:rPr>
          <w:rFonts w:eastAsia="Times New Roman"/>
          <w:szCs w:val="24"/>
          <w:lang w:eastAsia="ru-RU"/>
        </w:rPr>
      </w:pPr>
    </w:p>
    <w:p w14:paraId="0C0F6EBD" w14:textId="77777777" w:rsidR="00972DD8" w:rsidRDefault="00972DD8" w:rsidP="00972DD8">
      <w:pPr>
        <w:rPr>
          <w:rFonts w:eastAsia="Times New Roman"/>
          <w:szCs w:val="24"/>
          <w:u w:val="single"/>
          <w:lang w:eastAsia="ru-RU"/>
        </w:rPr>
      </w:pPr>
      <w:r>
        <w:rPr>
          <w:rFonts w:eastAsia="Times New Roman"/>
          <w:szCs w:val="24"/>
          <w:u w:val="single"/>
          <w:lang w:eastAsia="ru-RU"/>
        </w:rPr>
        <w:t xml:space="preserve">Инструментальные методы лечения. </w:t>
      </w:r>
    </w:p>
    <w:p w14:paraId="4717F757" w14:textId="477E7132" w:rsidR="00972DD8" w:rsidRDefault="00972DD8" w:rsidP="00972DD8">
      <w:pPr>
        <w:widowControl w:val="0"/>
        <w:rPr>
          <w:szCs w:val="24"/>
        </w:rPr>
      </w:pPr>
      <w:r w:rsidRPr="00482DE7">
        <w:rPr>
          <w:rFonts w:eastAsia="Times New Roman"/>
          <w:szCs w:val="24"/>
          <w:lang w:eastAsia="ru-RU"/>
        </w:rPr>
        <w:t>1)  Кава-фильтр</w:t>
      </w:r>
      <w:r>
        <w:rPr>
          <w:rFonts w:eastAsia="Times New Roman"/>
          <w:szCs w:val="24"/>
          <w:lang w:eastAsia="ru-RU"/>
        </w:rPr>
        <w:t xml:space="preserve"> устанавливается либо для профилактики ТЭЛА (если были эпизоды ТЭЛА ранее), либо при наличии флотирующего тромба в крупных венозных стволах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[39]","plainTextFormattedCitation":"[39]","previouslyFormattedCitation":"[39]"},"properties":{"noteIndex":0},"schema":"https://github.com/citation-style-language/schema/raw/master/csl-citation.json"}</w:instrText>
      </w:r>
      <w:r>
        <w:fldChar w:fldCharType="separate"/>
      </w:r>
      <w:r w:rsidR="00D2308B" w:rsidRPr="00D2308B">
        <w:rPr>
          <w:noProof/>
        </w:rPr>
        <w:t>[39]</w:t>
      </w:r>
      <w:r>
        <w:fldChar w:fldCharType="end"/>
      </w:r>
      <w:r>
        <w:rPr>
          <w:rFonts w:eastAsia="Times New Roman"/>
          <w:szCs w:val="24"/>
          <w:lang w:eastAsia="ru-RU"/>
        </w:rPr>
        <w:t>.</w:t>
      </w:r>
      <w:r>
        <w:rPr>
          <w:szCs w:val="24"/>
        </w:rPr>
        <w:t xml:space="preserve"> Показаниями для постановки венозного кава-фильтра является неэффективность или невозможность проведения антикоагулянтной терапии у больных с тромбозами глубоких вен нижних конечностей в следующих случаях:</w:t>
      </w:r>
    </w:p>
    <w:p w14:paraId="7D78A4A9" w14:textId="77777777" w:rsidR="00972DD8" w:rsidRPr="005650C3" w:rsidRDefault="00972DD8" w:rsidP="0010608C">
      <w:pPr>
        <w:pStyle w:val="afe"/>
        <w:numPr>
          <w:ilvl w:val="0"/>
          <w:numId w:val="36"/>
        </w:numPr>
        <w:contextualSpacing w:val="0"/>
        <w:rPr>
          <w:rFonts w:eastAsia="Times New Roman"/>
          <w:szCs w:val="24"/>
          <w:lang w:eastAsia="ru-RU"/>
        </w:rPr>
      </w:pPr>
      <w:r w:rsidRPr="005650C3">
        <w:rPr>
          <w:rFonts w:eastAsia="Times New Roman"/>
          <w:szCs w:val="24"/>
          <w:lang w:eastAsia="ru-RU"/>
        </w:rPr>
        <w:t>рецидивирующая ТЭЛА, несмотря на адекватную антикоагулянтную терапию;</w:t>
      </w:r>
    </w:p>
    <w:p w14:paraId="1851E25B" w14:textId="77777777" w:rsidR="00972DD8" w:rsidRPr="005650C3" w:rsidRDefault="00972DD8" w:rsidP="0010608C">
      <w:pPr>
        <w:pStyle w:val="afe"/>
        <w:numPr>
          <w:ilvl w:val="0"/>
          <w:numId w:val="36"/>
        </w:numPr>
        <w:contextualSpacing w:val="0"/>
        <w:rPr>
          <w:rFonts w:eastAsia="Times New Roman"/>
          <w:szCs w:val="24"/>
          <w:lang w:eastAsia="ru-RU"/>
        </w:rPr>
      </w:pPr>
      <w:r w:rsidRPr="005650C3">
        <w:rPr>
          <w:rFonts w:eastAsia="Times New Roman"/>
          <w:szCs w:val="24"/>
          <w:lang w:eastAsia="ru-RU"/>
        </w:rPr>
        <w:t>наличие противопоказаний к антикоагулянтной терапии;</w:t>
      </w:r>
    </w:p>
    <w:p w14:paraId="18657362" w14:textId="77777777" w:rsidR="00972DD8" w:rsidRPr="005650C3" w:rsidRDefault="00972DD8" w:rsidP="0010608C">
      <w:pPr>
        <w:pStyle w:val="afe"/>
        <w:numPr>
          <w:ilvl w:val="0"/>
          <w:numId w:val="36"/>
        </w:numPr>
        <w:contextualSpacing w:val="0"/>
        <w:rPr>
          <w:rFonts w:eastAsia="Times New Roman"/>
          <w:szCs w:val="24"/>
          <w:lang w:eastAsia="ru-RU"/>
        </w:rPr>
      </w:pPr>
      <w:r w:rsidRPr="005650C3">
        <w:rPr>
          <w:rFonts w:eastAsia="Times New Roman"/>
          <w:szCs w:val="24"/>
          <w:lang w:eastAsia="ru-RU"/>
        </w:rPr>
        <w:t>осложнения антикоагулянтной терапии, делающие невозможным</w:t>
      </w:r>
    </w:p>
    <w:p w14:paraId="07084488" w14:textId="77777777" w:rsidR="00972DD8" w:rsidRPr="005650C3" w:rsidRDefault="00972DD8" w:rsidP="0010608C">
      <w:pPr>
        <w:pStyle w:val="afe"/>
        <w:numPr>
          <w:ilvl w:val="0"/>
          <w:numId w:val="36"/>
        </w:numPr>
        <w:contextualSpacing w:val="0"/>
        <w:rPr>
          <w:rFonts w:eastAsia="Times New Roman"/>
          <w:szCs w:val="24"/>
          <w:lang w:eastAsia="ru-RU"/>
        </w:rPr>
      </w:pPr>
      <w:r w:rsidRPr="005650C3">
        <w:rPr>
          <w:rFonts w:eastAsia="Times New Roman"/>
          <w:szCs w:val="24"/>
          <w:lang w:eastAsia="ru-RU"/>
        </w:rPr>
        <w:t>дальнейшую гипокоагуляцию;</w:t>
      </w:r>
    </w:p>
    <w:p w14:paraId="6339C549" w14:textId="77777777" w:rsidR="00972DD8" w:rsidRPr="005650C3" w:rsidRDefault="00972DD8" w:rsidP="0010608C">
      <w:pPr>
        <w:pStyle w:val="afe"/>
        <w:numPr>
          <w:ilvl w:val="0"/>
          <w:numId w:val="36"/>
        </w:numPr>
        <w:contextualSpacing w:val="0"/>
        <w:rPr>
          <w:rFonts w:eastAsia="Times New Roman"/>
          <w:szCs w:val="24"/>
          <w:lang w:eastAsia="ru-RU"/>
        </w:rPr>
      </w:pPr>
      <w:r w:rsidRPr="005650C3">
        <w:rPr>
          <w:rFonts w:eastAsia="Times New Roman"/>
          <w:szCs w:val="24"/>
          <w:lang w:eastAsia="ru-RU"/>
        </w:rPr>
        <w:t>невозможность достигнуть или поддерживать лечебный антикоагулянтный эффект.</w:t>
      </w:r>
    </w:p>
    <w:p w14:paraId="3A525DFB" w14:textId="77777777" w:rsidR="00972DD8" w:rsidRPr="00A13E2A" w:rsidRDefault="00972DD8" w:rsidP="00972DD8">
      <w:pPr>
        <w:rPr>
          <w:rFonts w:eastAsia="Times New Roman"/>
          <w:szCs w:val="24"/>
          <w:lang w:eastAsia="ru-RU"/>
        </w:rPr>
      </w:pPr>
      <w:r w:rsidRPr="00A13E2A">
        <w:rPr>
          <w:rFonts w:eastAsia="Times New Roman"/>
          <w:szCs w:val="24"/>
          <w:lang w:eastAsia="ru-RU"/>
        </w:rPr>
        <w:t>При исчезновении угрозы ВТЭО кава-фильтр удаляется (обычно через 1,5-2 мес).</w:t>
      </w:r>
    </w:p>
    <w:p w14:paraId="04EC4592" w14:textId="77777777" w:rsidR="00972DD8" w:rsidRDefault="00972DD8" w:rsidP="00972DD8">
      <w:pPr>
        <w:ind w:left="1459"/>
        <w:rPr>
          <w:rFonts w:eastAsia="Times New Roman"/>
          <w:szCs w:val="24"/>
          <w:lang w:eastAsia="ru-RU"/>
        </w:rPr>
      </w:pPr>
    </w:p>
    <w:p w14:paraId="7735AE47" w14:textId="493CC115" w:rsidR="00972DD8" w:rsidRDefault="00972DD8" w:rsidP="00972DD8">
      <w:pPr>
        <w:rPr>
          <w:rFonts w:eastAsia="Times New Roman"/>
          <w:szCs w:val="24"/>
          <w:lang w:eastAsia="ru-RU"/>
        </w:rPr>
      </w:pPr>
      <w:r w:rsidRPr="00482DE7">
        <w:rPr>
          <w:rFonts w:eastAsia="Times New Roman"/>
          <w:szCs w:val="24"/>
          <w:lang w:eastAsia="ru-RU"/>
        </w:rPr>
        <w:t>2) Эндоваскулярная тромбоэкстракция</w:t>
      </w:r>
      <w:r>
        <w:rPr>
          <w:rFonts w:eastAsia="Times New Roman"/>
          <w:szCs w:val="24"/>
          <w:lang w:eastAsia="ru-RU"/>
        </w:rPr>
        <w:t xml:space="preserve"> используется при острых тромбозах сосудов головного мозга, ТЭЛА, остром коронарном синдроме, а также при угрозе формирования некрозов тканей и органов </w:t>
      </w:r>
      <w:r>
        <w:fldChar w:fldCharType="begin" w:fldLock="1"/>
      </w:r>
      <w:r w:rsidR="004C3BA5">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[39]","plainTextFormattedCitation":"[39]","previouslyFormattedCitation":"[39]"},"properties":{"noteIndex":0},"schema":"https://github.com/citation-style-language/schema/raw/master/csl-citation.json"}</w:instrText>
      </w:r>
      <w:r>
        <w:fldChar w:fldCharType="separate"/>
      </w:r>
      <w:r w:rsidR="00D2308B" w:rsidRPr="00D2308B">
        <w:rPr>
          <w:noProof/>
        </w:rPr>
        <w:t>[39]</w:t>
      </w:r>
      <w:r>
        <w:fldChar w:fldCharType="end"/>
      </w:r>
      <w:r>
        <w:rPr>
          <w:rFonts w:eastAsia="Times New Roman"/>
          <w:szCs w:val="24"/>
          <w:lang w:eastAsia="ru-RU"/>
        </w:rPr>
        <w:t xml:space="preserve">. При необходимости устанавливаются различные сосудистые стенты. </w:t>
      </w:r>
    </w:p>
    <w:p w14:paraId="616BDB7E" w14:textId="77777777" w:rsidR="00972DD8" w:rsidRDefault="00972DD8" w:rsidP="00972DD8">
      <w:pPr>
        <w:ind w:left="708" w:firstLine="708"/>
        <w:rPr>
          <w:rFonts w:eastAsia="Times New Roman"/>
          <w:szCs w:val="24"/>
          <w:lang w:eastAsia="ru-RU"/>
        </w:rPr>
      </w:pPr>
    </w:p>
    <w:p w14:paraId="01D05ACD" w14:textId="77777777" w:rsidR="00972DD8" w:rsidRDefault="00972DD8" w:rsidP="00972DD8">
      <w:pPr>
        <w:rPr>
          <w:rFonts w:eastAsia="Times New Roman"/>
          <w:szCs w:val="24"/>
          <w:lang w:eastAsia="ru-RU"/>
        </w:rPr>
      </w:pPr>
      <w:r w:rsidRPr="00482DE7">
        <w:rPr>
          <w:rFonts w:eastAsia="Times New Roman"/>
          <w:szCs w:val="24"/>
          <w:lang w:eastAsia="ru-RU"/>
        </w:rPr>
        <w:t>3) Плазмаферез (ПФ)</w:t>
      </w:r>
      <w:r>
        <w:rPr>
          <w:rFonts w:eastAsia="Times New Roman"/>
          <w:szCs w:val="24"/>
          <w:lang w:eastAsia="ru-RU"/>
        </w:rPr>
        <w:t xml:space="preserve"> эффективен в комплексной терапии АФС и катастрофического АФС, ТТП и других видах ТМА, гипергомоцистеинемии, повышении активности факторов свертывания крови, при рецидивирующих тромбозах с угрозой развития тяжелых трофических нарушений. Объем, интенсивность, способы замещения ПФ зависят от характеристики заболеваний. </w:t>
      </w:r>
    </w:p>
    <w:p w14:paraId="31381EC6" w14:textId="77777777" w:rsidR="00972DD8" w:rsidRDefault="00972DD8" w:rsidP="00972DD8">
      <w:pPr>
        <w:ind w:left="1429"/>
        <w:rPr>
          <w:rFonts w:eastAsia="Times New Roman"/>
          <w:szCs w:val="24"/>
          <w:lang w:eastAsia="ru-RU"/>
        </w:rPr>
      </w:pPr>
    </w:p>
    <w:p w14:paraId="51016387" w14:textId="77777777" w:rsidR="00972DD8" w:rsidRPr="00111FC7" w:rsidRDefault="00972DD8" w:rsidP="00972DD8">
      <w:pPr>
        <w:ind w:firstLine="708"/>
        <w:rPr>
          <w:rFonts w:eastAsia="Times New Roman"/>
          <w:szCs w:val="24"/>
          <w:u w:val="single"/>
          <w:lang w:eastAsia="ru-RU"/>
        </w:rPr>
      </w:pPr>
      <w:r w:rsidRPr="00111FC7">
        <w:rPr>
          <w:rFonts w:eastAsia="Times New Roman"/>
          <w:szCs w:val="24"/>
          <w:u w:val="single"/>
          <w:lang w:eastAsia="ru-RU"/>
        </w:rPr>
        <w:t xml:space="preserve">Хирургическое лечение.   </w:t>
      </w:r>
    </w:p>
    <w:p w14:paraId="3D541B78" w14:textId="77777777" w:rsidR="00972DD8" w:rsidRPr="00A13E2A" w:rsidRDefault="00972DD8" w:rsidP="00972DD8">
      <w:pPr>
        <w:contextualSpacing/>
        <w:rPr>
          <w:rFonts w:eastAsia="Times New Roman"/>
          <w:b/>
          <w:szCs w:val="24"/>
          <w:lang w:eastAsia="ru-RU"/>
        </w:rPr>
      </w:pPr>
      <w:r w:rsidRPr="00A13E2A">
        <w:rPr>
          <w:rFonts w:eastAsia="Times New Roman"/>
          <w:szCs w:val="24"/>
          <w:lang w:eastAsia="ru-RU"/>
        </w:rPr>
        <w:t xml:space="preserve">Диагностику и лечение артериальных тромбозов необходимо строго осуществлять совместно с ангиохирургом, часто в условиях специализированного ангиологического хирургического стационара. При ТЭЛА с тяжелыми гемодинамическими расстройствами (АД в легочной артерии более 60-65 мм.рт.ст.) показано хирургическое удаление тромбов из легочной артерии.  </w:t>
      </w:r>
    </w:p>
    <w:p w14:paraId="5EAE93DF" w14:textId="77777777" w:rsidR="00972DD8" w:rsidRPr="00A13E2A" w:rsidRDefault="00972DD8" w:rsidP="00972DD8">
      <w:pPr>
        <w:rPr>
          <w:rFonts w:eastAsia="Times New Roman"/>
          <w:b/>
          <w:szCs w:val="24"/>
          <w:lang w:eastAsia="ru-RU"/>
        </w:rPr>
      </w:pPr>
      <w:r w:rsidRPr="00A13E2A">
        <w:rPr>
          <w:rFonts w:eastAsia="Times New Roman"/>
          <w:szCs w:val="24"/>
          <w:lang w:eastAsia="ru-RU"/>
        </w:rPr>
        <w:t>При развитии некротических изменений в результате окклюзирующих тромбозов показано экстренное хирургическое пособие.</w:t>
      </w:r>
    </w:p>
    <w:p w14:paraId="6A6BC493" w14:textId="77777777" w:rsidR="00972DD8" w:rsidRPr="00A13E2A" w:rsidRDefault="00972DD8" w:rsidP="00972DD8">
      <w:pPr>
        <w:rPr>
          <w:rFonts w:eastAsia="Times New Roman"/>
          <w:b/>
          <w:szCs w:val="24"/>
          <w:lang w:eastAsia="ru-RU"/>
        </w:rPr>
      </w:pPr>
      <w:r w:rsidRPr="00A13E2A">
        <w:rPr>
          <w:rFonts w:eastAsia="Times New Roman"/>
          <w:szCs w:val="24"/>
          <w:lang w:eastAsia="ru-RU"/>
        </w:rPr>
        <w:t xml:space="preserve">При флотирующих тромбах возможны применение эндоваскулярной тромбоэкстракции, установка кава-фильтра, хирургическая перевязка сосудов, прошивание нижней полой вены и др. </w:t>
      </w:r>
    </w:p>
    <w:p w14:paraId="43613131" w14:textId="77777777" w:rsidR="00972DD8" w:rsidRDefault="00972DD8" w:rsidP="00972DD8">
      <w:pPr>
        <w:rPr>
          <w:rFonts w:eastAsia="Times New Roman"/>
          <w:szCs w:val="24"/>
          <w:lang w:eastAsia="ru-RU"/>
        </w:rPr>
      </w:pPr>
      <w:r>
        <w:rPr>
          <w:rFonts w:eastAsia="Times New Roman"/>
          <w:szCs w:val="24"/>
          <w:lang w:eastAsia="ru-RU"/>
        </w:rPr>
        <w:t xml:space="preserve">Целью терапии тромбозов является максимально возможное лизирование тромбов и максимальная реканализация сосуда. Длительность терапии тромбоза составляет, как правило, не менее 3-х месяцев. Однако продолжительность лечения тромбозов по показаниям может составлять от 6 до 12 мес. При некоторых тромбофилиях профилактическая антитромботическая терапия может продолжаться пожизненно. </w:t>
      </w:r>
    </w:p>
    <w:p w14:paraId="02A8ECF6" w14:textId="3B5861F6" w:rsidR="00972DD8" w:rsidRDefault="00972DD8" w:rsidP="00972DD8">
      <w:pPr>
        <w:rPr>
          <w:szCs w:val="24"/>
        </w:rPr>
      </w:pPr>
      <w:r>
        <w:rPr>
          <w:szCs w:val="24"/>
        </w:rPr>
        <w:t xml:space="preserve">При сохранении таких факторов риска, как иммобилизация, гнойная инфекция, длительная катетеризация центральных сосудов, продолжающаяся ХТ или другие виды специфической терапии, сахарный диабет, сохраняющаяся злокачественная опухоль, генетические тромбофилии (исключая дефицит АТ </w:t>
      </w:r>
      <w:r>
        <w:rPr>
          <w:szCs w:val="24"/>
          <w:lang w:val="en-US"/>
        </w:rPr>
        <w:t>III</w:t>
      </w:r>
      <w:r>
        <w:rPr>
          <w:szCs w:val="24"/>
        </w:rPr>
        <w:t xml:space="preserve">), целесообразно продлить антикоагулянтную профилактику. В этом случае дополнительным аргументом может служить сохранение тромбинемии (высокая концентрация </w:t>
      </w:r>
      <w:r>
        <w:rPr>
          <w:szCs w:val="24"/>
          <w:lang w:val="en-US"/>
        </w:rPr>
        <w:t>D</w:t>
      </w:r>
      <w:r>
        <w:rPr>
          <w:szCs w:val="24"/>
        </w:rPr>
        <w:t>-димера), а также признаки замедления кровотока в глубоких венах нижних конечностей или таза при УЗДГ. Завершение противотромботического курса проводится индивидуально с учетом динамики факторов риска и тромбинемии.</w:t>
      </w:r>
    </w:p>
    <w:p w14:paraId="48B2F867" w14:textId="14F05FB0" w:rsidR="00087712" w:rsidRDefault="00087712" w:rsidP="00972DD8">
      <w:pPr>
        <w:rPr>
          <w:szCs w:val="24"/>
        </w:rPr>
      </w:pPr>
    </w:p>
    <w:p w14:paraId="7C7C9665" w14:textId="653D864D" w:rsidR="00116AF3" w:rsidRDefault="00116AF3" w:rsidP="00116AF3">
      <w:pPr>
        <w:pStyle w:val="2"/>
        <w:spacing w:before="0"/>
      </w:pPr>
      <w:bookmarkStart w:id="78" w:name="_Toc65770417"/>
      <w:bookmarkStart w:id="79" w:name="_Toc66097844"/>
      <w:bookmarkStart w:id="80" w:name="_Toc66184331"/>
      <w:r w:rsidRPr="000322E4">
        <w:t>7.</w:t>
      </w:r>
      <w:r w:rsidR="00F5021D">
        <w:t>7</w:t>
      </w:r>
      <w:r>
        <w:t xml:space="preserve"> </w:t>
      </w:r>
      <w:bookmarkStart w:id="81" w:name="_Toc57985408"/>
      <w:bookmarkStart w:id="82" w:name="_Toc64295959"/>
      <w:r w:rsidRPr="00761653">
        <w:t xml:space="preserve">Диагностика и лечение </w:t>
      </w:r>
      <w:r>
        <w:t xml:space="preserve">бактериальных </w:t>
      </w:r>
      <w:r w:rsidRPr="00761653">
        <w:t>инфекционных осложнений</w:t>
      </w:r>
      <w:bookmarkEnd w:id="78"/>
      <w:bookmarkEnd w:id="79"/>
      <w:bookmarkEnd w:id="80"/>
      <w:bookmarkEnd w:id="81"/>
      <w:bookmarkEnd w:id="82"/>
    </w:p>
    <w:p w14:paraId="52A294D4" w14:textId="1C3B5C52" w:rsidR="00116AF3" w:rsidRDefault="00116AF3" w:rsidP="00116AF3">
      <w:pPr>
        <w:contextualSpacing/>
      </w:pPr>
      <w:r w:rsidRPr="00761653">
        <w:t xml:space="preserve">Инфекции являются ведущими осложнениями при лечении заболеваний системы крови. Наиболее высокая частота определяется у </w:t>
      </w:r>
      <w:r>
        <w:t>пациентов с</w:t>
      </w:r>
      <w:r w:rsidRPr="00761653">
        <w:t xml:space="preserve"> острыми лейкозами и у реципиентов аллогенного трансплантата стволовых гемопоэтических клеток (ТГСК), варьирует от 30 до 90%. </w:t>
      </w:r>
      <w:r>
        <w:t>Так, у</w:t>
      </w:r>
      <w:r w:rsidRPr="00761653">
        <w:t xml:space="preserve"> </w:t>
      </w:r>
      <w:r>
        <w:t>пациентов с</w:t>
      </w:r>
      <w:r w:rsidRPr="00761653">
        <w:t xml:space="preserve"> острыми миелоидными лейкозами инфекционные осложнения составляют 80-90% на этап</w:t>
      </w:r>
      <w:r>
        <w:t>ах</w:t>
      </w:r>
      <w:r w:rsidRPr="00761653">
        <w:t xml:space="preserve"> индукции</w:t>
      </w:r>
      <w:r>
        <w:t xml:space="preserve"> и</w:t>
      </w:r>
      <w:r w:rsidRPr="00761653">
        <w:t xml:space="preserve"> консолидации</w:t>
      </w:r>
      <w:r>
        <w:t xml:space="preserve"> ремиссии</w:t>
      </w:r>
      <w:r w:rsidRPr="00761653">
        <w:t xml:space="preserve">; у </w:t>
      </w:r>
      <w:r>
        <w:t>пациентов</w:t>
      </w:r>
      <w:r w:rsidRPr="00761653">
        <w:t xml:space="preserve">острыми лимфоидными лейкозами </w:t>
      </w:r>
      <w:r>
        <w:t xml:space="preserve">инфекции развиваются </w:t>
      </w:r>
      <w:r w:rsidRPr="00761653">
        <w:t xml:space="preserve">преимущественно </w:t>
      </w:r>
      <w:r>
        <w:t>на этапе</w:t>
      </w:r>
      <w:r w:rsidRPr="00761653">
        <w:t xml:space="preserve"> индукции </w:t>
      </w:r>
      <w:r>
        <w:t xml:space="preserve">ремиссии </w:t>
      </w:r>
      <w:r w:rsidRPr="00761653">
        <w:t xml:space="preserve">(55%), реже – в </w:t>
      </w:r>
      <w:r>
        <w:t xml:space="preserve">период </w:t>
      </w:r>
      <w:r w:rsidRPr="00761653">
        <w:t xml:space="preserve">консолидации </w:t>
      </w:r>
      <w:r>
        <w:t xml:space="preserve">ремиссии </w:t>
      </w:r>
      <w:r w:rsidRPr="00761653">
        <w:t xml:space="preserve">(10%), у реципиентов аллогенных ТГСК </w:t>
      </w:r>
      <w:r>
        <w:t xml:space="preserve">– </w:t>
      </w:r>
      <w:r w:rsidRPr="00761653">
        <w:t>в период гранулоцитопении на этапе приживления гемопоэтических клеток (40-70%) и при развитии реакции “трансплантат против хозяина” (10-70%)</w:t>
      </w:r>
      <w:r>
        <w:t xml:space="preserve"> </w:t>
      </w:r>
      <w:r>
        <w:fldChar w:fldCharType="begin" w:fldLock="1"/>
      </w:r>
      <w:r w:rsidR="009D41F9">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id":"ITEM-2","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dropping-particle":"","family":"Коробова","given":"А.Г.","non-dropping-particle":"","parse-names":false,"suffix":""},{"dropping-particle":"","family":"Фролова","given":"И.Н.","non-dropping-particle":"","parse-names":false,"suffix":""},{"dropping-particle":"","family":"Савченко","given":"В.Г.","non-dropping-particle":"","parse-names":false,"suffix":""}],"container-title":"Онкогематология","id":"ITEM-2","issue":"3","issued":{"date-parts":[["2017"]]},"page":"31-40","title":"Инфекционные осложнения у взрослых больных острыми лимфобластными лейкозами на разных этапах химиотерапии по протоколу ОЛЛ-2009.","type":"article-journal","volume":"12"},"uris":["http://www.mendeley.com/documents/?uuid=810418fa-d337-48c2-843d-da3d3f2ec2c8"]}],"mendeley":{"formattedCitation":"[44,45]","plainTextFormattedCitation":"[44,45]","previouslyFormattedCitation":"[44,45]"},"properties":{"noteIndex":0},"schema":"https://github.com/citation-style-language/schema/raw/master/csl-citation.json"}</w:instrText>
      </w:r>
      <w:r>
        <w:fldChar w:fldCharType="separate"/>
      </w:r>
      <w:r w:rsidR="004C3BA5" w:rsidRPr="004C3BA5">
        <w:rPr>
          <w:noProof/>
        </w:rPr>
        <w:t>[44,45]</w:t>
      </w:r>
      <w:r>
        <w:fldChar w:fldCharType="end"/>
      </w:r>
      <w:r w:rsidRPr="00761653">
        <w:t xml:space="preserve">. У других категорий </w:t>
      </w:r>
      <w:r>
        <w:t>пациентов</w:t>
      </w:r>
      <w:r w:rsidRPr="00761653">
        <w:t xml:space="preserve"> </w:t>
      </w:r>
      <w:r>
        <w:t xml:space="preserve">с лейкозами и лимфомами </w:t>
      </w:r>
      <w:r w:rsidRPr="00761653">
        <w:t xml:space="preserve">частота инфекционных осложнений варьирует от 10 до 30%, </w:t>
      </w:r>
      <w:r>
        <w:t xml:space="preserve">она </w:t>
      </w:r>
      <w:r w:rsidRPr="00761653">
        <w:t xml:space="preserve">выше в </w:t>
      </w:r>
      <w:r>
        <w:t xml:space="preserve">период </w:t>
      </w:r>
      <w:r w:rsidRPr="00761653">
        <w:t>индукции</w:t>
      </w:r>
      <w:r>
        <w:t xml:space="preserve"> ремиссии</w:t>
      </w:r>
      <w:r w:rsidRPr="00761653">
        <w:t>, при резистентном варианте опухоли, при высокодозной химиотерапии</w:t>
      </w:r>
      <w:r>
        <w:t xml:space="preserve">, </w:t>
      </w:r>
      <w:r w:rsidRPr="0076198F">
        <w:t>при сопуствующей гипогаммаглобулинемии, в период вынужденной гиподинамии и постоянного постельного режима</w:t>
      </w:r>
      <w:r w:rsidRPr="00761653">
        <w:t xml:space="preserve">.  </w:t>
      </w:r>
    </w:p>
    <w:p w14:paraId="423477D6" w14:textId="77777777" w:rsidR="00116AF3" w:rsidRPr="00761653" w:rsidRDefault="00116AF3" w:rsidP="00116AF3">
      <w:r w:rsidRPr="00761653">
        <w:t xml:space="preserve">Инфекционные осложнения у </w:t>
      </w:r>
      <w:r>
        <w:t>пациентов</w:t>
      </w:r>
      <w:r w:rsidRPr="00761653">
        <w:t xml:space="preserve"> с </w:t>
      </w:r>
      <w:r>
        <w:t>лимфомами</w:t>
      </w:r>
      <w:r w:rsidRPr="00761653">
        <w:t xml:space="preserve"> характеризуются разнообразием как по этиологии, так и по локализации инфекционного процесса. </w:t>
      </w:r>
      <w:r>
        <w:t xml:space="preserve">Ниже </w:t>
      </w:r>
      <w:r w:rsidRPr="00761653">
        <w:t xml:space="preserve">представлен комплекс лабораторных исследований для диагностики инфекционных осложнений, а также подходы к их терапии, которые отличаются </w:t>
      </w:r>
      <w:r>
        <w:t>в зависимости от наличия/отсутствия</w:t>
      </w:r>
      <w:r w:rsidRPr="00761653">
        <w:t xml:space="preserve"> нейтропении.</w:t>
      </w:r>
    </w:p>
    <w:p w14:paraId="71E61904" w14:textId="77777777" w:rsidR="00116AF3" w:rsidRDefault="00116AF3" w:rsidP="00116AF3">
      <w:pPr>
        <w:widowControl w:val="0"/>
        <w:autoSpaceDE w:val="0"/>
        <w:autoSpaceDN w:val="0"/>
        <w:adjustRightInd w:val="0"/>
        <w:ind w:right="49"/>
        <w:contextualSpacing/>
      </w:pPr>
      <w:r w:rsidRPr="00761653">
        <w:t xml:space="preserve">Основным фактором, определяющим развитие инфекционных осложнений у </w:t>
      </w:r>
      <w:r>
        <w:t xml:space="preserve">гематологических пациентов, </w:t>
      </w:r>
      <w:r w:rsidRPr="00761653">
        <w:t>является нейтропения (нейтрофил</w:t>
      </w:r>
      <w:r>
        <w:t>ы</w:t>
      </w:r>
      <w:r w:rsidRPr="00761653">
        <w:t xml:space="preserve"> &lt;</w:t>
      </w:r>
      <w:r>
        <w:t xml:space="preserve"> </w:t>
      </w:r>
      <w:r w:rsidRPr="00761653">
        <w:t>0,5</w:t>
      </w:r>
      <w:r>
        <w:t> </w:t>
      </w:r>
      <w:r w:rsidRPr="00761653">
        <w:t>х</w:t>
      </w:r>
      <w:r>
        <w:t> </w:t>
      </w:r>
      <w:r w:rsidRPr="00761653">
        <w:t>10</w:t>
      </w:r>
      <w:r w:rsidRPr="00761653">
        <w:rPr>
          <w:vertAlign w:val="superscript"/>
        </w:rPr>
        <w:t>9</w:t>
      </w:r>
      <w:r w:rsidRPr="00761653">
        <w:t>/л) или лейкопения (лейкоцит</w:t>
      </w:r>
      <w:r>
        <w:t>ы</w:t>
      </w:r>
      <w:r w:rsidRPr="00761653">
        <w:t xml:space="preserve"> ≤ 1</w:t>
      </w:r>
      <w:r>
        <w:t> </w:t>
      </w:r>
      <w:r w:rsidRPr="00761653">
        <w:t>000</w:t>
      </w:r>
      <w:r>
        <w:t> </w:t>
      </w:r>
      <w:r w:rsidRPr="00761653">
        <w:t>х</w:t>
      </w:r>
      <w:r>
        <w:t> </w:t>
      </w:r>
      <w:r w:rsidRPr="00761653">
        <w:t>10</w:t>
      </w:r>
      <w:r w:rsidRPr="00761653">
        <w:rPr>
          <w:vertAlign w:val="superscript"/>
        </w:rPr>
        <w:t>9</w:t>
      </w:r>
      <w:r w:rsidRPr="00761653">
        <w:t>/л)</w:t>
      </w:r>
      <w:r>
        <w:t xml:space="preserve">, а также </w:t>
      </w:r>
      <w:r w:rsidRPr="00761653">
        <w:t>длительность</w:t>
      </w:r>
      <w:r>
        <w:t xml:space="preserve"> нейтропении –</w:t>
      </w:r>
      <w:r w:rsidRPr="00761653">
        <w:t xml:space="preserve"> </w:t>
      </w:r>
      <w:r>
        <w:t>ч</w:t>
      </w:r>
      <w:r w:rsidRPr="00761653">
        <w:t xml:space="preserve">астота инфекций существенно возрастает при длительности нейтропении </w:t>
      </w:r>
      <w:r>
        <w:t>более</w:t>
      </w:r>
      <w:r w:rsidRPr="00761653">
        <w:t xml:space="preserve"> 10 дней. Риск развития инфекций возрастает при нарушении фагоцитарной функции</w:t>
      </w:r>
      <w:r>
        <w:t xml:space="preserve"> нейтрофилов</w:t>
      </w:r>
      <w:r w:rsidRPr="00761653">
        <w:t>, при дефектах клеточного и гуморального иммунитета, повреждении слизистых оболочек желудочно-кишечного тракта</w:t>
      </w:r>
      <w:r>
        <w:t xml:space="preserve"> (</w:t>
      </w:r>
      <w:r w:rsidRPr="00761653">
        <w:t>особенно мукозитах III-IV степени</w:t>
      </w:r>
      <w:r>
        <w:t>)</w:t>
      </w:r>
      <w:r w:rsidRPr="00761653">
        <w:t>, наличии центрального венозного катетера (ЦВК). Источником развити</w:t>
      </w:r>
      <w:r>
        <w:t>я</w:t>
      </w:r>
      <w:r w:rsidRPr="00761653">
        <w:t xml:space="preserve"> инфекции, как правило, является желудочно-кишечный тракт, когда активно происходит транслокация микрооргани</w:t>
      </w:r>
      <w:r>
        <w:t>з</w:t>
      </w:r>
      <w:r w:rsidRPr="00761653">
        <w:t xml:space="preserve">мов со слизистой оболочки, поврежденной в результате химиотерапии. Другие </w:t>
      </w:r>
      <w:r>
        <w:t xml:space="preserve">основные </w:t>
      </w:r>
      <w:r w:rsidRPr="00761653">
        <w:t xml:space="preserve">входные ворота инфекции при нейтропении – ЦВК. </w:t>
      </w:r>
    </w:p>
    <w:p w14:paraId="235AAB36" w14:textId="77777777" w:rsidR="00116AF3" w:rsidRDefault="00116AF3" w:rsidP="00116AF3">
      <w:pPr>
        <w:widowControl w:val="0"/>
        <w:autoSpaceDE w:val="0"/>
        <w:autoSpaceDN w:val="0"/>
        <w:adjustRightInd w:val="0"/>
        <w:ind w:right="49"/>
        <w:contextualSpacing/>
        <w:rPr>
          <w:b/>
        </w:rPr>
      </w:pPr>
    </w:p>
    <w:p w14:paraId="6866FABA" w14:textId="77777777" w:rsidR="00116AF3" w:rsidRPr="005A451C" w:rsidRDefault="00116AF3" w:rsidP="00116AF3">
      <w:pPr>
        <w:widowControl w:val="0"/>
        <w:autoSpaceDE w:val="0"/>
        <w:autoSpaceDN w:val="0"/>
        <w:adjustRightInd w:val="0"/>
        <w:ind w:right="49"/>
        <w:contextualSpacing/>
        <w:rPr>
          <w:bCs/>
          <w:i/>
          <w:iCs/>
          <w:u w:val="single"/>
        </w:rPr>
      </w:pPr>
      <w:r w:rsidRPr="005A451C">
        <w:rPr>
          <w:bCs/>
          <w:i/>
          <w:iCs/>
          <w:u w:val="single"/>
        </w:rPr>
        <w:t>Этиология инфекционных осложнений</w:t>
      </w:r>
    </w:p>
    <w:p w14:paraId="51AD8FAE" w14:textId="204D6E20" w:rsidR="00116AF3" w:rsidRPr="00761653" w:rsidRDefault="00116AF3" w:rsidP="00116AF3">
      <w:pPr>
        <w:widowControl w:val="0"/>
        <w:autoSpaceDE w:val="0"/>
        <w:autoSpaceDN w:val="0"/>
        <w:adjustRightInd w:val="0"/>
        <w:ind w:right="49"/>
        <w:contextualSpacing/>
      </w:pPr>
      <w:r w:rsidRPr="00761653">
        <w:t xml:space="preserve">Этиологическая структура возбудителей у </w:t>
      </w:r>
      <w:r>
        <w:t>гематологических пациентов, в том числе, пациентов с лимфомами, разнообразна</w:t>
      </w:r>
      <w:r w:rsidRPr="00761653">
        <w:t xml:space="preserve"> и включает бактерии, грибы (дрожжевые и плесневые), герпесвирусы. В первые 7-10 дней инфекционный процесс, как правило, бывает обусловлен бактериями, а по мере удлинения нейтропении возрастает риск возникновения инвазивного аспергиллеза</w:t>
      </w:r>
      <w:r>
        <w:t xml:space="preserve"> </w:t>
      </w:r>
      <w:r>
        <w:fldChar w:fldCharType="begin" w:fldLock="1"/>
      </w:r>
      <w:r w:rsidR="009D41F9">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mendeley":{"formattedCitation":"[44]","plainTextFormattedCitation":"[44]","previouslyFormattedCitation":"[44]"},"properties":{"noteIndex":0},"schema":"https://github.com/citation-style-language/schema/raw/master/csl-citation.json"}</w:instrText>
      </w:r>
      <w:r>
        <w:fldChar w:fldCharType="separate"/>
      </w:r>
      <w:r w:rsidR="004C3BA5" w:rsidRPr="004C3BA5">
        <w:rPr>
          <w:noProof/>
        </w:rPr>
        <w:t>[44]</w:t>
      </w:r>
      <w:r>
        <w:fldChar w:fldCharType="end"/>
      </w:r>
      <w:r w:rsidRPr="00761653">
        <w:t>. В этиологии инфекций кровотока на долю грамотрицательных бактерий приходится 49,7%, грамположительных бактерий - 42,7%, дрожжеподобных грибов – 7,4%</w:t>
      </w:r>
      <w:r>
        <w:t xml:space="preserve"> </w:t>
      </w:r>
      <w:r>
        <w:fldChar w:fldCharType="begin" w:fldLock="1"/>
      </w:r>
      <w:r w:rsidR="009D41F9">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[46]","plainTextFormattedCitation":"[46]","previouslyFormattedCitation":"[46]"},"properties":{"noteIndex":0},"schema":"https://github.com/citation-style-language/schema/raw/master/csl-citation.json"}</w:instrText>
      </w:r>
      <w:r>
        <w:fldChar w:fldCharType="separate"/>
      </w:r>
      <w:r w:rsidR="004C3BA5" w:rsidRPr="004C3BA5">
        <w:rPr>
          <w:noProof/>
        </w:rPr>
        <w:t>[46]</w:t>
      </w:r>
      <w:r>
        <w:fldChar w:fldCharType="end"/>
      </w:r>
      <w:r w:rsidRPr="00761653">
        <w:t xml:space="preserve">. Основными возбудителями сепсиса являются </w:t>
      </w:r>
      <w:r w:rsidRPr="00761653">
        <w:rPr>
          <w:i/>
          <w:iCs/>
        </w:rPr>
        <w:t>Escherichia coli</w:t>
      </w:r>
      <w:r w:rsidRPr="00761653">
        <w:t xml:space="preserve"> (17,8%), коагулазонегативные стафилококки (17,4%), </w:t>
      </w:r>
      <w:r w:rsidRPr="00761653">
        <w:rPr>
          <w:i/>
          <w:iCs/>
        </w:rPr>
        <w:t>Enterococcus</w:t>
      </w:r>
      <w:r w:rsidRPr="00761653">
        <w:t xml:space="preserve"> spp. (10,3%), </w:t>
      </w:r>
      <w:r w:rsidRPr="00761653">
        <w:rPr>
          <w:i/>
          <w:iCs/>
        </w:rPr>
        <w:t>Pseudomonas aeruginosa</w:t>
      </w:r>
      <w:r w:rsidRPr="00761653">
        <w:t xml:space="preserve"> (7,6%), </w:t>
      </w:r>
      <w:r w:rsidRPr="00761653">
        <w:rPr>
          <w:i/>
          <w:iCs/>
        </w:rPr>
        <w:t>Klebsiella pneumoniae</w:t>
      </w:r>
      <w:r w:rsidRPr="00761653">
        <w:t xml:space="preserve"> (8,2%). В последние годы увеличилась детекция </w:t>
      </w:r>
      <w:r w:rsidRPr="00761653">
        <w:rPr>
          <w:i/>
          <w:iCs/>
        </w:rPr>
        <w:t>Acinetobacte</w:t>
      </w:r>
      <w:r w:rsidRPr="00761653">
        <w:rPr>
          <w:i/>
        </w:rPr>
        <w:t>r</w:t>
      </w:r>
      <w:r w:rsidRPr="00761653">
        <w:t xml:space="preserve"> spp. и </w:t>
      </w:r>
      <w:r w:rsidRPr="00761653">
        <w:rPr>
          <w:i/>
          <w:iCs/>
        </w:rPr>
        <w:t>Stenotrophomonas maltophilia</w:t>
      </w:r>
      <w:r w:rsidRPr="00761653">
        <w:t xml:space="preserve">, и они входят в число пяти ведущих грамотрицательных бактерий при инфекциях кровотока после </w:t>
      </w:r>
      <w:r w:rsidRPr="00761653">
        <w:rPr>
          <w:i/>
          <w:iCs/>
        </w:rPr>
        <w:t>E.coli</w:t>
      </w:r>
      <w:r w:rsidRPr="00761653">
        <w:t xml:space="preserve">, </w:t>
      </w:r>
      <w:r w:rsidRPr="00761653">
        <w:rPr>
          <w:i/>
          <w:iCs/>
        </w:rPr>
        <w:t>K. pneumoniae, P.aeruginosa</w:t>
      </w:r>
      <w:r w:rsidRPr="00761653">
        <w:t>.</w:t>
      </w:r>
    </w:p>
    <w:p w14:paraId="0A6DE573" w14:textId="432EE7CC" w:rsidR="00116AF3" w:rsidRPr="00761653" w:rsidRDefault="00116AF3" w:rsidP="00116AF3">
      <w:pPr>
        <w:widowControl w:val="0"/>
        <w:autoSpaceDE w:val="0"/>
        <w:autoSpaceDN w:val="0"/>
        <w:adjustRightInd w:val="0"/>
        <w:ind w:right="49"/>
        <w:contextualSpacing/>
      </w:pPr>
      <w:r w:rsidRPr="00761653">
        <w:t>Основными механизмами устойчивости у энтеробактерий являются продукция бета-лактамаз расширенного спектра (БЛРС</w:t>
      </w:r>
      <w:r>
        <w:t>) –</w:t>
      </w:r>
      <w:r w:rsidRPr="00761653">
        <w:t xml:space="preserve"> </w:t>
      </w:r>
      <w:r>
        <w:t xml:space="preserve">в </w:t>
      </w:r>
      <w:r w:rsidRPr="00761653">
        <w:t xml:space="preserve">40-50% </w:t>
      </w:r>
      <w:r>
        <w:t xml:space="preserve">случаев, </w:t>
      </w:r>
      <w:r w:rsidRPr="00761653">
        <w:t xml:space="preserve">и детекция карбапенемаз, преимущественно у </w:t>
      </w:r>
      <w:r w:rsidRPr="00761653">
        <w:rPr>
          <w:i/>
        </w:rPr>
        <w:t xml:space="preserve">K. pneumoniae </w:t>
      </w:r>
      <w:r w:rsidRPr="00761653">
        <w:t xml:space="preserve">(10-30%). Устойчивость </w:t>
      </w:r>
      <w:r w:rsidRPr="00761653">
        <w:rPr>
          <w:i/>
        </w:rPr>
        <w:t>P. aerugino</w:t>
      </w:r>
      <w:r w:rsidRPr="00761653">
        <w:t xml:space="preserve">sa составляет к карбапенемам и колистину 40-50% и 29%, соответственно, шатммов </w:t>
      </w:r>
      <w:r w:rsidRPr="00761653">
        <w:rPr>
          <w:i/>
        </w:rPr>
        <w:t>Acinetobacter baumannii</w:t>
      </w:r>
      <w:r w:rsidRPr="00761653">
        <w:t xml:space="preserve"> к карбапенемам - 65-70%</w:t>
      </w:r>
      <w:r>
        <w:t xml:space="preserve"> </w:t>
      </w:r>
      <w:r>
        <w:fldChar w:fldCharType="begin" w:fldLock="1"/>
      </w:r>
      <w:r w:rsidR="009D41F9">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mendeley":{"formattedCitation":"[47]","plainTextFormattedCitation":"[47]","previouslyFormattedCitation":"[47]"},"properties":{"noteIndex":0},"schema":"https://github.com/citation-style-language/schema/raw/master/csl-citation.json"}</w:instrText>
      </w:r>
      <w:r>
        <w:fldChar w:fldCharType="separate"/>
      </w:r>
      <w:r w:rsidR="004C3BA5" w:rsidRPr="004C3BA5">
        <w:rPr>
          <w:noProof/>
        </w:rPr>
        <w:t>[47]</w:t>
      </w:r>
      <w:r>
        <w:fldChar w:fldCharType="end"/>
      </w:r>
      <w:r w:rsidRPr="00761653">
        <w:t xml:space="preserve">. Среди грамположительных бактерий отмечена устойчивость </w:t>
      </w:r>
      <w:r w:rsidRPr="00761653">
        <w:rPr>
          <w:i/>
          <w:iCs/>
        </w:rPr>
        <w:t xml:space="preserve">Enterococcus faecium </w:t>
      </w:r>
      <w:r w:rsidRPr="00761653">
        <w:t xml:space="preserve">к ванкомицину (15%). Для грибов рода </w:t>
      </w:r>
      <w:r w:rsidRPr="00761653">
        <w:rPr>
          <w:i/>
        </w:rPr>
        <w:t>Candida</w:t>
      </w:r>
      <w:r w:rsidRPr="00761653">
        <w:t xml:space="preserve"> характерно снижение доли </w:t>
      </w:r>
      <w:r w:rsidRPr="00761653">
        <w:rPr>
          <w:i/>
        </w:rPr>
        <w:t>С. albicans</w:t>
      </w:r>
      <w:r w:rsidRPr="00761653">
        <w:t xml:space="preserve"> до 30% и широкое видовое разнообразие </w:t>
      </w:r>
      <w:r w:rsidRPr="00761653">
        <w:rPr>
          <w:i/>
          <w:iCs/>
        </w:rPr>
        <w:t>Candida</w:t>
      </w:r>
      <w:r w:rsidRPr="00761653">
        <w:t xml:space="preserve"> non-</w:t>
      </w:r>
      <w:r w:rsidRPr="00761653">
        <w:rPr>
          <w:i/>
          <w:iCs/>
        </w:rPr>
        <w:t>albicans</w:t>
      </w:r>
      <w:r>
        <w:rPr>
          <w:i/>
          <w:iCs/>
        </w:rPr>
        <w:t xml:space="preserve"> </w:t>
      </w:r>
      <w:r>
        <w:rPr>
          <w:i/>
          <w:iCs/>
        </w:rPr>
        <w:fldChar w:fldCharType="begin" w:fldLock="1"/>
      </w:r>
      <w:r w:rsidR="009D41F9">
        <w:rPr>
          <w:i/>
          <w:iCs/>
        </w:rPr>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[46]","plainTextFormattedCitation":"[46]","previouslyFormattedCitation":"[46]"},"properties":{"noteIndex":0},"schema":"https://github.com/citation-style-language/schema/raw/master/csl-citation.json"}</w:instrText>
      </w:r>
      <w:r>
        <w:rPr>
          <w:i/>
          <w:iCs/>
        </w:rPr>
        <w:fldChar w:fldCharType="separate"/>
      </w:r>
      <w:r w:rsidR="004C3BA5" w:rsidRPr="004C3BA5">
        <w:rPr>
          <w:iCs/>
          <w:noProof/>
        </w:rPr>
        <w:t>[46]</w:t>
      </w:r>
      <w:r>
        <w:rPr>
          <w:i/>
          <w:iCs/>
        </w:rPr>
        <w:fldChar w:fldCharType="end"/>
      </w:r>
      <w:r w:rsidRPr="00761653">
        <w:t>.</w:t>
      </w:r>
    </w:p>
    <w:p w14:paraId="35081B16" w14:textId="77777777" w:rsidR="00116AF3" w:rsidRDefault="00116AF3" w:rsidP="00116AF3">
      <w:pPr>
        <w:widowControl w:val="0"/>
        <w:autoSpaceDE w:val="0"/>
        <w:autoSpaceDN w:val="0"/>
        <w:adjustRightInd w:val="0"/>
        <w:ind w:right="49"/>
        <w:contextualSpacing/>
        <w:rPr>
          <w:b/>
        </w:rPr>
      </w:pPr>
    </w:p>
    <w:p w14:paraId="1303D836" w14:textId="77777777" w:rsidR="00116AF3" w:rsidRPr="00CD4DE7" w:rsidRDefault="00116AF3" w:rsidP="00116AF3">
      <w:pPr>
        <w:widowControl w:val="0"/>
        <w:autoSpaceDE w:val="0"/>
        <w:autoSpaceDN w:val="0"/>
        <w:adjustRightInd w:val="0"/>
        <w:ind w:right="49"/>
        <w:contextualSpacing/>
        <w:rPr>
          <w:bCs/>
          <w:i/>
          <w:iCs/>
          <w:u w:val="single"/>
        </w:rPr>
      </w:pPr>
      <w:r w:rsidRPr="00CD4DE7">
        <w:rPr>
          <w:bCs/>
          <w:i/>
          <w:iCs/>
          <w:u w:val="single"/>
        </w:rPr>
        <w:t>Клинические проявления инфекций</w:t>
      </w:r>
    </w:p>
    <w:p w14:paraId="158A5275" w14:textId="77777777" w:rsidR="00116AF3" w:rsidRDefault="00116AF3" w:rsidP="00116AF3">
      <w:pPr>
        <w:widowControl w:val="0"/>
        <w:autoSpaceDE w:val="0"/>
        <w:autoSpaceDN w:val="0"/>
        <w:adjustRightInd w:val="0"/>
        <w:ind w:right="49"/>
        <w:contextualSpacing/>
      </w:pPr>
      <w:r w:rsidRPr="00761653">
        <w:t xml:space="preserve">Для инфекций периода нейтропении/лейкопении характерными признаками являются </w:t>
      </w:r>
    </w:p>
    <w:p w14:paraId="768A06E0" w14:textId="77777777" w:rsidR="00116AF3" w:rsidRDefault="00116AF3" w:rsidP="006D53E9">
      <w:pPr>
        <w:pStyle w:val="afe"/>
        <w:widowControl w:val="0"/>
        <w:numPr>
          <w:ilvl w:val="0"/>
          <w:numId w:val="43"/>
        </w:numPr>
        <w:autoSpaceDE w:val="0"/>
        <w:autoSpaceDN w:val="0"/>
        <w:adjustRightInd w:val="0"/>
        <w:ind w:right="49"/>
      </w:pPr>
      <w:r w:rsidRPr="00940E71">
        <w:t xml:space="preserve">скудность </w:t>
      </w:r>
      <w:r>
        <w:t xml:space="preserve">клинических проявлений; </w:t>
      </w:r>
    </w:p>
    <w:p w14:paraId="2836BE4E" w14:textId="77777777" w:rsidR="00116AF3" w:rsidRDefault="00116AF3" w:rsidP="006D53E9">
      <w:pPr>
        <w:pStyle w:val="afe"/>
        <w:widowControl w:val="0"/>
        <w:numPr>
          <w:ilvl w:val="0"/>
          <w:numId w:val="43"/>
        </w:numPr>
        <w:autoSpaceDE w:val="0"/>
        <w:autoSpaceDN w:val="0"/>
        <w:adjustRightInd w:val="0"/>
        <w:ind w:right="49"/>
      </w:pPr>
      <w:r w:rsidRPr="00940E71">
        <w:t>вероятность наличия одновременно разных возбудителей и разной локал</w:t>
      </w:r>
      <w:r>
        <w:t xml:space="preserve">изации инфекционного процесса; </w:t>
      </w:r>
    </w:p>
    <w:p w14:paraId="572F84C9" w14:textId="77777777" w:rsidR="00116AF3" w:rsidRPr="00940E71" w:rsidRDefault="00116AF3" w:rsidP="006D53E9">
      <w:pPr>
        <w:pStyle w:val="afe"/>
        <w:widowControl w:val="0"/>
        <w:numPr>
          <w:ilvl w:val="0"/>
          <w:numId w:val="43"/>
        </w:numPr>
        <w:autoSpaceDE w:val="0"/>
        <w:autoSpaceDN w:val="0"/>
        <w:adjustRightInd w:val="0"/>
        <w:ind w:right="49"/>
      </w:pPr>
      <w:r w:rsidRPr="00940E71">
        <w:t xml:space="preserve">возможность появления других возбудителей и другого по локализации инфекционного процесса по мере удлинения </w:t>
      </w:r>
      <w:r>
        <w:t xml:space="preserve">периода </w:t>
      </w:r>
      <w:r w:rsidRPr="00940E71">
        <w:t xml:space="preserve">нейтропении. </w:t>
      </w:r>
    </w:p>
    <w:p w14:paraId="5505F3AD" w14:textId="77777777" w:rsidR="00116AF3" w:rsidRPr="00761653" w:rsidRDefault="00116AF3" w:rsidP="00116AF3">
      <w:pPr>
        <w:widowControl w:val="0"/>
        <w:autoSpaceDE w:val="0"/>
        <w:autoSpaceDN w:val="0"/>
        <w:adjustRightInd w:val="0"/>
        <w:ind w:right="49"/>
        <w:contextualSpacing/>
      </w:pPr>
      <w:r w:rsidRPr="00761653">
        <w:t>Под лихорадкой подразумевают однократно зарегистрированное повышение температуры тела ≥38,0°С, не связанное с другими причинами</w:t>
      </w:r>
      <w:r>
        <w:t xml:space="preserve"> (</w:t>
      </w:r>
      <w:r w:rsidRPr="00761653">
        <w:t>реакции на трансфузии компонентов крови</w:t>
      </w:r>
      <w:r>
        <w:t xml:space="preserve">, на </w:t>
      </w:r>
      <w:r w:rsidRPr="00761653">
        <w:t>вводимы</w:t>
      </w:r>
      <w:r>
        <w:t>е</w:t>
      </w:r>
      <w:r w:rsidRPr="00761653">
        <w:t xml:space="preserve"> медикамент</w:t>
      </w:r>
      <w:r>
        <w:t>ы</w:t>
      </w:r>
      <w:r w:rsidRPr="00761653">
        <w:t>, опухолевая лихоракдка</w:t>
      </w:r>
      <w:r>
        <w:t>)</w:t>
      </w:r>
      <w:r w:rsidRPr="00761653">
        <w:t>.</w:t>
      </w:r>
    </w:p>
    <w:p w14:paraId="606219D3" w14:textId="77777777" w:rsidR="00116AF3" w:rsidRPr="00761653" w:rsidRDefault="00116AF3" w:rsidP="00116AF3">
      <w:pPr>
        <w:widowControl w:val="0"/>
        <w:autoSpaceDE w:val="0"/>
        <w:autoSpaceDN w:val="0"/>
        <w:adjustRightInd w:val="0"/>
        <w:ind w:right="49"/>
        <w:contextualSpacing/>
      </w:pPr>
      <w:r w:rsidRPr="00761653">
        <w:t xml:space="preserve">Существует обобщающий термин “фебрильная нейтропения”, включающий все случаи фебрильной температуры у </w:t>
      </w:r>
      <w:r>
        <w:t>пациентов</w:t>
      </w:r>
      <w:r w:rsidRPr="00761653">
        <w:t xml:space="preserve"> с нейтропенией/лейкопенией. К клинически доказанным относят случаи инфекции, которые удается верифицировать с помощью физикальных или инструментальных методов диагностики при отсутствии микробиологического подтверждения. Наиболее частыми проявлениями клинически дока</w:t>
      </w:r>
      <w:r>
        <w:t>занных инфекций</w:t>
      </w:r>
      <w:r w:rsidRPr="00761653">
        <w:t xml:space="preserve"> являются пневмония, инфекция мягких тканей, инфекция промежности</w:t>
      </w:r>
      <w:r>
        <w:t xml:space="preserve"> (в т. ч. парапроктит)</w:t>
      </w:r>
      <w:r w:rsidRPr="00761653">
        <w:t xml:space="preserve">. Микробиологическим подтверждением инфекции в период гранулоцитопении в большинстве случаев является выделение микроорганизмов из гемокультуры. </w:t>
      </w:r>
    </w:p>
    <w:p w14:paraId="2E8595A9" w14:textId="77777777" w:rsidR="00116AF3" w:rsidRDefault="00116AF3" w:rsidP="00116AF3">
      <w:pPr>
        <w:widowControl w:val="0"/>
        <w:autoSpaceDE w:val="0"/>
        <w:autoSpaceDN w:val="0"/>
        <w:adjustRightInd w:val="0"/>
        <w:ind w:right="49"/>
        <w:contextualSpacing/>
        <w:rPr>
          <w:b/>
        </w:rPr>
      </w:pPr>
    </w:p>
    <w:p w14:paraId="55CB3E59" w14:textId="77777777" w:rsidR="00116AF3" w:rsidRPr="00CD4DE7" w:rsidRDefault="00116AF3" w:rsidP="00116AF3">
      <w:pPr>
        <w:widowControl w:val="0"/>
        <w:autoSpaceDE w:val="0"/>
        <w:autoSpaceDN w:val="0"/>
        <w:adjustRightInd w:val="0"/>
        <w:ind w:right="49"/>
        <w:contextualSpacing/>
        <w:rPr>
          <w:bCs/>
          <w:i/>
          <w:iCs/>
          <w:u w:val="single"/>
        </w:rPr>
      </w:pPr>
      <w:r w:rsidRPr="00CD4DE7">
        <w:rPr>
          <w:bCs/>
          <w:i/>
          <w:iCs/>
          <w:u w:val="single"/>
        </w:rPr>
        <w:t>Диагностика инфекционных осложнений.</w:t>
      </w:r>
    </w:p>
    <w:p w14:paraId="7123C0E2" w14:textId="77777777" w:rsidR="00116AF3" w:rsidRPr="0076198F" w:rsidRDefault="00116AF3" w:rsidP="00116AF3">
      <w:r w:rsidRPr="0076198F">
        <w:t xml:space="preserve">Во всех случаях </w:t>
      </w:r>
      <w:r>
        <w:t xml:space="preserve">вероятного или установленного </w:t>
      </w:r>
      <w:r w:rsidRPr="0076198F">
        <w:t>инфекционного процесса следует активно проводить диагностику, направленную на выявление, как очагов инфекции, так и этиологических агентов.</w:t>
      </w:r>
    </w:p>
    <w:p w14:paraId="03AB952B" w14:textId="77777777" w:rsidR="00116AF3" w:rsidRPr="0076198F" w:rsidRDefault="00116AF3" w:rsidP="00116AF3">
      <w:r w:rsidRPr="0076198F">
        <w:t xml:space="preserve">При подозрении на инфекцию образцы клинического материала от </w:t>
      </w:r>
      <w:r>
        <w:t>пациента</w:t>
      </w:r>
      <w:r w:rsidRPr="0076198F">
        <w:t xml:space="preserve"> должны быть взяты незамедлительно. </w:t>
      </w:r>
      <w:r>
        <w:t>Необходимо</w:t>
      </w:r>
      <w:r w:rsidRPr="0076198F">
        <w:t xml:space="preserve"> пристально</w:t>
      </w:r>
      <w:r>
        <w:t>е</w:t>
      </w:r>
      <w:r w:rsidRPr="0076198F">
        <w:t xml:space="preserve"> внимания и проведени</w:t>
      </w:r>
      <w:r>
        <w:t>е</w:t>
      </w:r>
      <w:r w:rsidRPr="0076198F">
        <w:t xml:space="preserve"> тщательных микробиологических исследований у </w:t>
      </w:r>
      <w:r>
        <w:t>пациентов</w:t>
      </w:r>
      <w:r w:rsidRPr="0076198F">
        <w:t>, принимающих глюкокортико</w:t>
      </w:r>
      <w:r>
        <w:t>стероиды, и у лиц пожилого возраста, так как у</w:t>
      </w:r>
      <w:r w:rsidRPr="0076198F">
        <w:t xml:space="preserve"> этой группы пациентов у 70% тяжелобольных в возрасте </w:t>
      </w:r>
      <w:r>
        <w:t>старше</w:t>
      </w:r>
      <w:r w:rsidRPr="0076198F">
        <w:t xml:space="preserve"> 66 лет септицемия может протекать </w:t>
      </w:r>
      <w:r>
        <w:t xml:space="preserve">с нормотермией или умеренным </w:t>
      </w:r>
      <w:r w:rsidRPr="0076198F">
        <w:t>субфебрил</w:t>
      </w:r>
      <w:r>
        <w:t>итетом</w:t>
      </w:r>
      <w:r w:rsidRPr="0076198F">
        <w:t xml:space="preserve">. </w:t>
      </w:r>
    </w:p>
    <w:p w14:paraId="688637DC" w14:textId="77777777" w:rsidR="00116AF3" w:rsidRPr="0076198F" w:rsidRDefault="00116AF3" w:rsidP="00116AF3">
      <w:r w:rsidRPr="0076198F">
        <w:t xml:space="preserve">При нейтропении ежедневно проводят тщательный осмотр пациента, который наряду с обычными терапевтическими стандартами обследования </w:t>
      </w:r>
      <w:r>
        <w:t>включает следующие подходы:</w:t>
      </w:r>
      <w:r w:rsidRPr="0076198F">
        <w:t xml:space="preserve"> </w:t>
      </w:r>
    </w:p>
    <w:p w14:paraId="0019D754" w14:textId="77777777" w:rsidR="00116AF3" w:rsidRPr="0076198F" w:rsidRDefault="00116AF3" w:rsidP="006D53E9">
      <w:pPr>
        <w:pStyle w:val="afe"/>
        <w:numPr>
          <w:ilvl w:val="0"/>
          <w:numId w:val="54"/>
        </w:numPr>
        <w:tabs>
          <w:tab w:val="left" w:pos="0"/>
          <w:tab w:val="left" w:pos="567"/>
        </w:tabs>
        <w:ind w:left="993" w:hanging="426"/>
        <w:contextualSpacing w:val="0"/>
      </w:pPr>
      <w:r w:rsidRPr="0076198F">
        <w:t>активный опрос больного относительно возможных симптомов инфекции, включая наличие болей по ходу пищевода, в промежности</w:t>
      </w:r>
      <w:r>
        <w:t>;</w:t>
      </w:r>
    </w:p>
    <w:p w14:paraId="7A667446" w14:textId="77777777" w:rsidR="00116AF3" w:rsidRPr="0076198F" w:rsidRDefault="00116AF3" w:rsidP="006D53E9">
      <w:pPr>
        <w:pStyle w:val="afe"/>
        <w:numPr>
          <w:ilvl w:val="0"/>
          <w:numId w:val="54"/>
        </w:numPr>
        <w:tabs>
          <w:tab w:val="left" w:pos="0"/>
          <w:tab w:val="left" w:pos="567"/>
        </w:tabs>
        <w:ind w:left="993" w:hanging="426"/>
        <w:contextualSpacing w:val="0"/>
      </w:pPr>
      <w:r w:rsidRPr="0076198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r>
        <w:t>;</w:t>
      </w:r>
    </w:p>
    <w:p w14:paraId="47879B90" w14:textId="77777777" w:rsidR="00116AF3" w:rsidRPr="0076198F" w:rsidRDefault="00116AF3" w:rsidP="006D53E9">
      <w:pPr>
        <w:pStyle w:val="afe"/>
        <w:numPr>
          <w:ilvl w:val="0"/>
          <w:numId w:val="54"/>
        </w:numPr>
        <w:tabs>
          <w:tab w:val="left" w:pos="0"/>
          <w:tab w:val="left" w:pos="567"/>
        </w:tabs>
        <w:ind w:left="993" w:hanging="426"/>
        <w:contextualSpacing w:val="0"/>
      </w:pPr>
      <w:r w:rsidRPr="0076198F">
        <w:t>осмотр кожи в отношении возможного появления септикопиемических очагов при лихорадке, даже в отсутствие жалоб</w:t>
      </w:r>
      <w:r>
        <w:t xml:space="preserve"> (п</w:t>
      </w:r>
      <w:r w:rsidRPr="0076198F">
        <w:t>ри лечении глюкокортико</w:t>
      </w:r>
      <w:r>
        <w:t>стеро</w:t>
      </w:r>
      <w:r w:rsidRPr="0076198F">
        <w:t>идами септикопиемические очаги могут быть при нормальной температуре</w:t>
      </w:r>
      <w:r>
        <w:t xml:space="preserve"> тела);</w:t>
      </w:r>
    </w:p>
    <w:p w14:paraId="3867CDC9" w14:textId="77777777" w:rsidR="00116AF3" w:rsidRPr="0076198F" w:rsidRDefault="00116AF3" w:rsidP="006D53E9">
      <w:pPr>
        <w:pStyle w:val="afe"/>
        <w:numPr>
          <w:ilvl w:val="0"/>
          <w:numId w:val="54"/>
        </w:numPr>
        <w:tabs>
          <w:tab w:val="left" w:pos="0"/>
          <w:tab w:val="left" w:pos="567"/>
        </w:tabs>
        <w:ind w:left="993" w:hanging="426"/>
        <w:contextualSpacing w:val="0"/>
      </w:pPr>
      <w:r w:rsidRPr="0076198F">
        <w:t>осмотр места установки венозного катетера</w:t>
      </w:r>
      <w:r>
        <w:t>;</w:t>
      </w:r>
      <w:r w:rsidRPr="0076198F">
        <w:t xml:space="preserve"> </w:t>
      </w:r>
    </w:p>
    <w:p w14:paraId="014E7622" w14:textId="77777777" w:rsidR="00116AF3" w:rsidRPr="0076198F" w:rsidRDefault="00116AF3" w:rsidP="006D53E9">
      <w:pPr>
        <w:pStyle w:val="afe"/>
        <w:numPr>
          <w:ilvl w:val="0"/>
          <w:numId w:val="54"/>
        </w:numPr>
        <w:tabs>
          <w:tab w:val="left" w:pos="0"/>
          <w:tab w:val="left" w:pos="567"/>
        </w:tabs>
        <w:ind w:left="993" w:hanging="426"/>
        <w:contextualSpacing w:val="0"/>
      </w:pPr>
      <w:r w:rsidRPr="0076198F">
        <w:t>внимательная аускультация грудной клетки</w:t>
      </w:r>
      <w:r>
        <w:t xml:space="preserve"> (ж</w:t>
      </w:r>
      <w:r w:rsidRPr="0076198F">
        <w:t>есткое дыхание в отсутствие хрипов, минимальное количество влажных хрипов на ограниченном участке могут быть начальным проявлением пневмонии</w:t>
      </w:r>
      <w:r>
        <w:t>);</w:t>
      </w:r>
      <w:r w:rsidRPr="0076198F">
        <w:t xml:space="preserve"> </w:t>
      </w:r>
    </w:p>
    <w:p w14:paraId="3A16AF39" w14:textId="77777777" w:rsidR="00116AF3" w:rsidRPr="0076198F" w:rsidRDefault="00116AF3" w:rsidP="006D53E9">
      <w:pPr>
        <w:pStyle w:val="afe"/>
        <w:numPr>
          <w:ilvl w:val="0"/>
          <w:numId w:val="54"/>
        </w:numPr>
        <w:tabs>
          <w:tab w:val="left" w:pos="0"/>
          <w:tab w:val="left" w:pos="567"/>
        </w:tabs>
        <w:ind w:left="993" w:hanging="426"/>
        <w:contextualSpacing w:val="0"/>
      </w:pPr>
      <w:r w:rsidRPr="0076198F">
        <w:t>тщательная пальпация живота</w:t>
      </w:r>
      <w:r>
        <w:t xml:space="preserve"> (п</w:t>
      </w:r>
      <w:r w:rsidRPr="0076198F">
        <w:t>ервые симптомы псевдомембранозного колита —</w:t>
      </w:r>
      <w:r>
        <w:t xml:space="preserve"> </w:t>
      </w:r>
      <w:r w:rsidRPr="0076198F">
        <w:t>появление боли или «урчание» при пальпации в правой подвздошной области (область слепой кишки).</w:t>
      </w:r>
    </w:p>
    <w:p w14:paraId="134CF261" w14:textId="77777777" w:rsidR="00116AF3" w:rsidRDefault="00116AF3" w:rsidP="00116AF3">
      <w:pPr>
        <w:widowControl w:val="0"/>
        <w:autoSpaceDE w:val="0"/>
        <w:autoSpaceDN w:val="0"/>
        <w:adjustRightInd w:val="0"/>
        <w:ind w:right="49"/>
        <w:contextualSpacing/>
      </w:pPr>
      <w:r w:rsidRPr="00761653">
        <w:t xml:space="preserve">Для </w:t>
      </w:r>
      <w:r w:rsidRPr="00284D51">
        <w:rPr>
          <w:i/>
          <w:iCs/>
        </w:rPr>
        <w:t>микробиологического исследования крови</w:t>
      </w:r>
      <w:r w:rsidRPr="00761653">
        <w:t xml:space="preserve"> используют автоматический анализатор для гемокультур. Проводят исследование у </w:t>
      </w:r>
      <w:r>
        <w:t>пациентов</w:t>
      </w:r>
      <w:r w:rsidRPr="00761653">
        <w:t xml:space="preserve"> с температурой ≥38°С или наличии септикопиемических очагов на коже. Кровь берут одновременно из вены и из ЦВК или из двух разных вен в 2-4 флакона (аэробы/анаэробы), предназначенных для инкубирования в автоматическом анализаторе для гемокультур. На основании разницы во времени регистрации положительной гемокультуры, взятой одновременно из ЦВК и из вены может быть заподозрено инфицирование ЦВК. В этом случае положительная гемокультура, взятая из ЦВК, опережает на 2 часа и более положительную гемокультуру из вены. Кровь для микробиологического исследования проводят с максимальным соблюдением правил асептики, в каждый флакон вводят 10 мл крови </w:t>
      </w:r>
      <w:r>
        <w:t>пациента</w:t>
      </w:r>
      <w:r w:rsidRPr="00761653">
        <w:t xml:space="preserve">. Введение меньшего объема крови снижает вероятность получения положительной гемокультуры. При инфекции кровотока выделение коагулазонегативных стафилококков и </w:t>
      </w:r>
      <w:r w:rsidRPr="00761653">
        <w:rPr>
          <w:i/>
          <w:iCs/>
        </w:rPr>
        <w:t xml:space="preserve">Corynebacterium </w:t>
      </w:r>
      <w:r w:rsidRPr="00761653">
        <w:t xml:space="preserve">spp. должно быть подтверждено двумя положительными гемокультурами, поскольку эти микроорганизмы принадлежат к облигатной микрофлоре, и детекция их только в одном из двух флаконов расценивается как контаминация исследуемых образцов крови (облигатная микрофлора). </w:t>
      </w:r>
    </w:p>
    <w:p w14:paraId="09FB3BEC" w14:textId="77777777" w:rsidR="00116AF3" w:rsidRPr="00761653" w:rsidRDefault="00116AF3" w:rsidP="00116AF3">
      <w:pPr>
        <w:widowControl w:val="0"/>
        <w:autoSpaceDE w:val="0"/>
        <w:autoSpaceDN w:val="0"/>
        <w:adjustRightInd w:val="0"/>
        <w:ind w:right="49"/>
        <w:contextualSpacing/>
      </w:pPr>
      <w:r w:rsidRPr="00284D51">
        <w:rPr>
          <w:i/>
          <w:iCs/>
        </w:rPr>
        <w:t>Центральный венозный катетер (ЦВК) удаляют и направляют на микробиологическое исследование при подозрении на катетер-ассоциированную инфекцию</w:t>
      </w:r>
      <w:r w:rsidRPr="00761653">
        <w:t xml:space="preserve"> (разница во времени детекции положительной гемокультуры, взятой одновременно из вены и из ЦВК), при выделении из гемокультуры дрожжевых или плесневых грибов, при переводе </w:t>
      </w:r>
      <w:r>
        <w:t>пациента</w:t>
      </w:r>
      <w:r w:rsidRPr="00761653">
        <w:t xml:space="preserve"> из другого стационара с ЦВК (высокая вероятность инфицирования ЦВК). Для бактериологического исследования в лабораторию направляют асептически удаленный дистальный отрезок катетера длиной 5-6 см в стерильной емкости. Исследование ЦВК проводят полуколичественным (метод Маки) или количественным методом. Диагностически значимым подтверждением инфицирования ЦВК является выделение микроорганизмов в количестве ≥15 колониеобразующих единиц (КОЕ) при полуколичественном исследовании, или ≥10</w:t>
      </w:r>
      <w:r w:rsidRPr="00761653">
        <w:rPr>
          <w:vertAlign w:val="superscript"/>
        </w:rPr>
        <w:t>3</w:t>
      </w:r>
      <w:r w:rsidRPr="00761653">
        <w:t xml:space="preserve"> КОЕ/мл - при количественном исследовании. </w:t>
      </w:r>
    </w:p>
    <w:p w14:paraId="0636878F" w14:textId="77777777" w:rsidR="00116AF3" w:rsidRPr="00761653" w:rsidRDefault="00116AF3" w:rsidP="00116AF3">
      <w:pPr>
        <w:widowControl w:val="0"/>
        <w:autoSpaceDE w:val="0"/>
        <w:autoSpaceDN w:val="0"/>
        <w:adjustRightInd w:val="0"/>
        <w:ind w:right="49"/>
        <w:contextualSpacing/>
      </w:pPr>
      <w:r w:rsidRPr="00761653">
        <w:t>При наличии признаков воспаления и отделяемого в месте установки ЦВК проводят микробиологическое исследование мазков из этой области. Исследуют мазки на наличие нетуберкулезных микобактерий, если изменения на коже в области ЦВК приобретают хронический характер. Не проводят рутинное исследование всех удаленных катетеров.</w:t>
      </w:r>
    </w:p>
    <w:p w14:paraId="74FB1C9D" w14:textId="77777777" w:rsidR="00116AF3" w:rsidRPr="00761653" w:rsidRDefault="00116AF3" w:rsidP="00116AF3">
      <w:pPr>
        <w:widowControl w:val="0"/>
        <w:tabs>
          <w:tab w:val="left" w:pos="0"/>
        </w:tabs>
        <w:autoSpaceDE w:val="0"/>
        <w:autoSpaceDN w:val="0"/>
        <w:adjustRightInd w:val="0"/>
        <w:ind w:right="49"/>
        <w:contextualSpacing/>
      </w:pPr>
      <w:r w:rsidRPr="00761653">
        <w:t>Показаниями для</w:t>
      </w:r>
      <w:r>
        <w:t xml:space="preserve"> </w:t>
      </w:r>
      <w:r w:rsidRPr="00284D51">
        <w:rPr>
          <w:i/>
          <w:iCs/>
        </w:rPr>
        <w:t>микробиологического исследования мочи</w:t>
      </w:r>
      <w:r w:rsidRPr="00761653">
        <w:t xml:space="preserve"> являются клинические симптомы инфекции мочевыводящих путей, лейкоцитурия, температура более 5 дней в период нейтропении. Для </w:t>
      </w:r>
      <w:r>
        <w:t xml:space="preserve">микробиологического </w:t>
      </w:r>
      <w:r w:rsidRPr="00761653">
        <w:t>исследования направляют утреннюю среднюю порцию мочи</w:t>
      </w:r>
      <w:r>
        <w:t xml:space="preserve">, </w:t>
      </w:r>
      <w:r w:rsidRPr="00D40538">
        <w:t>проводят исследования на наличие различных бактериальных патогенов</w:t>
      </w:r>
      <w:r>
        <w:t>, начиная с наиболее частых в гематологической практике (см. ниже)</w:t>
      </w:r>
      <w:r w:rsidRPr="00D40538">
        <w:t xml:space="preserve">. Бактериурия </w:t>
      </w:r>
      <w:r w:rsidRPr="00761653">
        <w:t xml:space="preserve">является диагностически значимой, если выделен </w:t>
      </w:r>
      <w:r w:rsidRPr="00761653">
        <w:rPr>
          <w:bCs/>
        </w:rPr>
        <w:t>один микроорганизм</w:t>
      </w:r>
      <w:r w:rsidRPr="00761653">
        <w:t xml:space="preserve"> в количестве ≥10</w:t>
      </w:r>
      <w:r w:rsidRPr="00761653">
        <w:rPr>
          <w:vertAlign w:val="superscript"/>
        </w:rPr>
        <w:t>3</w:t>
      </w:r>
      <w:r w:rsidRPr="00761653">
        <w:t> КОЕ/мл. Микробиологическое исследование мочи повторяют на следующий день, если выделены два микрорганизма в количестве ≥10</w:t>
      </w:r>
      <w:r w:rsidRPr="00761653">
        <w:rPr>
          <w:vertAlign w:val="superscript"/>
        </w:rPr>
        <w:t>3</w:t>
      </w:r>
      <w:r w:rsidRPr="00761653">
        <w:t xml:space="preserve"> КОЕ/мл. Повторное выделение тех же микроорганизмов, как в первом исследовании, подтверждает наличие инфекции мочевыводящих путей. В гематологии наиболее частыми возбудителями инфекции мочевыводящих путей в стационаре являются энтеробактерии, среди них </w:t>
      </w:r>
      <w:r w:rsidRPr="00761653">
        <w:rPr>
          <w:i/>
          <w:iCs/>
        </w:rPr>
        <w:t>E. coli,</w:t>
      </w:r>
      <w:r w:rsidRPr="00761653">
        <w:t xml:space="preserve"> далее следуют </w:t>
      </w:r>
      <w:r w:rsidRPr="00761653">
        <w:rPr>
          <w:i/>
          <w:iCs/>
        </w:rPr>
        <w:t>Enterococcus</w:t>
      </w:r>
      <w:r w:rsidRPr="00761653">
        <w:t xml:space="preserve"> spp., </w:t>
      </w:r>
      <w:r w:rsidRPr="00761653">
        <w:rPr>
          <w:i/>
          <w:iCs/>
        </w:rPr>
        <w:t>P. aeruginosa.</w:t>
      </w:r>
      <w:r w:rsidRPr="00761653">
        <w:t xml:space="preserve"> Неоднократное выделение из мочи </w:t>
      </w:r>
      <w:r w:rsidRPr="00761653">
        <w:rPr>
          <w:i/>
          <w:iCs/>
        </w:rPr>
        <w:t>Сandida</w:t>
      </w:r>
      <w:r w:rsidRPr="00761653">
        <w:t xml:space="preserve"> spp. у </w:t>
      </w:r>
      <w:r>
        <w:t>пациентов</w:t>
      </w:r>
      <w:r w:rsidRPr="00761653">
        <w:t xml:space="preserve"> с фебрильной нейтропенией может свидетельствовать о высокой вероятности наличия диссеминированного инвазивного кандидоза. Определяют чувствительность к антибиотикам всех микроорганизмов, выделенных в диагностически значимых количествах.</w:t>
      </w:r>
    </w:p>
    <w:p w14:paraId="60859E8E" w14:textId="77777777" w:rsidR="00116AF3" w:rsidRPr="00761653" w:rsidRDefault="00116AF3" w:rsidP="00116AF3">
      <w:pPr>
        <w:widowControl w:val="0"/>
        <w:autoSpaceDE w:val="0"/>
        <w:autoSpaceDN w:val="0"/>
        <w:adjustRightInd w:val="0"/>
        <w:ind w:right="49"/>
        <w:contextualSpacing/>
      </w:pPr>
      <w:r w:rsidRPr="00761653">
        <w:t>Показания к</w:t>
      </w:r>
      <w:r>
        <w:t xml:space="preserve"> </w:t>
      </w:r>
      <w:r w:rsidRPr="00284D51">
        <w:rPr>
          <w:i/>
          <w:iCs/>
        </w:rPr>
        <w:t>микроскопическому, микробиологическому и молекулярно-биологическому исследованию спинномозговой жидкости</w:t>
      </w:r>
      <w:r>
        <w:t xml:space="preserve"> </w:t>
      </w:r>
      <w:r w:rsidRPr="00761653">
        <w:t>– наличие симптомов менингита, «мозговая» симптоматика на фоне фебрильной нейтропении, обнаружение очага (очагов) в головном мозге при компьютерной томографии</w:t>
      </w:r>
      <w:r>
        <w:t>/спиральной компьютерной томографии</w:t>
      </w:r>
      <w:r w:rsidRPr="00761653">
        <w:t xml:space="preserve"> (КТ</w:t>
      </w:r>
      <w:r>
        <w:t>/СКТ)</w:t>
      </w:r>
      <w:r w:rsidRPr="00761653">
        <w:t xml:space="preserve"> или магнитно-резонансной томографии (МРТ). Исследование спинномозговой жидкости (СМЖ) включает микроскопию, посев на бактерии и грибы, определение антигена </w:t>
      </w:r>
      <w:r w:rsidRPr="00761653">
        <w:rPr>
          <w:i/>
          <w:iCs/>
        </w:rPr>
        <w:t xml:space="preserve">Cryptococcus </w:t>
      </w:r>
      <w:r w:rsidRPr="00761653">
        <w:t xml:space="preserve">spp. (глюкороксиломаннан), определение антигена </w:t>
      </w:r>
      <w:r w:rsidRPr="00761653">
        <w:rPr>
          <w:i/>
          <w:iCs/>
        </w:rPr>
        <w:t>Aspergillus</w:t>
      </w:r>
      <w:r w:rsidRPr="00761653">
        <w:t xml:space="preserve"> spp. (галактоманнан) у </w:t>
      </w:r>
      <w:r>
        <w:t>пациентов</w:t>
      </w:r>
      <w:r w:rsidRPr="00761653">
        <w:t xml:space="preserve"> с инвазивным аспергиллезом легких или околоносовых пазух, определение дезоксирибонуклеиновой кислоты (ДНК) герпесвирусов методом полимеразной цепной реакции (ПЦР), при наличии нейтрофильного цитоза – определение антигенов бактерий (</w:t>
      </w:r>
      <w:r w:rsidRPr="00761653">
        <w:rPr>
          <w:i/>
          <w:iCs/>
        </w:rPr>
        <w:t>Streptococcus pneumoniae, Haemophilus</w:t>
      </w:r>
      <w:r w:rsidRPr="00761653">
        <w:t xml:space="preserve"> </w:t>
      </w:r>
      <w:r w:rsidRPr="00761653">
        <w:rPr>
          <w:i/>
          <w:iCs/>
        </w:rPr>
        <w:t>influenzae, Neisseria meningitidis,</w:t>
      </w:r>
      <w:r w:rsidRPr="00761653">
        <w:t xml:space="preserve"> стрептококки группы В), при наличии очагов в головном мозге – определение ДНК </w:t>
      </w:r>
      <w:r w:rsidRPr="00761653">
        <w:rPr>
          <w:i/>
          <w:iCs/>
        </w:rPr>
        <w:t>Toxoplasma gondii</w:t>
      </w:r>
      <w:r w:rsidRPr="00761653">
        <w:t xml:space="preserve"> методом ПЦР (группу риска представляют реципиенты аллогенной ТГСК).</w:t>
      </w:r>
    </w:p>
    <w:p w14:paraId="0120A09B" w14:textId="77777777" w:rsidR="00116AF3" w:rsidRPr="00C73751" w:rsidRDefault="00116AF3" w:rsidP="00116AF3">
      <w:pPr>
        <w:widowControl w:val="0"/>
        <w:autoSpaceDE w:val="0"/>
        <w:autoSpaceDN w:val="0"/>
        <w:adjustRightInd w:val="0"/>
        <w:ind w:right="49"/>
        <w:contextualSpacing/>
      </w:pPr>
      <w:r w:rsidRPr="00284D51">
        <w:rPr>
          <w:i/>
          <w:iCs/>
        </w:rPr>
        <w:t>Микробиологическое исследование кала</w:t>
      </w:r>
      <w:r>
        <w:t xml:space="preserve"> проводят </w:t>
      </w:r>
      <w:r w:rsidRPr="00761653">
        <w:t xml:space="preserve">у </w:t>
      </w:r>
      <w:r>
        <w:t>пациентов с диареей для о</w:t>
      </w:r>
      <w:r w:rsidRPr="00C73751">
        <w:t>пределени</w:t>
      </w:r>
      <w:r>
        <w:t>я</w:t>
      </w:r>
      <w:r w:rsidRPr="00C73751">
        <w:t xml:space="preserve"> токсинов </w:t>
      </w:r>
      <w:r w:rsidRPr="00C73751">
        <w:rPr>
          <w:i/>
        </w:rPr>
        <w:t>Clostridioides difficile</w:t>
      </w:r>
      <w:r w:rsidRPr="00C73751">
        <w:t xml:space="preserve"> в кале</w:t>
      </w:r>
      <w:r>
        <w:t xml:space="preserve">. </w:t>
      </w:r>
      <w:r w:rsidRPr="00C73751">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C73751">
        <w:rPr>
          <w:i/>
        </w:rPr>
        <w:t>С</w:t>
      </w:r>
      <w:r w:rsidRPr="00DB1FCB">
        <w:rPr>
          <w:i/>
        </w:rPr>
        <w:t>ryptosporidium</w:t>
      </w:r>
      <w:r w:rsidRPr="00C73751">
        <w:rPr>
          <w:i/>
        </w:rPr>
        <w:t xml:space="preserve"> </w:t>
      </w:r>
      <w:r w:rsidRPr="00DB1FCB">
        <w:rPr>
          <w:i/>
        </w:rPr>
        <w:t>parvum</w:t>
      </w:r>
      <w:r w:rsidRPr="00C73751">
        <w:rPr>
          <w:i/>
        </w:rPr>
        <w:t xml:space="preserve">, </w:t>
      </w:r>
      <w:r w:rsidRPr="00DB1FCB">
        <w:rPr>
          <w:i/>
        </w:rPr>
        <w:t>Salmonella</w:t>
      </w:r>
      <w:r w:rsidRPr="00C73751">
        <w:rPr>
          <w:i/>
        </w:rPr>
        <w:t xml:space="preserve"> </w:t>
      </w:r>
      <w:r w:rsidRPr="00DB1FCB">
        <w:rPr>
          <w:i/>
        </w:rPr>
        <w:t>spp</w:t>
      </w:r>
      <w:r w:rsidRPr="00C73751">
        <w:rPr>
          <w:i/>
        </w:rPr>
        <w:t xml:space="preserve">., </w:t>
      </w:r>
      <w:r w:rsidRPr="00DB1FCB">
        <w:rPr>
          <w:i/>
        </w:rPr>
        <w:t>Shigella</w:t>
      </w:r>
      <w:r w:rsidRPr="00C73751">
        <w:rPr>
          <w:i/>
        </w:rPr>
        <w:t xml:space="preserve"> </w:t>
      </w:r>
      <w:r w:rsidRPr="00DB1FCB">
        <w:rPr>
          <w:i/>
        </w:rPr>
        <w:t>spp</w:t>
      </w:r>
      <w:r w:rsidRPr="00C73751">
        <w:rPr>
          <w:i/>
        </w:rPr>
        <w:t xml:space="preserve">., </w:t>
      </w:r>
      <w:r w:rsidRPr="00DB1FCB">
        <w:rPr>
          <w:i/>
        </w:rPr>
        <w:t>Listeria</w:t>
      </w:r>
      <w:r w:rsidRPr="00C73751">
        <w:rPr>
          <w:i/>
        </w:rPr>
        <w:t xml:space="preserve"> </w:t>
      </w:r>
      <w:r w:rsidRPr="00DB1FCB">
        <w:rPr>
          <w:i/>
        </w:rPr>
        <w:t>spp</w:t>
      </w:r>
      <w:r w:rsidRPr="00C73751">
        <w:rPr>
          <w:i/>
        </w:rPr>
        <w:t xml:space="preserve">., </w:t>
      </w:r>
      <w:r w:rsidRPr="00DB1FCB">
        <w:rPr>
          <w:i/>
        </w:rPr>
        <w:t>Yersenia</w:t>
      </w:r>
      <w:r w:rsidRPr="00C73751">
        <w:rPr>
          <w:i/>
        </w:rPr>
        <w:t xml:space="preserve"> </w:t>
      </w:r>
      <w:r w:rsidRPr="00DB1FCB">
        <w:rPr>
          <w:i/>
        </w:rPr>
        <w:t>spp</w:t>
      </w:r>
      <w:r w:rsidRPr="00C73751">
        <w:rPr>
          <w:i/>
        </w:rPr>
        <w:t>.</w:t>
      </w:r>
      <w:r w:rsidRPr="00C73751">
        <w:t xml:space="preserve">, вирусы (ротавирусы, аденовирусы). Энтероколиты могут быть обусловлены </w:t>
      </w:r>
      <w:r w:rsidRPr="00DB1FCB">
        <w:rPr>
          <w:i/>
        </w:rPr>
        <w:t>Candida</w:t>
      </w:r>
      <w:r w:rsidRPr="00C73751">
        <w:rPr>
          <w:i/>
        </w:rPr>
        <w:t xml:space="preserve"> </w:t>
      </w:r>
      <w:r w:rsidRPr="00DB1FCB">
        <w:rPr>
          <w:i/>
        </w:rPr>
        <w:t>spp</w:t>
      </w:r>
      <w:r w:rsidRPr="00C73751">
        <w:t xml:space="preserve">. При количественном исследовании кала следует обращать внимание на выделение штаммов </w:t>
      </w:r>
      <w:r w:rsidRPr="00DB1FCB">
        <w:rPr>
          <w:i/>
        </w:rPr>
        <w:t>Pseudomonas</w:t>
      </w:r>
      <w:r w:rsidRPr="00C73751">
        <w:rPr>
          <w:i/>
        </w:rPr>
        <w:t xml:space="preserve"> </w:t>
      </w:r>
      <w:r w:rsidRPr="00DB1FCB">
        <w:rPr>
          <w:i/>
        </w:rPr>
        <w:t>aeruginosa</w:t>
      </w:r>
      <w:r w:rsidRPr="00C73751">
        <w:t>, энтеробактерий (</w:t>
      </w:r>
      <w:r w:rsidRPr="00DB1FCB">
        <w:rPr>
          <w:i/>
        </w:rPr>
        <w:t>Escherichia</w:t>
      </w:r>
      <w:r w:rsidRPr="00C73751">
        <w:rPr>
          <w:i/>
        </w:rPr>
        <w:t xml:space="preserve"> </w:t>
      </w:r>
      <w:r w:rsidRPr="00DB1FCB">
        <w:rPr>
          <w:i/>
        </w:rPr>
        <w:t>coli</w:t>
      </w:r>
      <w:r w:rsidRPr="00C73751">
        <w:rPr>
          <w:i/>
        </w:rPr>
        <w:t xml:space="preserve">, </w:t>
      </w:r>
      <w:r w:rsidRPr="00DB1FCB">
        <w:rPr>
          <w:i/>
        </w:rPr>
        <w:t>Klebsiella</w:t>
      </w:r>
      <w:r w:rsidRPr="00C73751">
        <w:rPr>
          <w:i/>
        </w:rPr>
        <w:t xml:space="preserve"> </w:t>
      </w:r>
      <w:r w:rsidRPr="00DB1FCB">
        <w:rPr>
          <w:i/>
        </w:rPr>
        <w:t>spp</w:t>
      </w:r>
      <w:r w:rsidRPr="00C73751">
        <w:rPr>
          <w:i/>
        </w:rPr>
        <w:t>.),</w:t>
      </w:r>
      <w:r w:rsidRPr="00C73751">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5BBE06D1" w14:textId="77777777" w:rsidR="00116AF3" w:rsidRPr="00761653" w:rsidRDefault="00116AF3" w:rsidP="00116AF3">
      <w:pPr>
        <w:widowControl w:val="0"/>
        <w:autoSpaceDE w:val="0"/>
        <w:autoSpaceDN w:val="0"/>
        <w:adjustRightInd w:val="0"/>
        <w:ind w:right="49"/>
        <w:contextualSpacing/>
      </w:pPr>
      <w:r w:rsidRPr="00284D51">
        <w:rPr>
          <w:i/>
          <w:iCs/>
        </w:rPr>
        <w:t>Микробиологическое исследование мазка со слизистой оболочки носоглотки</w:t>
      </w:r>
      <w:r>
        <w:t xml:space="preserve"> проводят при наличии</w:t>
      </w:r>
      <w:r w:rsidRPr="00761653">
        <w:t xml:space="preserve"> признаков </w:t>
      </w:r>
      <w:r>
        <w:t>стоматита (</w:t>
      </w:r>
      <w:r w:rsidRPr="00761653">
        <w:t>мукозита</w:t>
      </w:r>
      <w:r>
        <w:t>)</w:t>
      </w:r>
      <w:r w:rsidRPr="00761653">
        <w:t xml:space="preserve">. Проводят культуральное исследование на грамотрицательные бактерии и дрожжевые грибы. При выделении грамотрицательных бактерий осуществляют идентификацию до вида, определение чувствительности к антибиотикам, детекцию продукции β-лактамаз расишернного спектра (БЛРС) у энтеробактерий, постановку теста modified carbapenem inactivation method (mCIM) или carbapenem inactivation method (CIM) для определения продукции карбапенемаз среди карбапенемоустойчивых энтеробактерий и </w:t>
      </w:r>
      <w:r w:rsidRPr="00761653">
        <w:rPr>
          <w:i/>
          <w:iCs/>
        </w:rPr>
        <w:t>P. aeruginosa</w:t>
      </w:r>
      <w:r w:rsidRPr="00761653">
        <w:rPr>
          <w:iCs/>
        </w:rPr>
        <w:t xml:space="preserve">, определение групп карбапенемаз методом ПЦР при положительном тесте mCIM (или CIM). </w:t>
      </w:r>
      <w:r w:rsidRPr="00761653">
        <w:t xml:space="preserve">При выделении дрожжевых грибов со слизистой оболочки ротоглотки проводят только идентификацию до вида. </w:t>
      </w:r>
    </w:p>
    <w:p w14:paraId="241855B9" w14:textId="77777777" w:rsidR="00116AF3" w:rsidRPr="00761653" w:rsidRDefault="00116AF3" w:rsidP="00116AF3">
      <w:pPr>
        <w:widowControl w:val="0"/>
        <w:autoSpaceDE w:val="0"/>
        <w:autoSpaceDN w:val="0"/>
        <w:adjustRightInd w:val="0"/>
        <w:ind w:right="49"/>
        <w:contextualSpacing/>
      </w:pPr>
      <w:r w:rsidRPr="00284D51">
        <w:rPr>
          <w:i/>
          <w:iCs/>
        </w:rPr>
        <w:t>Микробиологическое исследование соскоба или биоптата со слизистой оболочки пищевода</w:t>
      </w:r>
      <w:r w:rsidRPr="00284D51">
        <w:rPr>
          <w:b/>
          <w:bCs/>
        </w:rPr>
        <w:t xml:space="preserve"> </w:t>
      </w:r>
      <w:r w:rsidRPr="00284D51">
        <w:t>проводят при клиническоой картине эзофагита, боли по ходу пищевода. Во</w:t>
      </w:r>
      <w:r w:rsidRPr="00761653">
        <w:t xml:space="preserve"> время эзофагоскопии проводят соскоб со слизистой оболочки пищевода (браш-метод при нейтропении) или биопсию (вне нейтропении и тромбоцитопении). Проводят культуральное исследование на бактерии и дрожжевые грибы, определение ДНК герпесвирусов </w:t>
      </w:r>
      <w:r>
        <w:t>(</w:t>
      </w:r>
      <w:r w:rsidRPr="00C73751">
        <w:t xml:space="preserve">ДНК вируса простого герпеса, </w:t>
      </w:r>
      <w:r>
        <w:t>цитомегаловируса)</w:t>
      </w:r>
      <w:r w:rsidRPr="00761653">
        <w:t xml:space="preserve"> методом ПЦР, идентификацию и определение чувствительности всех выделенных микроорганизмов</w:t>
      </w:r>
      <w:r>
        <w:t>, гистологическое исследование (с иммуногистохимическим исследованием при необходимости)</w:t>
      </w:r>
      <w:r w:rsidRPr="00761653">
        <w:t>.</w:t>
      </w:r>
    </w:p>
    <w:p w14:paraId="549D5852" w14:textId="77777777" w:rsidR="00116AF3" w:rsidRPr="00761653" w:rsidRDefault="00116AF3" w:rsidP="00116AF3">
      <w:pPr>
        <w:widowControl w:val="0"/>
        <w:autoSpaceDE w:val="0"/>
        <w:autoSpaceDN w:val="0"/>
        <w:adjustRightInd w:val="0"/>
        <w:ind w:right="49"/>
        <w:contextualSpacing/>
      </w:pPr>
      <w:r w:rsidRPr="00284D51">
        <w:rPr>
          <w:i/>
          <w:iCs/>
        </w:rPr>
        <w:t>Микробиологическое исследование ректальных мазков</w:t>
      </w:r>
      <w:r w:rsidRPr="00284D51">
        <w:rPr>
          <w:b/>
          <w:bCs/>
        </w:rPr>
        <w:t xml:space="preserve"> </w:t>
      </w:r>
      <w:r w:rsidRPr="00284D51">
        <w:t>проводят с целью детекции</w:t>
      </w:r>
      <w:r w:rsidRPr="00761653">
        <w:t xml:space="preserve"> колонизации слизистой оболочки кишечника полирезистентными грамотрицательными бактериями и грибами рода </w:t>
      </w:r>
      <w:r w:rsidRPr="00761653">
        <w:rPr>
          <w:i/>
        </w:rPr>
        <w:t>Candida</w:t>
      </w:r>
      <w:r w:rsidRPr="00761653">
        <w:t>.</w:t>
      </w:r>
    </w:p>
    <w:p w14:paraId="335231E2" w14:textId="77777777" w:rsidR="00116AF3" w:rsidRDefault="00116AF3" w:rsidP="00116AF3">
      <w:pPr>
        <w:widowControl w:val="0"/>
        <w:autoSpaceDE w:val="0"/>
        <w:autoSpaceDN w:val="0"/>
        <w:adjustRightInd w:val="0"/>
        <w:ind w:right="49"/>
        <w:contextualSpacing/>
      </w:pPr>
      <w:r w:rsidRPr="00761653">
        <w:t xml:space="preserve">Исследование </w:t>
      </w:r>
      <w:r>
        <w:t>показано:</w:t>
      </w:r>
      <w:r w:rsidRPr="00761653">
        <w:t xml:space="preserve"> </w:t>
      </w:r>
    </w:p>
    <w:p w14:paraId="73507ABF" w14:textId="77777777" w:rsidR="00116AF3" w:rsidRPr="00C73751" w:rsidRDefault="00116AF3" w:rsidP="006D53E9">
      <w:pPr>
        <w:pStyle w:val="afe"/>
        <w:widowControl w:val="0"/>
        <w:numPr>
          <w:ilvl w:val="0"/>
          <w:numId w:val="44"/>
        </w:numPr>
        <w:tabs>
          <w:tab w:val="left" w:pos="0"/>
        </w:tabs>
        <w:autoSpaceDE w:val="0"/>
        <w:autoSpaceDN w:val="0"/>
        <w:adjustRightInd w:val="0"/>
        <w:ind w:right="49"/>
      </w:pPr>
      <w:r w:rsidRPr="00CB604C">
        <w:t>при инфекции промежности</w:t>
      </w:r>
      <w:r>
        <w:t>, в</w:t>
      </w:r>
      <w:r w:rsidRPr="00C73751">
        <w:t>оспалени</w:t>
      </w:r>
      <w:r>
        <w:t>и</w:t>
      </w:r>
      <w:r w:rsidRPr="00C73751">
        <w:t xml:space="preserve"> или повреждени</w:t>
      </w:r>
      <w:r>
        <w:t>и</w:t>
      </w:r>
      <w:r w:rsidRPr="00C73751">
        <w:t xml:space="preserve"> слизистой прямой кишки (трещина, парапроктит и др.);</w:t>
      </w:r>
    </w:p>
    <w:p w14:paraId="7181F4CF" w14:textId="77777777" w:rsidR="00116AF3" w:rsidRDefault="00116AF3" w:rsidP="006D53E9">
      <w:pPr>
        <w:pStyle w:val="afe"/>
        <w:widowControl w:val="0"/>
        <w:numPr>
          <w:ilvl w:val="0"/>
          <w:numId w:val="44"/>
        </w:numPr>
        <w:tabs>
          <w:tab w:val="left" w:pos="0"/>
        </w:tabs>
        <w:autoSpaceDE w:val="0"/>
        <w:autoSpaceDN w:val="0"/>
        <w:adjustRightInd w:val="0"/>
        <w:ind w:right="49"/>
      </w:pPr>
      <w:r w:rsidRPr="00CB604C">
        <w:t xml:space="preserve">у </w:t>
      </w:r>
      <w:r>
        <w:t>пациентов</w:t>
      </w:r>
      <w:r w:rsidRPr="00CB604C">
        <w:t xml:space="preserve"> с персистирующей фебрильной нейтропенией длительностью от 4-5 дней и отсутствием диагностически значимых результатов исследований; </w:t>
      </w:r>
    </w:p>
    <w:p w14:paraId="21999A1E" w14:textId="77777777" w:rsidR="00116AF3" w:rsidRDefault="00116AF3" w:rsidP="006D53E9">
      <w:pPr>
        <w:pStyle w:val="afe"/>
        <w:widowControl w:val="0"/>
        <w:numPr>
          <w:ilvl w:val="0"/>
          <w:numId w:val="44"/>
        </w:numPr>
        <w:tabs>
          <w:tab w:val="left" w:pos="0"/>
        </w:tabs>
        <w:autoSpaceDE w:val="0"/>
        <w:autoSpaceDN w:val="0"/>
        <w:adjustRightInd w:val="0"/>
        <w:ind w:right="49"/>
      </w:pPr>
      <w:r w:rsidRPr="00CB604C">
        <w:t xml:space="preserve">в качестве скрининга в группе высокого риска развития инфекций у </w:t>
      </w:r>
      <w:r>
        <w:t>пациентов</w:t>
      </w:r>
      <w:r w:rsidRPr="00CB604C">
        <w:t xml:space="preserve"> острыми лейкозами и у реципиентов аллогенного костного мозга при поступлении в стационар, затем каждые 7 дней до восстановления гранулоцитов в крови или лейкоцитов &gt;1,0</w:t>
      </w:r>
      <w:r>
        <w:t> </w:t>
      </w:r>
      <w:r w:rsidRPr="00CB604C">
        <w:t>×</w:t>
      </w:r>
      <w:r>
        <w:t> </w:t>
      </w:r>
      <w:r w:rsidRPr="00CB604C">
        <w:t>10</w:t>
      </w:r>
      <w:r w:rsidRPr="00CB604C">
        <w:rPr>
          <w:vertAlign w:val="superscript"/>
        </w:rPr>
        <w:t>9</w:t>
      </w:r>
      <w:r w:rsidRPr="00CB604C">
        <w:t xml:space="preserve">/л; </w:t>
      </w:r>
    </w:p>
    <w:p w14:paraId="1CBA408D" w14:textId="77777777" w:rsidR="00116AF3" w:rsidRPr="00CB604C" w:rsidRDefault="00116AF3" w:rsidP="00116AF3">
      <w:pPr>
        <w:widowControl w:val="0"/>
        <w:tabs>
          <w:tab w:val="left" w:pos="0"/>
        </w:tabs>
        <w:autoSpaceDE w:val="0"/>
        <w:autoSpaceDN w:val="0"/>
        <w:adjustRightInd w:val="0"/>
        <w:ind w:right="49"/>
      </w:pPr>
      <w:r>
        <w:tab/>
      </w:r>
      <w:r w:rsidRPr="00CB604C">
        <w:t xml:space="preserve">С учетом выделенных микроорганизмов может быть проведена коррекция антимикробной терапии при отсутствии диагностически значимых результатов исследований из клинически значимых образцов у </w:t>
      </w:r>
      <w:r>
        <w:t>пациентов</w:t>
      </w:r>
      <w:r w:rsidRPr="00CB604C">
        <w:t xml:space="preserve"> с персистирующей фебрильной нейтропенией. Обращают внимание на выделение полирезистентных грамотрицательных бактерий – </w:t>
      </w:r>
      <w:r w:rsidRPr="00CB604C">
        <w:rPr>
          <w:i/>
          <w:iCs/>
        </w:rPr>
        <w:t>P. aeruginosa,</w:t>
      </w:r>
      <w:r w:rsidRPr="00CB604C">
        <w:rPr>
          <w:i/>
        </w:rPr>
        <w:t xml:space="preserve"> A. baumannii, S. maltophilia</w:t>
      </w:r>
      <w:r w:rsidRPr="00CB604C">
        <w:t xml:space="preserve">, энтеробактерий с продукцией БЛРС или карбапенемаз, </w:t>
      </w:r>
    </w:p>
    <w:p w14:paraId="304B17EC" w14:textId="77777777" w:rsidR="00116AF3" w:rsidRDefault="00116AF3" w:rsidP="00116AF3">
      <w:pPr>
        <w:widowControl w:val="0"/>
        <w:tabs>
          <w:tab w:val="left" w:pos="0"/>
        </w:tabs>
        <w:autoSpaceDE w:val="0"/>
        <w:autoSpaceDN w:val="0"/>
        <w:adjustRightInd w:val="0"/>
        <w:ind w:right="49"/>
        <w:contextualSpacing/>
      </w:pPr>
      <w:r w:rsidRPr="00284D51">
        <w:rPr>
          <w:i/>
          <w:iCs/>
        </w:rPr>
        <w:t>Микробиологическое исследование мазка со слизистой оболочки носовых ходов</w:t>
      </w:r>
      <w:r w:rsidRPr="00225D7F">
        <w:rPr>
          <w:i/>
          <w:iCs/>
          <w:u w:val="single"/>
        </w:rPr>
        <w:t xml:space="preserve"> </w:t>
      </w:r>
      <w:r>
        <w:t>проводят по следующим показаниям:</w:t>
      </w:r>
    </w:p>
    <w:p w14:paraId="4BE18323" w14:textId="77777777" w:rsidR="00116AF3" w:rsidRDefault="00116AF3" w:rsidP="006D53E9">
      <w:pPr>
        <w:pStyle w:val="afe"/>
        <w:widowControl w:val="0"/>
        <w:numPr>
          <w:ilvl w:val="0"/>
          <w:numId w:val="45"/>
        </w:numPr>
        <w:tabs>
          <w:tab w:val="left" w:pos="0"/>
        </w:tabs>
        <w:autoSpaceDE w:val="0"/>
        <w:autoSpaceDN w:val="0"/>
        <w:adjustRightInd w:val="0"/>
        <w:ind w:right="49"/>
      </w:pPr>
      <w:r w:rsidRPr="00CB604C">
        <w:t>наличие некроза слизистой оболочки носового хода</w:t>
      </w:r>
      <w:r>
        <w:t xml:space="preserve"> (</w:t>
      </w:r>
      <w:r w:rsidRPr="00CB604C">
        <w:t>посев только на плесневые (мицелиальные) грибы</w:t>
      </w:r>
      <w:r>
        <w:t>)</w:t>
      </w:r>
      <w:r w:rsidRPr="00CB604C">
        <w:t xml:space="preserve">; </w:t>
      </w:r>
    </w:p>
    <w:p w14:paraId="2570BDB8" w14:textId="77777777" w:rsidR="00116AF3" w:rsidRPr="00CB604C" w:rsidRDefault="00116AF3" w:rsidP="006D53E9">
      <w:pPr>
        <w:pStyle w:val="afe"/>
        <w:widowControl w:val="0"/>
        <w:numPr>
          <w:ilvl w:val="0"/>
          <w:numId w:val="45"/>
        </w:numPr>
        <w:tabs>
          <w:tab w:val="left" w:pos="0"/>
        </w:tabs>
        <w:autoSpaceDE w:val="0"/>
        <w:autoSpaceDN w:val="0"/>
        <w:adjustRightInd w:val="0"/>
        <w:ind w:right="49"/>
      </w:pPr>
      <w:r w:rsidRPr="00CB604C">
        <w:t xml:space="preserve">исследование колонизации </w:t>
      </w:r>
      <w:r w:rsidRPr="00CB604C">
        <w:rPr>
          <w:i/>
        </w:rPr>
        <w:t>Staphylococcus aureus</w:t>
      </w:r>
      <w:r w:rsidRPr="00CB604C">
        <w:t xml:space="preserve"> у больных с пиодермией.  </w:t>
      </w:r>
    </w:p>
    <w:p w14:paraId="712AF3D0" w14:textId="77777777" w:rsidR="00116AF3" w:rsidRPr="00761653" w:rsidRDefault="00116AF3" w:rsidP="00116AF3">
      <w:pPr>
        <w:widowControl w:val="0"/>
        <w:autoSpaceDE w:val="0"/>
        <w:autoSpaceDN w:val="0"/>
        <w:adjustRightInd w:val="0"/>
        <w:ind w:right="-93"/>
        <w:contextualSpacing/>
        <w:rPr>
          <w:b/>
          <w:bCs/>
        </w:rPr>
      </w:pPr>
      <w:r w:rsidRPr="00284D51">
        <w:rPr>
          <w:i/>
          <w:iCs/>
        </w:rPr>
        <w:t>Микробиологическое исследование биоптатов / соскобов / отделяемого пораженных участков кожи</w:t>
      </w:r>
      <w:r w:rsidRPr="00284D51">
        <w:rPr>
          <w:b/>
          <w:bCs/>
        </w:rPr>
        <w:t xml:space="preserve"> </w:t>
      </w:r>
      <w:r w:rsidRPr="00284D51">
        <w:t>проводят при наличии септикопиемических очагов кожи (инфильтраты в</w:t>
      </w:r>
      <w:r w:rsidRPr="00761653">
        <w:t xml:space="preserve"> дерме любых размеров, возникшие при </w:t>
      </w:r>
      <w:r>
        <w:t>гипертермии</w:t>
      </w:r>
      <w:r w:rsidRPr="00761653">
        <w:t>) или других образований на коже.</w:t>
      </w:r>
      <w:r w:rsidRPr="00761653">
        <w:rPr>
          <w:b/>
          <w:bCs/>
        </w:rPr>
        <w:t xml:space="preserve"> </w:t>
      </w:r>
      <w:r w:rsidRPr="00761653">
        <w:t xml:space="preserve">Проводят гистологическое и микробиологическое </w:t>
      </w:r>
      <w:r>
        <w:t xml:space="preserve">(культуральное) </w:t>
      </w:r>
      <w:r w:rsidRPr="00761653">
        <w:t xml:space="preserve">исследование на наличие </w:t>
      </w:r>
      <w:r>
        <w:t xml:space="preserve">бактерий, </w:t>
      </w:r>
      <w:r w:rsidRPr="00761653">
        <w:t>грибов</w:t>
      </w:r>
      <w:r>
        <w:t>, туберкуляза</w:t>
      </w:r>
      <w:r w:rsidRPr="00761653">
        <w:t xml:space="preserve">; </w:t>
      </w:r>
      <w:r>
        <w:t xml:space="preserve">микроскопическое исследование </w:t>
      </w:r>
      <w:r w:rsidRPr="00761653">
        <w:t>с окраской по Граму, Цилю-Нильсену, калькофлюором белым.</w:t>
      </w:r>
    </w:p>
    <w:p w14:paraId="17D866B4" w14:textId="77777777" w:rsidR="00116AF3" w:rsidRPr="009F2603" w:rsidRDefault="00116AF3" w:rsidP="00116AF3">
      <w:pPr>
        <w:widowControl w:val="0"/>
        <w:autoSpaceDE w:val="0"/>
        <w:autoSpaceDN w:val="0"/>
        <w:adjustRightInd w:val="0"/>
        <w:contextualSpacing/>
        <w:rPr>
          <w:b/>
          <w:bCs/>
        </w:rPr>
      </w:pPr>
      <w:r w:rsidRPr="00284D51">
        <w:rPr>
          <w:i/>
          <w:iCs/>
        </w:rPr>
        <w:t>Исследование жидкости бронхоальвеолярного лаважа</w:t>
      </w:r>
      <w:r w:rsidRPr="00284D51">
        <w:t xml:space="preserve"> (БАЛ) проводят при наличии</w:t>
      </w:r>
      <w:r w:rsidRPr="00761653">
        <w:t xml:space="preserve"> изменений в легких. Исследование </w:t>
      </w:r>
      <w:r>
        <w:t xml:space="preserve">лаважной </w:t>
      </w:r>
      <w:r w:rsidRPr="00761653">
        <w:t xml:space="preserve">жидкости включает цитологию мазков, микроскопию мазков световую (окраска по Граму, Цилю-Нильсену) и флуоресцентную (окраска калькофлуором белым для детекции мицелия грибов), микробиологическое </w:t>
      </w:r>
      <w:r>
        <w:t xml:space="preserve">(культуральное) </w:t>
      </w:r>
      <w:r w:rsidRPr="00761653">
        <w:t xml:space="preserve">исследование на бактерии, включая </w:t>
      </w:r>
      <w:r w:rsidRPr="00761653">
        <w:rPr>
          <w:i/>
          <w:iCs/>
        </w:rPr>
        <w:t>Legionella</w:t>
      </w:r>
      <w:r w:rsidRPr="00761653">
        <w:t xml:space="preserve"> spp., и грибы, флюоресцентную микроскопию </w:t>
      </w:r>
      <w:r w:rsidRPr="00761653">
        <w:rPr>
          <w:i/>
          <w:iCs/>
        </w:rPr>
        <w:t xml:space="preserve">Pneumocystis jirovecii, </w:t>
      </w:r>
      <w:r>
        <w:rPr>
          <w:iCs/>
        </w:rPr>
        <w:t xml:space="preserve">молекулярно-биологическое исследование для </w:t>
      </w:r>
      <w:r w:rsidRPr="00761653">
        <w:t>определени</w:t>
      </w:r>
      <w:r>
        <w:t>я</w:t>
      </w:r>
      <w:r w:rsidRPr="00761653">
        <w:t xml:space="preserve"> ДНК </w:t>
      </w:r>
      <w:r w:rsidRPr="00761653">
        <w:rPr>
          <w:i/>
          <w:iCs/>
        </w:rPr>
        <w:t xml:space="preserve">P. jirovecii </w:t>
      </w:r>
      <w:r w:rsidRPr="00761653">
        <w:t>методом ПЦР, определени</w:t>
      </w:r>
      <w:r>
        <w:t>я</w:t>
      </w:r>
      <w:r w:rsidRPr="00761653">
        <w:t xml:space="preserve"> антигена </w:t>
      </w:r>
      <w:r w:rsidRPr="00761653">
        <w:rPr>
          <w:i/>
          <w:iCs/>
        </w:rPr>
        <w:t>Aspergillus</w:t>
      </w:r>
      <w:r w:rsidRPr="00761653">
        <w:t xml:space="preserve"> (галактоманнан) в жидкости БАЛ, </w:t>
      </w:r>
      <w:r>
        <w:t xml:space="preserve">молекулярно-биологичесие </w:t>
      </w:r>
      <w:r w:rsidRPr="00761653">
        <w:t>исследовани</w:t>
      </w:r>
      <w:r>
        <w:t>я</w:t>
      </w:r>
      <w:r w:rsidRPr="00761653">
        <w:t xml:space="preserve"> на микобактерии методом ПЦР, </w:t>
      </w:r>
      <w:r>
        <w:t xml:space="preserve">для </w:t>
      </w:r>
      <w:r w:rsidRPr="00761653">
        <w:t>определени</w:t>
      </w:r>
      <w:r>
        <w:t>я</w:t>
      </w:r>
      <w:r w:rsidRPr="00761653">
        <w:t xml:space="preserve"> ДНК </w:t>
      </w:r>
      <w:r w:rsidRPr="00761653">
        <w:rPr>
          <w:i/>
          <w:iCs/>
        </w:rPr>
        <w:t xml:space="preserve">Mycoplasma pneumoniae </w:t>
      </w:r>
      <w:r w:rsidRPr="00761653">
        <w:rPr>
          <w:iCs/>
        </w:rPr>
        <w:t>и</w:t>
      </w:r>
      <w:r w:rsidRPr="00761653">
        <w:rPr>
          <w:i/>
          <w:iCs/>
        </w:rPr>
        <w:t xml:space="preserve"> Chlamydophila pneumoniae</w:t>
      </w:r>
      <w:r w:rsidRPr="00761653">
        <w:t xml:space="preserve"> методом ПЦР, определени</w:t>
      </w:r>
      <w:r>
        <w:t>я</w:t>
      </w:r>
      <w:r w:rsidRPr="00761653">
        <w:t xml:space="preserve"> ДНК герпес вирусов и респираторных вирусов (Influenza, Parainfluenza, RSV, Coronavirus, Human metapneumovirus, H1N1) методом ПЦР.</w:t>
      </w:r>
    </w:p>
    <w:p w14:paraId="63E8CFD8" w14:textId="77777777" w:rsidR="00116AF3" w:rsidRPr="00284D51" w:rsidRDefault="00116AF3" w:rsidP="00116AF3">
      <w:pPr>
        <w:widowControl w:val="0"/>
        <w:tabs>
          <w:tab w:val="left" w:pos="1134"/>
        </w:tabs>
        <w:autoSpaceDE w:val="0"/>
        <w:autoSpaceDN w:val="0"/>
        <w:adjustRightInd w:val="0"/>
        <w:contextualSpacing/>
        <w:rPr>
          <w:b/>
        </w:rPr>
      </w:pPr>
      <w:r w:rsidRPr="00284D51">
        <w:rPr>
          <w:i/>
          <w:iCs/>
        </w:rPr>
        <w:t>Определение антигена Legionella pneumophila в моче</w:t>
      </w:r>
      <w:r w:rsidRPr="00284D51">
        <w:rPr>
          <w:b/>
        </w:rPr>
        <w:t xml:space="preserve"> </w:t>
      </w:r>
      <w:r w:rsidRPr="00284D51">
        <w:t>проводится при наличии</w:t>
      </w:r>
      <w:r w:rsidRPr="00761653">
        <w:t xml:space="preserve"> </w:t>
      </w:r>
      <w:r w:rsidRPr="00284D51">
        <w:t>пневмонии с очагами консолидации.</w:t>
      </w:r>
    </w:p>
    <w:p w14:paraId="757A841B" w14:textId="77777777" w:rsidR="00116AF3" w:rsidRPr="00284D51" w:rsidRDefault="00116AF3" w:rsidP="00116AF3">
      <w:pPr>
        <w:widowControl w:val="0"/>
        <w:autoSpaceDE w:val="0"/>
        <w:autoSpaceDN w:val="0"/>
        <w:adjustRightInd w:val="0"/>
        <w:contextualSpacing/>
        <w:rPr>
          <w:bCs/>
        </w:rPr>
      </w:pPr>
      <w:r w:rsidRPr="00284D51">
        <w:rPr>
          <w:i/>
          <w:iCs/>
        </w:rPr>
        <w:t>Исследование антигена Aspergillus (галактоманнан) в сыворотке крови, в жидкости БАЛ, в СМЖ</w:t>
      </w:r>
      <w:r w:rsidRPr="00284D51">
        <w:rPr>
          <w:bCs/>
          <w:iCs/>
        </w:rPr>
        <w:t xml:space="preserve"> показано в следующих клинических ситуациях:</w:t>
      </w:r>
      <w:r w:rsidRPr="00284D51">
        <w:rPr>
          <w:bCs/>
        </w:rPr>
        <w:t xml:space="preserve"> </w:t>
      </w:r>
    </w:p>
    <w:p w14:paraId="782AFC90" w14:textId="77777777" w:rsidR="00116AF3" w:rsidRPr="00833774" w:rsidRDefault="00116AF3" w:rsidP="006D53E9">
      <w:pPr>
        <w:pStyle w:val="afe"/>
        <w:widowControl w:val="0"/>
        <w:numPr>
          <w:ilvl w:val="0"/>
          <w:numId w:val="46"/>
        </w:numPr>
        <w:tabs>
          <w:tab w:val="left" w:pos="0"/>
        </w:tabs>
        <w:autoSpaceDE w:val="0"/>
        <w:autoSpaceDN w:val="0"/>
        <w:adjustRightInd w:val="0"/>
      </w:pPr>
      <w:r w:rsidRPr="00833774">
        <w:rPr>
          <w:bCs/>
        </w:rPr>
        <w:t xml:space="preserve">мониторинг в период нейтропении у </w:t>
      </w:r>
      <w:r>
        <w:rPr>
          <w:bCs/>
        </w:rPr>
        <w:t>пациентов</w:t>
      </w:r>
      <w:r w:rsidRPr="00833774">
        <w:rPr>
          <w:bCs/>
        </w:rPr>
        <w:t xml:space="preserve"> острыми миело</w:t>
      </w:r>
      <w:r>
        <w:rPr>
          <w:bCs/>
        </w:rPr>
        <w:t>идными лейкозами и у реципиентов</w:t>
      </w:r>
      <w:r w:rsidRPr="00833774">
        <w:rPr>
          <w:bCs/>
        </w:rPr>
        <w:t xml:space="preserve"> аллогеннных гемопоэтических клеток, если не проводится профилактики противогрибковыми препаратами, активными</w:t>
      </w:r>
      <w:r>
        <w:rPr>
          <w:bCs/>
        </w:rPr>
        <w:t xml:space="preserve"> в отношении плесневых грибов; </w:t>
      </w:r>
    </w:p>
    <w:p w14:paraId="24280ACA" w14:textId="77777777" w:rsidR="00116AF3" w:rsidRDefault="00116AF3" w:rsidP="006D53E9">
      <w:pPr>
        <w:pStyle w:val="afe"/>
        <w:widowControl w:val="0"/>
        <w:numPr>
          <w:ilvl w:val="0"/>
          <w:numId w:val="46"/>
        </w:numPr>
        <w:tabs>
          <w:tab w:val="left" w:pos="0"/>
        </w:tabs>
        <w:autoSpaceDE w:val="0"/>
        <w:autoSpaceDN w:val="0"/>
        <w:adjustRightInd w:val="0"/>
      </w:pPr>
      <w:r w:rsidRPr="00680401">
        <w:t>у пациентов с факторами риска (длительность нейтропении от 10 дней и более, применени</w:t>
      </w:r>
      <w:r>
        <w:t>е глюкокортикоидов, флударабина</w:t>
      </w:r>
      <w:r w:rsidRPr="00680401">
        <w:t>) и р</w:t>
      </w:r>
      <w:r>
        <w:t>ади</w:t>
      </w:r>
      <w:r w:rsidRPr="00680401">
        <w:t xml:space="preserve">ологическими признаками, характерными для инвазивного аспергиллеза, в период нейтропении. </w:t>
      </w:r>
    </w:p>
    <w:p w14:paraId="2F329F35" w14:textId="77777777" w:rsidR="00116AF3" w:rsidRDefault="00116AF3" w:rsidP="006D53E9">
      <w:pPr>
        <w:pStyle w:val="afe"/>
        <w:widowControl w:val="0"/>
        <w:numPr>
          <w:ilvl w:val="0"/>
          <w:numId w:val="46"/>
        </w:numPr>
        <w:tabs>
          <w:tab w:val="left" w:pos="0"/>
        </w:tabs>
        <w:autoSpaceDE w:val="0"/>
        <w:autoSpaceDN w:val="0"/>
        <w:adjustRightInd w:val="0"/>
      </w:pPr>
      <w:r>
        <w:t xml:space="preserve">при клинико-радиологических признаках, подозрительных в отношении инвазивного аспергилеза, независимо от </w:t>
      </w:r>
      <w:r w:rsidRPr="00680401">
        <w:t>нейтропении.</w:t>
      </w:r>
    </w:p>
    <w:p w14:paraId="44127418" w14:textId="7A2F1583" w:rsidR="00116AF3" w:rsidRPr="00761653" w:rsidRDefault="00116AF3" w:rsidP="00116AF3">
      <w:pPr>
        <w:widowControl w:val="0"/>
        <w:tabs>
          <w:tab w:val="left" w:pos="0"/>
        </w:tabs>
        <w:autoSpaceDE w:val="0"/>
        <w:autoSpaceDN w:val="0"/>
        <w:adjustRightInd w:val="0"/>
      </w:pPr>
      <w:r>
        <w:rPr>
          <w:bCs/>
        </w:rPr>
        <w:tab/>
      </w:r>
      <w:r w:rsidRPr="00680401">
        <w:rPr>
          <w:bCs/>
        </w:rPr>
        <w:t>И</w:t>
      </w:r>
      <w:r w:rsidRPr="00680401">
        <w:t xml:space="preserve">сследование проводят не менее двух раз в течение 5 дней. Антиген </w:t>
      </w:r>
      <w:r w:rsidRPr="00680401">
        <w:rPr>
          <w:i/>
          <w:iCs/>
        </w:rPr>
        <w:t>Aspergillus</w:t>
      </w:r>
      <w:r w:rsidRPr="00680401">
        <w:t xml:space="preserve"> исследуют до назначения противогрибковых препаратов, активных в отношении мицелиальных грибов. Тест включен в критерии диагностики инвазивного аспергиллеза.</w:t>
      </w:r>
      <w:r>
        <w:t xml:space="preserve"> </w:t>
      </w:r>
      <w:r w:rsidRPr="00761653">
        <w:t xml:space="preserve">Положительные значения индекса оптической плотности определения антигена </w:t>
      </w:r>
      <w:r w:rsidRPr="00761653">
        <w:rPr>
          <w:i/>
          <w:iCs/>
        </w:rPr>
        <w:t>Aspergillus</w:t>
      </w:r>
      <w:r w:rsidRPr="00761653">
        <w:t xml:space="preserve"> в сыворотке крови</w:t>
      </w:r>
      <w:r>
        <w:t xml:space="preserve">: </w:t>
      </w:r>
      <w:r w:rsidRPr="00761653">
        <w:t xml:space="preserve"> ≥0,5, в жидкости БАЛ</w:t>
      </w:r>
      <w:r>
        <w:t>:</w:t>
      </w:r>
      <w:r w:rsidRPr="00761653">
        <w:t xml:space="preserve"> ≥1,0, в СМЖ</w:t>
      </w:r>
      <w:r>
        <w:t>:</w:t>
      </w:r>
      <w:r w:rsidRPr="00761653">
        <w:t xml:space="preserve"> ≥1,0</w:t>
      </w:r>
      <w:r>
        <w:t xml:space="preserve"> </w:t>
      </w:r>
      <w:r>
        <w:fldChar w:fldCharType="begin" w:fldLock="1"/>
      </w:r>
      <w:r w:rsidR="009D41F9">
        <w:instrText>ADDIN CSL_CITATION {"citationItems":[{"id":"ITEM-1","itemData":{"DOI":"10.1038/bmt.2010.175","ISSN":"14765365","abstract":"In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Transplantation","id":"ITEM-1","issue":"5","issued":{"date-parts":[["2011"]]},"page":"709-718","publisher":"Nature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mendeley":{"formattedCitation":"[48]","plainTextFormattedCitation":"[48]","previouslyFormattedCitation":"[48]"},"properties":{"noteIndex":0},"schema":"https://github.com/citation-style-language/schema/raw/master/csl-citation.json"}</w:instrText>
      </w:r>
      <w:r>
        <w:fldChar w:fldCharType="separate"/>
      </w:r>
      <w:r w:rsidR="004C3BA5" w:rsidRPr="004C3BA5">
        <w:rPr>
          <w:noProof/>
        </w:rPr>
        <w:t>[48]</w:t>
      </w:r>
      <w:r>
        <w:fldChar w:fldCharType="end"/>
      </w:r>
      <w:r w:rsidRPr="00761653">
        <w:t xml:space="preserve">. </w:t>
      </w:r>
    </w:p>
    <w:p w14:paraId="12FC8D45" w14:textId="77777777" w:rsidR="00116AF3" w:rsidRPr="00284D51" w:rsidRDefault="00116AF3" w:rsidP="00116AF3">
      <w:pPr>
        <w:widowControl w:val="0"/>
        <w:autoSpaceDE w:val="0"/>
        <w:autoSpaceDN w:val="0"/>
        <w:adjustRightInd w:val="0"/>
        <w:contextualSpacing/>
      </w:pPr>
      <w:r w:rsidRPr="00284D51">
        <w:rPr>
          <w:i/>
          <w:iCs/>
        </w:rPr>
        <w:t>Исследование антигена Candida (маннан) и антител Candida (антиманнан) в сыворотке крови</w:t>
      </w:r>
      <w:r w:rsidRPr="00284D51">
        <w:t xml:space="preserve"> проводят по следующим показаниям:</w:t>
      </w:r>
    </w:p>
    <w:p w14:paraId="7DC44DA7" w14:textId="77777777" w:rsidR="00116AF3" w:rsidRDefault="00116AF3" w:rsidP="006D53E9">
      <w:pPr>
        <w:pStyle w:val="afe"/>
        <w:widowControl w:val="0"/>
        <w:numPr>
          <w:ilvl w:val="0"/>
          <w:numId w:val="47"/>
        </w:numPr>
        <w:tabs>
          <w:tab w:val="left" w:pos="0"/>
        </w:tabs>
        <w:autoSpaceDE w:val="0"/>
        <w:autoSpaceDN w:val="0"/>
        <w:adjustRightInd w:val="0"/>
      </w:pPr>
      <w:r w:rsidRPr="00315F82">
        <w:t xml:space="preserve">множественные очаги в печени и/или селезенке (подозрение на гепатолиенальный кандидоз); </w:t>
      </w:r>
    </w:p>
    <w:p w14:paraId="6EE40BB5" w14:textId="77777777" w:rsidR="00116AF3" w:rsidRDefault="00116AF3" w:rsidP="006D53E9">
      <w:pPr>
        <w:pStyle w:val="afe"/>
        <w:widowControl w:val="0"/>
        <w:numPr>
          <w:ilvl w:val="0"/>
          <w:numId w:val="47"/>
        </w:numPr>
        <w:tabs>
          <w:tab w:val="left" w:pos="0"/>
        </w:tabs>
        <w:autoSpaceDE w:val="0"/>
        <w:autoSpaceDN w:val="0"/>
        <w:adjustRightInd w:val="0"/>
      </w:pPr>
      <w:r w:rsidRPr="00315F82">
        <w:t xml:space="preserve">предполагаемый инвазивный кандидоз у больных с длительной (более 7-10 дней) персистирующей температурой. </w:t>
      </w:r>
    </w:p>
    <w:p w14:paraId="3DA20B53" w14:textId="77777777" w:rsidR="00116AF3" w:rsidRPr="00315F82" w:rsidRDefault="00116AF3" w:rsidP="00116AF3">
      <w:pPr>
        <w:widowControl w:val="0"/>
        <w:tabs>
          <w:tab w:val="left" w:pos="0"/>
        </w:tabs>
        <w:autoSpaceDE w:val="0"/>
        <w:autoSpaceDN w:val="0"/>
        <w:adjustRightInd w:val="0"/>
      </w:pPr>
      <w:r>
        <w:tab/>
      </w:r>
      <w:r w:rsidRPr="00315F82">
        <w:t xml:space="preserve">Образец для исследования </w:t>
      </w:r>
      <w:r>
        <w:t>–</w:t>
      </w:r>
      <w:r w:rsidRPr="00315F82">
        <w:t xml:space="preserve"> кровь. Результат исследования считается положи</w:t>
      </w:r>
      <w:r>
        <w:t xml:space="preserve">тельным при следующих значениях: </w:t>
      </w:r>
      <w:r w:rsidRPr="00315F82">
        <w:t xml:space="preserve">антиген </w:t>
      </w:r>
      <w:r w:rsidRPr="00315F82">
        <w:rPr>
          <w:i/>
          <w:iCs/>
        </w:rPr>
        <w:t>Candida</w:t>
      </w:r>
      <w:r w:rsidRPr="00315F82">
        <w:t xml:space="preserve"> (маннан) ≥125 пг/мл; антитела </w:t>
      </w:r>
      <w:r w:rsidRPr="00315F82">
        <w:rPr>
          <w:i/>
          <w:iCs/>
        </w:rPr>
        <w:t>Candida</w:t>
      </w:r>
      <w:r w:rsidRPr="00315F82">
        <w:t xml:space="preserve"> (антиманнан) ≥10 МЕ/мл. Тест не включен в критерии диагностики инвазивного кандидоза. Тест имеет высокое отрицательное прогностическое значение. При положительных значениях нельзя исключить наличие инвазивного кандидоза. Чувствительность и специфичность составляют около 50—60%. У </w:t>
      </w:r>
      <w:r>
        <w:t xml:space="preserve">пациентов </w:t>
      </w:r>
      <w:r w:rsidRPr="00315F82">
        <w:t xml:space="preserve">с колонизацией слизистых оболочек </w:t>
      </w:r>
      <w:r w:rsidRPr="00315F82">
        <w:rPr>
          <w:i/>
        </w:rPr>
        <w:t>Candida</w:t>
      </w:r>
      <w:r w:rsidRPr="00315F82">
        <w:t xml:space="preserve"> spp могут быть положительные значения антиманнана.</w:t>
      </w:r>
    </w:p>
    <w:p w14:paraId="0C9950A3" w14:textId="77777777" w:rsidR="00116AF3" w:rsidRPr="00284D51" w:rsidRDefault="00116AF3" w:rsidP="00116AF3">
      <w:pPr>
        <w:widowControl w:val="0"/>
        <w:autoSpaceDE w:val="0"/>
        <w:autoSpaceDN w:val="0"/>
        <w:adjustRightInd w:val="0"/>
        <w:contextualSpacing/>
      </w:pPr>
      <w:r w:rsidRPr="00284D51">
        <w:rPr>
          <w:i/>
          <w:iCs/>
        </w:rPr>
        <w:t>Определение антигена Cryptocococcus (глюкуроноксиломаннан)</w:t>
      </w:r>
      <w:r w:rsidRPr="00284D51">
        <w:t xml:space="preserve"> выполняется при</w:t>
      </w:r>
      <w:r>
        <w:t xml:space="preserve"> </w:t>
      </w:r>
      <w:r w:rsidRPr="00761653">
        <w:t>подозрени</w:t>
      </w:r>
      <w:r>
        <w:t>и</w:t>
      </w:r>
      <w:r w:rsidRPr="00761653">
        <w:t xml:space="preserve"> на инфекцию, вызванную криптококком, у </w:t>
      </w:r>
      <w:r>
        <w:t>пациентов с факторами риска (Т-клеточный</w:t>
      </w:r>
      <w:r w:rsidRPr="00761653">
        <w:t xml:space="preserve"> иммунодефицит) возникновения этой инфекции. Группу риска </w:t>
      </w:r>
      <w:r>
        <w:t xml:space="preserve">в том числе </w:t>
      </w:r>
      <w:r w:rsidRPr="00761653">
        <w:t xml:space="preserve">составляют </w:t>
      </w:r>
      <w:r>
        <w:t>пациенты, получающие</w:t>
      </w:r>
      <w:r w:rsidRPr="00761653">
        <w:t xml:space="preserve"> лечение глюкокортикоидами, флударабином, </w:t>
      </w:r>
      <w:r>
        <w:t>и др</w:t>
      </w:r>
      <w:r w:rsidRPr="00761653">
        <w:t xml:space="preserve">. Определяют антиген в СМЖ, в крови, жидкости БАЛ, моче. Тест включен в критерии диагностики инвазивного криптоккоза. Исследование проводят с помощью латекс-теста </w:t>
      </w:r>
      <w:r w:rsidRPr="00284D51">
        <w:t>(качественный анализ).</w:t>
      </w:r>
    </w:p>
    <w:p w14:paraId="70B73CC0" w14:textId="77777777" w:rsidR="00116AF3" w:rsidRPr="00284D51" w:rsidRDefault="00116AF3" w:rsidP="00116AF3">
      <w:pPr>
        <w:widowControl w:val="0"/>
        <w:autoSpaceDE w:val="0"/>
        <w:autoSpaceDN w:val="0"/>
        <w:adjustRightInd w:val="0"/>
        <w:contextualSpacing/>
      </w:pPr>
      <w:r w:rsidRPr="00284D51">
        <w:rPr>
          <w:i/>
          <w:iCs/>
        </w:rPr>
        <w:t>Исследование антитела Мycoplasma pneumoniae (IgM, IgG), Chlamydophila pneumoniae (IgM, IgG) в крови выполняется</w:t>
      </w:r>
      <w:r w:rsidRPr="00284D51">
        <w:t xml:space="preserve"> при пневмонии, возникшей амбулаторно.</w:t>
      </w:r>
    </w:p>
    <w:p w14:paraId="40A29327" w14:textId="77777777" w:rsidR="00116AF3" w:rsidRPr="00284D51" w:rsidRDefault="00116AF3" w:rsidP="00116AF3">
      <w:pPr>
        <w:widowControl w:val="0"/>
        <w:tabs>
          <w:tab w:val="left" w:pos="0"/>
        </w:tabs>
        <w:autoSpaceDE w:val="0"/>
        <w:autoSpaceDN w:val="0"/>
        <w:adjustRightInd w:val="0"/>
        <w:contextualSpacing/>
      </w:pPr>
      <w:r w:rsidRPr="00284D51">
        <w:t xml:space="preserve">Показаниями к проведению </w:t>
      </w:r>
      <w:r w:rsidRPr="00284D51">
        <w:rPr>
          <w:i/>
          <w:iCs/>
        </w:rPr>
        <w:t>КТ/СКТ органов грудной полости являются:</w:t>
      </w:r>
    </w:p>
    <w:p w14:paraId="37F40D52" w14:textId="77777777" w:rsidR="00116AF3" w:rsidRDefault="00116AF3" w:rsidP="006D53E9">
      <w:pPr>
        <w:pStyle w:val="afe"/>
        <w:widowControl w:val="0"/>
        <w:numPr>
          <w:ilvl w:val="0"/>
          <w:numId w:val="48"/>
        </w:numPr>
        <w:tabs>
          <w:tab w:val="left" w:pos="0"/>
        </w:tabs>
        <w:autoSpaceDE w:val="0"/>
        <w:autoSpaceDN w:val="0"/>
        <w:adjustRightInd w:val="0"/>
      </w:pPr>
      <w:r w:rsidRPr="00016F8E">
        <w:t xml:space="preserve">пневмония (аускультативные признаки); </w:t>
      </w:r>
    </w:p>
    <w:p w14:paraId="28AFC793" w14:textId="77777777" w:rsidR="00116AF3" w:rsidRDefault="00116AF3" w:rsidP="006D53E9">
      <w:pPr>
        <w:pStyle w:val="afe"/>
        <w:widowControl w:val="0"/>
        <w:numPr>
          <w:ilvl w:val="0"/>
          <w:numId w:val="48"/>
        </w:numPr>
        <w:tabs>
          <w:tab w:val="left" w:pos="0"/>
        </w:tabs>
        <w:autoSpaceDE w:val="0"/>
        <w:autoSpaceDN w:val="0"/>
        <w:adjustRightInd w:val="0"/>
      </w:pPr>
      <w:r w:rsidRPr="00016F8E">
        <w:t xml:space="preserve">персистирующая фебрильная нейтропения от 3 дней и более, независимо от физикальной картины в легких; </w:t>
      </w:r>
    </w:p>
    <w:p w14:paraId="7A88227F" w14:textId="77777777" w:rsidR="00116AF3" w:rsidRDefault="00116AF3" w:rsidP="006D53E9">
      <w:pPr>
        <w:pStyle w:val="afe"/>
        <w:widowControl w:val="0"/>
        <w:numPr>
          <w:ilvl w:val="0"/>
          <w:numId w:val="48"/>
        </w:numPr>
        <w:tabs>
          <w:tab w:val="left" w:pos="0"/>
        </w:tabs>
        <w:autoSpaceDE w:val="0"/>
        <w:autoSpaceDN w:val="0"/>
        <w:adjustRightInd w:val="0"/>
      </w:pPr>
      <w:r w:rsidRPr="00016F8E">
        <w:t xml:space="preserve">контроль выявленных изменений в легких через 7-14 дней в зависимости от состояния больного и диагностированной инфекции. </w:t>
      </w:r>
    </w:p>
    <w:p w14:paraId="53A06902" w14:textId="0456297E" w:rsidR="00116AF3" w:rsidRPr="00761653" w:rsidRDefault="00116AF3" w:rsidP="00116AF3">
      <w:pPr>
        <w:widowControl w:val="0"/>
        <w:tabs>
          <w:tab w:val="left" w:pos="0"/>
        </w:tabs>
        <w:autoSpaceDE w:val="0"/>
        <w:autoSpaceDN w:val="0"/>
        <w:adjustRightInd w:val="0"/>
      </w:pPr>
      <w:r w:rsidRPr="00016F8E">
        <w:t>КТ/СКТ во всех случаях без проводят без предварительной рентгенографии грудной клетки.</w:t>
      </w:r>
      <w:r>
        <w:t xml:space="preserve"> </w:t>
      </w:r>
      <w:r w:rsidRPr="00761653">
        <w:t xml:space="preserve">Рентгенография органов грудной клетки относится к малоинформативным методам исследования у </w:t>
      </w:r>
      <w:r>
        <w:t xml:space="preserve">гематологических пациентов, предпочтительно </w:t>
      </w:r>
      <w:r w:rsidRPr="00761653">
        <w:t>для диагностики инфекционных осложнений</w:t>
      </w:r>
      <w:r>
        <w:t xml:space="preserve"> применять КТ/СКТ</w:t>
      </w:r>
      <w:r w:rsidRPr="00761653">
        <w:t>.</w:t>
      </w:r>
    </w:p>
    <w:p w14:paraId="4BE949C4" w14:textId="77777777" w:rsidR="00116AF3" w:rsidRPr="008572A7" w:rsidRDefault="00116AF3" w:rsidP="00116AF3">
      <w:pPr>
        <w:widowControl w:val="0"/>
        <w:autoSpaceDE w:val="0"/>
        <w:autoSpaceDN w:val="0"/>
        <w:adjustRightInd w:val="0"/>
        <w:contextualSpacing/>
        <w:rPr>
          <w:b/>
          <w:bCs/>
          <w:u w:val="single"/>
        </w:rPr>
      </w:pPr>
      <w:r w:rsidRPr="00284D51">
        <w:rPr>
          <w:i/>
          <w:iCs/>
        </w:rPr>
        <w:t>Ультразвуковое исследование (УЗИ), КТ/СКТ, МРТ органов брюшной полости</w:t>
      </w:r>
      <w:r w:rsidRPr="00284D51">
        <w:rPr>
          <w:b/>
          <w:bCs/>
        </w:rPr>
        <w:t xml:space="preserve"> </w:t>
      </w:r>
      <w:r w:rsidRPr="00284D51">
        <w:t>для</w:t>
      </w:r>
      <w:r>
        <w:t xml:space="preserve"> уточнения инфекционного процесса проводят по клиническим показаниям, в том числе:</w:t>
      </w:r>
    </w:p>
    <w:p w14:paraId="4FBFCE73" w14:textId="77777777" w:rsidR="00116AF3" w:rsidRDefault="00116AF3" w:rsidP="006D53E9">
      <w:pPr>
        <w:pStyle w:val="afe"/>
        <w:widowControl w:val="0"/>
        <w:numPr>
          <w:ilvl w:val="0"/>
          <w:numId w:val="49"/>
        </w:numPr>
        <w:tabs>
          <w:tab w:val="left" w:pos="0"/>
        </w:tabs>
        <w:autoSpaceDE w:val="0"/>
        <w:autoSpaceDN w:val="0"/>
        <w:adjustRightInd w:val="0"/>
      </w:pPr>
      <w:r w:rsidRPr="00016F8E">
        <w:t>сохраняющаяся лихорадка (колебания температуры в течение суток от 37 до 39°С), особенно у больных вне лейкопении (</w:t>
      </w:r>
      <w:r>
        <w:t xml:space="preserve">для </w:t>
      </w:r>
      <w:r w:rsidRPr="00016F8E">
        <w:t>диагности</w:t>
      </w:r>
      <w:r>
        <w:t>ки</w:t>
      </w:r>
      <w:r w:rsidRPr="00016F8E">
        <w:t xml:space="preserve"> гепатолиенального кандидоза); </w:t>
      </w:r>
    </w:p>
    <w:p w14:paraId="0C600159" w14:textId="77777777" w:rsidR="00116AF3" w:rsidRDefault="00116AF3" w:rsidP="006D53E9">
      <w:pPr>
        <w:pStyle w:val="afe"/>
        <w:widowControl w:val="0"/>
        <w:numPr>
          <w:ilvl w:val="0"/>
          <w:numId w:val="49"/>
        </w:numPr>
        <w:tabs>
          <w:tab w:val="left" w:pos="0"/>
        </w:tabs>
        <w:autoSpaceDE w:val="0"/>
        <w:autoSpaceDN w:val="0"/>
        <w:adjustRightInd w:val="0"/>
      </w:pPr>
      <w:r>
        <w:t>при диагностированнмм аспергиллезе</w:t>
      </w:r>
      <w:r w:rsidRPr="00016F8E">
        <w:t xml:space="preserve"> легких или мукормикоз</w:t>
      </w:r>
      <w:r>
        <w:t>е</w:t>
      </w:r>
      <w:r w:rsidRPr="00016F8E">
        <w:t xml:space="preserve"> (</w:t>
      </w:r>
      <w:r>
        <w:t xml:space="preserve">для </w:t>
      </w:r>
      <w:r w:rsidRPr="00016F8E">
        <w:t>исключ</w:t>
      </w:r>
      <w:r>
        <w:t>ения</w:t>
      </w:r>
      <w:r w:rsidRPr="00016F8E">
        <w:t xml:space="preserve"> диссеминаци</w:t>
      </w:r>
      <w:r>
        <w:t>и</w:t>
      </w:r>
      <w:r w:rsidRPr="00016F8E">
        <w:t xml:space="preserve">); </w:t>
      </w:r>
    </w:p>
    <w:p w14:paraId="5A207891" w14:textId="77777777" w:rsidR="00116AF3" w:rsidRDefault="00116AF3" w:rsidP="006D53E9">
      <w:pPr>
        <w:pStyle w:val="afe"/>
        <w:widowControl w:val="0"/>
        <w:numPr>
          <w:ilvl w:val="0"/>
          <w:numId w:val="49"/>
        </w:numPr>
        <w:tabs>
          <w:tab w:val="left" w:pos="0"/>
        </w:tabs>
        <w:autoSpaceDE w:val="0"/>
        <w:autoSpaceDN w:val="0"/>
        <w:adjustRightInd w:val="0"/>
      </w:pPr>
      <w:r>
        <w:t xml:space="preserve">для </w:t>
      </w:r>
      <w:r w:rsidRPr="00016F8E">
        <w:t>контрол</w:t>
      </w:r>
      <w:r>
        <w:t>я</w:t>
      </w:r>
      <w:r w:rsidRPr="00016F8E">
        <w:t xml:space="preserve"> выявленных</w:t>
      </w:r>
      <w:r>
        <w:t xml:space="preserve"> ранее</w:t>
      </w:r>
      <w:r w:rsidRPr="00016F8E">
        <w:t xml:space="preserve"> изменений. </w:t>
      </w:r>
    </w:p>
    <w:p w14:paraId="2ABE2639" w14:textId="77777777" w:rsidR="00116AF3" w:rsidRPr="00016F8E" w:rsidRDefault="00116AF3" w:rsidP="00116AF3">
      <w:pPr>
        <w:widowControl w:val="0"/>
        <w:tabs>
          <w:tab w:val="left" w:pos="0"/>
        </w:tabs>
        <w:autoSpaceDE w:val="0"/>
        <w:autoSpaceDN w:val="0"/>
        <w:adjustRightInd w:val="0"/>
      </w:pPr>
      <w:r>
        <w:tab/>
      </w:r>
      <w:r w:rsidRPr="00016F8E">
        <w:t>При диагностике гепатолиенального кандидоза контрольное исследование проводят не ранее чем через 1 мес терапии системными противогрибковыми препаратами</w:t>
      </w:r>
      <w:r>
        <w:t>,</w:t>
      </w:r>
      <w:r w:rsidRPr="00016F8E">
        <w:t xml:space="preserve"> вне лейкопении.</w:t>
      </w:r>
    </w:p>
    <w:p w14:paraId="5BCD207D" w14:textId="77777777" w:rsidR="00116AF3" w:rsidRPr="008572A7" w:rsidRDefault="00116AF3" w:rsidP="00116AF3">
      <w:pPr>
        <w:widowControl w:val="0"/>
        <w:autoSpaceDE w:val="0"/>
        <w:autoSpaceDN w:val="0"/>
        <w:adjustRightInd w:val="0"/>
        <w:contextualSpacing/>
        <w:rPr>
          <w:b/>
          <w:u w:val="single"/>
        </w:rPr>
      </w:pPr>
      <w:r w:rsidRPr="00284D51">
        <w:rPr>
          <w:i/>
          <w:iCs/>
        </w:rPr>
        <w:t>КТ или МРТ головного мозга</w:t>
      </w:r>
      <w:r w:rsidRPr="00284D51">
        <w:rPr>
          <w:bCs/>
        </w:rPr>
        <w:t xml:space="preserve"> </w:t>
      </w:r>
      <w:r w:rsidRPr="00284D51">
        <w:t>проводят для исключения инфекционного поражения</w:t>
      </w:r>
      <w:r>
        <w:t xml:space="preserve"> головного мозга:</w:t>
      </w:r>
    </w:p>
    <w:p w14:paraId="676435B2" w14:textId="77777777" w:rsidR="00116AF3" w:rsidRDefault="00116AF3" w:rsidP="006D53E9">
      <w:pPr>
        <w:pStyle w:val="afe"/>
        <w:widowControl w:val="0"/>
        <w:numPr>
          <w:ilvl w:val="0"/>
          <w:numId w:val="50"/>
        </w:numPr>
        <w:tabs>
          <w:tab w:val="left" w:pos="0"/>
        </w:tabs>
        <w:autoSpaceDE w:val="0"/>
        <w:autoSpaceDN w:val="0"/>
        <w:adjustRightInd w:val="0"/>
      </w:pPr>
      <w:r>
        <w:t>при наличии</w:t>
      </w:r>
      <w:r w:rsidRPr="00016F8E">
        <w:t xml:space="preserve"> симптомов </w:t>
      </w:r>
      <w:r>
        <w:t>поражения</w:t>
      </w:r>
      <w:r w:rsidRPr="00016F8E">
        <w:t xml:space="preserve"> центральной нервной системы (ЦНС)</w:t>
      </w:r>
      <w:r>
        <w:t>;</w:t>
      </w:r>
    </w:p>
    <w:p w14:paraId="0A6CE926" w14:textId="77777777" w:rsidR="00116AF3" w:rsidRPr="00016F8E" w:rsidRDefault="00116AF3" w:rsidP="006D53E9">
      <w:pPr>
        <w:pStyle w:val="afe"/>
        <w:widowControl w:val="0"/>
        <w:numPr>
          <w:ilvl w:val="0"/>
          <w:numId w:val="50"/>
        </w:numPr>
        <w:tabs>
          <w:tab w:val="left" w:pos="0"/>
        </w:tabs>
        <w:autoSpaceDE w:val="0"/>
        <w:autoSpaceDN w:val="0"/>
        <w:adjustRightInd w:val="0"/>
      </w:pPr>
      <w:r w:rsidRPr="00016F8E">
        <w:t>при диагностике инвазивного аспергиллеза легких/околоносовых пазух или мукормикоза (</w:t>
      </w:r>
      <w:r>
        <w:t xml:space="preserve">для </w:t>
      </w:r>
      <w:r w:rsidRPr="00016F8E">
        <w:t>исключ</w:t>
      </w:r>
      <w:r>
        <w:t>ения</w:t>
      </w:r>
      <w:r w:rsidRPr="00016F8E">
        <w:t xml:space="preserve"> диссеминаци</w:t>
      </w:r>
      <w:r>
        <w:t>и</w:t>
      </w:r>
      <w:r w:rsidRPr="00016F8E">
        <w:t>).</w:t>
      </w:r>
    </w:p>
    <w:p w14:paraId="0F391779" w14:textId="77777777" w:rsidR="00116AF3" w:rsidRPr="00284D51" w:rsidRDefault="00116AF3" w:rsidP="00116AF3">
      <w:pPr>
        <w:widowControl w:val="0"/>
        <w:autoSpaceDE w:val="0"/>
        <w:autoSpaceDN w:val="0"/>
        <w:adjustRightInd w:val="0"/>
        <w:contextualSpacing/>
        <w:rPr>
          <w:i/>
          <w:iCs/>
        </w:rPr>
      </w:pPr>
      <w:r w:rsidRPr="00284D51">
        <w:rPr>
          <w:i/>
          <w:iCs/>
        </w:rPr>
        <w:t>Эхокардиография (ЭхоКГ), включая чрезпищеводную ЭхоКГ</w:t>
      </w:r>
    </w:p>
    <w:p w14:paraId="1C462712" w14:textId="77777777" w:rsidR="00116AF3" w:rsidRDefault="00116AF3" w:rsidP="00116AF3">
      <w:pPr>
        <w:widowControl w:val="0"/>
        <w:autoSpaceDE w:val="0"/>
        <w:autoSpaceDN w:val="0"/>
        <w:adjustRightInd w:val="0"/>
        <w:contextualSpacing/>
      </w:pPr>
      <w:r>
        <w:t>Проводится для исключения бактериального эндокардита, особенно в случае:</w:t>
      </w:r>
    </w:p>
    <w:p w14:paraId="4A559429" w14:textId="77777777" w:rsidR="00116AF3" w:rsidRDefault="00116AF3" w:rsidP="006D53E9">
      <w:pPr>
        <w:pStyle w:val="afe"/>
        <w:widowControl w:val="0"/>
        <w:numPr>
          <w:ilvl w:val="0"/>
          <w:numId w:val="51"/>
        </w:numPr>
        <w:tabs>
          <w:tab w:val="left" w:pos="0"/>
        </w:tabs>
        <w:autoSpaceDE w:val="0"/>
        <w:autoSpaceDN w:val="0"/>
        <w:adjustRightInd w:val="0"/>
      </w:pPr>
      <w:r w:rsidRPr="00016F8E">
        <w:t>микробиологически подтвержденн</w:t>
      </w:r>
      <w:r>
        <w:t>ой</w:t>
      </w:r>
      <w:r w:rsidRPr="00016F8E">
        <w:t xml:space="preserve"> инфекци</w:t>
      </w:r>
      <w:r>
        <w:t>и</w:t>
      </w:r>
      <w:r w:rsidRPr="00016F8E">
        <w:t xml:space="preserve">, вызванная </w:t>
      </w:r>
      <w:r w:rsidRPr="00016F8E">
        <w:rPr>
          <w:i/>
        </w:rPr>
        <w:t>S. aureus</w:t>
      </w:r>
      <w:r w:rsidRPr="00016F8E">
        <w:t xml:space="preserve">; </w:t>
      </w:r>
    </w:p>
    <w:p w14:paraId="5021D2B1" w14:textId="77777777" w:rsidR="00116AF3" w:rsidRDefault="00116AF3" w:rsidP="006D53E9">
      <w:pPr>
        <w:pStyle w:val="afe"/>
        <w:widowControl w:val="0"/>
        <w:numPr>
          <w:ilvl w:val="0"/>
          <w:numId w:val="51"/>
        </w:numPr>
        <w:tabs>
          <w:tab w:val="left" w:pos="0"/>
        </w:tabs>
        <w:autoSpaceDE w:val="0"/>
        <w:autoSpaceDN w:val="0"/>
        <w:adjustRightInd w:val="0"/>
      </w:pPr>
      <w:r>
        <w:t>длительной</w:t>
      </w:r>
      <w:r w:rsidRPr="00016F8E">
        <w:t xml:space="preserve"> (</w:t>
      </w:r>
      <w:r>
        <w:t>более</w:t>
      </w:r>
      <w:r w:rsidRPr="00016F8E">
        <w:t xml:space="preserve"> 10-14 дней) персистирующ</w:t>
      </w:r>
      <w:r>
        <w:t>ей</w:t>
      </w:r>
      <w:r w:rsidRPr="00016F8E">
        <w:t xml:space="preserve"> </w:t>
      </w:r>
      <w:r>
        <w:t>гипертермии</w:t>
      </w:r>
      <w:r w:rsidRPr="00016F8E">
        <w:t xml:space="preserve">, особенно у больных вне лейкопении. </w:t>
      </w:r>
    </w:p>
    <w:p w14:paraId="3C9CBC6C" w14:textId="77777777" w:rsidR="00116AF3" w:rsidRPr="00016F8E" w:rsidRDefault="00116AF3" w:rsidP="00116AF3">
      <w:pPr>
        <w:widowControl w:val="0"/>
        <w:autoSpaceDE w:val="0"/>
        <w:autoSpaceDN w:val="0"/>
        <w:adjustRightInd w:val="0"/>
      </w:pPr>
      <w:r w:rsidRPr="00016F8E">
        <w:t xml:space="preserve">Чрезпищеводную ЭхоКГ назначают при сохраняющейся </w:t>
      </w:r>
      <w:r>
        <w:t>гипертермии</w:t>
      </w:r>
      <w:r w:rsidRPr="00016F8E">
        <w:t xml:space="preserve"> и отрицательн</w:t>
      </w:r>
      <w:r>
        <w:t>ых результатах</w:t>
      </w:r>
      <w:r w:rsidRPr="00016F8E">
        <w:t xml:space="preserve"> ЭхоКГ. </w:t>
      </w:r>
    </w:p>
    <w:p w14:paraId="63F55931" w14:textId="77777777" w:rsidR="00116AF3" w:rsidRPr="00761653" w:rsidRDefault="00116AF3" w:rsidP="00116AF3">
      <w:pPr>
        <w:widowControl w:val="0"/>
        <w:autoSpaceDE w:val="0"/>
        <w:autoSpaceDN w:val="0"/>
        <w:adjustRightInd w:val="0"/>
        <w:contextualSpacing/>
      </w:pPr>
      <w:r w:rsidRPr="00761653">
        <w:t>В табл. 1 суммированы диагностические исследования у больных с гематологическими заболеваниями и инфекциями.</w:t>
      </w:r>
    </w:p>
    <w:p w14:paraId="566BA476" w14:textId="77777777" w:rsidR="00116AF3" w:rsidRDefault="00116AF3" w:rsidP="00116AF3">
      <w:pPr>
        <w:widowControl w:val="0"/>
        <w:autoSpaceDE w:val="0"/>
        <w:autoSpaceDN w:val="0"/>
        <w:adjustRightInd w:val="0"/>
        <w:contextualSpacing/>
      </w:pPr>
    </w:p>
    <w:p w14:paraId="7A911FC6" w14:textId="77777777" w:rsidR="00116AF3" w:rsidRPr="00761653" w:rsidRDefault="00116AF3" w:rsidP="00116AF3">
      <w:pPr>
        <w:widowControl w:val="0"/>
        <w:autoSpaceDE w:val="0"/>
        <w:autoSpaceDN w:val="0"/>
        <w:adjustRightInd w:val="0"/>
        <w:contextualSpacing/>
      </w:pPr>
      <w:r w:rsidRPr="00761653">
        <w:t>Таблица 1. Показания к проведению диагностических исследований у больных с гематологическими заболеваниями и инфекциями.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116AF3" w:rsidRPr="00761653" w14:paraId="45DAEB52" w14:textId="77777777" w:rsidTr="002D3EBF">
        <w:trPr>
          <w:trHeight w:val="93"/>
        </w:trPr>
        <w:tc>
          <w:tcPr>
            <w:tcW w:w="3510" w:type="dxa"/>
            <w:tcMar>
              <w:top w:w="100" w:type="nil"/>
              <w:right w:w="100" w:type="nil"/>
            </w:tcMar>
            <w:vAlign w:val="center"/>
          </w:tcPr>
          <w:p w14:paraId="2C7CF820" w14:textId="77777777" w:rsidR="00116AF3" w:rsidRPr="00761653" w:rsidRDefault="00116AF3" w:rsidP="002D3EBF">
            <w:pPr>
              <w:widowControl w:val="0"/>
              <w:autoSpaceDE w:val="0"/>
              <w:autoSpaceDN w:val="0"/>
              <w:adjustRightInd w:val="0"/>
              <w:ind w:left="57" w:right="57" w:firstLine="0"/>
              <w:jc w:val="center"/>
              <w:rPr>
                <w:b/>
                <w:bCs/>
              </w:rPr>
            </w:pPr>
            <w:r w:rsidRPr="00761653">
              <w:rPr>
                <w:b/>
                <w:bCs/>
              </w:rPr>
              <w:t>Показания</w:t>
            </w:r>
          </w:p>
        </w:tc>
        <w:tc>
          <w:tcPr>
            <w:tcW w:w="6096" w:type="dxa"/>
            <w:tcMar>
              <w:top w:w="100" w:type="nil"/>
              <w:right w:w="100" w:type="nil"/>
            </w:tcMar>
            <w:vAlign w:val="center"/>
          </w:tcPr>
          <w:p w14:paraId="5147AD94" w14:textId="77777777" w:rsidR="00116AF3" w:rsidRPr="00761653" w:rsidRDefault="00116AF3" w:rsidP="002D3EBF">
            <w:pPr>
              <w:widowControl w:val="0"/>
              <w:autoSpaceDE w:val="0"/>
              <w:autoSpaceDN w:val="0"/>
              <w:adjustRightInd w:val="0"/>
              <w:ind w:left="57" w:right="57" w:firstLine="0"/>
              <w:jc w:val="center"/>
              <w:rPr>
                <w:b/>
                <w:bCs/>
              </w:rPr>
            </w:pPr>
            <w:r w:rsidRPr="00761653">
              <w:rPr>
                <w:b/>
                <w:bCs/>
              </w:rPr>
              <w:t>Исследование</w:t>
            </w:r>
          </w:p>
        </w:tc>
      </w:tr>
      <w:tr w:rsidR="00116AF3" w:rsidRPr="00265B67" w14:paraId="3B6BF811" w14:textId="77777777" w:rsidTr="002D3EBF">
        <w:trPr>
          <w:trHeight w:val="702"/>
        </w:trPr>
        <w:tc>
          <w:tcPr>
            <w:tcW w:w="3510" w:type="dxa"/>
            <w:tcMar>
              <w:top w:w="100" w:type="nil"/>
              <w:right w:w="100" w:type="nil"/>
            </w:tcMar>
            <w:vAlign w:val="center"/>
          </w:tcPr>
          <w:p w14:paraId="7A82797C" w14:textId="77777777" w:rsidR="00116AF3" w:rsidRPr="00761653" w:rsidRDefault="00116AF3" w:rsidP="002D3EBF">
            <w:pPr>
              <w:widowControl w:val="0"/>
              <w:autoSpaceDE w:val="0"/>
              <w:autoSpaceDN w:val="0"/>
              <w:adjustRightInd w:val="0"/>
              <w:ind w:left="57" w:right="57" w:firstLine="0"/>
            </w:pPr>
            <w:r w:rsidRPr="00761653">
              <w:t xml:space="preserve">Температура ≥38°С, </w:t>
            </w:r>
          </w:p>
          <w:p w14:paraId="7A7B7BEF" w14:textId="77777777" w:rsidR="00116AF3" w:rsidRPr="00761653" w:rsidRDefault="00116AF3" w:rsidP="002D3EBF">
            <w:pPr>
              <w:widowControl w:val="0"/>
              <w:autoSpaceDE w:val="0"/>
              <w:autoSpaceDN w:val="0"/>
              <w:adjustRightInd w:val="0"/>
              <w:ind w:left="57" w:right="57" w:firstLine="0"/>
            </w:pPr>
            <w:r w:rsidRPr="00761653">
              <w:t>впервые возникшая</w:t>
            </w:r>
          </w:p>
        </w:tc>
        <w:tc>
          <w:tcPr>
            <w:tcW w:w="6096" w:type="dxa"/>
            <w:tcMar>
              <w:top w:w="100" w:type="nil"/>
              <w:right w:w="100" w:type="nil"/>
            </w:tcMar>
            <w:vAlign w:val="center"/>
          </w:tcPr>
          <w:p w14:paraId="6E4E839F" w14:textId="77777777" w:rsidR="00116AF3" w:rsidRPr="00761653" w:rsidRDefault="00116AF3" w:rsidP="002D3EBF">
            <w:pPr>
              <w:widowControl w:val="0"/>
              <w:autoSpaceDE w:val="0"/>
              <w:autoSpaceDN w:val="0"/>
              <w:adjustRightInd w:val="0"/>
              <w:ind w:left="57" w:right="57" w:firstLine="0"/>
            </w:pPr>
            <w:r w:rsidRPr="00761653">
              <w:t xml:space="preserve">Взятие крови в 2 флакона для гемокультуры </w:t>
            </w:r>
          </w:p>
          <w:p w14:paraId="551C5815" w14:textId="77777777" w:rsidR="00116AF3" w:rsidRPr="00761653" w:rsidRDefault="00116AF3" w:rsidP="002D3EBF">
            <w:pPr>
              <w:widowControl w:val="0"/>
              <w:autoSpaceDE w:val="0"/>
              <w:autoSpaceDN w:val="0"/>
              <w:adjustRightInd w:val="0"/>
              <w:ind w:left="57" w:right="57" w:firstLine="0"/>
            </w:pPr>
            <w:r w:rsidRPr="00761653">
              <w:t>(вена-катетер или вена-вена)</w:t>
            </w:r>
          </w:p>
        </w:tc>
      </w:tr>
      <w:tr w:rsidR="00116AF3" w:rsidRPr="00265B67" w14:paraId="57A6E9A2" w14:textId="77777777" w:rsidTr="002D3EBF">
        <w:trPr>
          <w:trHeight w:val="841"/>
        </w:trPr>
        <w:tc>
          <w:tcPr>
            <w:tcW w:w="3510" w:type="dxa"/>
            <w:tcMar>
              <w:top w:w="100" w:type="nil"/>
              <w:right w:w="100" w:type="nil"/>
            </w:tcMar>
            <w:vAlign w:val="center"/>
          </w:tcPr>
          <w:p w14:paraId="3818873B" w14:textId="77777777" w:rsidR="00116AF3" w:rsidRPr="00761653" w:rsidRDefault="00116AF3" w:rsidP="002D3EBF">
            <w:pPr>
              <w:widowControl w:val="0"/>
              <w:autoSpaceDE w:val="0"/>
              <w:autoSpaceDN w:val="0"/>
              <w:adjustRightInd w:val="0"/>
              <w:ind w:left="57" w:right="57" w:firstLine="0"/>
            </w:pPr>
            <w:r w:rsidRPr="00761653">
              <w:t>Температура ≥38°С в течение</w:t>
            </w:r>
          </w:p>
          <w:p w14:paraId="2008C138" w14:textId="77777777" w:rsidR="00116AF3" w:rsidRPr="00761653" w:rsidRDefault="00116AF3" w:rsidP="002D3EBF">
            <w:pPr>
              <w:widowControl w:val="0"/>
              <w:autoSpaceDE w:val="0"/>
              <w:autoSpaceDN w:val="0"/>
              <w:adjustRightInd w:val="0"/>
              <w:ind w:left="57" w:right="57" w:firstLine="0"/>
            </w:pPr>
            <w:r w:rsidRPr="00761653">
              <w:t xml:space="preserve"> ≥ 5 дней и лейкопения </w:t>
            </w:r>
          </w:p>
        </w:tc>
        <w:tc>
          <w:tcPr>
            <w:tcW w:w="6096" w:type="dxa"/>
            <w:tcMar>
              <w:top w:w="100" w:type="nil"/>
              <w:right w:w="100" w:type="nil"/>
            </w:tcMar>
            <w:vAlign w:val="center"/>
          </w:tcPr>
          <w:p w14:paraId="0AE95292" w14:textId="77777777" w:rsidR="00116AF3" w:rsidRPr="00761653" w:rsidRDefault="00116AF3" w:rsidP="002D3EBF">
            <w:pPr>
              <w:ind w:left="57" w:right="57" w:firstLine="0"/>
              <w:contextualSpacing/>
              <w:rPr>
                <w:rFonts w:eastAsia="MS Mincho"/>
              </w:rPr>
            </w:pPr>
            <w:r w:rsidRPr="00761653">
              <w:t>Повторное взятие крови для гемокультуры 1 раз в неделю</w:t>
            </w:r>
          </w:p>
          <w:p w14:paraId="34115A9F" w14:textId="77777777" w:rsidR="00116AF3" w:rsidRPr="00761653" w:rsidRDefault="00116AF3" w:rsidP="002D3EBF">
            <w:pPr>
              <w:ind w:left="57" w:right="57" w:firstLine="0"/>
              <w:contextualSpacing/>
            </w:pPr>
            <w:r w:rsidRPr="00761653">
              <w:t>Микробиологическое исследование мочи</w:t>
            </w:r>
          </w:p>
          <w:p w14:paraId="18CE465A" w14:textId="77777777" w:rsidR="00116AF3" w:rsidRPr="00761653" w:rsidRDefault="00116AF3" w:rsidP="002D3EBF">
            <w:pPr>
              <w:ind w:left="57" w:right="57" w:firstLine="0"/>
              <w:contextualSpacing/>
            </w:pPr>
            <w:r w:rsidRPr="00761653">
              <w:t>Ректальный мазок</w:t>
            </w:r>
          </w:p>
          <w:p w14:paraId="3C6DB433" w14:textId="77777777" w:rsidR="00116AF3" w:rsidRPr="00761653" w:rsidRDefault="00116AF3" w:rsidP="002D3EBF">
            <w:pPr>
              <w:ind w:left="57" w:right="57" w:firstLine="0"/>
              <w:contextualSpacing/>
            </w:pPr>
            <w:r w:rsidRPr="00761653">
              <w:t>КТВР легких</w:t>
            </w:r>
          </w:p>
        </w:tc>
      </w:tr>
      <w:tr w:rsidR="00116AF3" w:rsidRPr="00975FC1" w14:paraId="39BBE7F4" w14:textId="77777777" w:rsidTr="002D3EBF">
        <w:trPr>
          <w:trHeight w:val="1491"/>
        </w:trPr>
        <w:tc>
          <w:tcPr>
            <w:tcW w:w="3510" w:type="dxa"/>
            <w:tcMar>
              <w:top w:w="100" w:type="nil"/>
              <w:right w:w="100" w:type="nil"/>
            </w:tcMar>
            <w:vAlign w:val="center"/>
          </w:tcPr>
          <w:p w14:paraId="395DD547" w14:textId="77777777" w:rsidR="00116AF3" w:rsidRPr="00761653" w:rsidRDefault="00116AF3" w:rsidP="002D3EBF">
            <w:pPr>
              <w:widowControl w:val="0"/>
              <w:autoSpaceDE w:val="0"/>
              <w:autoSpaceDN w:val="0"/>
              <w:adjustRightInd w:val="0"/>
              <w:ind w:left="57" w:right="57" w:firstLine="0"/>
            </w:pPr>
            <w:r w:rsidRPr="00761653">
              <w:t>Температура ≥38°С, длительная, сохраняется после «выхода» из нейтропении</w:t>
            </w:r>
          </w:p>
        </w:tc>
        <w:tc>
          <w:tcPr>
            <w:tcW w:w="6096" w:type="dxa"/>
            <w:tcMar>
              <w:top w:w="100" w:type="nil"/>
              <w:right w:w="100" w:type="nil"/>
            </w:tcMar>
            <w:vAlign w:val="center"/>
          </w:tcPr>
          <w:p w14:paraId="5FCBCE12" w14:textId="77777777" w:rsidR="00116AF3" w:rsidRPr="00761653" w:rsidRDefault="00116AF3" w:rsidP="002D3EBF">
            <w:pPr>
              <w:ind w:left="57" w:right="57" w:firstLine="0"/>
              <w:contextualSpacing/>
              <w:rPr>
                <w:rFonts w:eastAsia="MS Mincho"/>
              </w:rPr>
            </w:pPr>
            <w:r w:rsidRPr="00761653">
              <w:t>УЗИ брюшной полости</w:t>
            </w:r>
          </w:p>
          <w:p w14:paraId="28AD7B1B" w14:textId="77777777" w:rsidR="00116AF3" w:rsidRPr="00761653" w:rsidRDefault="00116AF3" w:rsidP="002D3EBF">
            <w:pPr>
              <w:ind w:left="57" w:right="57" w:firstLine="0"/>
              <w:contextualSpacing/>
            </w:pPr>
            <w:r w:rsidRPr="00761653">
              <w:t xml:space="preserve">Определение антигена </w:t>
            </w:r>
            <w:r w:rsidRPr="00761653">
              <w:rPr>
                <w:i/>
              </w:rPr>
              <w:t>Candida</w:t>
            </w:r>
            <w:r w:rsidRPr="00761653">
              <w:t xml:space="preserve"> (маннан) и антител </w:t>
            </w:r>
            <w:r w:rsidRPr="00761653">
              <w:rPr>
                <w:i/>
              </w:rPr>
              <w:t>Candida</w:t>
            </w:r>
            <w:r w:rsidRPr="00761653">
              <w:t xml:space="preserve"> (антиманнан) в крови</w:t>
            </w:r>
          </w:p>
          <w:p w14:paraId="22588A3C" w14:textId="77777777" w:rsidR="00116AF3" w:rsidRPr="00761653" w:rsidRDefault="00116AF3" w:rsidP="002D3EBF">
            <w:pPr>
              <w:ind w:left="57" w:right="57" w:firstLine="0"/>
              <w:contextualSpacing/>
            </w:pPr>
            <w:r w:rsidRPr="00761653">
              <w:t>КТВР или МРТ органов брюшной полости при неинформативном УЗИ</w:t>
            </w:r>
          </w:p>
        </w:tc>
      </w:tr>
      <w:tr w:rsidR="00116AF3" w:rsidRPr="00975FC1" w14:paraId="15D80690" w14:textId="77777777" w:rsidTr="002D3EBF">
        <w:trPr>
          <w:trHeight w:val="1731"/>
        </w:trPr>
        <w:tc>
          <w:tcPr>
            <w:tcW w:w="3510" w:type="dxa"/>
            <w:tcMar>
              <w:top w:w="100" w:type="nil"/>
              <w:right w:w="100" w:type="nil"/>
            </w:tcMar>
            <w:vAlign w:val="center"/>
          </w:tcPr>
          <w:p w14:paraId="78BE5268" w14:textId="77777777" w:rsidR="00116AF3" w:rsidRPr="00761653" w:rsidRDefault="00116AF3" w:rsidP="002D3EBF">
            <w:pPr>
              <w:widowControl w:val="0"/>
              <w:autoSpaceDE w:val="0"/>
              <w:autoSpaceDN w:val="0"/>
              <w:adjustRightInd w:val="0"/>
              <w:ind w:left="57" w:right="57" w:firstLine="0"/>
            </w:pPr>
            <w:r w:rsidRPr="00761653">
              <w:t>Катетер-ассоциированная инфекция</w:t>
            </w:r>
          </w:p>
        </w:tc>
        <w:tc>
          <w:tcPr>
            <w:tcW w:w="6096" w:type="dxa"/>
            <w:tcMar>
              <w:top w:w="100" w:type="nil"/>
              <w:right w:w="100" w:type="nil"/>
            </w:tcMar>
            <w:vAlign w:val="center"/>
          </w:tcPr>
          <w:p w14:paraId="386C46A9" w14:textId="77777777" w:rsidR="00116AF3" w:rsidRPr="00761653" w:rsidRDefault="00116AF3" w:rsidP="002D3EBF">
            <w:pPr>
              <w:widowControl w:val="0"/>
              <w:autoSpaceDE w:val="0"/>
              <w:autoSpaceDN w:val="0"/>
              <w:adjustRightInd w:val="0"/>
              <w:ind w:left="57" w:right="57" w:firstLine="0"/>
              <w:contextualSpacing/>
              <w:rPr>
                <w:rFonts w:eastAsia="MS Mincho"/>
              </w:rPr>
            </w:pPr>
            <w:r w:rsidRPr="00761653">
              <w:t>Взятие одновременно крови из вены и из ЦВК для микробиологического исследования</w:t>
            </w:r>
          </w:p>
          <w:p w14:paraId="2CDF8402" w14:textId="77777777" w:rsidR="00116AF3" w:rsidRPr="00761653" w:rsidRDefault="00116AF3" w:rsidP="002D3EBF">
            <w:pPr>
              <w:widowControl w:val="0"/>
              <w:autoSpaceDE w:val="0"/>
              <w:autoSpaceDN w:val="0"/>
              <w:adjustRightInd w:val="0"/>
              <w:ind w:left="57" w:right="57" w:firstLine="0"/>
              <w:contextualSpacing/>
            </w:pPr>
            <w:r w:rsidRPr="00761653">
              <w:t>Положительная гемокультура из ЦВК получена раньше на 2 часа и более чем из вены – удаление ЦВК ввиду высокой вероятности его инфицирования</w:t>
            </w:r>
          </w:p>
        </w:tc>
      </w:tr>
      <w:tr w:rsidR="00116AF3" w:rsidRPr="00265B67" w14:paraId="5912624B" w14:textId="77777777" w:rsidTr="002D3EBF">
        <w:trPr>
          <w:trHeight w:val="698"/>
        </w:trPr>
        <w:tc>
          <w:tcPr>
            <w:tcW w:w="3510" w:type="dxa"/>
            <w:tcMar>
              <w:top w:w="100" w:type="nil"/>
              <w:right w:w="100" w:type="nil"/>
            </w:tcMar>
            <w:vAlign w:val="center"/>
          </w:tcPr>
          <w:p w14:paraId="1B8080E1" w14:textId="77777777" w:rsidR="00116AF3" w:rsidRPr="00761653" w:rsidRDefault="00116AF3" w:rsidP="002D3EBF">
            <w:pPr>
              <w:widowControl w:val="0"/>
              <w:autoSpaceDE w:val="0"/>
              <w:autoSpaceDN w:val="0"/>
              <w:adjustRightInd w:val="0"/>
              <w:ind w:left="57" w:right="57" w:firstLine="0"/>
            </w:pPr>
            <w:r w:rsidRPr="00761653">
              <w:t xml:space="preserve">Ожидаемая нейтропения (лейкопения) &gt;10 дней </w:t>
            </w:r>
          </w:p>
        </w:tc>
        <w:tc>
          <w:tcPr>
            <w:tcW w:w="6096" w:type="dxa"/>
            <w:tcMar>
              <w:top w:w="100" w:type="nil"/>
              <w:right w:w="100" w:type="nil"/>
            </w:tcMar>
            <w:vAlign w:val="center"/>
          </w:tcPr>
          <w:p w14:paraId="2BDD04EA" w14:textId="77777777" w:rsidR="00116AF3" w:rsidRPr="00761653" w:rsidRDefault="00116AF3" w:rsidP="002D3EBF">
            <w:pPr>
              <w:widowControl w:val="0"/>
              <w:autoSpaceDE w:val="0"/>
              <w:autoSpaceDN w:val="0"/>
              <w:adjustRightInd w:val="0"/>
              <w:ind w:left="57" w:right="57" w:firstLine="0"/>
            </w:pPr>
            <w:r w:rsidRPr="00761653">
              <w:t xml:space="preserve">Исследование крови на антиген </w:t>
            </w:r>
            <w:r w:rsidRPr="00761653">
              <w:rPr>
                <w:i/>
                <w:iCs/>
              </w:rPr>
              <w:t>Aspergillus</w:t>
            </w:r>
            <w:r w:rsidRPr="00761653">
              <w:t xml:space="preserve"> 2 раза в неделю</w:t>
            </w:r>
          </w:p>
        </w:tc>
      </w:tr>
      <w:tr w:rsidR="00116AF3" w:rsidRPr="00761653" w14:paraId="5E34072A" w14:textId="77777777" w:rsidTr="002D3EBF">
        <w:trPr>
          <w:trHeight w:val="556"/>
        </w:trPr>
        <w:tc>
          <w:tcPr>
            <w:tcW w:w="3510" w:type="dxa"/>
            <w:tcMar>
              <w:top w:w="100" w:type="nil"/>
              <w:right w:w="100" w:type="nil"/>
            </w:tcMar>
            <w:vAlign w:val="center"/>
          </w:tcPr>
          <w:p w14:paraId="3151B68E" w14:textId="77777777" w:rsidR="00116AF3" w:rsidRPr="00761653" w:rsidRDefault="00116AF3" w:rsidP="002D3EBF">
            <w:pPr>
              <w:widowControl w:val="0"/>
              <w:autoSpaceDE w:val="0"/>
              <w:autoSpaceDN w:val="0"/>
              <w:adjustRightInd w:val="0"/>
              <w:ind w:left="57" w:right="57" w:firstLine="0"/>
            </w:pPr>
            <w:r w:rsidRPr="00761653">
              <w:t>Стоматит</w:t>
            </w:r>
          </w:p>
        </w:tc>
        <w:tc>
          <w:tcPr>
            <w:tcW w:w="6096" w:type="dxa"/>
            <w:tcMar>
              <w:top w:w="100" w:type="nil"/>
              <w:right w:w="100" w:type="nil"/>
            </w:tcMar>
            <w:vAlign w:val="center"/>
          </w:tcPr>
          <w:p w14:paraId="26D5413A" w14:textId="77777777" w:rsidR="00116AF3" w:rsidRPr="00761653" w:rsidRDefault="00116AF3" w:rsidP="002D3EBF">
            <w:pPr>
              <w:widowControl w:val="0"/>
              <w:autoSpaceDE w:val="0"/>
              <w:autoSpaceDN w:val="0"/>
              <w:adjustRightInd w:val="0"/>
              <w:ind w:left="57" w:right="57" w:firstLine="0"/>
            </w:pPr>
            <w:r w:rsidRPr="00761653">
              <w:t>Мазок со слизистой ротоглотки</w:t>
            </w:r>
          </w:p>
        </w:tc>
      </w:tr>
      <w:tr w:rsidR="00116AF3" w:rsidRPr="00265B67" w14:paraId="7E07FEAA" w14:textId="77777777" w:rsidTr="002D3EBF">
        <w:trPr>
          <w:trHeight w:val="976"/>
        </w:trPr>
        <w:tc>
          <w:tcPr>
            <w:tcW w:w="3510" w:type="dxa"/>
            <w:tcMar>
              <w:top w:w="100" w:type="nil"/>
              <w:right w:w="100" w:type="nil"/>
            </w:tcMar>
            <w:vAlign w:val="center"/>
          </w:tcPr>
          <w:p w14:paraId="0D03BFD6" w14:textId="77777777" w:rsidR="00116AF3" w:rsidRPr="00761653" w:rsidRDefault="00116AF3" w:rsidP="002D3EBF">
            <w:pPr>
              <w:widowControl w:val="0"/>
              <w:autoSpaceDE w:val="0"/>
              <w:autoSpaceDN w:val="0"/>
              <w:adjustRightInd w:val="0"/>
              <w:ind w:left="57" w:right="57" w:firstLine="0"/>
            </w:pPr>
            <w:r w:rsidRPr="00761653">
              <w:t>Эзофагит</w:t>
            </w:r>
          </w:p>
        </w:tc>
        <w:tc>
          <w:tcPr>
            <w:tcW w:w="6096" w:type="dxa"/>
            <w:tcMar>
              <w:top w:w="100" w:type="nil"/>
              <w:right w:w="100" w:type="nil"/>
            </w:tcMar>
            <w:vAlign w:val="center"/>
          </w:tcPr>
          <w:p w14:paraId="63E32598" w14:textId="77777777" w:rsidR="00116AF3" w:rsidRPr="00761653" w:rsidRDefault="00116AF3" w:rsidP="002D3EBF">
            <w:pPr>
              <w:widowControl w:val="0"/>
              <w:autoSpaceDE w:val="0"/>
              <w:autoSpaceDN w:val="0"/>
              <w:adjustRightInd w:val="0"/>
              <w:ind w:left="57" w:right="57" w:firstLine="0"/>
            </w:pPr>
            <w:r w:rsidRPr="00761653">
              <w:t>Эзофагоскопия (тромбоцитов не менее 50x10</w:t>
            </w:r>
            <w:r w:rsidRPr="00761653">
              <w:rPr>
                <w:vertAlign w:val="superscript"/>
              </w:rPr>
              <w:t>9</w:t>
            </w:r>
            <w:r w:rsidRPr="00761653">
              <w:t>/л)</w:t>
            </w:r>
          </w:p>
          <w:p w14:paraId="1C26228B" w14:textId="77777777" w:rsidR="00116AF3" w:rsidRPr="00761653" w:rsidRDefault="00116AF3" w:rsidP="002D3EBF">
            <w:pPr>
              <w:widowControl w:val="0"/>
              <w:autoSpaceDE w:val="0"/>
              <w:autoSpaceDN w:val="0"/>
              <w:adjustRightInd w:val="0"/>
              <w:ind w:left="57" w:right="57" w:firstLine="0"/>
            </w:pPr>
            <w:r w:rsidRPr="00761653">
              <w:t>Исследование - соскоб (браш-метод) со слизистой оболочки или биопсия</w:t>
            </w:r>
          </w:p>
        </w:tc>
      </w:tr>
      <w:tr w:rsidR="00116AF3" w:rsidRPr="00265B67" w14:paraId="50490AFE" w14:textId="77777777" w:rsidTr="002D3EBF">
        <w:trPr>
          <w:trHeight w:val="704"/>
        </w:trPr>
        <w:tc>
          <w:tcPr>
            <w:tcW w:w="3510" w:type="dxa"/>
            <w:tcMar>
              <w:top w:w="100" w:type="nil"/>
              <w:right w:w="100" w:type="nil"/>
            </w:tcMar>
            <w:vAlign w:val="center"/>
          </w:tcPr>
          <w:p w14:paraId="13C1CD9A" w14:textId="77777777" w:rsidR="00116AF3" w:rsidRPr="00761653" w:rsidRDefault="00116AF3" w:rsidP="002D3EBF">
            <w:pPr>
              <w:widowControl w:val="0"/>
              <w:autoSpaceDE w:val="0"/>
              <w:autoSpaceDN w:val="0"/>
              <w:adjustRightInd w:val="0"/>
              <w:ind w:left="57" w:right="57" w:firstLine="0"/>
            </w:pPr>
            <w:r w:rsidRPr="00761653">
              <w:t>Некроз слизистой оболочки носового хода</w:t>
            </w:r>
          </w:p>
        </w:tc>
        <w:tc>
          <w:tcPr>
            <w:tcW w:w="6096" w:type="dxa"/>
            <w:tcMar>
              <w:top w:w="100" w:type="nil"/>
              <w:right w:w="100" w:type="nil"/>
            </w:tcMar>
            <w:vAlign w:val="center"/>
          </w:tcPr>
          <w:p w14:paraId="0CF93A95" w14:textId="77777777" w:rsidR="00116AF3" w:rsidRPr="00761653" w:rsidRDefault="00116AF3" w:rsidP="002D3EBF">
            <w:pPr>
              <w:widowControl w:val="0"/>
              <w:autoSpaceDE w:val="0"/>
              <w:autoSpaceDN w:val="0"/>
              <w:adjustRightInd w:val="0"/>
              <w:ind w:left="57" w:right="57" w:firstLine="0"/>
            </w:pPr>
            <w:r w:rsidRPr="00761653">
              <w:t>Мазок со слизистой оболочки носа</w:t>
            </w:r>
          </w:p>
        </w:tc>
      </w:tr>
      <w:tr w:rsidR="00116AF3" w:rsidRPr="00265B67" w14:paraId="5F3BBC16" w14:textId="77777777" w:rsidTr="002D3EBF">
        <w:trPr>
          <w:trHeight w:val="701"/>
        </w:trPr>
        <w:tc>
          <w:tcPr>
            <w:tcW w:w="3510" w:type="dxa"/>
            <w:tcMar>
              <w:top w:w="100" w:type="nil"/>
              <w:right w:w="100" w:type="nil"/>
            </w:tcMar>
            <w:vAlign w:val="center"/>
          </w:tcPr>
          <w:p w14:paraId="1D379A34" w14:textId="77777777" w:rsidR="00116AF3" w:rsidRPr="00761653" w:rsidRDefault="00116AF3" w:rsidP="002D3EBF">
            <w:pPr>
              <w:widowControl w:val="0"/>
              <w:autoSpaceDE w:val="0"/>
              <w:autoSpaceDN w:val="0"/>
              <w:adjustRightInd w:val="0"/>
              <w:ind w:left="57" w:right="57" w:firstLine="0"/>
            </w:pPr>
            <w:r w:rsidRPr="00761653">
              <w:t>Гайморит</w:t>
            </w:r>
          </w:p>
        </w:tc>
        <w:tc>
          <w:tcPr>
            <w:tcW w:w="6096" w:type="dxa"/>
            <w:tcMar>
              <w:top w:w="100" w:type="nil"/>
              <w:right w:w="100" w:type="nil"/>
            </w:tcMar>
            <w:vAlign w:val="center"/>
          </w:tcPr>
          <w:p w14:paraId="79236DE4" w14:textId="77777777" w:rsidR="00116AF3" w:rsidRPr="00761653" w:rsidRDefault="00116AF3" w:rsidP="002D3EBF">
            <w:pPr>
              <w:widowControl w:val="0"/>
              <w:autoSpaceDE w:val="0"/>
              <w:autoSpaceDN w:val="0"/>
              <w:adjustRightInd w:val="0"/>
              <w:ind w:left="57" w:right="57" w:firstLine="0"/>
            </w:pPr>
            <w:r w:rsidRPr="00761653">
              <w:t>Исследование содержимого околоносовой пазухи, полученной при пункции</w:t>
            </w:r>
          </w:p>
        </w:tc>
      </w:tr>
      <w:tr w:rsidR="00116AF3" w:rsidRPr="00761653" w14:paraId="75B1B464" w14:textId="77777777" w:rsidTr="002D3EBF">
        <w:trPr>
          <w:trHeight w:val="825"/>
        </w:trPr>
        <w:tc>
          <w:tcPr>
            <w:tcW w:w="3510" w:type="dxa"/>
            <w:tcMar>
              <w:top w:w="100" w:type="nil"/>
              <w:right w:w="100" w:type="nil"/>
            </w:tcMar>
            <w:vAlign w:val="center"/>
          </w:tcPr>
          <w:p w14:paraId="11AB865D" w14:textId="77777777" w:rsidR="00116AF3" w:rsidRPr="00761653" w:rsidRDefault="00116AF3" w:rsidP="002D3EBF">
            <w:pPr>
              <w:widowControl w:val="0"/>
              <w:autoSpaceDE w:val="0"/>
              <w:autoSpaceDN w:val="0"/>
              <w:adjustRightInd w:val="0"/>
              <w:ind w:left="57" w:right="57" w:firstLine="0"/>
            </w:pPr>
            <w:r w:rsidRPr="00761653">
              <w:t>Симптомы инфекции мочевыводящих путей</w:t>
            </w:r>
          </w:p>
          <w:p w14:paraId="7C4E669D" w14:textId="77777777" w:rsidR="00116AF3" w:rsidRPr="00761653" w:rsidRDefault="00116AF3" w:rsidP="002D3EBF">
            <w:pPr>
              <w:widowControl w:val="0"/>
              <w:autoSpaceDE w:val="0"/>
              <w:autoSpaceDN w:val="0"/>
              <w:adjustRightInd w:val="0"/>
              <w:ind w:left="57" w:right="57" w:firstLine="0"/>
            </w:pPr>
            <w:r w:rsidRPr="00761653">
              <w:t>Лейкоцитурия</w:t>
            </w:r>
          </w:p>
        </w:tc>
        <w:tc>
          <w:tcPr>
            <w:tcW w:w="6096" w:type="dxa"/>
            <w:tcMar>
              <w:top w:w="100" w:type="nil"/>
              <w:right w:w="100" w:type="nil"/>
            </w:tcMar>
            <w:vAlign w:val="center"/>
          </w:tcPr>
          <w:p w14:paraId="66C38427" w14:textId="77777777" w:rsidR="00116AF3" w:rsidRPr="00761653" w:rsidRDefault="00116AF3" w:rsidP="002D3EBF">
            <w:pPr>
              <w:widowControl w:val="0"/>
              <w:autoSpaceDE w:val="0"/>
              <w:autoSpaceDN w:val="0"/>
              <w:adjustRightInd w:val="0"/>
              <w:ind w:left="57" w:right="57" w:firstLine="0"/>
            </w:pPr>
            <w:r w:rsidRPr="00761653">
              <w:t>Микробиологическое исследование мочи</w:t>
            </w:r>
          </w:p>
        </w:tc>
      </w:tr>
      <w:tr w:rsidR="00116AF3" w:rsidRPr="00265B67" w14:paraId="37119201" w14:textId="77777777" w:rsidTr="002D3EBF">
        <w:trPr>
          <w:trHeight w:val="1016"/>
        </w:trPr>
        <w:tc>
          <w:tcPr>
            <w:tcW w:w="3510" w:type="dxa"/>
            <w:tcMar>
              <w:top w:w="100" w:type="nil"/>
              <w:right w:w="100" w:type="nil"/>
            </w:tcMar>
            <w:vAlign w:val="center"/>
          </w:tcPr>
          <w:p w14:paraId="3D625391" w14:textId="77777777" w:rsidR="00116AF3" w:rsidRPr="00761653" w:rsidRDefault="00116AF3" w:rsidP="002D3EBF">
            <w:pPr>
              <w:widowControl w:val="0"/>
              <w:autoSpaceDE w:val="0"/>
              <w:autoSpaceDN w:val="0"/>
              <w:adjustRightInd w:val="0"/>
              <w:ind w:left="57" w:right="57" w:firstLine="0"/>
            </w:pPr>
            <w:r w:rsidRPr="00761653">
              <w:t>Пневмония</w:t>
            </w:r>
          </w:p>
        </w:tc>
        <w:tc>
          <w:tcPr>
            <w:tcW w:w="6096" w:type="dxa"/>
            <w:tcMar>
              <w:top w:w="100" w:type="nil"/>
              <w:right w:w="100" w:type="nil"/>
            </w:tcMar>
          </w:tcPr>
          <w:p w14:paraId="002CC99B" w14:textId="77777777" w:rsidR="00116AF3" w:rsidRPr="00761653" w:rsidRDefault="00116AF3" w:rsidP="002D3EBF">
            <w:pPr>
              <w:widowControl w:val="0"/>
              <w:autoSpaceDE w:val="0"/>
              <w:autoSpaceDN w:val="0"/>
              <w:adjustRightInd w:val="0"/>
              <w:ind w:left="57" w:right="57" w:firstLine="0"/>
              <w:contextualSpacing/>
            </w:pPr>
            <w:r w:rsidRPr="00761653">
              <w:t>КТВР легких</w:t>
            </w:r>
          </w:p>
          <w:p w14:paraId="513EF050" w14:textId="77777777" w:rsidR="00116AF3" w:rsidRPr="00761653" w:rsidRDefault="00116AF3" w:rsidP="002D3EBF">
            <w:pPr>
              <w:widowControl w:val="0"/>
              <w:autoSpaceDE w:val="0"/>
              <w:autoSpaceDN w:val="0"/>
              <w:adjustRightInd w:val="0"/>
              <w:ind w:left="57" w:right="57" w:firstLine="0"/>
              <w:contextualSpacing/>
            </w:pPr>
            <w:r w:rsidRPr="00761653">
              <w:t>Бронхоальвеолярный лаваж после КТВР легких</w:t>
            </w:r>
          </w:p>
          <w:p w14:paraId="7695FEF5" w14:textId="77777777" w:rsidR="00116AF3" w:rsidRPr="00761653" w:rsidRDefault="00116AF3" w:rsidP="002D3EBF">
            <w:pPr>
              <w:widowControl w:val="0"/>
              <w:autoSpaceDE w:val="0"/>
              <w:autoSpaceDN w:val="0"/>
              <w:adjustRightInd w:val="0"/>
              <w:ind w:left="57" w:right="57" w:firstLine="0"/>
              <w:contextualSpacing/>
              <w:rPr>
                <w:rFonts w:eastAsia="MS Mincho"/>
              </w:rPr>
            </w:pPr>
            <w:r w:rsidRPr="00761653">
              <w:t xml:space="preserve">Полное исследование жидкости БАЛ (микроскопия, микробиологическое исследование на бактерии и грибы, определение галактоманнана, флюоресцентная микроскопия на </w:t>
            </w:r>
            <w:r w:rsidRPr="00761653">
              <w:rPr>
                <w:i/>
                <w:iCs/>
              </w:rPr>
              <w:t xml:space="preserve">P. jirovecii, </w:t>
            </w:r>
            <w:r w:rsidRPr="00761653">
              <w:t xml:space="preserve">определение ДНК вирусов, </w:t>
            </w:r>
            <w:r w:rsidRPr="00761653">
              <w:rPr>
                <w:i/>
                <w:iCs/>
              </w:rPr>
              <w:t>P</w:t>
            </w:r>
            <w:r w:rsidRPr="00761653">
              <w:rPr>
                <w:i/>
                <w:iCs/>
                <w:strike/>
              </w:rPr>
              <w:t>.</w:t>
            </w:r>
            <w:r w:rsidRPr="00761653">
              <w:rPr>
                <w:i/>
                <w:iCs/>
              </w:rPr>
              <w:t xml:space="preserve"> jirovecii</w:t>
            </w:r>
            <w:r w:rsidRPr="00761653">
              <w:t>,</w:t>
            </w:r>
            <w:r w:rsidRPr="00761653">
              <w:rPr>
                <w:i/>
                <w:iCs/>
              </w:rPr>
              <w:t xml:space="preserve"> M. pneumoniae, C. pneumoniae</w:t>
            </w:r>
            <w:r w:rsidRPr="00761653">
              <w:t>)</w:t>
            </w:r>
          </w:p>
          <w:p w14:paraId="7362F9AF" w14:textId="77777777" w:rsidR="00116AF3" w:rsidRPr="00761653" w:rsidRDefault="00116AF3" w:rsidP="002D3EBF">
            <w:pPr>
              <w:widowControl w:val="0"/>
              <w:autoSpaceDE w:val="0"/>
              <w:autoSpaceDN w:val="0"/>
              <w:adjustRightInd w:val="0"/>
              <w:ind w:left="57" w:right="57" w:firstLine="0"/>
              <w:contextualSpacing/>
            </w:pPr>
            <w:r w:rsidRPr="00761653">
              <w:t xml:space="preserve">Исследование крови на антиген </w:t>
            </w:r>
            <w:r w:rsidRPr="00761653">
              <w:rPr>
                <w:i/>
                <w:iCs/>
              </w:rPr>
              <w:t>Aspergillus</w:t>
            </w:r>
          </w:p>
        </w:tc>
      </w:tr>
      <w:tr w:rsidR="00116AF3" w:rsidRPr="00265B67" w14:paraId="76F10D6B" w14:textId="77777777" w:rsidTr="002D3EBF">
        <w:trPr>
          <w:trHeight w:val="360"/>
        </w:trPr>
        <w:tc>
          <w:tcPr>
            <w:tcW w:w="3510" w:type="dxa"/>
            <w:tcMar>
              <w:top w:w="100" w:type="nil"/>
              <w:right w:w="100" w:type="nil"/>
            </w:tcMar>
          </w:tcPr>
          <w:p w14:paraId="381B0BB4" w14:textId="77777777" w:rsidR="00116AF3" w:rsidRPr="00761653" w:rsidRDefault="00116AF3" w:rsidP="002D3EBF">
            <w:pPr>
              <w:widowControl w:val="0"/>
              <w:autoSpaceDE w:val="0"/>
              <w:autoSpaceDN w:val="0"/>
              <w:adjustRightInd w:val="0"/>
              <w:ind w:left="57" w:right="57" w:firstLine="0"/>
            </w:pPr>
            <w:r w:rsidRPr="00761653">
              <w:t>Cимптомы менингита</w:t>
            </w:r>
          </w:p>
          <w:p w14:paraId="009CBBFB" w14:textId="77777777" w:rsidR="00116AF3" w:rsidRPr="00761653" w:rsidRDefault="00116AF3" w:rsidP="002D3EBF">
            <w:pPr>
              <w:widowControl w:val="0"/>
              <w:autoSpaceDE w:val="0"/>
              <w:autoSpaceDN w:val="0"/>
              <w:adjustRightInd w:val="0"/>
              <w:ind w:left="57" w:right="57" w:firstLine="0"/>
              <w:rPr>
                <w:rFonts w:eastAsia="MS Mincho"/>
              </w:rPr>
            </w:pPr>
            <w:r w:rsidRPr="00761653">
              <w:t>«Мозговая» симптоматика на фоне лихорадки и нейтропении</w:t>
            </w:r>
          </w:p>
          <w:p w14:paraId="17E43985" w14:textId="77777777" w:rsidR="00116AF3" w:rsidRPr="00761653" w:rsidRDefault="00116AF3" w:rsidP="002D3EBF">
            <w:pPr>
              <w:widowControl w:val="0"/>
              <w:autoSpaceDE w:val="0"/>
              <w:autoSpaceDN w:val="0"/>
              <w:adjustRightInd w:val="0"/>
              <w:ind w:left="57" w:right="57" w:firstLine="0"/>
            </w:pPr>
            <w:r w:rsidRPr="00761653">
              <w:t>Обнаружение очага (очагов) в головном мозге</w:t>
            </w:r>
          </w:p>
        </w:tc>
        <w:tc>
          <w:tcPr>
            <w:tcW w:w="6096" w:type="dxa"/>
            <w:tcMar>
              <w:top w:w="100" w:type="nil"/>
              <w:right w:w="100" w:type="nil"/>
            </w:tcMar>
            <w:vAlign w:val="center"/>
          </w:tcPr>
          <w:p w14:paraId="297F52AD" w14:textId="77777777" w:rsidR="00116AF3" w:rsidRPr="00761653" w:rsidRDefault="00116AF3" w:rsidP="002D3EBF">
            <w:pPr>
              <w:widowControl w:val="0"/>
              <w:autoSpaceDE w:val="0"/>
              <w:autoSpaceDN w:val="0"/>
              <w:adjustRightInd w:val="0"/>
              <w:ind w:left="57" w:right="57" w:firstLine="0"/>
              <w:contextualSpacing/>
              <w:rPr>
                <w:rFonts w:eastAsia="MS Mincho"/>
              </w:rPr>
            </w:pPr>
            <w:r w:rsidRPr="00761653">
              <w:t>Люмбальная пункция</w:t>
            </w:r>
          </w:p>
          <w:p w14:paraId="14936E09" w14:textId="77777777" w:rsidR="00116AF3" w:rsidRPr="00761653" w:rsidRDefault="00116AF3" w:rsidP="002D3EBF">
            <w:pPr>
              <w:widowControl w:val="0"/>
              <w:autoSpaceDE w:val="0"/>
              <w:autoSpaceDN w:val="0"/>
              <w:adjustRightInd w:val="0"/>
              <w:ind w:left="57" w:right="57" w:firstLine="0"/>
              <w:contextualSpacing/>
            </w:pPr>
            <w:r w:rsidRPr="00761653">
              <w:t xml:space="preserve">Полное исследование СМЖ (см. текст), включая исследование на антиген </w:t>
            </w:r>
            <w:r w:rsidRPr="00761653">
              <w:rPr>
                <w:i/>
                <w:iCs/>
              </w:rPr>
              <w:t>Cryptococcus</w:t>
            </w:r>
            <w:r w:rsidRPr="00761653">
              <w:t xml:space="preserve"> (глюкуроноксиломаннан)</w:t>
            </w:r>
          </w:p>
        </w:tc>
      </w:tr>
      <w:tr w:rsidR="00116AF3" w:rsidRPr="00265B67" w14:paraId="40737608" w14:textId="77777777" w:rsidTr="002D3EBF">
        <w:trPr>
          <w:trHeight w:val="93"/>
        </w:trPr>
        <w:tc>
          <w:tcPr>
            <w:tcW w:w="3510" w:type="dxa"/>
            <w:tcMar>
              <w:top w:w="100" w:type="nil"/>
              <w:right w:w="100" w:type="nil"/>
            </w:tcMar>
            <w:vAlign w:val="center"/>
          </w:tcPr>
          <w:p w14:paraId="189CC8A2" w14:textId="77777777" w:rsidR="00116AF3" w:rsidRPr="00761653" w:rsidRDefault="00116AF3" w:rsidP="002D3EBF">
            <w:pPr>
              <w:widowControl w:val="0"/>
              <w:autoSpaceDE w:val="0"/>
              <w:autoSpaceDN w:val="0"/>
              <w:adjustRightInd w:val="0"/>
              <w:ind w:left="57" w:right="57" w:firstLine="0"/>
            </w:pPr>
            <w:r w:rsidRPr="00761653">
              <w:t>Диарея</w:t>
            </w:r>
          </w:p>
        </w:tc>
        <w:tc>
          <w:tcPr>
            <w:tcW w:w="6096" w:type="dxa"/>
            <w:tcMar>
              <w:top w:w="100" w:type="nil"/>
              <w:right w:w="100" w:type="nil"/>
            </w:tcMar>
          </w:tcPr>
          <w:p w14:paraId="51C9A95F" w14:textId="77777777" w:rsidR="00116AF3" w:rsidRPr="00761653" w:rsidRDefault="00116AF3" w:rsidP="002D3EBF">
            <w:pPr>
              <w:widowControl w:val="0"/>
              <w:autoSpaceDE w:val="0"/>
              <w:autoSpaceDN w:val="0"/>
              <w:adjustRightInd w:val="0"/>
              <w:ind w:left="57" w:right="57" w:firstLine="0"/>
            </w:pPr>
            <w:r w:rsidRPr="00761653">
              <w:t xml:space="preserve">Исследование кала на токсин </w:t>
            </w:r>
            <w:r w:rsidRPr="00761653">
              <w:rPr>
                <w:i/>
                <w:iCs/>
              </w:rPr>
              <w:t>C. difficile</w:t>
            </w:r>
          </w:p>
        </w:tc>
      </w:tr>
      <w:tr w:rsidR="00116AF3" w:rsidRPr="00265B67" w14:paraId="66E17DF9" w14:textId="77777777" w:rsidTr="002D3EBF">
        <w:trPr>
          <w:trHeight w:val="187"/>
        </w:trPr>
        <w:tc>
          <w:tcPr>
            <w:tcW w:w="3510" w:type="dxa"/>
            <w:tcMar>
              <w:top w:w="100" w:type="nil"/>
              <w:right w:w="100" w:type="nil"/>
            </w:tcMar>
            <w:vAlign w:val="center"/>
          </w:tcPr>
          <w:p w14:paraId="2883E68D" w14:textId="77777777" w:rsidR="00116AF3" w:rsidRPr="00761653" w:rsidRDefault="00116AF3" w:rsidP="002D3EBF">
            <w:pPr>
              <w:widowControl w:val="0"/>
              <w:autoSpaceDE w:val="0"/>
              <w:autoSpaceDN w:val="0"/>
              <w:adjustRightInd w:val="0"/>
              <w:ind w:left="57" w:right="57" w:firstLine="0"/>
              <w:contextualSpacing/>
              <w:rPr>
                <w:rFonts w:eastAsia="MS Mincho"/>
              </w:rPr>
            </w:pPr>
            <w:r w:rsidRPr="00761653">
              <w:t>Парапроктит</w:t>
            </w:r>
          </w:p>
          <w:p w14:paraId="67307A4C" w14:textId="77777777" w:rsidR="00116AF3" w:rsidRPr="00761653" w:rsidRDefault="00116AF3" w:rsidP="002D3EBF">
            <w:pPr>
              <w:widowControl w:val="0"/>
              <w:autoSpaceDE w:val="0"/>
              <w:autoSpaceDN w:val="0"/>
              <w:adjustRightInd w:val="0"/>
              <w:ind w:left="57" w:right="57" w:firstLine="0"/>
              <w:contextualSpacing/>
            </w:pPr>
            <w:r w:rsidRPr="00761653">
              <w:t>Трещина в области прямой кишки</w:t>
            </w:r>
          </w:p>
        </w:tc>
        <w:tc>
          <w:tcPr>
            <w:tcW w:w="6096" w:type="dxa"/>
            <w:tcMar>
              <w:top w:w="100" w:type="nil"/>
              <w:right w:w="100" w:type="nil"/>
            </w:tcMar>
            <w:vAlign w:val="center"/>
          </w:tcPr>
          <w:p w14:paraId="49D0B5F6" w14:textId="77777777" w:rsidR="00116AF3" w:rsidRPr="00761653" w:rsidRDefault="00116AF3" w:rsidP="002D3EBF">
            <w:pPr>
              <w:widowControl w:val="0"/>
              <w:autoSpaceDE w:val="0"/>
              <w:autoSpaceDN w:val="0"/>
              <w:adjustRightInd w:val="0"/>
              <w:ind w:left="57" w:right="57" w:firstLine="0"/>
            </w:pPr>
            <w:r w:rsidRPr="00761653">
              <w:t>Мазок со слизистой оболочки прямой кишки</w:t>
            </w:r>
          </w:p>
        </w:tc>
      </w:tr>
      <w:tr w:rsidR="00116AF3" w:rsidRPr="00265B67" w14:paraId="6D4B4C32" w14:textId="77777777" w:rsidTr="002D3EBF">
        <w:trPr>
          <w:trHeight w:val="200"/>
        </w:trPr>
        <w:tc>
          <w:tcPr>
            <w:tcW w:w="3510" w:type="dxa"/>
            <w:tcMar>
              <w:top w:w="100" w:type="nil"/>
              <w:right w:w="100" w:type="nil"/>
            </w:tcMar>
            <w:vAlign w:val="center"/>
          </w:tcPr>
          <w:p w14:paraId="73AAB0F7" w14:textId="77777777" w:rsidR="00116AF3" w:rsidRPr="00761653" w:rsidRDefault="00116AF3" w:rsidP="002D3EBF">
            <w:pPr>
              <w:widowControl w:val="0"/>
              <w:autoSpaceDE w:val="0"/>
              <w:autoSpaceDN w:val="0"/>
              <w:adjustRightInd w:val="0"/>
              <w:ind w:left="57" w:right="57" w:firstLine="0"/>
              <w:contextualSpacing/>
            </w:pPr>
            <w:r w:rsidRPr="00761653">
              <w:t>Образования (инфильтраты) на коже</w:t>
            </w:r>
          </w:p>
        </w:tc>
        <w:tc>
          <w:tcPr>
            <w:tcW w:w="6096" w:type="dxa"/>
            <w:tcMar>
              <w:top w:w="100" w:type="nil"/>
              <w:right w:w="100" w:type="nil"/>
            </w:tcMar>
            <w:vAlign w:val="center"/>
          </w:tcPr>
          <w:p w14:paraId="7653E911" w14:textId="77777777" w:rsidR="00116AF3" w:rsidRPr="00761653" w:rsidRDefault="00116AF3" w:rsidP="002D3EBF">
            <w:pPr>
              <w:widowControl w:val="0"/>
              <w:autoSpaceDE w:val="0"/>
              <w:autoSpaceDN w:val="0"/>
              <w:adjustRightInd w:val="0"/>
              <w:ind w:left="57" w:right="57" w:firstLine="0"/>
              <w:contextualSpacing/>
            </w:pPr>
            <w:r w:rsidRPr="00761653">
              <w:t>Биопсия</w:t>
            </w:r>
          </w:p>
          <w:p w14:paraId="0C211C67" w14:textId="77777777" w:rsidR="00116AF3" w:rsidRPr="00761653" w:rsidRDefault="00116AF3" w:rsidP="002D3EBF">
            <w:pPr>
              <w:widowControl w:val="0"/>
              <w:autoSpaceDE w:val="0"/>
              <w:autoSpaceDN w:val="0"/>
              <w:adjustRightInd w:val="0"/>
              <w:ind w:left="57" w:right="57" w:firstLine="0"/>
              <w:contextualSpacing/>
            </w:pPr>
            <w:r w:rsidRPr="00761653">
              <w:t>Микробиологическое и гистологическое исследование биоптата</w:t>
            </w:r>
          </w:p>
        </w:tc>
      </w:tr>
    </w:tbl>
    <w:p w14:paraId="7CB6FD84" w14:textId="77777777" w:rsidR="00116AF3" w:rsidRDefault="00116AF3" w:rsidP="00116AF3">
      <w:pPr>
        <w:widowControl w:val="0"/>
        <w:tabs>
          <w:tab w:val="left" w:pos="1134"/>
        </w:tabs>
        <w:autoSpaceDE w:val="0"/>
        <w:autoSpaceDN w:val="0"/>
        <w:adjustRightInd w:val="0"/>
        <w:ind w:right="-130"/>
        <w:contextualSpacing/>
        <w:rPr>
          <w:b/>
          <w:bCs/>
        </w:rPr>
      </w:pPr>
    </w:p>
    <w:p w14:paraId="1328ABC3" w14:textId="77777777" w:rsidR="00116AF3" w:rsidRPr="00284D51" w:rsidRDefault="00116AF3" w:rsidP="00116AF3">
      <w:pPr>
        <w:widowControl w:val="0"/>
        <w:autoSpaceDE w:val="0"/>
        <w:autoSpaceDN w:val="0"/>
        <w:adjustRightInd w:val="0"/>
        <w:ind w:right="49"/>
        <w:contextualSpacing/>
        <w:rPr>
          <w:bCs/>
          <w:i/>
          <w:iCs/>
          <w:u w:val="single"/>
        </w:rPr>
      </w:pPr>
      <w:r w:rsidRPr="00284D51">
        <w:rPr>
          <w:bCs/>
          <w:i/>
          <w:iCs/>
          <w:u w:val="single"/>
        </w:rPr>
        <w:t>Показания к назначению антибактериальной терапии первого этапа</w:t>
      </w:r>
    </w:p>
    <w:p w14:paraId="1A522698" w14:textId="77777777" w:rsidR="00116AF3" w:rsidRPr="0076198F" w:rsidRDefault="00116AF3" w:rsidP="00116AF3">
      <w:r w:rsidRPr="005971E1">
        <w:t>В первые сутки, как правило, единственным симптомом ифнекционного осложнения</w:t>
      </w:r>
      <w:r>
        <w:t xml:space="preserve"> </w:t>
      </w:r>
      <w:r w:rsidRPr="0076198F">
        <w:t>бывает лишь повышение температуры</w:t>
      </w:r>
      <w:r>
        <w:t xml:space="preserve"> тела</w:t>
      </w:r>
      <w:r w:rsidRPr="0076198F">
        <w:t xml:space="preserve">,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w:t>
      </w:r>
      <w:r>
        <w:t xml:space="preserve">гематологических пациентов </w:t>
      </w:r>
      <w:r w:rsidRPr="0076198F">
        <w:t>с фебрильной нейтропенией</w:t>
      </w:r>
      <w:r>
        <w:t xml:space="preserve">, особенно из группы риска, куда относятся пациенты с лимфомами (онкогематология, иммунодефицитные состояния) </w:t>
      </w:r>
      <w:r w:rsidRPr="0076198F">
        <w:t xml:space="preserve">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5C9F4506" w14:textId="77777777" w:rsidR="00116AF3" w:rsidRDefault="00116AF3" w:rsidP="00116AF3">
      <w:pPr>
        <w:widowControl w:val="0"/>
        <w:tabs>
          <w:tab w:val="left" w:pos="1134"/>
        </w:tabs>
        <w:autoSpaceDE w:val="0"/>
        <w:autoSpaceDN w:val="0"/>
        <w:adjustRightInd w:val="0"/>
        <w:ind w:right="-130"/>
        <w:contextualSpacing/>
      </w:pPr>
      <w:r>
        <w:rPr>
          <w:bCs/>
        </w:rPr>
        <w:t>Показанием к назначению антибактериальных препаратов является п</w:t>
      </w:r>
      <w:r w:rsidRPr="00761653">
        <w:t xml:space="preserve">овышение температуры ≥38,0°С, сохраняющееся в течение 2 часов и не связанное с введением пирогенных препаратов (например, компонентов крови, факторов роста и др.) </w:t>
      </w:r>
      <w:r w:rsidRPr="008B181D">
        <w:rPr>
          <w:b/>
          <w:i/>
          <w:iCs/>
        </w:rPr>
        <w:t>или</w:t>
      </w:r>
      <w:r w:rsidRPr="00761653">
        <w:rPr>
          <w:b/>
          <w:bCs/>
        </w:rPr>
        <w:t xml:space="preserve"> </w:t>
      </w:r>
      <w:r w:rsidRPr="00761653">
        <w:t xml:space="preserve">наличие очага инфекции (например, пневмония, парапроктит и др.) вне зависимости от показателей температуры. </w:t>
      </w:r>
    </w:p>
    <w:p w14:paraId="6527CCAC" w14:textId="77777777" w:rsidR="00116AF3" w:rsidRPr="00761653" w:rsidRDefault="00116AF3" w:rsidP="00116AF3">
      <w:pPr>
        <w:widowControl w:val="0"/>
        <w:autoSpaceDE w:val="0"/>
        <w:autoSpaceDN w:val="0"/>
        <w:adjustRightInd w:val="0"/>
        <w:ind w:right="-130"/>
        <w:contextualSpacing/>
      </w:pPr>
      <w:r w:rsidRPr="00761653">
        <w:t>При фебрильной нейтропении в 1-й линии назначают внутривенно антибиотик с активностью против грамотрицательных бактерий, включая синегнойную палочку - пиперациллин/тазобактам (4,5 г х 3 раза) или цефоперазон/сульбактам</w:t>
      </w:r>
      <w:r w:rsidRPr="00761653">
        <w:rPr>
          <w:b/>
          <w:bCs/>
        </w:rPr>
        <w:t xml:space="preserve"> (</w:t>
      </w:r>
      <w:r w:rsidRPr="00761653">
        <w:t>4 г х 2 раза). В клиниках с низкой частотой детекции энтеробактерий с продукцией БЛРС допустимо назначение цефепима</w:t>
      </w:r>
      <w:r w:rsidRPr="00761653">
        <w:rPr>
          <w:b/>
          <w:bCs/>
        </w:rPr>
        <w:t xml:space="preserve"> (</w:t>
      </w:r>
      <w:r w:rsidRPr="00761653">
        <w:t>2 г х 2 раза) или цефтазидима</w:t>
      </w:r>
      <w:r w:rsidRPr="00761653">
        <w:rPr>
          <w:b/>
          <w:bCs/>
        </w:rPr>
        <w:t xml:space="preserve"> (</w:t>
      </w:r>
      <w:r w:rsidRPr="00761653">
        <w:t xml:space="preserve">2 г х 3 раза). Препарат выбора для беременных с заболеваниями системы крови – цефепим. При неэффективности и отсутствии информативных микробиологических исследований проводят замену антибиотиков 1й линии на антипсевдомонадный карбапенем (имипенем, меропенем или дорипенем). В 1й линии </w:t>
      </w:r>
      <w:r>
        <w:t xml:space="preserve">терапии </w:t>
      </w:r>
      <w:r w:rsidRPr="00761653">
        <w:t xml:space="preserve">фебрильной нейтропении не назначают цефтриаксон, цефоперазон, фторхинолоны. </w:t>
      </w:r>
    </w:p>
    <w:p w14:paraId="42E3C5FD" w14:textId="77777777" w:rsidR="00116AF3" w:rsidRPr="00761653" w:rsidRDefault="00116AF3" w:rsidP="00116AF3">
      <w:pPr>
        <w:widowControl w:val="0"/>
        <w:autoSpaceDE w:val="0"/>
        <w:autoSpaceDN w:val="0"/>
        <w:adjustRightInd w:val="0"/>
        <w:ind w:right="-220"/>
        <w:contextualSpacing/>
      </w:pPr>
      <w:r w:rsidRPr="00761653">
        <w:t>Показаниями к назначению антипсевдомонадных карбапенемов (имипенема/циластатина, меропенема, дорипенема) в 1-й линии фебрильной нейтропениии являются септический шок; пневмония с дыхательной недостаточностью.</w:t>
      </w:r>
    </w:p>
    <w:p w14:paraId="372F5D24" w14:textId="77777777" w:rsidR="00116AF3" w:rsidRPr="00761653" w:rsidRDefault="00116AF3" w:rsidP="00116AF3">
      <w:pPr>
        <w:widowControl w:val="0"/>
        <w:autoSpaceDE w:val="0"/>
        <w:autoSpaceDN w:val="0"/>
        <w:adjustRightInd w:val="0"/>
        <w:ind w:right="-220"/>
        <w:contextualSpacing/>
      </w:pPr>
      <w:r w:rsidRPr="00761653">
        <w:t xml:space="preserve">Модификацию противомикробной терапии проводят на основании клинических симптомов, инструментальных и микробиологических исследований. У больных с персистирующей фебрильной нейтропенией и отрицательной гемокультурой при модификации учитывают чувствительность грамотрицательных бактерий, колонизирующих слизистые оболочки желудочно-кишечного тракта. При неэффективности карбапенемов и сохранении нейтропении добавляют противогрибковые препараты – эхинокандин (каспофунгин, микафунгин или анидулафунгин), вориконазол, амфотерицин В; орофарингеальном кандидозе и эзофагите - флуконазол. </w:t>
      </w:r>
    </w:p>
    <w:p w14:paraId="2F150CF0" w14:textId="77777777" w:rsidR="00116AF3" w:rsidRDefault="00116AF3" w:rsidP="00116AF3">
      <w:pPr>
        <w:widowControl w:val="0"/>
        <w:autoSpaceDE w:val="0"/>
        <w:autoSpaceDN w:val="0"/>
        <w:adjustRightInd w:val="0"/>
        <w:ind w:right="49"/>
        <w:contextualSpacing/>
        <w:rPr>
          <w:bCs/>
          <w:u w:val="single"/>
        </w:rPr>
      </w:pPr>
    </w:p>
    <w:p w14:paraId="559E2B61" w14:textId="77777777" w:rsidR="00116AF3" w:rsidRPr="00284D51" w:rsidRDefault="00116AF3" w:rsidP="00116AF3">
      <w:pPr>
        <w:widowControl w:val="0"/>
        <w:autoSpaceDE w:val="0"/>
        <w:autoSpaceDN w:val="0"/>
        <w:adjustRightInd w:val="0"/>
        <w:ind w:right="49"/>
        <w:contextualSpacing/>
        <w:rPr>
          <w:bCs/>
          <w:i/>
          <w:iCs/>
          <w:u w:val="single"/>
        </w:rPr>
      </w:pPr>
      <w:r w:rsidRPr="00284D51">
        <w:rPr>
          <w:bCs/>
          <w:i/>
          <w:iCs/>
          <w:u w:val="single"/>
        </w:rPr>
        <w:t>Эмпирическое назначение противогрибковых препаратов</w:t>
      </w:r>
    </w:p>
    <w:p w14:paraId="2FF2FA10" w14:textId="77777777" w:rsidR="00116AF3" w:rsidRPr="00761653" w:rsidRDefault="00116AF3" w:rsidP="00116AF3">
      <w:pPr>
        <w:widowControl w:val="0"/>
        <w:autoSpaceDE w:val="0"/>
        <w:autoSpaceDN w:val="0"/>
        <w:adjustRightInd w:val="0"/>
        <w:ind w:right="-211"/>
        <w:contextualSpacing/>
      </w:pPr>
      <w:r w:rsidRPr="00761653">
        <w:t>Эмпирическое назначение противогрибковых препаратов проводят на 4-7-й дни персистирующей фебрильной нейтропении в группе высокого риска возникновения инвазивных микозов (</w:t>
      </w:r>
      <w:r>
        <w:t>пациенты с</w:t>
      </w:r>
      <w:r w:rsidRPr="00761653">
        <w:t xml:space="preserve"> острым лейкозом, миелодиспластическим синдромом, реципиенты аллогенных ТГСК</w:t>
      </w:r>
      <w:r>
        <w:t>, агрессивными лимфомами, при длительной терапии глюкортикостероидами и др.</w:t>
      </w:r>
      <w:r w:rsidRPr="00761653">
        <w:t>), при условии отсутствия у них других клинических симптомов, а также р</w:t>
      </w:r>
      <w:r>
        <w:t>адиоло</w:t>
      </w:r>
      <w:r w:rsidRPr="00761653">
        <w:t xml:space="preserve">гических и лабораторных данных за иную инфекцию или другой инвазивный микоз. Препарат выбора – каспофунгин (в 1-й день 70 мг, далее по 50 мг внутривенно 1 раз в сутки), микафунгин (100 мг один раз в сутки внутривенно), анидулафунгин (в 1-й день 200 мг, далее по 100 мг 1 раз в сутки, внутривенно); альтернативные – вориконазол (в 1-й день по 6мг/кг внутривенно 2 раза в сутки, в последующие дни по 4 мг/кг внутривенно 2 раза в сутки, с переходом на пероральный прием по 200 мг 2 раза в сутки), амфотерицин В (0,8—1,0 мг/кг внутривенно 1 раз в сутки), липидные формы амфотерицина В (3 мг/кг внутривенно 1 раз в сутки). Как правило, тепература нормализуется в течение первых трех дней применения антимикотиков, и общая </w:t>
      </w:r>
      <w:r w:rsidRPr="00761653">
        <w:rPr>
          <w:bCs/>
        </w:rPr>
        <w:t>длительность применения противогрибковых препаратов</w:t>
      </w:r>
      <w:r w:rsidRPr="00761653">
        <w:t xml:space="preserve"> составляет 10-14 дней.</w:t>
      </w:r>
    </w:p>
    <w:p w14:paraId="176FF8C7" w14:textId="77777777" w:rsidR="00116AF3" w:rsidRDefault="00116AF3" w:rsidP="00116AF3">
      <w:pPr>
        <w:widowControl w:val="0"/>
        <w:autoSpaceDE w:val="0"/>
        <w:autoSpaceDN w:val="0"/>
        <w:adjustRightInd w:val="0"/>
        <w:ind w:right="49"/>
        <w:contextualSpacing/>
        <w:rPr>
          <w:bCs/>
          <w:u w:val="single"/>
        </w:rPr>
      </w:pPr>
    </w:p>
    <w:p w14:paraId="3DA7B047" w14:textId="77777777" w:rsidR="00116AF3" w:rsidRPr="00284D51" w:rsidRDefault="00116AF3" w:rsidP="00116AF3">
      <w:pPr>
        <w:widowControl w:val="0"/>
        <w:autoSpaceDE w:val="0"/>
        <w:autoSpaceDN w:val="0"/>
        <w:adjustRightInd w:val="0"/>
        <w:ind w:right="49"/>
        <w:contextualSpacing/>
        <w:rPr>
          <w:bCs/>
          <w:i/>
          <w:iCs/>
          <w:u w:val="single"/>
        </w:rPr>
      </w:pPr>
      <w:r w:rsidRPr="00284D51">
        <w:rPr>
          <w:bCs/>
          <w:i/>
          <w:iCs/>
          <w:u w:val="single"/>
        </w:rPr>
        <w:t>Превентивная терапия инвазивного микоза</w:t>
      </w:r>
    </w:p>
    <w:p w14:paraId="6522604B" w14:textId="77777777" w:rsidR="00116AF3" w:rsidRPr="00761653" w:rsidRDefault="00116AF3" w:rsidP="00116AF3">
      <w:pPr>
        <w:widowControl w:val="0"/>
        <w:autoSpaceDE w:val="0"/>
        <w:autoSpaceDN w:val="0"/>
        <w:adjustRightInd w:val="0"/>
        <w:ind w:right="-211"/>
        <w:contextualSpacing/>
      </w:pPr>
      <w:r w:rsidRPr="00761653">
        <w:rPr>
          <w:bCs/>
        </w:rPr>
        <w:t xml:space="preserve">Показаниями </w:t>
      </w:r>
      <w:r w:rsidRPr="00761653">
        <w:t>к превентивному назначению противогрибковых препаратов являются пневмония с р</w:t>
      </w:r>
      <w:r>
        <w:t>адио</w:t>
      </w:r>
      <w:r w:rsidRPr="00761653">
        <w:t>логическими признаками</w:t>
      </w:r>
      <w:r>
        <w:t>,</w:t>
      </w:r>
      <w:r w:rsidRPr="00761653">
        <w:t xml:space="preserve"> нехарактерными для инвазивного аспергиллеза, которая сохраняется или прогрессирует на фоне применения антибиотиков у </w:t>
      </w:r>
      <w:r>
        <w:t>пациентов</w:t>
      </w:r>
      <w:r w:rsidRPr="00761653">
        <w:t xml:space="preserve"> с факторами риска возникновения инвазивного аспергиллеза (нейтропения от 10 дней и более) или </w:t>
      </w:r>
      <w:r>
        <w:t xml:space="preserve">при </w:t>
      </w:r>
      <w:r w:rsidRPr="00761653">
        <w:t>положительн</w:t>
      </w:r>
      <w:r>
        <w:t>ом</w:t>
      </w:r>
      <w:r w:rsidRPr="00761653">
        <w:t xml:space="preserve"> результат</w:t>
      </w:r>
      <w:r>
        <w:t>е</w:t>
      </w:r>
      <w:r w:rsidRPr="00761653">
        <w:t xml:space="preserve"> определения антигена </w:t>
      </w:r>
      <w:r w:rsidRPr="00761653">
        <w:rPr>
          <w:i/>
          <w:iCs/>
        </w:rPr>
        <w:t xml:space="preserve">Aspergillus </w:t>
      </w:r>
      <w:r w:rsidRPr="00761653">
        <w:t xml:space="preserve">spp. (галактоманнан) в крови в отсутствие пневмонии. Превентивное назначение противогрибковых препаратов проводят </w:t>
      </w:r>
      <w:r>
        <w:t>пациентам</w:t>
      </w:r>
      <w:r w:rsidRPr="00761653">
        <w:t>, входящим в группу высокого риска возникновения инвазивного аспергиллеза (острый лейкоз, миелодиспластический синдром, апластическая анемия, реципиенты аллогенных СГК).</w:t>
      </w:r>
    </w:p>
    <w:p w14:paraId="72D5088A" w14:textId="77777777" w:rsidR="00116AF3" w:rsidRPr="00761653" w:rsidRDefault="00116AF3" w:rsidP="00116AF3">
      <w:pPr>
        <w:widowControl w:val="0"/>
        <w:autoSpaceDE w:val="0"/>
        <w:autoSpaceDN w:val="0"/>
        <w:adjustRightInd w:val="0"/>
        <w:ind w:right="-211"/>
        <w:contextualSpacing/>
      </w:pPr>
      <w:r w:rsidRPr="00761653">
        <w:rPr>
          <w:bCs/>
        </w:rPr>
        <w:t>Лечение включает назначение в</w:t>
      </w:r>
      <w:r w:rsidRPr="00761653">
        <w:t>ориконазола, в первый день по 6 мг/кг внутривенно 2 раза в сутки, в последующие дни по 4 мг/кг внутривенно 2 раза в сутки, с переходом на пероральный прием по 200 мг 2 раза в сутки.</w:t>
      </w:r>
    </w:p>
    <w:p w14:paraId="71B59A87" w14:textId="77777777" w:rsidR="00116AF3" w:rsidRDefault="00116AF3" w:rsidP="00116AF3">
      <w:pPr>
        <w:widowControl w:val="0"/>
        <w:tabs>
          <w:tab w:val="left" w:pos="1134"/>
        </w:tabs>
        <w:autoSpaceDE w:val="0"/>
        <w:autoSpaceDN w:val="0"/>
        <w:adjustRightInd w:val="0"/>
        <w:ind w:right="49"/>
        <w:contextualSpacing/>
        <w:rPr>
          <w:b/>
        </w:rPr>
      </w:pPr>
    </w:p>
    <w:p w14:paraId="5EF62BBF" w14:textId="77777777" w:rsidR="00116AF3" w:rsidRPr="00284D51" w:rsidRDefault="00116AF3" w:rsidP="00116AF3">
      <w:pPr>
        <w:widowControl w:val="0"/>
        <w:autoSpaceDE w:val="0"/>
        <w:autoSpaceDN w:val="0"/>
        <w:adjustRightInd w:val="0"/>
        <w:ind w:right="49"/>
        <w:contextualSpacing/>
        <w:rPr>
          <w:bCs/>
          <w:i/>
          <w:iCs/>
          <w:u w:val="single"/>
        </w:rPr>
      </w:pPr>
      <w:r w:rsidRPr="00284D51">
        <w:rPr>
          <w:bCs/>
          <w:i/>
          <w:iCs/>
          <w:u w:val="single"/>
        </w:rPr>
        <w:t>Лечение микробиологически подтвержденных инфекций</w:t>
      </w:r>
    </w:p>
    <w:p w14:paraId="24F91E39" w14:textId="77777777" w:rsidR="00116AF3" w:rsidRPr="00761653" w:rsidRDefault="00116AF3" w:rsidP="00116AF3">
      <w:pPr>
        <w:widowControl w:val="0"/>
        <w:tabs>
          <w:tab w:val="left" w:pos="1134"/>
        </w:tabs>
        <w:autoSpaceDE w:val="0"/>
        <w:autoSpaceDN w:val="0"/>
        <w:adjustRightInd w:val="0"/>
        <w:ind w:right="49"/>
        <w:contextualSpacing/>
        <w:rPr>
          <w:b/>
        </w:rPr>
      </w:pPr>
      <w:r w:rsidRPr="00761653">
        <w:rPr>
          <w:b/>
        </w:rPr>
        <w:t>Грамотрицательные возбудители</w:t>
      </w:r>
    </w:p>
    <w:p w14:paraId="04093066" w14:textId="77777777" w:rsidR="00116AF3" w:rsidRPr="00284D51" w:rsidRDefault="00116AF3" w:rsidP="00116AF3">
      <w:pPr>
        <w:widowControl w:val="0"/>
        <w:autoSpaceDE w:val="0"/>
        <w:autoSpaceDN w:val="0"/>
        <w:adjustRightInd w:val="0"/>
        <w:ind w:right="49"/>
        <w:contextualSpacing/>
        <w:rPr>
          <w:bCs/>
          <w:i/>
          <w:iCs/>
        </w:rPr>
      </w:pPr>
      <w:r w:rsidRPr="00284D51">
        <w:rPr>
          <w:bCs/>
          <w:i/>
          <w:iCs/>
        </w:rPr>
        <w:t>Энтеробактерии с продукцией БЛРС, Enterobacter spp</w:t>
      </w:r>
    </w:p>
    <w:p w14:paraId="6F927BAA" w14:textId="77777777" w:rsidR="00116AF3" w:rsidRPr="00761653" w:rsidRDefault="00116AF3" w:rsidP="00116AF3">
      <w:pPr>
        <w:widowControl w:val="0"/>
        <w:autoSpaceDE w:val="0"/>
        <w:autoSpaceDN w:val="0"/>
        <w:adjustRightInd w:val="0"/>
        <w:ind w:right="49"/>
        <w:contextualSpacing/>
      </w:pPr>
      <w:r w:rsidRPr="00761653">
        <w:t xml:space="preserve">Препарат выбора – антипсевдомонадный карбапенем (имипенем, меропенем или дорипенем). вне нейтропениии, особенно при инфекции мочевыводящих путей, может быть использован эртапенем. Назначение карбапенемов в стандартных дозах. </w:t>
      </w:r>
    </w:p>
    <w:p w14:paraId="619F14F4" w14:textId="77777777" w:rsidR="00116AF3" w:rsidRPr="00284D51" w:rsidRDefault="00116AF3" w:rsidP="00116AF3">
      <w:pPr>
        <w:widowControl w:val="0"/>
        <w:autoSpaceDE w:val="0"/>
        <w:autoSpaceDN w:val="0"/>
        <w:adjustRightInd w:val="0"/>
        <w:ind w:right="49"/>
        <w:contextualSpacing/>
        <w:rPr>
          <w:bCs/>
          <w:i/>
          <w:iCs/>
        </w:rPr>
      </w:pPr>
      <w:r w:rsidRPr="00284D51">
        <w:rPr>
          <w:bCs/>
          <w:i/>
          <w:iCs/>
        </w:rPr>
        <w:t xml:space="preserve">Энтеробактерии с продукцией карбапенемаз </w:t>
      </w:r>
    </w:p>
    <w:p w14:paraId="2EF3B992" w14:textId="77777777" w:rsidR="00116AF3" w:rsidRPr="00761653" w:rsidRDefault="00116AF3" w:rsidP="00116AF3">
      <w:pPr>
        <w:widowControl w:val="0"/>
        <w:autoSpaceDE w:val="0"/>
        <w:autoSpaceDN w:val="0"/>
        <w:adjustRightInd w:val="0"/>
        <w:ind w:right="49"/>
        <w:contextualSpacing/>
      </w:pPr>
      <w:r w:rsidRPr="00761653">
        <w:t>Лечение проводят сочетанием антибиотиков согласно чувствителньости. Препарат выбора при детекции карбапенемаз групп KPC, OXA-48 - цефтазидим-авибактам (2,5 г каждые 8 часов, введение в течение 2 часов), при детекции металлоферментов (NDM) – сочетание цефтазидима-авибактама с азтреонамом (по 2 г 3 раза в сутки). Препараты, используемые в лечении инфекций, вызванных карбапенемазопродуцирующими бактериями представлены в табл</w:t>
      </w:r>
      <w:r>
        <w:t>ице 2.</w:t>
      </w:r>
      <w:r w:rsidRPr="00761653">
        <w:t xml:space="preserve"> Тигециклин имеет низкие концентрации в крови и в моче, проявляет бактериостатическое действие, не относится к препаратам выбора при инфекциях кровотока. При инфекциях кровотока назначают тигециклин только при отсутствии других опций в лечении.</w:t>
      </w:r>
    </w:p>
    <w:p w14:paraId="5722E337" w14:textId="77777777" w:rsidR="00116AF3" w:rsidRDefault="00116AF3" w:rsidP="00116AF3"/>
    <w:p w14:paraId="70739243" w14:textId="77777777" w:rsidR="00116AF3" w:rsidRPr="00761653" w:rsidRDefault="00116AF3" w:rsidP="00116AF3">
      <w:r w:rsidRPr="00761653">
        <w:t>Таблица 2. Дозы антибиотиков</w:t>
      </w:r>
      <w:r>
        <w:t>,</w:t>
      </w:r>
      <w:r w:rsidRPr="00761653">
        <w:t xml:space="preserve"> рекомендуемые для лечения инфекций, вызванных энтеробактериями с продукцией карбапенемаз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116AF3" w:rsidRPr="00761653" w14:paraId="76CF7F07" w14:textId="77777777" w:rsidTr="002D3EBF">
        <w:trPr>
          <w:trHeight w:val="555"/>
        </w:trPr>
        <w:tc>
          <w:tcPr>
            <w:tcW w:w="3227" w:type="dxa"/>
            <w:vAlign w:val="center"/>
          </w:tcPr>
          <w:p w14:paraId="1CBF1A04" w14:textId="77777777" w:rsidR="00116AF3" w:rsidRPr="00761653" w:rsidRDefault="00116AF3" w:rsidP="002D3EBF">
            <w:pPr>
              <w:ind w:left="57" w:right="57" w:firstLine="0"/>
              <w:jc w:val="center"/>
              <w:rPr>
                <w:lang w:val="en-US"/>
              </w:rPr>
            </w:pPr>
            <w:r w:rsidRPr="00761653">
              <w:t>Препарат</w:t>
            </w:r>
          </w:p>
        </w:tc>
        <w:tc>
          <w:tcPr>
            <w:tcW w:w="6520" w:type="dxa"/>
            <w:vAlign w:val="center"/>
          </w:tcPr>
          <w:p w14:paraId="6A55C0BA" w14:textId="77777777" w:rsidR="00116AF3" w:rsidRPr="00761653" w:rsidRDefault="00116AF3" w:rsidP="002D3EBF">
            <w:pPr>
              <w:ind w:left="57" w:right="57" w:firstLine="0"/>
              <w:jc w:val="center"/>
              <w:rPr>
                <w:lang w:val="en-US"/>
              </w:rPr>
            </w:pPr>
            <w:r w:rsidRPr="00761653">
              <w:t>Доза</w:t>
            </w:r>
          </w:p>
        </w:tc>
      </w:tr>
      <w:tr w:rsidR="00116AF3" w:rsidRPr="00265B67" w14:paraId="33FE01BB" w14:textId="77777777" w:rsidTr="002D3EBF">
        <w:trPr>
          <w:trHeight w:val="421"/>
        </w:trPr>
        <w:tc>
          <w:tcPr>
            <w:tcW w:w="3227" w:type="dxa"/>
          </w:tcPr>
          <w:p w14:paraId="1149191F" w14:textId="77777777" w:rsidR="00116AF3" w:rsidRPr="00761653" w:rsidRDefault="00116AF3" w:rsidP="002D3EBF">
            <w:pPr>
              <w:ind w:left="57" w:right="57" w:firstLine="0"/>
            </w:pPr>
            <w:r w:rsidRPr="00761653">
              <w:t>Цефтазидим-авибактам</w:t>
            </w:r>
          </w:p>
        </w:tc>
        <w:tc>
          <w:tcPr>
            <w:tcW w:w="6520" w:type="dxa"/>
          </w:tcPr>
          <w:p w14:paraId="3C556B31" w14:textId="77777777" w:rsidR="00116AF3" w:rsidRPr="00761653" w:rsidRDefault="00116AF3" w:rsidP="002D3EBF">
            <w:pPr>
              <w:ind w:left="57" w:right="57" w:firstLine="0"/>
            </w:pPr>
            <w:r w:rsidRPr="00761653">
              <w:t>2,5 г каждые 8 часов, длительность инфузии 2 часа</w:t>
            </w:r>
          </w:p>
        </w:tc>
      </w:tr>
      <w:tr w:rsidR="00116AF3" w:rsidRPr="00975FC1" w14:paraId="6AEA7628" w14:textId="77777777" w:rsidTr="002D3EBF">
        <w:trPr>
          <w:trHeight w:val="825"/>
        </w:trPr>
        <w:tc>
          <w:tcPr>
            <w:tcW w:w="3227" w:type="dxa"/>
          </w:tcPr>
          <w:p w14:paraId="32952EFD" w14:textId="77777777" w:rsidR="00116AF3" w:rsidRPr="00761653" w:rsidRDefault="00116AF3" w:rsidP="002D3EBF">
            <w:pPr>
              <w:ind w:left="57" w:right="57" w:firstLine="0"/>
              <w:rPr>
                <w:lang w:val="en-US"/>
              </w:rPr>
            </w:pPr>
            <w:r w:rsidRPr="00761653">
              <w:t>Меропенем</w:t>
            </w:r>
          </w:p>
        </w:tc>
        <w:tc>
          <w:tcPr>
            <w:tcW w:w="6520" w:type="dxa"/>
          </w:tcPr>
          <w:p w14:paraId="20386166" w14:textId="77777777" w:rsidR="00116AF3" w:rsidRPr="00761653" w:rsidRDefault="00116AF3" w:rsidP="002D3EBF">
            <w:pPr>
              <w:ind w:left="57" w:right="57" w:firstLine="0"/>
            </w:pPr>
            <w:r w:rsidRPr="00761653">
              <w:t xml:space="preserve">2 г каждые 8 часов </w:t>
            </w:r>
          </w:p>
          <w:p w14:paraId="2DFD5674" w14:textId="77777777" w:rsidR="00116AF3" w:rsidRPr="00761653" w:rsidRDefault="00116AF3" w:rsidP="002D3EBF">
            <w:pPr>
              <w:ind w:left="57" w:right="57" w:firstLine="0"/>
            </w:pPr>
            <w:r w:rsidRPr="00761653">
              <w:t>пролонгированная инфузия в течение 3х часов</w:t>
            </w:r>
          </w:p>
        </w:tc>
      </w:tr>
      <w:tr w:rsidR="00116AF3" w:rsidRPr="00761653" w14:paraId="41BD9B08" w14:textId="77777777" w:rsidTr="002D3EBF">
        <w:trPr>
          <w:trHeight w:val="270"/>
        </w:trPr>
        <w:tc>
          <w:tcPr>
            <w:tcW w:w="3227" w:type="dxa"/>
          </w:tcPr>
          <w:p w14:paraId="3FC3CA74" w14:textId="77777777" w:rsidR="00116AF3" w:rsidRPr="00761653" w:rsidRDefault="00116AF3" w:rsidP="002D3EBF">
            <w:pPr>
              <w:ind w:left="57" w:right="57" w:firstLine="0"/>
              <w:rPr>
                <w:lang w:val="en-US"/>
              </w:rPr>
            </w:pPr>
            <w:r w:rsidRPr="00761653">
              <w:t>Имипенем</w:t>
            </w:r>
          </w:p>
        </w:tc>
        <w:tc>
          <w:tcPr>
            <w:tcW w:w="6520" w:type="dxa"/>
          </w:tcPr>
          <w:p w14:paraId="553A8999" w14:textId="77777777" w:rsidR="00116AF3" w:rsidRPr="00761653" w:rsidRDefault="00116AF3" w:rsidP="002D3EBF">
            <w:pPr>
              <w:ind w:left="57" w:right="57" w:firstLine="0"/>
            </w:pPr>
            <w:r w:rsidRPr="00761653">
              <w:t>1 г каждые 8 часов</w:t>
            </w:r>
          </w:p>
        </w:tc>
      </w:tr>
      <w:tr w:rsidR="00116AF3" w:rsidRPr="00975FC1" w14:paraId="04BA7141" w14:textId="77777777" w:rsidTr="002D3EBF">
        <w:tc>
          <w:tcPr>
            <w:tcW w:w="3227" w:type="dxa"/>
          </w:tcPr>
          <w:p w14:paraId="21F163B1" w14:textId="77777777" w:rsidR="00116AF3" w:rsidRPr="00761653" w:rsidRDefault="00116AF3" w:rsidP="002D3EBF">
            <w:pPr>
              <w:ind w:left="57" w:right="57" w:firstLine="0"/>
              <w:rPr>
                <w:lang w:val="en-US"/>
              </w:rPr>
            </w:pPr>
            <w:r w:rsidRPr="00761653">
              <w:t>Дорипенем</w:t>
            </w:r>
          </w:p>
        </w:tc>
        <w:tc>
          <w:tcPr>
            <w:tcW w:w="6520" w:type="dxa"/>
          </w:tcPr>
          <w:p w14:paraId="448A325A" w14:textId="77777777" w:rsidR="00116AF3" w:rsidRPr="00761653" w:rsidRDefault="00116AF3" w:rsidP="002D3EBF">
            <w:pPr>
              <w:ind w:left="57" w:right="57" w:firstLine="0"/>
            </w:pPr>
            <w:r w:rsidRPr="00761653">
              <w:t>1 г каждые 8 часов, продленная инфузия (4 часа)</w:t>
            </w:r>
          </w:p>
        </w:tc>
      </w:tr>
      <w:tr w:rsidR="00116AF3" w:rsidRPr="00265B67" w14:paraId="6BC59E37" w14:textId="77777777" w:rsidTr="002D3EBF">
        <w:tc>
          <w:tcPr>
            <w:tcW w:w="3227" w:type="dxa"/>
          </w:tcPr>
          <w:p w14:paraId="7F9773D2" w14:textId="77777777" w:rsidR="00116AF3" w:rsidRPr="00761653" w:rsidRDefault="00116AF3" w:rsidP="002D3EBF">
            <w:pPr>
              <w:ind w:left="57" w:right="57" w:firstLine="0"/>
              <w:rPr>
                <w:lang w:val="en-US"/>
              </w:rPr>
            </w:pPr>
            <w:r w:rsidRPr="00761653">
              <w:t>Эртапенем</w:t>
            </w:r>
          </w:p>
        </w:tc>
        <w:tc>
          <w:tcPr>
            <w:tcW w:w="6520" w:type="dxa"/>
          </w:tcPr>
          <w:p w14:paraId="70433BBE" w14:textId="77777777" w:rsidR="00116AF3" w:rsidRPr="00761653" w:rsidRDefault="00116AF3" w:rsidP="002D3EBF">
            <w:pPr>
              <w:ind w:left="57" w:right="57" w:firstLine="0"/>
            </w:pPr>
            <w:r w:rsidRPr="00761653">
              <w:t>1 г каждые 24 часа или 1г каждые 12 час</w:t>
            </w:r>
          </w:p>
          <w:p w14:paraId="5E57DCFC" w14:textId="77777777" w:rsidR="00116AF3" w:rsidRPr="00761653" w:rsidRDefault="00116AF3" w:rsidP="002D3EBF">
            <w:pPr>
              <w:ind w:left="57" w:right="57" w:firstLine="0"/>
            </w:pPr>
            <w:r w:rsidRPr="00761653">
              <w:t>Используют в режиме “два карбапенема” при отсутствии других опций</w:t>
            </w:r>
          </w:p>
        </w:tc>
      </w:tr>
      <w:tr w:rsidR="00116AF3" w:rsidRPr="00975FC1" w14:paraId="6F6A2E40" w14:textId="77777777" w:rsidTr="002D3EBF">
        <w:tc>
          <w:tcPr>
            <w:tcW w:w="3227" w:type="dxa"/>
          </w:tcPr>
          <w:p w14:paraId="175388B0" w14:textId="77777777" w:rsidR="00116AF3" w:rsidRPr="00761653" w:rsidRDefault="00116AF3" w:rsidP="002D3EBF">
            <w:pPr>
              <w:ind w:left="57" w:right="57" w:firstLine="0"/>
            </w:pPr>
            <w:r w:rsidRPr="00761653">
              <w:t>Колистин</w:t>
            </w:r>
          </w:p>
        </w:tc>
        <w:tc>
          <w:tcPr>
            <w:tcW w:w="6520" w:type="dxa"/>
          </w:tcPr>
          <w:p w14:paraId="7AAF8035" w14:textId="77777777" w:rsidR="00116AF3" w:rsidRPr="00761653" w:rsidRDefault="00116AF3" w:rsidP="002D3EBF">
            <w:pPr>
              <w:ind w:left="57" w:right="57" w:firstLine="0"/>
            </w:pPr>
            <w:r w:rsidRPr="00761653">
              <w:t>Нагрузочная доза 9 млн МЕ, в первый день, однократно, далее по 4,5 млн МЕ</w:t>
            </w:r>
            <w:r w:rsidRPr="00761653">
              <w:rPr>
                <w:color w:val="4D5156"/>
                <w:shd w:val="clear" w:color="auto" w:fill="FFFFFF"/>
              </w:rPr>
              <w:t xml:space="preserve"> </w:t>
            </w:r>
            <w:r w:rsidRPr="00761653">
              <w:t xml:space="preserve">каждые 12 час </w:t>
            </w:r>
          </w:p>
          <w:p w14:paraId="39D65AE7" w14:textId="77777777" w:rsidR="00116AF3" w:rsidRPr="00761653" w:rsidRDefault="00116AF3" w:rsidP="002D3EBF">
            <w:pPr>
              <w:ind w:left="57" w:right="57" w:firstLine="0"/>
            </w:pPr>
            <w:r w:rsidRPr="00761653">
              <w:t>Ингаляции 1-3 млн МЕ каждые 8 часов</w:t>
            </w:r>
          </w:p>
        </w:tc>
      </w:tr>
      <w:tr w:rsidR="00116AF3" w:rsidRPr="00265B67" w14:paraId="3CAE284C" w14:textId="77777777" w:rsidTr="002D3EBF">
        <w:tc>
          <w:tcPr>
            <w:tcW w:w="3227" w:type="dxa"/>
          </w:tcPr>
          <w:p w14:paraId="577D4163" w14:textId="77777777" w:rsidR="00116AF3" w:rsidRPr="00761653" w:rsidRDefault="00116AF3" w:rsidP="002D3EBF">
            <w:pPr>
              <w:ind w:left="57" w:right="57" w:firstLine="0"/>
            </w:pPr>
            <w:r w:rsidRPr="00761653">
              <w:t>Полимиксин В</w:t>
            </w:r>
          </w:p>
        </w:tc>
        <w:tc>
          <w:tcPr>
            <w:tcW w:w="6520" w:type="dxa"/>
          </w:tcPr>
          <w:p w14:paraId="7B4261C8" w14:textId="77777777" w:rsidR="00116AF3" w:rsidRPr="00761653" w:rsidRDefault="00116AF3" w:rsidP="002D3EBF">
            <w:pPr>
              <w:ind w:left="57" w:right="57" w:firstLine="0"/>
            </w:pPr>
            <w:r w:rsidRPr="00761653">
              <w:t xml:space="preserve">Нагрузочная доза 2-2,5 мг/кг, далее 1,25-1,5 мг/кг каждые 12 час </w:t>
            </w:r>
          </w:p>
        </w:tc>
      </w:tr>
      <w:tr w:rsidR="00116AF3" w:rsidRPr="00265B67" w14:paraId="5B9447FA" w14:textId="77777777" w:rsidTr="002D3EBF">
        <w:tc>
          <w:tcPr>
            <w:tcW w:w="3227" w:type="dxa"/>
          </w:tcPr>
          <w:p w14:paraId="004CC228" w14:textId="77777777" w:rsidR="00116AF3" w:rsidRPr="00761653" w:rsidRDefault="00116AF3" w:rsidP="002D3EBF">
            <w:pPr>
              <w:ind w:left="57" w:right="57" w:firstLine="0"/>
            </w:pPr>
            <w:r w:rsidRPr="00761653">
              <w:t>Тигециклин</w:t>
            </w:r>
          </w:p>
        </w:tc>
        <w:tc>
          <w:tcPr>
            <w:tcW w:w="6520" w:type="dxa"/>
          </w:tcPr>
          <w:p w14:paraId="1BC12424" w14:textId="77777777" w:rsidR="00116AF3" w:rsidRPr="00761653" w:rsidRDefault="00116AF3" w:rsidP="002D3EBF">
            <w:pPr>
              <w:ind w:left="57" w:right="57" w:firstLine="0"/>
            </w:pPr>
            <w:r w:rsidRPr="00761653">
              <w:t>Первая доза 100 мг, далее каждые 12 часов по 50 мг</w:t>
            </w:r>
          </w:p>
        </w:tc>
      </w:tr>
      <w:tr w:rsidR="00116AF3" w:rsidRPr="00265B67" w14:paraId="1E29E09D" w14:textId="77777777" w:rsidTr="002D3EBF">
        <w:tc>
          <w:tcPr>
            <w:tcW w:w="3227" w:type="dxa"/>
          </w:tcPr>
          <w:p w14:paraId="629A344F" w14:textId="77777777" w:rsidR="00116AF3" w:rsidRPr="00761653" w:rsidRDefault="00116AF3" w:rsidP="002D3EBF">
            <w:pPr>
              <w:ind w:left="57" w:right="57" w:firstLine="0"/>
              <w:rPr>
                <w:lang w:val="en-US"/>
              </w:rPr>
            </w:pPr>
            <w:r w:rsidRPr="00761653">
              <w:t>Гентамицин</w:t>
            </w:r>
            <w:r w:rsidRPr="00761653">
              <w:rPr>
                <w:lang w:val="en-US"/>
              </w:rPr>
              <w:t xml:space="preserve">, </w:t>
            </w:r>
          </w:p>
          <w:p w14:paraId="50D5A984" w14:textId="77777777" w:rsidR="00116AF3" w:rsidRPr="00761653" w:rsidRDefault="00116AF3" w:rsidP="002D3EBF">
            <w:pPr>
              <w:ind w:left="57" w:right="57" w:firstLine="0"/>
              <w:rPr>
                <w:lang w:val="en-US"/>
              </w:rPr>
            </w:pPr>
            <w:r w:rsidRPr="00761653">
              <w:t>тобрамицин</w:t>
            </w:r>
          </w:p>
        </w:tc>
        <w:tc>
          <w:tcPr>
            <w:tcW w:w="6520" w:type="dxa"/>
          </w:tcPr>
          <w:p w14:paraId="2FD51F98" w14:textId="77777777" w:rsidR="00116AF3" w:rsidRPr="00761653" w:rsidRDefault="00116AF3" w:rsidP="002D3EBF">
            <w:pPr>
              <w:ind w:left="57" w:right="57" w:firstLine="0"/>
            </w:pPr>
            <w:r w:rsidRPr="00761653">
              <w:t>5-7 мг/кг/сутки, введение в течение 1 часа</w:t>
            </w:r>
          </w:p>
        </w:tc>
      </w:tr>
      <w:tr w:rsidR="00116AF3" w:rsidRPr="00265B67" w14:paraId="3BD0FE91" w14:textId="77777777" w:rsidTr="002D3EBF">
        <w:tc>
          <w:tcPr>
            <w:tcW w:w="3227" w:type="dxa"/>
          </w:tcPr>
          <w:p w14:paraId="479AAB12" w14:textId="77777777" w:rsidR="00116AF3" w:rsidRPr="00761653" w:rsidRDefault="00116AF3" w:rsidP="002D3EBF">
            <w:pPr>
              <w:ind w:left="57" w:right="57" w:firstLine="0"/>
              <w:rPr>
                <w:lang w:val="en-US"/>
              </w:rPr>
            </w:pPr>
            <w:r w:rsidRPr="00761653">
              <w:t>Амикацин</w:t>
            </w:r>
          </w:p>
        </w:tc>
        <w:tc>
          <w:tcPr>
            <w:tcW w:w="6520" w:type="dxa"/>
          </w:tcPr>
          <w:p w14:paraId="13A1A8AF" w14:textId="77777777" w:rsidR="00116AF3" w:rsidRPr="00761653" w:rsidRDefault="00116AF3" w:rsidP="002D3EBF">
            <w:pPr>
              <w:ind w:left="57" w:right="57" w:firstLine="0"/>
            </w:pPr>
            <w:r w:rsidRPr="00761653">
              <w:t>15-20 мг/кг/сутки, введение в течение 1 часа</w:t>
            </w:r>
          </w:p>
        </w:tc>
      </w:tr>
      <w:tr w:rsidR="00116AF3" w:rsidRPr="00265B67" w14:paraId="7946F69A" w14:textId="77777777" w:rsidTr="002D3EBF">
        <w:tc>
          <w:tcPr>
            <w:tcW w:w="3227" w:type="dxa"/>
          </w:tcPr>
          <w:p w14:paraId="5BC2D4F8" w14:textId="77777777" w:rsidR="00116AF3" w:rsidRPr="00761653" w:rsidRDefault="00116AF3" w:rsidP="002D3EBF">
            <w:pPr>
              <w:ind w:left="57" w:right="57" w:firstLine="0"/>
            </w:pPr>
            <w:r w:rsidRPr="00761653">
              <w:t>Фосфомицин</w:t>
            </w:r>
          </w:p>
        </w:tc>
        <w:tc>
          <w:tcPr>
            <w:tcW w:w="6520" w:type="dxa"/>
          </w:tcPr>
          <w:p w14:paraId="5C711532" w14:textId="77777777" w:rsidR="00116AF3" w:rsidRPr="00761653" w:rsidRDefault="00116AF3" w:rsidP="002D3EBF">
            <w:pPr>
              <w:ind w:left="57" w:right="57" w:firstLine="0"/>
            </w:pPr>
            <w:r w:rsidRPr="00761653">
              <w:t>По 4 г каждые 6 час или по 8 г каждые 8 час (суммарно 16-24 г)</w:t>
            </w:r>
          </w:p>
        </w:tc>
      </w:tr>
      <w:tr w:rsidR="00116AF3" w:rsidRPr="00761653" w14:paraId="056799E0" w14:textId="77777777" w:rsidTr="002D3EBF">
        <w:tc>
          <w:tcPr>
            <w:tcW w:w="3227" w:type="dxa"/>
          </w:tcPr>
          <w:p w14:paraId="326F712D" w14:textId="77777777" w:rsidR="00116AF3" w:rsidRPr="00761653" w:rsidRDefault="00116AF3" w:rsidP="002D3EBF">
            <w:pPr>
              <w:ind w:left="57" w:right="57" w:firstLine="0"/>
            </w:pPr>
            <w:r w:rsidRPr="00761653">
              <w:t>Азтреонам</w:t>
            </w:r>
          </w:p>
        </w:tc>
        <w:tc>
          <w:tcPr>
            <w:tcW w:w="6520" w:type="dxa"/>
          </w:tcPr>
          <w:p w14:paraId="78558F4E" w14:textId="77777777" w:rsidR="00116AF3" w:rsidRPr="00761653" w:rsidRDefault="00116AF3" w:rsidP="002D3EBF">
            <w:pPr>
              <w:ind w:left="57" w:right="57" w:firstLine="0"/>
            </w:pPr>
            <w:r w:rsidRPr="00761653">
              <w:t>2 г каждые 8 часов</w:t>
            </w:r>
          </w:p>
        </w:tc>
      </w:tr>
    </w:tbl>
    <w:p w14:paraId="7286E7A3" w14:textId="77777777" w:rsidR="00116AF3" w:rsidRDefault="00116AF3" w:rsidP="00116AF3">
      <w:pPr>
        <w:widowControl w:val="0"/>
        <w:tabs>
          <w:tab w:val="left" w:pos="1134"/>
        </w:tabs>
        <w:autoSpaceDE w:val="0"/>
        <w:autoSpaceDN w:val="0"/>
        <w:adjustRightInd w:val="0"/>
        <w:ind w:right="49"/>
        <w:contextualSpacing/>
        <w:rPr>
          <w:bCs/>
          <w:i/>
          <w:u w:val="single"/>
        </w:rPr>
      </w:pPr>
    </w:p>
    <w:p w14:paraId="3C713A12" w14:textId="77777777" w:rsidR="00116AF3" w:rsidRPr="00284D51" w:rsidRDefault="00116AF3" w:rsidP="00116AF3">
      <w:pPr>
        <w:widowControl w:val="0"/>
        <w:autoSpaceDE w:val="0"/>
        <w:autoSpaceDN w:val="0"/>
        <w:adjustRightInd w:val="0"/>
        <w:ind w:right="49"/>
        <w:contextualSpacing/>
        <w:rPr>
          <w:bCs/>
        </w:rPr>
      </w:pPr>
      <w:r w:rsidRPr="00284D51">
        <w:rPr>
          <w:bCs/>
          <w:i/>
        </w:rPr>
        <w:t>Pseudomonas aeruginosa</w:t>
      </w:r>
    </w:p>
    <w:p w14:paraId="5ECDA711" w14:textId="52581235" w:rsidR="00116AF3" w:rsidRPr="00761653" w:rsidRDefault="00116AF3" w:rsidP="00116AF3">
      <w:pPr>
        <w:widowControl w:val="0"/>
        <w:autoSpaceDE w:val="0"/>
        <w:autoSpaceDN w:val="0"/>
        <w:adjustRightInd w:val="0"/>
        <w:ind w:right="49"/>
        <w:contextualSpacing/>
      </w:pPr>
      <w:r w:rsidRPr="00761653">
        <w:t xml:space="preserve">Выбор антибиотиков проводится согласно чувствительности выделенных штаммов. Лечение проводят сочетанием антибиотиков. При инфекциях кровотока, вызванных </w:t>
      </w:r>
      <w:r w:rsidRPr="00761653">
        <w:rPr>
          <w:i/>
        </w:rPr>
        <w:t>P. aeruginosa,</w:t>
      </w:r>
      <w:r w:rsidRPr="00761653">
        <w:t xml:space="preserve"> часто наблюдается диссеминация в легких, и в этих случаях необходимо использовать антибиотики, для которых характерна высокая концентрация в легких. Такими параметрами обладает цефтолозан-тазобактам, который активен против карбапенем-резистентных </w:t>
      </w:r>
      <w:r w:rsidRPr="00761653">
        <w:rPr>
          <w:i/>
        </w:rPr>
        <w:t>P. aeruginosa</w:t>
      </w:r>
      <w:r w:rsidRPr="00761653">
        <w:t xml:space="preserve"> без продукции карбапенемаз</w:t>
      </w:r>
      <w:r>
        <w:t xml:space="preserve"> </w:t>
      </w:r>
      <w:r>
        <w:fldChar w:fldCharType="begin" w:fldLock="1"/>
      </w:r>
      <w:r w:rsidR="009D41F9">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[49]","plainTextFormattedCitation":"[49]","previouslyFormattedCitation":"[49]"},"properties":{"noteIndex":0},"schema":"https://github.com/citation-style-language/schema/raw/master/csl-citation.json"}</w:instrText>
      </w:r>
      <w:r>
        <w:fldChar w:fldCharType="separate"/>
      </w:r>
      <w:r w:rsidR="004C3BA5" w:rsidRPr="004C3BA5">
        <w:rPr>
          <w:noProof/>
        </w:rPr>
        <w:t>[49]</w:t>
      </w:r>
      <w:r>
        <w:fldChar w:fldCharType="end"/>
      </w:r>
      <w:r w:rsidRPr="00761653">
        <w:t>. Препараты для лечения представлены в табл</w:t>
      </w:r>
      <w:r>
        <w:t>ице 3.</w:t>
      </w:r>
      <w:r w:rsidRPr="00761653">
        <w:t xml:space="preserve"> </w:t>
      </w:r>
    </w:p>
    <w:p w14:paraId="128F31E9" w14:textId="77777777" w:rsidR="00116AF3" w:rsidRDefault="00116AF3" w:rsidP="00116AF3">
      <w:pPr>
        <w:ind w:hanging="142"/>
      </w:pPr>
    </w:p>
    <w:p w14:paraId="1A7A7F5B" w14:textId="77777777" w:rsidR="00116AF3" w:rsidRPr="00761653" w:rsidRDefault="00116AF3" w:rsidP="00116AF3">
      <w:pPr>
        <w:ind w:hanging="142"/>
      </w:pPr>
      <w:r w:rsidRPr="00761653">
        <w:t xml:space="preserve">Таблица 3. Лечение инфекций, вызванных </w:t>
      </w:r>
      <w:r w:rsidRPr="00761653">
        <w:rPr>
          <w:i/>
        </w:rPr>
        <w:t>Pseudomonas aeruginosa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116AF3" w:rsidRPr="00761653" w14:paraId="374B21F4" w14:textId="77777777" w:rsidTr="002D3EBF">
        <w:tc>
          <w:tcPr>
            <w:tcW w:w="3510" w:type="dxa"/>
            <w:vAlign w:val="center"/>
          </w:tcPr>
          <w:p w14:paraId="68747303" w14:textId="77777777" w:rsidR="00116AF3" w:rsidRPr="00761653" w:rsidRDefault="00116AF3" w:rsidP="002D3EBF">
            <w:pPr>
              <w:ind w:left="57" w:right="57" w:firstLine="0"/>
              <w:jc w:val="center"/>
            </w:pPr>
            <w:r w:rsidRPr="00761653">
              <w:t>Препарат</w:t>
            </w:r>
          </w:p>
        </w:tc>
        <w:tc>
          <w:tcPr>
            <w:tcW w:w="6237" w:type="dxa"/>
            <w:vAlign w:val="center"/>
          </w:tcPr>
          <w:p w14:paraId="566D39B1" w14:textId="77777777" w:rsidR="00116AF3" w:rsidRPr="00761653" w:rsidRDefault="00116AF3" w:rsidP="002D3EBF">
            <w:pPr>
              <w:ind w:left="57" w:right="57" w:firstLine="0"/>
              <w:jc w:val="center"/>
            </w:pPr>
            <w:r w:rsidRPr="00761653">
              <w:t>Доза</w:t>
            </w:r>
          </w:p>
        </w:tc>
      </w:tr>
      <w:tr w:rsidR="00116AF3" w:rsidRPr="00265B67" w14:paraId="63CE57F9" w14:textId="77777777" w:rsidTr="002D3EBF">
        <w:tc>
          <w:tcPr>
            <w:tcW w:w="3510" w:type="dxa"/>
          </w:tcPr>
          <w:p w14:paraId="586261A2" w14:textId="77777777" w:rsidR="00116AF3" w:rsidRPr="00761653" w:rsidRDefault="00116AF3" w:rsidP="002D3EBF">
            <w:pPr>
              <w:ind w:left="57" w:right="57" w:firstLine="0"/>
            </w:pPr>
            <w:r w:rsidRPr="00761653">
              <w:t>Цефтолозан/тазобактам</w:t>
            </w:r>
          </w:p>
        </w:tc>
        <w:tc>
          <w:tcPr>
            <w:tcW w:w="6237" w:type="dxa"/>
          </w:tcPr>
          <w:p w14:paraId="51487571" w14:textId="77777777" w:rsidR="00116AF3" w:rsidRPr="00761653" w:rsidRDefault="00116AF3" w:rsidP="002D3EBF">
            <w:pPr>
              <w:ind w:left="57" w:right="57" w:firstLine="0"/>
            </w:pPr>
            <w:r w:rsidRPr="00761653">
              <w:t>1,5 или 3 г каждые 8 часов, инфузия в течение 1 часа (при пневмонии по 3 г х 3 раза)</w:t>
            </w:r>
          </w:p>
        </w:tc>
      </w:tr>
      <w:tr w:rsidR="00116AF3" w:rsidRPr="00265B67" w14:paraId="75E5B33F" w14:textId="77777777" w:rsidTr="002D3EBF">
        <w:tc>
          <w:tcPr>
            <w:tcW w:w="3510" w:type="dxa"/>
          </w:tcPr>
          <w:p w14:paraId="7E11E92F" w14:textId="77777777" w:rsidR="00116AF3" w:rsidRPr="00761653" w:rsidRDefault="00116AF3" w:rsidP="002D3EBF">
            <w:pPr>
              <w:ind w:left="57" w:right="57" w:firstLine="0"/>
            </w:pPr>
            <w:r w:rsidRPr="00761653">
              <w:t>Цефтазидим</w:t>
            </w:r>
          </w:p>
        </w:tc>
        <w:tc>
          <w:tcPr>
            <w:tcW w:w="6237" w:type="dxa"/>
          </w:tcPr>
          <w:p w14:paraId="102BA856" w14:textId="77777777" w:rsidR="00116AF3" w:rsidRPr="00761653" w:rsidRDefault="00116AF3" w:rsidP="002D3EBF">
            <w:pPr>
              <w:ind w:left="57" w:right="57" w:firstLine="0"/>
            </w:pPr>
            <w:r w:rsidRPr="00761653">
              <w:t>Нагрузочная доза 1-2 г, затем 6 г/сут, непрерывная инфузии в течение 24 ч</w:t>
            </w:r>
          </w:p>
        </w:tc>
      </w:tr>
      <w:tr w:rsidR="00116AF3" w:rsidRPr="00975FC1" w14:paraId="00FEECC2" w14:textId="77777777" w:rsidTr="002D3EBF">
        <w:tc>
          <w:tcPr>
            <w:tcW w:w="3510" w:type="dxa"/>
          </w:tcPr>
          <w:p w14:paraId="081A6716" w14:textId="77777777" w:rsidR="00116AF3" w:rsidRPr="00761653" w:rsidRDefault="00116AF3" w:rsidP="002D3EBF">
            <w:pPr>
              <w:ind w:left="57" w:right="57" w:firstLine="0"/>
            </w:pPr>
            <w:r w:rsidRPr="00761653">
              <w:t>Цефепим</w:t>
            </w:r>
          </w:p>
        </w:tc>
        <w:tc>
          <w:tcPr>
            <w:tcW w:w="6237" w:type="dxa"/>
          </w:tcPr>
          <w:p w14:paraId="77F15962" w14:textId="77777777" w:rsidR="00116AF3" w:rsidRPr="00761653" w:rsidRDefault="00116AF3" w:rsidP="002D3EBF">
            <w:pPr>
              <w:ind w:left="57" w:right="57" w:firstLine="0"/>
            </w:pPr>
            <w:r w:rsidRPr="00761653">
              <w:t>Нагрузочная доза 15 мг/кг в течение 30 мин, затем 6 г/сут посредством непрерывной инфузии в течение 24 часов</w:t>
            </w:r>
          </w:p>
        </w:tc>
      </w:tr>
      <w:tr w:rsidR="00116AF3" w:rsidRPr="00975FC1" w14:paraId="6E8F91C7" w14:textId="77777777" w:rsidTr="002D3EBF">
        <w:tc>
          <w:tcPr>
            <w:tcW w:w="3510" w:type="dxa"/>
          </w:tcPr>
          <w:p w14:paraId="4ECD6E2C" w14:textId="77777777" w:rsidR="00116AF3" w:rsidRPr="00761653" w:rsidRDefault="00116AF3" w:rsidP="002D3EBF">
            <w:pPr>
              <w:ind w:left="57" w:right="57" w:firstLine="0"/>
            </w:pPr>
            <w:r w:rsidRPr="00761653">
              <w:t>Пиперациллин/тазобактам</w:t>
            </w:r>
          </w:p>
        </w:tc>
        <w:tc>
          <w:tcPr>
            <w:tcW w:w="6237" w:type="dxa"/>
          </w:tcPr>
          <w:p w14:paraId="3A086175" w14:textId="77777777" w:rsidR="00116AF3" w:rsidRPr="00761653" w:rsidRDefault="00116AF3" w:rsidP="002D3EBF">
            <w:pPr>
              <w:ind w:left="57" w:right="57" w:firstLine="0"/>
            </w:pPr>
            <w:r w:rsidRPr="00761653">
              <w:t>Нагрузочная доза 2,25 г затем 16,2 г/сут посредством непрерывной инфузии в течение 24 часов</w:t>
            </w:r>
          </w:p>
        </w:tc>
      </w:tr>
      <w:tr w:rsidR="00116AF3" w:rsidRPr="00975FC1" w14:paraId="540E437D" w14:textId="77777777" w:rsidTr="002D3EBF">
        <w:tc>
          <w:tcPr>
            <w:tcW w:w="3510" w:type="dxa"/>
          </w:tcPr>
          <w:p w14:paraId="14D87C0D" w14:textId="77777777" w:rsidR="00116AF3" w:rsidRPr="00761653" w:rsidRDefault="00116AF3" w:rsidP="002D3EBF">
            <w:pPr>
              <w:ind w:left="57" w:right="57" w:firstLine="0"/>
            </w:pPr>
            <w:r w:rsidRPr="00761653">
              <w:t>Цефтазидим/авибактам</w:t>
            </w:r>
          </w:p>
        </w:tc>
        <w:tc>
          <w:tcPr>
            <w:tcW w:w="6237" w:type="dxa"/>
          </w:tcPr>
          <w:p w14:paraId="501BC2D5" w14:textId="77777777" w:rsidR="00116AF3" w:rsidRPr="00761653" w:rsidRDefault="00116AF3" w:rsidP="002D3EBF">
            <w:pPr>
              <w:ind w:left="57" w:right="57" w:firstLine="0"/>
            </w:pPr>
            <w:r w:rsidRPr="00761653">
              <w:t>2,5 г каждые 8 часов, продленная инфузия в течение 2 часов</w:t>
            </w:r>
          </w:p>
        </w:tc>
      </w:tr>
      <w:tr w:rsidR="00116AF3" w:rsidRPr="00975FC1" w14:paraId="12FE1341" w14:textId="77777777" w:rsidTr="002D3EBF">
        <w:tc>
          <w:tcPr>
            <w:tcW w:w="3510" w:type="dxa"/>
          </w:tcPr>
          <w:p w14:paraId="423FF1A5" w14:textId="77777777" w:rsidR="00116AF3" w:rsidRPr="00761653" w:rsidRDefault="00116AF3" w:rsidP="002D3EBF">
            <w:pPr>
              <w:ind w:left="57" w:right="57" w:firstLine="0"/>
            </w:pPr>
            <w:r w:rsidRPr="00761653">
              <w:t>Азтреонам</w:t>
            </w:r>
          </w:p>
        </w:tc>
        <w:tc>
          <w:tcPr>
            <w:tcW w:w="6237" w:type="dxa"/>
          </w:tcPr>
          <w:p w14:paraId="2A261B9D" w14:textId="77777777" w:rsidR="00116AF3" w:rsidRPr="00761653" w:rsidRDefault="00116AF3" w:rsidP="002D3EBF">
            <w:pPr>
              <w:ind w:left="57" w:right="57" w:firstLine="0"/>
            </w:pPr>
            <w:r w:rsidRPr="00761653">
              <w:t>Нагрузочная доза 1-2 г, затем 6 г/сут посредством непрерывной инфузии в течение 24 часов</w:t>
            </w:r>
          </w:p>
        </w:tc>
      </w:tr>
      <w:tr w:rsidR="00116AF3" w:rsidRPr="00265B67" w14:paraId="544B7D84" w14:textId="77777777" w:rsidTr="002D3EBF">
        <w:tc>
          <w:tcPr>
            <w:tcW w:w="3510" w:type="dxa"/>
          </w:tcPr>
          <w:p w14:paraId="38356773" w14:textId="77777777" w:rsidR="00116AF3" w:rsidRPr="00761653" w:rsidRDefault="00116AF3" w:rsidP="002D3EBF">
            <w:pPr>
              <w:ind w:left="57" w:right="57" w:firstLine="0"/>
            </w:pPr>
            <w:r w:rsidRPr="00761653">
              <w:t>Дорипенем</w:t>
            </w:r>
          </w:p>
        </w:tc>
        <w:tc>
          <w:tcPr>
            <w:tcW w:w="6237" w:type="dxa"/>
          </w:tcPr>
          <w:p w14:paraId="73CE8183" w14:textId="77777777" w:rsidR="00116AF3" w:rsidRPr="00761653" w:rsidRDefault="00116AF3" w:rsidP="002D3EBF">
            <w:pPr>
              <w:ind w:left="57" w:right="57" w:firstLine="0"/>
            </w:pPr>
            <w:r w:rsidRPr="00761653">
              <w:t>1 г каждые 8 часов, инфузия в течение 4 часов</w:t>
            </w:r>
          </w:p>
        </w:tc>
      </w:tr>
      <w:tr w:rsidR="00116AF3" w:rsidRPr="00265B67" w14:paraId="2081CE0D" w14:textId="77777777" w:rsidTr="002D3EBF">
        <w:tc>
          <w:tcPr>
            <w:tcW w:w="3510" w:type="dxa"/>
          </w:tcPr>
          <w:p w14:paraId="6F1B25C4" w14:textId="77777777" w:rsidR="00116AF3" w:rsidRPr="00761653" w:rsidRDefault="00116AF3" w:rsidP="002D3EBF">
            <w:pPr>
              <w:ind w:left="57" w:right="57" w:firstLine="0"/>
            </w:pPr>
            <w:r w:rsidRPr="00761653">
              <w:t>Меропенем</w:t>
            </w:r>
          </w:p>
        </w:tc>
        <w:tc>
          <w:tcPr>
            <w:tcW w:w="6237" w:type="dxa"/>
          </w:tcPr>
          <w:p w14:paraId="7F84B0DB" w14:textId="77777777" w:rsidR="00116AF3" w:rsidRPr="00761653" w:rsidRDefault="00116AF3" w:rsidP="002D3EBF">
            <w:pPr>
              <w:ind w:left="57" w:right="57" w:firstLine="0"/>
            </w:pPr>
            <w:r w:rsidRPr="00761653">
              <w:t>Нагрузочная доза 1-2 г, затем по 2 г каждые 8 часов, продленная инфузия в течение 3 часов</w:t>
            </w:r>
          </w:p>
        </w:tc>
      </w:tr>
      <w:tr w:rsidR="00116AF3" w:rsidRPr="00975FC1" w14:paraId="3AF9278E" w14:textId="77777777" w:rsidTr="002D3EBF">
        <w:tc>
          <w:tcPr>
            <w:tcW w:w="3510" w:type="dxa"/>
          </w:tcPr>
          <w:p w14:paraId="2ECA9261" w14:textId="77777777" w:rsidR="00116AF3" w:rsidRPr="00761653" w:rsidRDefault="00116AF3" w:rsidP="002D3EBF">
            <w:pPr>
              <w:ind w:left="57" w:right="57" w:firstLine="0"/>
            </w:pPr>
            <w:r w:rsidRPr="00761653">
              <w:t>Имипенем</w:t>
            </w:r>
          </w:p>
        </w:tc>
        <w:tc>
          <w:tcPr>
            <w:tcW w:w="6237" w:type="dxa"/>
          </w:tcPr>
          <w:p w14:paraId="2C5E5BEC" w14:textId="77777777" w:rsidR="00116AF3" w:rsidRPr="00761653" w:rsidRDefault="00116AF3" w:rsidP="002D3EBF">
            <w:pPr>
              <w:ind w:left="57" w:right="57" w:firstLine="0"/>
            </w:pPr>
            <w:r w:rsidRPr="00761653">
              <w:t>1 г каждые 6-8 часов, в/в</w:t>
            </w:r>
          </w:p>
        </w:tc>
      </w:tr>
      <w:tr w:rsidR="00116AF3" w:rsidRPr="00975FC1" w14:paraId="75EDC086" w14:textId="77777777" w:rsidTr="002D3EBF">
        <w:tc>
          <w:tcPr>
            <w:tcW w:w="3510" w:type="dxa"/>
          </w:tcPr>
          <w:p w14:paraId="036F3C9E" w14:textId="77777777" w:rsidR="00116AF3" w:rsidRPr="00761653" w:rsidRDefault="00116AF3" w:rsidP="002D3EBF">
            <w:pPr>
              <w:ind w:left="57" w:right="57" w:firstLine="0"/>
            </w:pPr>
            <w:r w:rsidRPr="00761653">
              <w:t>Фосфомицин</w:t>
            </w:r>
          </w:p>
        </w:tc>
        <w:tc>
          <w:tcPr>
            <w:tcW w:w="6237" w:type="dxa"/>
          </w:tcPr>
          <w:p w14:paraId="5D753E8E" w14:textId="77777777" w:rsidR="00116AF3" w:rsidRPr="00761653" w:rsidRDefault="00116AF3" w:rsidP="002D3EBF">
            <w:pPr>
              <w:ind w:left="57" w:right="57" w:firstLine="0"/>
            </w:pPr>
            <w:r w:rsidRPr="00761653">
              <w:t xml:space="preserve">Нагрузочная доза 2-4 г, затем по 16-24 г посредством непрерывной инфузии в течение 24 часов </w:t>
            </w:r>
          </w:p>
        </w:tc>
      </w:tr>
      <w:tr w:rsidR="00116AF3" w:rsidRPr="00975FC1" w14:paraId="3A557C87" w14:textId="77777777" w:rsidTr="002D3EBF">
        <w:tc>
          <w:tcPr>
            <w:tcW w:w="3510" w:type="dxa"/>
          </w:tcPr>
          <w:p w14:paraId="3CFFC6F2" w14:textId="77777777" w:rsidR="00116AF3" w:rsidRPr="00761653" w:rsidRDefault="00116AF3" w:rsidP="002D3EBF">
            <w:pPr>
              <w:ind w:left="57" w:right="57" w:firstLine="0"/>
            </w:pPr>
            <w:r w:rsidRPr="00761653">
              <w:t>Колистин</w:t>
            </w:r>
          </w:p>
        </w:tc>
        <w:tc>
          <w:tcPr>
            <w:tcW w:w="6237" w:type="dxa"/>
          </w:tcPr>
          <w:p w14:paraId="3B800BE7" w14:textId="77777777" w:rsidR="00116AF3" w:rsidRPr="00761653" w:rsidRDefault="00116AF3" w:rsidP="002D3EBF">
            <w:pPr>
              <w:ind w:left="57" w:right="57" w:firstLine="0"/>
            </w:pPr>
            <w:r w:rsidRPr="00761653">
              <w:t>Нагрузочная доза 6-9 млн МЕ, затем по 4,5 млн МЕ каждые 12 часов</w:t>
            </w:r>
          </w:p>
        </w:tc>
      </w:tr>
      <w:tr w:rsidR="00116AF3" w:rsidRPr="00265B67" w14:paraId="0A88D83D" w14:textId="77777777" w:rsidTr="002D3EBF">
        <w:tc>
          <w:tcPr>
            <w:tcW w:w="3510" w:type="dxa"/>
          </w:tcPr>
          <w:p w14:paraId="7C971830" w14:textId="77777777" w:rsidR="00116AF3" w:rsidRPr="00761653" w:rsidRDefault="00116AF3" w:rsidP="002D3EBF">
            <w:pPr>
              <w:ind w:left="57" w:right="57" w:firstLine="0"/>
            </w:pPr>
            <w:r w:rsidRPr="00761653">
              <w:t>Полимиксин В</w:t>
            </w:r>
          </w:p>
        </w:tc>
        <w:tc>
          <w:tcPr>
            <w:tcW w:w="6237" w:type="dxa"/>
          </w:tcPr>
          <w:p w14:paraId="4B87DEC6" w14:textId="77777777" w:rsidR="00116AF3" w:rsidRPr="00761653" w:rsidRDefault="00116AF3" w:rsidP="002D3EBF">
            <w:pPr>
              <w:ind w:left="57" w:right="57" w:firstLine="0"/>
            </w:pPr>
            <w:r w:rsidRPr="00761653">
              <w:t xml:space="preserve">Нагрузочная доза 2-2,5 мг/кг, инфузия в течение 2 часов, далее по </w:t>
            </w:r>
          </w:p>
          <w:p w14:paraId="367A3D27" w14:textId="77777777" w:rsidR="00116AF3" w:rsidRPr="00761653" w:rsidRDefault="00116AF3" w:rsidP="002D3EBF">
            <w:pPr>
              <w:ind w:left="57" w:right="57" w:firstLine="0"/>
            </w:pPr>
            <w:r w:rsidRPr="00761653">
              <w:t>1,25-1,5 мг/кг каждые 12 часов, инфузия в течение 1 часа</w:t>
            </w:r>
          </w:p>
        </w:tc>
      </w:tr>
      <w:tr w:rsidR="00116AF3" w:rsidRPr="00265B67" w14:paraId="16917B24" w14:textId="77777777" w:rsidTr="002D3EBF">
        <w:tc>
          <w:tcPr>
            <w:tcW w:w="3510" w:type="dxa"/>
          </w:tcPr>
          <w:p w14:paraId="3EDC522F" w14:textId="77777777" w:rsidR="00116AF3" w:rsidRPr="00761653" w:rsidRDefault="00116AF3" w:rsidP="002D3EBF">
            <w:pPr>
              <w:ind w:left="57" w:right="57" w:firstLine="0"/>
            </w:pPr>
            <w:r w:rsidRPr="00761653">
              <w:t>Ципрофлоксацин</w:t>
            </w:r>
          </w:p>
        </w:tc>
        <w:tc>
          <w:tcPr>
            <w:tcW w:w="6237" w:type="dxa"/>
          </w:tcPr>
          <w:p w14:paraId="2549AD7E" w14:textId="77777777" w:rsidR="00116AF3" w:rsidRPr="00761653" w:rsidRDefault="00116AF3" w:rsidP="002D3EBF">
            <w:pPr>
              <w:ind w:left="57" w:right="57" w:firstLine="0"/>
            </w:pPr>
            <w:r w:rsidRPr="00761653">
              <w:t>400 мг каждые 8 часов, инфузия в течение 30-60 минут</w:t>
            </w:r>
          </w:p>
        </w:tc>
      </w:tr>
      <w:tr w:rsidR="00116AF3" w:rsidRPr="00265B67" w14:paraId="7B2C45B9" w14:textId="77777777" w:rsidTr="002D3EBF">
        <w:tc>
          <w:tcPr>
            <w:tcW w:w="3510" w:type="dxa"/>
          </w:tcPr>
          <w:p w14:paraId="662DC8AD" w14:textId="77777777" w:rsidR="00116AF3" w:rsidRPr="00761653" w:rsidRDefault="00116AF3" w:rsidP="002D3EBF">
            <w:pPr>
              <w:ind w:left="57" w:right="57" w:firstLine="0"/>
            </w:pPr>
            <w:r w:rsidRPr="00761653">
              <w:t>Левофлоксацин</w:t>
            </w:r>
          </w:p>
        </w:tc>
        <w:tc>
          <w:tcPr>
            <w:tcW w:w="6237" w:type="dxa"/>
          </w:tcPr>
          <w:p w14:paraId="05788252" w14:textId="77777777" w:rsidR="00116AF3" w:rsidRPr="00761653" w:rsidRDefault="00116AF3" w:rsidP="002D3EBF">
            <w:pPr>
              <w:ind w:left="57" w:right="57" w:firstLine="0"/>
            </w:pPr>
            <w:r w:rsidRPr="00761653">
              <w:t>500 мг каждые 12 часов, инфузия в течение 50-60 минут</w:t>
            </w:r>
          </w:p>
        </w:tc>
      </w:tr>
      <w:tr w:rsidR="00116AF3" w:rsidRPr="00265B67" w14:paraId="02CEC703" w14:textId="77777777" w:rsidTr="002D3EBF">
        <w:tc>
          <w:tcPr>
            <w:tcW w:w="3510" w:type="dxa"/>
          </w:tcPr>
          <w:p w14:paraId="6C7BC46A" w14:textId="77777777" w:rsidR="00116AF3" w:rsidRPr="00761653" w:rsidRDefault="00116AF3" w:rsidP="002D3EBF">
            <w:pPr>
              <w:ind w:left="57" w:right="57" w:firstLine="0"/>
            </w:pPr>
            <w:r w:rsidRPr="00761653">
              <w:t>Тобрамицин</w:t>
            </w:r>
          </w:p>
        </w:tc>
        <w:tc>
          <w:tcPr>
            <w:tcW w:w="6237" w:type="dxa"/>
          </w:tcPr>
          <w:p w14:paraId="632AFA3C" w14:textId="77777777" w:rsidR="00116AF3" w:rsidRPr="00761653" w:rsidRDefault="00116AF3" w:rsidP="002D3EBF">
            <w:pPr>
              <w:ind w:left="57" w:right="57" w:firstLine="0"/>
            </w:pPr>
            <w:r w:rsidRPr="00761653">
              <w:t>8 мг/кг 1 раз/сут, инфузия в течение 60 мин</w:t>
            </w:r>
          </w:p>
        </w:tc>
      </w:tr>
      <w:tr w:rsidR="00116AF3" w:rsidRPr="00265B67" w14:paraId="5AF1CA45" w14:textId="77777777" w:rsidTr="002D3EBF">
        <w:tc>
          <w:tcPr>
            <w:tcW w:w="3510" w:type="dxa"/>
          </w:tcPr>
          <w:p w14:paraId="51B57131" w14:textId="77777777" w:rsidR="00116AF3" w:rsidRPr="00761653" w:rsidRDefault="00116AF3" w:rsidP="002D3EBF">
            <w:pPr>
              <w:ind w:left="57" w:right="57" w:firstLine="0"/>
            </w:pPr>
            <w:r w:rsidRPr="00761653">
              <w:t>Амикацин</w:t>
            </w:r>
          </w:p>
        </w:tc>
        <w:tc>
          <w:tcPr>
            <w:tcW w:w="6237" w:type="dxa"/>
          </w:tcPr>
          <w:p w14:paraId="38C439FF" w14:textId="77777777" w:rsidR="00116AF3" w:rsidRPr="00761653" w:rsidRDefault="00116AF3" w:rsidP="002D3EBF">
            <w:pPr>
              <w:ind w:left="57" w:right="57" w:firstLine="0"/>
            </w:pPr>
            <w:r w:rsidRPr="00761653">
              <w:t xml:space="preserve">25 мг/кг 1 раз/сут, инфузия в течение 60 минут </w:t>
            </w:r>
          </w:p>
        </w:tc>
      </w:tr>
    </w:tbl>
    <w:p w14:paraId="08E9A2B8" w14:textId="77777777" w:rsidR="00116AF3" w:rsidRDefault="00116AF3" w:rsidP="00116AF3">
      <w:pPr>
        <w:widowControl w:val="0"/>
        <w:tabs>
          <w:tab w:val="left" w:pos="1134"/>
        </w:tabs>
        <w:autoSpaceDE w:val="0"/>
        <w:autoSpaceDN w:val="0"/>
        <w:adjustRightInd w:val="0"/>
        <w:ind w:right="49"/>
        <w:contextualSpacing/>
        <w:rPr>
          <w:bCs/>
          <w:i/>
          <w:u w:val="single"/>
        </w:rPr>
      </w:pPr>
    </w:p>
    <w:p w14:paraId="061424AB" w14:textId="77777777" w:rsidR="00116AF3" w:rsidRPr="00284D51" w:rsidRDefault="00116AF3" w:rsidP="00116AF3">
      <w:pPr>
        <w:widowControl w:val="0"/>
        <w:autoSpaceDE w:val="0"/>
        <w:autoSpaceDN w:val="0"/>
        <w:adjustRightInd w:val="0"/>
        <w:ind w:right="49"/>
        <w:contextualSpacing/>
        <w:rPr>
          <w:bCs/>
          <w:i/>
        </w:rPr>
      </w:pPr>
      <w:r w:rsidRPr="00284D51">
        <w:rPr>
          <w:bCs/>
          <w:i/>
        </w:rPr>
        <w:t>Acinetobacter baumannii</w:t>
      </w:r>
    </w:p>
    <w:p w14:paraId="4DCF73F6" w14:textId="77777777" w:rsidR="00116AF3" w:rsidRPr="00761653" w:rsidRDefault="00116AF3" w:rsidP="00116AF3">
      <w:pPr>
        <w:widowControl w:val="0"/>
        <w:autoSpaceDE w:val="0"/>
        <w:autoSpaceDN w:val="0"/>
        <w:adjustRightInd w:val="0"/>
        <w:ind w:right="49"/>
        <w:contextualSpacing/>
      </w:pPr>
      <w:r w:rsidRPr="00761653">
        <w:t xml:space="preserve">Характерным является ограничение потенциально активных </w:t>
      </w:r>
      <w:r w:rsidRPr="00761653">
        <w:rPr>
          <w:i/>
        </w:rPr>
        <w:t xml:space="preserve">in vitro </w:t>
      </w:r>
      <w:r w:rsidRPr="00761653">
        <w:t xml:space="preserve">препаратов, наличие высокой резистентности. Для лечения используют цефоперазон/сульбактам, карбапенем антипсевдомонадный, полимиксин или колистин, тигециклин (дозирование как при инфекции, вызванной </w:t>
      </w:r>
      <w:r w:rsidRPr="00761653">
        <w:rPr>
          <w:i/>
        </w:rPr>
        <w:t>P. aeruginosa</w:t>
      </w:r>
      <w:r w:rsidRPr="00761653">
        <w:t>).</w:t>
      </w:r>
    </w:p>
    <w:p w14:paraId="2AA074EB" w14:textId="77777777" w:rsidR="00116AF3" w:rsidRPr="00284D51" w:rsidRDefault="00116AF3" w:rsidP="00116AF3">
      <w:pPr>
        <w:widowControl w:val="0"/>
        <w:autoSpaceDE w:val="0"/>
        <w:autoSpaceDN w:val="0"/>
        <w:adjustRightInd w:val="0"/>
        <w:ind w:right="49"/>
        <w:contextualSpacing/>
        <w:rPr>
          <w:bCs/>
        </w:rPr>
      </w:pPr>
      <w:r w:rsidRPr="00284D51">
        <w:rPr>
          <w:bCs/>
          <w:i/>
        </w:rPr>
        <w:t>Stenotrophomonas maltophilia</w:t>
      </w:r>
    </w:p>
    <w:p w14:paraId="68B218F6" w14:textId="77777777" w:rsidR="00116AF3" w:rsidRPr="00761653" w:rsidRDefault="00116AF3" w:rsidP="00116AF3">
      <w:pPr>
        <w:widowControl w:val="0"/>
        <w:autoSpaceDE w:val="0"/>
        <w:autoSpaceDN w:val="0"/>
        <w:adjustRightInd w:val="0"/>
        <w:ind w:right="49"/>
        <w:contextualSpacing/>
      </w:pPr>
      <w:r w:rsidRPr="00761653">
        <w:t>Препарат выбора – триметоприм/сульфаметоксазол, расчет дозы проводят по триметоприму 15 мг/кг/сутки.</w:t>
      </w:r>
    </w:p>
    <w:p w14:paraId="13747B0C" w14:textId="77777777" w:rsidR="00116AF3" w:rsidRDefault="00116AF3" w:rsidP="00116AF3">
      <w:pPr>
        <w:widowControl w:val="0"/>
        <w:tabs>
          <w:tab w:val="left" w:pos="317"/>
          <w:tab w:val="left" w:pos="8715"/>
        </w:tabs>
        <w:autoSpaceDE w:val="0"/>
        <w:autoSpaceDN w:val="0"/>
        <w:adjustRightInd w:val="0"/>
        <w:ind w:right="49"/>
        <w:contextualSpacing/>
        <w:rPr>
          <w:b/>
        </w:rPr>
      </w:pPr>
    </w:p>
    <w:p w14:paraId="76A1417D" w14:textId="77777777" w:rsidR="00116AF3" w:rsidRPr="00761653" w:rsidRDefault="00116AF3" w:rsidP="00116AF3">
      <w:pPr>
        <w:widowControl w:val="0"/>
        <w:tabs>
          <w:tab w:val="left" w:pos="317"/>
          <w:tab w:val="left" w:pos="8715"/>
        </w:tabs>
        <w:autoSpaceDE w:val="0"/>
        <w:autoSpaceDN w:val="0"/>
        <w:adjustRightInd w:val="0"/>
        <w:ind w:right="49"/>
        <w:contextualSpacing/>
        <w:rPr>
          <w:b/>
          <w:iCs/>
        </w:rPr>
      </w:pPr>
      <w:r w:rsidRPr="00761653">
        <w:rPr>
          <w:b/>
        </w:rPr>
        <w:t>Грамположительные возбудители</w:t>
      </w:r>
    </w:p>
    <w:p w14:paraId="235A5937" w14:textId="77777777" w:rsidR="00116AF3" w:rsidRPr="00284D51" w:rsidRDefault="00116AF3" w:rsidP="00116AF3">
      <w:pPr>
        <w:widowControl w:val="0"/>
        <w:tabs>
          <w:tab w:val="left" w:pos="8715"/>
        </w:tabs>
        <w:autoSpaceDE w:val="0"/>
        <w:autoSpaceDN w:val="0"/>
        <w:adjustRightInd w:val="0"/>
        <w:ind w:right="49"/>
        <w:contextualSpacing/>
        <w:rPr>
          <w:i/>
          <w:iCs/>
        </w:rPr>
      </w:pPr>
      <w:r w:rsidRPr="00284D51">
        <w:rPr>
          <w:i/>
          <w:iCs/>
        </w:rPr>
        <w:t>Коагулазонегативные стафилококки</w:t>
      </w:r>
    </w:p>
    <w:p w14:paraId="5C1D4FBF" w14:textId="77777777" w:rsidR="00116AF3" w:rsidRPr="00761653" w:rsidRDefault="00116AF3" w:rsidP="00116AF3">
      <w:pPr>
        <w:widowControl w:val="0"/>
        <w:tabs>
          <w:tab w:val="left" w:pos="8715"/>
        </w:tabs>
        <w:autoSpaceDE w:val="0"/>
        <w:autoSpaceDN w:val="0"/>
        <w:adjustRightInd w:val="0"/>
        <w:ind w:right="49"/>
        <w:contextualSpacing/>
        <w:rPr>
          <w:bCs/>
        </w:rPr>
      </w:pPr>
      <w:r w:rsidRPr="00761653">
        <w:rPr>
          <w:bCs/>
        </w:rPr>
        <w:t>Явялются причиной бактериемий (2</w:t>
      </w:r>
      <w:r>
        <w:rPr>
          <w:bCs/>
        </w:rPr>
        <w:t>-</w:t>
      </w:r>
      <w:r w:rsidRPr="00761653">
        <w:rPr>
          <w:bCs/>
        </w:rPr>
        <w:t xml:space="preserve">е место) и катетер-ассоциированных инфекций. Подтверждают инфекцию двумя положительными гемокультурами. Около 80% штаммов устойчивые к оксациллину. Препарат выбора для лечения – ванкомицин. </w:t>
      </w:r>
    </w:p>
    <w:p w14:paraId="6B893823" w14:textId="77777777" w:rsidR="00116AF3" w:rsidRPr="00284D51" w:rsidRDefault="00116AF3" w:rsidP="00116AF3">
      <w:pPr>
        <w:widowControl w:val="0"/>
        <w:tabs>
          <w:tab w:val="left" w:pos="8715"/>
        </w:tabs>
        <w:autoSpaceDE w:val="0"/>
        <w:autoSpaceDN w:val="0"/>
        <w:adjustRightInd w:val="0"/>
        <w:ind w:right="49"/>
        <w:contextualSpacing/>
      </w:pPr>
      <w:r w:rsidRPr="00284D51">
        <w:rPr>
          <w:i/>
        </w:rPr>
        <w:t>Enterococcus</w:t>
      </w:r>
      <w:r w:rsidRPr="00284D51">
        <w:t xml:space="preserve"> spp. </w:t>
      </w:r>
    </w:p>
    <w:p w14:paraId="0A3B8A2F" w14:textId="77777777" w:rsidR="00116AF3" w:rsidRPr="00761653" w:rsidRDefault="00116AF3" w:rsidP="00116AF3">
      <w:pPr>
        <w:widowControl w:val="0"/>
        <w:tabs>
          <w:tab w:val="left" w:pos="8715"/>
        </w:tabs>
        <w:autoSpaceDE w:val="0"/>
        <w:autoSpaceDN w:val="0"/>
        <w:adjustRightInd w:val="0"/>
        <w:ind w:right="49"/>
        <w:contextualSpacing/>
        <w:rPr>
          <w:bCs/>
        </w:rPr>
      </w:pPr>
      <w:r>
        <w:rPr>
          <w:bCs/>
        </w:rPr>
        <w:t xml:space="preserve">У гематологических пациентов в основном вызывают </w:t>
      </w:r>
      <w:r w:rsidRPr="00761653">
        <w:rPr>
          <w:bCs/>
        </w:rPr>
        <w:t xml:space="preserve">инфекции кровотока, далее следуют инфекции мочевыводящих путей, редко – эндокардиты. Штаммы </w:t>
      </w:r>
      <w:r w:rsidRPr="00761653">
        <w:rPr>
          <w:bCs/>
          <w:i/>
        </w:rPr>
        <w:t>E. faecium</w:t>
      </w:r>
      <w:r w:rsidRPr="00761653">
        <w:rPr>
          <w:bCs/>
        </w:rPr>
        <w:t xml:space="preserve"> (70%) преобладают над E</w:t>
      </w:r>
      <w:r w:rsidRPr="00761653">
        <w:rPr>
          <w:bCs/>
          <w:i/>
        </w:rPr>
        <w:t>. faecalis</w:t>
      </w:r>
      <w:r w:rsidRPr="00761653">
        <w:rPr>
          <w:bCs/>
        </w:rPr>
        <w:t xml:space="preserve"> (30%). Препарат выбора в лечении инфекций, вызванных E. faecalis - ампициллин (97% чувствительные). Антибиотикорезистентность более высокая среди </w:t>
      </w:r>
      <w:r w:rsidRPr="00761653">
        <w:rPr>
          <w:bCs/>
          <w:i/>
        </w:rPr>
        <w:t xml:space="preserve">E. faecium </w:t>
      </w:r>
      <w:r w:rsidRPr="00761653">
        <w:rPr>
          <w:bCs/>
        </w:rPr>
        <w:t xml:space="preserve">- около 15% устойчивые к ванкомицину. При выделении ванкомицин-резистентных </w:t>
      </w:r>
      <w:r w:rsidRPr="00761653">
        <w:rPr>
          <w:bCs/>
          <w:i/>
        </w:rPr>
        <w:t>E. faecium</w:t>
      </w:r>
      <w:r w:rsidRPr="00761653">
        <w:rPr>
          <w:bCs/>
        </w:rPr>
        <w:t xml:space="preserve"> из гемокультуры препаратами выбора являются даптомицин (доза 10-12 мг/кг/сутки), линезолид.</w:t>
      </w:r>
    </w:p>
    <w:p w14:paraId="2930DD1B" w14:textId="77777777" w:rsidR="00116AF3" w:rsidRPr="00284D51" w:rsidRDefault="00116AF3" w:rsidP="00116AF3">
      <w:pPr>
        <w:widowControl w:val="0"/>
        <w:tabs>
          <w:tab w:val="left" w:pos="8715"/>
        </w:tabs>
        <w:autoSpaceDE w:val="0"/>
        <w:autoSpaceDN w:val="0"/>
        <w:adjustRightInd w:val="0"/>
        <w:ind w:right="49"/>
        <w:contextualSpacing/>
        <w:rPr>
          <w:i/>
        </w:rPr>
      </w:pPr>
      <w:r w:rsidRPr="00284D51">
        <w:rPr>
          <w:i/>
        </w:rPr>
        <w:t>Staphylococcus aureus</w:t>
      </w:r>
    </w:p>
    <w:p w14:paraId="529F18D8" w14:textId="77777777" w:rsidR="00116AF3" w:rsidRPr="00761653" w:rsidRDefault="00116AF3" w:rsidP="00116AF3">
      <w:pPr>
        <w:widowControl w:val="0"/>
        <w:tabs>
          <w:tab w:val="left" w:pos="8715"/>
        </w:tabs>
        <w:autoSpaceDE w:val="0"/>
        <w:autoSpaceDN w:val="0"/>
        <w:adjustRightInd w:val="0"/>
        <w:ind w:right="49"/>
        <w:contextualSpacing/>
        <w:rPr>
          <w:bCs/>
        </w:rPr>
      </w:pPr>
      <w:r>
        <w:rPr>
          <w:bCs/>
        </w:rPr>
        <w:t xml:space="preserve">У гематологических пациентов могут быть причиной </w:t>
      </w:r>
      <w:r w:rsidRPr="00761653">
        <w:rPr>
          <w:bCs/>
        </w:rPr>
        <w:t>инфекции кровотока, пневмонии, инфекции к</w:t>
      </w:r>
      <w:r>
        <w:rPr>
          <w:bCs/>
        </w:rPr>
        <w:t>ожи и мягких тканей, эндокардита</w:t>
      </w:r>
      <w:r w:rsidRPr="00761653">
        <w:rPr>
          <w:bCs/>
        </w:rPr>
        <w:t>. Около 20%-30% штаммов являются устойчивыми к оксациллину. Антибиотики, используемые для лечения указаны в таблице 4. При тяжелом течении инфекции в отдельных случаях сочетают даптомицин с линезолидом. Длительность лечения не менее 2-х недель.</w:t>
      </w:r>
    </w:p>
    <w:p w14:paraId="3C88ED9C" w14:textId="77777777" w:rsidR="00116AF3" w:rsidRPr="00761653" w:rsidRDefault="00116AF3" w:rsidP="00116AF3">
      <w:pPr>
        <w:widowControl w:val="0"/>
        <w:tabs>
          <w:tab w:val="left" w:pos="8715"/>
        </w:tabs>
        <w:autoSpaceDE w:val="0"/>
        <w:autoSpaceDN w:val="0"/>
        <w:adjustRightInd w:val="0"/>
        <w:ind w:right="49"/>
        <w:contextualSpacing/>
        <w:rPr>
          <w:bCs/>
        </w:rPr>
      </w:pPr>
      <w:r w:rsidRPr="00761653">
        <w:rPr>
          <w:bCs/>
        </w:rPr>
        <w:t xml:space="preserve">Другие грамположительные бактерии редко вызывают инфекции, лечение их </w:t>
      </w:r>
      <w:r>
        <w:rPr>
          <w:bCs/>
        </w:rPr>
        <w:t xml:space="preserve">такое же, </w:t>
      </w:r>
      <w:r w:rsidRPr="00761653">
        <w:rPr>
          <w:bCs/>
        </w:rPr>
        <w:t xml:space="preserve">как у других категорий </w:t>
      </w:r>
      <w:r>
        <w:rPr>
          <w:bCs/>
        </w:rPr>
        <w:t>пациентов.</w:t>
      </w:r>
    </w:p>
    <w:p w14:paraId="6C105D06" w14:textId="77777777" w:rsidR="00116AF3" w:rsidRDefault="00116AF3" w:rsidP="00116AF3">
      <w:pPr>
        <w:ind w:hanging="142"/>
      </w:pPr>
    </w:p>
    <w:p w14:paraId="4ACDA9D6" w14:textId="77777777" w:rsidR="00116AF3" w:rsidRPr="00761653" w:rsidRDefault="00116AF3" w:rsidP="00116AF3">
      <w:pPr>
        <w:rPr>
          <w:i/>
        </w:rPr>
      </w:pPr>
      <w:r w:rsidRPr="00761653">
        <w:t xml:space="preserve">Таблица 4. Лечение инфекций, вызванных </w:t>
      </w:r>
      <w:r w:rsidRPr="00761653">
        <w:rPr>
          <w:i/>
        </w:rPr>
        <w:t xml:space="preserve">Staphylococcus aureus </w:t>
      </w:r>
      <w:r w:rsidRPr="00761653">
        <w:t>и</w:t>
      </w:r>
      <w:r w:rsidRPr="00761653">
        <w:rPr>
          <w:i/>
        </w:rPr>
        <w:t xml:space="preserve"> Enterococcus faecium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35"/>
        <w:gridCol w:w="4395"/>
      </w:tblGrid>
      <w:tr w:rsidR="00116AF3" w:rsidRPr="00761653" w14:paraId="59DEFA9A" w14:textId="77777777" w:rsidTr="002D3EBF">
        <w:tc>
          <w:tcPr>
            <w:tcW w:w="2376" w:type="dxa"/>
            <w:vAlign w:val="center"/>
          </w:tcPr>
          <w:p w14:paraId="4EF95DEB" w14:textId="77777777" w:rsidR="00116AF3" w:rsidRPr="00761653" w:rsidRDefault="00116AF3" w:rsidP="002D3EBF">
            <w:pPr>
              <w:ind w:left="57" w:right="57" w:firstLine="0"/>
              <w:jc w:val="center"/>
            </w:pPr>
            <w:r w:rsidRPr="00761653">
              <w:t>Микроорганизм</w:t>
            </w:r>
          </w:p>
        </w:tc>
        <w:tc>
          <w:tcPr>
            <w:tcW w:w="2835" w:type="dxa"/>
            <w:vAlign w:val="center"/>
          </w:tcPr>
          <w:p w14:paraId="4F94DEC8" w14:textId="77777777" w:rsidR="00116AF3" w:rsidRPr="00761653" w:rsidRDefault="00116AF3" w:rsidP="002D3EBF">
            <w:pPr>
              <w:ind w:left="57" w:right="57" w:firstLine="0"/>
              <w:jc w:val="center"/>
            </w:pPr>
            <w:r w:rsidRPr="00761653">
              <w:t>Препарат</w:t>
            </w:r>
          </w:p>
        </w:tc>
        <w:tc>
          <w:tcPr>
            <w:tcW w:w="4395" w:type="dxa"/>
            <w:vAlign w:val="center"/>
          </w:tcPr>
          <w:p w14:paraId="1D337367" w14:textId="77777777" w:rsidR="00116AF3" w:rsidRPr="00761653" w:rsidRDefault="00116AF3" w:rsidP="002D3EBF">
            <w:pPr>
              <w:ind w:left="57" w:right="57" w:firstLine="0"/>
              <w:jc w:val="center"/>
            </w:pPr>
            <w:r w:rsidRPr="00761653">
              <w:t>Доза</w:t>
            </w:r>
          </w:p>
        </w:tc>
      </w:tr>
      <w:tr w:rsidR="00116AF3" w:rsidRPr="00975FC1" w14:paraId="1CA800F2" w14:textId="77777777" w:rsidTr="002D3EBF">
        <w:tc>
          <w:tcPr>
            <w:tcW w:w="2376" w:type="dxa"/>
            <w:vMerge w:val="restart"/>
          </w:tcPr>
          <w:p w14:paraId="5A40CB06" w14:textId="77777777" w:rsidR="00116AF3" w:rsidRPr="00761653" w:rsidRDefault="00116AF3" w:rsidP="002D3EBF">
            <w:pPr>
              <w:ind w:left="57" w:right="57" w:firstLine="0"/>
              <w:rPr>
                <w:highlight w:val="green"/>
              </w:rPr>
            </w:pPr>
            <w:r w:rsidRPr="00761653">
              <w:rPr>
                <w:i/>
              </w:rPr>
              <w:t>S. aureus</w:t>
            </w:r>
            <w:r w:rsidRPr="00761653">
              <w:t>, чувствительные к оксациллину</w:t>
            </w:r>
          </w:p>
        </w:tc>
        <w:tc>
          <w:tcPr>
            <w:tcW w:w="2835" w:type="dxa"/>
          </w:tcPr>
          <w:p w14:paraId="02B9804C" w14:textId="77777777" w:rsidR="00116AF3" w:rsidRPr="00761653" w:rsidRDefault="00116AF3" w:rsidP="002D3EBF">
            <w:pPr>
              <w:ind w:left="57" w:right="57" w:firstLine="0"/>
            </w:pPr>
            <w:r w:rsidRPr="00761653">
              <w:t>Оксациллин</w:t>
            </w:r>
          </w:p>
        </w:tc>
        <w:tc>
          <w:tcPr>
            <w:tcW w:w="4395" w:type="dxa"/>
          </w:tcPr>
          <w:p w14:paraId="217B924B" w14:textId="77777777" w:rsidR="00116AF3" w:rsidRPr="00761653" w:rsidRDefault="00116AF3" w:rsidP="002D3EBF">
            <w:pPr>
              <w:ind w:left="57" w:right="57" w:firstLine="0"/>
            </w:pPr>
            <w:r w:rsidRPr="00761653">
              <w:t>1-2 г каждые 4 часа, в/в</w:t>
            </w:r>
          </w:p>
        </w:tc>
      </w:tr>
      <w:tr w:rsidR="00116AF3" w:rsidRPr="00975FC1" w14:paraId="41A5507B" w14:textId="77777777" w:rsidTr="002D3EBF">
        <w:tc>
          <w:tcPr>
            <w:tcW w:w="2376" w:type="dxa"/>
            <w:vMerge/>
          </w:tcPr>
          <w:p w14:paraId="74390925" w14:textId="77777777" w:rsidR="00116AF3" w:rsidRPr="00761653" w:rsidRDefault="00116AF3" w:rsidP="002D3EBF">
            <w:pPr>
              <w:ind w:left="57" w:right="57" w:firstLine="0"/>
            </w:pPr>
          </w:p>
        </w:tc>
        <w:tc>
          <w:tcPr>
            <w:tcW w:w="2835" w:type="dxa"/>
          </w:tcPr>
          <w:p w14:paraId="4B20CA59" w14:textId="77777777" w:rsidR="00116AF3" w:rsidRPr="00761653" w:rsidRDefault="00116AF3" w:rsidP="002D3EBF">
            <w:pPr>
              <w:ind w:left="57" w:right="57" w:firstLine="0"/>
            </w:pPr>
            <w:r w:rsidRPr="00761653">
              <w:t>Цефазолин</w:t>
            </w:r>
          </w:p>
        </w:tc>
        <w:tc>
          <w:tcPr>
            <w:tcW w:w="4395" w:type="dxa"/>
          </w:tcPr>
          <w:p w14:paraId="43FFA68D" w14:textId="77777777" w:rsidR="00116AF3" w:rsidRPr="00761653" w:rsidRDefault="00116AF3" w:rsidP="002D3EBF">
            <w:pPr>
              <w:ind w:left="57" w:right="57" w:firstLine="0"/>
            </w:pPr>
            <w:r w:rsidRPr="00761653">
              <w:t>1-2 г каждые 8 часов (максимальная доза 12 г/сут), в/в</w:t>
            </w:r>
          </w:p>
        </w:tc>
      </w:tr>
      <w:tr w:rsidR="00116AF3" w:rsidRPr="00265B67" w14:paraId="72DDAE4A" w14:textId="77777777" w:rsidTr="002D3EBF">
        <w:tc>
          <w:tcPr>
            <w:tcW w:w="2376" w:type="dxa"/>
            <w:vMerge/>
          </w:tcPr>
          <w:p w14:paraId="7E0D4FAD" w14:textId="77777777" w:rsidR="00116AF3" w:rsidRPr="00761653" w:rsidRDefault="00116AF3" w:rsidP="002D3EBF">
            <w:pPr>
              <w:ind w:left="57" w:right="57" w:firstLine="0"/>
            </w:pPr>
          </w:p>
        </w:tc>
        <w:tc>
          <w:tcPr>
            <w:tcW w:w="2835" w:type="dxa"/>
          </w:tcPr>
          <w:p w14:paraId="5FB6AD9C" w14:textId="77777777" w:rsidR="00116AF3" w:rsidRPr="00761653" w:rsidRDefault="00116AF3" w:rsidP="002D3EBF">
            <w:pPr>
              <w:ind w:left="57" w:right="57" w:firstLine="0"/>
            </w:pPr>
            <w:r w:rsidRPr="00761653">
              <w:t>Цефтаролин</w:t>
            </w:r>
          </w:p>
        </w:tc>
        <w:tc>
          <w:tcPr>
            <w:tcW w:w="4395" w:type="dxa"/>
          </w:tcPr>
          <w:p w14:paraId="7E2F2CFC" w14:textId="77777777" w:rsidR="00116AF3" w:rsidRPr="00761653" w:rsidRDefault="00116AF3" w:rsidP="002D3EBF">
            <w:pPr>
              <w:ind w:left="57" w:right="57" w:firstLine="0"/>
            </w:pPr>
            <w:r w:rsidRPr="00761653">
              <w:t>600 мг каждые 12 часов, инфузия в течение 5-60 минут</w:t>
            </w:r>
          </w:p>
        </w:tc>
      </w:tr>
      <w:tr w:rsidR="00116AF3" w:rsidRPr="00265B67" w14:paraId="63FF1FC4" w14:textId="77777777" w:rsidTr="002D3EBF">
        <w:tc>
          <w:tcPr>
            <w:tcW w:w="2376" w:type="dxa"/>
            <w:vMerge/>
          </w:tcPr>
          <w:p w14:paraId="3D7438B5" w14:textId="77777777" w:rsidR="00116AF3" w:rsidRPr="00761653" w:rsidRDefault="00116AF3" w:rsidP="002D3EBF">
            <w:pPr>
              <w:ind w:left="57" w:right="57" w:firstLine="0"/>
              <w:rPr>
                <w:highlight w:val="yellow"/>
              </w:rPr>
            </w:pPr>
          </w:p>
        </w:tc>
        <w:tc>
          <w:tcPr>
            <w:tcW w:w="2835" w:type="dxa"/>
          </w:tcPr>
          <w:p w14:paraId="2EB039EB" w14:textId="77777777" w:rsidR="00116AF3" w:rsidRPr="00761653" w:rsidRDefault="00116AF3" w:rsidP="002D3EBF">
            <w:pPr>
              <w:ind w:left="57" w:right="57" w:firstLine="0"/>
            </w:pPr>
            <w:r w:rsidRPr="00761653">
              <w:t>Ванкомицин</w:t>
            </w:r>
          </w:p>
        </w:tc>
        <w:tc>
          <w:tcPr>
            <w:tcW w:w="4395" w:type="dxa"/>
          </w:tcPr>
          <w:p w14:paraId="39AAAEC2" w14:textId="77777777" w:rsidR="00116AF3" w:rsidRPr="00761653" w:rsidRDefault="00116AF3" w:rsidP="002D3EBF">
            <w:pPr>
              <w:ind w:left="57" w:right="57" w:firstLine="0"/>
            </w:pPr>
            <w:r w:rsidRPr="00761653">
              <w:t xml:space="preserve">Нагрузочная доза 25-30 мг/кг, затем 15-20 мг/кг каждые 8-12 часов (разовая доза не должна превышать 2 г), инфузия в течение 1,5-2 часов </w:t>
            </w:r>
          </w:p>
        </w:tc>
      </w:tr>
      <w:tr w:rsidR="00116AF3" w:rsidRPr="00265B67" w14:paraId="13B14F49" w14:textId="77777777" w:rsidTr="002D3EBF">
        <w:tc>
          <w:tcPr>
            <w:tcW w:w="2376" w:type="dxa"/>
            <w:vMerge w:val="restart"/>
          </w:tcPr>
          <w:p w14:paraId="4D72937F" w14:textId="77777777" w:rsidR="00116AF3" w:rsidRPr="00761653" w:rsidRDefault="00116AF3" w:rsidP="002D3EBF">
            <w:pPr>
              <w:ind w:left="57" w:right="57" w:firstLine="0"/>
            </w:pPr>
            <w:r w:rsidRPr="00761653">
              <w:rPr>
                <w:i/>
              </w:rPr>
              <w:t>S. aureus,</w:t>
            </w:r>
            <w:r w:rsidRPr="00761653">
              <w:t xml:space="preserve"> устойчивые к оксациллину</w:t>
            </w:r>
          </w:p>
        </w:tc>
        <w:tc>
          <w:tcPr>
            <w:tcW w:w="2835" w:type="dxa"/>
          </w:tcPr>
          <w:p w14:paraId="3F913B30" w14:textId="77777777" w:rsidR="00116AF3" w:rsidRPr="00761653" w:rsidRDefault="00116AF3" w:rsidP="002D3EBF">
            <w:pPr>
              <w:ind w:left="57" w:right="57" w:firstLine="0"/>
            </w:pPr>
            <w:r w:rsidRPr="00761653">
              <w:t>Ванкомицин</w:t>
            </w:r>
          </w:p>
        </w:tc>
        <w:tc>
          <w:tcPr>
            <w:tcW w:w="4395" w:type="dxa"/>
          </w:tcPr>
          <w:p w14:paraId="4198884A" w14:textId="77777777" w:rsidR="00116AF3" w:rsidRPr="00761653" w:rsidRDefault="00116AF3" w:rsidP="002D3EBF">
            <w:pPr>
              <w:ind w:left="57" w:right="57" w:firstLine="0"/>
            </w:pPr>
            <w:r w:rsidRPr="00761653">
              <w:t xml:space="preserve">Нагрузочная доза 25-30 мг/кг, затем 15-20 мг/кг каждые 8-12 часов (разовая доза не должна превышать 2 г), инфузия в течение 1,5-2 часов (не рекомендован к назначению при инфекциях, вызванных </w:t>
            </w:r>
            <w:r w:rsidRPr="00761653">
              <w:rPr>
                <w:i/>
              </w:rPr>
              <w:t>S. aureus</w:t>
            </w:r>
            <w:r w:rsidRPr="00761653">
              <w:t xml:space="preserve"> с МПК ванкомицина &gt; 1 мкг/мл ввиду низкой клинической эффективности)</w:t>
            </w:r>
          </w:p>
        </w:tc>
      </w:tr>
      <w:tr w:rsidR="00116AF3" w:rsidRPr="00975FC1" w14:paraId="17462C3E" w14:textId="77777777" w:rsidTr="002D3EBF">
        <w:tc>
          <w:tcPr>
            <w:tcW w:w="2376" w:type="dxa"/>
            <w:vMerge/>
          </w:tcPr>
          <w:p w14:paraId="143B532D" w14:textId="77777777" w:rsidR="00116AF3" w:rsidRPr="00761653" w:rsidRDefault="00116AF3" w:rsidP="002D3EBF">
            <w:pPr>
              <w:ind w:left="57" w:right="57" w:firstLine="0"/>
            </w:pPr>
          </w:p>
        </w:tc>
        <w:tc>
          <w:tcPr>
            <w:tcW w:w="2835" w:type="dxa"/>
          </w:tcPr>
          <w:p w14:paraId="42F2ACE8" w14:textId="77777777" w:rsidR="00116AF3" w:rsidRPr="00761653" w:rsidRDefault="00116AF3" w:rsidP="002D3EBF">
            <w:pPr>
              <w:ind w:left="57" w:right="57" w:firstLine="0"/>
            </w:pPr>
            <w:r w:rsidRPr="00761653">
              <w:t>Линезолид</w:t>
            </w:r>
          </w:p>
        </w:tc>
        <w:tc>
          <w:tcPr>
            <w:tcW w:w="4395" w:type="dxa"/>
          </w:tcPr>
          <w:p w14:paraId="72E005A9" w14:textId="77777777" w:rsidR="00116AF3" w:rsidRPr="00761653" w:rsidRDefault="00116AF3" w:rsidP="002D3EBF">
            <w:pPr>
              <w:ind w:left="57" w:right="57" w:firstLine="0"/>
            </w:pPr>
            <w:r w:rsidRPr="00761653">
              <w:t>600 мг каждые 12 часов, в/в или внутрь</w:t>
            </w:r>
          </w:p>
        </w:tc>
      </w:tr>
      <w:tr w:rsidR="00116AF3" w:rsidRPr="00975FC1" w14:paraId="3853DE73" w14:textId="77777777" w:rsidTr="002D3EBF">
        <w:tc>
          <w:tcPr>
            <w:tcW w:w="2376" w:type="dxa"/>
            <w:vMerge/>
          </w:tcPr>
          <w:p w14:paraId="7A1C0622" w14:textId="77777777" w:rsidR="00116AF3" w:rsidRPr="00761653" w:rsidRDefault="00116AF3" w:rsidP="002D3EBF">
            <w:pPr>
              <w:ind w:left="57" w:right="57" w:firstLine="0"/>
            </w:pPr>
          </w:p>
        </w:tc>
        <w:tc>
          <w:tcPr>
            <w:tcW w:w="2835" w:type="dxa"/>
          </w:tcPr>
          <w:p w14:paraId="20244EB9" w14:textId="77777777" w:rsidR="00116AF3" w:rsidRPr="00761653" w:rsidRDefault="00116AF3" w:rsidP="002D3EBF">
            <w:pPr>
              <w:ind w:left="57" w:right="57" w:firstLine="0"/>
            </w:pPr>
            <w:r w:rsidRPr="00761653">
              <w:t>Тедизолид</w:t>
            </w:r>
          </w:p>
        </w:tc>
        <w:tc>
          <w:tcPr>
            <w:tcW w:w="4395" w:type="dxa"/>
          </w:tcPr>
          <w:p w14:paraId="2BECD92A" w14:textId="77777777" w:rsidR="00116AF3" w:rsidRPr="00761653" w:rsidRDefault="00116AF3" w:rsidP="002D3EBF">
            <w:pPr>
              <w:ind w:left="57" w:right="57" w:firstLine="0"/>
            </w:pPr>
            <w:r w:rsidRPr="00761653">
              <w:t>200 мг каждые 24 часа, внутрь или в/в инфузия в течение 1 часа (не применяют для лечения инфекций кровотока и пневмонии)</w:t>
            </w:r>
          </w:p>
        </w:tc>
      </w:tr>
      <w:tr w:rsidR="00116AF3" w:rsidRPr="00265B67" w14:paraId="004D1CF4" w14:textId="77777777" w:rsidTr="002D3EBF">
        <w:tc>
          <w:tcPr>
            <w:tcW w:w="2376" w:type="dxa"/>
            <w:vMerge/>
          </w:tcPr>
          <w:p w14:paraId="0489B27B" w14:textId="77777777" w:rsidR="00116AF3" w:rsidRPr="00761653" w:rsidRDefault="00116AF3" w:rsidP="002D3EBF">
            <w:pPr>
              <w:ind w:left="57" w:right="57" w:firstLine="0"/>
            </w:pPr>
          </w:p>
        </w:tc>
        <w:tc>
          <w:tcPr>
            <w:tcW w:w="2835" w:type="dxa"/>
          </w:tcPr>
          <w:p w14:paraId="3190BDD9" w14:textId="77777777" w:rsidR="00116AF3" w:rsidRPr="00761653" w:rsidRDefault="00116AF3" w:rsidP="002D3EBF">
            <w:pPr>
              <w:ind w:left="57" w:right="57" w:firstLine="0"/>
            </w:pPr>
            <w:r w:rsidRPr="00761653">
              <w:t>Даптомицин</w:t>
            </w:r>
          </w:p>
        </w:tc>
        <w:tc>
          <w:tcPr>
            <w:tcW w:w="4395" w:type="dxa"/>
          </w:tcPr>
          <w:p w14:paraId="18D00B45" w14:textId="77777777" w:rsidR="00116AF3" w:rsidRPr="00761653" w:rsidRDefault="00116AF3" w:rsidP="002D3EBF">
            <w:pPr>
              <w:ind w:left="57" w:right="57" w:firstLine="0"/>
            </w:pPr>
            <w:r w:rsidRPr="00761653">
              <w:t>10-12 мг/кг каждые 24 часа, инфузия в течение 30 минут (препарат не применяют для лечения пневмонии)</w:t>
            </w:r>
          </w:p>
        </w:tc>
      </w:tr>
      <w:tr w:rsidR="00116AF3" w:rsidRPr="00265B67" w14:paraId="13D1D1EC" w14:textId="77777777" w:rsidTr="002D3EBF">
        <w:tc>
          <w:tcPr>
            <w:tcW w:w="2376" w:type="dxa"/>
            <w:vMerge/>
          </w:tcPr>
          <w:p w14:paraId="295C69AD" w14:textId="77777777" w:rsidR="00116AF3" w:rsidRPr="00761653" w:rsidRDefault="00116AF3" w:rsidP="002D3EBF">
            <w:pPr>
              <w:ind w:left="57" w:right="57" w:firstLine="0"/>
            </w:pPr>
          </w:p>
        </w:tc>
        <w:tc>
          <w:tcPr>
            <w:tcW w:w="2835" w:type="dxa"/>
          </w:tcPr>
          <w:p w14:paraId="594ECBB1" w14:textId="77777777" w:rsidR="00116AF3" w:rsidRPr="00761653" w:rsidRDefault="00116AF3" w:rsidP="002D3EBF">
            <w:pPr>
              <w:ind w:left="57" w:right="57" w:firstLine="0"/>
            </w:pPr>
            <w:r w:rsidRPr="00761653">
              <w:t>Телаванцин</w:t>
            </w:r>
          </w:p>
        </w:tc>
        <w:tc>
          <w:tcPr>
            <w:tcW w:w="4395" w:type="dxa"/>
          </w:tcPr>
          <w:p w14:paraId="3EE93638" w14:textId="77777777" w:rsidR="00116AF3" w:rsidRPr="00761653" w:rsidRDefault="00116AF3" w:rsidP="002D3EBF">
            <w:pPr>
              <w:ind w:left="57" w:right="57" w:firstLine="0"/>
            </w:pPr>
            <w:r w:rsidRPr="00761653">
              <w:t>10 мг/кг каждые 24 часа, инфузия в течение 1 часа</w:t>
            </w:r>
          </w:p>
        </w:tc>
      </w:tr>
      <w:tr w:rsidR="00116AF3" w:rsidRPr="00265B67" w14:paraId="378CB884" w14:textId="77777777" w:rsidTr="002D3EBF">
        <w:tc>
          <w:tcPr>
            <w:tcW w:w="2376" w:type="dxa"/>
            <w:vMerge/>
          </w:tcPr>
          <w:p w14:paraId="736EFA76" w14:textId="77777777" w:rsidR="00116AF3" w:rsidRPr="00761653" w:rsidRDefault="00116AF3" w:rsidP="002D3EBF">
            <w:pPr>
              <w:ind w:left="57" w:right="57" w:firstLine="0"/>
            </w:pPr>
          </w:p>
        </w:tc>
        <w:tc>
          <w:tcPr>
            <w:tcW w:w="2835" w:type="dxa"/>
          </w:tcPr>
          <w:p w14:paraId="038B75C2" w14:textId="77777777" w:rsidR="00116AF3" w:rsidRPr="00761653" w:rsidRDefault="00116AF3" w:rsidP="002D3EBF">
            <w:pPr>
              <w:ind w:left="57" w:right="57" w:firstLine="0"/>
            </w:pPr>
            <w:r w:rsidRPr="00761653">
              <w:t>Далбаванцин</w:t>
            </w:r>
          </w:p>
        </w:tc>
        <w:tc>
          <w:tcPr>
            <w:tcW w:w="4395" w:type="dxa"/>
          </w:tcPr>
          <w:p w14:paraId="183154BE" w14:textId="77777777" w:rsidR="00116AF3" w:rsidRPr="00761653" w:rsidRDefault="00116AF3" w:rsidP="002D3EBF">
            <w:pPr>
              <w:ind w:left="57" w:right="57" w:firstLine="0"/>
            </w:pPr>
            <w:r w:rsidRPr="00761653">
              <w:t>1000 мг, инфузия в течение 30 мин, затем через неделю 500мг , инфузия в течение 30 мин</w:t>
            </w:r>
          </w:p>
        </w:tc>
      </w:tr>
      <w:tr w:rsidR="00116AF3" w:rsidRPr="00975FC1" w14:paraId="2A6DEBAF" w14:textId="77777777" w:rsidTr="002D3EBF">
        <w:tc>
          <w:tcPr>
            <w:tcW w:w="2376" w:type="dxa"/>
            <w:vMerge/>
          </w:tcPr>
          <w:p w14:paraId="2C8F8256" w14:textId="77777777" w:rsidR="00116AF3" w:rsidRPr="00761653" w:rsidRDefault="00116AF3" w:rsidP="002D3EBF">
            <w:pPr>
              <w:ind w:left="57" w:right="57" w:firstLine="0"/>
            </w:pPr>
          </w:p>
        </w:tc>
        <w:tc>
          <w:tcPr>
            <w:tcW w:w="2835" w:type="dxa"/>
          </w:tcPr>
          <w:p w14:paraId="1887E3AD" w14:textId="77777777" w:rsidR="00116AF3" w:rsidRPr="00761653" w:rsidRDefault="00116AF3" w:rsidP="002D3EBF">
            <w:pPr>
              <w:ind w:left="57" w:right="57" w:firstLine="0"/>
            </w:pPr>
            <w:r w:rsidRPr="00761653">
              <w:t>Тигециклин</w:t>
            </w:r>
          </w:p>
        </w:tc>
        <w:tc>
          <w:tcPr>
            <w:tcW w:w="4395" w:type="dxa"/>
          </w:tcPr>
          <w:p w14:paraId="303633CC" w14:textId="77777777" w:rsidR="00116AF3" w:rsidRPr="00761653" w:rsidRDefault="00116AF3" w:rsidP="002D3EBF">
            <w:pPr>
              <w:ind w:left="57" w:right="57" w:firstLine="0"/>
            </w:pPr>
            <w:r w:rsidRPr="00761653">
              <w:t>Нагрузочная доза 100 мг, затем по 50 мг каждые 12 часов (не показан для лечения инфекций кровотока), в/в (применяют при интрабдоминальной инфекции, при инфекции кожи и мягких тканей)</w:t>
            </w:r>
          </w:p>
        </w:tc>
      </w:tr>
      <w:tr w:rsidR="00116AF3" w:rsidRPr="00265B67" w14:paraId="1DC5D14B" w14:textId="77777777" w:rsidTr="002D3EBF">
        <w:tc>
          <w:tcPr>
            <w:tcW w:w="2376" w:type="dxa"/>
            <w:vMerge/>
          </w:tcPr>
          <w:p w14:paraId="55F7527E" w14:textId="77777777" w:rsidR="00116AF3" w:rsidRPr="00761653" w:rsidRDefault="00116AF3" w:rsidP="002D3EBF">
            <w:pPr>
              <w:ind w:left="57" w:right="57" w:firstLine="0"/>
            </w:pPr>
          </w:p>
        </w:tc>
        <w:tc>
          <w:tcPr>
            <w:tcW w:w="2835" w:type="dxa"/>
          </w:tcPr>
          <w:p w14:paraId="0C249547" w14:textId="77777777" w:rsidR="00116AF3" w:rsidRPr="00761653" w:rsidRDefault="00116AF3" w:rsidP="002D3EBF">
            <w:pPr>
              <w:ind w:left="57" w:right="57" w:firstLine="0"/>
            </w:pPr>
            <w:r w:rsidRPr="00761653">
              <w:t>Цефтаролин</w:t>
            </w:r>
          </w:p>
        </w:tc>
        <w:tc>
          <w:tcPr>
            <w:tcW w:w="4395" w:type="dxa"/>
          </w:tcPr>
          <w:p w14:paraId="727F6EAD" w14:textId="77777777" w:rsidR="00116AF3" w:rsidRPr="00761653" w:rsidRDefault="00116AF3" w:rsidP="002D3EBF">
            <w:pPr>
              <w:ind w:left="57" w:right="57" w:firstLine="0"/>
            </w:pPr>
            <w:r w:rsidRPr="00761653">
              <w:t>600 мг каждые 12 часов, инфузия в течение 5-60 минут</w:t>
            </w:r>
          </w:p>
        </w:tc>
      </w:tr>
      <w:tr w:rsidR="00116AF3" w:rsidRPr="00265B67" w14:paraId="110E2545" w14:textId="77777777" w:rsidTr="002D3EBF">
        <w:tc>
          <w:tcPr>
            <w:tcW w:w="2376" w:type="dxa"/>
          </w:tcPr>
          <w:p w14:paraId="48FAFA32" w14:textId="77777777" w:rsidR="00116AF3" w:rsidRPr="00761653" w:rsidRDefault="00116AF3" w:rsidP="002D3EBF">
            <w:pPr>
              <w:ind w:left="57" w:right="57" w:firstLine="0"/>
            </w:pPr>
            <w:r w:rsidRPr="00761653">
              <w:rPr>
                <w:i/>
              </w:rPr>
              <w:t xml:space="preserve">E. faecium, </w:t>
            </w:r>
            <w:r w:rsidRPr="00761653">
              <w:t>чувствительные к ванкомицину</w:t>
            </w:r>
          </w:p>
        </w:tc>
        <w:tc>
          <w:tcPr>
            <w:tcW w:w="2835" w:type="dxa"/>
          </w:tcPr>
          <w:p w14:paraId="5F5D22BC" w14:textId="77777777" w:rsidR="00116AF3" w:rsidRPr="00761653" w:rsidRDefault="00116AF3" w:rsidP="002D3EBF">
            <w:pPr>
              <w:ind w:left="57" w:right="57" w:firstLine="0"/>
            </w:pPr>
            <w:r w:rsidRPr="00761653">
              <w:t>Ванкомицин</w:t>
            </w:r>
          </w:p>
        </w:tc>
        <w:tc>
          <w:tcPr>
            <w:tcW w:w="4395" w:type="dxa"/>
          </w:tcPr>
          <w:p w14:paraId="130A6695" w14:textId="77777777" w:rsidR="00116AF3" w:rsidRPr="00761653" w:rsidRDefault="00116AF3" w:rsidP="002D3EBF">
            <w:pPr>
              <w:ind w:left="57" w:right="57" w:firstLine="0"/>
            </w:pPr>
            <w:r w:rsidRPr="00761653">
              <w:t>Нагрузочная доза 25-30 мг/кг, затем 15-20 мг/кг каждые 8-12 часов, (разовая доза не должна превышать 2 г), инфузия в течение 1,5-2 часов</w:t>
            </w:r>
          </w:p>
        </w:tc>
      </w:tr>
      <w:tr w:rsidR="00116AF3" w:rsidRPr="00265B67" w14:paraId="29B5235D" w14:textId="77777777" w:rsidTr="002D3EBF">
        <w:tc>
          <w:tcPr>
            <w:tcW w:w="2376" w:type="dxa"/>
            <w:vMerge w:val="restart"/>
          </w:tcPr>
          <w:p w14:paraId="66B871F3" w14:textId="77777777" w:rsidR="00116AF3" w:rsidRPr="00761653" w:rsidRDefault="00116AF3" w:rsidP="002D3EBF">
            <w:pPr>
              <w:ind w:left="57" w:right="57" w:firstLine="0"/>
            </w:pPr>
            <w:r w:rsidRPr="00761653">
              <w:rPr>
                <w:i/>
              </w:rPr>
              <w:t>E.faecium,</w:t>
            </w:r>
            <w:r w:rsidRPr="00761653">
              <w:t xml:space="preserve"> устойчивые к ванкомицину</w:t>
            </w:r>
          </w:p>
        </w:tc>
        <w:tc>
          <w:tcPr>
            <w:tcW w:w="2835" w:type="dxa"/>
          </w:tcPr>
          <w:p w14:paraId="4CF865B9" w14:textId="77777777" w:rsidR="00116AF3" w:rsidRPr="00761653" w:rsidRDefault="00116AF3" w:rsidP="002D3EBF">
            <w:pPr>
              <w:ind w:left="57" w:right="57" w:firstLine="0"/>
            </w:pPr>
            <w:r w:rsidRPr="00761653">
              <w:t>Даптомицин</w:t>
            </w:r>
          </w:p>
        </w:tc>
        <w:tc>
          <w:tcPr>
            <w:tcW w:w="4395" w:type="dxa"/>
          </w:tcPr>
          <w:p w14:paraId="70633A01" w14:textId="77777777" w:rsidR="00116AF3" w:rsidRPr="00761653" w:rsidRDefault="00116AF3" w:rsidP="002D3EBF">
            <w:pPr>
              <w:ind w:left="57" w:right="57" w:firstLine="0"/>
            </w:pPr>
            <w:r w:rsidRPr="00761653">
              <w:t>10-12 мг/кг каждые 24 часа, инфузия в течение 30 мин</w:t>
            </w:r>
          </w:p>
        </w:tc>
      </w:tr>
      <w:tr w:rsidR="00116AF3" w:rsidRPr="00975FC1" w14:paraId="35DBBEA7" w14:textId="77777777" w:rsidTr="002D3EBF">
        <w:tc>
          <w:tcPr>
            <w:tcW w:w="2376" w:type="dxa"/>
            <w:vMerge/>
          </w:tcPr>
          <w:p w14:paraId="251A68F3" w14:textId="77777777" w:rsidR="00116AF3" w:rsidRPr="00761653" w:rsidRDefault="00116AF3" w:rsidP="002D3EBF">
            <w:pPr>
              <w:ind w:left="57" w:right="57" w:firstLine="0"/>
            </w:pPr>
          </w:p>
        </w:tc>
        <w:tc>
          <w:tcPr>
            <w:tcW w:w="2835" w:type="dxa"/>
          </w:tcPr>
          <w:p w14:paraId="0138F4AB" w14:textId="77777777" w:rsidR="00116AF3" w:rsidRPr="00761653" w:rsidRDefault="00116AF3" w:rsidP="002D3EBF">
            <w:pPr>
              <w:ind w:left="57" w:right="57" w:firstLine="0"/>
            </w:pPr>
            <w:r w:rsidRPr="00761653">
              <w:t>Линезолид</w:t>
            </w:r>
          </w:p>
        </w:tc>
        <w:tc>
          <w:tcPr>
            <w:tcW w:w="4395" w:type="dxa"/>
          </w:tcPr>
          <w:p w14:paraId="010EF50E" w14:textId="77777777" w:rsidR="00116AF3" w:rsidRPr="00761653" w:rsidRDefault="00116AF3" w:rsidP="002D3EBF">
            <w:pPr>
              <w:ind w:left="57" w:right="57" w:firstLine="0"/>
            </w:pPr>
            <w:r w:rsidRPr="00761653">
              <w:t>600 мг каждые 12 часов, в/в или внутрь (следует применять при инфекциях, вызванных штаммами с МПК даптомицина &gt; 4 мкг/мл)</w:t>
            </w:r>
          </w:p>
        </w:tc>
      </w:tr>
      <w:tr w:rsidR="00116AF3" w:rsidRPr="00975FC1" w14:paraId="0E68F678" w14:textId="77777777" w:rsidTr="002D3EBF">
        <w:tc>
          <w:tcPr>
            <w:tcW w:w="2376" w:type="dxa"/>
            <w:vMerge/>
          </w:tcPr>
          <w:p w14:paraId="4A2DE438" w14:textId="77777777" w:rsidR="00116AF3" w:rsidRPr="00761653" w:rsidRDefault="00116AF3" w:rsidP="002D3EBF">
            <w:pPr>
              <w:ind w:left="57" w:right="57" w:firstLine="0"/>
            </w:pPr>
          </w:p>
        </w:tc>
        <w:tc>
          <w:tcPr>
            <w:tcW w:w="2835" w:type="dxa"/>
          </w:tcPr>
          <w:p w14:paraId="5D9917E0" w14:textId="77777777" w:rsidR="00116AF3" w:rsidRPr="00761653" w:rsidRDefault="00116AF3" w:rsidP="002D3EBF">
            <w:pPr>
              <w:ind w:left="57" w:right="57" w:firstLine="0"/>
            </w:pPr>
            <w:r w:rsidRPr="00761653">
              <w:t>Тедизолид</w:t>
            </w:r>
          </w:p>
        </w:tc>
        <w:tc>
          <w:tcPr>
            <w:tcW w:w="4395" w:type="dxa"/>
          </w:tcPr>
          <w:p w14:paraId="5535DCEB" w14:textId="77777777" w:rsidR="00116AF3" w:rsidRPr="00761653" w:rsidRDefault="00116AF3" w:rsidP="002D3EBF">
            <w:pPr>
              <w:ind w:left="57" w:right="57" w:firstLine="0"/>
            </w:pPr>
            <w:r w:rsidRPr="00761653">
              <w:t>200 мг каждые 24 часа, внутрь или в/в инфузия в течение 1 часа (не применяют в лечении инфекций кровотока и пневмонии)</w:t>
            </w:r>
          </w:p>
        </w:tc>
      </w:tr>
      <w:tr w:rsidR="00116AF3" w:rsidRPr="00265B67" w14:paraId="1F22EA72" w14:textId="77777777" w:rsidTr="002D3EBF">
        <w:tc>
          <w:tcPr>
            <w:tcW w:w="2376" w:type="dxa"/>
            <w:vMerge/>
          </w:tcPr>
          <w:p w14:paraId="6BC41DED" w14:textId="77777777" w:rsidR="00116AF3" w:rsidRPr="00761653" w:rsidRDefault="00116AF3" w:rsidP="002D3EBF">
            <w:pPr>
              <w:ind w:left="57" w:right="57" w:firstLine="0"/>
            </w:pPr>
          </w:p>
        </w:tc>
        <w:tc>
          <w:tcPr>
            <w:tcW w:w="2835" w:type="dxa"/>
          </w:tcPr>
          <w:p w14:paraId="5DBD001C" w14:textId="77777777" w:rsidR="00116AF3" w:rsidRPr="00761653" w:rsidRDefault="00116AF3" w:rsidP="002D3EBF">
            <w:pPr>
              <w:ind w:left="57" w:right="57" w:firstLine="0"/>
            </w:pPr>
            <w:r w:rsidRPr="00761653">
              <w:t>Тигециклин</w:t>
            </w:r>
          </w:p>
        </w:tc>
        <w:tc>
          <w:tcPr>
            <w:tcW w:w="4395" w:type="dxa"/>
          </w:tcPr>
          <w:p w14:paraId="36BA2B7B" w14:textId="77777777" w:rsidR="00116AF3" w:rsidRPr="00761653" w:rsidRDefault="00116AF3" w:rsidP="002D3EBF">
            <w:pPr>
              <w:ind w:left="57" w:right="57" w:firstLine="0"/>
            </w:pPr>
            <w:r w:rsidRPr="00761653">
              <w:t>Нагрузочная доза 100 мг, затем по 50 мг каждые 12 часов (не показан для лечения инфекций кровотока, инфекций мочевыводящих путей)</w:t>
            </w:r>
          </w:p>
        </w:tc>
      </w:tr>
    </w:tbl>
    <w:p w14:paraId="1988EC4F" w14:textId="77777777" w:rsidR="00116AF3" w:rsidRDefault="00116AF3" w:rsidP="00116AF3">
      <w:pPr>
        <w:widowControl w:val="0"/>
        <w:autoSpaceDE w:val="0"/>
        <w:autoSpaceDN w:val="0"/>
        <w:adjustRightInd w:val="0"/>
        <w:ind w:right="49"/>
        <w:contextualSpacing/>
        <w:rPr>
          <w:b/>
          <w:bCs/>
          <w:iCs/>
        </w:rPr>
      </w:pPr>
    </w:p>
    <w:p w14:paraId="34DE64D2" w14:textId="77777777" w:rsidR="00116AF3" w:rsidRPr="00761653" w:rsidRDefault="00116AF3" w:rsidP="00116AF3">
      <w:pPr>
        <w:widowControl w:val="0"/>
        <w:autoSpaceDE w:val="0"/>
        <w:autoSpaceDN w:val="0"/>
        <w:adjustRightInd w:val="0"/>
        <w:ind w:right="49"/>
        <w:contextualSpacing/>
        <w:rPr>
          <w:bCs/>
          <w:iCs/>
        </w:rPr>
      </w:pPr>
      <w:r w:rsidRPr="00761653">
        <w:rPr>
          <w:b/>
          <w:bCs/>
          <w:iCs/>
        </w:rPr>
        <w:t>Отдельные инфекции, требующие особого лечения, у иммунокомпрометированных больных</w:t>
      </w:r>
      <w:r w:rsidRPr="00761653">
        <w:rPr>
          <w:bCs/>
          <w:iCs/>
        </w:rPr>
        <w:t xml:space="preserve">. </w:t>
      </w:r>
    </w:p>
    <w:p w14:paraId="52CEA920" w14:textId="77777777" w:rsidR="00116AF3" w:rsidRPr="00284D51" w:rsidRDefault="00116AF3" w:rsidP="00116AF3">
      <w:pPr>
        <w:widowControl w:val="0"/>
        <w:autoSpaceDE w:val="0"/>
        <w:autoSpaceDN w:val="0"/>
        <w:adjustRightInd w:val="0"/>
        <w:ind w:right="49"/>
        <w:contextualSpacing/>
        <w:rPr>
          <w:i/>
          <w:iCs/>
        </w:rPr>
      </w:pPr>
      <w:r w:rsidRPr="00284D51">
        <w:rPr>
          <w:i/>
          <w:iCs/>
        </w:rPr>
        <w:t xml:space="preserve">Listeria monocytogenes </w:t>
      </w:r>
    </w:p>
    <w:p w14:paraId="5D3B0C7C" w14:textId="3F1AEAD9" w:rsidR="00116AF3" w:rsidRPr="00761653" w:rsidRDefault="00116AF3" w:rsidP="00116AF3">
      <w:pPr>
        <w:widowControl w:val="0"/>
        <w:autoSpaceDE w:val="0"/>
        <w:autoSpaceDN w:val="0"/>
        <w:adjustRightInd w:val="0"/>
        <w:ind w:right="49"/>
        <w:contextualSpacing/>
      </w:pPr>
      <w:r w:rsidRPr="00D27DBA">
        <w:rPr>
          <w:bCs/>
          <w:i/>
          <w:iCs/>
        </w:rPr>
        <w:t>Listeria monocytogenes (</w:t>
      </w:r>
      <w:r w:rsidRPr="00D27DBA">
        <w:rPr>
          <w:i/>
        </w:rPr>
        <w:t xml:space="preserve">L. monocytogenes) </w:t>
      </w:r>
      <w:r>
        <w:rPr>
          <w:bCs/>
          <w:iCs/>
        </w:rPr>
        <w:t>в</w:t>
      </w:r>
      <w:r w:rsidRPr="00761653">
        <w:rPr>
          <w:iCs/>
        </w:rPr>
        <w:t xml:space="preserve">ызывают </w:t>
      </w:r>
      <w:r w:rsidRPr="00761653">
        <w:t>инфекции кровотока и менингоэнцефалит. Инфекция возникает преимущественно у больных с нарушениями Т-клеточного звена иммунитета</w:t>
      </w:r>
      <w:r w:rsidRPr="00F674EC">
        <w:t xml:space="preserve"> </w:t>
      </w:r>
      <w:r>
        <w:fldChar w:fldCharType="begin" w:fldLock="1"/>
      </w:r>
      <w:r w:rsidR="009D41F9">
        <w:instrText>ADDIN CSL_CITATION {"citationItems":[{"id":"ITEM-1","itemData":{"DOI":"10.3324/haematol.2013.091330","ISSN":"15928721","PMID":"24323984","abstract":"The detection of multi-resistant bacterial pathogens, particularly those to carbapenemases, in leukemic and stem cell transplant patients forces the use of old or non-conventional agents as the only remaining treatment options. These include colistin/polymyxin B, tigecycline, fosfomycin and various anti-gram-positive agents. Data on the use of these agents in leukemic patients are scanty, with only linezolid subjected to formal trials. The Expert Group of the 4th European Conference on Infections in Leukemia has developed guidelines for their use in these patient populations. Targeted therapy should be based on (i) in vitro susceptibility data, (ii) knowledge of the best treatment option against the particular species or phenotype of bacteria, (iii) pharmacokinetic/pharmacodynamic data, and (iv) careful assessment of the risk-benefit balance. For infections due to resistant Gram-negative bacteria, these agents should be preferably used in combination with other agents that remain active in vitro, because of suboptimal efficacy (e.g., tigecy-cline) and the risk of emergent resistance (e.g., fosfomycin). The paucity of new antibacterial drugs in the near future should lead us to limit the use of these drugs to situations where no alternative exists. © 2013 Ferrata Storti Foundation.","author":[{"dropping-particle":"","family":"Averbuch","given":"Dia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Orasch","given":"Christin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-1","issue":"12","issued":{"date-parts":[["2013","12","1"]]},"page":"1836-1847","publisher":"Ferrata Storti Foundation","title":"Targeted therapy against multi-resistant bacteria in leukemic and hematopoietic stem cell transplant recipients: Guidelines of the 4th European conference on Infections in Leukemia (ECIL-4, 2011)","type":"article-journal","volume":"98"},"uris":["http://www.mendeley.com/documents/?uuid=49d65b4a-286f-48de-9fa8-11535bbffaa2"]}],"mendeley":{"formattedCitation":"[50]","plainTextFormattedCitation":"[50]","previouslyFormattedCitation":"[50]"},"properties":{"noteIndex":0},"schema":"https://github.com/citation-style-language/schema/raw/master/csl-citation.json"}</w:instrText>
      </w:r>
      <w:r>
        <w:fldChar w:fldCharType="separate"/>
      </w:r>
      <w:r w:rsidR="004C3BA5" w:rsidRPr="004C3BA5">
        <w:rPr>
          <w:noProof/>
        </w:rPr>
        <w:t>[50]</w:t>
      </w:r>
      <w:r>
        <w:fldChar w:fldCharType="end"/>
      </w:r>
      <w:r w:rsidRPr="00761653">
        <w:t xml:space="preserve">. Характерным является стремительное развитие инфекции – в течение 2-3 часов изменяется клиническая картина: возникает нарушение сознания вплоть до комы, определяются ригидность затылочных мышц и положительный симптом Кернига. Препарат выбора для лечения </w:t>
      </w:r>
      <w:r w:rsidRPr="00761653">
        <w:rPr>
          <w:bCs/>
        </w:rPr>
        <w:t xml:space="preserve">инфекции, вызванной </w:t>
      </w:r>
      <w:r w:rsidRPr="00761653">
        <w:rPr>
          <w:bCs/>
          <w:i/>
          <w:iCs/>
        </w:rPr>
        <w:t>L. monocytogenes</w:t>
      </w:r>
      <w:r w:rsidRPr="00761653">
        <w:rPr>
          <w:b/>
          <w:bCs/>
        </w:rPr>
        <w:t xml:space="preserve">, </w:t>
      </w:r>
      <w:r w:rsidRPr="00761653">
        <w:t xml:space="preserve">ампициллин по 2 г внутривенно 6 раз в сутки, при менингоэнцефалите – в сочетание с гентамицином 5мг/кг/сутки, внутривенно. </w:t>
      </w:r>
      <w:r w:rsidRPr="00761653">
        <w:rPr>
          <w:bCs/>
        </w:rPr>
        <w:t xml:space="preserve">Больным с нейтропенией и инфекцией ЦНС дополнительно назначают меропенем по 2 г х 3 раза. Меропенем отменяют при восстановлении гранулоцитов и продолжают лечение сочетанием ампициллина с гентамицином. </w:t>
      </w:r>
      <w:r w:rsidRPr="00761653">
        <w:rPr>
          <w:iCs/>
        </w:rPr>
        <w:t xml:space="preserve">Альтернативный препарат - </w:t>
      </w:r>
      <w:r w:rsidRPr="00761653">
        <w:t>триметоприм/сульфаметоксазол (расчет дозы по триметоприму 15 мг/кг в сутки, дозу разделяют на 3 приема). Такая доза используется у больных с вовлечением и без вовлечения ЦНС в инфекционный процесс.</w:t>
      </w:r>
      <w:r w:rsidRPr="00761653">
        <w:rPr>
          <w:bCs/>
        </w:rPr>
        <w:t xml:space="preserve"> Длительность лечения инфекции без вовлечения ЦНС составляет 14 дней, менингита - </w:t>
      </w:r>
      <w:r w:rsidRPr="00761653">
        <w:t>21 день, энцефалита или абсцессов в головном мозге - от 6 недель и более, эндокардита - 4-6 недель.</w:t>
      </w:r>
      <w:r w:rsidRPr="00761653">
        <w:rPr>
          <w:bCs/>
        </w:rPr>
        <w:t xml:space="preserve"> </w:t>
      </w:r>
      <w:r w:rsidRPr="00761653">
        <w:t>При инфекции ЦНС отмену антибиотиков выполняют только при полной регрессии изменений в головном мозге.</w:t>
      </w:r>
    </w:p>
    <w:p w14:paraId="3D5AE569" w14:textId="77777777" w:rsidR="00116AF3" w:rsidRPr="00284D51" w:rsidRDefault="00116AF3" w:rsidP="00116AF3">
      <w:pPr>
        <w:widowControl w:val="0"/>
        <w:autoSpaceDE w:val="0"/>
        <w:autoSpaceDN w:val="0"/>
        <w:adjustRightInd w:val="0"/>
        <w:ind w:right="49"/>
        <w:contextualSpacing/>
        <w:rPr>
          <w:bCs/>
          <w:i/>
        </w:rPr>
      </w:pPr>
      <w:r w:rsidRPr="00284D51">
        <w:rPr>
          <w:bCs/>
          <w:i/>
        </w:rPr>
        <w:t xml:space="preserve">Legionella pneumophila </w:t>
      </w:r>
    </w:p>
    <w:p w14:paraId="631FCA5A" w14:textId="77777777" w:rsidR="00116AF3" w:rsidRPr="00761653" w:rsidRDefault="00116AF3" w:rsidP="00116AF3">
      <w:r w:rsidRPr="00761653">
        <w:rPr>
          <w:i/>
        </w:rPr>
        <w:t>Legionella</w:t>
      </w:r>
      <w:r w:rsidRPr="000D7B76">
        <w:rPr>
          <w:i/>
        </w:rPr>
        <w:t xml:space="preserve"> </w:t>
      </w:r>
      <w:r w:rsidRPr="00761653">
        <w:rPr>
          <w:i/>
        </w:rPr>
        <w:t>pneumophila</w:t>
      </w:r>
      <w:r w:rsidRPr="000D7B76">
        <w:rPr>
          <w:i/>
        </w:rPr>
        <w:t xml:space="preserve"> (</w:t>
      </w:r>
      <w:r w:rsidRPr="00761653">
        <w:rPr>
          <w:i/>
        </w:rPr>
        <w:t>L</w:t>
      </w:r>
      <w:r w:rsidRPr="000D7B76">
        <w:rPr>
          <w:i/>
        </w:rPr>
        <w:t xml:space="preserve">. </w:t>
      </w:r>
      <w:r w:rsidRPr="00761653">
        <w:rPr>
          <w:i/>
        </w:rPr>
        <w:t>pneumophila</w:t>
      </w:r>
      <w:r w:rsidRPr="000D7B76">
        <w:rPr>
          <w:i/>
        </w:rPr>
        <w:t>)</w:t>
      </w:r>
      <w:r w:rsidRPr="000D7B76">
        <w:t xml:space="preserve"> </w:t>
      </w:r>
      <w:r>
        <w:rPr>
          <w:i/>
        </w:rPr>
        <w:t>я</w:t>
      </w:r>
      <w:r w:rsidRPr="00761653">
        <w:t>вля</w:t>
      </w:r>
      <w:r>
        <w:t>ю</w:t>
      </w:r>
      <w:r w:rsidRPr="00761653">
        <w:t>тся</w:t>
      </w:r>
      <w:r w:rsidRPr="000D7B76">
        <w:t xml:space="preserve"> </w:t>
      </w:r>
      <w:r w:rsidRPr="00761653">
        <w:t>грамотрицательным</w:t>
      </w:r>
      <w:r w:rsidRPr="000D7B76">
        <w:t xml:space="preserve"> </w:t>
      </w:r>
      <w:r w:rsidRPr="00761653">
        <w:t>бактериями</w:t>
      </w:r>
      <w:r w:rsidRPr="000D7B76">
        <w:t xml:space="preserve">, </w:t>
      </w:r>
      <w:r>
        <w:t>в</w:t>
      </w:r>
      <w:r w:rsidRPr="00761653">
        <w:t>ызывают</w:t>
      </w:r>
      <w:r w:rsidRPr="000D7B76">
        <w:t xml:space="preserve"> </w:t>
      </w:r>
      <w:r w:rsidRPr="00761653">
        <w:t>пневмонии</w:t>
      </w:r>
      <w:r w:rsidRPr="000D7B76">
        <w:t xml:space="preserve">. </w:t>
      </w:r>
      <w:r w:rsidRPr="00761653">
        <w:t>Препараты выбора для лечения</w:t>
      </w:r>
      <w:r>
        <w:t xml:space="preserve"> </w:t>
      </w:r>
      <w:r w:rsidRPr="00761653">
        <w:rPr>
          <w:i/>
        </w:rPr>
        <w:t>L</w:t>
      </w:r>
      <w:r w:rsidRPr="00D27DBA">
        <w:rPr>
          <w:i/>
        </w:rPr>
        <w:t xml:space="preserve">. </w:t>
      </w:r>
      <w:r w:rsidRPr="00761653">
        <w:rPr>
          <w:i/>
        </w:rPr>
        <w:t>pneumophila</w:t>
      </w:r>
      <w:r w:rsidRPr="00D27DBA">
        <w:t xml:space="preserve"> – </w:t>
      </w:r>
      <w:r w:rsidRPr="00761653">
        <w:t xml:space="preserve"> - моксифлоксацин (400 мг 1 раз в сутки) или левофлоксацин (500 мг - 750 мг 1 раз в сутки) или азитромицин (500 мг 1 раз в сутки), альтернативный препарат - ципрофлоксацин (400 мг внутривенно 3 раза в сутки или 750 мг внутрь 2 раза в сутки), при тяжелом течении - сочетание фторхинолона с тигециклином (1-е введение 100 мг, далее по 50 мг каждые 12 часов). Длительность лечения составляет от 8 до 21 дня, при тяжелом течении и у реципиентов аллогенных ТГСК – более продолжительный период.</w:t>
      </w:r>
    </w:p>
    <w:p w14:paraId="55A2DD66" w14:textId="77777777" w:rsidR="00116AF3" w:rsidRPr="00284D51" w:rsidRDefault="00116AF3" w:rsidP="00116AF3">
      <w:pPr>
        <w:widowControl w:val="0"/>
        <w:autoSpaceDE w:val="0"/>
        <w:autoSpaceDN w:val="0"/>
        <w:adjustRightInd w:val="0"/>
        <w:ind w:right="49"/>
        <w:contextualSpacing/>
        <w:rPr>
          <w:i/>
          <w:iCs/>
        </w:rPr>
      </w:pPr>
      <w:r w:rsidRPr="00284D51">
        <w:rPr>
          <w:i/>
          <w:iCs/>
        </w:rPr>
        <w:t xml:space="preserve">Clostridioides difficile </w:t>
      </w:r>
    </w:p>
    <w:p w14:paraId="641471D0" w14:textId="09BFF92A" w:rsidR="00116AF3" w:rsidRPr="00761653" w:rsidRDefault="00116AF3" w:rsidP="00116AF3">
      <w:pPr>
        <w:widowControl w:val="0"/>
        <w:autoSpaceDE w:val="0"/>
        <w:autoSpaceDN w:val="0"/>
        <w:adjustRightInd w:val="0"/>
        <w:ind w:right="49"/>
        <w:contextualSpacing/>
        <w:rPr>
          <w:strike/>
        </w:rPr>
      </w:pPr>
      <w:r w:rsidRPr="00761653">
        <w:t xml:space="preserve">Факторами патогенности </w:t>
      </w:r>
      <w:r w:rsidRPr="00D27DBA">
        <w:rPr>
          <w:bCs/>
          <w:i/>
          <w:iCs/>
        </w:rPr>
        <w:t>Clostridioides difficile</w:t>
      </w:r>
      <w:r>
        <w:rPr>
          <w:bCs/>
          <w:i/>
          <w:iCs/>
        </w:rPr>
        <w:t xml:space="preserve"> (</w:t>
      </w:r>
      <w:r w:rsidRPr="00761653">
        <w:rPr>
          <w:i/>
          <w:iCs/>
        </w:rPr>
        <w:t xml:space="preserve">C. </w:t>
      </w:r>
      <w:r>
        <w:rPr>
          <w:i/>
          <w:iCs/>
        </w:rPr>
        <w:t>d</w:t>
      </w:r>
      <w:r w:rsidRPr="00761653">
        <w:rPr>
          <w:i/>
          <w:iCs/>
        </w:rPr>
        <w:t>ifficile</w:t>
      </w:r>
      <w:r>
        <w:rPr>
          <w:i/>
          <w:iCs/>
        </w:rPr>
        <w:t>)</w:t>
      </w:r>
      <w:r w:rsidRPr="00761653">
        <w:t xml:space="preserve"> являются токсины A и В</w:t>
      </w:r>
      <w:r w:rsidRPr="00F674EC">
        <w:t xml:space="preserve"> </w:t>
      </w:r>
      <w:r>
        <w:fldChar w:fldCharType="begin" w:fldLock="1"/>
      </w:r>
      <w:r w:rsidR="009D41F9">
        <w:instrText>ADDIN CSL_CITATION {"citationItems":[{"id":"ITEM-1","itemData":{"DOI":"10.1111/1469-0691.12418","ISSN":"14690691","PMID":"24118601","abstract":"In 2009 the first European Society of Clinical Microbiology and Infection (ESCMID) treatment guidance document for Clostridium difficile infection (CDI) was published. The guideline has been applied widely in clinical practice. In this document an update and review on the comparative effectiveness of the currently available treatment modalities of CDI is given, thereby providing evidence-based recommendations on this issue. A computerized literature search was carried out to investigate randomized and non-randomized trials investigating the effect of an intervention on the clinical outcome of CDI. The Grades of Recommendation Assessment, Development and Evaluation (GRADE) system was used to grade the strength of our recommendations and the quality of the evidence. The ESCMID and an international team of experts from 11 European countries supported the process. To improve clinical guidance in the treatment of CDI, recommendations are specified for various patient groups, e.g. initial non-severe disease, severe CDI, first recurrence or risk for recurrent disease, multiple recurrences and treatment of CDI when oral administration is not possible. Treatment options that are reviewed include: antibiotics, toxin-binding resins and polymers, immunotherapy, probiotics, and faecal or bacterial intestinal transplantation. Except for very mild CDI that is clearly induced by antibiotic usage antibiotic treatment is advised. The main antibiotics that are recommended are metronidazole, vancomycin and fidaxomicin. Faecal transplantation is strongly recommended for multiple recurrent CDI. In case of perforation of the colon and/or systemic inflammation and deteriorating clinical condition despite antibiotic therapy, total abdominal colectomy or diverting loop ileostomy combined with colonic lavage is recommended. © 2013 The Authors Clinical Microbiology and Infection © 2013 European Society of Clinical Microbiology and Infectious Diseases.","author":[{"dropping-particle":"","family":"Debast","given":"S. B.","non-dropping-particle":"","parse-names":false,"suffix":""},{"dropping-particle":"","family":"Bauer","given":"M. P.","non-dropping-particle":"","parse-names":false,"suffix":""},{"dropping-particle":"","family":"Kuijper","given":"E. J.","non-dropping-particle":"","parse-names":false,"suffix":""},{"dropping-particle":"","family":"Allerberger","given":"F.","non-dropping-particle":"","parse-names":false,"suffix":""},{"dropping-particle":"","family":"Bouza","given":"E.","non-dropping-particle":"","parse-names":false,"suffix":""},{"dropping-particle":"","family":"Coia","given":"J. E.","non-dropping-particle":"","parse-names":false,"suffix":""},{"dropping-particle":"","family":"Cornely","given":"O. A.","non-dropping-particle":"","parse-names":false,"suffix":""},{"dropping-particle":"","family":"Fitzpatrick","given":"F.","non-dropping-particle":"","parse-names":false,"suffix":""},{"dropping-particle":"","family":"Guery","given":"B.","non-dropping-particle":"","parse-names":false,"suffix":""},{"dropping-particle":"","family":"Wilcox","given":"M.","non-dropping-particle":"","parse-names":false,"suffix":""},{"dropping-particle":"","family":"Nathwani","given":"D.","non-dropping-particle":"","parse-names":false,"suffix":""},{"dropping-particle":"","family":"Norén","given":"T.","non-dropping-particle":"","parse-names":false,"suffix":""},{"dropping-particle":"","family":"Olesen","given":"B.","non-dropping-particle":"","parse-names":false,"suffix":""},{"dropping-particle":"","family":"Rakoczi","given":"E.","non-dropping-particle":"","parse-names":false,"suffix":""},{"dropping-particle":"","family":"Welte","given":"T.","non-dropping-particle":"","parse-names":false,"suffix":""},{"dropping-particle":"","family":"Widmer","given":"A. F.","non-dropping-particle":"","parse-names":false,"suffix":""}],"container-title":"Clinical Microbiology and Infection","id":"ITEM-1","issue":"S2","issued":{"date-parts":[["2014"]]},"page":"1-26","publisher":"Blackwell Publishing Ltd","title":"European society of clinical microbiology and infectious diseases: Update of the treatment guidance document for Clostridium difficile infection","type":"article-journal","volume":"20"},"uris":["http://www.mendeley.com/documents/?uuid=e95ffe26-9199-3b8c-aa7a-4bac71d0214d"]}],"mendeley":{"formattedCitation":"[51]","plainTextFormattedCitation":"[51]","previouslyFormattedCitation":"[51]"},"properties":{"noteIndex":0},"schema":"https://github.com/citation-style-language/schema/raw/master/csl-citation.json"}</w:instrText>
      </w:r>
      <w:r>
        <w:fldChar w:fldCharType="separate"/>
      </w:r>
      <w:r w:rsidR="004C3BA5" w:rsidRPr="004C3BA5">
        <w:rPr>
          <w:noProof/>
        </w:rPr>
        <w:t>[51]</w:t>
      </w:r>
      <w:r>
        <w:fldChar w:fldCharType="end"/>
      </w:r>
      <w:r w:rsidRPr="00761653">
        <w:t>. Токсин А —</w:t>
      </w:r>
      <w:r>
        <w:t xml:space="preserve"> </w:t>
      </w:r>
      <w:r w:rsidRPr="00761653">
        <w:t xml:space="preserve">энтеротоксин, нарушает барьерную функцию слизистой оболочки кишечника. Токсин В — цитотоксин, оказывает цитопатический эффект, сильнее токсина А в 1000 раз, наличие его является обязательным для развития инфекции. Около 10% штаммов </w:t>
      </w:r>
      <w:r w:rsidRPr="00761653">
        <w:rPr>
          <w:i/>
          <w:iCs/>
        </w:rPr>
        <w:t>C. difficile</w:t>
      </w:r>
      <w:r w:rsidRPr="00761653">
        <w:t xml:space="preserve"> продуцируют бинарный токсин. Штаммы </w:t>
      </w:r>
      <w:r w:rsidRPr="00761653">
        <w:rPr>
          <w:i/>
          <w:iCs/>
        </w:rPr>
        <w:t>C. difficile</w:t>
      </w:r>
      <w:r w:rsidRPr="00761653">
        <w:t xml:space="preserve">, не продуцирующие токсины, не являются патогенными. Клиническими проявления инфекции, вызванной </w:t>
      </w:r>
      <w:r w:rsidRPr="00761653">
        <w:rPr>
          <w:i/>
          <w:iCs/>
        </w:rPr>
        <w:t>C. difficile</w:t>
      </w:r>
      <w:r w:rsidRPr="00761653">
        <w:rPr>
          <w:iCs/>
        </w:rPr>
        <w:t>,</w:t>
      </w:r>
      <w:r w:rsidRPr="00761653">
        <w:t xml:space="preserve"> являются диарея, ассоциированная с </w:t>
      </w:r>
      <w:r w:rsidRPr="00761653">
        <w:rPr>
          <w:i/>
          <w:iCs/>
        </w:rPr>
        <w:t>C. difficile</w:t>
      </w:r>
      <w:r w:rsidRPr="00761653">
        <w:t xml:space="preserve"> (наличие диареи + положительный токсин </w:t>
      </w:r>
      <w:r w:rsidRPr="00761653">
        <w:rPr>
          <w:i/>
          <w:iCs/>
        </w:rPr>
        <w:t>C.difficile</w:t>
      </w:r>
      <w:r w:rsidRPr="00761653">
        <w:t xml:space="preserve"> в кале), псевдомембранозный колит (эндоскопическая диагностика). Лечение диареи, обусловленной </w:t>
      </w:r>
      <w:r w:rsidRPr="00761653">
        <w:rPr>
          <w:i/>
          <w:iCs/>
        </w:rPr>
        <w:t>C. difficile</w:t>
      </w:r>
      <w:r w:rsidRPr="00761653">
        <w:t xml:space="preserve"> включает, помимо назначения антибиотиков, отмену, по-возможности, или/и сокращение числа используемых антибиотиков широкого спектра действия, ингибиторов протонной помпы</w:t>
      </w:r>
      <w:r w:rsidRPr="00F674EC">
        <w:t xml:space="preserve"> </w:t>
      </w:r>
      <w:r>
        <w:fldChar w:fldCharType="begin" w:fldLock="1"/>
      </w:r>
      <w:r w:rsidR="009D41F9">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[49]","plainTextFormattedCitation":"[49]","previouslyFormattedCitation":"[49]"},"properties":{"noteIndex":0},"schema":"https://github.com/citation-style-language/schema/raw/master/csl-citation.json"}</w:instrText>
      </w:r>
      <w:r>
        <w:fldChar w:fldCharType="separate"/>
      </w:r>
      <w:r w:rsidR="004C3BA5" w:rsidRPr="004C3BA5">
        <w:rPr>
          <w:noProof/>
        </w:rPr>
        <w:t>[49]</w:t>
      </w:r>
      <w:r>
        <w:fldChar w:fldCharType="end"/>
      </w:r>
      <w:r w:rsidRPr="00761653">
        <w:t xml:space="preserve">. </w:t>
      </w:r>
      <w:r w:rsidRPr="00761653">
        <w:rPr>
          <w:bCs/>
        </w:rPr>
        <w:t>При нетяжелом течении инфекции</w:t>
      </w:r>
      <w:r w:rsidRPr="00761653">
        <w:t xml:space="preserve"> (диарея, температура, боль в животе) - метронидазол по 500 мг 3 раза в сутки перорально или внутривенно, </w:t>
      </w:r>
      <w:r w:rsidRPr="00761653">
        <w:rPr>
          <w:bCs/>
        </w:rPr>
        <w:t>при тяжелом течении</w:t>
      </w:r>
      <w:r w:rsidRPr="00761653">
        <w:t xml:space="preserve"> (повышение уровня креатинина на 50% и более от исходного значения, снижение уровня альбумина) </w:t>
      </w:r>
      <w:r>
        <w:t>–</w:t>
      </w:r>
      <w:r w:rsidRPr="00761653">
        <w:t xml:space="preserve"> в</w:t>
      </w:r>
      <w:r>
        <w:t>а</w:t>
      </w:r>
      <w:r w:rsidRPr="00761653">
        <w:t xml:space="preserve">нкомицин по 125 мг 4 раза в день перорально или введение в зонд, оро – или назогастральный, при рефрактерном течении - используют сочетание метронидазола с ванкомицином (метронидазол по 500 мг 3 раза в сутки внутривенно, ванкомицин по 500 мг 4 раза в день через оро- или назогастральный зонд). </w:t>
      </w:r>
      <w:r w:rsidRPr="00761653">
        <w:rPr>
          <w:bCs/>
        </w:rPr>
        <w:t>Длительность лечения</w:t>
      </w:r>
      <w:r w:rsidRPr="00761653">
        <w:t xml:space="preserve"> составляет 10-14 дней.</w:t>
      </w:r>
    </w:p>
    <w:p w14:paraId="7F5F17A5" w14:textId="77777777" w:rsidR="00116AF3" w:rsidRDefault="00116AF3" w:rsidP="00116AF3">
      <w:pPr>
        <w:widowControl w:val="0"/>
        <w:tabs>
          <w:tab w:val="left" w:pos="317"/>
          <w:tab w:val="left" w:pos="8715"/>
        </w:tabs>
        <w:autoSpaceDE w:val="0"/>
        <w:autoSpaceDN w:val="0"/>
        <w:adjustRightInd w:val="0"/>
        <w:ind w:right="49"/>
        <w:contextualSpacing/>
        <w:rPr>
          <w:b/>
          <w:iCs/>
        </w:rPr>
      </w:pPr>
    </w:p>
    <w:p w14:paraId="7E1B0209" w14:textId="77777777" w:rsidR="00116AF3" w:rsidRPr="00284D51" w:rsidRDefault="00116AF3" w:rsidP="00116AF3">
      <w:pPr>
        <w:widowControl w:val="0"/>
        <w:autoSpaceDE w:val="0"/>
        <w:autoSpaceDN w:val="0"/>
        <w:adjustRightInd w:val="0"/>
        <w:ind w:right="49"/>
        <w:contextualSpacing/>
        <w:rPr>
          <w:bCs/>
          <w:i/>
          <w:iCs/>
          <w:u w:val="single"/>
        </w:rPr>
      </w:pPr>
      <w:r w:rsidRPr="00284D51">
        <w:rPr>
          <w:bCs/>
          <w:i/>
          <w:iCs/>
          <w:u w:val="single"/>
        </w:rPr>
        <w:t>Назначение антибиотиков в зависимости от локализации инфекции</w:t>
      </w:r>
    </w:p>
    <w:p w14:paraId="6D29FF17" w14:textId="77777777" w:rsidR="00116AF3" w:rsidRPr="00284D51" w:rsidRDefault="00116AF3" w:rsidP="00116AF3">
      <w:pPr>
        <w:widowControl w:val="0"/>
        <w:autoSpaceDE w:val="0"/>
        <w:autoSpaceDN w:val="0"/>
        <w:adjustRightInd w:val="0"/>
        <w:ind w:right="49"/>
        <w:contextualSpacing/>
        <w:rPr>
          <w:bCs/>
          <w:i/>
          <w:iCs/>
        </w:rPr>
      </w:pPr>
      <w:r w:rsidRPr="00284D51">
        <w:rPr>
          <w:bCs/>
          <w:i/>
          <w:iCs/>
        </w:rPr>
        <w:t>Мукозит. Гингивит</w:t>
      </w:r>
    </w:p>
    <w:p w14:paraId="7F2BFDE0" w14:textId="77777777" w:rsidR="00116AF3" w:rsidRPr="00761653" w:rsidRDefault="00116AF3" w:rsidP="00116AF3">
      <w:pPr>
        <w:widowControl w:val="0"/>
        <w:autoSpaceDE w:val="0"/>
        <w:autoSpaceDN w:val="0"/>
        <w:adjustRightInd w:val="0"/>
        <w:ind w:right="49"/>
        <w:contextualSpacing/>
      </w:pPr>
      <w:r w:rsidRPr="00761653">
        <w:t xml:space="preserve">Чаще обусловлен грибами рода </w:t>
      </w:r>
      <w:r w:rsidRPr="00761653">
        <w:rPr>
          <w:i/>
        </w:rPr>
        <w:t>Candida</w:t>
      </w:r>
      <w:r w:rsidRPr="00761653">
        <w:t xml:space="preserve"> и герпес-вирусами, реже грамотрицательными бактериями (</w:t>
      </w:r>
      <w:r w:rsidRPr="00761653">
        <w:rPr>
          <w:i/>
        </w:rPr>
        <w:t>P. aeruginosa</w:t>
      </w:r>
      <w:r w:rsidRPr="00761653">
        <w:t xml:space="preserve">, </w:t>
      </w:r>
      <w:r w:rsidRPr="00761653">
        <w:rPr>
          <w:i/>
        </w:rPr>
        <w:t>S. malthopilia</w:t>
      </w:r>
      <w:r w:rsidRPr="00761653">
        <w:t>, бактериями порядка Enterobacterales). Лечение согласно выделенным микроорганизмам. При мукозите III-IV степени - ванкомицин, или даптомицин, или линезолид ввиду высокой вероятности развития сепсиса, обусловленного стрептококками</w:t>
      </w:r>
      <w:r w:rsidRPr="00761653">
        <w:rPr>
          <w:b/>
          <w:bCs/>
        </w:rPr>
        <w:t xml:space="preserve"> </w:t>
      </w:r>
      <w:r w:rsidRPr="00761653">
        <w:t xml:space="preserve">группы </w:t>
      </w:r>
      <w:r w:rsidRPr="00761653">
        <w:rPr>
          <w:i/>
          <w:iCs/>
        </w:rPr>
        <w:t>viridans</w:t>
      </w:r>
      <w:r w:rsidRPr="00761653">
        <w:t xml:space="preserve">. </w:t>
      </w:r>
    </w:p>
    <w:p w14:paraId="55B78990" w14:textId="77777777" w:rsidR="00116AF3" w:rsidRPr="00284D51" w:rsidRDefault="00116AF3" w:rsidP="00116AF3">
      <w:pPr>
        <w:widowControl w:val="0"/>
        <w:autoSpaceDE w:val="0"/>
        <w:autoSpaceDN w:val="0"/>
        <w:adjustRightInd w:val="0"/>
        <w:ind w:right="49"/>
        <w:contextualSpacing/>
        <w:rPr>
          <w:bCs/>
          <w:i/>
          <w:iCs/>
        </w:rPr>
      </w:pPr>
      <w:r w:rsidRPr="00284D51">
        <w:rPr>
          <w:bCs/>
          <w:i/>
          <w:iCs/>
        </w:rPr>
        <w:t>Пневмония</w:t>
      </w:r>
    </w:p>
    <w:p w14:paraId="7D2537A5" w14:textId="77777777" w:rsidR="00116AF3" w:rsidRPr="00761653" w:rsidRDefault="00116AF3" w:rsidP="00116AF3">
      <w:pPr>
        <w:widowControl w:val="0"/>
        <w:autoSpaceDE w:val="0"/>
        <w:autoSpaceDN w:val="0"/>
        <w:adjustRightInd w:val="0"/>
        <w:ind w:right="49"/>
        <w:contextualSpacing/>
      </w:pPr>
      <w:r w:rsidRPr="00761653">
        <w:t xml:space="preserve">При стабильной ситуации выполняют БАЛ и дальнейшую модификацию антимикробной терапии осуществляют по результатам микробиологического исследования. При нестабильном соматическом состоянии или невозможности выполнения БАЛ назначают карбапенем (меропенем или имипенем/циластатин или дорипенем) и отменяют антибиотики первого этапа у больных с фебрильной нейтропенией. Вориконазол добавляют к лечению при пневмонии, резистентной к лечению антибиотиками, больным с нейтропенией от 10 дней и более или при лечении глюкокортикоидами, при условии, что не выявлены другие потенциальные возбудители пневмонии. Вориконазол назначают внутривенно, в 1-й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 </w:t>
      </w:r>
    </w:p>
    <w:p w14:paraId="17D4A915" w14:textId="77777777" w:rsidR="00116AF3" w:rsidRPr="00284D51" w:rsidRDefault="00116AF3" w:rsidP="00116AF3">
      <w:pPr>
        <w:widowControl w:val="0"/>
        <w:autoSpaceDE w:val="0"/>
        <w:autoSpaceDN w:val="0"/>
        <w:adjustRightInd w:val="0"/>
        <w:ind w:right="49"/>
        <w:contextualSpacing/>
        <w:rPr>
          <w:bCs/>
          <w:i/>
        </w:rPr>
      </w:pPr>
      <w:r w:rsidRPr="00284D51">
        <w:rPr>
          <w:bCs/>
          <w:i/>
        </w:rPr>
        <w:t>Инфекция перианальной области (парапроктит, обострение геморроя и другие)</w:t>
      </w:r>
    </w:p>
    <w:p w14:paraId="54675315" w14:textId="77777777" w:rsidR="00116AF3" w:rsidRPr="00761653" w:rsidRDefault="00116AF3" w:rsidP="00116AF3">
      <w:pPr>
        <w:widowControl w:val="0"/>
        <w:autoSpaceDE w:val="0"/>
        <w:autoSpaceDN w:val="0"/>
        <w:adjustRightInd w:val="0"/>
        <w:ind w:right="49"/>
        <w:contextualSpacing/>
      </w:pPr>
      <w:r>
        <w:t xml:space="preserve">Диагностику и тактику лечения перианальной области – см. ниже в настоящей главе. </w:t>
      </w:r>
      <w:r w:rsidRPr="00761653">
        <w:t xml:space="preserve">Схемы антимикробной терапии включаяют препараты с активностью против грамотрицательных и анаэробных бактерий (цефоперазон/сульбактам + амикацин, или цефепим + амикацин + метронидазол или антипсевдомонадный карбапенем). При неэффективности добавляют антибиотики, активные против грамположительных бактерий (ванкомицин или телаванцин или линезолид или тедизолид или даптомицин), при выделении </w:t>
      </w:r>
      <w:r w:rsidRPr="00761653">
        <w:rPr>
          <w:i/>
        </w:rPr>
        <w:t>Candida</w:t>
      </w:r>
      <w:r w:rsidRPr="00761653">
        <w:t xml:space="preserve"> spp. из ректального мазка – флуконазол (400 мг в/в 1 раз в сутки). </w:t>
      </w:r>
    </w:p>
    <w:p w14:paraId="1AEB3F46" w14:textId="77777777" w:rsidR="00116AF3" w:rsidRDefault="00116AF3" w:rsidP="00116AF3">
      <w:pPr>
        <w:widowControl w:val="0"/>
        <w:autoSpaceDE w:val="0"/>
        <w:autoSpaceDN w:val="0"/>
        <w:adjustRightInd w:val="0"/>
        <w:ind w:right="49"/>
        <w:contextualSpacing/>
        <w:rPr>
          <w:b/>
          <w:bCs/>
        </w:rPr>
      </w:pPr>
    </w:p>
    <w:p w14:paraId="4DE71075" w14:textId="77777777" w:rsidR="00116AF3" w:rsidRPr="00284D51" w:rsidRDefault="00116AF3" w:rsidP="00116AF3">
      <w:pPr>
        <w:widowControl w:val="0"/>
        <w:autoSpaceDE w:val="0"/>
        <w:autoSpaceDN w:val="0"/>
        <w:adjustRightInd w:val="0"/>
        <w:ind w:right="49"/>
        <w:contextualSpacing/>
        <w:rPr>
          <w:bCs/>
          <w:i/>
          <w:iCs/>
          <w:u w:val="single"/>
        </w:rPr>
      </w:pPr>
      <w:r w:rsidRPr="00284D51">
        <w:rPr>
          <w:bCs/>
          <w:i/>
          <w:iCs/>
          <w:u w:val="single"/>
        </w:rPr>
        <w:t>Критерии прекращения противомикробной терапии</w:t>
      </w:r>
    </w:p>
    <w:p w14:paraId="346F42E7" w14:textId="77777777" w:rsidR="00116AF3" w:rsidRPr="00761653" w:rsidRDefault="00116AF3" w:rsidP="00116AF3">
      <w:pPr>
        <w:widowControl w:val="0"/>
        <w:autoSpaceDE w:val="0"/>
        <w:autoSpaceDN w:val="0"/>
        <w:adjustRightInd w:val="0"/>
        <w:ind w:right="49"/>
        <w:contextualSpacing/>
      </w:pPr>
      <w:r w:rsidRPr="00284D51">
        <w:rPr>
          <w:i/>
          <w:iCs/>
        </w:rPr>
        <w:t>При лихорадке неясной этиологии</w:t>
      </w:r>
      <w:r w:rsidRPr="00284D51">
        <w:rPr>
          <w:b/>
          <w:bCs/>
        </w:rPr>
        <w:t xml:space="preserve"> </w:t>
      </w:r>
      <w:r w:rsidRPr="00284D51">
        <w:t>в период нейтропении/лейкопении антибиотики</w:t>
      </w:r>
      <w:r w:rsidRPr="00761653">
        <w:t xml:space="preserve"> отменяют через 72 часа, если у </w:t>
      </w:r>
      <w:r>
        <w:t>пациента</w:t>
      </w:r>
      <w:r w:rsidRPr="00761653">
        <w:t xml:space="preserve"> не было эпизода нестабильной гемодинамики в данный эпизод инфекции и нормальная температура отмечается в течение 48 ч. </w:t>
      </w:r>
    </w:p>
    <w:p w14:paraId="2B666F10" w14:textId="77777777" w:rsidR="00116AF3" w:rsidRPr="00761653" w:rsidRDefault="00116AF3" w:rsidP="00116AF3">
      <w:pPr>
        <w:widowControl w:val="0"/>
        <w:autoSpaceDE w:val="0"/>
        <w:autoSpaceDN w:val="0"/>
        <w:adjustRightInd w:val="0"/>
        <w:ind w:right="49"/>
        <w:contextualSpacing/>
      </w:pPr>
      <w:r w:rsidRPr="00284D51">
        <w:rPr>
          <w:i/>
          <w:iCs/>
        </w:rPr>
        <w:t>При клинически и микробиологически доказанной инфекции</w:t>
      </w:r>
      <w:r w:rsidRPr="00284D51">
        <w:t xml:space="preserve"> длительность</w:t>
      </w:r>
      <w:r w:rsidRPr="00761653">
        <w:t xml:space="preserve"> применения антибиотиков составляет не менее 7 дней, при соблюдении условий, что нормальная температура наблюдается не менее 4-х дней, очаги инфекции полностью регрессировали, достигнута (или предполагается) микробиологическая эрадикация возбудителя подтвержденной инфекции. После отмены антибиотиков продолжиют наблюдение </w:t>
      </w:r>
      <w:r>
        <w:t>пациента</w:t>
      </w:r>
      <w:r w:rsidRPr="00761653">
        <w:t xml:space="preserve"> с нейтропенией/лейкопенией в течение последующих 24-48 ч, и в случае появления температуры вновь назначают антибиотики. </w:t>
      </w:r>
    </w:p>
    <w:p w14:paraId="13BF75CF" w14:textId="77777777" w:rsidR="00116AF3" w:rsidRDefault="00116AF3" w:rsidP="00116AF3">
      <w:pPr>
        <w:widowControl w:val="0"/>
        <w:autoSpaceDE w:val="0"/>
        <w:autoSpaceDN w:val="0"/>
        <w:adjustRightInd w:val="0"/>
        <w:ind w:right="49"/>
        <w:contextualSpacing/>
        <w:rPr>
          <w:b/>
          <w:bCs/>
        </w:rPr>
      </w:pPr>
    </w:p>
    <w:p w14:paraId="33173422" w14:textId="77777777" w:rsidR="00116AF3" w:rsidRPr="00284D51" w:rsidRDefault="00116AF3" w:rsidP="00116AF3">
      <w:pPr>
        <w:widowControl w:val="0"/>
        <w:autoSpaceDE w:val="0"/>
        <w:autoSpaceDN w:val="0"/>
        <w:adjustRightInd w:val="0"/>
        <w:ind w:right="49"/>
        <w:contextualSpacing/>
        <w:rPr>
          <w:bCs/>
          <w:i/>
          <w:iCs/>
          <w:u w:val="single"/>
        </w:rPr>
      </w:pPr>
      <w:r w:rsidRPr="00284D51">
        <w:rPr>
          <w:bCs/>
          <w:i/>
          <w:iCs/>
          <w:u w:val="single"/>
        </w:rPr>
        <w:t>Лечение пациентов в амбулаторных условиях</w:t>
      </w:r>
    </w:p>
    <w:p w14:paraId="1C37BD18" w14:textId="77777777" w:rsidR="00116AF3" w:rsidRDefault="00116AF3" w:rsidP="00116AF3">
      <w:pPr>
        <w:widowControl w:val="0"/>
        <w:autoSpaceDE w:val="0"/>
        <w:autoSpaceDN w:val="0"/>
        <w:adjustRightInd w:val="0"/>
        <w:ind w:right="49"/>
        <w:contextualSpacing/>
      </w:pPr>
      <w:r w:rsidRPr="00761653">
        <w:t xml:space="preserve">Амбулаторное лечение инфекционных осложнений в период нейтропении/лейкопении </w:t>
      </w:r>
      <w:r w:rsidRPr="00D40538">
        <w:t xml:space="preserve">проводят в большинстве случаев при условии, что ожидаемая длительность ее не будет превышать 5-10 дней и единственный симптом инфекции – температура менее 39,0°С; при этом нет значимых изменений в легких по данным радиологических исследований; отсутствует артериальная гипотензия и дыхательная недостаточность; нет клиники декомпенсации </w:t>
      </w:r>
      <w:r w:rsidRPr="00761653">
        <w:t xml:space="preserve">хронических заболеваний легких и сахарного диабета; нет нарушения сознания; отсутствует кровотечение; на предыдущих курсах химиотерапии не было инвазивного аспергиллеза. При ухудшении состояния больной должен быть </w:t>
      </w:r>
      <w:r w:rsidRPr="00D40538">
        <w:t xml:space="preserve">экстренно </w:t>
      </w:r>
      <w:r w:rsidRPr="00761653">
        <w:t xml:space="preserve">госпитализирован в стационар в любое время суток. </w:t>
      </w:r>
    </w:p>
    <w:p w14:paraId="215DF2CD" w14:textId="77777777" w:rsidR="00116AF3" w:rsidRDefault="00116AF3" w:rsidP="00116AF3">
      <w:pPr>
        <w:widowControl w:val="0"/>
        <w:autoSpaceDE w:val="0"/>
        <w:autoSpaceDN w:val="0"/>
        <w:adjustRightInd w:val="0"/>
        <w:ind w:right="49"/>
        <w:contextualSpacing/>
      </w:pPr>
      <w:r w:rsidRPr="00761653">
        <w:t xml:space="preserve">Амбулаторно назначают сочетание амоксициллина/клавуланата (625 мг внутрь 3 раза в сутки) с ципрофлоксацином (0,5 г внутрь 2 раза в сутки) </w:t>
      </w:r>
      <w:r w:rsidRPr="00761653">
        <w:rPr>
          <w:i/>
          <w:iCs/>
        </w:rPr>
        <w:t xml:space="preserve">или </w:t>
      </w:r>
      <w:r w:rsidRPr="00761653">
        <w:t xml:space="preserve">левофлоксацин (по 0,5 г внутрь 1 раз в сутки) </w:t>
      </w:r>
      <w:r w:rsidRPr="00761653">
        <w:rPr>
          <w:i/>
          <w:iCs/>
        </w:rPr>
        <w:t>или</w:t>
      </w:r>
      <w:r w:rsidRPr="00761653">
        <w:t xml:space="preserve"> моксифлоксацин (0,4 г внутрь1 раз в сутки).</w:t>
      </w:r>
    </w:p>
    <w:p w14:paraId="2C3854FA" w14:textId="77777777" w:rsidR="00116AF3" w:rsidRDefault="00116AF3" w:rsidP="00116AF3">
      <w:pPr>
        <w:widowControl w:val="0"/>
        <w:autoSpaceDE w:val="0"/>
        <w:autoSpaceDN w:val="0"/>
        <w:adjustRightInd w:val="0"/>
        <w:ind w:right="49"/>
        <w:contextualSpacing/>
        <w:jc w:val="left"/>
        <w:rPr>
          <w:b/>
        </w:rPr>
      </w:pPr>
    </w:p>
    <w:p w14:paraId="0820BEA2" w14:textId="77777777" w:rsidR="00116AF3" w:rsidRPr="00284D51" w:rsidRDefault="00116AF3" w:rsidP="00116AF3">
      <w:pPr>
        <w:widowControl w:val="0"/>
        <w:autoSpaceDE w:val="0"/>
        <w:autoSpaceDN w:val="0"/>
        <w:adjustRightInd w:val="0"/>
        <w:ind w:right="49"/>
        <w:contextualSpacing/>
        <w:rPr>
          <w:bCs/>
          <w:i/>
          <w:iCs/>
          <w:u w:val="single"/>
        </w:rPr>
      </w:pPr>
      <w:r w:rsidRPr="00284D51">
        <w:rPr>
          <w:bCs/>
          <w:i/>
          <w:iCs/>
          <w:u w:val="single"/>
        </w:rPr>
        <w:t xml:space="preserve">Перианальная инфекция </w:t>
      </w:r>
    </w:p>
    <w:p w14:paraId="6B3E0F16" w14:textId="77777777" w:rsidR="00116AF3" w:rsidRPr="009A4DCC" w:rsidRDefault="00116AF3" w:rsidP="00116AF3">
      <w:pPr>
        <w:widowControl w:val="0"/>
        <w:autoSpaceDE w:val="0"/>
        <w:autoSpaceDN w:val="0"/>
        <w:adjustRightInd w:val="0"/>
        <w:ind w:right="49"/>
        <w:contextualSpacing/>
      </w:pPr>
      <w:r>
        <w:t>Перианальная инфекция чаще встречается при нейтропении, которая</w:t>
      </w:r>
      <w:r w:rsidRPr="009A4DCC">
        <w:t xml:space="preserve"> существенным образом меняет клинику и течение инфекционных процессов, формирование воспалительных изменений в тканях может быть отсроченным и иметь атипичные формы; так, формирование абсцессов в условиях нейтропении происходит редко, изменения в тканях могут представлять собой воспалител</w:t>
      </w:r>
      <w:r>
        <w:t>ьные инфильтраты и некрозы</w:t>
      </w:r>
      <w:r w:rsidRPr="009A4DCC">
        <w:t>. Кроме того, нейтропения определяет возможность для появления дополнительных механизмов инфицирования – распространения микроорганизмов в ткани и кровоток со слизистой кишечника, через повреждения кожи анального канала и перианальной области. Поэтому в условиях нейтропении частыми источниками инфицирования параректальной клетчатки становятся анальные трещины, язвы, эрозивные проктиты, дерматиты и другие процессы, нарушающие барьерну</w:t>
      </w:r>
      <w:r>
        <w:t>ю функцию кожи и слизистой</w:t>
      </w:r>
      <w:r w:rsidRPr="009A4DCC">
        <w:t>.</w:t>
      </w:r>
      <w:r>
        <w:t xml:space="preserve"> </w:t>
      </w:r>
      <w:r w:rsidRPr="009A4DCC">
        <w:t xml:space="preserve">Опасность перианальной инфекции на фоне нейтропении обусловлена высокой </w:t>
      </w:r>
      <w:r>
        <w:t>(до 30%) вероятностью сепсиса</w:t>
      </w:r>
      <w:r w:rsidRPr="009A4DCC">
        <w:t xml:space="preserve">. </w:t>
      </w:r>
    </w:p>
    <w:p w14:paraId="46D5AEB6" w14:textId="77777777" w:rsidR="00116AF3" w:rsidRPr="00284D51" w:rsidRDefault="00116AF3" w:rsidP="00116AF3">
      <w:pPr>
        <w:ind w:firstLine="708"/>
        <w:rPr>
          <w:bCs/>
          <w:i/>
          <w:iCs/>
        </w:rPr>
      </w:pPr>
      <w:r w:rsidRPr="00284D51">
        <w:rPr>
          <w:bCs/>
          <w:i/>
          <w:iCs/>
        </w:rPr>
        <w:t>Клиническая картина.</w:t>
      </w:r>
    </w:p>
    <w:p w14:paraId="0E9C4F5E" w14:textId="77777777" w:rsidR="00116AF3" w:rsidRPr="009A4DCC" w:rsidRDefault="00116AF3" w:rsidP="00116AF3">
      <w:pPr>
        <w:ind w:firstLine="708"/>
      </w:pPr>
      <w:r w:rsidRPr="009A4DCC">
        <w:t>Признаками перианальной инфекции обычно являются ан</w:t>
      </w:r>
      <w:r>
        <w:t>оректальная боль и лихорадка</w:t>
      </w:r>
      <w:r w:rsidRPr="009A4DCC">
        <w:t>. Оценка характера изменений в тканях является основой для выбора тактики лечения.</w:t>
      </w:r>
    </w:p>
    <w:p w14:paraId="1D9D750F" w14:textId="77777777" w:rsidR="00116AF3" w:rsidRPr="00284D51" w:rsidRDefault="00116AF3" w:rsidP="00116AF3">
      <w:pPr>
        <w:ind w:firstLine="708"/>
        <w:rPr>
          <w:bCs/>
          <w:i/>
          <w:iCs/>
        </w:rPr>
      </w:pPr>
      <w:r w:rsidRPr="00284D51">
        <w:rPr>
          <w:bCs/>
          <w:i/>
          <w:iCs/>
        </w:rPr>
        <w:t>Диагностика.</w:t>
      </w:r>
    </w:p>
    <w:p w14:paraId="3CA084DC" w14:textId="77777777" w:rsidR="00116AF3" w:rsidRPr="009A4DCC" w:rsidRDefault="00116AF3" w:rsidP="006D53E9">
      <w:pPr>
        <w:pStyle w:val="afe"/>
        <w:numPr>
          <w:ilvl w:val="0"/>
          <w:numId w:val="52"/>
        </w:numPr>
      </w:pPr>
      <w:r w:rsidRPr="009A4DCC">
        <w:t>Осмотр колопроктолога (первичный и повторно в динамике)</w:t>
      </w:r>
    </w:p>
    <w:p w14:paraId="7515BF8A" w14:textId="77777777" w:rsidR="00116AF3" w:rsidRPr="009A4DCC" w:rsidRDefault="00116AF3" w:rsidP="006D53E9">
      <w:pPr>
        <w:pStyle w:val="afe"/>
        <w:numPr>
          <w:ilvl w:val="0"/>
          <w:numId w:val="52"/>
        </w:numPr>
      </w:pPr>
      <w:r w:rsidRPr="009A4DCC">
        <w:t>МРТ органов малого таза.</w:t>
      </w:r>
    </w:p>
    <w:p w14:paraId="5E62063F" w14:textId="77777777" w:rsidR="00116AF3" w:rsidRPr="009A4DCC" w:rsidRDefault="00116AF3" w:rsidP="006D53E9">
      <w:pPr>
        <w:pStyle w:val="afe"/>
        <w:numPr>
          <w:ilvl w:val="0"/>
          <w:numId w:val="52"/>
        </w:numPr>
      </w:pPr>
      <w:r>
        <w:t>КТ/СКТ</w:t>
      </w:r>
      <w:r w:rsidRPr="009A4DCC">
        <w:t xml:space="preserve"> органов малого таза</w:t>
      </w:r>
    </w:p>
    <w:p w14:paraId="71967520" w14:textId="77777777" w:rsidR="00116AF3" w:rsidRPr="00AE580F" w:rsidRDefault="00116AF3" w:rsidP="006D53E9">
      <w:pPr>
        <w:pStyle w:val="afe"/>
        <w:numPr>
          <w:ilvl w:val="0"/>
          <w:numId w:val="52"/>
        </w:numPr>
      </w:pPr>
      <w:r>
        <w:t>Бактериологическое исследование</w:t>
      </w:r>
    </w:p>
    <w:p w14:paraId="34184F73" w14:textId="77777777" w:rsidR="00116AF3" w:rsidRPr="009A4DCC" w:rsidRDefault="00116AF3" w:rsidP="00116AF3">
      <w:pPr>
        <w:ind w:firstLine="708"/>
      </w:pPr>
      <w:r w:rsidRPr="009A4DCC">
        <w:t>Диагноз перианальной инфекции устанавливается клинически на основании симптомов</w:t>
      </w:r>
      <w:r>
        <w:t>,</w:t>
      </w:r>
      <w:r w:rsidRPr="009A4DCC">
        <w:t xml:space="preserve"> характеризующих воспаление: перианальная боль, эритема, скопление жидк</w:t>
      </w:r>
      <w:r>
        <w:t>ости или образование свища</w:t>
      </w:r>
      <w:r w:rsidRPr="009A4DCC">
        <w:t>. При обследовании пациентов с нейтропенией важно учитывать, что инвазивные диагностические процедуры (ректальное исследование и ректоскопии) у этой категории больных связаны с опасностью диссеминации</w:t>
      </w:r>
      <w:r>
        <w:t xml:space="preserve"> инфекции в ткани и кровоток</w:t>
      </w:r>
      <w:r w:rsidRPr="009A4DCC">
        <w:t>. Если диагноз перианальной инфекции сомнителен у пациента с перианальной болью и недостаточностью клинических признаков, проводится визуализация с помощью МРТ или КТ</w:t>
      </w:r>
      <w:r>
        <w:t>/СКТ органов малого таза</w:t>
      </w:r>
      <w:r w:rsidRPr="009A4DCC">
        <w:t>. МРТ признаками перианальной инфекции является наличие полостей в параректальной клетчатке, скоплений жидкости, дефектов стенки прямой кишки и свищевых ходов. У больных с нейтропенией при наличии клинических данных достаточным МРТ-признаком перианальной инфекции является наличие отека па</w:t>
      </w:r>
      <w:r>
        <w:t>раректальной клетчатки</w:t>
      </w:r>
      <w:r w:rsidRPr="009A4DCC">
        <w:t>. Для выявления характера микрофлоры, назначения и модификации антибактериальной терапии проводят микробиологическое, молекулярное и др. исследования мазков со слизистой прямой кишки, отделяемого свища, поверхности раны</w:t>
      </w:r>
      <w:r>
        <w:t>, соскоба кожи перианальной области</w:t>
      </w:r>
      <w:r w:rsidRPr="009A4DCC">
        <w:t xml:space="preserve">. </w:t>
      </w:r>
    </w:p>
    <w:p w14:paraId="23ACCE50" w14:textId="77777777" w:rsidR="00116AF3" w:rsidRPr="00284D51" w:rsidRDefault="00116AF3" w:rsidP="00116AF3">
      <w:pPr>
        <w:ind w:firstLine="708"/>
        <w:rPr>
          <w:bCs/>
          <w:i/>
          <w:iCs/>
        </w:rPr>
      </w:pPr>
      <w:r w:rsidRPr="00284D51">
        <w:rPr>
          <w:bCs/>
          <w:i/>
          <w:iCs/>
        </w:rPr>
        <w:t>Лечение</w:t>
      </w:r>
    </w:p>
    <w:p w14:paraId="37739D3E" w14:textId="77777777" w:rsidR="00116AF3" w:rsidRPr="00F36465" w:rsidRDefault="00116AF3" w:rsidP="006D53E9">
      <w:pPr>
        <w:pStyle w:val="afe"/>
        <w:numPr>
          <w:ilvl w:val="0"/>
          <w:numId w:val="53"/>
        </w:numPr>
      </w:pPr>
      <w:r w:rsidRPr="00F36465">
        <w:t>Антибактериальная терапия</w:t>
      </w:r>
      <w:r>
        <w:t xml:space="preserve"> (см. выше)</w:t>
      </w:r>
    </w:p>
    <w:p w14:paraId="6964269E" w14:textId="77777777" w:rsidR="00116AF3" w:rsidRPr="00F22A59" w:rsidRDefault="00116AF3" w:rsidP="006D53E9">
      <w:pPr>
        <w:pStyle w:val="afe"/>
        <w:numPr>
          <w:ilvl w:val="0"/>
          <w:numId w:val="53"/>
        </w:numPr>
      </w:pPr>
      <w:r>
        <w:t>Хирургическое пособие</w:t>
      </w:r>
    </w:p>
    <w:p w14:paraId="422A6619" w14:textId="77777777" w:rsidR="00116AF3" w:rsidRPr="009A4DCC" w:rsidRDefault="00116AF3" w:rsidP="00116AF3">
      <w:pPr>
        <w:ind w:firstLine="708"/>
      </w:pPr>
      <w:r w:rsidRPr="009A4DCC">
        <w:t>Для пациентов страдающих нейтропенией или иной формой иммуносупресии, аноректальные инфекции рассматриваются как состояние, требующее неотложного лечения с помощью антибиотиков, что позволяется остановить развитие аноректал</w:t>
      </w:r>
      <w:r>
        <w:t>ьной инфекции и сепсиса</w:t>
      </w:r>
      <w:r w:rsidRPr="009A4DCC">
        <w:t>. Показано применение на первом этапе антимикробных препаратов, проявляющих активность в отношении грамотрицательных бактерий, включа</w:t>
      </w:r>
      <w:r>
        <w:t>я синегнойную палочку</w:t>
      </w:r>
      <w:r w:rsidRPr="009A4DCC">
        <w:t xml:space="preserve">, введение антимикробных препаратов проводится только </w:t>
      </w:r>
      <w:r>
        <w:t xml:space="preserve">внутрь и </w:t>
      </w:r>
      <w:r w:rsidRPr="009A4DCC">
        <w:t xml:space="preserve">внутривенно. </w:t>
      </w:r>
    </w:p>
    <w:p w14:paraId="6F9B99BB" w14:textId="77777777" w:rsidR="00116AF3" w:rsidRPr="009A4DCC" w:rsidRDefault="00116AF3" w:rsidP="00116AF3">
      <w:pPr>
        <w:ind w:firstLine="708"/>
      </w:pPr>
      <w:r w:rsidRPr="009A4DCC">
        <w:t>Показанием к операции является формировани</w:t>
      </w:r>
      <w:r>
        <w:t>е абсцесса или некроза</w:t>
      </w:r>
      <w:r w:rsidRPr="009A4DCC">
        <w:t>. Выполняют дрениро</w:t>
      </w:r>
      <w:r>
        <w:t>вание полостей, некрэктомию</w:t>
      </w:r>
      <w:r w:rsidRPr="009A4DCC">
        <w:t>. В ряде случаев (флегмона таза, свищи 3-4 степени сложности) оперативное дренирование сочетают с наложением отводящей колостомы. Хирургическое вмешательство должно быть проведено на фоне антибактериальной терапии под общим обезболиванием. Антибактериальная терапия должна быть продолжена в послеоперационном периоде до исче</w:t>
      </w:r>
      <w:r>
        <w:t>зновения признаков инфекции</w:t>
      </w:r>
      <w:r w:rsidRPr="009A4DCC">
        <w:t xml:space="preserve">. </w:t>
      </w:r>
    </w:p>
    <w:p w14:paraId="3F65942B" w14:textId="77777777" w:rsidR="00116AF3" w:rsidRPr="009A4DCC" w:rsidRDefault="00116AF3" w:rsidP="00116AF3">
      <w:pPr>
        <w:ind w:firstLine="708"/>
      </w:pPr>
      <w:r w:rsidRPr="009A4DCC">
        <w:t>Пациенты с абсолютным количеством нейтрофилов более 1000х10</w:t>
      </w:r>
      <w:r w:rsidRPr="009A4DCC">
        <w:rPr>
          <w:vertAlign w:val="superscript"/>
        </w:rPr>
        <w:t>9</w:t>
      </w:r>
      <w:r w:rsidRPr="009A4DCC">
        <w:t xml:space="preserve">/л имеют более высокие показатели излечения при хирургическом дренировании, пациенты с более низким количеством нейтрофилов и / или отсутствием флюктуации более успешно лечатся </w:t>
      </w:r>
      <w:r>
        <w:t xml:space="preserve">применением </w:t>
      </w:r>
      <w:r w:rsidRPr="009A4DCC">
        <w:t>только антибиотик</w:t>
      </w:r>
      <w:r>
        <w:t>ов</w:t>
      </w:r>
      <w:r w:rsidRPr="009A4DCC">
        <w:t xml:space="preserve">. </w:t>
      </w:r>
    </w:p>
    <w:p w14:paraId="36F20B91" w14:textId="77777777" w:rsidR="00116AF3" w:rsidRPr="00284D51" w:rsidRDefault="00116AF3" w:rsidP="00116AF3">
      <w:pPr>
        <w:ind w:firstLine="708"/>
      </w:pPr>
      <w:r w:rsidRPr="009A4DCC">
        <w:t xml:space="preserve">Прогноз при перианальной инфекции зависит от клинической ситуации. Показатель летальности непосредственно связанный с перианальными инфекционными осложнениями среди онкогематологических пациентов </w:t>
      </w:r>
      <w:r>
        <w:t>при адекватных подходах составляет менее 5%</w:t>
      </w:r>
      <w:r w:rsidRPr="009A4DCC">
        <w:t>.</w:t>
      </w:r>
    </w:p>
    <w:p w14:paraId="7EB27A43" w14:textId="77777777" w:rsidR="00116AF3" w:rsidRDefault="00116AF3" w:rsidP="00116AF3">
      <w:pPr>
        <w:pStyle w:val="2"/>
        <w:spacing w:before="0"/>
      </w:pPr>
    </w:p>
    <w:p w14:paraId="20094C36" w14:textId="2A6914D0" w:rsidR="00116AF3" w:rsidRPr="005802BC" w:rsidRDefault="00116AF3" w:rsidP="00116AF3">
      <w:pPr>
        <w:pStyle w:val="2"/>
        <w:spacing w:before="0"/>
      </w:pPr>
      <w:bookmarkStart w:id="83" w:name="_Toc65770418"/>
      <w:bookmarkStart w:id="84" w:name="_Toc66097845"/>
      <w:bookmarkStart w:id="85" w:name="_Toc66184332"/>
      <w:r w:rsidRPr="000322E4">
        <w:t>7.</w:t>
      </w:r>
      <w:r w:rsidR="00F5021D">
        <w:t>8</w:t>
      </w:r>
      <w:r>
        <w:t xml:space="preserve"> </w:t>
      </w:r>
      <w:r w:rsidRPr="00262806">
        <w:t>Вирусные инфекции у пациентов с гематологическими заболеваниями</w:t>
      </w:r>
      <w:bookmarkEnd w:id="83"/>
      <w:bookmarkEnd w:id="84"/>
      <w:bookmarkEnd w:id="85"/>
    </w:p>
    <w:p w14:paraId="1FBD6E70" w14:textId="77777777" w:rsidR="00116AF3" w:rsidRDefault="00116AF3" w:rsidP="00116AF3">
      <w:pPr>
        <w:ind w:firstLine="708"/>
      </w:pPr>
      <w:r w:rsidRPr="0028579C">
        <w:t xml:space="preserve">Герпесвирусные инфекции диагностируют </w:t>
      </w:r>
      <w:r>
        <w:t>чаще</w:t>
      </w:r>
      <w:r w:rsidRPr="0028579C">
        <w:t xml:space="preserve"> всего у </w:t>
      </w:r>
      <w:r>
        <w:t>гематологических пациентов с</w:t>
      </w:r>
      <w:r w:rsidRPr="0028579C">
        <w:t xml:space="preserve"> лимфопролиферативными заболеваниями и у реципиентов аллогенных </w:t>
      </w:r>
      <w:r w:rsidRPr="00053026">
        <w:t>гемопоэтических стволовых клеток</w:t>
      </w:r>
      <w:r w:rsidRPr="0028579C">
        <w:t xml:space="preserve"> </w:t>
      </w:r>
      <w:r>
        <w:t>(</w:t>
      </w:r>
      <w:r w:rsidRPr="0028579C">
        <w:t>ТГСК</w:t>
      </w:r>
      <w:r>
        <w:t>)</w:t>
      </w:r>
      <w:r w:rsidRPr="0028579C">
        <w:t xml:space="preserve">. </w:t>
      </w:r>
      <w:r>
        <w:t>Для диагностики герпесвирусных инфекций проводят комплекс необходимых инструментальных исследований для получения материала – исследование полости рта, промежности, влагалища, прямой кишки, эзофагогастродуоденоскопия, бронхоальвеалярный лаваж, люмбальная пункция, пункция/биопсия ткани/очага поражения любой локализации, выявленных при УЗИ, КТ/СКТ, МРТ органов и полостей, или физикально (</w:t>
      </w:r>
      <w:r w:rsidRPr="0028579C">
        <w:t>везикул</w:t>
      </w:r>
      <w:r>
        <w:t>ы</w:t>
      </w:r>
      <w:r w:rsidRPr="0028579C">
        <w:t>, “корочки” с везикул</w:t>
      </w:r>
      <w:r>
        <w:t xml:space="preserve">), </w:t>
      </w:r>
      <w:r w:rsidRPr="0028579C">
        <w:t>сыворотк</w:t>
      </w:r>
      <w:r>
        <w:t>а</w:t>
      </w:r>
      <w:r w:rsidRPr="0028579C">
        <w:t xml:space="preserve"> крови</w:t>
      </w:r>
      <w:r>
        <w:t>, и др</w:t>
      </w:r>
      <w:r w:rsidRPr="0028579C">
        <w:t>.</w:t>
      </w:r>
    </w:p>
    <w:p w14:paraId="414288B8" w14:textId="77777777" w:rsidR="00116AF3" w:rsidRDefault="00116AF3" w:rsidP="00116AF3">
      <w:pPr>
        <w:ind w:firstLine="708"/>
      </w:pPr>
    </w:p>
    <w:p w14:paraId="3083C001" w14:textId="77777777" w:rsidR="00116AF3" w:rsidRPr="00A14D1D" w:rsidRDefault="00116AF3" w:rsidP="00116AF3">
      <w:pPr>
        <w:rPr>
          <w:bCs/>
          <w:i/>
          <w:iCs/>
          <w:u w:val="single"/>
        </w:rPr>
      </w:pPr>
      <w:r w:rsidRPr="00A14D1D">
        <w:rPr>
          <w:bCs/>
          <w:i/>
          <w:iCs/>
          <w:u w:val="single"/>
        </w:rPr>
        <w:t>Вирусы простого герпеса 1 и 2 типа (Herpes simplex virus, HSV)</w:t>
      </w:r>
    </w:p>
    <w:p w14:paraId="4969B2F1" w14:textId="4D23D679" w:rsidR="00116AF3" w:rsidRPr="00867D9A" w:rsidRDefault="00116AF3" w:rsidP="00116AF3">
      <w:pPr>
        <w:ind w:firstLine="708"/>
      </w:pPr>
      <w:r>
        <w:t>HSV</w:t>
      </w:r>
      <w:r w:rsidRPr="006B215F">
        <w:t xml:space="preserve"> вызывают у </w:t>
      </w:r>
      <w:r>
        <w:t>пациентов</w:t>
      </w:r>
      <w:r w:rsidRPr="006B215F">
        <w:t xml:space="preserve"> гематологическими заболеваниями прежде всего </w:t>
      </w:r>
      <w:r w:rsidRPr="0028579C">
        <w:t xml:space="preserve">повреждение слизистых оболочек (мукозиты), чаще HSV 1 тип. До 80% взрослых </w:t>
      </w:r>
      <w:r>
        <w:t xml:space="preserve">пациентов с </w:t>
      </w:r>
      <w:r w:rsidRPr="0028579C">
        <w:t>острыми миелоидными лейкозами (ОМЛ) являются серопозитивными</w:t>
      </w:r>
      <w:r>
        <w:t xml:space="preserve"> по HSV</w:t>
      </w:r>
      <w:r w:rsidRPr="0028579C">
        <w:t>. Мукозиты, вызванные HSV, являются</w:t>
      </w:r>
      <w:r>
        <w:t>,</w:t>
      </w:r>
      <w:r w:rsidRPr="0028579C">
        <w:t xml:space="preserve"> как правило</w:t>
      </w:r>
      <w:r>
        <w:t>,</w:t>
      </w:r>
      <w:r w:rsidRPr="0028579C">
        <w:t xml:space="preserve"> проявлением реактивации латентной вирусной инфекции во время курсов полихимиотерапии (ПХТ) и у реципиентов ТГСК. Частота мукозитов, вызванных HSV, среди серопозитивных</w:t>
      </w:r>
      <w:r>
        <w:t xml:space="preserve"> пациентов ОМЛ во время ПХТ составляет 61%- 66%</w:t>
      </w:r>
      <w:r w:rsidRPr="006B215F">
        <w:t xml:space="preserve">, среди реципиентов аллогенных ТГСК достигает 80%, из них основная доля в первые 4 недели после ТГСК. При реактивации </w:t>
      </w:r>
      <w:r>
        <w:t>HSV</w:t>
      </w:r>
      <w:r w:rsidRPr="006B215F">
        <w:t xml:space="preserve"> орофарингеальные дефекты на слизистой оболочке возникают у 85-90%, в области промежности (генитальный гесрпес) – у 10-15% больных. Другая манифестация реактивации </w:t>
      </w:r>
      <w:r>
        <w:t>HSV</w:t>
      </w:r>
      <w:r w:rsidRPr="006B215F">
        <w:t xml:space="preserve"> – это эзофагит (10%). К редким проявлениям </w:t>
      </w:r>
      <w:r w:rsidRPr="00867D9A">
        <w:t xml:space="preserve">относят пневмонию (2-3% при отсутствии профилактики), гепатиты, менингит, энцефалит </w:t>
      </w:r>
      <w:r w:rsidRPr="00867D9A">
        <w:fldChar w:fldCharType="begin" w:fldLock="1"/>
      </w:r>
      <w:r w:rsidR="009D41F9">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[52]","plainTextFormattedCitation":"[52]","previouslyFormattedCitation":"[52]"},"properties":{"noteIndex":0},"schema":"https://github.com/citation-style-language/schema/raw/master/csl-citation.json"}</w:instrText>
      </w:r>
      <w:r w:rsidRPr="00867D9A">
        <w:fldChar w:fldCharType="separate"/>
      </w:r>
      <w:r w:rsidR="004C3BA5" w:rsidRPr="004C3BA5">
        <w:rPr>
          <w:noProof/>
        </w:rPr>
        <w:t>[52]</w:t>
      </w:r>
      <w:r w:rsidRPr="00867D9A">
        <w:fldChar w:fldCharType="end"/>
      </w:r>
      <w:r w:rsidRPr="00867D9A">
        <w:t>.</w:t>
      </w:r>
    </w:p>
    <w:p w14:paraId="77029373" w14:textId="77777777" w:rsidR="00116AF3" w:rsidRPr="00867D9A" w:rsidRDefault="00116AF3" w:rsidP="00116AF3">
      <w:pPr>
        <w:ind w:firstLine="708"/>
        <w:rPr>
          <w:bCs/>
          <w:i/>
          <w:iCs/>
        </w:rPr>
      </w:pPr>
      <w:r w:rsidRPr="00867D9A">
        <w:rPr>
          <w:bCs/>
          <w:i/>
          <w:iCs/>
        </w:rPr>
        <w:t>Диагностика</w:t>
      </w:r>
    </w:p>
    <w:p w14:paraId="38DFA30E" w14:textId="7241009B" w:rsidR="00116AF3" w:rsidRPr="006B215F" w:rsidRDefault="00116AF3" w:rsidP="00116AF3">
      <w:pPr>
        <w:ind w:firstLine="708"/>
      </w:pPr>
      <w:r w:rsidRPr="006B215F">
        <w:t>Серологические тесты (выявление антител</w:t>
      </w:r>
      <w:r>
        <w:t xml:space="preserve"> в крови, биологических жидкостях</w:t>
      </w:r>
      <w:r w:rsidRPr="006B215F">
        <w:t>) проводят до индукционного курса П</w:t>
      </w:r>
      <w:r>
        <w:t>ХТ и</w:t>
      </w:r>
      <w:r w:rsidRPr="006B215F">
        <w:t xml:space="preserve"> перед ТГСК с целью выявдения серопозитивных пациентов</w:t>
      </w:r>
      <w:r>
        <w:t xml:space="preserve"> </w:t>
      </w:r>
      <w:r w:rsidRPr="00867D9A">
        <w:fldChar w:fldCharType="begin" w:fldLock="1"/>
      </w:r>
      <w:r w:rsidR="009D41F9">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[52]","plainTextFormattedCitation":"[52]","previouslyFormattedCitation":"[52]"},"properties":{"noteIndex":0},"schema":"https://github.com/citation-style-language/schema/raw/master/csl-citation.json"}</w:instrText>
      </w:r>
      <w:r w:rsidRPr="00867D9A">
        <w:fldChar w:fldCharType="separate"/>
      </w:r>
      <w:r w:rsidR="004C3BA5" w:rsidRPr="004C3BA5">
        <w:rPr>
          <w:noProof/>
        </w:rPr>
        <w:t>[52]</w:t>
      </w:r>
      <w:r w:rsidRPr="00867D9A">
        <w:fldChar w:fldCharType="end"/>
      </w:r>
      <w:r w:rsidRPr="006B215F">
        <w:t>.</w:t>
      </w:r>
    </w:p>
    <w:p w14:paraId="767F28B9" w14:textId="37163AEF" w:rsidR="00116AF3" w:rsidRPr="006B215F" w:rsidRDefault="00116AF3" w:rsidP="00116AF3">
      <w:pPr>
        <w:ind w:firstLine="708"/>
      </w:pPr>
      <w:r w:rsidRPr="006B215F">
        <w:t xml:space="preserve">Для диагностики инфекции необходимо выявление вирусного генома </w:t>
      </w:r>
      <w:r>
        <w:t xml:space="preserve">при молекулярно-биологическом исследовании </w:t>
      </w:r>
      <w:r w:rsidRPr="006B215F">
        <w:t xml:space="preserve">методом </w:t>
      </w:r>
      <w:r w:rsidRPr="0028579C">
        <w:t>полимеразной цепной реакции (ПЦР). Исследуемые</w:t>
      </w:r>
      <w:r w:rsidRPr="006B215F">
        <w:t xml:space="preserve"> образцы – сыворотка крови, отделяемой со слизистой ротогл</w:t>
      </w:r>
      <w:r>
        <w:t>отки (</w:t>
      </w:r>
      <w:r w:rsidRPr="006B215F">
        <w:t xml:space="preserve">при наличии признаков мукозита) или со слизистой пищевода, </w:t>
      </w:r>
      <w:r>
        <w:t xml:space="preserve">аспираты и </w:t>
      </w:r>
      <w:r w:rsidRPr="006B215F">
        <w:t>биоптаты слизистых и органов</w:t>
      </w:r>
      <w:r>
        <w:t xml:space="preserve"> </w:t>
      </w:r>
      <w:r w:rsidRPr="00867D9A">
        <w:fldChar w:fldCharType="begin" w:fldLock="1"/>
      </w:r>
      <w:r w:rsidR="009D41F9">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[52]","plainTextFormattedCitation":"[52]","previouslyFormattedCitation":"[52]"},"properties":{"noteIndex":0},"schema":"https://github.com/citation-style-language/schema/raw/master/csl-citation.json"}</w:instrText>
      </w:r>
      <w:r w:rsidRPr="00867D9A">
        <w:fldChar w:fldCharType="separate"/>
      </w:r>
      <w:r w:rsidR="004C3BA5" w:rsidRPr="004C3BA5">
        <w:rPr>
          <w:noProof/>
        </w:rPr>
        <w:t>[52]</w:t>
      </w:r>
      <w:r w:rsidRPr="00867D9A">
        <w:fldChar w:fldCharType="end"/>
      </w:r>
      <w:r w:rsidRPr="006B215F">
        <w:t>.</w:t>
      </w:r>
    </w:p>
    <w:p w14:paraId="074A3CD8" w14:textId="77777777" w:rsidR="00116AF3" w:rsidRPr="00CA38D1" w:rsidRDefault="00116AF3" w:rsidP="00116AF3">
      <w:pPr>
        <w:ind w:firstLine="708"/>
        <w:rPr>
          <w:bCs/>
          <w:i/>
          <w:iCs/>
        </w:rPr>
      </w:pPr>
      <w:r w:rsidRPr="00CA38D1">
        <w:rPr>
          <w:bCs/>
          <w:i/>
          <w:iCs/>
        </w:rPr>
        <w:t>Лечение</w:t>
      </w:r>
    </w:p>
    <w:p w14:paraId="460CD2DB" w14:textId="7E4B420A" w:rsidR="00116AF3" w:rsidRPr="006B215F" w:rsidRDefault="00116AF3" w:rsidP="00116AF3">
      <w:pPr>
        <w:ind w:firstLine="708"/>
      </w:pPr>
      <w:r w:rsidRPr="006B215F">
        <w:t>Назначают ацикловир в дозе 250 мг/м</w:t>
      </w:r>
      <w:r w:rsidRPr="00CA38D1">
        <w:rPr>
          <w:vertAlign w:val="superscript"/>
        </w:rPr>
        <w:t>2</w:t>
      </w:r>
      <w:r w:rsidRPr="006B215F">
        <w:t xml:space="preserve"> или 5 мг/кг каждые 8 часов в течение 7-10 дней. При нетяжелых мукозитах проводят лечение пероральной формой препаратов- ацикловир по 200 и 5 раз или по 400 мг 5 раз в сутки, валацикловир – по 500 мг х 2 раза, фамцикловир по 500 мг 2 раза в течение 10 дней. При пневмонии или менингите используют высокие дозы ацикловира внутривенно 500 мг/м</w:t>
      </w:r>
      <w:r w:rsidRPr="006B215F">
        <w:rPr>
          <w:vertAlign w:val="superscript"/>
        </w:rPr>
        <w:t xml:space="preserve">2 </w:t>
      </w:r>
      <w:r w:rsidRPr="006B215F">
        <w:t>или 10 мг/кг каждые 8 часов в течение 14-21 дня</w:t>
      </w:r>
      <w:r>
        <w:t xml:space="preserve"> </w:t>
      </w:r>
      <w:r w:rsidRPr="00867D9A">
        <w:fldChar w:fldCharType="begin" w:fldLock="1"/>
      </w:r>
      <w:r w:rsidR="009D41F9">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[52]","plainTextFormattedCitation":"[52]","previouslyFormattedCitation":"[52]"},"properties":{"noteIndex":0},"schema":"https://github.com/citation-style-language/schema/raw/master/csl-citation.json"}</w:instrText>
      </w:r>
      <w:r w:rsidRPr="00867D9A">
        <w:fldChar w:fldCharType="separate"/>
      </w:r>
      <w:r w:rsidR="004C3BA5" w:rsidRPr="004C3BA5">
        <w:rPr>
          <w:noProof/>
        </w:rPr>
        <w:t>[52]</w:t>
      </w:r>
      <w:r w:rsidRPr="00867D9A">
        <w:fldChar w:fldCharType="end"/>
      </w:r>
      <w:r w:rsidRPr="006B215F">
        <w:t>.</w:t>
      </w:r>
    </w:p>
    <w:p w14:paraId="7501F1B9" w14:textId="2550EBA4" w:rsidR="00116AF3" w:rsidRDefault="00116AF3" w:rsidP="00116AF3">
      <w:pPr>
        <w:ind w:firstLine="708"/>
      </w:pPr>
      <w:r w:rsidRPr="006B215F">
        <w:t xml:space="preserve">Длительный прием ацикловира редко приводит к развитию резистентности. Резистентность к ацикловиру является следствием длительной реактивации </w:t>
      </w:r>
      <w:r>
        <w:t>HSV.</w:t>
      </w:r>
      <w:r w:rsidRPr="006B215F">
        <w:t xml:space="preserve"> В этих случаях назначают фоскарнет внутривенно 60 м</w:t>
      </w:r>
      <w:r>
        <w:t>г/кг каждые 12 час или 40 мг/кг</w:t>
      </w:r>
      <w:r w:rsidRPr="006B215F">
        <w:t xml:space="preserve"> каждые 8 час в течение 7-21 дня или до ликвидации симптомов инфекции</w:t>
      </w:r>
      <w:r>
        <w:t xml:space="preserve"> </w:t>
      </w:r>
      <w:r w:rsidRPr="00867D9A">
        <w:fldChar w:fldCharType="begin" w:fldLock="1"/>
      </w:r>
      <w:r w:rsidR="009D41F9">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[52]","plainTextFormattedCitation":"[52]","previouslyFormattedCitation":"[52]"},"properties":{"noteIndex":0},"schema":"https://github.com/citation-style-language/schema/raw/master/csl-citation.json"}</w:instrText>
      </w:r>
      <w:r w:rsidRPr="00867D9A">
        <w:fldChar w:fldCharType="separate"/>
      </w:r>
      <w:r w:rsidR="004C3BA5" w:rsidRPr="004C3BA5">
        <w:rPr>
          <w:noProof/>
        </w:rPr>
        <w:t>[52]</w:t>
      </w:r>
      <w:r w:rsidRPr="00867D9A">
        <w:fldChar w:fldCharType="end"/>
      </w:r>
      <w:r w:rsidRPr="006B215F">
        <w:t>.</w:t>
      </w:r>
    </w:p>
    <w:p w14:paraId="66A34210" w14:textId="77777777" w:rsidR="00116AF3" w:rsidRPr="006B215F" w:rsidRDefault="00116AF3" w:rsidP="00116AF3">
      <w:pPr>
        <w:ind w:firstLine="708"/>
      </w:pPr>
    </w:p>
    <w:p w14:paraId="202A4365" w14:textId="77777777" w:rsidR="00116AF3" w:rsidRPr="00861C01" w:rsidRDefault="00116AF3" w:rsidP="00116AF3">
      <w:pPr>
        <w:rPr>
          <w:bCs/>
          <w:i/>
          <w:iCs/>
          <w:u w:val="single"/>
        </w:rPr>
      </w:pPr>
      <w:r w:rsidRPr="00861C01">
        <w:rPr>
          <w:bCs/>
          <w:i/>
          <w:iCs/>
          <w:u w:val="single"/>
        </w:rPr>
        <w:t xml:space="preserve">Герпес зостер вирус (Herpes zoster virus, HZV) </w:t>
      </w:r>
    </w:p>
    <w:p w14:paraId="10683C88" w14:textId="77777777" w:rsidR="00116AF3" w:rsidRPr="00EE012F" w:rsidRDefault="00116AF3" w:rsidP="00116AF3">
      <w:pPr>
        <w:ind w:firstLine="708"/>
      </w:pPr>
      <w:r w:rsidRPr="006B215F">
        <w:t xml:space="preserve">У реципиентов ТГСК инфекция </w:t>
      </w:r>
      <w:r w:rsidRPr="0028579C">
        <w:t>чаще возникает в течение первых 24 месяцев. Группу риска составляют больные с хронической реакцией «трансплантат против хозяина» (РТПХ). Другие факторы включают наличие острого лейкоза или лимфопролиферативного</w:t>
      </w:r>
      <w:r w:rsidRPr="006B215F">
        <w:t xml:space="preserve"> заболевания в качестве диагноза до ТГСК, во</w:t>
      </w:r>
      <w:r>
        <w:t>зраст старше 50 лет, проведение</w:t>
      </w:r>
      <w:r w:rsidRPr="006B215F">
        <w:t xml:space="preserve"> миелоаблативного режима, </w:t>
      </w:r>
      <w:r>
        <w:t>CD</w:t>
      </w:r>
      <w:r w:rsidRPr="006B215F">
        <w:t>34+</w:t>
      </w:r>
      <w:r>
        <w:t xml:space="preserve"> селектированная аллогенная или аутологичная ТГСК, наличие дефицита одновременно CD</w:t>
      </w:r>
      <w:r w:rsidRPr="006B215F">
        <w:t xml:space="preserve">4(+) и </w:t>
      </w:r>
      <w:r>
        <w:t>CD</w:t>
      </w:r>
      <w:r w:rsidRPr="006B215F">
        <w:t>8(+) лимфоцитов на 30</w:t>
      </w:r>
      <w:r>
        <w:t>-</w:t>
      </w:r>
      <w:r w:rsidRPr="006B215F">
        <w:t xml:space="preserve">й день после ТГСК. </w:t>
      </w:r>
      <w:r>
        <w:t>Гематологические пациенты с лимфопролиферативными заболеваниями составляют группу повышенного риска, независимо от этапа лечения / наблюдения.</w:t>
      </w:r>
    </w:p>
    <w:p w14:paraId="09E6E1C9" w14:textId="77777777" w:rsidR="00116AF3" w:rsidRPr="006B215F" w:rsidRDefault="00116AF3" w:rsidP="00116AF3">
      <w:pPr>
        <w:ind w:firstLine="708"/>
      </w:pPr>
      <w:r w:rsidRPr="006B215F">
        <w:t xml:space="preserve">Инфекция, вызванная </w:t>
      </w:r>
      <w:r>
        <w:t>HZV</w:t>
      </w:r>
      <w:r w:rsidRPr="006B215F">
        <w:t xml:space="preserve">, характеризуется поражением межпозвоночных ганглиев, множественными высыпаниями на коже по ходу вовлеченных в процесс нервов, часто сопровождающимися сильными болями, возможно развитие энцефалита, гепатита, пневмонии. Описаны случаи локализации </w:t>
      </w:r>
      <w:r>
        <w:t>боли в эпигастральной области,</w:t>
      </w:r>
      <w:r w:rsidRPr="006B215F">
        <w:t xml:space="preserve"> абдоминальные с развитием паралитической кишечной непроходимости.</w:t>
      </w:r>
    </w:p>
    <w:p w14:paraId="79708E38" w14:textId="77777777" w:rsidR="00116AF3" w:rsidRPr="006B215F" w:rsidRDefault="00116AF3" w:rsidP="00116AF3">
      <w:pPr>
        <w:ind w:firstLine="708"/>
      </w:pPr>
      <w:r w:rsidRPr="006B215F">
        <w:t xml:space="preserve">Диагностику проводят на основании </w:t>
      </w:r>
      <w:r>
        <w:t xml:space="preserve">выявления </w:t>
      </w:r>
      <w:r w:rsidRPr="0028579C">
        <w:t xml:space="preserve">дезоксирибонуклеиновой кислоты (ДНК) вируса </w:t>
      </w:r>
      <w:r>
        <w:t xml:space="preserve">при молекулярно-биологическом исследовании </w:t>
      </w:r>
      <w:r w:rsidRPr="0028579C">
        <w:t>методом ПЦР. Исследуют содержимое везикул, “корочки” с везикул, биоптаты тканей, мазки со слизистой зева, спинномозговую жидкость (СМЖ), сыворотку крови</w:t>
      </w:r>
      <w:r>
        <w:t>, и др</w:t>
      </w:r>
      <w:r w:rsidRPr="0028579C">
        <w:t>.</w:t>
      </w:r>
    </w:p>
    <w:p w14:paraId="6E0CEF01" w14:textId="77777777" w:rsidR="00116AF3" w:rsidRDefault="00116AF3" w:rsidP="00116AF3">
      <w:pPr>
        <w:ind w:firstLine="708"/>
      </w:pPr>
      <w:r w:rsidRPr="006B215F">
        <w:t>Лечение проводят ацикловиром внутривенно в дозе 500 мг/м</w:t>
      </w:r>
      <w:r w:rsidRPr="006B215F">
        <w:rPr>
          <w:vertAlign w:val="superscript"/>
        </w:rPr>
        <w:t>2</w:t>
      </w:r>
      <w:r w:rsidRPr="006B215F">
        <w:t xml:space="preserve">, введение каждые 8 часов. При стабилизации состояния возможен переход на пероральный прием препаратов – валацикловир (по 100 мг 3 раза), фамцикловир (по 500 мг 3 раза), ацикловир (800 мг 5 раз). Общая длительность лечения составляет не менее 7 дней. В случае ацикловир-резистентных </w:t>
      </w:r>
      <w:r>
        <w:t xml:space="preserve">HZV используют фоскарнет (60 мг/кг каждые 12 час внутривенно) в течение 2 недель. </w:t>
      </w:r>
    </w:p>
    <w:p w14:paraId="0139F287" w14:textId="77777777" w:rsidR="00116AF3" w:rsidRDefault="00116AF3" w:rsidP="00116AF3">
      <w:pPr>
        <w:ind w:firstLine="708"/>
      </w:pPr>
    </w:p>
    <w:p w14:paraId="2719CD95" w14:textId="77777777" w:rsidR="00116AF3" w:rsidRPr="007F7F8C" w:rsidRDefault="00116AF3" w:rsidP="00116AF3">
      <w:pPr>
        <w:rPr>
          <w:bCs/>
          <w:i/>
          <w:iCs/>
          <w:u w:val="single"/>
        </w:rPr>
      </w:pPr>
      <w:r w:rsidRPr="007F7F8C">
        <w:rPr>
          <w:bCs/>
          <w:i/>
          <w:iCs/>
          <w:u w:val="single"/>
        </w:rPr>
        <w:t>Цитомегаловирус (Cytomegalovirus, CMV)</w:t>
      </w:r>
    </w:p>
    <w:p w14:paraId="23F08ADF" w14:textId="32E82FD7" w:rsidR="00116AF3" w:rsidRPr="00E42938" w:rsidRDefault="00116AF3" w:rsidP="00116AF3">
      <w:pPr>
        <w:ind w:firstLine="708"/>
      </w:pPr>
      <w:r w:rsidRPr="0028579C">
        <w:t xml:space="preserve">CMV остается частым осложнением </w:t>
      </w:r>
      <w:r>
        <w:t xml:space="preserve">у гематологических пациентов, в частности, </w:t>
      </w:r>
      <w:r w:rsidRPr="0028579C">
        <w:t>у реципиентов аллогенных ТГСК, может быть причиной заболевания как на раннем, так и позднем этапе после ТГСК, приводит к угнетению костно-мозгового кровообращения. Виремия при лимфоидных гематологических заболеваниях (ХЛЛ, лимфомы, острый лимфобластный лейкоз) и множественной миеломе достигает 13,6% в то время при миелоидны</w:t>
      </w:r>
      <w:r>
        <w:t>х гемобластозах составляет 3,9%.</w:t>
      </w:r>
      <w:r w:rsidRPr="0028579C">
        <w:t xml:space="preserve"> Выделяют CMV</w:t>
      </w:r>
      <w:r>
        <w:t>-</w:t>
      </w:r>
      <w:r w:rsidRPr="0028579C">
        <w:t>инфекцию и CMV</w:t>
      </w:r>
      <w:r>
        <w:t>-</w:t>
      </w:r>
      <w:r w:rsidRPr="0028579C">
        <w:t>заболевание. При CMV</w:t>
      </w:r>
      <w:r>
        <w:t>-</w:t>
      </w:r>
      <w:r w:rsidRPr="0028579C">
        <w:t>инфекции определяется виремия и температура в сочетании или без подавления костно-мозгового кроветворения. В случае CMV</w:t>
      </w:r>
      <w:r>
        <w:t>-</w:t>
      </w:r>
      <w:r w:rsidRPr="0028579C">
        <w:t xml:space="preserve">заболевания вирус определяется в биоптате или из образцов, полученных в ходе инвазивных вмешательств (жидкость бронхоальвеолярного лаважа, СМЖ), </w:t>
      </w:r>
      <w:r>
        <w:t>с</w:t>
      </w:r>
      <w:r w:rsidRPr="0028579C">
        <w:t xml:space="preserve"> наличием</w:t>
      </w:r>
      <w:r w:rsidRPr="006B215F">
        <w:t xml:space="preserve"> симптомов, ассоциированных с </w:t>
      </w:r>
      <w:r>
        <w:t xml:space="preserve">локализацией мест получения </w:t>
      </w:r>
      <w:r w:rsidRPr="006B215F">
        <w:t>образц</w:t>
      </w:r>
      <w:r>
        <w:t>ов</w:t>
      </w:r>
      <w:r w:rsidRPr="006B215F">
        <w:t xml:space="preserve"> исследования. Наряду с пневмонией, энцефалитом, ретинитом может развиться </w:t>
      </w:r>
      <w:r>
        <w:t>CMV-</w:t>
      </w:r>
      <w:r w:rsidRPr="006B215F">
        <w:t xml:space="preserve">гастроинтестинальное заболевание, диагностика которого </w:t>
      </w:r>
      <w:r w:rsidRPr="00E42938">
        <w:t xml:space="preserve">является наиболее трудной, особенно у пациентов с РТПХ </w:t>
      </w:r>
      <w:r w:rsidRPr="00E42938">
        <w:fldChar w:fldCharType="begin" w:fldLock="1"/>
      </w:r>
      <w:r w:rsidR="009D41F9">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[53]","plainTextFormattedCitation":"[53]","previouslyFormattedCitation":"[53]"},"properties":{"noteIndex":0},"schema":"https://github.com/citation-style-language/schema/raw/master/csl-citation.json"}</w:instrText>
      </w:r>
      <w:r w:rsidRPr="00E42938">
        <w:fldChar w:fldCharType="separate"/>
      </w:r>
      <w:r w:rsidR="004C3BA5" w:rsidRPr="004C3BA5">
        <w:rPr>
          <w:noProof/>
        </w:rPr>
        <w:t>[53]</w:t>
      </w:r>
      <w:r w:rsidRPr="00E42938">
        <w:fldChar w:fldCharType="end"/>
      </w:r>
      <w:r w:rsidRPr="00E42938">
        <w:t xml:space="preserve">. </w:t>
      </w:r>
    </w:p>
    <w:p w14:paraId="5E0C65C3" w14:textId="77777777" w:rsidR="00116AF3" w:rsidRPr="007F7F8C" w:rsidRDefault="00116AF3" w:rsidP="00116AF3">
      <w:pPr>
        <w:ind w:firstLine="708"/>
        <w:rPr>
          <w:bCs/>
          <w:i/>
          <w:iCs/>
        </w:rPr>
      </w:pPr>
      <w:r w:rsidRPr="007F7F8C">
        <w:rPr>
          <w:bCs/>
          <w:i/>
          <w:iCs/>
        </w:rPr>
        <w:t>Диагностика</w:t>
      </w:r>
    </w:p>
    <w:p w14:paraId="1CA8DCBF" w14:textId="77777777" w:rsidR="00116AF3" w:rsidRPr="006B215F" w:rsidRDefault="00116AF3" w:rsidP="00116AF3">
      <w:pPr>
        <w:ind w:firstLine="708"/>
      </w:pPr>
      <w:r w:rsidRPr="006B215F">
        <w:t xml:space="preserve">У реципиентов </w:t>
      </w:r>
      <w:r>
        <w:t xml:space="preserve">до </w:t>
      </w:r>
      <w:r w:rsidRPr="006B215F">
        <w:t xml:space="preserve">ТГСК исследуют наличие антител </w:t>
      </w:r>
      <w:r>
        <w:t>CMV.</w:t>
      </w:r>
    </w:p>
    <w:p w14:paraId="15294097" w14:textId="603E2E4D" w:rsidR="00116AF3" w:rsidRPr="006B215F" w:rsidRDefault="00116AF3" w:rsidP="00116AF3">
      <w:pPr>
        <w:ind w:firstLine="708"/>
      </w:pPr>
      <w:r w:rsidRPr="006B215F">
        <w:t xml:space="preserve">Для диагностики инфекции или заболевания используют </w:t>
      </w:r>
      <w:r w:rsidRPr="00B67A55">
        <w:t>молекулярно-биологическое исследование на цитомегаловирус, включая количественное исследование</w:t>
      </w:r>
      <w:r>
        <w:t xml:space="preserve"> </w:t>
      </w:r>
      <w:r w:rsidRPr="006B215F">
        <w:t xml:space="preserve"> мето</w:t>
      </w:r>
      <w:r>
        <w:t>дом</w:t>
      </w:r>
      <w:r w:rsidRPr="006B215F">
        <w:t xml:space="preserve"> ПЦР</w:t>
      </w:r>
      <w:r>
        <w:t xml:space="preserve"> </w:t>
      </w:r>
      <w:r w:rsidRPr="00E42938">
        <w:fldChar w:fldCharType="begin" w:fldLock="1"/>
      </w:r>
      <w:r w:rsidR="009D41F9">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[53]","plainTextFormattedCitation":"[53]","previouslyFormattedCitation":"[53]"},"properties":{"noteIndex":0},"schema":"https://github.com/citation-style-language/schema/raw/master/csl-citation.json"}</w:instrText>
      </w:r>
      <w:r w:rsidRPr="00E42938">
        <w:fldChar w:fldCharType="separate"/>
      </w:r>
      <w:r w:rsidR="004C3BA5" w:rsidRPr="004C3BA5">
        <w:rPr>
          <w:noProof/>
        </w:rPr>
        <w:t>[53]</w:t>
      </w:r>
      <w:r w:rsidRPr="00E42938">
        <w:fldChar w:fldCharType="end"/>
      </w:r>
      <w:r w:rsidRPr="006B215F">
        <w:t>. Всем реципиентам аллогенной ТГ</w:t>
      </w:r>
      <w:r>
        <w:t>СК следует проводить мониторинг</w:t>
      </w:r>
      <w:r w:rsidRPr="006B215F">
        <w:t xml:space="preserve"> определения ДНК </w:t>
      </w:r>
      <w:r>
        <w:t>CMV</w:t>
      </w:r>
      <w:r w:rsidRPr="006B215F">
        <w:t xml:space="preserve"> не реже чем 1 раз в неделю. Длительность мониторинга составляет не менее 100 дней. Удлинение мониторинга рекомендовано у реципиентов с острой или хронической РТПХ, имевших </w:t>
      </w:r>
      <w:r>
        <w:t>CMV</w:t>
      </w:r>
      <w:r w:rsidRPr="006B215F">
        <w:t xml:space="preserve"> инфекцию в раннем периоде ТГСК, а также у реципиентов после несовместимой или неродственной ТГСК.</w:t>
      </w:r>
    </w:p>
    <w:p w14:paraId="6A9F92FB" w14:textId="77777777" w:rsidR="00116AF3" w:rsidRPr="007F7F8C" w:rsidRDefault="00116AF3" w:rsidP="00116AF3">
      <w:pPr>
        <w:ind w:firstLine="708"/>
        <w:rPr>
          <w:bCs/>
          <w:i/>
          <w:iCs/>
        </w:rPr>
      </w:pPr>
      <w:r w:rsidRPr="007F7F8C">
        <w:rPr>
          <w:bCs/>
          <w:i/>
          <w:iCs/>
        </w:rPr>
        <w:t>Лечение</w:t>
      </w:r>
    </w:p>
    <w:p w14:paraId="06D694E2" w14:textId="3C9BA00F" w:rsidR="00116AF3" w:rsidRPr="006B215F" w:rsidRDefault="00116AF3" w:rsidP="00116AF3">
      <w:pPr>
        <w:ind w:firstLine="708"/>
      </w:pPr>
      <w:r w:rsidRPr="006B215F">
        <w:t>Препаратом 1 линии является ганцикловир (внутривенно, 10 мг/кг/сутки, дозу разделяют на два приема)</w:t>
      </w:r>
      <w:r>
        <w:t xml:space="preserve"> </w:t>
      </w:r>
      <w:r w:rsidRPr="00E42938">
        <w:fldChar w:fldCharType="begin" w:fldLock="1"/>
      </w:r>
      <w:r w:rsidR="009D41F9">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[53]","plainTextFormattedCitation":"[53]","previouslyFormattedCitation":"[53]"},"properties":{"noteIndex":0},"schema":"https://github.com/citation-style-language/schema/raw/master/csl-citation.json"}</w:instrText>
      </w:r>
      <w:r w:rsidRPr="00E42938">
        <w:fldChar w:fldCharType="separate"/>
      </w:r>
      <w:r w:rsidR="004C3BA5" w:rsidRPr="004C3BA5">
        <w:rPr>
          <w:noProof/>
        </w:rPr>
        <w:t>[53]</w:t>
      </w:r>
      <w:r w:rsidRPr="00E42938">
        <w:fldChar w:fldCharType="end"/>
      </w:r>
      <w:r w:rsidRPr="006B215F">
        <w:t>. При резистентности назначают фоскарнет. Длительность лечения составляет не мене 2 недель. Назначают поддерживающую терапию ганцикловиром, если виремия продолжает определяться через 2 недели</w:t>
      </w:r>
      <w:r>
        <w:t xml:space="preserve"> </w:t>
      </w:r>
      <w:r w:rsidRPr="00E42938">
        <w:fldChar w:fldCharType="begin" w:fldLock="1"/>
      </w:r>
      <w:r w:rsidR="009D41F9">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[53]","plainTextFormattedCitation":"[53]","previouslyFormattedCitation":"[53]"},"properties":{"noteIndex":0},"schema":"https://github.com/citation-style-language/schema/raw/master/csl-citation.json"}</w:instrText>
      </w:r>
      <w:r w:rsidRPr="00E42938">
        <w:fldChar w:fldCharType="separate"/>
      </w:r>
      <w:r w:rsidR="004C3BA5" w:rsidRPr="004C3BA5">
        <w:rPr>
          <w:noProof/>
        </w:rPr>
        <w:t>[53]</w:t>
      </w:r>
      <w:r w:rsidRPr="00E42938">
        <w:fldChar w:fldCharType="end"/>
      </w:r>
      <w:r w:rsidRPr="006B215F">
        <w:t>.</w:t>
      </w:r>
    </w:p>
    <w:p w14:paraId="711A5294" w14:textId="77777777" w:rsidR="00116AF3" w:rsidRDefault="00116AF3" w:rsidP="00116AF3">
      <w:pPr>
        <w:rPr>
          <w:bCs/>
          <w:i/>
          <w:iCs/>
          <w:u w:val="single"/>
        </w:rPr>
      </w:pPr>
    </w:p>
    <w:p w14:paraId="19DEE59D" w14:textId="77777777" w:rsidR="00116AF3" w:rsidRPr="00E42938" w:rsidRDefault="00116AF3" w:rsidP="00116AF3">
      <w:pPr>
        <w:rPr>
          <w:bCs/>
          <w:i/>
          <w:iCs/>
          <w:u w:val="single"/>
        </w:rPr>
      </w:pPr>
      <w:r w:rsidRPr="00E42938">
        <w:rPr>
          <w:bCs/>
          <w:i/>
          <w:iCs/>
          <w:u w:val="single"/>
        </w:rPr>
        <w:t>Вирус Эпштейна-Барр (Epstein-Barr virus – EBV)</w:t>
      </w:r>
    </w:p>
    <w:p w14:paraId="171B769A" w14:textId="1E4AA48F" w:rsidR="00116AF3" w:rsidRDefault="00116AF3" w:rsidP="00116AF3">
      <w:pPr>
        <w:ind w:firstLine="708"/>
      </w:pPr>
      <w:r w:rsidRPr="003605AD">
        <w:t xml:space="preserve">Проявления </w:t>
      </w:r>
      <w:r>
        <w:t>EBV</w:t>
      </w:r>
      <w:r w:rsidRPr="00275E66">
        <w:t>-</w:t>
      </w:r>
      <w:r w:rsidRPr="003605AD">
        <w:t xml:space="preserve">инфекции могут быть в виде </w:t>
      </w:r>
      <w:r>
        <w:t>инфекционного мононуклеоза, хронической EBV</w:t>
      </w:r>
      <w:r w:rsidRPr="00275E66">
        <w:t>-</w:t>
      </w:r>
      <w:r>
        <w:t>инфекции, EBV-ассоциированной опухоли. В некоторых случаях проявлением реактивации бывает энцефалит, пневмония и гепатит. Частота EBV-ассоциированного лимфопролиферативного заболевания составляет у реципиентов аутологичных ТГСК около 0, 07%, аллогенных ТГСК – 0,45-4%</w:t>
      </w:r>
      <w:r w:rsidRPr="006B215F">
        <w:t>;</w:t>
      </w:r>
      <w:r>
        <w:t xml:space="preserve"> наиболее высокий показатель после гаплоидентичной ТГСК (до 25%) и после деплеции Т-клеток (12-29%). Реципиенты после неродственной или частично совместимой ТГСК или после деплеции Т-клеток составляют группу риска в отношении развития EBV</w:t>
      </w:r>
      <w:r w:rsidRPr="006B215F">
        <w:t xml:space="preserve"> </w:t>
      </w:r>
      <w:r>
        <w:t xml:space="preserve">ассоциированной опухоли </w:t>
      </w:r>
      <w:r w:rsidRPr="00867D9A">
        <w:fldChar w:fldCharType="begin" w:fldLock="1"/>
      </w:r>
      <w:r w:rsidR="009D41F9">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[52]","plainTextFormattedCitation":"[52]","previouslyFormattedCitation":"[52]"},"properties":{"noteIndex":0},"schema":"https://github.com/citation-style-language/schema/raw/master/csl-citation.json"}</w:instrText>
      </w:r>
      <w:r w:rsidRPr="00867D9A">
        <w:fldChar w:fldCharType="separate"/>
      </w:r>
      <w:r w:rsidR="004C3BA5" w:rsidRPr="004C3BA5">
        <w:rPr>
          <w:noProof/>
        </w:rPr>
        <w:t>[52]</w:t>
      </w:r>
      <w:r w:rsidRPr="00867D9A">
        <w:fldChar w:fldCharType="end"/>
      </w:r>
      <w:r>
        <w:t>.</w:t>
      </w:r>
    </w:p>
    <w:p w14:paraId="13A1BF20" w14:textId="77777777" w:rsidR="00116AF3" w:rsidRPr="006B215F" w:rsidRDefault="00116AF3" w:rsidP="00116AF3">
      <w:pPr>
        <w:ind w:firstLine="708"/>
      </w:pPr>
      <w:r>
        <w:t>Диагностика – детекция ДНК EBV</w:t>
      </w:r>
      <w:r w:rsidRPr="006B215F">
        <w:t xml:space="preserve"> методом ПЦР (количественный метод). Мониторинг </w:t>
      </w:r>
      <w:r>
        <w:t>ДНК EBV</w:t>
      </w:r>
      <w:r w:rsidRPr="006B215F">
        <w:t xml:space="preserve"> в группе высо</w:t>
      </w:r>
      <w:r>
        <w:t>ко</w:t>
      </w:r>
      <w:r w:rsidRPr="006B215F">
        <w:t xml:space="preserve">го риска (аллогенная ТГСК) необходимо проводить еженедельно в течение 3х месяцев после ТГСК, более продолжительный период – при хронической РТПХ, после </w:t>
      </w:r>
      <w:r>
        <w:t>гаплоидентичной ТГСК, а также среди пациентов с ранней реактивацией EBV</w:t>
      </w:r>
      <w:r w:rsidRPr="006B215F">
        <w:t>.</w:t>
      </w:r>
    </w:p>
    <w:p w14:paraId="3F2DE58C" w14:textId="28823438" w:rsidR="00116AF3" w:rsidRPr="003605AD" w:rsidRDefault="00116AF3" w:rsidP="00116AF3">
      <w:pPr>
        <w:ind w:firstLine="708"/>
      </w:pPr>
      <w:r w:rsidRPr="006B215F">
        <w:t xml:space="preserve">Лечение </w:t>
      </w:r>
      <w:r>
        <w:t xml:space="preserve">EBV-ассоциированного лимфопролиферативного заболевания проводят ритуксимабом </w:t>
      </w:r>
      <w:r w:rsidRPr="00867D9A">
        <w:fldChar w:fldCharType="begin" w:fldLock="1"/>
      </w:r>
      <w:r w:rsidR="009D41F9">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[52]","plainTextFormattedCitation":"[52]","previouslyFormattedCitation":"[52]"},"properties":{"noteIndex":0},"schema":"https://github.com/citation-style-language/schema/raw/master/csl-citation.json"}</w:instrText>
      </w:r>
      <w:r w:rsidRPr="00867D9A">
        <w:fldChar w:fldCharType="separate"/>
      </w:r>
      <w:r w:rsidR="004C3BA5" w:rsidRPr="004C3BA5">
        <w:rPr>
          <w:noProof/>
        </w:rPr>
        <w:t>[52]</w:t>
      </w:r>
      <w:r w:rsidRPr="00867D9A">
        <w:fldChar w:fldCharType="end"/>
      </w:r>
      <w:r>
        <w:t>. Антивирусные препараты и иммуноглобулин не рекомендованы для лечения.</w:t>
      </w:r>
    </w:p>
    <w:p w14:paraId="5ECC0B2B" w14:textId="77777777" w:rsidR="00116AF3" w:rsidRDefault="00116AF3" w:rsidP="00116AF3">
      <w:pPr>
        <w:rPr>
          <w:bCs/>
          <w:i/>
          <w:iCs/>
          <w:u w:val="single"/>
        </w:rPr>
      </w:pPr>
    </w:p>
    <w:p w14:paraId="54D54C42" w14:textId="77777777" w:rsidR="00116AF3" w:rsidRPr="00023E68" w:rsidRDefault="00116AF3" w:rsidP="00116AF3">
      <w:pPr>
        <w:rPr>
          <w:bCs/>
          <w:i/>
          <w:iCs/>
          <w:u w:val="single"/>
        </w:rPr>
      </w:pPr>
      <w:r w:rsidRPr="00023E68">
        <w:rPr>
          <w:bCs/>
          <w:i/>
          <w:iCs/>
          <w:u w:val="single"/>
        </w:rPr>
        <w:t>Вирус герпеса человека 6 типа (Human herpes virus 6 – HHV-6)</w:t>
      </w:r>
    </w:p>
    <w:p w14:paraId="15DB5F70" w14:textId="45F7F45A" w:rsidR="00116AF3" w:rsidRPr="006B215F" w:rsidRDefault="00116AF3" w:rsidP="00116AF3">
      <w:pPr>
        <w:ind w:firstLine="708"/>
      </w:pPr>
      <w:r>
        <w:t>Среди</w:t>
      </w:r>
      <w:r w:rsidRPr="006B215F">
        <w:rPr>
          <w:b/>
        </w:rPr>
        <w:t xml:space="preserve"> </w:t>
      </w:r>
      <w:r w:rsidRPr="00620C7D">
        <w:t>HHV</w:t>
      </w:r>
      <w:r w:rsidRPr="006B215F">
        <w:t xml:space="preserve">6 выделяют тип А и тип В. </w:t>
      </w:r>
      <w:r>
        <w:t xml:space="preserve">Реактивация вируса может приводить к развитию энцефалита, угнетению костно-мозгового кроветворения, пневмонии, быть причиной диареи. Энцефалит, вызванный </w:t>
      </w:r>
      <w:r w:rsidRPr="005B1B4B">
        <w:t>HHV</w:t>
      </w:r>
      <w:r w:rsidRPr="006B215F">
        <w:t xml:space="preserve">6, является редким проявлением инфекции, описаны случаи при неродственной ТГСК. В СМЖ </w:t>
      </w:r>
      <w:r>
        <w:t>пациентов с</w:t>
      </w:r>
      <w:r w:rsidRPr="006B215F">
        <w:t xml:space="preserve"> энцефалитом </w:t>
      </w:r>
      <w:r w:rsidRPr="005B1B4B">
        <w:t>HHV</w:t>
      </w:r>
      <w:r>
        <w:t>-</w:t>
      </w:r>
      <w:r w:rsidRPr="006B215F">
        <w:t xml:space="preserve">6 определяется повышенный уровень белка, в половине случаев бывает плеоцитоз. </w:t>
      </w:r>
      <w:r w:rsidRPr="0028579C">
        <w:t>Компьютерная томография головного мозга</w:t>
      </w:r>
      <w:r w:rsidRPr="006B215F">
        <w:t xml:space="preserve"> может быть нормальной, изменения </w:t>
      </w:r>
      <w:r w:rsidRPr="0028579C">
        <w:t>определяются при магнитно-резонансной томографии</w:t>
      </w:r>
      <w:r>
        <w:t xml:space="preserve"> </w:t>
      </w:r>
      <w:r w:rsidRPr="00E42938">
        <w:fldChar w:fldCharType="begin" w:fldLock="1"/>
      </w:r>
      <w:r w:rsidR="009D41F9">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[53]","plainTextFormattedCitation":"[53]","previouslyFormattedCitation":"[53]"},"properties":{"noteIndex":0},"schema":"https://github.com/citation-style-language/schema/raw/master/csl-citation.json"}</w:instrText>
      </w:r>
      <w:r w:rsidRPr="00E42938">
        <w:fldChar w:fldCharType="separate"/>
      </w:r>
      <w:r w:rsidR="004C3BA5" w:rsidRPr="004C3BA5">
        <w:rPr>
          <w:noProof/>
        </w:rPr>
        <w:t>[53]</w:t>
      </w:r>
      <w:r w:rsidRPr="00E42938">
        <w:fldChar w:fldCharType="end"/>
      </w:r>
      <w:r w:rsidRPr="006B215F">
        <w:t xml:space="preserve">. </w:t>
      </w:r>
    </w:p>
    <w:p w14:paraId="1BE90EE7" w14:textId="77777777" w:rsidR="00116AF3" w:rsidRDefault="00116AF3" w:rsidP="00116AF3">
      <w:pPr>
        <w:ind w:firstLine="708"/>
      </w:pPr>
      <w:r>
        <w:t xml:space="preserve">Диагностика проводится на основании молекулярно-биологического исследования на </w:t>
      </w:r>
      <w:r w:rsidRPr="00620C7D">
        <w:t>HHV</w:t>
      </w:r>
      <w:r w:rsidRPr="006B215F">
        <w:t>6</w:t>
      </w:r>
      <w:r>
        <w:t xml:space="preserve">, выявляющая ДНК вируса методом ПЦР в крови, в СМЖ, других биологических субстратах, в том числе, количественным методом. </w:t>
      </w:r>
    </w:p>
    <w:p w14:paraId="56ED64C5" w14:textId="3F0CD515" w:rsidR="00116AF3" w:rsidRPr="00C1743E" w:rsidRDefault="00116AF3" w:rsidP="00116AF3">
      <w:pPr>
        <w:ind w:firstLine="708"/>
      </w:pPr>
      <w:r>
        <w:t xml:space="preserve">Лечение включает назначение ганцикловира или фоскарнета, возможно сочетанное применение препаратов </w:t>
      </w:r>
      <w:r w:rsidRPr="00E42938">
        <w:fldChar w:fldCharType="begin" w:fldLock="1"/>
      </w:r>
      <w:r w:rsidR="009D41F9">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[53]","plainTextFormattedCitation":"[53]","previouslyFormattedCitation":"[53]"},"properties":{"noteIndex":0},"schema":"https://github.com/citation-style-language/schema/raw/master/csl-citation.json"}</w:instrText>
      </w:r>
      <w:r w:rsidRPr="00E42938">
        <w:fldChar w:fldCharType="separate"/>
      </w:r>
      <w:r w:rsidR="004C3BA5" w:rsidRPr="004C3BA5">
        <w:rPr>
          <w:noProof/>
        </w:rPr>
        <w:t>[53]</w:t>
      </w:r>
      <w:r w:rsidRPr="00E42938">
        <w:fldChar w:fldCharType="end"/>
      </w:r>
      <w:r w:rsidRPr="006B215F">
        <w:t>.</w:t>
      </w:r>
      <w:r>
        <w:t xml:space="preserve"> Профилактика в отношении HHV</w:t>
      </w:r>
      <w:r w:rsidRPr="006B215F">
        <w:t>-6</w:t>
      </w:r>
      <w:r>
        <w:t xml:space="preserve"> не проводится.</w:t>
      </w:r>
    </w:p>
    <w:p w14:paraId="6C3FC3E3" w14:textId="77777777" w:rsidR="00116AF3" w:rsidRDefault="00116AF3" w:rsidP="00116AF3">
      <w:pPr>
        <w:pStyle w:val="2"/>
        <w:spacing w:before="0"/>
      </w:pPr>
    </w:p>
    <w:p w14:paraId="654AD200" w14:textId="529AEC2E" w:rsidR="00116AF3" w:rsidRPr="007531B6" w:rsidRDefault="00116AF3" w:rsidP="00116AF3">
      <w:pPr>
        <w:pStyle w:val="2"/>
        <w:spacing w:before="0"/>
      </w:pPr>
      <w:bookmarkStart w:id="86" w:name="_Toc65770419"/>
      <w:bookmarkStart w:id="87" w:name="_Toc66097846"/>
      <w:bookmarkStart w:id="88" w:name="_Toc66184333"/>
      <w:r w:rsidRPr="000322E4">
        <w:t>7.</w:t>
      </w:r>
      <w:r w:rsidR="00C07B00">
        <w:t>9</w:t>
      </w:r>
      <w:r>
        <w:t xml:space="preserve"> </w:t>
      </w:r>
      <w:bookmarkStart w:id="89" w:name="_Toc57985410"/>
      <w:bookmarkStart w:id="90" w:name="_Toc64478031"/>
      <w:r>
        <w:t>Д</w:t>
      </w:r>
      <w:r w:rsidRPr="007531B6">
        <w:t>иагностика и лечение инфекций</w:t>
      </w:r>
      <w:r>
        <w:t xml:space="preserve">, </w:t>
      </w:r>
      <w:r w:rsidRPr="007531B6">
        <w:t>вызванных грибами</w:t>
      </w:r>
      <w:bookmarkEnd w:id="86"/>
      <w:bookmarkEnd w:id="87"/>
      <w:bookmarkEnd w:id="88"/>
      <w:bookmarkEnd w:id="89"/>
      <w:bookmarkEnd w:id="90"/>
    </w:p>
    <w:p w14:paraId="026731A1" w14:textId="77777777" w:rsidR="00116AF3" w:rsidRPr="0002711B" w:rsidRDefault="00116AF3" w:rsidP="00116AF3">
      <w:pPr>
        <w:ind w:firstLine="708"/>
      </w:pPr>
      <w:r>
        <w:t>Высокотехнологичные методы лечения и особенности иммунодефицита у пациентов с гематологическими заболеваниями ассоциированы с увеличением частоты оппортунистических инфекций и прежде всего инфекционных осложнений, вызванных грибами. В структуре инвазивных микозов ведущую позицию занимает инвазивный аспергиллез, далее следует инвазивный кандидоз, возрастает частота микозов, вызванных другими плесневыми грибами. В приложении представлены характеристика инфекционного процесса, вызванного грибами, особенности диагностики и лечения в зависимости от выделенного возбудителя.</w:t>
      </w:r>
    </w:p>
    <w:p w14:paraId="4BE7A8FB" w14:textId="77777777" w:rsidR="00116AF3" w:rsidRDefault="00116AF3" w:rsidP="00116AF3">
      <w:pPr>
        <w:widowControl w:val="0"/>
        <w:autoSpaceDE w:val="0"/>
        <w:autoSpaceDN w:val="0"/>
        <w:adjustRightInd w:val="0"/>
        <w:ind w:right="51"/>
        <w:contextualSpacing/>
        <w:rPr>
          <w:b/>
          <w:bCs/>
        </w:rPr>
      </w:pPr>
    </w:p>
    <w:p w14:paraId="114A8792" w14:textId="5847D75B" w:rsidR="00116AF3" w:rsidRPr="00084B8B" w:rsidRDefault="00116AF3" w:rsidP="00116AF3">
      <w:pPr>
        <w:widowControl w:val="0"/>
        <w:autoSpaceDE w:val="0"/>
        <w:autoSpaceDN w:val="0"/>
        <w:adjustRightInd w:val="0"/>
        <w:ind w:right="49"/>
        <w:contextualSpacing/>
        <w:rPr>
          <w:bCs/>
          <w:u w:val="single"/>
        </w:rPr>
      </w:pPr>
      <w:r w:rsidRPr="00F87280">
        <w:rPr>
          <w:bCs/>
          <w:u w:val="single"/>
        </w:rPr>
        <w:t>Диагностика и лечение кандидоза</w:t>
      </w:r>
      <w:r>
        <w:rPr>
          <w:bCs/>
          <w:u w:val="single"/>
          <w:lang w:val="en-US"/>
        </w:rPr>
        <w:t xml:space="preserve"> </w:t>
      </w:r>
      <w:r>
        <w:rPr>
          <w:b/>
        </w:rPr>
        <w:fldChar w:fldCharType="begin" w:fldLock="1"/>
      </w:r>
      <w:r w:rsidR="009D41F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[47,48,54,55]","plainTextFormattedCitation":"[47,48,54,55]","previouslyFormattedCitation":"[47,48,54,55]"},"properties":{"noteIndex":0},"schema":"https://github.com/citation-style-language/schema/raw/master/csl-citation.json"}</w:instrText>
      </w:r>
      <w:r>
        <w:rPr>
          <w:b/>
        </w:rPr>
        <w:fldChar w:fldCharType="separate"/>
      </w:r>
      <w:r w:rsidR="004C3BA5" w:rsidRPr="004C3BA5">
        <w:rPr>
          <w:noProof/>
        </w:rPr>
        <w:t>[47,48,54,55]</w:t>
      </w:r>
      <w:r>
        <w:rPr>
          <w:b/>
        </w:rPr>
        <w:fldChar w:fldCharType="end"/>
      </w:r>
    </w:p>
    <w:p w14:paraId="733FA31C" w14:textId="77777777" w:rsidR="00116AF3" w:rsidRPr="0014445B" w:rsidRDefault="00116AF3" w:rsidP="00116AF3">
      <w:pPr>
        <w:widowControl w:val="0"/>
        <w:autoSpaceDE w:val="0"/>
        <w:autoSpaceDN w:val="0"/>
        <w:adjustRightInd w:val="0"/>
        <w:ind w:right="51"/>
        <w:contextualSpacing/>
        <w:rPr>
          <w:b/>
          <w:bCs/>
        </w:rPr>
      </w:pPr>
      <w:r w:rsidRPr="0014445B">
        <w:rPr>
          <w:b/>
          <w:bCs/>
        </w:rPr>
        <w:t>Кандидоз полости рта и глотки (орофарингеальный кандидоз)</w:t>
      </w:r>
    </w:p>
    <w:p w14:paraId="6B61566A" w14:textId="77777777" w:rsidR="00116AF3" w:rsidRPr="00F87280" w:rsidRDefault="00116AF3" w:rsidP="00116AF3">
      <w:pPr>
        <w:widowControl w:val="0"/>
        <w:autoSpaceDE w:val="0"/>
        <w:autoSpaceDN w:val="0"/>
        <w:adjustRightInd w:val="0"/>
        <w:ind w:right="51"/>
        <w:contextualSpacing/>
        <w:rPr>
          <w:i/>
          <w:iCs/>
        </w:rPr>
      </w:pPr>
      <w:r w:rsidRPr="00F87280">
        <w:rPr>
          <w:i/>
          <w:iCs/>
          <w:u w:val="single"/>
        </w:rPr>
        <w:t>Возбудители</w:t>
      </w:r>
    </w:p>
    <w:p w14:paraId="103D1A6B" w14:textId="77777777" w:rsidR="00116AF3" w:rsidRPr="00DA2BC8" w:rsidRDefault="00116AF3" w:rsidP="00116AF3">
      <w:pPr>
        <w:widowControl w:val="0"/>
        <w:autoSpaceDE w:val="0"/>
        <w:autoSpaceDN w:val="0"/>
        <w:adjustRightInd w:val="0"/>
        <w:ind w:right="51"/>
        <w:contextualSpacing/>
      </w:pPr>
      <w:r w:rsidRPr="00DA2BC8">
        <w:t xml:space="preserve">Среди возбудителей преобладают </w:t>
      </w:r>
      <w:r w:rsidRPr="00DA2BC8">
        <w:rPr>
          <w:i/>
          <w:iCs/>
        </w:rPr>
        <w:t>Candida albicans,</w:t>
      </w:r>
      <w:r w:rsidRPr="00DA2BC8">
        <w:t xml:space="preserve"> часто в сочетании с бактериями. Другие виды выделяют реже </w:t>
      </w:r>
      <w:r>
        <w:t>(в основном, у пациентов,</w:t>
      </w:r>
      <w:r w:rsidRPr="00DA2BC8">
        <w:t xml:space="preserve"> длительно принимающих противогрибковые препараты</w:t>
      </w:r>
      <w:r>
        <w:t>)</w:t>
      </w:r>
      <w:r w:rsidRPr="00DA2BC8">
        <w:t>.</w:t>
      </w:r>
    </w:p>
    <w:p w14:paraId="132B42BB" w14:textId="77777777" w:rsidR="00116AF3" w:rsidRPr="00F87280" w:rsidRDefault="00116AF3" w:rsidP="00116AF3">
      <w:pPr>
        <w:widowControl w:val="0"/>
        <w:autoSpaceDE w:val="0"/>
        <w:autoSpaceDN w:val="0"/>
        <w:adjustRightInd w:val="0"/>
        <w:ind w:right="51"/>
        <w:contextualSpacing/>
        <w:rPr>
          <w:i/>
          <w:iCs/>
          <w:u w:val="single"/>
        </w:rPr>
      </w:pPr>
      <w:r w:rsidRPr="00F87280">
        <w:rPr>
          <w:i/>
          <w:iCs/>
          <w:u w:val="single"/>
        </w:rPr>
        <w:t>Факторы риска</w:t>
      </w:r>
    </w:p>
    <w:p w14:paraId="7DABBAD3" w14:textId="77777777" w:rsidR="00116AF3" w:rsidRPr="00DA2BC8" w:rsidRDefault="00116AF3" w:rsidP="00116AF3">
      <w:pPr>
        <w:widowControl w:val="0"/>
        <w:autoSpaceDE w:val="0"/>
        <w:autoSpaceDN w:val="0"/>
        <w:adjustRightInd w:val="0"/>
        <w:ind w:right="51"/>
        <w:contextualSpacing/>
      </w:pPr>
      <w:r w:rsidRPr="00DA2BC8">
        <w:t>Основными факторами риска являются нейтропения, применение антибиотиков, глюкокортикоидов, цитостатиков и иммунодепрессантов, проведение лучевой терапии.</w:t>
      </w:r>
    </w:p>
    <w:p w14:paraId="402B2803" w14:textId="77777777" w:rsidR="00116AF3" w:rsidRPr="00F87280" w:rsidRDefault="00116AF3" w:rsidP="00116AF3">
      <w:pPr>
        <w:widowControl w:val="0"/>
        <w:autoSpaceDE w:val="0"/>
        <w:autoSpaceDN w:val="0"/>
        <w:adjustRightInd w:val="0"/>
        <w:ind w:right="51"/>
        <w:contextualSpacing/>
        <w:rPr>
          <w:i/>
          <w:iCs/>
          <w:u w:val="single"/>
        </w:rPr>
      </w:pPr>
      <w:r w:rsidRPr="00F87280">
        <w:rPr>
          <w:i/>
          <w:iCs/>
          <w:u w:val="single"/>
        </w:rPr>
        <w:t>Симптомы инфекции</w:t>
      </w:r>
    </w:p>
    <w:p w14:paraId="52AAE291" w14:textId="77777777" w:rsidR="00116AF3" w:rsidRPr="00DA2BC8" w:rsidRDefault="00116AF3" w:rsidP="00116AF3">
      <w:pPr>
        <w:widowControl w:val="0"/>
        <w:autoSpaceDE w:val="0"/>
        <w:autoSpaceDN w:val="0"/>
        <w:adjustRightInd w:val="0"/>
        <w:ind w:right="51"/>
        <w:contextualSpacing/>
      </w:pPr>
      <w:r w:rsidRPr="00DA2BC8">
        <w:t>Клинические проявления орофарингеального кандидоза - налеты белого цвета или гиперемия слизистой оболочки ротоглотки, боль в полости рта.</w:t>
      </w:r>
    </w:p>
    <w:p w14:paraId="00C2A89A" w14:textId="77777777" w:rsidR="00116AF3" w:rsidRPr="00F87280" w:rsidRDefault="00116AF3" w:rsidP="00116AF3">
      <w:pPr>
        <w:widowControl w:val="0"/>
        <w:autoSpaceDE w:val="0"/>
        <w:autoSpaceDN w:val="0"/>
        <w:adjustRightInd w:val="0"/>
        <w:ind w:right="51"/>
        <w:contextualSpacing/>
        <w:rPr>
          <w:i/>
          <w:iCs/>
          <w:u w:val="single"/>
        </w:rPr>
      </w:pPr>
      <w:r w:rsidRPr="00F87280">
        <w:rPr>
          <w:i/>
          <w:iCs/>
          <w:u w:val="single"/>
        </w:rPr>
        <w:t>Диагностика</w:t>
      </w:r>
    </w:p>
    <w:p w14:paraId="46CAB9D7" w14:textId="77777777" w:rsidR="00116AF3" w:rsidRPr="00DA2BC8" w:rsidRDefault="00116AF3" w:rsidP="00116AF3">
      <w:pPr>
        <w:widowControl w:val="0"/>
        <w:autoSpaceDE w:val="0"/>
        <w:autoSpaceDN w:val="0"/>
        <w:adjustRightInd w:val="0"/>
        <w:ind w:right="51"/>
        <w:contextualSpacing/>
      </w:pPr>
      <w:r w:rsidRPr="00DA2BC8">
        <w:t>При наличии симптомов берут мазок с измененной слизистой оболочки для микробиологического исследования (</w:t>
      </w:r>
      <w:r>
        <w:t xml:space="preserve">культуральное исследование, </w:t>
      </w:r>
      <w:r w:rsidRPr="00DA2BC8">
        <w:t xml:space="preserve">посев). При выделении </w:t>
      </w:r>
      <w:r w:rsidRPr="00DA2BC8">
        <w:rPr>
          <w:i/>
          <w:iCs/>
        </w:rPr>
        <w:t>Candida</w:t>
      </w:r>
      <w:r w:rsidRPr="00DA2BC8">
        <w:t xml:space="preserve"> spp. проводят идентификацию до вида. Чувствительность к противогрибковым препаратам определяют при длительном, рецидивирующем орофарингеальном кандидозе </w:t>
      </w:r>
    </w:p>
    <w:p w14:paraId="6A485927" w14:textId="77777777" w:rsidR="00116AF3" w:rsidRPr="00F87280" w:rsidRDefault="00116AF3" w:rsidP="00116AF3">
      <w:pPr>
        <w:widowControl w:val="0"/>
        <w:autoSpaceDE w:val="0"/>
        <w:autoSpaceDN w:val="0"/>
        <w:adjustRightInd w:val="0"/>
        <w:ind w:right="51"/>
        <w:contextualSpacing/>
        <w:rPr>
          <w:i/>
          <w:iCs/>
        </w:rPr>
      </w:pPr>
      <w:r w:rsidRPr="00F87280">
        <w:rPr>
          <w:i/>
          <w:iCs/>
          <w:u w:val="single"/>
        </w:rPr>
        <w:t>Показания к назначению противогрибковых препаратов</w:t>
      </w:r>
    </w:p>
    <w:p w14:paraId="74910F9F" w14:textId="77777777" w:rsidR="00116AF3" w:rsidRPr="00DA2BC8" w:rsidRDefault="00116AF3" w:rsidP="00116AF3">
      <w:pPr>
        <w:widowControl w:val="0"/>
        <w:autoSpaceDE w:val="0"/>
        <w:autoSpaceDN w:val="0"/>
        <w:adjustRightInd w:val="0"/>
        <w:ind w:right="51"/>
        <w:contextualSpacing/>
      </w:pPr>
      <w:r w:rsidRPr="00DA2BC8">
        <w:t xml:space="preserve">Наличие симптомов и выделение </w:t>
      </w:r>
      <w:r w:rsidRPr="00DA2BC8">
        <w:rPr>
          <w:i/>
          <w:iCs/>
        </w:rPr>
        <w:t xml:space="preserve">Candida </w:t>
      </w:r>
      <w:r w:rsidRPr="00DA2BC8">
        <w:t xml:space="preserve">spp. в мазках со слизистой ротоглотки. </w:t>
      </w:r>
    </w:p>
    <w:p w14:paraId="7C113A86" w14:textId="77777777" w:rsidR="00116AF3" w:rsidRPr="00F87280" w:rsidRDefault="00116AF3" w:rsidP="00116AF3">
      <w:pPr>
        <w:widowControl w:val="0"/>
        <w:autoSpaceDE w:val="0"/>
        <w:autoSpaceDN w:val="0"/>
        <w:adjustRightInd w:val="0"/>
        <w:ind w:right="51"/>
        <w:contextualSpacing/>
        <w:rPr>
          <w:i/>
          <w:iCs/>
          <w:u w:val="single"/>
        </w:rPr>
      </w:pPr>
      <w:r w:rsidRPr="00F87280">
        <w:rPr>
          <w:i/>
          <w:iCs/>
          <w:u w:val="single"/>
        </w:rPr>
        <w:t xml:space="preserve">Лечение </w:t>
      </w:r>
    </w:p>
    <w:p w14:paraId="3BFF18F2" w14:textId="77777777" w:rsidR="00116AF3" w:rsidRPr="00DA2BC8" w:rsidRDefault="00116AF3" w:rsidP="00116AF3">
      <w:pPr>
        <w:widowControl w:val="0"/>
        <w:autoSpaceDE w:val="0"/>
        <w:autoSpaceDN w:val="0"/>
        <w:adjustRightInd w:val="0"/>
        <w:ind w:right="51"/>
        <w:contextualSpacing/>
        <w:rPr>
          <w:b/>
          <w:bCs/>
        </w:rPr>
      </w:pPr>
      <w:r w:rsidRPr="00DA2BC8">
        <w:rPr>
          <w:bCs/>
        </w:rPr>
        <w:t>Препарат выбора</w:t>
      </w:r>
      <w:r w:rsidRPr="00DA2BC8">
        <w:t xml:space="preserve"> — флуконазол, по 400 мг 1 раз в сутки внутрь или внутривенно.</w:t>
      </w:r>
      <w:r w:rsidRPr="00DA2BC8">
        <w:rPr>
          <w:b/>
          <w:bCs/>
        </w:rPr>
        <w:t xml:space="preserve"> </w:t>
      </w:r>
      <w:r w:rsidRPr="00DA2BC8">
        <w:t xml:space="preserve">Флуконазол не назначают при выделении </w:t>
      </w:r>
      <w:r w:rsidRPr="00DA2BC8">
        <w:rPr>
          <w:i/>
          <w:iCs/>
        </w:rPr>
        <w:t>C. krusei</w:t>
      </w:r>
      <w:r w:rsidRPr="00DA2BC8">
        <w:t xml:space="preserve"> или </w:t>
      </w:r>
      <w:r w:rsidRPr="00DA2BC8">
        <w:rPr>
          <w:i/>
          <w:iCs/>
        </w:rPr>
        <w:t xml:space="preserve">C. glabrata. </w:t>
      </w:r>
      <w:r w:rsidRPr="00DA2BC8">
        <w:rPr>
          <w:iCs/>
        </w:rPr>
        <w:t>При</w:t>
      </w:r>
      <w:r w:rsidRPr="00DA2BC8">
        <w:rPr>
          <w:i/>
          <w:iCs/>
        </w:rPr>
        <w:t xml:space="preserve"> </w:t>
      </w:r>
      <w:r w:rsidRPr="00DA2BC8">
        <w:t xml:space="preserve">детекции </w:t>
      </w:r>
      <w:r w:rsidRPr="00DA2BC8">
        <w:rPr>
          <w:i/>
          <w:iCs/>
        </w:rPr>
        <w:t xml:space="preserve">С. krusei </w:t>
      </w:r>
      <w:r w:rsidRPr="00DA2BC8">
        <w:t>или</w:t>
      </w:r>
      <w:r w:rsidRPr="00DA2BC8">
        <w:rPr>
          <w:i/>
          <w:iCs/>
        </w:rPr>
        <w:t xml:space="preserve"> C. glabrata</w:t>
      </w:r>
      <w:r w:rsidRPr="00DA2BC8">
        <w:rPr>
          <w:iCs/>
        </w:rPr>
        <w:t xml:space="preserve"> применяют</w:t>
      </w:r>
      <w:r w:rsidRPr="00DA2BC8">
        <w:rPr>
          <w:i/>
          <w:iCs/>
        </w:rPr>
        <w:t xml:space="preserve"> </w:t>
      </w:r>
      <w:r w:rsidRPr="00DA2BC8">
        <w:t xml:space="preserve">нистатин (5-8 гр в сутки), при выраженном мукозите у больных с фебрильной лейкопенией – эхиноканадин (микафунгин или каспофунгин, или анидулафунгин). </w:t>
      </w:r>
      <w:r w:rsidRPr="00DA2BC8">
        <w:rPr>
          <w:bCs/>
        </w:rPr>
        <w:t xml:space="preserve">При неэффективном применении флуконазола проводят замену на </w:t>
      </w:r>
      <w:r w:rsidRPr="00DA2BC8">
        <w:t xml:space="preserve">эхиноканадин (микафунгин по 100 мг 1 раза в сутки или каспофунгин в 1-й день 70 мг, а затем 50 мг в сутки, анидулафунгин в 1-й день 200 мг, а затем по 100 мг в сутки), позаконазол (суспензия, внутрь после еды), по 400 мг 2 раза в сутки в течение 3 дней, затем по 400 мг 1 раз в день; или вориконазол (таблетки), по 200 мг 2 раза в сутки внутрь; или амфотерицин В, 0,3-0,5 мг/кг/сут внутривенно. </w:t>
      </w:r>
      <w:r w:rsidRPr="00DA2BC8">
        <w:rPr>
          <w:bCs/>
        </w:rPr>
        <w:t>Длительность лечения</w:t>
      </w:r>
      <w:r w:rsidRPr="00DA2BC8">
        <w:t xml:space="preserve"> составляет 7-10 дней. Более длительное применение системных противогрибковых препаратов приводит к появлению флуконазолрезистентных штаммов грибов.</w:t>
      </w:r>
    </w:p>
    <w:p w14:paraId="446CD5E7" w14:textId="77777777" w:rsidR="00116AF3" w:rsidRPr="0014445B" w:rsidRDefault="00116AF3" w:rsidP="00116AF3">
      <w:pPr>
        <w:widowControl w:val="0"/>
        <w:autoSpaceDE w:val="0"/>
        <w:autoSpaceDN w:val="0"/>
        <w:adjustRightInd w:val="0"/>
        <w:ind w:right="50"/>
        <w:contextualSpacing/>
        <w:rPr>
          <w:b/>
          <w:bCs/>
        </w:rPr>
      </w:pPr>
      <w:r w:rsidRPr="0014445B">
        <w:rPr>
          <w:b/>
          <w:bCs/>
        </w:rPr>
        <w:t>Кандидоз пищевода</w:t>
      </w:r>
    </w:p>
    <w:p w14:paraId="1E56DE87" w14:textId="77777777" w:rsidR="00116AF3" w:rsidRPr="00F87280" w:rsidRDefault="00116AF3" w:rsidP="00116AF3">
      <w:pPr>
        <w:widowControl w:val="0"/>
        <w:autoSpaceDE w:val="0"/>
        <w:autoSpaceDN w:val="0"/>
        <w:adjustRightInd w:val="0"/>
        <w:ind w:right="50"/>
        <w:contextualSpacing/>
        <w:rPr>
          <w:i/>
          <w:iCs/>
          <w:u w:val="single"/>
        </w:rPr>
      </w:pPr>
      <w:r w:rsidRPr="00F87280">
        <w:rPr>
          <w:i/>
          <w:iCs/>
          <w:u w:val="single"/>
        </w:rPr>
        <w:t>Возбудители</w:t>
      </w:r>
    </w:p>
    <w:p w14:paraId="05A3B232" w14:textId="77777777" w:rsidR="00116AF3" w:rsidRPr="00DA2BC8" w:rsidRDefault="00116AF3" w:rsidP="00116AF3">
      <w:pPr>
        <w:widowControl w:val="0"/>
        <w:autoSpaceDE w:val="0"/>
        <w:autoSpaceDN w:val="0"/>
        <w:adjustRightInd w:val="0"/>
        <w:ind w:right="50"/>
        <w:contextualSpacing/>
      </w:pPr>
      <w:r w:rsidRPr="00DA2BC8">
        <w:t xml:space="preserve">Среди возбудителей преобладают </w:t>
      </w:r>
      <w:r w:rsidRPr="00DA2BC8">
        <w:rPr>
          <w:i/>
          <w:iCs/>
        </w:rPr>
        <w:t>C. albicans.</w:t>
      </w:r>
    </w:p>
    <w:p w14:paraId="73F7D0C6" w14:textId="77777777" w:rsidR="00116AF3" w:rsidRPr="00DA2BC8" w:rsidRDefault="00116AF3" w:rsidP="00116AF3">
      <w:pPr>
        <w:widowControl w:val="0"/>
        <w:autoSpaceDE w:val="0"/>
        <w:autoSpaceDN w:val="0"/>
        <w:adjustRightInd w:val="0"/>
        <w:ind w:right="50"/>
        <w:contextualSpacing/>
      </w:pPr>
      <w:r w:rsidRPr="00F87280">
        <w:rPr>
          <w:i/>
          <w:iCs/>
          <w:u w:val="single"/>
        </w:rPr>
        <w:t>Факторы риска</w:t>
      </w:r>
      <w:r w:rsidRPr="00DA2BC8">
        <w:t xml:space="preserve"> те же, что при орофарингеальном кандидозе.</w:t>
      </w:r>
    </w:p>
    <w:p w14:paraId="05112702" w14:textId="77777777" w:rsidR="00116AF3" w:rsidRPr="00F87280" w:rsidRDefault="00116AF3" w:rsidP="00116AF3">
      <w:pPr>
        <w:widowControl w:val="0"/>
        <w:autoSpaceDE w:val="0"/>
        <w:autoSpaceDN w:val="0"/>
        <w:adjustRightInd w:val="0"/>
        <w:ind w:right="50"/>
        <w:contextualSpacing/>
        <w:rPr>
          <w:i/>
          <w:iCs/>
          <w:u w:val="single"/>
        </w:rPr>
      </w:pPr>
      <w:r w:rsidRPr="00F87280">
        <w:rPr>
          <w:i/>
          <w:iCs/>
          <w:u w:val="single"/>
        </w:rPr>
        <w:t>Симптомы инфекции</w:t>
      </w:r>
    </w:p>
    <w:p w14:paraId="7E121A91" w14:textId="77777777" w:rsidR="00116AF3" w:rsidRPr="00DA2BC8" w:rsidRDefault="00116AF3" w:rsidP="00116AF3">
      <w:pPr>
        <w:widowControl w:val="0"/>
        <w:autoSpaceDE w:val="0"/>
        <w:autoSpaceDN w:val="0"/>
        <w:adjustRightInd w:val="0"/>
        <w:ind w:right="50"/>
        <w:contextualSpacing/>
      </w:pPr>
      <w:r w:rsidRPr="00DA2BC8">
        <w:t>Клинические проявления кандидозного эзофагита — боль по ходу пищевода при глотании, боль или дискомфорт за грудиной в покое. Преобладает поражение дистального отдела пищевода.</w:t>
      </w:r>
    </w:p>
    <w:p w14:paraId="17921847" w14:textId="77777777" w:rsidR="00116AF3" w:rsidRPr="00F87280" w:rsidRDefault="00116AF3" w:rsidP="00116AF3">
      <w:pPr>
        <w:widowControl w:val="0"/>
        <w:autoSpaceDE w:val="0"/>
        <w:autoSpaceDN w:val="0"/>
        <w:adjustRightInd w:val="0"/>
        <w:ind w:right="50"/>
        <w:contextualSpacing/>
        <w:rPr>
          <w:i/>
          <w:iCs/>
        </w:rPr>
      </w:pPr>
      <w:r w:rsidRPr="00F87280">
        <w:rPr>
          <w:i/>
          <w:iCs/>
          <w:u w:val="single"/>
        </w:rPr>
        <w:t>Диагностика</w:t>
      </w:r>
    </w:p>
    <w:p w14:paraId="5ABA08F9" w14:textId="77777777" w:rsidR="00116AF3" w:rsidRPr="00DA2BC8" w:rsidRDefault="00116AF3" w:rsidP="00116AF3">
      <w:pPr>
        <w:widowControl w:val="0"/>
        <w:autoSpaceDE w:val="0"/>
        <w:autoSpaceDN w:val="0"/>
        <w:adjustRightInd w:val="0"/>
        <w:ind w:right="50"/>
        <w:contextualSpacing/>
      </w:pPr>
      <w:r w:rsidRPr="00DA2BC8">
        <w:t>Проводят эзофагоскопию, при которой выявляют гиперемию или фибриновые налеты на слизистой оболочке пищевода. С измененной слизистой оболочки пищевода берут соскоб браш-методом (при гранулоцитопении и тромбоцитопении) или биоптат (если тромбоцитов в гемограмме более 50,0×10</w:t>
      </w:r>
      <w:r w:rsidRPr="00DA2BC8">
        <w:rPr>
          <w:vertAlign w:val="superscript"/>
        </w:rPr>
        <w:t>9</w:t>
      </w:r>
      <w:r w:rsidRPr="00DA2BC8">
        <w:t xml:space="preserve">/л) для микробиологического исследования. При выделении </w:t>
      </w:r>
      <w:r w:rsidRPr="00DA2BC8">
        <w:rPr>
          <w:i/>
          <w:iCs/>
        </w:rPr>
        <w:t>Candida</w:t>
      </w:r>
      <w:r w:rsidRPr="00DA2BC8">
        <w:t xml:space="preserve"> spp. проводят идентификацию до вида и определение чувствительности. Биоптат пищевода исследуют в лаборатории микробиологии (микроскопия и </w:t>
      </w:r>
      <w:r>
        <w:t>культуральное исследование/</w:t>
      </w:r>
      <w:r w:rsidRPr="00DA2BC8">
        <w:t>посев), вирусологии (</w:t>
      </w:r>
      <w:r>
        <w:t>молекулярно-биологическое определение</w:t>
      </w:r>
      <w:r w:rsidRPr="00DA2BC8">
        <w:t xml:space="preserve"> ДНК герпес-вирусов методом ПЦР) и гистологии</w:t>
      </w:r>
      <w:r>
        <w:t xml:space="preserve"> (гистологическое исследование биоптата)</w:t>
      </w:r>
      <w:r w:rsidRPr="00DA2BC8">
        <w:t>.</w:t>
      </w:r>
    </w:p>
    <w:p w14:paraId="2DF7269A" w14:textId="77777777" w:rsidR="00116AF3" w:rsidRPr="00F87280" w:rsidRDefault="00116AF3" w:rsidP="00116AF3">
      <w:pPr>
        <w:widowControl w:val="0"/>
        <w:autoSpaceDE w:val="0"/>
        <w:autoSpaceDN w:val="0"/>
        <w:adjustRightInd w:val="0"/>
        <w:ind w:right="50"/>
        <w:contextualSpacing/>
        <w:rPr>
          <w:i/>
          <w:iCs/>
          <w:u w:val="single"/>
        </w:rPr>
      </w:pPr>
      <w:r w:rsidRPr="00F87280">
        <w:rPr>
          <w:i/>
          <w:iCs/>
          <w:u w:val="single"/>
        </w:rPr>
        <w:t>Показания к назначению противогрибковых препаратов</w:t>
      </w:r>
    </w:p>
    <w:p w14:paraId="7D90BC3B" w14:textId="77777777" w:rsidR="00116AF3" w:rsidRPr="00DA2BC8" w:rsidRDefault="00116AF3" w:rsidP="00116AF3">
      <w:pPr>
        <w:widowControl w:val="0"/>
        <w:autoSpaceDE w:val="0"/>
        <w:autoSpaceDN w:val="0"/>
        <w:adjustRightInd w:val="0"/>
        <w:ind w:right="50"/>
        <w:contextualSpacing/>
      </w:pPr>
      <w:r w:rsidRPr="00DA2BC8">
        <w:t xml:space="preserve">Наличие симптомов эзофагита и выделение дрожжевых грибов со слизистой оболочки пищевода при эзофагоскопии. Если невозможно провести эзофагоскопию, то противогрибковые препараты назначают на основании клинических проявлений эзофагита. </w:t>
      </w:r>
    </w:p>
    <w:p w14:paraId="34921EEB" w14:textId="77777777" w:rsidR="00116AF3" w:rsidRPr="00F87280" w:rsidRDefault="00116AF3" w:rsidP="00116AF3">
      <w:pPr>
        <w:widowControl w:val="0"/>
        <w:autoSpaceDE w:val="0"/>
        <w:autoSpaceDN w:val="0"/>
        <w:adjustRightInd w:val="0"/>
        <w:ind w:right="50"/>
        <w:contextualSpacing/>
        <w:rPr>
          <w:i/>
          <w:iCs/>
          <w:u w:val="single"/>
        </w:rPr>
      </w:pPr>
      <w:r w:rsidRPr="00F87280">
        <w:rPr>
          <w:i/>
          <w:iCs/>
          <w:u w:val="single"/>
        </w:rPr>
        <w:t>Лечение</w:t>
      </w:r>
    </w:p>
    <w:p w14:paraId="64B8DE08" w14:textId="77777777" w:rsidR="00116AF3" w:rsidRPr="00DA2BC8" w:rsidRDefault="00116AF3" w:rsidP="00116AF3">
      <w:pPr>
        <w:widowControl w:val="0"/>
        <w:autoSpaceDE w:val="0"/>
        <w:autoSpaceDN w:val="0"/>
        <w:adjustRightInd w:val="0"/>
        <w:ind w:right="50"/>
        <w:contextualSpacing/>
      </w:pPr>
      <w:r w:rsidRPr="00DA2BC8">
        <w:t>Во всех случаях назначают системные противогрибковые препараты. Препараты, обладающие местным действием, для лечения не используют. По возможности сокращают число используемых антибиотиков или отменяют их.</w:t>
      </w:r>
    </w:p>
    <w:p w14:paraId="232ACFBF" w14:textId="77777777" w:rsidR="00116AF3" w:rsidRPr="00DA2BC8" w:rsidRDefault="00116AF3" w:rsidP="00116AF3">
      <w:pPr>
        <w:widowControl w:val="0"/>
        <w:autoSpaceDE w:val="0"/>
        <w:autoSpaceDN w:val="0"/>
        <w:adjustRightInd w:val="0"/>
        <w:ind w:right="50"/>
        <w:contextualSpacing/>
      </w:pPr>
      <w:r w:rsidRPr="00DA2BC8">
        <w:rPr>
          <w:bCs/>
        </w:rPr>
        <w:t xml:space="preserve">Препарат выбора (исключение </w:t>
      </w:r>
      <w:r w:rsidRPr="00DA2BC8">
        <w:rPr>
          <w:bCs/>
          <w:i/>
          <w:iCs/>
        </w:rPr>
        <w:t>C. krusei</w:t>
      </w:r>
      <w:r w:rsidRPr="00DA2BC8">
        <w:rPr>
          <w:bCs/>
        </w:rPr>
        <w:t xml:space="preserve"> или </w:t>
      </w:r>
      <w:r w:rsidRPr="00DA2BC8">
        <w:rPr>
          <w:bCs/>
          <w:i/>
          <w:iCs/>
        </w:rPr>
        <w:t>C. glabrata</w:t>
      </w:r>
      <w:r w:rsidRPr="00DA2BC8">
        <w:rPr>
          <w:bCs/>
        </w:rPr>
        <w:t>)</w:t>
      </w:r>
      <w:r w:rsidRPr="00DA2BC8">
        <w:t xml:space="preserve"> — флуконазол, по 400 мг 1 раз в сутки внутрь или внутривенно. </w:t>
      </w:r>
      <w:r w:rsidRPr="00DA2BC8">
        <w:rPr>
          <w:bCs/>
        </w:rPr>
        <w:t>Альтернативные препараты</w:t>
      </w:r>
      <w:r w:rsidRPr="00DA2BC8">
        <w:t xml:space="preserve"> - каспофунгин по 50 мг внутривенно 1 раз в сутки, в 1-й день 70 мг; микафунгин по 100 мг внутривенно 1 раз в сутки; анидулафунгин по 100 мг внутривенно 1 раз в сутки, в 1-й день 200 мг; вориконазол по 3 мг/кг внутривенно 2 раза в сутки, в 1-й день по 6 мг/кг 2 раза в сутки или по 200 мг внутрь 2 раза в сутки; итраконазол (суспензия) по 200 мг 2 раза в сутки внутрь (натощак); позаконазол (суспензия) по 400 мг 2 раза в сутки (после приема пищи); амфотерицин В по 0,5-0,7 мг/кг внутривенно 1 раз в сутки. </w:t>
      </w:r>
      <w:r w:rsidRPr="00DA2BC8">
        <w:rPr>
          <w:bCs/>
        </w:rPr>
        <w:t>При неэффективности флуконазола</w:t>
      </w:r>
      <w:r w:rsidRPr="00DA2BC8">
        <w:t xml:space="preserve"> выбор препарата проводят на основании видовой идентификации </w:t>
      </w:r>
      <w:r w:rsidRPr="00DA2BC8">
        <w:rPr>
          <w:i/>
          <w:iCs/>
        </w:rPr>
        <w:t>Candida</w:t>
      </w:r>
      <w:r w:rsidRPr="00DA2BC8">
        <w:t xml:space="preserve"> spp. и определения чувствительности. Препарат выбора при эзофагите, вызванном </w:t>
      </w:r>
      <w:r w:rsidRPr="00DA2BC8">
        <w:rPr>
          <w:i/>
        </w:rPr>
        <w:t>C. krusei</w:t>
      </w:r>
      <w:r w:rsidRPr="00DA2BC8">
        <w:t xml:space="preserve"> или </w:t>
      </w:r>
      <w:r w:rsidRPr="00DA2BC8">
        <w:rPr>
          <w:i/>
        </w:rPr>
        <w:t>C. glabrata</w:t>
      </w:r>
      <w:r w:rsidRPr="00DA2BC8">
        <w:t xml:space="preserve"> – эхинокандин (каспофунгин или микафунгин или анидулафунгин). Не проводят замену флуконазола на азолы (итраконазол или вориконазол, или позаконазол) ввиду перекрестной резистентности. Допустима замена флуконазола на вориконазол при выделении </w:t>
      </w:r>
      <w:r w:rsidRPr="00DA2BC8">
        <w:rPr>
          <w:i/>
          <w:iCs/>
        </w:rPr>
        <w:t>C. krusei.</w:t>
      </w:r>
      <w:r w:rsidRPr="00DA2BC8">
        <w:t xml:space="preserve"> </w:t>
      </w:r>
      <w:r w:rsidRPr="00DA2BC8">
        <w:rPr>
          <w:bCs/>
        </w:rPr>
        <w:t xml:space="preserve">Длительность лечения </w:t>
      </w:r>
      <w:r w:rsidRPr="00DA2BC8">
        <w:t>составляет 14-21 день.</w:t>
      </w:r>
    </w:p>
    <w:p w14:paraId="3C708903" w14:textId="77777777" w:rsidR="00116AF3" w:rsidRPr="0014445B" w:rsidRDefault="00116AF3" w:rsidP="00116AF3">
      <w:pPr>
        <w:widowControl w:val="0"/>
        <w:autoSpaceDE w:val="0"/>
        <w:autoSpaceDN w:val="0"/>
        <w:adjustRightInd w:val="0"/>
        <w:ind w:right="50"/>
        <w:contextualSpacing/>
        <w:rPr>
          <w:b/>
          <w:bCs/>
        </w:rPr>
      </w:pPr>
      <w:r w:rsidRPr="0014445B">
        <w:rPr>
          <w:b/>
          <w:bCs/>
        </w:rPr>
        <w:t>Инвазивный кандидоз</w:t>
      </w:r>
    </w:p>
    <w:p w14:paraId="4444FB86" w14:textId="77777777" w:rsidR="00116AF3" w:rsidRPr="00DA2BC8" w:rsidRDefault="00116AF3" w:rsidP="00116AF3">
      <w:pPr>
        <w:widowControl w:val="0"/>
        <w:autoSpaceDE w:val="0"/>
        <w:autoSpaceDN w:val="0"/>
        <w:adjustRightInd w:val="0"/>
        <w:ind w:right="50"/>
        <w:contextualSpacing/>
      </w:pPr>
      <w:r w:rsidRPr="00DA2BC8">
        <w:rPr>
          <w:bCs/>
        </w:rPr>
        <w:t xml:space="preserve">Наличие симптомов инфекции и выделение  </w:t>
      </w:r>
      <w:r w:rsidRPr="00DA2BC8">
        <w:rPr>
          <w:bCs/>
          <w:i/>
        </w:rPr>
        <w:t>Candida</w:t>
      </w:r>
      <w:r w:rsidRPr="00DA2BC8">
        <w:rPr>
          <w:bCs/>
        </w:rPr>
        <w:t xml:space="preserve"> spp из стерильных в норме образцов (</w:t>
      </w:r>
      <w:r w:rsidRPr="00DA2BC8">
        <w:t xml:space="preserve">кровь, биоптаты органов и тканей, аспираты). Наиболее частым проявлениям является кандидемия. При кандидемии у больных с нейтропенией может развиться острый диссеминированный кандидоз в результате диссеминации кандид, септический шок, полиорганная недостаточность, смерть. Выделение </w:t>
      </w:r>
      <w:r w:rsidRPr="00DA2BC8">
        <w:rPr>
          <w:i/>
          <w:iCs/>
        </w:rPr>
        <w:t>Candida</w:t>
      </w:r>
      <w:r w:rsidRPr="00DA2BC8">
        <w:t xml:space="preserve"> spp. со слизистых оболочек, включая биоптаты слизистых, из мокроты, из жидкости БАЛ, из мочи не относят к инвазивному кандидозу. Диагноз кандидозной пневмонии не устанавливают на основании выделения </w:t>
      </w:r>
      <w:r w:rsidRPr="00DA2BC8">
        <w:rPr>
          <w:i/>
          <w:iCs/>
        </w:rPr>
        <w:t>Candida</w:t>
      </w:r>
      <w:r w:rsidRPr="00DA2BC8">
        <w:t xml:space="preserve"> spp. из мокроты или жидкости БАЛ, независимо от их количественного содержания в этих образцах. Выделение </w:t>
      </w:r>
      <w:r w:rsidRPr="00DA2BC8">
        <w:rPr>
          <w:i/>
          <w:iCs/>
        </w:rPr>
        <w:t>Candida</w:t>
      </w:r>
      <w:r w:rsidRPr="00DA2BC8">
        <w:t xml:space="preserve"> spp. из мокроты, жидкости БАЛ свидетельствует о колонизации дрожжевыми грибами слизистой оболочки дыхательных путей. Кандидозная пневмония может быть заподозрена только у больных с кандидемией.</w:t>
      </w:r>
    </w:p>
    <w:p w14:paraId="25722FCE" w14:textId="77777777" w:rsidR="00116AF3" w:rsidRPr="00F87280" w:rsidRDefault="00116AF3" w:rsidP="00116AF3">
      <w:pPr>
        <w:widowControl w:val="0"/>
        <w:autoSpaceDE w:val="0"/>
        <w:autoSpaceDN w:val="0"/>
        <w:adjustRightInd w:val="0"/>
        <w:ind w:right="50"/>
        <w:contextualSpacing/>
        <w:rPr>
          <w:i/>
          <w:iCs/>
          <w:u w:val="single"/>
        </w:rPr>
      </w:pPr>
      <w:r w:rsidRPr="00F87280">
        <w:rPr>
          <w:i/>
          <w:iCs/>
          <w:u w:val="single"/>
        </w:rPr>
        <w:t>Возбудители</w:t>
      </w:r>
    </w:p>
    <w:p w14:paraId="28A0A96F" w14:textId="77777777" w:rsidR="00116AF3" w:rsidRPr="005D3BBD" w:rsidRDefault="00116AF3" w:rsidP="00116AF3">
      <w:pPr>
        <w:widowControl w:val="0"/>
        <w:autoSpaceDE w:val="0"/>
        <w:autoSpaceDN w:val="0"/>
        <w:adjustRightInd w:val="0"/>
        <w:ind w:right="50"/>
        <w:contextualSpacing/>
        <w:rPr>
          <w:lang w:val="en-US"/>
        </w:rPr>
      </w:pPr>
      <w:r w:rsidRPr="00DA2BC8">
        <w:t xml:space="preserve">Основными возбудителями являются </w:t>
      </w:r>
      <w:r w:rsidRPr="00DA2BC8">
        <w:rPr>
          <w:i/>
          <w:iCs/>
        </w:rPr>
        <w:t>C. albicans,</w:t>
      </w:r>
      <w:r w:rsidRPr="00DA2BC8">
        <w:t xml:space="preserve"> но частота их не превышает 30-40%. Возрастает</w:t>
      </w:r>
      <w:r w:rsidRPr="005D3BBD">
        <w:rPr>
          <w:lang w:val="en-US"/>
        </w:rPr>
        <w:t xml:space="preserve"> </w:t>
      </w:r>
      <w:r w:rsidRPr="00DA2BC8">
        <w:t>доля</w:t>
      </w:r>
      <w:r w:rsidRPr="005D3BBD">
        <w:rPr>
          <w:lang w:val="en-US"/>
        </w:rPr>
        <w:t xml:space="preserve"> </w:t>
      </w:r>
      <w:r w:rsidRPr="00DA2BC8">
        <w:t>выделения</w:t>
      </w:r>
      <w:r w:rsidRPr="005D3BBD">
        <w:rPr>
          <w:lang w:val="en-US"/>
        </w:rPr>
        <w:t xml:space="preserve"> </w:t>
      </w:r>
      <w:r w:rsidRPr="005D3BBD">
        <w:rPr>
          <w:i/>
          <w:iCs/>
          <w:lang w:val="en-US"/>
        </w:rPr>
        <w:t>Candida</w:t>
      </w:r>
      <w:r w:rsidRPr="005D3BBD">
        <w:rPr>
          <w:lang w:val="en-US"/>
        </w:rPr>
        <w:t xml:space="preserve"> non-</w:t>
      </w:r>
      <w:r w:rsidRPr="005D3BBD">
        <w:rPr>
          <w:i/>
          <w:iCs/>
          <w:lang w:val="en-US"/>
        </w:rPr>
        <w:t>albicans,</w:t>
      </w:r>
      <w:r w:rsidRPr="005D3BBD">
        <w:rPr>
          <w:lang w:val="en-US"/>
        </w:rPr>
        <w:t xml:space="preserve"> </w:t>
      </w:r>
      <w:r w:rsidRPr="00DA2BC8">
        <w:t>таких</w:t>
      </w:r>
      <w:r w:rsidRPr="005D3BBD">
        <w:rPr>
          <w:lang w:val="en-US"/>
        </w:rPr>
        <w:t xml:space="preserve"> </w:t>
      </w:r>
      <w:r w:rsidRPr="00DA2BC8">
        <w:t>как</w:t>
      </w:r>
      <w:r w:rsidRPr="005D3BBD">
        <w:rPr>
          <w:lang w:val="en-US"/>
        </w:rPr>
        <w:t xml:space="preserve"> </w:t>
      </w:r>
      <w:r w:rsidRPr="005D3BBD">
        <w:rPr>
          <w:i/>
          <w:iCs/>
          <w:lang w:val="en-US"/>
        </w:rPr>
        <w:t>Candida parapsilosis</w:t>
      </w:r>
      <w:r w:rsidRPr="005D3BBD">
        <w:rPr>
          <w:lang w:val="en-US"/>
        </w:rPr>
        <w:t xml:space="preserve"> (5-30%), </w:t>
      </w:r>
      <w:r w:rsidRPr="005D3BBD">
        <w:rPr>
          <w:i/>
          <w:iCs/>
          <w:lang w:val="en-US"/>
        </w:rPr>
        <w:t>Candida tropicalis</w:t>
      </w:r>
      <w:r w:rsidRPr="005D3BBD">
        <w:rPr>
          <w:lang w:val="en-US"/>
        </w:rPr>
        <w:t xml:space="preserve"> (5-10%), </w:t>
      </w:r>
      <w:r w:rsidRPr="005D3BBD">
        <w:rPr>
          <w:i/>
          <w:iCs/>
          <w:lang w:val="en-US"/>
        </w:rPr>
        <w:t>C. glabrata</w:t>
      </w:r>
      <w:r w:rsidRPr="005D3BBD">
        <w:rPr>
          <w:lang w:val="en-US"/>
        </w:rPr>
        <w:t xml:space="preserve"> (3-25%), </w:t>
      </w:r>
      <w:r w:rsidRPr="005D3BBD">
        <w:rPr>
          <w:i/>
          <w:iCs/>
          <w:lang w:val="en-US"/>
        </w:rPr>
        <w:t>C. krusei</w:t>
      </w:r>
      <w:r w:rsidRPr="005D3BBD">
        <w:rPr>
          <w:lang w:val="en-US"/>
        </w:rPr>
        <w:t xml:space="preserve"> (3-10%). </w:t>
      </w:r>
    </w:p>
    <w:p w14:paraId="3690D89F" w14:textId="77777777" w:rsidR="00116AF3" w:rsidRPr="00F87280" w:rsidRDefault="00116AF3" w:rsidP="00116AF3">
      <w:pPr>
        <w:widowControl w:val="0"/>
        <w:autoSpaceDE w:val="0"/>
        <w:autoSpaceDN w:val="0"/>
        <w:adjustRightInd w:val="0"/>
        <w:ind w:right="50"/>
        <w:contextualSpacing/>
        <w:rPr>
          <w:i/>
          <w:iCs/>
          <w:u w:val="single"/>
        </w:rPr>
      </w:pPr>
      <w:r w:rsidRPr="00F87280">
        <w:rPr>
          <w:i/>
          <w:iCs/>
          <w:u w:val="single"/>
        </w:rPr>
        <w:t>Факторы риска</w:t>
      </w:r>
    </w:p>
    <w:p w14:paraId="6DD328AC" w14:textId="77777777" w:rsidR="00116AF3" w:rsidRPr="00DA2BC8" w:rsidRDefault="00116AF3" w:rsidP="00116AF3">
      <w:pPr>
        <w:widowControl w:val="0"/>
        <w:autoSpaceDE w:val="0"/>
        <w:autoSpaceDN w:val="0"/>
        <w:adjustRightInd w:val="0"/>
        <w:ind w:right="50"/>
        <w:contextualSpacing/>
      </w:pPr>
      <w:r w:rsidRPr="00DA2BC8">
        <w:t>Факторами риска являются нейтропения, колонизация кандидами слизистых оболочек, применение антибиотиков широкого спектра действия, а также глюкокортикоидов, цитостатиков, иммунодепрессантов; абдоминальные операции, наличие центральных венозных катетеров, проведение полного парентерального питания, прием антацидов, Н</w:t>
      </w:r>
      <w:r w:rsidRPr="00DA2BC8">
        <w:rPr>
          <w:vertAlign w:val="subscript"/>
        </w:rPr>
        <w:t>2</w:t>
      </w:r>
      <w:r w:rsidRPr="00DA2BC8">
        <w:t>-блокаторов и иных средств, снижающих кислотность желудочного сока.</w:t>
      </w:r>
    </w:p>
    <w:p w14:paraId="58CC3150" w14:textId="77777777" w:rsidR="00116AF3" w:rsidRPr="00F87280" w:rsidRDefault="00116AF3" w:rsidP="00116AF3">
      <w:pPr>
        <w:widowControl w:val="0"/>
        <w:autoSpaceDE w:val="0"/>
        <w:autoSpaceDN w:val="0"/>
        <w:adjustRightInd w:val="0"/>
        <w:ind w:right="50"/>
        <w:contextualSpacing/>
        <w:rPr>
          <w:i/>
          <w:iCs/>
        </w:rPr>
      </w:pPr>
      <w:r w:rsidRPr="00F87280">
        <w:rPr>
          <w:i/>
          <w:iCs/>
          <w:u w:val="single"/>
        </w:rPr>
        <w:t>Симптомы инфекции</w:t>
      </w:r>
    </w:p>
    <w:p w14:paraId="2C8CBA62" w14:textId="77777777" w:rsidR="00116AF3" w:rsidRPr="00DA2BC8" w:rsidRDefault="00116AF3" w:rsidP="00116AF3">
      <w:pPr>
        <w:widowControl w:val="0"/>
        <w:autoSpaceDE w:val="0"/>
        <w:autoSpaceDN w:val="0"/>
        <w:adjustRightInd w:val="0"/>
        <w:ind w:right="50"/>
        <w:contextualSpacing/>
      </w:pPr>
      <w:r w:rsidRPr="00DA2BC8">
        <w:t>Клинические симптомы кандидемии неспецифичны. Преобладает лихорадка, которая сохраняется или повторно возникает на фоне лечения антибиотиками широкого спектра действия. В 10-15% случаев отмечается диссеминация в дерму кожи (отсевы) в виде мелких 0,3—0,6 см папулезных образований розовато-красноватого цвета или подкожных абсцессов</w:t>
      </w:r>
      <w:r>
        <w:t>, в</w:t>
      </w:r>
      <w:r w:rsidRPr="00DA2BC8">
        <w:t xml:space="preserve"> части случаев беспокоит выраженная боль в мышца</w:t>
      </w:r>
      <w:r>
        <w:t>х</w:t>
      </w:r>
      <w:r w:rsidRPr="00DA2BC8">
        <w:t>. Диссеминация кандид происходит гематогенно в любой орган</w:t>
      </w:r>
      <w:r>
        <w:t>; у взрослых гематологических</w:t>
      </w:r>
      <w:r w:rsidRPr="00DA2BC8">
        <w:t xml:space="preserve"> </w:t>
      </w:r>
      <w:r>
        <w:t>пациентов</w:t>
      </w:r>
      <w:r w:rsidRPr="00DA2BC8">
        <w:t xml:space="preserve"> преобладает инвазия в печень и/или селезенку (гепатолиенальный кандидоз), у 9-15% возникает эндофтальмит (снижение остроты зрения вплоть до слепоты). </w:t>
      </w:r>
    </w:p>
    <w:p w14:paraId="2DD6FFCB" w14:textId="77777777" w:rsidR="00116AF3" w:rsidRPr="00F87280" w:rsidRDefault="00116AF3" w:rsidP="00116AF3">
      <w:pPr>
        <w:widowControl w:val="0"/>
        <w:autoSpaceDE w:val="0"/>
        <w:autoSpaceDN w:val="0"/>
        <w:adjustRightInd w:val="0"/>
        <w:ind w:right="50"/>
        <w:contextualSpacing/>
        <w:rPr>
          <w:i/>
          <w:iCs/>
        </w:rPr>
      </w:pPr>
      <w:r w:rsidRPr="00F87280">
        <w:rPr>
          <w:i/>
          <w:iCs/>
          <w:u w:val="single"/>
        </w:rPr>
        <w:t>Диагностика</w:t>
      </w:r>
    </w:p>
    <w:p w14:paraId="2C1FDF72" w14:textId="77777777" w:rsidR="00116AF3" w:rsidRPr="00DA2BC8" w:rsidRDefault="00116AF3" w:rsidP="00116AF3">
      <w:pPr>
        <w:widowControl w:val="0"/>
        <w:autoSpaceDE w:val="0"/>
        <w:autoSpaceDN w:val="0"/>
        <w:adjustRightInd w:val="0"/>
        <w:ind w:right="50"/>
        <w:contextualSpacing/>
      </w:pPr>
      <w:r w:rsidRPr="00DA2BC8">
        <w:t xml:space="preserve">Диагноз инвазивного кандидоза ставят на основании выделения грибов из стерильных в норме образцов при микроскопии (прямая микроскопия, цитология или гистология) или в культуре (посев). К стерильным образцам относят кровь, биоптаты органов и тканей, аспираты. При подозрении на кандидемию кровь для микробиолгического исследования берут в 4 флакона для гемокультур, при необходимости исследование повторяют. При выделении </w:t>
      </w:r>
      <w:r w:rsidRPr="00DA2BC8">
        <w:rPr>
          <w:i/>
          <w:iCs/>
        </w:rPr>
        <w:t>Candida</w:t>
      </w:r>
      <w:r w:rsidRPr="00DA2BC8">
        <w:t xml:space="preserve"> spp. из гемокультуры проводят ежедневно дополнительные посевы крови до получения двух отрицательных результатов подряд; для исключения диссеминации - офтальмоскопию с расширением зрачка (консультация офтальмолога), а также ультразвуковое исследование (УЗИ) или компьютерную томографию</w:t>
      </w:r>
      <w:r>
        <w:t>/спиральную компьютерную томографию</w:t>
      </w:r>
      <w:r w:rsidRPr="00DA2BC8">
        <w:t xml:space="preserve"> (КТ</w:t>
      </w:r>
      <w:r>
        <w:t>/СКТ</w:t>
      </w:r>
      <w:r w:rsidRPr="00DA2BC8">
        <w:t>) с контрастированием, или магнитно-резонансную томографию (МРТ) органов брюшной полости. Инструментальные исследования повторяют при восстановлении гранулоцитов (&gt;0,5×10</w:t>
      </w:r>
      <w:r w:rsidRPr="00DA2BC8">
        <w:rPr>
          <w:vertAlign w:val="superscript"/>
        </w:rPr>
        <w:t>9</w:t>
      </w:r>
      <w:r w:rsidRPr="00DA2BC8">
        <w:t xml:space="preserve">/л). Все штаммы </w:t>
      </w:r>
      <w:r w:rsidRPr="00DA2BC8">
        <w:rPr>
          <w:i/>
          <w:iCs/>
        </w:rPr>
        <w:t>Candida</w:t>
      </w:r>
      <w:r w:rsidRPr="00DA2BC8">
        <w:t xml:space="preserve"> spp., выделенные из стерильных в норме образцов, идентифицируют до вида и исследуют чувствительность к противогрибковым препаратам. На фоне лечения инвазивного кандидоза противогрибковыми препаратами может изменяться чувствительность (возможно формирование приобретенной резистентности) и вид возбудителя.</w:t>
      </w:r>
    </w:p>
    <w:p w14:paraId="5DCBE3F1" w14:textId="77777777" w:rsidR="00116AF3" w:rsidRPr="00DA2BC8" w:rsidRDefault="00116AF3" w:rsidP="00116AF3">
      <w:pPr>
        <w:widowControl w:val="0"/>
        <w:autoSpaceDE w:val="0"/>
        <w:autoSpaceDN w:val="0"/>
        <w:adjustRightInd w:val="0"/>
        <w:ind w:right="50"/>
        <w:contextualSpacing/>
      </w:pPr>
      <w:r w:rsidRPr="00DA2BC8">
        <w:t xml:space="preserve">Серологическими маркерами инвазивного кандидоза являются антиген </w:t>
      </w:r>
      <w:r w:rsidRPr="00DA2BC8">
        <w:rPr>
          <w:i/>
          <w:iCs/>
        </w:rPr>
        <w:t>Candida</w:t>
      </w:r>
      <w:r w:rsidRPr="00DA2BC8">
        <w:t xml:space="preserve"> (маннан) и антитела к </w:t>
      </w:r>
      <w:r w:rsidRPr="00DA2BC8">
        <w:rPr>
          <w:i/>
          <w:iCs/>
        </w:rPr>
        <w:t>Candida</w:t>
      </w:r>
      <w:r w:rsidRPr="00DA2BC8">
        <w:t xml:space="preserve"> (антиманнан). Чувствительность тестов выше, если определяют оба показателя одновременно и неоднократно. Для теста характерным является высокое отрицательное прогностическое значение. При гепатолиенальном кандидозе чувствительность серологических маркеров определяется выше. Тест не включен в критерии диагностики инвазивного кандидоза. </w:t>
      </w:r>
    </w:p>
    <w:p w14:paraId="71F471FC" w14:textId="77777777" w:rsidR="00116AF3" w:rsidRPr="00DA2BC8" w:rsidRDefault="00116AF3" w:rsidP="00116AF3">
      <w:pPr>
        <w:widowControl w:val="0"/>
        <w:autoSpaceDE w:val="0"/>
        <w:autoSpaceDN w:val="0"/>
        <w:adjustRightInd w:val="0"/>
        <w:ind w:right="50"/>
        <w:contextualSpacing/>
      </w:pPr>
      <w:r w:rsidRPr="00DA2BC8">
        <w:t xml:space="preserve">На основании положительных результатов определения серологических маркеров у </w:t>
      </w:r>
      <w:r>
        <w:t>пациента</w:t>
      </w:r>
      <w:r w:rsidRPr="00DA2BC8">
        <w:t xml:space="preserve"> можно лишь предполагать наличие инвазивного кандидоза. В клинической практике определение антигена (маннан) и антител (антиманнан) может быть существенным подспорьем для назначения современных противогрибковых препаратов больным с фебрильной нейтропенией.</w:t>
      </w:r>
    </w:p>
    <w:p w14:paraId="49C5BDCB" w14:textId="77777777" w:rsidR="00116AF3" w:rsidRPr="00DA2BC8" w:rsidRDefault="00116AF3" w:rsidP="00116AF3">
      <w:pPr>
        <w:widowControl w:val="0"/>
        <w:autoSpaceDE w:val="0"/>
        <w:autoSpaceDN w:val="0"/>
        <w:adjustRightInd w:val="0"/>
        <w:ind w:right="50"/>
        <w:contextualSpacing/>
      </w:pPr>
      <w:r w:rsidRPr="00DA2BC8">
        <w:t xml:space="preserve">К диссеминированному кандидозу относят те случаи, когда в течение 2 недель после выделения </w:t>
      </w:r>
      <w:r w:rsidRPr="00DA2BC8">
        <w:rPr>
          <w:i/>
          <w:iCs/>
        </w:rPr>
        <w:t xml:space="preserve">Candida </w:t>
      </w:r>
      <w:r w:rsidRPr="00DA2BC8">
        <w:t xml:space="preserve">spp. из гемокультуры выявляют очаги в печени и/или селезенке либо экссудат в сетчатке при офтальмоскопии. Различают острый и хронический диссеминированный кандидоз. При остром диссеминированном кандидозе имеется непосредственная связь обнаруженных признаков с кандидозным сепсисом, а при хроническом диссеминированном кандидозе этой связи нет. </w:t>
      </w:r>
    </w:p>
    <w:p w14:paraId="420EE84B" w14:textId="77777777" w:rsidR="00116AF3" w:rsidRPr="00F87280" w:rsidRDefault="00116AF3" w:rsidP="00116AF3">
      <w:pPr>
        <w:widowControl w:val="0"/>
        <w:autoSpaceDE w:val="0"/>
        <w:autoSpaceDN w:val="0"/>
        <w:adjustRightInd w:val="0"/>
        <w:ind w:right="50"/>
        <w:contextualSpacing/>
        <w:rPr>
          <w:bCs/>
          <w:i/>
          <w:iCs/>
          <w:u w:val="single"/>
        </w:rPr>
      </w:pPr>
      <w:r w:rsidRPr="00F87280">
        <w:rPr>
          <w:bCs/>
          <w:i/>
          <w:iCs/>
          <w:u w:val="single"/>
        </w:rPr>
        <w:t>Лечение</w:t>
      </w:r>
    </w:p>
    <w:p w14:paraId="50F24D07" w14:textId="77777777" w:rsidR="00116AF3" w:rsidRDefault="00116AF3" w:rsidP="00116AF3">
      <w:pPr>
        <w:widowControl w:val="0"/>
        <w:autoSpaceDE w:val="0"/>
        <w:autoSpaceDN w:val="0"/>
        <w:adjustRightInd w:val="0"/>
        <w:ind w:right="50"/>
        <w:contextualSpacing/>
        <w:rPr>
          <w:bCs/>
        </w:rPr>
      </w:pPr>
      <w:r w:rsidRPr="00DA2BC8">
        <w:rPr>
          <w:bCs/>
        </w:rPr>
        <w:t>Основными принципами лечения кандидемии (инвазивного кандидоза) являются</w:t>
      </w:r>
      <w:r>
        <w:rPr>
          <w:bCs/>
        </w:rPr>
        <w:t>:</w:t>
      </w:r>
    </w:p>
    <w:p w14:paraId="7A81DFD4" w14:textId="77777777" w:rsidR="00116AF3" w:rsidRDefault="00116AF3" w:rsidP="006D53E9">
      <w:pPr>
        <w:pStyle w:val="afe"/>
        <w:widowControl w:val="0"/>
        <w:numPr>
          <w:ilvl w:val="0"/>
          <w:numId w:val="55"/>
        </w:numPr>
        <w:autoSpaceDE w:val="0"/>
        <w:autoSpaceDN w:val="0"/>
        <w:adjustRightInd w:val="0"/>
        <w:ind w:right="50"/>
        <w:rPr>
          <w:bCs/>
        </w:rPr>
      </w:pPr>
      <w:r w:rsidRPr="007531B6">
        <w:t>назначение эффективного противогрибкового препарата;</w:t>
      </w:r>
      <w:r w:rsidRPr="007531B6">
        <w:rPr>
          <w:bCs/>
        </w:rPr>
        <w:t xml:space="preserve"> </w:t>
      </w:r>
    </w:p>
    <w:p w14:paraId="6374C37F" w14:textId="77777777" w:rsidR="00116AF3" w:rsidRDefault="00116AF3" w:rsidP="006D53E9">
      <w:pPr>
        <w:pStyle w:val="afe"/>
        <w:widowControl w:val="0"/>
        <w:numPr>
          <w:ilvl w:val="0"/>
          <w:numId w:val="55"/>
        </w:numPr>
        <w:autoSpaceDE w:val="0"/>
        <w:autoSpaceDN w:val="0"/>
        <w:adjustRightInd w:val="0"/>
        <w:ind w:right="50"/>
        <w:rPr>
          <w:bCs/>
        </w:rPr>
      </w:pPr>
      <w:r w:rsidRPr="007531B6">
        <w:t>удаление сосудистого катетера;</w:t>
      </w:r>
      <w:r w:rsidRPr="007531B6">
        <w:rPr>
          <w:bCs/>
        </w:rPr>
        <w:t xml:space="preserve"> </w:t>
      </w:r>
    </w:p>
    <w:p w14:paraId="117CC62B" w14:textId="77777777" w:rsidR="00116AF3" w:rsidRPr="007531B6" w:rsidRDefault="00116AF3" w:rsidP="006D53E9">
      <w:pPr>
        <w:pStyle w:val="afe"/>
        <w:widowControl w:val="0"/>
        <w:numPr>
          <w:ilvl w:val="0"/>
          <w:numId w:val="55"/>
        </w:numPr>
        <w:autoSpaceDE w:val="0"/>
        <w:autoSpaceDN w:val="0"/>
        <w:adjustRightInd w:val="0"/>
        <w:ind w:right="50"/>
        <w:rPr>
          <w:bCs/>
        </w:rPr>
      </w:pPr>
      <w:r w:rsidRPr="007531B6">
        <w:t xml:space="preserve">устранение или уменьшение факторов риска, приведших к развитию кандидемии. </w:t>
      </w:r>
    </w:p>
    <w:p w14:paraId="7ACB09BA" w14:textId="77777777" w:rsidR="00116AF3" w:rsidRPr="00DA2BC8" w:rsidRDefault="00116AF3" w:rsidP="00116AF3">
      <w:pPr>
        <w:widowControl w:val="0"/>
        <w:autoSpaceDE w:val="0"/>
        <w:autoSpaceDN w:val="0"/>
        <w:adjustRightInd w:val="0"/>
        <w:ind w:right="50"/>
        <w:contextualSpacing/>
      </w:pPr>
      <w:r w:rsidRPr="00DA2BC8">
        <w:t xml:space="preserve">Препараты выбора для лечения инвазивного кандидоза (кандидемии) – эхинокандины, которые в отличие от азолов оказывают фунгицидное действие на кандиды. Замена эхинокандинов на флуконазол возможна только при выделении флуконазолчувствительных </w:t>
      </w:r>
      <w:r w:rsidRPr="00DA2BC8">
        <w:rPr>
          <w:i/>
          <w:iCs/>
        </w:rPr>
        <w:t xml:space="preserve">Candida </w:t>
      </w:r>
      <w:r w:rsidRPr="00DA2BC8">
        <w:t xml:space="preserve">spp. и стабильном состоянии пациента. </w:t>
      </w:r>
      <w:r w:rsidRPr="00DA2BC8">
        <w:rPr>
          <w:bCs/>
        </w:rPr>
        <w:t xml:space="preserve">Из группы эхинокандинов назначают один из препаратов – </w:t>
      </w:r>
      <w:r w:rsidRPr="00DA2BC8">
        <w:t xml:space="preserve">каспофунгин (в 1-й день 70 мг, далее по 50 мг внутривенно 1 раз в сутки); микафунгин (по 100 мг внутривенно 1 раз в сутки); анидулафунгин (в 1-й день 200 мг, далее по 100 мг внутривенно 1 раз в сутки). </w:t>
      </w:r>
      <w:r w:rsidRPr="00DA2BC8">
        <w:rPr>
          <w:iCs/>
        </w:rPr>
        <w:t>Эхинокандины – это единственные препараты, применение которых при инвазивном кандидозе привело к достоверно значимому увеличению числа излечений и к снижению летальности в сравнении с другими антимикотиками (азолами, липи</w:t>
      </w:r>
      <w:r>
        <w:rPr>
          <w:iCs/>
        </w:rPr>
        <w:t>дными формами амфотерицина В)</w:t>
      </w:r>
      <w:r w:rsidRPr="00DA2BC8">
        <w:rPr>
          <w:iCs/>
        </w:rPr>
        <w:t>. Не используют сочетание противогрибковых препаратов в 1-й линии терапии кандидемии (инвазивного кандидоза)</w:t>
      </w:r>
      <w:r w:rsidRPr="00DA2BC8">
        <w:t xml:space="preserve">. Альтернативные препараты для лечения инвазивного кандидоза - вориконазол ( в 1-й день по 6 мг/кг внутривенно 2 раза в сутки, в последующие дни по 3 мг/кг внутривенно 2 раза в сутки или по 200 мг внутрь 2 раза в сутки); амфотерицин В (0,7-1,0 мг/кг внутривенно 1 раз в сутки). </w:t>
      </w:r>
      <w:r w:rsidRPr="00DA2BC8">
        <w:rPr>
          <w:iCs/>
        </w:rPr>
        <w:t>Амфотерицин В назначают только при отсутствии других опций для лечения ввиду его высокой токсичности и низкой эффективности.</w:t>
      </w:r>
      <w:r w:rsidRPr="00DA2BC8">
        <w:t xml:space="preserve"> Флуконазол в качестве препарата 1-й линии не используют у больных с гематологическими заболеваниями. </w:t>
      </w:r>
      <w:r w:rsidRPr="00DA2BC8">
        <w:rPr>
          <w:iCs/>
        </w:rPr>
        <w:t>При сочетании</w:t>
      </w:r>
      <w:r w:rsidRPr="00DA2BC8">
        <w:rPr>
          <w:i/>
          <w:iCs/>
        </w:rPr>
        <w:t xml:space="preserve"> </w:t>
      </w:r>
      <w:r w:rsidRPr="00DA2BC8">
        <w:rPr>
          <w:iCs/>
        </w:rPr>
        <w:t>кандидемии и инвазивного аспергиллеза</w:t>
      </w:r>
      <w:r w:rsidRPr="00DA2BC8">
        <w:rPr>
          <w:i/>
          <w:iCs/>
        </w:rPr>
        <w:t xml:space="preserve"> </w:t>
      </w:r>
      <w:r w:rsidRPr="00DA2BC8">
        <w:rPr>
          <w:iCs/>
        </w:rPr>
        <w:t>назначают вориконазол</w:t>
      </w:r>
      <w:r w:rsidRPr="00DA2BC8">
        <w:t xml:space="preserve"> (в 1-й день по 6 мг/кг внутривенно 2 раза в сутки, в последующие дни по 3 мг/кг внутривенно 2 раза в сутки или по 200 мг 2 раза в сутки внутрь) или липидную форму амфотерицина В (5 мг/кг, внутривенно, 1 раз в сутки). </w:t>
      </w:r>
    </w:p>
    <w:p w14:paraId="5A4127EB" w14:textId="3D715A96" w:rsidR="00116AF3" w:rsidRPr="00DA2BC8" w:rsidRDefault="00116AF3" w:rsidP="00116AF3">
      <w:pPr>
        <w:widowControl w:val="0"/>
        <w:autoSpaceDE w:val="0"/>
        <w:autoSpaceDN w:val="0"/>
        <w:adjustRightInd w:val="0"/>
        <w:ind w:right="50"/>
        <w:contextualSpacing/>
        <w:rPr>
          <w:b/>
          <w:bCs/>
        </w:rPr>
      </w:pPr>
      <w:r w:rsidRPr="00DA2BC8">
        <w:t xml:space="preserve">Для штаммов </w:t>
      </w:r>
      <w:r w:rsidRPr="00DA2BC8">
        <w:rPr>
          <w:i/>
          <w:iCs/>
        </w:rPr>
        <w:t xml:space="preserve">Candida </w:t>
      </w:r>
      <w:r w:rsidRPr="00DA2BC8">
        <w:rPr>
          <w:iCs/>
        </w:rPr>
        <w:t xml:space="preserve">spp. характерным является высокая способность к формированию биопленок, которая составляет 50% и преобладает у </w:t>
      </w:r>
      <w:r w:rsidRPr="00DA2BC8">
        <w:rPr>
          <w:i/>
          <w:iCs/>
        </w:rPr>
        <w:t>C. tropicalis</w:t>
      </w:r>
      <w:r w:rsidRPr="00DA2BC8">
        <w:rPr>
          <w:iCs/>
        </w:rPr>
        <w:t xml:space="preserve"> и </w:t>
      </w:r>
      <w:r w:rsidRPr="00DA2BC8">
        <w:rPr>
          <w:i/>
          <w:iCs/>
        </w:rPr>
        <w:t>C. krusei</w:t>
      </w:r>
      <w:r w:rsidRPr="00DA2BC8">
        <w:rPr>
          <w:iCs/>
        </w:rPr>
        <w:t xml:space="preserve"> (80%)</w:t>
      </w:r>
      <w:r>
        <w:rPr>
          <w:iCs/>
        </w:rPr>
        <w:t xml:space="preserve"> </w:t>
      </w:r>
      <w:r>
        <w:rPr>
          <w:iCs/>
        </w:rPr>
        <w:fldChar w:fldCharType="begin" w:fldLock="1"/>
      </w:r>
      <w:r w:rsidR="009D41F9">
        <w:rPr>
          <w:iCs/>
        </w:rPr>
        <w:instrText>ADDIN CSL_CITATION {"citationItems":[{"id":"ITEM-1","itemData":{"author":[{"dropping-particle":"","family":"Мальчикова","given":"А.О.","non-dropping-particle":"","parse-names":false,"suffix":""},{"dropping-particle":"","family":"Клясова","given":"Г.А.","non-dropping-particle":"","parse-names":false,"suffix":""}],"container-title":"Клиническая микробиология и антимикробная химиотерапия","id":"ITEM-1","issue":"2","issued":{"date-parts":[["2018"]]},"page":"126-130","title":"Формирование биопленок у изолятов Candida spp, выделенных из гемокультуры от больных с опухолями системы крови","type":"article-journal","volume":"20"},"uris":["http://www.mendeley.com/documents/?uuid=14b71eb8-c05c-48f8-844b-d37bf0031d16"]}],"mendeley":{"formattedCitation":"[56]","plainTextFormattedCitation":"[56]","previouslyFormattedCitation":"[56]"},"properties":{"noteIndex":0},"schema":"https://github.com/citation-style-language/schema/raw/master/csl-citation.json"}</w:instrText>
      </w:r>
      <w:r>
        <w:rPr>
          <w:iCs/>
        </w:rPr>
        <w:fldChar w:fldCharType="separate"/>
      </w:r>
      <w:r w:rsidR="004C3BA5" w:rsidRPr="004C3BA5">
        <w:rPr>
          <w:iCs/>
          <w:noProof/>
        </w:rPr>
        <w:t>[56]</w:t>
      </w:r>
      <w:r>
        <w:rPr>
          <w:iCs/>
        </w:rPr>
        <w:fldChar w:fldCharType="end"/>
      </w:r>
      <w:r w:rsidRPr="00DA2BC8">
        <w:rPr>
          <w:iCs/>
        </w:rPr>
        <w:t xml:space="preserve">. Удаление центрального венозного катетера (ЦВК) является обязательным у больных вне гранулоцитопении и в случаях повторного выделения </w:t>
      </w:r>
      <w:r w:rsidRPr="00DA2BC8">
        <w:rPr>
          <w:i/>
          <w:iCs/>
        </w:rPr>
        <w:t xml:space="preserve">Candida </w:t>
      </w:r>
      <w:r w:rsidRPr="00DA2BC8">
        <w:rPr>
          <w:iCs/>
        </w:rPr>
        <w:t xml:space="preserve">spp. из гемокультуры на фоне терапиии противогрибковыми </w:t>
      </w:r>
      <w:r>
        <w:rPr>
          <w:iCs/>
        </w:rPr>
        <w:t>препаратами</w:t>
      </w:r>
      <w:r w:rsidRPr="005A06BE">
        <w:rPr>
          <w:iCs/>
        </w:rPr>
        <w:t>.</w:t>
      </w:r>
      <w:r w:rsidRPr="00DA2BC8">
        <w:rPr>
          <w:iCs/>
        </w:rPr>
        <w:t xml:space="preserve"> Не проводят замену ЦВК по проводнику.</w:t>
      </w:r>
    </w:p>
    <w:p w14:paraId="10A54C3F" w14:textId="77777777" w:rsidR="00116AF3" w:rsidRPr="00DA2BC8" w:rsidRDefault="00116AF3" w:rsidP="00116AF3">
      <w:pPr>
        <w:widowControl w:val="0"/>
        <w:autoSpaceDE w:val="0"/>
        <w:autoSpaceDN w:val="0"/>
        <w:adjustRightInd w:val="0"/>
        <w:ind w:right="50"/>
        <w:contextualSpacing/>
      </w:pPr>
      <w:r w:rsidRPr="00DA2BC8">
        <w:rPr>
          <w:bCs/>
        </w:rPr>
        <w:t xml:space="preserve">Устранение или уменьшение факторов риска у </w:t>
      </w:r>
      <w:r>
        <w:rPr>
          <w:bCs/>
        </w:rPr>
        <w:t>пациентов</w:t>
      </w:r>
      <w:r w:rsidRPr="00DA2BC8">
        <w:rPr>
          <w:bCs/>
        </w:rPr>
        <w:t xml:space="preserve"> с инвазивным кандидозом включает </w:t>
      </w:r>
      <w:r w:rsidRPr="00DA2BC8">
        <w:t>сокращение по возможности используемых антибиотиков и изменение тактики цитостатической терапии.</w:t>
      </w:r>
    </w:p>
    <w:p w14:paraId="306AD99D" w14:textId="77777777" w:rsidR="00116AF3" w:rsidRPr="00CB7689" w:rsidRDefault="00116AF3" w:rsidP="00116AF3">
      <w:pPr>
        <w:widowControl w:val="0"/>
        <w:autoSpaceDE w:val="0"/>
        <w:autoSpaceDN w:val="0"/>
        <w:adjustRightInd w:val="0"/>
        <w:ind w:right="50"/>
        <w:contextualSpacing/>
        <w:rPr>
          <w:i/>
          <w:iCs/>
          <w:u w:val="single"/>
        </w:rPr>
      </w:pPr>
      <w:r w:rsidRPr="00CB7689">
        <w:rPr>
          <w:i/>
          <w:iCs/>
          <w:u w:val="single"/>
        </w:rPr>
        <w:t>Длительность лечения</w:t>
      </w:r>
    </w:p>
    <w:p w14:paraId="0E2B35E1" w14:textId="77777777" w:rsidR="00116AF3" w:rsidRPr="00DA2BC8" w:rsidRDefault="00116AF3" w:rsidP="00116AF3">
      <w:pPr>
        <w:widowControl w:val="0"/>
        <w:autoSpaceDE w:val="0"/>
        <w:autoSpaceDN w:val="0"/>
        <w:adjustRightInd w:val="0"/>
        <w:ind w:right="50"/>
        <w:contextualSpacing/>
      </w:pPr>
      <w:r w:rsidRPr="00DA2BC8">
        <w:t>Противогрибковый препарат отменяют при наличии всех следующих критериев - регрессия клинических проявлений инфекции; число гранулоцитов в гемограмме более 0,5×10</w:t>
      </w:r>
      <w:r w:rsidRPr="00DA2BC8">
        <w:rPr>
          <w:vertAlign w:val="superscript"/>
        </w:rPr>
        <w:t>9</w:t>
      </w:r>
      <w:r w:rsidRPr="00DA2BC8">
        <w:t xml:space="preserve">/л; не менее двух недель от последней положительной гемокультуры; регрессия очагов диссеминации кандидоза в случаях их развития. </w:t>
      </w:r>
    </w:p>
    <w:p w14:paraId="2ABEA40C" w14:textId="77777777" w:rsidR="00116AF3" w:rsidRPr="00DA2BC8" w:rsidRDefault="00116AF3" w:rsidP="00116AF3">
      <w:pPr>
        <w:widowControl w:val="0"/>
        <w:autoSpaceDE w:val="0"/>
        <w:autoSpaceDN w:val="0"/>
        <w:adjustRightInd w:val="0"/>
        <w:ind w:right="50"/>
        <w:contextualSpacing/>
      </w:pPr>
      <w:r w:rsidRPr="00CB7689">
        <w:rPr>
          <w:i/>
          <w:iCs/>
          <w:u w:val="single"/>
        </w:rPr>
        <w:t>Персистирующая кандидемия включает</w:t>
      </w:r>
      <w:r w:rsidRPr="00DA2BC8">
        <w:rPr>
          <w:b/>
          <w:bCs/>
        </w:rPr>
        <w:t xml:space="preserve"> </w:t>
      </w:r>
      <w:r w:rsidRPr="00DA2BC8">
        <w:t xml:space="preserve">наличие симптомов сепсиса и повторное выделение </w:t>
      </w:r>
      <w:r w:rsidRPr="00DA2BC8">
        <w:rPr>
          <w:i/>
          <w:iCs/>
        </w:rPr>
        <w:t>Candida</w:t>
      </w:r>
      <w:r w:rsidRPr="00DA2BC8">
        <w:t xml:space="preserve"> spp. из гемокультуры.</w:t>
      </w:r>
      <w:r w:rsidRPr="00DA2BC8">
        <w:rPr>
          <w:b/>
          <w:bCs/>
        </w:rPr>
        <w:t xml:space="preserve"> </w:t>
      </w:r>
      <w:r w:rsidRPr="00DA2BC8">
        <w:t>При персистирующей кандидемии крайне важно исследовать чувствительность грибов к антимикотикам ввиду формирования вторичной резистентности; повторить инструментальные исследования с целью исключения диссеминации.</w:t>
      </w:r>
      <w:r w:rsidRPr="00DA2BC8">
        <w:rPr>
          <w:bCs/>
        </w:rPr>
        <w:t xml:space="preserve"> В этих случаях </w:t>
      </w:r>
      <w:r w:rsidRPr="00DA2BC8">
        <w:t xml:space="preserve">замену на антимикотик другой группы проводят согласно видовой принадлежности </w:t>
      </w:r>
      <w:r w:rsidRPr="00DA2BC8">
        <w:rPr>
          <w:i/>
        </w:rPr>
        <w:t>Candida</w:t>
      </w:r>
      <w:r w:rsidRPr="00DA2BC8">
        <w:t xml:space="preserve"> spp. и результатам чувствительностию.</w:t>
      </w:r>
    </w:p>
    <w:p w14:paraId="6EA839BF" w14:textId="77777777" w:rsidR="00116AF3" w:rsidRPr="0014445B" w:rsidRDefault="00116AF3" w:rsidP="00116AF3">
      <w:pPr>
        <w:widowControl w:val="0"/>
        <w:autoSpaceDE w:val="0"/>
        <w:autoSpaceDN w:val="0"/>
        <w:adjustRightInd w:val="0"/>
        <w:ind w:right="50"/>
        <w:contextualSpacing/>
        <w:rPr>
          <w:b/>
          <w:bCs/>
        </w:rPr>
      </w:pPr>
      <w:r w:rsidRPr="0014445B">
        <w:rPr>
          <w:b/>
          <w:bCs/>
        </w:rPr>
        <w:t>Хронический диссеминированный (гепатолиенальный) кандидоз</w:t>
      </w:r>
    </w:p>
    <w:p w14:paraId="46BC48FA" w14:textId="77777777" w:rsidR="00116AF3" w:rsidRPr="00CB7689" w:rsidRDefault="00116AF3" w:rsidP="00116AF3">
      <w:pPr>
        <w:widowControl w:val="0"/>
        <w:autoSpaceDE w:val="0"/>
        <w:autoSpaceDN w:val="0"/>
        <w:adjustRightInd w:val="0"/>
        <w:ind w:right="50"/>
        <w:contextualSpacing/>
        <w:rPr>
          <w:i/>
          <w:iCs/>
        </w:rPr>
      </w:pPr>
      <w:r w:rsidRPr="00CB7689">
        <w:rPr>
          <w:i/>
          <w:iCs/>
          <w:u w:val="single"/>
        </w:rPr>
        <w:t>Симптомы</w:t>
      </w:r>
    </w:p>
    <w:p w14:paraId="40486A93" w14:textId="77777777" w:rsidR="00116AF3" w:rsidRPr="00DA2BC8" w:rsidRDefault="00116AF3" w:rsidP="00116AF3">
      <w:pPr>
        <w:widowControl w:val="0"/>
        <w:autoSpaceDE w:val="0"/>
        <w:autoSpaceDN w:val="0"/>
        <w:adjustRightInd w:val="0"/>
        <w:ind w:right="50"/>
        <w:contextualSpacing/>
      </w:pPr>
      <w:r w:rsidRPr="00DA2BC8">
        <w:t>Ведущий симптом — лихорадка на фоне лечения антибиотиками, которая возникает в период гранулоцитопении и сохраняется при повышении уровня лейкоцитов (гранулоцитов &gt;0,5×10</w:t>
      </w:r>
      <w:r w:rsidRPr="00DA2BC8">
        <w:rPr>
          <w:vertAlign w:val="superscript"/>
        </w:rPr>
        <w:t>9</w:t>
      </w:r>
      <w:r w:rsidRPr="00DA2BC8">
        <w:t>/л). Для этого варианта инвазивного микоза очень характерной является температурная кривая –</w:t>
      </w:r>
      <w:r>
        <w:t xml:space="preserve"> </w:t>
      </w:r>
      <w:r w:rsidRPr="00DA2BC8">
        <w:t xml:space="preserve">колебания температуры от 36,7ºС-37,5°С утром до 39ºС-40ºС в вечернее время, которые возникают в период гранулоцитопении и сохраняются после восстановления гранулоцитов. </w:t>
      </w:r>
    </w:p>
    <w:p w14:paraId="352D5561" w14:textId="77777777" w:rsidR="00116AF3" w:rsidRPr="00CB7689" w:rsidRDefault="00116AF3" w:rsidP="00116AF3">
      <w:pPr>
        <w:widowControl w:val="0"/>
        <w:autoSpaceDE w:val="0"/>
        <w:autoSpaceDN w:val="0"/>
        <w:adjustRightInd w:val="0"/>
        <w:ind w:right="50"/>
        <w:contextualSpacing/>
        <w:rPr>
          <w:i/>
          <w:iCs/>
        </w:rPr>
      </w:pPr>
      <w:r w:rsidRPr="00CB7689">
        <w:rPr>
          <w:i/>
          <w:iCs/>
          <w:u w:val="single"/>
        </w:rPr>
        <w:t>Диагностика</w:t>
      </w:r>
    </w:p>
    <w:p w14:paraId="27314B1F" w14:textId="77777777" w:rsidR="00116AF3" w:rsidRPr="00DA2BC8" w:rsidRDefault="00116AF3" w:rsidP="00116AF3">
      <w:pPr>
        <w:widowControl w:val="0"/>
        <w:autoSpaceDE w:val="0"/>
        <w:autoSpaceDN w:val="0"/>
        <w:adjustRightInd w:val="0"/>
        <w:ind w:right="50"/>
        <w:contextualSpacing/>
      </w:pPr>
      <w:r w:rsidRPr="00DA2BC8">
        <w:t>Проводят УЗИ, КТ или МРТ (наиболее высокая чувствительность) печени и селезенки. Характерным является обнаружение множественных очагов деструкции до 2 см. Чаще вовлекаются печень и селезенка, реже почки. По возможности проводят биопсию этих образований с проведением микробиологических (прямая микроскопия, посев) и гистологических иследований. Отрицательные результаты биопсии не исключают наличие гепатолиенального кандидоза. При лечении гепатолиенального кандидоза контрольные исследования (УЗИ, КТ или МРТ) проводят не ранее чем через 3-4 недели и обязательно вне нейтропении. Обращают внимание на размеры очагов и их плотность. Исследование в период нейтропении может дать ложноположительные результаты о сокращении размеров очагов.</w:t>
      </w:r>
    </w:p>
    <w:p w14:paraId="291BB8C8" w14:textId="77777777" w:rsidR="00116AF3" w:rsidRPr="00DA2BC8" w:rsidRDefault="00116AF3" w:rsidP="00116AF3">
      <w:pPr>
        <w:widowControl w:val="0"/>
        <w:autoSpaceDE w:val="0"/>
        <w:autoSpaceDN w:val="0"/>
        <w:adjustRightInd w:val="0"/>
        <w:ind w:right="50"/>
        <w:contextualSpacing/>
      </w:pPr>
      <w:r w:rsidRPr="00DA2BC8">
        <w:t>При гепатолиенальном кандидозе проводят определение серологичесик</w:t>
      </w:r>
      <w:r>
        <w:t>и</w:t>
      </w:r>
      <w:r w:rsidRPr="00DA2BC8">
        <w:t>х маркеров (маннан и антиманнан).</w:t>
      </w:r>
    </w:p>
    <w:p w14:paraId="278CA64D" w14:textId="77777777" w:rsidR="00116AF3" w:rsidRPr="00DA2BC8" w:rsidRDefault="00116AF3" w:rsidP="00116AF3">
      <w:pPr>
        <w:widowControl w:val="0"/>
        <w:autoSpaceDE w:val="0"/>
        <w:autoSpaceDN w:val="0"/>
        <w:adjustRightInd w:val="0"/>
        <w:ind w:right="50"/>
        <w:contextualSpacing/>
      </w:pPr>
      <w:r w:rsidRPr="00CB7689">
        <w:rPr>
          <w:i/>
          <w:iCs/>
          <w:u w:val="single"/>
        </w:rPr>
        <w:t>Показанием к назначению противогрибковых препаратов</w:t>
      </w:r>
      <w:r w:rsidRPr="00DA2BC8">
        <w:rPr>
          <w:b/>
          <w:bCs/>
        </w:rPr>
        <w:t xml:space="preserve"> </w:t>
      </w:r>
      <w:r w:rsidRPr="00DA2BC8">
        <w:rPr>
          <w:bCs/>
        </w:rPr>
        <w:t>являются</w:t>
      </w:r>
      <w:r w:rsidRPr="00DA2BC8">
        <w:rPr>
          <w:b/>
          <w:bCs/>
        </w:rPr>
        <w:t xml:space="preserve"> </w:t>
      </w:r>
      <w:r w:rsidRPr="00DA2BC8">
        <w:t>лихорадка на фоне лечения антибиотиками, которая сохраняется при повышении количества лейкоцитов (гранулоцитов более 0,5×10</w:t>
      </w:r>
      <w:r w:rsidRPr="00DA2BC8">
        <w:rPr>
          <w:vertAlign w:val="superscript"/>
        </w:rPr>
        <w:t>9</w:t>
      </w:r>
      <w:r w:rsidRPr="00DA2BC8">
        <w:t>/л) и выявление множественных очагов в печени и/или селезенке по данным УЗИ, КТ или МРТ. Препаратами выбора в лечении гепатолиенального кандидоза являются эхинокандин (каспофунгин или микафунгин) или липидная форма амфотерицина В (3 мг/кг в сутки, внутривенно); альтернативный препарат - амфотерицин В (0,7-1,0 мг/кг). Дозирование эхинокандина проводят как при кандидемии. После ликвидации температуры (через 1-2 недели) проводят замену этих препаратов на флуконазол (400 мг внутрь или внутривенно 1 раз в сутки) ввиду необходимости продолжительного периода лечения данной патологии.</w:t>
      </w:r>
    </w:p>
    <w:p w14:paraId="59D4A30D" w14:textId="77777777" w:rsidR="00116AF3" w:rsidRPr="00DA2BC8" w:rsidRDefault="00116AF3" w:rsidP="00116AF3">
      <w:pPr>
        <w:widowControl w:val="0"/>
        <w:autoSpaceDE w:val="0"/>
        <w:autoSpaceDN w:val="0"/>
        <w:adjustRightInd w:val="0"/>
        <w:ind w:right="50"/>
        <w:contextualSpacing/>
      </w:pPr>
      <w:r w:rsidRPr="00CB7689">
        <w:rPr>
          <w:i/>
          <w:iCs/>
          <w:u w:val="single"/>
        </w:rPr>
        <w:t>Длительность лечения</w:t>
      </w:r>
      <w:r w:rsidRPr="00DA2BC8">
        <w:t xml:space="preserve"> составляет от 3 до 6 месяцев. При ранней отмене противогрибкового препарата наблюдается высокая частота рецидивов инфекции. Критериями отмены противогрибкового препарата являются кальцификация или регрессия очагов.</w:t>
      </w:r>
    </w:p>
    <w:p w14:paraId="4D8003B6" w14:textId="77777777" w:rsidR="00116AF3" w:rsidRPr="0014445B" w:rsidRDefault="00116AF3" w:rsidP="00116AF3">
      <w:pPr>
        <w:widowControl w:val="0"/>
        <w:autoSpaceDE w:val="0"/>
        <w:autoSpaceDN w:val="0"/>
        <w:adjustRightInd w:val="0"/>
        <w:ind w:right="50"/>
        <w:contextualSpacing/>
        <w:rPr>
          <w:b/>
          <w:bCs/>
        </w:rPr>
      </w:pPr>
      <w:r w:rsidRPr="0014445B">
        <w:rPr>
          <w:b/>
          <w:bCs/>
        </w:rPr>
        <w:t>Инвазивный кандидоз центральной нервной системы (ЦНС)</w:t>
      </w:r>
    </w:p>
    <w:p w14:paraId="431B3CBA" w14:textId="77777777" w:rsidR="00116AF3" w:rsidRPr="00DA2BC8" w:rsidRDefault="00116AF3" w:rsidP="00116AF3">
      <w:pPr>
        <w:widowControl w:val="0"/>
        <w:autoSpaceDE w:val="0"/>
        <w:autoSpaceDN w:val="0"/>
        <w:adjustRightInd w:val="0"/>
        <w:ind w:right="50"/>
        <w:contextualSpacing/>
        <w:rPr>
          <w:b/>
          <w:bCs/>
        </w:rPr>
      </w:pPr>
      <w:r w:rsidRPr="00DA2BC8">
        <w:t xml:space="preserve">У взрослых </w:t>
      </w:r>
      <w:r>
        <w:t>гематологических пациентов</w:t>
      </w:r>
      <w:r w:rsidRPr="00DA2BC8">
        <w:t xml:space="preserve"> инвазивный кандидоз ЦНС возникает при диссеминации кандид из крови или является осложнением нейрохирургических операций (шунтирование и др.). Проявления кандидоза ЦНС - менингит (ведущее), </w:t>
      </w:r>
      <w:r>
        <w:t xml:space="preserve">также </w:t>
      </w:r>
      <w:r w:rsidRPr="00DA2BC8">
        <w:t>возможны множественные абсцессы в веществе головного мозга, большого размера солитарный абсцесс, эпидуральные абсцессы.</w:t>
      </w:r>
    </w:p>
    <w:p w14:paraId="06F57CB9" w14:textId="77777777" w:rsidR="00116AF3" w:rsidRPr="00DA2BC8" w:rsidRDefault="00116AF3" w:rsidP="00116AF3">
      <w:pPr>
        <w:widowControl w:val="0"/>
        <w:autoSpaceDE w:val="0"/>
        <w:autoSpaceDN w:val="0"/>
        <w:adjustRightInd w:val="0"/>
        <w:ind w:right="50"/>
        <w:contextualSpacing/>
      </w:pPr>
      <w:r w:rsidRPr="00CB7689">
        <w:rPr>
          <w:i/>
          <w:iCs/>
          <w:u w:val="single"/>
        </w:rPr>
        <w:t>Симптомы</w:t>
      </w:r>
      <w:r w:rsidRPr="00DA2BC8">
        <w:rPr>
          <w:b/>
          <w:bCs/>
        </w:rPr>
        <w:t xml:space="preserve"> </w:t>
      </w:r>
      <w:r w:rsidRPr="00DA2BC8">
        <w:t>аналогичны симптомам бактериального менингита. При абсцедировании появляется очаговая симптоматика поражения ЦНС.</w:t>
      </w:r>
    </w:p>
    <w:p w14:paraId="12BE6DD2" w14:textId="77777777" w:rsidR="00116AF3" w:rsidRPr="00CB7689" w:rsidRDefault="00116AF3" w:rsidP="00116AF3">
      <w:pPr>
        <w:widowControl w:val="0"/>
        <w:autoSpaceDE w:val="0"/>
        <w:autoSpaceDN w:val="0"/>
        <w:adjustRightInd w:val="0"/>
        <w:ind w:right="50"/>
        <w:contextualSpacing/>
        <w:rPr>
          <w:i/>
          <w:iCs/>
        </w:rPr>
      </w:pPr>
      <w:r w:rsidRPr="00CB7689">
        <w:rPr>
          <w:i/>
          <w:iCs/>
          <w:u w:val="single"/>
        </w:rPr>
        <w:t>Диагностика</w:t>
      </w:r>
    </w:p>
    <w:p w14:paraId="2E87D600" w14:textId="77777777" w:rsidR="00116AF3" w:rsidRPr="00DA2BC8" w:rsidRDefault="00116AF3" w:rsidP="00116AF3">
      <w:pPr>
        <w:widowControl w:val="0"/>
        <w:autoSpaceDE w:val="0"/>
        <w:autoSpaceDN w:val="0"/>
        <w:adjustRightInd w:val="0"/>
        <w:ind w:right="50"/>
        <w:contextualSpacing/>
      </w:pPr>
      <w:r w:rsidRPr="00DA2BC8">
        <w:t xml:space="preserve">Обнаружение </w:t>
      </w:r>
      <w:r w:rsidRPr="00DA2BC8">
        <w:rPr>
          <w:i/>
          <w:iCs/>
        </w:rPr>
        <w:t>Candida</w:t>
      </w:r>
      <w:r w:rsidRPr="00DA2BC8">
        <w:t xml:space="preserve"> spp. при микроскопии либо в культуре спинномозговой жидкости (СМЖ) или биоптатов головного мозга. При кандидозном менингите, как и при бактериальном, в СМЖ определяется нейтрофильный плеоцитоз. </w:t>
      </w:r>
      <w:r>
        <w:t xml:space="preserve">Выполняется КТ/МРТ головного мозга (по показаниям с контрастированием) для оценки локализации, размеров, динамики очага (очагов) поражения. </w:t>
      </w:r>
      <w:r w:rsidRPr="00DA2BC8">
        <w:t>Специфические р</w:t>
      </w:r>
      <w:r>
        <w:t>адио</w:t>
      </w:r>
      <w:r w:rsidRPr="00DA2BC8">
        <w:t>логические признаки абсцессов кандидозной этиологии отсутствуют.</w:t>
      </w:r>
    </w:p>
    <w:p w14:paraId="2C298722" w14:textId="77777777" w:rsidR="00116AF3" w:rsidRPr="00CB7689" w:rsidRDefault="00116AF3" w:rsidP="00116AF3">
      <w:pPr>
        <w:widowControl w:val="0"/>
        <w:tabs>
          <w:tab w:val="left" w:pos="-90"/>
        </w:tabs>
        <w:autoSpaceDE w:val="0"/>
        <w:autoSpaceDN w:val="0"/>
        <w:adjustRightInd w:val="0"/>
        <w:ind w:right="50"/>
        <w:contextualSpacing/>
        <w:rPr>
          <w:i/>
          <w:iCs/>
          <w:u w:val="single"/>
        </w:rPr>
      </w:pPr>
      <w:r w:rsidRPr="00CB7689">
        <w:rPr>
          <w:i/>
          <w:iCs/>
          <w:u w:val="single"/>
        </w:rPr>
        <w:t>Лечение</w:t>
      </w:r>
    </w:p>
    <w:p w14:paraId="5031E19E" w14:textId="77777777" w:rsidR="00116AF3" w:rsidRPr="00DA2BC8" w:rsidRDefault="00116AF3" w:rsidP="00116AF3">
      <w:pPr>
        <w:widowControl w:val="0"/>
        <w:tabs>
          <w:tab w:val="left" w:pos="-90"/>
        </w:tabs>
        <w:autoSpaceDE w:val="0"/>
        <w:autoSpaceDN w:val="0"/>
        <w:adjustRightInd w:val="0"/>
        <w:ind w:right="50"/>
        <w:contextualSpacing/>
      </w:pPr>
      <w:r w:rsidRPr="00DA2BC8">
        <w:rPr>
          <w:bCs/>
        </w:rPr>
        <w:t xml:space="preserve">Стартовая терапия (первые недели) – монотерапия липидной формы амфотерицина В (3-5 мг/кг </w:t>
      </w:r>
      <w:r w:rsidRPr="00DA2BC8">
        <w:t xml:space="preserve">внутривенно 1 раз в сутки) или в сочетании в течение первых недель с флуцитозином (25 мг/кг внутривенно 4 раза в сутки). Альтернативный препарат – вориконазол (в 1-й день по 6 мг/кг внутривенно 2 раза в сутки, затем по 4 мг/кг 2 раза в сутки с последующим переходом на пероральную форму по 200 мг внутрь 2 раза в сутки). </w:t>
      </w:r>
      <w:r w:rsidRPr="00DA2BC8">
        <w:rPr>
          <w:bCs/>
        </w:rPr>
        <w:t>При стабилизации</w:t>
      </w:r>
      <w:r w:rsidRPr="00DA2BC8">
        <w:rPr>
          <w:b/>
          <w:bCs/>
        </w:rPr>
        <w:t xml:space="preserve"> </w:t>
      </w:r>
      <w:r w:rsidRPr="00DA2BC8">
        <w:t xml:space="preserve">состояния после лечения липидной формой амфотерицина В назначают флуконазол при выделении флуконазолчувствительных </w:t>
      </w:r>
      <w:r w:rsidRPr="00DA2BC8">
        <w:rPr>
          <w:i/>
          <w:iCs/>
        </w:rPr>
        <w:t>Candida</w:t>
      </w:r>
      <w:r w:rsidRPr="00DA2BC8">
        <w:t xml:space="preserve"> spp (400-800 мг внутривенно 1 раз в сутки). </w:t>
      </w:r>
    </w:p>
    <w:p w14:paraId="24A94211" w14:textId="77777777" w:rsidR="00116AF3" w:rsidRPr="00DA2BC8" w:rsidRDefault="00116AF3" w:rsidP="00116AF3">
      <w:pPr>
        <w:widowControl w:val="0"/>
        <w:tabs>
          <w:tab w:val="left" w:pos="-90"/>
        </w:tabs>
        <w:autoSpaceDE w:val="0"/>
        <w:autoSpaceDN w:val="0"/>
        <w:adjustRightInd w:val="0"/>
        <w:ind w:right="50"/>
        <w:contextualSpacing/>
      </w:pPr>
      <w:r w:rsidRPr="00DA2BC8">
        <w:t>Вориконазол и флуконазол хорошо проникают через гематоэнцефалический барьер. Итраконазол, позаконазол, амфотерицин В и его липидные формы плохо проходят через гематоэнцефалический барьер. При лечении липидными формами амфотерицина В в веществе головного мозга создаются высокие концентрации, причем у липосомального амфотерицина В они выше, чем у липидного комплекса или обычного амфотерицина В. Комбинация амфотерицина В с флуцитозином обладает синергидным действием. Лечение кандидоза ЦНС не проводят эхинокандинами.</w:t>
      </w:r>
    </w:p>
    <w:p w14:paraId="0C584D96" w14:textId="77777777" w:rsidR="00116AF3" w:rsidRPr="00CB7689" w:rsidRDefault="00116AF3" w:rsidP="00116AF3">
      <w:pPr>
        <w:widowControl w:val="0"/>
        <w:autoSpaceDE w:val="0"/>
        <w:autoSpaceDN w:val="0"/>
        <w:adjustRightInd w:val="0"/>
        <w:ind w:right="50"/>
        <w:contextualSpacing/>
        <w:rPr>
          <w:i/>
          <w:iCs/>
          <w:u w:val="single"/>
        </w:rPr>
      </w:pPr>
      <w:r w:rsidRPr="00CB7689">
        <w:rPr>
          <w:i/>
          <w:iCs/>
          <w:u w:val="single"/>
        </w:rPr>
        <w:t>Длительность лечения</w:t>
      </w:r>
    </w:p>
    <w:p w14:paraId="32A52AF1" w14:textId="77777777" w:rsidR="00116AF3" w:rsidRPr="00DA2BC8" w:rsidRDefault="00116AF3" w:rsidP="00116AF3">
      <w:pPr>
        <w:widowControl w:val="0"/>
        <w:autoSpaceDE w:val="0"/>
        <w:autoSpaceDN w:val="0"/>
        <w:adjustRightInd w:val="0"/>
        <w:ind w:right="50"/>
        <w:contextualSpacing/>
      </w:pPr>
      <w:r w:rsidRPr="00DA2BC8">
        <w:t>Лечение занимает продолжительный период — до ликвидации всех клинических и р</w:t>
      </w:r>
      <w:r>
        <w:t>адио</w:t>
      </w:r>
      <w:r w:rsidRPr="00DA2BC8">
        <w:t>логических симптомов инфекции, нормализации состава СМЖ. Нейрохирургическим больным удаляют инфицированные шунты.</w:t>
      </w:r>
    </w:p>
    <w:p w14:paraId="056D22EA" w14:textId="77777777" w:rsidR="00116AF3" w:rsidRPr="00444F93" w:rsidRDefault="00116AF3" w:rsidP="00116AF3">
      <w:pPr>
        <w:widowControl w:val="0"/>
        <w:autoSpaceDE w:val="0"/>
        <w:autoSpaceDN w:val="0"/>
        <w:adjustRightInd w:val="0"/>
        <w:ind w:right="50"/>
        <w:contextualSpacing/>
        <w:rPr>
          <w:b/>
          <w:bCs/>
        </w:rPr>
      </w:pPr>
      <w:r w:rsidRPr="00444F93">
        <w:rPr>
          <w:b/>
          <w:bCs/>
        </w:rPr>
        <w:t>Кандидозный эндофтальмит</w:t>
      </w:r>
    </w:p>
    <w:p w14:paraId="46E129CC" w14:textId="77777777" w:rsidR="00116AF3" w:rsidRDefault="00116AF3" w:rsidP="00116AF3">
      <w:pPr>
        <w:widowControl w:val="0"/>
        <w:autoSpaceDE w:val="0"/>
        <w:autoSpaceDN w:val="0"/>
        <w:adjustRightInd w:val="0"/>
        <w:ind w:right="50"/>
        <w:contextualSpacing/>
      </w:pPr>
      <w:r w:rsidRPr="00DA2BC8">
        <w:t>Кандидозный эндофтальмит - воспаление внутренних оболочек глаза с формированием абсцесса (абсцессов) в стекловидном теле</w:t>
      </w:r>
      <w:r>
        <w:t>, в</w:t>
      </w:r>
      <w:r w:rsidRPr="00DA2BC8">
        <w:t>озникает при диссеминации кандид из крови.</w:t>
      </w:r>
      <w:r>
        <w:t xml:space="preserve"> </w:t>
      </w:r>
      <w:r w:rsidRPr="00DA2BC8">
        <w:t xml:space="preserve">Основной симптом - снижение остроты зрения вплоть до развития слепоты. Во всех случаях необходима консультация офтальмолога. При офтальмоскопии на сетчатке определяют множественные белесоватые очаги. </w:t>
      </w:r>
      <w:r>
        <w:t>Выполняют КТ/МРТ головы (по показаниям с контрастированием) для оценки локализации, размеров, динамики очага (очагов) поражения.</w:t>
      </w:r>
    </w:p>
    <w:p w14:paraId="470D5931" w14:textId="77777777" w:rsidR="00116AF3" w:rsidRPr="00DA2BC8" w:rsidRDefault="00116AF3" w:rsidP="00116AF3">
      <w:pPr>
        <w:widowControl w:val="0"/>
        <w:autoSpaceDE w:val="0"/>
        <w:autoSpaceDN w:val="0"/>
        <w:adjustRightInd w:val="0"/>
        <w:ind w:right="50"/>
        <w:contextualSpacing/>
      </w:pPr>
      <w:r w:rsidRPr="00DA2BC8">
        <w:rPr>
          <w:bCs/>
        </w:rPr>
        <w:t xml:space="preserve">При обширном поражении назначают </w:t>
      </w:r>
      <w:r w:rsidRPr="00DA2BC8">
        <w:t xml:space="preserve">амфотерицин В (0,7-1 мг/кг внутривенно 1 раз в сутки) в сочетании с флуцитозином (25 мг/кг внутривенно 4 раза в сутки), </w:t>
      </w:r>
      <w:r w:rsidRPr="00DA2BC8">
        <w:rPr>
          <w:bCs/>
        </w:rPr>
        <w:t xml:space="preserve">при нетяжелых проявлениях - </w:t>
      </w:r>
      <w:r w:rsidRPr="00DA2BC8">
        <w:t xml:space="preserve">флуконазол (400-800 мг внутривенно или внутрь 1 раз в сутки), при </w:t>
      </w:r>
      <w:r w:rsidRPr="00DA2BC8">
        <w:rPr>
          <w:bCs/>
        </w:rPr>
        <w:t xml:space="preserve">отсутствие эффекта </w:t>
      </w:r>
      <w:r w:rsidRPr="00DA2BC8">
        <w:t xml:space="preserve">- вориконазол, липидные формы амфотерицина В. Не используют эхинокандины. В стекловидном теле создается высокая концентрация вориконазола, низкая концентрация - эхинокандинов (каспофунгина, микафунгина, анидулафунгина). </w:t>
      </w:r>
      <w:r w:rsidRPr="00DA2BC8">
        <w:rPr>
          <w:bCs/>
        </w:rPr>
        <w:t>Длительность лечения</w:t>
      </w:r>
      <w:r w:rsidRPr="00DA2BC8">
        <w:t xml:space="preserve"> составляет 4-6 недель. Критерии отмены противогрибковых препаратов - ликвидация клинических симптомов инфекции и регрессия или стабилизация размеров очагов, выявляемых при офтальмоскопии.</w:t>
      </w:r>
    </w:p>
    <w:p w14:paraId="66237DB9" w14:textId="77777777" w:rsidR="00116AF3" w:rsidRPr="00444F93" w:rsidRDefault="00116AF3" w:rsidP="00116AF3">
      <w:pPr>
        <w:widowControl w:val="0"/>
        <w:autoSpaceDE w:val="0"/>
        <w:autoSpaceDN w:val="0"/>
        <w:adjustRightInd w:val="0"/>
        <w:ind w:right="51"/>
        <w:contextualSpacing/>
        <w:rPr>
          <w:b/>
          <w:bCs/>
        </w:rPr>
      </w:pPr>
      <w:r w:rsidRPr="00444F93">
        <w:rPr>
          <w:b/>
          <w:bCs/>
        </w:rPr>
        <w:t>Кандидозный эндокардит, перикардит, миокардит, тромбофлебит</w:t>
      </w:r>
    </w:p>
    <w:p w14:paraId="7A9B02A3" w14:textId="77777777" w:rsidR="00116AF3" w:rsidRPr="00DA2BC8" w:rsidRDefault="00116AF3" w:rsidP="00116AF3">
      <w:pPr>
        <w:widowControl w:val="0"/>
        <w:autoSpaceDE w:val="0"/>
        <w:autoSpaceDN w:val="0"/>
        <w:adjustRightInd w:val="0"/>
        <w:ind w:right="51"/>
        <w:contextualSpacing/>
      </w:pPr>
      <w:r w:rsidRPr="00DA2BC8">
        <w:t xml:space="preserve">У иммунокомпрометированных </w:t>
      </w:r>
      <w:r>
        <w:t xml:space="preserve">пацентов  ХЛЛ/ЛМЛ </w:t>
      </w:r>
      <w:r w:rsidRPr="00DA2BC8">
        <w:t xml:space="preserve">эти осложнения возникают при гематогенной диссеминации </w:t>
      </w:r>
      <w:r w:rsidRPr="00DA2BC8">
        <w:rPr>
          <w:i/>
          <w:iCs/>
        </w:rPr>
        <w:t>Candida</w:t>
      </w:r>
      <w:r w:rsidRPr="00DA2BC8">
        <w:t xml:space="preserve"> spp.</w:t>
      </w:r>
      <w:r>
        <w:t>; с</w:t>
      </w:r>
      <w:r w:rsidRPr="00DA2BC8">
        <w:rPr>
          <w:bCs/>
        </w:rPr>
        <w:t>имптомы</w:t>
      </w:r>
      <w:r w:rsidRPr="00DA2BC8">
        <w:t xml:space="preserve"> </w:t>
      </w:r>
      <w:r>
        <w:t xml:space="preserve">соответствуют аналогичной локализации инфекции </w:t>
      </w:r>
      <w:r w:rsidRPr="00DA2BC8">
        <w:t>бактериальн</w:t>
      </w:r>
      <w:r>
        <w:t>ой</w:t>
      </w:r>
      <w:r w:rsidRPr="00DA2BC8">
        <w:t xml:space="preserve"> </w:t>
      </w:r>
      <w:r>
        <w:t>природы</w:t>
      </w:r>
      <w:r w:rsidRPr="00DA2BC8">
        <w:t xml:space="preserve">. </w:t>
      </w:r>
      <w:r>
        <w:t xml:space="preserve">Для диагностики проводят необходимые инструменитальные и лабораторные исследования – ЭКГ, ЭхоКГ, КТ/МРТ органов грудной полости, доплерографические исследования, УЗИ сосудов, консультация кардиолога, кардиохирурга, ангиохирурга, микробиологические (бактериологические) исследования крови, микробиологические (бактериологические), цитологические и гистологические исследования биоптататов. </w:t>
      </w:r>
      <w:r w:rsidRPr="00DA2BC8">
        <w:t xml:space="preserve">Диагноз устанавливают на основании обнаружения </w:t>
      </w:r>
      <w:r w:rsidRPr="00DA2BC8">
        <w:rPr>
          <w:i/>
          <w:iCs/>
        </w:rPr>
        <w:t>Candida</w:t>
      </w:r>
      <w:r w:rsidRPr="00DA2BC8">
        <w:t xml:space="preserve"> spp. в материале из пораженных клапанов сердца или присутствия непосредственной связи между выделением </w:t>
      </w:r>
      <w:r w:rsidRPr="00DA2BC8">
        <w:rPr>
          <w:i/>
          <w:iCs/>
        </w:rPr>
        <w:t xml:space="preserve">Candida </w:t>
      </w:r>
      <w:r w:rsidRPr="00DA2BC8">
        <w:t xml:space="preserve">spp. из гемокультуры и появлением симптомов диссеминации инфекционного процесса. </w:t>
      </w:r>
      <w:r w:rsidRPr="00DA2BC8">
        <w:rPr>
          <w:bCs/>
        </w:rPr>
        <w:t xml:space="preserve">Препарат выбора - </w:t>
      </w:r>
      <w:r w:rsidRPr="00DA2BC8">
        <w:t xml:space="preserve">каспофунгин, </w:t>
      </w:r>
      <w:r w:rsidRPr="00DA2BC8">
        <w:rPr>
          <w:bCs/>
        </w:rPr>
        <w:t>альтернативный препарат – липидные формы амфотерицина В.</w:t>
      </w:r>
      <w:r w:rsidRPr="00DA2BC8">
        <w:t xml:space="preserve"> Флуконазол назначают </w:t>
      </w:r>
      <w:r w:rsidRPr="00DA2BC8">
        <w:rPr>
          <w:bCs/>
        </w:rPr>
        <w:t xml:space="preserve">при стабилизации симптомов инфекции и выделении флуконазолчувствительных </w:t>
      </w:r>
      <w:r w:rsidRPr="00DA2BC8">
        <w:rPr>
          <w:bCs/>
          <w:i/>
          <w:iCs/>
        </w:rPr>
        <w:t>Candida</w:t>
      </w:r>
      <w:r w:rsidRPr="00DA2BC8">
        <w:rPr>
          <w:bCs/>
        </w:rPr>
        <w:t xml:space="preserve"> spp.</w:t>
      </w:r>
      <w:r w:rsidRPr="00DA2BC8">
        <w:t xml:space="preserve"> </w:t>
      </w:r>
      <w:r w:rsidRPr="00DA2BC8">
        <w:rPr>
          <w:bCs/>
        </w:rPr>
        <w:t xml:space="preserve">Оперативное лечение включает </w:t>
      </w:r>
      <w:r w:rsidRPr="00DA2BC8">
        <w:t xml:space="preserve">удаление инфицированных клапанов сердца, перикардэктомия при перикардите. </w:t>
      </w:r>
      <w:r w:rsidRPr="00DA2BC8">
        <w:rPr>
          <w:bCs/>
        </w:rPr>
        <w:t>Длительность лечения</w:t>
      </w:r>
      <w:r w:rsidRPr="00DA2BC8">
        <w:t xml:space="preserve"> кандидозного эндокардита после хирургического вмешательства составляет не менее 6 недель; при наличии абсцессов и других осложнений - более продолжительный период. Если операцию на клапанах не проводят, то назначают пожизненно флуконазол в дозе 400-800 мг в сутки внутрь или внутривенно 1 раз в сутки. Лечение кандидозного перикардита и миокардита продолжается несколько месяцев.</w:t>
      </w:r>
    </w:p>
    <w:p w14:paraId="27C11EA7" w14:textId="77777777" w:rsidR="00116AF3" w:rsidRPr="00444F93" w:rsidRDefault="00116AF3" w:rsidP="00116AF3">
      <w:pPr>
        <w:widowControl w:val="0"/>
        <w:autoSpaceDE w:val="0"/>
        <w:autoSpaceDN w:val="0"/>
        <w:adjustRightInd w:val="0"/>
        <w:ind w:right="51"/>
        <w:contextualSpacing/>
        <w:rPr>
          <w:b/>
          <w:bCs/>
        </w:rPr>
      </w:pPr>
      <w:r w:rsidRPr="00444F93">
        <w:rPr>
          <w:b/>
          <w:bCs/>
        </w:rPr>
        <w:t>Кандидоз мочевыводящих путей</w:t>
      </w:r>
    </w:p>
    <w:p w14:paraId="36C1B4D3" w14:textId="77777777" w:rsidR="00116AF3" w:rsidRPr="00DA2BC8" w:rsidRDefault="00116AF3" w:rsidP="00116AF3">
      <w:pPr>
        <w:widowControl w:val="0"/>
        <w:autoSpaceDE w:val="0"/>
        <w:autoSpaceDN w:val="0"/>
        <w:adjustRightInd w:val="0"/>
        <w:ind w:right="51"/>
        <w:contextualSpacing/>
      </w:pPr>
      <w:r w:rsidRPr="00DA2BC8">
        <w:t xml:space="preserve">Клинические проявления </w:t>
      </w:r>
      <w:r>
        <w:t xml:space="preserve">кандидоза мочевых путей – </w:t>
      </w:r>
      <w:r w:rsidRPr="00DA2BC8">
        <w:t xml:space="preserve">цистит, пиелонефорит, </w:t>
      </w:r>
      <w:r w:rsidRPr="00444F93">
        <w:t>острый диссеминированный кандидоз</w:t>
      </w:r>
      <w:r w:rsidRPr="00DA2BC8">
        <w:t xml:space="preserve">. К факторам риска относят факторы, индуцирующие развитие инвазивного кандидоза, дополнительный фактор </w:t>
      </w:r>
      <w:r>
        <w:t>–</w:t>
      </w:r>
      <w:r w:rsidRPr="00DA2BC8">
        <w:t xml:space="preserve"> катетеризация мочевого пузыря. При кандидозном цистите </w:t>
      </w:r>
      <w:r>
        <w:t>характерны</w:t>
      </w:r>
      <w:r w:rsidRPr="00DA2BC8">
        <w:t xml:space="preserve"> частые болезненные мочеиспускания; при пиелонефрите </w:t>
      </w:r>
      <w:r>
        <w:t>–</w:t>
      </w:r>
      <w:r w:rsidRPr="00DA2BC8">
        <w:t xml:space="preserve"> боль в поясничной области, боль при мочеиспускании, температура; при гематогенной диссеминации кандид может быть только лихорадка. </w:t>
      </w:r>
      <w:r>
        <w:t xml:space="preserve">Для диагностики проводят необходимые иснтрументальные и лабораторные исследования – клинический, микробиологический анализы мочи, УЗИ почек и мочевыводящих путей, мочевого пузыря, КТ/МРТ почек и мочевыводящих путей, мочевого пузыря, органов малого таза у мужчин и женщин. </w:t>
      </w:r>
      <w:r w:rsidRPr="00DA2BC8">
        <w:t xml:space="preserve">Диагноз ставят на основании выделения </w:t>
      </w:r>
      <w:r w:rsidRPr="00DA2BC8">
        <w:rPr>
          <w:i/>
          <w:iCs/>
        </w:rPr>
        <w:t>Candida</w:t>
      </w:r>
      <w:r w:rsidRPr="00DA2BC8">
        <w:t xml:space="preserve"> spp. из мочи. Необходимо провести идентификацию возбудителя до вида и определить его чувствительность.</w:t>
      </w:r>
    </w:p>
    <w:p w14:paraId="4042D96B" w14:textId="77777777" w:rsidR="00116AF3" w:rsidRDefault="00116AF3" w:rsidP="00116AF3">
      <w:pPr>
        <w:widowControl w:val="0"/>
        <w:autoSpaceDE w:val="0"/>
        <w:autoSpaceDN w:val="0"/>
        <w:adjustRightInd w:val="0"/>
        <w:ind w:right="51"/>
        <w:contextualSpacing/>
      </w:pPr>
      <w:r w:rsidRPr="00DA2BC8">
        <w:rPr>
          <w:bCs/>
        </w:rPr>
        <w:t xml:space="preserve">Показанием к назначению противогрибковых препаратов являются </w:t>
      </w:r>
      <w:r w:rsidRPr="00DA2BC8">
        <w:t xml:space="preserve">наличие признаков инфекции и неоднократное (не менее двух раз) выделение </w:t>
      </w:r>
      <w:r w:rsidRPr="00DA2BC8">
        <w:rPr>
          <w:i/>
          <w:iCs/>
        </w:rPr>
        <w:t>Candida</w:t>
      </w:r>
      <w:r w:rsidRPr="00DA2BC8">
        <w:t xml:space="preserve"> spp. из мочи, а также бессимптомная кандидурия у больных с нейтропенией. Бессимптомная кандидурия у больных </w:t>
      </w:r>
      <w:r w:rsidRPr="00DA2BC8">
        <w:rPr>
          <w:bCs/>
        </w:rPr>
        <w:t>вне нейтропении</w:t>
      </w:r>
      <w:r w:rsidRPr="00DA2BC8">
        <w:t xml:space="preserve"> свидетельствует о колонизации слизистой оболочки нижних отделов мочевыводящих путей кандидами, лечение противогрибковым</w:t>
      </w:r>
      <w:r>
        <w:t>и препаратами не проводят. У этой категории</w:t>
      </w:r>
      <w:r w:rsidRPr="00DA2BC8">
        <w:t xml:space="preserve"> </w:t>
      </w:r>
      <w:r>
        <w:t>пациентов</w:t>
      </w:r>
      <w:r w:rsidRPr="00DA2BC8">
        <w:t xml:space="preserve"> устранение факторов риска, например отмена антибиотиков или глюкокортикоидов, либо удаление катетера из мочевого пузыря, приводит к прекращению выделения кандид из мочи. </w:t>
      </w:r>
    </w:p>
    <w:p w14:paraId="5F9BC4BF" w14:textId="77777777" w:rsidR="00116AF3" w:rsidRPr="00DA2BC8" w:rsidRDefault="00116AF3" w:rsidP="00116AF3">
      <w:pPr>
        <w:widowControl w:val="0"/>
        <w:autoSpaceDE w:val="0"/>
        <w:autoSpaceDN w:val="0"/>
        <w:adjustRightInd w:val="0"/>
        <w:ind w:right="51"/>
        <w:contextualSpacing/>
        <w:rPr>
          <w:b/>
        </w:rPr>
      </w:pPr>
      <w:r w:rsidRPr="00DA2BC8">
        <w:rPr>
          <w:bCs/>
        </w:rPr>
        <w:t xml:space="preserve">Лечение </w:t>
      </w:r>
      <w:r w:rsidRPr="00DA2BC8">
        <w:rPr>
          <w:bCs/>
          <w:iCs/>
        </w:rPr>
        <w:t>кандидозного цистита включает назначение флуконазола (400 мг) в случаях детекции</w:t>
      </w:r>
      <w:r w:rsidRPr="00DA2BC8">
        <w:rPr>
          <w:bCs/>
        </w:rPr>
        <w:t xml:space="preserve"> флуконазолчувствительных </w:t>
      </w:r>
      <w:r w:rsidRPr="00DA2BC8">
        <w:rPr>
          <w:bCs/>
          <w:i/>
          <w:iCs/>
        </w:rPr>
        <w:t xml:space="preserve">Candida </w:t>
      </w:r>
      <w:r w:rsidRPr="00DA2BC8">
        <w:rPr>
          <w:bCs/>
        </w:rPr>
        <w:t>spp., применение</w:t>
      </w:r>
      <w:r w:rsidRPr="00DA2BC8">
        <w:t xml:space="preserve"> амфотерицин В (0,3-0,6 мг/кг внутривенно 1 раз в сутки) – при флуконазолустойчивых </w:t>
      </w:r>
      <w:r w:rsidRPr="00DA2BC8">
        <w:rPr>
          <w:bCs/>
          <w:i/>
          <w:iCs/>
        </w:rPr>
        <w:t xml:space="preserve">Candida </w:t>
      </w:r>
      <w:r w:rsidRPr="00DA2BC8">
        <w:rPr>
          <w:bCs/>
        </w:rPr>
        <w:t>spp</w:t>
      </w:r>
      <w:r w:rsidRPr="00DA2BC8">
        <w:t xml:space="preserve">. Орошение мочевого пузыря амфотерицином В допустимо лишь при выделении флуконазолрезистентных </w:t>
      </w:r>
      <w:r w:rsidRPr="00DA2BC8">
        <w:rPr>
          <w:i/>
          <w:iCs/>
        </w:rPr>
        <w:t xml:space="preserve">Candida </w:t>
      </w:r>
      <w:r w:rsidRPr="00DA2BC8">
        <w:t xml:space="preserve">spp., например </w:t>
      </w:r>
      <w:r w:rsidRPr="00DA2BC8">
        <w:rPr>
          <w:i/>
          <w:iCs/>
        </w:rPr>
        <w:t>С</w:t>
      </w:r>
      <w:r w:rsidRPr="00DA2BC8">
        <w:rPr>
          <w:iCs/>
          <w:strike/>
        </w:rPr>
        <w:t>.</w:t>
      </w:r>
      <w:r w:rsidRPr="00DA2BC8">
        <w:rPr>
          <w:i/>
          <w:iCs/>
        </w:rPr>
        <w:t xml:space="preserve"> glabrata</w:t>
      </w:r>
      <w:r w:rsidRPr="00DA2BC8">
        <w:t xml:space="preserve">. Необходимо отметить, что при таком методе лечения наблюдается высокая частота рецидивов. Лечение </w:t>
      </w:r>
      <w:r w:rsidRPr="00DA2BC8">
        <w:rPr>
          <w:bCs/>
          <w:iCs/>
        </w:rPr>
        <w:t>кандидозного пиелонефрита проводят теми же антимикотиками.</w:t>
      </w:r>
      <w:r w:rsidRPr="00DA2BC8">
        <w:t xml:space="preserve"> Липидные формы амфотерицина В не применяют для лечения кандидозного пиелонефрита по причине низкой концентрации препарата в паренхиме почек. По той же причине не назначают эхинокандиды и вориконазол.</w:t>
      </w:r>
    </w:p>
    <w:p w14:paraId="75D7BC49" w14:textId="77777777" w:rsidR="00116AF3" w:rsidRDefault="00116AF3" w:rsidP="00116AF3">
      <w:pPr>
        <w:widowControl w:val="0"/>
        <w:autoSpaceDE w:val="0"/>
        <w:autoSpaceDN w:val="0"/>
        <w:adjustRightInd w:val="0"/>
        <w:ind w:right="51"/>
        <w:contextualSpacing/>
      </w:pPr>
      <w:r w:rsidRPr="00DA2BC8">
        <w:rPr>
          <w:bCs/>
        </w:rPr>
        <w:t>Длительность лечения</w:t>
      </w:r>
      <w:r w:rsidRPr="00DA2BC8">
        <w:rPr>
          <w:b/>
          <w:bCs/>
        </w:rPr>
        <w:t xml:space="preserve"> </w:t>
      </w:r>
      <w:r w:rsidRPr="00DA2BC8">
        <w:t xml:space="preserve">кандидозного цистита флуконазолом составляет 2 недели. Если цистит вызван флуконазолрезистентными </w:t>
      </w:r>
      <w:r w:rsidRPr="00DA2BC8">
        <w:rPr>
          <w:i/>
          <w:iCs/>
        </w:rPr>
        <w:t xml:space="preserve">Candida </w:t>
      </w:r>
      <w:r w:rsidRPr="00DA2BC8">
        <w:t>spp., то лечение амфотерицином В проводят в течение 7-10 дней. Продолжительность лечения кандидозного пиелонефрита составляет 2 недели.</w:t>
      </w:r>
    </w:p>
    <w:p w14:paraId="705F21BF" w14:textId="77777777" w:rsidR="00116AF3" w:rsidRPr="00DA2BC8" w:rsidRDefault="00116AF3" w:rsidP="00116AF3">
      <w:pPr>
        <w:widowControl w:val="0"/>
        <w:autoSpaceDE w:val="0"/>
        <w:autoSpaceDN w:val="0"/>
        <w:adjustRightInd w:val="0"/>
        <w:ind w:right="51"/>
        <w:contextualSpacing/>
      </w:pPr>
    </w:p>
    <w:p w14:paraId="0C9E8584" w14:textId="1123146A" w:rsidR="00116AF3" w:rsidRPr="00084B8B" w:rsidRDefault="00116AF3" w:rsidP="00116AF3">
      <w:pPr>
        <w:widowControl w:val="0"/>
        <w:autoSpaceDE w:val="0"/>
        <w:autoSpaceDN w:val="0"/>
        <w:adjustRightInd w:val="0"/>
        <w:ind w:right="49"/>
        <w:contextualSpacing/>
        <w:rPr>
          <w:bCs/>
          <w:u w:val="single"/>
        </w:rPr>
      </w:pPr>
      <w:r w:rsidRPr="00CB7689">
        <w:rPr>
          <w:bCs/>
          <w:u w:val="single"/>
        </w:rPr>
        <w:t>Диагностика и лечение криптококкоза</w:t>
      </w:r>
      <w:r w:rsidRPr="00144984">
        <w:rPr>
          <w:bCs/>
          <w:u w:val="single"/>
        </w:rPr>
        <w:t xml:space="preserve"> </w:t>
      </w:r>
      <w:r>
        <w:rPr>
          <w:b/>
        </w:rPr>
        <w:fldChar w:fldCharType="begin" w:fldLock="1"/>
      </w:r>
      <w:r w:rsidR="009D41F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[47,48,54]","plainTextFormattedCitation":"[47,48,54]","previouslyFormattedCitation":"[47,48,54]"},"properties":{"noteIndex":0},"schema":"https://github.com/citation-style-language/schema/raw/master/csl-citation.json"}</w:instrText>
      </w:r>
      <w:r>
        <w:rPr>
          <w:b/>
        </w:rPr>
        <w:fldChar w:fldCharType="separate"/>
      </w:r>
      <w:r w:rsidR="004C3BA5" w:rsidRPr="004C3BA5">
        <w:rPr>
          <w:noProof/>
        </w:rPr>
        <w:t>[47,48,54]</w:t>
      </w:r>
      <w:r>
        <w:rPr>
          <w:b/>
        </w:rPr>
        <w:fldChar w:fldCharType="end"/>
      </w:r>
    </w:p>
    <w:p w14:paraId="3874C66F" w14:textId="77777777" w:rsidR="00116AF3" w:rsidRPr="00DA2BC8" w:rsidRDefault="00116AF3" w:rsidP="00116AF3">
      <w:pPr>
        <w:widowControl w:val="0"/>
        <w:autoSpaceDE w:val="0"/>
        <w:autoSpaceDN w:val="0"/>
        <w:adjustRightInd w:val="0"/>
        <w:ind w:right="50"/>
        <w:contextualSpacing/>
      </w:pPr>
      <w:r w:rsidRPr="00DA2BC8">
        <w:t xml:space="preserve">Инфекция возникает преимущественно у </w:t>
      </w:r>
      <w:r>
        <w:t>пациентов</w:t>
      </w:r>
      <w:r w:rsidRPr="00DA2BC8">
        <w:t xml:space="preserve"> с Т-клеточным иммунодефицитом, </w:t>
      </w:r>
      <w:r>
        <w:t>в первую очередь,</w:t>
      </w:r>
      <w:r w:rsidRPr="00DA2BC8">
        <w:t xml:space="preserve"> у </w:t>
      </w:r>
      <w:r>
        <w:t>гематологических пациентов</w:t>
      </w:r>
      <w:r w:rsidRPr="00DA2BC8">
        <w:t xml:space="preserve"> с лимфатическими опухолями</w:t>
      </w:r>
      <w:r>
        <w:t>, в том числе, ХЛЛ/ЛМЛ,</w:t>
      </w:r>
      <w:r w:rsidRPr="00DA2BC8">
        <w:t xml:space="preserve"> и характеризуется частым поражением ЦНС в виде менингита или менингоэнцефалита. Основным возбудителем криптококкоза является </w:t>
      </w:r>
      <w:r w:rsidRPr="00DA2BC8">
        <w:rPr>
          <w:i/>
          <w:iCs/>
        </w:rPr>
        <w:t>Cryptococcus neoformans</w:t>
      </w:r>
      <w:r w:rsidRPr="00DA2BC8">
        <w:t xml:space="preserve">, реже заболевание вызывают </w:t>
      </w:r>
      <w:r w:rsidRPr="00DA2BC8">
        <w:rPr>
          <w:i/>
          <w:iCs/>
        </w:rPr>
        <w:t>C. gattii</w:t>
      </w:r>
      <w:r w:rsidRPr="00DA2BC8">
        <w:t xml:space="preserve">, крайне редко – </w:t>
      </w:r>
      <w:r w:rsidRPr="00DA2BC8">
        <w:rPr>
          <w:i/>
          <w:iCs/>
        </w:rPr>
        <w:t>C. laurentii</w:t>
      </w:r>
      <w:r w:rsidRPr="00DA2BC8">
        <w:t xml:space="preserve"> и </w:t>
      </w:r>
      <w:r w:rsidRPr="00DA2BC8">
        <w:rPr>
          <w:i/>
          <w:iCs/>
        </w:rPr>
        <w:t>С. albidus</w:t>
      </w:r>
      <w:r w:rsidRPr="00DA2BC8">
        <w:t>. К факторам риска относят применение глюкокортикоидных и иммуносупрессивных препаратов, таких как флударабин</w:t>
      </w:r>
      <w:r>
        <w:t xml:space="preserve"> и др</w:t>
      </w:r>
      <w:r w:rsidRPr="00DA2BC8">
        <w:t>.</w:t>
      </w:r>
    </w:p>
    <w:p w14:paraId="72ED73FA" w14:textId="77777777" w:rsidR="00116AF3" w:rsidRPr="00CB7689" w:rsidRDefault="00116AF3" w:rsidP="00116AF3">
      <w:pPr>
        <w:widowControl w:val="0"/>
        <w:autoSpaceDE w:val="0"/>
        <w:autoSpaceDN w:val="0"/>
        <w:adjustRightInd w:val="0"/>
        <w:ind w:right="50"/>
        <w:contextualSpacing/>
        <w:rPr>
          <w:i/>
          <w:iCs/>
          <w:u w:val="single"/>
        </w:rPr>
      </w:pPr>
      <w:r w:rsidRPr="00CB7689">
        <w:rPr>
          <w:i/>
          <w:iCs/>
          <w:u w:val="single"/>
        </w:rPr>
        <w:t>Симптомы</w:t>
      </w:r>
    </w:p>
    <w:p w14:paraId="1A872DFE" w14:textId="77777777" w:rsidR="00116AF3" w:rsidRPr="00DA2BC8" w:rsidRDefault="00116AF3" w:rsidP="00116AF3">
      <w:pPr>
        <w:widowControl w:val="0"/>
        <w:autoSpaceDE w:val="0"/>
        <w:autoSpaceDN w:val="0"/>
        <w:adjustRightInd w:val="0"/>
        <w:ind w:right="50"/>
        <w:contextualSpacing/>
      </w:pPr>
      <w:r w:rsidRPr="00DA2BC8">
        <w:t xml:space="preserve">Основное проявление – менингоэнцефалит. У </w:t>
      </w:r>
      <w:r>
        <w:t>гематологических пациентов</w:t>
      </w:r>
      <w:r w:rsidRPr="00DA2BC8">
        <w:t xml:space="preserve">, в отличие от ВИЧ-инфицированных пациентов, симптомы криптококкового менингита и менигоэнцефалита не столь выражены, чаще всего беспокоят повышение температуры, головная боль, нарушение сознания, а при запоздалом лечении развивается сопор. У 30-50% </w:t>
      </w:r>
      <w:r>
        <w:t>пациентов</w:t>
      </w:r>
      <w:r w:rsidRPr="00DA2BC8">
        <w:t xml:space="preserve"> с криптококкозом удается выделить </w:t>
      </w:r>
      <w:r w:rsidRPr="00DA2BC8">
        <w:rPr>
          <w:i/>
          <w:iCs/>
        </w:rPr>
        <w:t>Cryptococcus</w:t>
      </w:r>
      <w:r w:rsidRPr="00DA2BC8">
        <w:t xml:space="preserve"> spp</w:t>
      </w:r>
      <w:r>
        <w:t>. из гемокультуры. У 25-50% пациентов с</w:t>
      </w:r>
      <w:r w:rsidRPr="00DA2BC8">
        <w:t xml:space="preserve"> криптококкозом возникает диссеминация в других органов, такие как простата, кожа, печень, почки, селезенка и кости. Инфицирование простаты может являться источником реактивации криптококкоза после прекращения лечения. Клинические проявления криптококкоза неспецифичны и зависят от локализации процесса. </w:t>
      </w:r>
    </w:p>
    <w:p w14:paraId="4EFC199A" w14:textId="77777777" w:rsidR="00116AF3" w:rsidRPr="00CB7689" w:rsidRDefault="00116AF3" w:rsidP="00116AF3">
      <w:pPr>
        <w:widowControl w:val="0"/>
        <w:autoSpaceDE w:val="0"/>
        <w:autoSpaceDN w:val="0"/>
        <w:adjustRightInd w:val="0"/>
        <w:ind w:right="50"/>
        <w:contextualSpacing/>
        <w:rPr>
          <w:i/>
          <w:iCs/>
          <w:u w:val="single"/>
        </w:rPr>
      </w:pPr>
      <w:r w:rsidRPr="00CB7689">
        <w:rPr>
          <w:i/>
          <w:iCs/>
          <w:u w:val="single"/>
        </w:rPr>
        <w:t>Диагностика</w:t>
      </w:r>
    </w:p>
    <w:p w14:paraId="386F08DB" w14:textId="77777777" w:rsidR="00116AF3" w:rsidRPr="00C17F87" w:rsidRDefault="00116AF3" w:rsidP="00116AF3">
      <w:pPr>
        <w:widowControl w:val="0"/>
        <w:autoSpaceDE w:val="0"/>
        <w:autoSpaceDN w:val="0"/>
        <w:adjustRightInd w:val="0"/>
        <w:ind w:right="50"/>
        <w:contextualSpacing/>
      </w:pPr>
      <w:r>
        <w:t xml:space="preserve">Для диагностики проводят необходимые иснтрументальные и лабораторные исследования, манипуляции – КТ/МРТ грудной, брюшной полостей, малого таза, костей, головного и спинного мозга (по показаниям с контрастированием), люмбальные пункции с исследованием физико-химических свойств ликвора, а также цитологическим, молекулярно-биологическим исследованием, посевы (микробиологические / бактериологические исследования) крови и ликвора, другие исследования и консультации специалистов (невролога, окулиста, нейрохирурга, уролога, хирурга  и др. по показаниям). </w:t>
      </w:r>
    </w:p>
    <w:p w14:paraId="16B38038" w14:textId="77777777" w:rsidR="00116AF3" w:rsidRDefault="00116AF3" w:rsidP="00116AF3">
      <w:pPr>
        <w:widowControl w:val="0"/>
        <w:autoSpaceDE w:val="0"/>
        <w:autoSpaceDN w:val="0"/>
        <w:adjustRightInd w:val="0"/>
        <w:ind w:right="50"/>
        <w:contextualSpacing/>
      </w:pPr>
      <w:r w:rsidRPr="00DA2BC8">
        <w:t>Диагноз устанавливают на основании</w:t>
      </w:r>
      <w:r>
        <w:t>:</w:t>
      </w:r>
    </w:p>
    <w:p w14:paraId="7F4AA2D5" w14:textId="77777777" w:rsidR="00116AF3" w:rsidRDefault="00116AF3" w:rsidP="006D53E9">
      <w:pPr>
        <w:pStyle w:val="afe"/>
        <w:widowControl w:val="0"/>
        <w:numPr>
          <w:ilvl w:val="0"/>
          <w:numId w:val="56"/>
        </w:numPr>
        <w:autoSpaceDE w:val="0"/>
        <w:autoSpaceDN w:val="0"/>
        <w:adjustRightInd w:val="0"/>
        <w:ind w:right="50"/>
      </w:pPr>
      <w:r w:rsidRPr="00444F93">
        <w:t xml:space="preserve">выделения </w:t>
      </w:r>
      <w:r w:rsidRPr="00444F93">
        <w:rPr>
          <w:i/>
          <w:iCs/>
        </w:rPr>
        <w:t xml:space="preserve">Cryptococcus </w:t>
      </w:r>
      <w:r w:rsidRPr="00444F93">
        <w:t xml:space="preserve">spp. из гемокультуры или СМЖ, или обнаружения дрожжеподобных грибов в СМЖ при микроскопии; </w:t>
      </w:r>
    </w:p>
    <w:p w14:paraId="6D55B1F3" w14:textId="77777777" w:rsidR="00116AF3" w:rsidRDefault="00116AF3" w:rsidP="006D53E9">
      <w:pPr>
        <w:pStyle w:val="afe"/>
        <w:widowControl w:val="0"/>
        <w:numPr>
          <w:ilvl w:val="0"/>
          <w:numId w:val="56"/>
        </w:numPr>
        <w:autoSpaceDE w:val="0"/>
        <w:autoSpaceDN w:val="0"/>
        <w:adjustRightInd w:val="0"/>
        <w:ind w:right="50"/>
      </w:pPr>
      <w:r w:rsidRPr="00444F93">
        <w:t xml:space="preserve">определения положительного антигена </w:t>
      </w:r>
      <w:r w:rsidRPr="00444F93">
        <w:rPr>
          <w:i/>
          <w:iCs/>
        </w:rPr>
        <w:t xml:space="preserve">Cryptococcus </w:t>
      </w:r>
      <w:r w:rsidRPr="00444F93">
        <w:t xml:space="preserve">(глюкуроноксиломаннан) в СМЖ. </w:t>
      </w:r>
    </w:p>
    <w:p w14:paraId="0B9898C3" w14:textId="77777777" w:rsidR="00116AF3" w:rsidRPr="00444F93" w:rsidRDefault="00116AF3" w:rsidP="00116AF3">
      <w:pPr>
        <w:widowControl w:val="0"/>
        <w:autoSpaceDE w:val="0"/>
        <w:autoSpaceDN w:val="0"/>
        <w:adjustRightInd w:val="0"/>
        <w:ind w:right="50" w:firstLine="708"/>
      </w:pPr>
      <w:r w:rsidRPr="00444F93">
        <w:t xml:space="preserve">Ложноположительные результаты антигена </w:t>
      </w:r>
      <w:r w:rsidRPr="00444F93">
        <w:rPr>
          <w:i/>
          <w:iCs/>
        </w:rPr>
        <w:t xml:space="preserve">Cryptococcus </w:t>
      </w:r>
      <w:r w:rsidRPr="00444F93">
        <w:t xml:space="preserve">могут быть при инфекциях, вызванными </w:t>
      </w:r>
      <w:r w:rsidRPr="00444F93">
        <w:rPr>
          <w:i/>
          <w:iCs/>
        </w:rPr>
        <w:t>Trichosporon</w:t>
      </w:r>
      <w:r w:rsidRPr="00444F93">
        <w:t xml:space="preserve"> или </w:t>
      </w:r>
      <w:r w:rsidRPr="00444F93">
        <w:rPr>
          <w:i/>
          <w:iCs/>
        </w:rPr>
        <w:t>Capnocytophaga canimorsus</w:t>
      </w:r>
      <w:r w:rsidRPr="00444F93">
        <w:t xml:space="preserve">, или </w:t>
      </w:r>
      <w:r w:rsidRPr="00444F93">
        <w:rPr>
          <w:i/>
          <w:iCs/>
        </w:rPr>
        <w:t>Stomatococcus mucilaginosis,</w:t>
      </w:r>
      <w:r w:rsidRPr="00444F93">
        <w:t xml:space="preserve"> или при обнаружении ревматоидного фактора. </w:t>
      </w:r>
    </w:p>
    <w:p w14:paraId="78293073" w14:textId="77777777" w:rsidR="00116AF3" w:rsidRPr="00CB7689" w:rsidRDefault="00116AF3" w:rsidP="00116AF3">
      <w:pPr>
        <w:widowControl w:val="0"/>
        <w:autoSpaceDE w:val="0"/>
        <w:autoSpaceDN w:val="0"/>
        <w:adjustRightInd w:val="0"/>
        <w:ind w:right="50"/>
        <w:contextualSpacing/>
        <w:rPr>
          <w:i/>
          <w:iCs/>
          <w:u w:val="single"/>
        </w:rPr>
      </w:pPr>
      <w:r w:rsidRPr="00CB7689">
        <w:rPr>
          <w:i/>
          <w:iCs/>
          <w:u w:val="single"/>
        </w:rPr>
        <w:t>Лечение</w:t>
      </w:r>
    </w:p>
    <w:p w14:paraId="5F34B425" w14:textId="77777777" w:rsidR="00116AF3" w:rsidRPr="00DA2BC8" w:rsidRDefault="00116AF3" w:rsidP="00116AF3">
      <w:pPr>
        <w:widowControl w:val="0"/>
        <w:autoSpaceDE w:val="0"/>
        <w:autoSpaceDN w:val="0"/>
        <w:adjustRightInd w:val="0"/>
        <w:ind w:right="50"/>
        <w:contextualSpacing/>
      </w:pPr>
      <w:r w:rsidRPr="00DA2BC8">
        <w:t xml:space="preserve">Лечение криптококкоза длительное и включает этапы индукции, консолидации и поддерживания. </w:t>
      </w:r>
      <w:r w:rsidRPr="00DA2BC8">
        <w:rPr>
          <w:bCs/>
        </w:rPr>
        <w:t>Этап индукции составляет</w:t>
      </w:r>
      <w:r w:rsidRPr="00DA2BC8">
        <w:t xml:space="preserve"> от 2 до 6 недель и включает назначение амфотерицина В (0,7-1,0 мг/кг внутривенно в сутки) или сочетание амфотерицина В (0,7-1,0 мг/кг) с флуцитозином (100 мг/кг в сутки, эту дозу разделяют на 4 приема). Флуцитозин вводят не более 2 недель. При криптококкозе ЦНС длительность этого этапа лечения составляет 6 недель. Липидную форму амфотерицина В (липосомальный амфотерицин В 3-4 мг/кг или липидный комплекс амфотерицина В 5 мг/кг) назначают при непереносимости или токсичности, возникшей при использовании обычного амфотерцина В. </w:t>
      </w:r>
      <w:r w:rsidRPr="00DA2BC8">
        <w:rPr>
          <w:bCs/>
        </w:rPr>
        <w:t>Этап консолидации</w:t>
      </w:r>
      <w:r w:rsidRPr="00DA2BC8">
        <w:t xml:space="preserve"> длится 8 недель</w:t>
      </w:r>
      <w:r>
        <w:t xml:space="preserve">, </w:t>
      </w:r>
      <w:r w:rsidRPr="00DA2BC8">
        <w:t xml:space="preserve">для лечнения используют флуконазол (400 мг 1 раз в сутки внутривенно или перорально), далее на </w:t>
      </w:r>
      <w:r w:rsidRPr="00DA2BC8">
        <w:rPr>
          <w:bCs/>
        </w:rPr>
        <w:t>этапе поддерживания доза флуконазола составляет</w:t>
      </w:r>
      <w:r w:rsidRPr="00DA2BC8">
        <w:t xml:space="preserve"> 200 мг 1 раз в сутки внутривенно или перорально. Альтернативный препарат для лечения криптококкоза – вориконазол (дозирование как при инвазивном аспергиллезе).</w:t>
      </w:r>
    </w:p>
    <w:p w14:paraId="03EFDFC3" w14:textId="77777777" w:rsidR="00116AF3" w:rsidRDefault="00116AF3" w:rsidP="00116AF3">
      <w:pPr>
        <w:pStyle w:val="afe"/>
        <w:widowControl w:val="0"/>
        <w:autoSpaceDE w:val="0"/>
        <w:autoSpaceDN w:val="0"/>
        <w:adjustRightInd w:val="0"/>
        <w:ind w:left="1069" w:right="50" w:firstLine="0"/>
        <w:rPr>
          <w:b/>
          <w:bCs/>
        </w:rPr>
      </w:pPr>
    </w:p>
    <w:p w14:paraId="2467FA08" w14:textId="1FE555C5" w:rsidR="00116AF3" w:rsidRPr="00084B8B" w:rsidRDefault="00116AF3" w:rsidP="00116AF3">
      <w:pPr>
        <w:widowControl w:val="0"/>
        <w:autoSpaceDE w:val="0"/>
        <w:autoSpaceDN w:val="0"/>
        <w:adjustRightInd w:val="0"/>
        <w:ind w:right="49"/>
        <w:contextualSpacing/>
        <w:rPr>
          <w:bCs/>
          <w:u w:val="single"/>
        </w:rPr>
      </w:pPr>
      <w:r w:rsidRPr="00CB7689">
        <w:rPr>
          <w:bCs/>
          <w:u w:val="single"/>
        </w:rPr>
        <w:t>Микозы, вызванные редкими дрожжеподобными грибами</w:t>
      </w:r>
      <w:r w:rsidRPr="00084B8B">
        <w:rPr>
          <w:bCs/>
          <w:u w:val="single"/>
        </w:rPr>
        <w:t xml:space="preserve"> </w:t>
      </w:r>
      <w:r>
        <w:rPr>
          <w:b/>
        </w:rPr>
        <w:fldChar w:fldCharType="begin" w:fldLock="1"/>
      </w:r>
      <w:r w:rsidR="009D41F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[47,48,54]","plainTextFormattedCitation":"[47,48,54]","previouslyFormattedCitation":"[47,48,54]"},"properties":{"noteIndex":0},"schema":"https://github.com/citation-style-language/schema/raw/master/csl-citation.json"}</w:instrText>
      </w:r>
      <w:r>
        <w:rPr>
          <w:b/>
        </w:rPr>
        <w:fldChar w:fldCharType="separate"/>
      </w:r>
      <w:r w:rsidR="004C3BA5" w:rsidRPr="004C3BA5">
        <w:rPr>
          <w:noProof/>
        </w:rPr>
        <w:t>[47,48,54]</w:t>
      </w:r>
      <w:r>
        <w:rPr>
          <w:b/>
        </w:rPr>
        <w:fldChar w:fldCharType="end"/>
      </w:r>
    </w:p>
    <w:p w14:paraId="43EFD59B" w14:textId="77777777" w:rsidR="00116AF3" w:rsidRPr="00DA2BC8" w:rsidRDefault="00116AF3" w:rsidP="00116AF3">
      <w:pPr>
        <w:widowControl w:val="0"/>
        <w:autoSpaceDE w:val="0"/>
        <w:autoSpaceDN w:val="0"/>
        <w:adjustRightInd w:val="0"/>
        <w:ind w:right="50"/>
        <w:contextualSpacing/>
      </w:pPr>
      <w:r w:rsidRPr="00DA2BC8">
        <w:t>Общая характеристика для грибов этой группы –</w:t>
      </w:r>
      <w:r>
        <w:t xml:space="preserve"> </w:t>
      </w:r>
      <w:r w:rsidRPr="00DA2BC8">
        <w:t xml:space="preserve">низкая вирулентность, широкое распространение в природе, частая колонизация кожи и слизистых оболочек человека, природная устойчивость к эхинокандинам, за исключением </w:t>
      </w:r>
      <w:r w:rsidRPr="00DA2BC8">
        <w:rPr>
          <w:i/>
          <w:iCs/>
        </w:rPr>
        <w:t>Saccharomyces</w:t>
      </w:r>
      <w:r w:rsidRPr="00DA2BC8">
        <w:t xml:space="preserve"> spp., вызывают поверхностные инфекции в общей популяции </w:t>
      </w:r>
      <w:r>
        <w:t>пациентов</w:t>
      </w:r>
      <w:r w:rsidRPr="00DA2BC8">
        <w:t xml:space="preserve">. Грибы этой категории редко вызывают инвазивные микозы у имммунокомпрометированных </w:t>
      </w:r>
      <w:r>
        <w:t>пациентов</w:t>
      </w:r>
      <w:r w:rsidRPr="00DA2BC8">
        <w:t xml:space="preserve">х. В общей структуре фунгемий редкие дрожжеподобные грибы занимают от 1% до 5%. Как правило, микробиологическим подтверждением является выделение грибов из гемокультуры. Заболевание возникает у тяжелой категории </w:t>
      </w:r>
      <w:r>
        <w:t>гематологических пациентов</w:t>
      </w:r>
      <w:r w:rsidRPr="00DA2BC8">
        <w:t xml:space="preserve">, включая </w:t>
      </w:r>
      <w:r>
        <w:t>пациентов с</w:t>
      </w:r>
      <w:r w:rsidRPr="00DA2BC8">
        <w:t xml:space="preserve"> острыми л</w:t>
      </w:r>
      <w:r>
        <w:t>ейкозами, реципиентов аллогенных</w:t>
      </w:r>
      <w:r w:rsidRPr="00DA2BC8">
        <w:t xml:space="preserve"> СГК</w:t>
      </w:r>
      <w:r>
        <w:t xml:space="preserve"> и др.</w:t>
      </w:r>
      <w:r w:rsidRPr="00DA2BC8">
        <w:t xml:space="preserve"> Крайне важно провести идентификацию до вида всех дрожжеподобных грибов, выделенных из стерильных локусов, с помощью современных тест-систем или масс-спектрометрии. К редким дрожжеподобным грибам относят </w:t>
      </w:r>
      <w:r w:rsidRPr="00DA2BC8">
        <w:rPr>
          <w:i/>
          <w:iCs/>
        </w:rPr>
        <w:t xml:space="preserve">Geotrichum </w:t>
      </w:r>
      <w:r w:rsidRPr="00DA2BC8">
        <w:t xml:space="preserve">spp., </w:t>
      </w:r>
      <w:r w:rsidRPr="00DA2BC8">
        <w:rPr>
          <w:i/>
          <w:iCs/>
        </w:rPr>
        <w:t>Rhodotorula</w:t>
      </w:r>
      <w:r w:rsidRPr="00DA2BC8">
        <w:t xml:space="preserve"> spp., </w:t>
      </w:r>
      <w:r w:rsidRPr="00DA2BC8">
        <w:rPr>
          <w:i/>
          <w:iCs/>
        </w:rPr>
        <w:t>Saccharomyces</w:t>
      </w:r>
      <w:r w:rsidRPr="00DA2BC8">
        <w:t xml:space="preserve"> spp., </w:t>
      </w:r>
      <w:r w:rsidRPr="00DA2BC8">
        <w:rPr>
          <w:i/>
          <w:iCs/>
        </w:rPr>
        <w:t>Trichosporon</w:t>
      </w:r>
      <w:r w:rsidRPr="00DA2BC8">
        <w:t xml:space="preserve"> spp., </w:t>
      </w:r>
      <w:r w:rsidRPr="00DA2BC8">
        <w:rPr>
          <w:i/>
          <w:iCs/>
        </w:rPr>
        <w:t>Malassezia</w:t>
      </w:r>
      <w:r w:rsidRPr="00DA2BC8">
        <w:t xml:space="preserve"> spp., </w:t>
      </w:r>
      <w:r w:rsidRPr="00DA2BC8">
        <w:rPr>
          <w:i/>
          <w:iCs/>
        </w:rPr>
        <w:t>Pichia anomala, Saprochaete capitata</w:t>
      </w:r>
    </w:p>
    <w:p w14:paraId="62E266D6" w14:textId="77777777" w:rsidR="00116AF3" w:rsidRPr="0093109D" w:rsidRDefault="00116AF3" w:rsidP="00116AF3">
      <w:pPr>
        <w:widowControl w:val="0"/>
        <w:autoSpaceDE w:val="0"/>
        <w:autoSpaceDN w:val="0"/>
        <w:adjustRightInd w:val="0"/>
        <w:ind w:right="50"/>
        <w:contextualSpacing/>
        <w:rPr>
          <w:i/>
          <w:iCs/>
        </w:rPr>
      </w:pPr>
      <w:r w:rsidRPr="00C553B6">
        <w:rPr>
          <w:i/>
          <w:iCs/>
          <w:u w:val="single"/>
        </w:rPr>
        <w:t>Микозы</w:t>
      </w:r>
      <w:r w:rsidRPr="0093109D">
        <w:rPr>
          <w:i/>
          <w:iCs/>
          <w:u w:val="single"/>
        </w:rPr>
        <w:t xml:space="preserve">, </w:t>
      </w:r>
      <w:r w:rsidRPr="00C553B6">
        <w:rPr>
          <w:i/>
          <w:iCs/>
          <w:u w:val="single"/>
        </w:rPr>
        <w:t>вызванные</w:t>
      </w:r>
      <w:r w:rsidRPr="0093109D">
        <w:rPr>
          <w:i/>
          <w:iCs/>
          <w:u w:val="single"/>
        </w:rPr>
        <w:t xml:space="preserve"> </w:t>
      </w:r>
      <w:r w:rsidRPr="00C553B6">
        <w:rPr>
          <w:i/>
          <w:iCs/>
          <w:u w:val="single"/>
          <w:lang w:val="en-US"/>
        </w:rPr>
        <w:t>Saprochaete</w:t>
      </w:r>
      <w:r w:rsidRPr="0093109D">
        <w:rPr>
          <w:i/>
          <w:iCs/>
          <w:u w:val="single"/>
        </w:rPr>
        <w:t xml:space="preserve"> </w:t>
      </w:r>
      <w:r w:rsidRPr="00C553B6">
        <w:rPr>
          <w:i/>
          <w:iCs/>
          <w:u w:val="single"/>
          <w:lang w:val="en-US"/>
        </w:rPr>
        <w:t>capitat</w:t>
      </w:r>
      <w:r w:rsidRPr="00C553B6">
        <w:rPr>
          <w:i/>
          <w:iCs/>
          <w:lang w:val="en-US"/>
        </w:rPr>
        <w:t>a</w:t>
      </w:r>
      <w:r w:rsidRPr="0093109D">
        <w:rPr>
          <w:i/>
          <w:iCs/>
          <w:u w:val="single"/>
        </w:rPr>
        <w:t xml:space="preserve"> (</w:t>
      </w:r>
      <w:r w:rsidRPr="00C553B6">
        <w:rPr>
          <w:i/>
          <w:iCs/>
          <w:u w:val="single"/>
        </w:rPr>
        <w:t>синонимы</w:t>
      </w:r>
      <w:r w:rsidRPr="0093109D">
        <w:rPr>
          <w:i/>
          <w:iCs/>
          <w:u w:val="single"/>
        </w:rPr>
        <w:t xml:space="preserve"> </w:t>
      </w:r>
      <w:r w:rsidRPr="00C553B6">
        <w:rPr>
          <w:i/>
          <w:iCs/>
          <w:u w:val="single"/>
          <w:lang w:val="en-US"/>
        </w:rPr>
        <w:t>Trichosporon</w:t>
      </w:r>
      <w:r w:rsidRPr="0093109D">
        <w:rPr>
          <w:i/>
          <w:iCs/>
          <w:u w:val="single"/>
        </w:rPr>
        <w:t xml:space="preserve"> </w:t>
      </w:r>
      <w:r w:rsidRPr="00C553B6">
        <w:rPr>
          <w:i/>
          <w:iCs/>
          <w:u w:val="single"/>
          <w:lang w:val="en-US"/>
        </w:rPr>
        <w:t>capitatum</w:t>
      </w:r>
      <w:r w:rsidRPr="0093109D">
        <w:rPr>
          <w:i/>
          <w:iCs/>
          <w:u w:val="single"/>
        </w:rPr>
        <w:t xml:space="preserve">, </w:t>
      </w:r>
      <w:r w:rsidRPr="00C553B6">
        <w:rPr>
          <w:i/>
          <w:iCs/>
          <w:u w:val="single"/>
          <w:lang w:val="en-US"/>
        </w:rPr>
        <w:t>Geotrichum</w:t>
      </w:r>
      <w:r w:rsidRPr="0093109D">
        <w:rPr>
          <w:i/>
          <w:iCs/>
          <w:u w:val="single"/>
        </w:rPr>
        <w:t xml:space="preserve"> </w:t>
      </w:r>
      <w:r w:rsidRPr="00C553B6">
        <w:rPr>
          <w:i/>
          <w:iCs/>
          <w:u w:val="single"/>
          <w:lang w:val="en-US"/>
        </w:rPr>
        <w:t>capitatum</w:t>
      </w:r>
      <w:r w:rsidRPr="0093109D">
        <w:rPr>
          <w:i/>
          <w:iCs/>
          <w:u w:val="single"/>
        </w:rPr>
        <w:t xml:space="preserve">, </w:t>
      </w:r>
      <w:r w:rsidRPr="00C553B6">
        <w:rPr>
          <w:i/>
          <w:iCs/>
          <w:u w:val="single"/>
          <w:lang w:val="en-US"/>
        </w:rPr>
        <w:t>Ascotrichosporon</w:t>
      </w:r>
      <w:r w:rsidRPr="0093109D">
        <w:rPr>
          <w:i/>
          <w:iCs/>
          <w:u w:val="single"/>
        </w:rPr>
        <w:t xml:space="preserve"> </w:t>
      </w:r>
      <w:r w:rsidRPr="00C553B6">
        <w:rPr>
          <w:i/>
          <w:iCs/>
          <w:u w:val="single"/>
          <w:lang w:val="en-US"/>
        </w:rPr>
        <w:t>capitatum</w:t>
      </w:r>
      <w:r w:rsidRPr="0093109D">
        <w:rPr>
          <w:i/>
          <w:iCs/>
          <w:u w:val="single"/>
        </w:rPr>
        <w:t xml:space="preserve">, </w:t>
      </w:r>
      <w:r w:rsidRPr="00C553B6">
        <w:rPr>
          <w:i/>
          <w:iCs/>
          <w:u w:val="single"/>
          <w:lang w:val="en-US"/>
        </w:rPr>
        <w:t>Blastoschizomyces</w:t>
      </w:r>
      <w:r w:rsidRPr="0093109D">
        <w:rPr>
          <w:i/>
          <w:iCs/>
          <w:u w:val="single"/>
        </w:rPr>
        <w:t xml:space="preserve"> </w:t>
      </w:r>
      <w:r w:rsidRPr="00C553B6">
        <w:rPr>
          <w:i/>
          <w:iCs/>
          <w:u w:val="single"/>
          <w:lang w:val="en-US"/>
        </w:rPr>
        <w:t>capitatus</w:t>
      </w:r>
      <w:r w:rsidRPr="0093109D">
        <w:rPr>
          <w:i/>
          <w:iCs/>
          <w:u w:val="single"/>
        </w:rPr>
        <w:t>)</w:t>
      </w:r>
    </w:p>
    <w:p w14:paraId="228FFD2E" w14:textId="77777777" w:rsidR="00116AF3" w:rsidRPr="00DA2BC8" w:rsidRDefault="00116AF3" w:rsidP="00116AF3">
      <w:pPr>
        <w:widowControl w:val="0"/>
        <w:autoSpaceDE w:val="0"/>
        <w:autoSpaceDN w:val="0"/>
        <w:adjustRightInd w:val="0"/>
        <w:ind w:right="50"/>
        <w:contextualSpacing/>
        <w:rPr>
          <w:b/>
          <w:bCs/>
          <w:i/>
          <w:iCs/>
        </w:rPr>
      </w:pPr>
      <w:r w:rsidRPr="00DA2BC8">
        <w:t xml:space="preserve">В структуре фунгемий не превышают 0,5%. Фунгемии, вызванные </w:t>
      </w:r>
      <w:r w:rsidRPr="00DA2BC8">
        <w:rPr>
          <w:i/>
          <w:iCs/>
        </w:rPr>
        <w:t>S. capitat</w:t>
      </w:r>
      <w:r w:rsidRPr="00DA2BC8">
        <w:rPr>
          <w:i/>
        </w:rPr>
        <w:t>a</w:t>
      </w:r>
      <w:r w:rsidRPr="00DA2BC8">
        <w:t xml:space="preserve"> в сравнении с </w:t>
      </w:r>
      <w:r w:rsidRPr="00DA2BC8">
        <w:rPr>
          <w:i/>
          <w:iCs/>
        </w:rPr>
        <w:t>Candida</w:t>
      </w:r>
      <w:r w:rsidRPr="00DA2BC8">
        <w:t xml:space="preserve"> spp, характеризуются высокой частотой диссеминации в паренхиматозные органы (60-80%) и высокой летальностью (50-60%). К факторам риска относят нейтропению, наличие ЦВК.</w:t>
      </w:r>
      <w:r w:rsidRPr="00DA2BC8">
        <w:rPr>
          <w:b/>
          <w:bCs/>
          <w:i/>
          <w:iCs/>
        </w:rPr>
        <w:t xml:space="preserve"> </w:t>
      </w:r>
      <w:r w:rsidRPr="00DA2BC8">
        <w:rPr>
          <w:bCs/>
        </w:rPr>
        <w:t>Диагноз ставят на основании выделения</w:t>
      </w:r>
      <w:r w:rsidRPr="00DA2BC8">
        <w:rPr>
          <w:b/>
          <w:bCs/>
        </w:rPr>
        <w:t xml:space="preserve"> </w:t>
      </w:r>
      <w:r w:rsidRPr="00DA2BC8">
        <w:rPr>
          <w:i/>
          <w:iCs/>
        </w:rPr>
        <w:t>S. capitat</w:t>
      </w:r>
      <w:r w:rsidRPr="00DA2BC8">
        <w:rPr>
          <w:i/>
        </w:rPr>
        <w:t>a</w:t>
      </w:r>
      <w:r w:rsidRPr="00DA2BC8">
        <w:t xml:space="preserve"> из гемокультуры, хотя бы однократном, или из биоптатов органов и тканей. Идентификацию до вида проводят с помощью современных тест-систем или масс-спектрометрии, а не на основании микроскопии или культуральных свойств. </w:t>
      </w:r>
      <w:r w:rsidRPr="00DA2BC8">
        <w:rPr>
          <w:bCs/>
          <w:iCs/>
        </w:rPr>
        <w:t xml:space="preserve">Во всех случаях </w:t>
      </w:r>
      <w:r w:rsidRPr="00DA2BC8">
        <w:t xml:space="preserve">выделении </w:t>
      </w:r>
      <w:r w:rsidRPr="00DA2BC8">
        <w:rPr>
          <w:i/>
          <w:iCs/>
        </w:rPr>
        <w:t>S. capitat</w:t>
      </w:r>
      <w:r w:rsidRPr="00DA2BC8">
        <w:rPr>
          <w:i/>
        </w:rPr>
        <w:t>a</w:t>
      </w:r>
      <w:r w:rsidRPr="00DA2BC8">
        <w:t xml:space="preserve"> из гемокультуры выполняют КТ (с контрастированием) или МРТ органов брюшной полости ввиду высокой вероятности диссеминации. Симптомы инфекции, вызванной </w:t>
      </w:r>
      <w:r w:rsidRPr="00DA2BC8">
        <w:rPr>
          <w:i/>
          <w:iCs/>
        </w:rPr>
        <w:t>S. capitat</w:t>
      </w:r>
      <w:r w:rsidRPr="00DA2BC8">
        <w:rPr>
          <w:i/>
        </w:rPr>
        <w:t>a</w:t>
      </w:r>
      <w:r w:rsidRPr="00DA2BC8">
        <w:t xml:space="preserve">, аналогичны симптомам при кандидемии – высокая температура, озноб, гипотензия. </w:t>
      </w:r>
      <w:r w:rsidRPr="00DA2BC8">
        <w:rPr>
          <w:bCs/>
        </w:rPr>
        <w:t>Лечение включает</w:t>
      </w:r>
      <w:r w:rsidRPr="00DA2BC8">
        <w:rPr>
          <w:b/>
          <w:bCs/>
        </w:rPr>
        <w:t xml:space="preserve"> </w:t>
      </w:r>
      <w:r w:rsidRPr="00DA2BC8">
        <w:t>удаление ЦВК во всех случаях, назначение вориконазола (1-й день 12 мг/кг/сутки, внутривенно, доза разделяется на два приема, далее – 8 мг/кг/сутки, при стабилизации состояния – перевод на пероральную форму вориконазола по 200 мг х 2 раза в сутки) или амфотерицина В (1 мг/кг/сутки (+/- флуцитозин)). При отсутствиии эффекта от монотерапии можно использовать сочетание вориконазола с амфотерицином В. Амфотерицина В заменяют на липидные формы амфотерицина В (доза 3-5 мг/кг/сутки) в случаях повышения креатинина, непереносимости амофотерицина В, неэффективности.</w:t>
      </w:r>
      <w:r w:rsidRPr="00DA2BC8">
        <w:rPr>
          <w:b/>
          <w:bCs/>
          <w:i/>
          <w:iCs/>
        </w:rPr>
        <w:t xml:space="preserve"> </w:t>
      </w:r>
      <w:r w:rsidRPr="00DA2BC8">
        <w:t xml:space="preserve">Против </w:t>
      </w:r>
      <w:r w:rsidRPr="00DA2BC8">
        <w:rPr>
          <w:i/>
          <w:iCs/>
        </w:rPr>
        <w:t>S. capitata</w:t>
      </w:r>
      <w:r w:rsidRPr="00DA2BC8">
        <w:t xml:space="preserve"> проявляют активность </w:t>
      </w:r>
      <w:r w:rsidRPr="00DA2BC8">
        <w:rPr>
          <w:i/>
          <w:iCs/>
        </w:rPr>
        <w:t>in vitro</w:t>
      </w:r>
      <w:r w:rsidRPr="00DA2BC8">
        <w:t xml:space="preserve"> также итраконазол и позаконазол, не активен -- флуконазол.</w:t>
      </w:r>
      <w:r w:rsidRPr="00DA2BC8">
        <w:rPr>
          <w:b/>
          <w:bCs/>
          <w:i/>
          <w:iCs/>
        </w:rPr>
        <w:t xml:space="preserve"> </w:t>
      </w:r>
      <w:r w:rsidRPr="00DA2BC8">
        <w:t xml:space="preserve">Не рекомендовано применение эхинокандины по причине природной резистентности </w:t>
      </w:r>
      <w:r w:rsidRPr="00DA2BC8">
        <w:rPr>
          <w:i/>
          <w:iCs/>
        </w:rPr>
        <w:t>S. capitata.</w:t>
      </w:r>
    </w:p>
    <w:p w14:paraId="08F09499" w14:textId="77777777" w:rsidR="00116AF3" w:rsidRPr="00C553B6" w:rsidRDefault="00116AF3" w:rsidP="00116AF3">
      <w:pPr>
        <w:widowControl w:val="0"/>
        <w:autoSpaceDE w:val="0"/>
        <w:autoSpaceDN w:val="0"/>
        <w:adjustRightInd w:val="0"/>
        <w:ind w:right="50"/>
        <w:contextualSpacing/>
        <w:rPr>
          <w:i/>
          <w:iCs/>
          <w:u w:val="single"/>
        </w:rPr>
      </w:pPr>
      <w:r w:rsidRPr="00C553B6">
        <w:rPr>
          <w:i/>
          <w:iCs/>
          <w:u w:val="single"/>
        </w:rPr>
        <w:t>Микозы, вызванные Malassezia spp.</w:t>
      </w:r>
    </w:p>
    <w:p w14:paraId="10815E9E" w14:textId="77777777" w:rsidR="00116AF3" w:rsidRPr="00DA2BC8" w:rsidRDefault="00116AF3" w:rsidP="00116AF3">
      <w:pPr>
        <w:widowControl w:val="0"/>
        <w:autoSpaceDE w:val="0"/>
        <w:autoSpaceDN w:val="0"/>
        <w:adjustRightInd w:val="0"/>
        <w:ind w:right="50"/>
        <w:contextualSpacing/>
      </w:pPr>
      <w:r w:rsidRPr="00DA2BC8">
        <w:t xml:space="preserve">Ведущие возбудителями инвазивных микозов у человека - </w:t>
      </w:r>
      <w:r w:rsidRPr="00DA2BC8">
        <w:rPr>
          <w:i/>
          <w:iCs/>
        </w:rPr>
        <w:t xml:space="preserve">M. furfur </w:t>
      </w:r>
      <w:r w:rsidRPr="00DA2BC8">
        <w:t xml:space="preserve">и </w:t>
      </w:r>
      <w:r w:rsidRPr="00DA2BC8">
        <w:rPr>
          <w:i/>
          <w:iCs/>
        </w:rPr>
        <w:t>M.</w:t>
      </w:r>
      <w:r w:rsidRPr="00DA2BC8">
        <w:t xml:space="preserve"> </w:t>
      </w:r>
      <w:r w:rsidRPr="00DA2BC8">
        <w:rPr>
          <w:i/>
          <w:iCs/>
        </w:rPr>
        <w:t>pachydermatis</w:t>
      </w:r>
      <w:r w:rsidRPr="00DA2BC8">
        <w:t xml:space="preserve">, являются липофильными грибами. Основным проявлением инфекции служит фунгемия, также могут возникать перитонит, эндокардит, пневмония, остеомиелит, менингит. Инфекции, вызванные </w:t>
      </w:r>
      <w:r w:rsidRPr="00DA2BC8">
        <w:rPr>
          <w:i/>
          <w:iCs/>
        </w:rPr>
        <w:t>Malassezia</w:t>
      </w:r>
      <w:r w:rsidRPr="00DA2BC8">
        <w:t xml:space="preserve"> spp. характеризуются нетяжелым течением и низкой летальностью. Ввиду липофильной природы большинства </w:t>
      </w:r>
      <w:r w:rsidRPr="00DA2BC8">
        <w:rPr>
          <w:i/>
          <w:iCs/>
        </w:rPr>
        <w:t xml:space="preserve">Malassezia </w:t>
      </w:r>
      <w:r w:rsidRPr="00DA2BC8">
        <w:t xml:space="preserve">spp., инфекция развивается у больных, получающих парентеральное питание, содержащее жирные кислоты. К другим факторам риска относят наличие ЦВК, перитонеального диализа, иммуносупрессии, тяжелой сопутствующей патологии. Возможны эпидемические вспышки в стационаре. </w:t>
      </w:r>
      <w:r w:rsidRPr="00DA2BC8">
        <w:rPr>
          <w:bCs/>
        </w:rPr>
        <w:t>Диагностика включает</w:t>
      </w:r>
      <w:r w:rsidRPr="00DA2BC8">
        <w:t xml:space="preserve"> выделение </w:t>
      </w:r>
      <w:r w:rsidRPr="00DA2BC8">
        <w:rPr>
          <w:i/>
          <w:iCs/>
        </w:rPr>
        <w:t>Malassezia</w:t>
      </w:r>
      <w:r w:rsidRPr="00DA2BC8">
        <w:t xml:space="preserve"> spp. из гемокультуры или других стерильных образцов (асцитическая жидкость, ликвор, биоптаты органов). Для детекции </w:t>
      </w:r>
      <w:r w:rsidRPr="00DA2BC8">
        <w:rPr>
          <w:i/>
          <w:iCs/>
        </w:rPr>
        <w:t>Malassezia</w:t>
      </w:r>
      <w:r w:rsidRPr="00DA2BC8">
        <w:t xml:space="preserve"> spp. необходимо в питательную среду добавлять жиры (например, стерильное оливковое масло) ввиду их липофильной природы. </w:t>
      </w:r>
      <w:r w:rsidRPr="00DA2BC8">
        <w:rPr>
          <w:bCs/>
        </w:rPr>
        <w:t>Лечение</w:t>
      </w:r>
      <w:r w:rsidRPr="00DA2BC8">
        <w:rPr>
          <w:b/>
          <w:bCs/>
        </w:rPr>
        <w:t xml:space="preserve"> </w:t>
      </w:r>
      <w:r w:rsidRPr="00DA2BC8">
        <w:rPr>
          <w:bCs/>
        </w:rPr>
        <w:t>включает у</w:t>
      </w:r>
      <w:r w:rsidRPr="00DA2BC8">
        <w:t xml:space="preserve">даление ЦВК, прекращение парентерального питания, </w:t>
      </w:r>
      <w:r w:rsidRPr="00DA2BC8">
        <w:rPr>
          <w:bCs/>
        </w:rPr>
        <w:t xml:space="preserve">назначение </w:t>
      </w:r>
      <w:r w:rsidRPr="00DA2BC8">
        <w:t xml:space="preserve">флуконазола  (400 мг), или амфотерицин В (1 мг/кг), или вориконазола (1-й день 12 мг/кг, далее 8 мг/кг). Не рекомендовано назначать эхинокандины ввиду природной резистентности </w:t>
      </w:r>
      <w:r w:rsidRPr="00DA2BC8">
        <w:rPr>
          <w:i/>
          <w:iCs/>
        </w:rPr>
        <w:t>Malassezia</w:t>
      </w:r>
      <w:r w:rsidRPr="00DA2BC8">
        <w:t xml:space="preserve"> spp.</w:t>
      </w:r>
    </w:p>
    <w:p w14:paraId="4E178D3E" w14:textId="77777777" w:rsidR="00116AF3" w:rsidRPr="00C553B6" w:rsidRDefault="00116AF3" w:rsidP="00116AF3">
      <w:pPr>
        <w:widowControl w:val="0"/>
        <w:autoSpaceDE w:val="0"/>
        <w:autoSpaceDN w:val="0"/>
        <w:adjustRightInd w:val="0"/>
        <w:ind w:right="50"/>
        <w:contextualSpacing/>
        <w:rPr>
          <w:i/>
          <w:iCs/>
          <w:u w:val="single"/>
        </w:rPr>
      </w:pPr>
      <w:r w:rsidRPr="00C553B6">
        <w:rPr>
          <w:i/>
          <w:iCs/>
          <w:u w:val="single"/>
        </w:rPr>
        <w:t>Микозы, вызванные Trichosporon spp.</w:t>
      </w:r>
    </w:p>
    <w:p w14:paraId="7892660D" w14:textId="77777777" w:rsidR="00116AF3" w:rsidRPr="00DA2BC8" w:rsidRDefault="00116AF3" w:rsidP="00116AF3">
      <w:pPr>
        <w:widowControl w:val="0"/>
        <w:autoSpaceDE w:val="0"/>
        <w:autoSpaceDN w:val="0"/>
        <w:adjustRightInd w:val="0"/>
        <w:ind w:right="50"/>
        <w:contextualSpacing/>
      </w:pPr>
      <w:r w:rsidRPr="00DA2BC8">
        <w:t xml:space="preserve">Эти грибы очень широко распространены в окружающей среде, часто колонизируют кожу, особенно перианальную область, иногда слизистые оболочки верхних дыхательных путей и желудочно-кишечного тракта. Основным проявлением инвазивных микозов, вызванных </w:t>
      </w:r>
      <w:r w:rsidRPr="00DA2BC8">
        <w:rPr>
          <w:i/>
          <w:iCs/>
        </w:rPr>
        <w:t>Trichosporon</w:t>
      </w:r>
      <w:r w:rsidRPr="00DA2BC8">
        <w:t xml:space="preserve"> spp. у </w:t>
      </w:r>
      <w:r>
        <w:t>гематологических пациентов</w:t>
      </w:r>
      <w:r w:rsidRPr="00DA2BC8">
        <w:t xml:space="preserve"> является фунгемия (75%) с последующей диссеминацией в различные органы и ткани организма. Наиболее часто инфекция сопровождается появлением септико-пиемических очагов на коже (50%). Возможны и другие проявления, такие как эндокардит, перитонит, менингит, пиелонефрит и т.д. Для инвазивных микозов, вызванных </w:t>
      </w:r>
      <w:r w:rsidRPr="00DA2BC8">
        <w:rPr>
          <w:i/>
          <w:iCs/>
        </w:rPr>
        <w:t>Trichosporon</w:t>
      </w:r>
      <w:r w:rsidRPr="00DA2BC8">
        <w:t xml:space="preserve"> spp. у больных гемобластозами, характерна высокая летальность (55-80%). Основные возбудители - </w:t>
      </w:r>
      <w:r w:rsidRPr="00DA2BC8">
        <w:rPr>
          <w:i/>
          <w:iCs/>
        </w:rPr>
        <w:t>Trichosporon asahii</w:t>
      </w:r>
      <w:r w:rsidRPr="00DA2BC8">
        <w:t xml:space="preserve"> и </w:t>
      </w:r>
      <w:r w:rsidRPr="00DA2BC8">
        <w:rPr>
          <w:i/>
          <w:iCs/>
        </w:rPr>
        <w:t>Trichosporon dermatis</w:t>
      </w:r>
      <w:r w:rsidRPr="00DA2BC8">
        <w:t xml:space="preserve">. Основными факторами риска развития инфекции являются наличие ЦВК, пребывание в ОРИТ, перитонеальный диализ, лечение глюкокортикостероидами, химиотерапия, внутривенные инъекции наркотических веществ. </w:t>
      </w:r>
      <w:r w:rsidRPr="00DA2BC8">
        <w:rPr>
          <w:bCs/>
        </w:rPr>
        <w:t>Диагностика включает</w:t>
      </w:r>
      <w:r w:rsidRPr="00DA2BC8">
        <w:rPr>
          <w:b/>
          <w:bCs/>
        </w:rPr>
        <w:t xml:space="preserve"> </w:t>
      </w:r>
      <w:r w:rsidRPr="00DA2BC8">
        <w:t xml:space="preserve">выделение </w:t>
      </w:r>
      <w:r w:rsidRPr="00DA2BC8">
        <w:rPr>
          <w:i/>
          <w:iCs/>
        </w:rPr>
        <w:t>Trichosporon</w:t>
      </w:r>
      <w:r w:rsidRPr="00DA2BC8">
        <w:t xml:space="preserve"> spp. из гемокультуры </w:t>
      </w:r>
      <w:r>
        <w:t xml:space="preserve">(кровь) </w:t>
      </w:r>
      <w:r w:rsidRPr="00DA2BC8">
        <w:t>или других стерильных образцов (асцитическая жидкость, ликвор, биоптаты органов</w:t>
      </w:r>
      <w:r>
        <w:t>, и др.</w:t>
      </w:r>
      <w:r w:rsidRPr="00DA2BC8">
        <w:t xml:space="preserve">). Выделение </w:t>
      </w:r>
      <w:r w:rsidRPr="00DA2BC8">
        <w:rPr>
          <w:i/>
          <w:iCs/>
        </w:rPr>
        <w:t>Trichosporon</w:t>
      </w:r>
      <w:r w:rsidRPr="00DA2BC8">
        <w:t xml:space="preserve"> spp. из мочи при наличии гематурии может свидетельствовать о наличии пиелонефрита. Дрожжеподобные грибы </w:t>
      </w:r>
      <w:r w:rsidRPr="00DA2BC8">
        <w:rPr>
          <w:i/>
          <w:iCs/>
        </w:rPr>
        <w:t>Trichosporon</w:t>
      </w:r>
      <w:r w:rsidRPr="00DA2BC8">
        <w:t xml:space="preserve"> spp. продуцируют антигены </w:t>
      </w:r>
      <w:r w:rsidRPr="00DA2BC8">
        <w:rPr>
          <w:i/>
          <w:iCs/>
        </w:rPr>
        <w:t>Cryptococcus</w:t>
      </w:r>
      <w:r w:rsidRPr="00DA2BC8">
        <w:t xml:space="preserve"> spp. (глюкуроноксоломаннан) и </w:t>
      </w:r>
      <w:r w:rsidRPr="00DA2BC8">
        <w:rPr>
          <w:i/>
          <w:iCs/>
        </w:rPr>
        <w:t xml:space="preserve">Aspergillus </w:t>
      </w:r>
      <w:r w:rsidRPr="00DA2BC8">
        <w:t xml:space="preserve">(галактоманнан), поэтому может быть перекрестная реакция для этих антигенов при инфекции, вызванной </w:t>
      </w:r>
      <w:r w:rsidRPr="00DA2BC8">
        <w:rPr>
          <w:i/>
          <w:iCs/>
        </w:rPr>
        <w:t xml:space="preserve">Trichosporon </w:t>
      </w:r>
      <w:r w:rsidRPr="00DA2BC8">
        <w:t xml:space="preserve">spp. На основании обнаружения одновременно положительных антигенов глюкуроноксоломаннана и галактоманнана можно заподозрить инфекцию, вызванную </w:t>
      </w:r>
      <w:r w:rsidRPr="00DA2BC8">
        <w:rPr>
          <w:i/>
          <w:iCs/>
        </w:rPr>
        <w:t>Trichosporon</w:t>
      </w:r>
      <w:r w:rsidRPr="00DA2BC8">
        <w:t xml:space="preserve"> spp., и провести дополнительные исследования гемокультуры. </w:t>
      </w:r>
    </w:p>
    <w:p w14:paraId="2361FB75" w14:textId="77777777" w:rsidR="00116AF3" w:rsidRPr="00DA2BC8" w:rsidRDefault="00116AF3" w:rsidP="00116AF3">
      <w:pPr>
        <w:widowControl w:val="0"/>
        <w:autoSpaceDE w:val="0"/>
        <w:autoSpaceDN w:val="0"/>
        <w:adjustRightInd w:val="0"/>
        <w:ind w:right="50"/>
        <w:contextualSpacing/>
        <w:rPr>
          <w:b/>
          <w:bCs/>
        </w:rPr>
      </w:pPr>
      <w:r w:rsidRPr="00DA2BC8">
        <w:rPr>
          <w:bCs/>
        </w:rPr>
        <w:t xml:space="preserve">Лечение включает </w:t>
      </w:r>
      <w:r w:rsidRPr="00DA2BC8">
        <w:t xml:space="preserve">удаление ЦВК, </w:t>
      </w:r>
      <w:r w:rsidRPr="00DA2BC8">
        <w:rPr>
          <w:bCs/>
        </w:rPr>
        <w:t xml:space="preserve">назначение </w:t>
      </w:r>
      <w:r w:rsidRPr="00DA2BC8">
        <w:t xml:space="preserve">вориконазола в стандартных дозах, альтернативный препарат – флуконазол. Активность флуконазола в отношении </w:t>
      </w:r>
      <w:r w:rsidRPr="00DA2BC8">
        <w:rPr>
          <w:i/>
          <w:iCs/>
        </w:rPr>
        <w:t>Trichosporon</w:t>
      </w:r>
      <w:r w:rsidRPr="00DA2BC8">
        <w:t xml:space="preserve"> spp. вариабельная. Назначение амфотерицина В не рекомендовано ввиду низкой активности в лечении этих инфекций (16-24%).</w:t>
      </w:r>
      <w:r w:rsidRPr="00DA2BC8">
        <w:rPr>
          <w:b/>
          <w:bCs/>
        </w:rPr>
        <w:t xml:space="preserve"> </w:t>
      </w:r>
      <w:r w:rsidRPr="00DA2BC8">
        <w:t xml:space="preserve">Изоляты </w:t>
      </w:r>
      <w:r w:rsidRPr="00DA2BC8">
        <w:rPr>
          <w:i/>
          <w:iCs/>
        </w:rPr>
        <w:t xml:space="preserve">Trichosporon </w:t>
      </w:r>
      <w:r w:rsidRPr="00DA2BC8">
        <w:t>spp. проявляют природную устойчивость к эхинокандинам.</w:t>
      </w:r>
    </w:p>
    <w:p w14:paraId="00F87F5D" w14:textId="77777777" w:rsidR="00116AF3" w:rsidRPr="00C553B6" w:rsidRDefault="00116AF3" w:rsidP="00116AF3">
      <w:pPr>
        <w:widowControl w:val="0"/>
        <w:autoSpaceDE w:val="0"/>
        <w:autoSpaceDN w:val="0"/>
        <w:adjustRightInd w:val="0"/>
        <w:ind w:right="50"/>
        <w:contextualSpacing/>
        <w:rPr>
          <w:i/>
          <w:iCs/>
          <w:u w:val="single"/>
        </w:rPr>
      </w:pPr>
      <w:r w:rsidRPr="00C553B6">
        <w:rPr>
          <w:i/>
          <w:iCs/>
          <w:u w:val="single"/>
        </w:rPr>
        <w:t>Микозы, вызванные Rhodotorula spp.</w:t>
      </w:r>
    </w:p>
    <w:p w14:paraId="583ACDAD" w14:textId="77777777" w:rsidR="00116AF3" w:rsidRPr="00DA2BC8" w:rsidRDefault="00116AF3" w:rsidP="00116AF3">
      <w:pPr>
        <w:widowControl w:val="0"/>
        <w:autoSpaceDE w:val="0"/>
        <w:autoSpaceDN w:val="0"/>
        <w:adjustRightInd w:val="0"/>
        <w:ind w:right="50"/>
        <w:contextualSpacing/>
      </w:pPr>
      <w:r>
        <w:t>Эта разновидность грибов ч</w:t>
      </w:r>
      <w:r w:rsidRPr="00DA2BC8">
        <w:t>асто образу</w:t>
      </w:r>
      <w:r>
        <w:t>е</w:t>
      </w:r>
      <w:r w:rsidRPr="00DA2BC8">
        <w:t>т биопленки и способн</w:t>
      </w:r>
      <w:r>
        <w:t>а</w:t>
      </w:r>
      <w:r w:rsidRPr="00DA2BC8">
        <w:t xml:space="preserve"> колонизировать продукты питания, предметы личной гигиены (зубные щетки, душевые принадлежности), различное медицинское оборудование. Основным проявлением инфекции является инфекция кровотока (79%) и в большинстве случаев она ассоциирована с инфицированием ЦВК. Также описаны случаи перитонита, эндокардита, менингита и др. Летальность при инвазивных микозах, вызванных </w:t>
      </w:r>
      <w:r w:rsidRPr="00DA2BC8">
        <w:rPr>
          <w:i/>
          <w:iCs/>
        </w:rPr>
        <w:t>Rhodotorula</w:t>
      </w:r>
      <w:r w:rsidRPr="00DA2BC8">
        <w:t xml:space="preserve"> spp., составляет 12%-14%. Основной возбудитель – </w:t>
      </w:r>
      <w:r w:rsidRPr="00DA2BC8">
        <w:rPr>
          <w:i/>
          <w:iCs/>
        </w:rPr>
        <w:t>R. mucilaginosa (R. rubra)</w:t>
      </w:r>
      <w:r w:rsidRPr="00DA2BC8">
        <w:t xml:space="preserve">, реже </w:t>
      </w:r>
      <w:r w:rsidRPr="00DA2BC8">
        <w:rPr>
          <w:i/>
          <w:iCs/>
        </w:rPr>
        <w:t>R. glutinis</w:t>
      </w:r>
      <w:r w:rsidRPr="00DA2BC8">
        <w:t xml:space="preserve"> и </w:t>
      </w:r>
      <w:r w:rsidRPr="00DA2BC8">
        <w:rPr>
          <w:i/>
          <w:iCs/>
        </w:rPr>
        <w:t>R. minuta.</w:t>
      </w:r>
      <w:r w:rsidRPr="00DA2BC8">
        <w:t xml:space="preserve"> </w:t>
      </w:r>
      <w:r w:rsidRPr="00DA2BC8">
        <w:rPr>
          <w:bCs/>
        </w:rPr>
        <w:t>Факторами риска являются н</w:t>
      </w:r>
      <w:r w:rsidRPr="00DA2BC8">
        <w:t xml:space="preserve">аличие ЦВК, иммуносупрессия, обширные ожоги, перитонеальный диализ, цирроз печени, абдоминальные операции, введение наркотических препаратов. </w:t>
      </w:r>
      <w:r w:rsidRPr="00DA2BC8">
        <w:rPr>
          <w:bCs/>
        </w:rPr>
        <w:t xml:space="preserve">Диагностика основана на </w:t>
      </w:r>
      <w:r w:rsidRPr="00DA2BC8">
        <w:t xml:space="preserve">выделении </w:t>
      </w:r>
      <w:r w:rsidRPr="00DA2BC8">
        <w:rPr>
          <w:i/>
          <w:iCs/>
        </w:rPr>
        <w:t>Rhodotorula</w:t>
      </w:r>
      <w:r w:rsidRPr="00DA2BC8">
        <w:t xml:space="preserve"> spp. из гемокультуры или других стерильных образцов (асцитическая жидкость, ликвор, биоптаты органов).</w:t>
      </w:r>
    </w:p>
    <w:p w14:paraId="62F15D35" w14:textId="77777777" w:rsidR="00116AF3" w:rsidRPr="00DA2BC8" w:rsidRDefault="00116AF3" w:rsidP="00116AF3">
      <w:pPr>
        <w:widowControl w:val="0"/>
        <w:autoSpaceDE w:val="0"/>
        <w:autoSpaceDN w:val="0"/>
        <w:adjustRightInd w:val="0"/>
        <w:ind w:right="50"/>
        <w:contextualSpacing/>
      </w:pPr>
      <w:r w:rsidRPr="00DA2BC8">
        <w:rPr>
          <w:bCs/>
        </w:rPr>
        <w:t>Лечение включает</w:t>
      </w:r>
      <w:r w:rsidRPr="00DA2BC8">
        <w:rPr>
          <w:b/>
          <w:bCs/>
        </w:rPr>
        <w:t xml:space="preserve"> </w:t>
      </w:r>
      <w:r w:rsidRPr="00DA2BC8">
        <w:t xml:space="preserve">удаление ЦВК, назначение </w:t>
      </w:r>
      <w:r w:rsidRPr="00DA2BC8">
        <w:rPr>
          <w:bCs/>
        </w:rPr>
        <w:t>а</w:t>
      </w:r>
      <w:r w:rsidRPr="00DA2BC8">
        <w:t>мфотерицина В (1 мг/кг/сутки) в монотерапии или в сочетании с флуцитозином,</w:t>
      </w:r>
      <w:r w:rsidRPr="00DA2BC8">
        <w:rPr>
          <w:bCs/>
        </w:rPr>
        <w:t xml:space="preserve"> альтернативный препарат – липидная форма</w:t>
      </w:r>
      <w:r w:rsidRPr="00DA2BC8">
        <w:rPr>
          <w:b/>
          <w:bCs/>
        </w:rPr>
        <w:t xml:space="preserve"> </w:t>
      </w:r>
      <w:r w:rsidRPr="00DA2BC8">
        <w:t>амфотерицина В (3 мг/кг/сутки).</w:t>
      </w:r>
    </w:p>
    <w:p w14:paraId="6091AD1E" w14:textId="77777777" w:rsidR="00116AF3" w:rsidRPr="00C553B6" w:rsidRDefault="00116AF3" w:rsidP="00116AF3">
      <w:pPr>
        <w:widowControl w:val="0"/>
        <w:autoSpaceDE w:val="0"/>
        <w:autoSpaceDN w:val="0"/>
        <w:adjustRightInd w:val="0"/>
        <w:ind w:right="50"/>
        <w:contextualSpacing/>
        <w:rPr>
          <w:i/>
          <w:iCs/>
          <w:u w:val="single"/>
        </w:rPr>
      </w:pPr>
      <w:r w:rsidRPr="00C553B6">
        <w:rPr>
          <w:i/>
          <w:iCs/>
          <w:u w:val="single"/>
        </w:rPr>
        <w:t>Микозы, вызванные Saccharomyces spp.</w:t>
      </w:r>
    </w:p>
    <w:p w14:paraId="4FAB4332" w14:textId="77777777" w:rsidR="00116AF3" w:rsidRPr="00DA2BC8" w:rsidRDefault="00116AF3" w:rsidP="00116AF3">
      <w:pPr>
        <w:widowControl w:val="0"/>
        <w:autoSpaceDE w:val="0"/>
        <w:autoSpaceDN w:val="0"/>
        <w:adjustRightInd w:val="0"/>
        <w:ind w:right="50"/>
        <w:contextualSpacing/>
      </w:pPr>
      <w:r w:rsidRPr="00DA2BC8">
        <w:t xml:space="preserve">Основные представители - </w:t>
      </w:r>
      <w:r w:rsidRPr="00DA2BC8">
        <w:rPr>
          <w:i/>
          <w:iCs/>
        </w:rPr>
        <w:t>Saccharomyces cerevisiae</w:t>
      </w:r>
      <w:r w:rsidRPr="00DA2BC8">
        <w:t xml:space="preserve"> (пекарские дрожжи) и </w:t>
      </w:r>
      <w:r w:rsidRPr="00DA2BC8">
        <w:rPr>
          <w:i/>
          <w:iCs/>
        </w:rPr>
        <w:t>Saccharomyces boulardii</w:t>
      </w:r>
      <w:r w:rsidRPr="00DA2BC8">
        <w:t xml:space="preserve"> (используют в качестве пробиотика при лечении диареи). Оба этих вида филогенетически родственны </w:t>
      </w:r>
      <w:r w:rsidRPr="00DA2BC8">
        <w:rPr>
          <w:i/>
          <w:iCs/>
        </w:rPr>
        <w:t>C. glabrata</w:t>
      </w:r>
      <w:r w:rsidRPr="00DA2BC8">
        <w:t xml:space="preserve">. В этой связи, клинические проявления, диагностика и лечение инфекции схожи с таковыми при кандидемии. Ведущими факторами риска инфекции являются прием пробиотиков, содержащих возбудитель, или пребывание в одной палате с </w:t>
      </w:r>
      <w:r>
        <w:t>пациентом</w:t>
      </w:r>
      <w:r w:rsidRPr="00DA2BC8">
        <w:t xml:space="preserve">, получающим пробиотики. Другими факторами являются нейтропения, кахексия, наличие ЦВК. </w:t>
      </w:r>
      <w:r w:rsidRPr="00DA2BC8">
        <w:rPr>
          <w:bCs/>
        </w:rPr>
        <w:t xml:space="preserve">Диагностика основана на </w:t>
      </w:r>
      <w:r w:rsidRPr="00DA2BC8">
        <w:t xml:space="preserve">выделении </w:t>
      </w:r>
      <w:r w:rsidRPr="00DA2BC8">
        <w:rPr>
          <w:i/>
          <w:iCs/>
        </w:rPr>
        <w:t>Saccharomyces</w:t>
      </w:r>
      <w:r w:rsidRPr="00DA2BC8">
        <w:t xml:space="preserve"> spp., из гемокультуры или других стерильных образцов (асцитическая жидкость, ликвор, биоптаты органов). </w:t>
      </w:r>
      <w:r w:rsidRPr="00DA2BC8">
        <w:rPr>
          <w:bCs/>
        </w:rPr>
        <w:t>Лечение включает отмену</w:t>
      </w:r>
      <w:r w:rsidRPr="00DA2BC8">
        <w:rPr>
          <w:b/>
          <w:bCs/>
        </w:rPr>
        <w:t xml:space="preserve"> </w:t>
      </w:r>
      <w:r w:rsidRPr="00DA2BC8">
        <w:t xml:space="preserve">пробиотика, содержащего </w:t>
      </w:r>
      <w:r w:rsidRPr="00DA2BC8">
        <w:rPr>
          <w:i/>
          <w:iCs/>
        </w:rPr>
        <w:t>S. boulardii</w:t>
      </w:r>
      <w:r w:rsidRPr="00DA2BC8">
        <w:t xml:space="preserve"> (если назначали), назначение препарата выбора - амфотерицина В (1 мг/кг/сутки) или </w:t>
      </w:r>
      <w:r w:rsidRPr="00DA2BC8">
        <w:rPr>
          <w:bCs/>
        </w:rPr>
        <w:t>альтернативного препарата</w:t>
      </w:r>
      <w:r w:rsidRPr="00DA2BC8">
        <w:rPr>
          <w:b/>
          <w:bCs/>
        </w:rPr>
        <w:t xml:space="preserve"> </w:t>
      </w:r>
      <w:r w:rsidRPr="00DA2BC8">
        <w:t>-</w:t>
      </w:r>
      <w:r w:rsidRPr="00DA2BC8">
        <w:rPr>
          <w:bCs/>
        </w:rPr>
        <w:t xml:space="preserve"> липидной формы </w:t>
      </w:r>
      <w:r w:rsidRPr="00DA2BC8">
        <w:t xml:space="preserve">амфотерицина В (3 мг/кг/сутки) или эхинокандина (каспофунгин или микафунгин, или анидулафунгин, в стандартных дозах). </w:t>
      </w:r>
    </w:p>
    <w:p w14:paraId="783DB332" w14:textId="77777777" w:rsidR="00116AF3" w:rsidRPr="00C553B6" w:rsidRDefault="00116AF3" w:rsidP="00116AF3">
      <w:pPr>
        <w:widowControl w:val="0"/>
        <w:autoSpaceDE w:val="0"/>
        <w:autoSpaceDN w:val="0"/>
        <w:adjustRightInd w:val="0"/>
        <w:ind w:right="50"/>
        <w:contextualSpacing/>
        <w:rPr>
          <w:i/>
          <w:iCs/>
          <w:u w:val="single"/>
          <w:lang w:val="en-US"/>
        </w:rPr>
      </w:pPr>
      <w:r w:rsidRPr="00C553B6">
        <w:rPr>
          <w:i/>
          <w:iCs/>
          <w:u w:val="single"/>
        </w:rPr>
        <w:t>Микозы</w:t>
      </w:r>
      <w:r w:rsidRPr="00C553B6">
        <w:rPr>
          <w:i/>
          <w:iCs/>
          <w:u w:val="single"/>
          <w:lang w:val="en-US"/>
        </w:rPr>
        <w:t xml:space="preserve">, </w:t>
      </w:r>
      <w:r w:rsidRPr="00C553B6">
        <w:rPr>
          <w:i/>
          <w:iCs/>
          <w:u w:val="single"/>
        </w:rPr>
        <w:t>вызванные</w:t>
      </w:r>
      <w:r w:rsidRPr="00C553B6">
        <w:rPr>
          <w:i/>
          <w:iCs/>
          <w:u w:val="single"/>
          <w:lang w:val="en-US"/>
        </w:rPr>
        <w:t xml:space="preserve"> Geotrichum candidum (Galactomyces candidus)</w:t>
      </w:r>
    </w:p>
    <w:p w14:paraId="721083CA" w14:textId="77777777" w:rsidR="00116AF3" w:rsidRPr="00453773" w:rsidRDefault="00116AF3" w:rsidP="00116AF3">
      <w:pPr>
        <w:widowControl w:val="0"/>
        <w:autoSpaceDE w:val="0"/>
        <w:autoSpaceDN w:val="0"/>
        <w:adjustRightInd w:val="0"/>
        <w:ind w:right="50"/>
        <w:contextualSpacing/>
        <w:rPr>
          <w:bCs/>
        </w:rPr>
      </w:pPr>
      <w:r w:rsidRPr="00DA2BC8">
        <w:t xml:space="preserve">Генетически родственны </w:t>
      </w:r>
      <w:r w:rsidRPr="00DA2BC8">
        <w:rPr>
          <w:i/>
          <w:iCs/>
        </w:rPr>
        <w:t>S. Capitata</w:t>
      </w:r>
      <w:r>
        <w:rPr>
          <w:i/>
          <w:iCs/>
        </w:rPr>
        <w:t xml:space="preserve">; </w:t>
      </w:r>
      <w:r w:rsidRPr="00453773">
        <w:rPr>
          <w:iCs/>
        </w:rPr>
        <w:t>о</w:t>
      </w:r>
      <w:r w:rsidRPr="00DA2BC8">
        <w:t xml:space="preserve">писаны единичные случаи инвазивной инфекции у </w:t>
      </w:r>
      <w:r>
        <w:t>гематологических пациентов, с</w:t>
      </w:r>
      <w:r w:rsidRPr="00DA2BC8">
        <w:t xml:space="preserve">пособны вызывать эпидемические вспышки в стационарах. </w:t>
      </w:r>
      <w:r w:rsidRPr="00DA2BC8">
        <w:rPr>
          <w:bCs/>
        </w:rPr>
        <w:t xml:space="preserve">В основе диагностики </w:t>
      </w:r>
      <w:r w:rsidRPr="00DA2BC8">
        <w:t xml:space="preserve">выделение грибов из гемокультуры </w:t>
      </w:r>
      <w:r>
        <w:t xml:space="preserve">(кровь) </w:t>
      </w:r>
      <w:r w:rsidRPr="00DA2BC8">
        <w:t>или других стерильных образцов (асцитическая жидкость, ликвор, биоптаты органов</w:t>
      </w:r>
      <w:r>
        <w:t xml:space="preserve"> и др.</w:t>
      </w:r>
      <w:r w:rsidRPr="00DA2BC8">
        <w:t xml:space="preserve">). </w:t>
      </w:r>
      <w:r w:rsidRPr="00DA2BC8">
        <w:rPr>
          <w:bCs/>
        </w:rPr>
        <w:t>Препаратом выбора является а</w:t>
      </w:r>
      <w:r w:rsidRPr="00DA2BC8">
        <w:t xml:space="preserve">мфотерицин В (1 мг/кг/сутки), </w:t>
      </w:r>
      <w:r w:rsidRPr="00DA2BC8">
        <w:rPr>
          <w:bCs/>
        </w:rPr>
        <w:t>альтернатив</w:t>
      </w:r>
      <w:r>
        <w:rPr>
          <w:bCs/>
        </w:rPr>
        <w:t>а</w:t>
      </w:r>
      <w:r w:rsidRPr="00DA2BC8">
        <w:rPr>
          <w:bCs/>
        </w:rPr>
        <w:t xml:space="preserve"> </w:t>
      </w:r>
      <w:r>
        <w:rPr>
          <w:bCs/>
        </w:rPr>
        <w:t>–</w:t>
      </w:r>
      <w:r w:rsidRPr="00DA2BC8">
        <w:rPr>
          <w:bCs/>
        </w:rPr>
        <w:t xml:space="preserve"> липидные формы </w:t>
      </w:r>
      <w:r w:rsidRPr="00DA2BC8">
        <w:t>амфотерицина В (3 мг/кг/сутки). Применение флуконазола, вориконазола и эхинокандинов не рекомендовано.</w:t>
      </w:r>
    </w:p>
    <w:p w14:paraId="7E9CDBAF" w14:textId="77777777" w:rsidR="00116AF3" w:rsidRDefault="00116AF3" w:rsidP="00116AF3">
      <w:pPr>
        <w:widowControl w:val="0"/>
        <w:autoSpaceDE w:val="0"/>
        <w:autoSpaceDN w:val="0"/>
        <w:adjustRightInd w:val="0"/>
        <w:ind w:right="50"/>
        <w:contextualSpacing/>
        <w:rPr>
          <w:b/>
          <w:bCs/>
        </w:rPr>
      </w:pPr>
    </w:p>
    <w:p w14:paraId="62A4B9CA" w14:textId="589B1D7C" w:rsidR="00116AF3" w:rsidRPr="00084B8B" w:rsidRDefault="00116AF3" w:rsidP="00116AF3">
      <w:pPr>
        <w:widowControl w:val="0"/>
        <w:autoSpaceDE w:val="0"/>
        <w:autoSpaceDN w:val="0"/>
        <w:adjustRightInd w:val="0"/>
        <w:ind w:right="49"/>
        <w:contextualSpacing/>
        <w:rPr>
          <w:bCs/>
          <w:u w:val="single"/>
        </w:rPr>
      </w:pPr>
      <w:r w:rsidRPr="009B5EC6">
        <w:rPr>
          <w:bCs/>
          <w:u w:val="single"/>
        </w:rPr>
        <w:t>Инвазивный аспергиллез</w:t>
      </w:r>
      <w:r>
        <w:rPr>
          <w:bCs/>
          <w:u w:val="single"/>
          <w:lang w:val="en-US"/>
        </w:rPr>
        <w:t xml:space="preserve"> </w:t>
      </w:r>
      <w:r>
        <w:rPr>
          <w:b/>
        </w:rPr>
        <w:fldChar w:fldCharType="begin" w:fldLock="1"/>
      </w:r>
      <w:r w:rsidR="009D41F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patients","type":"article-journal","volume":"102"},"uris":["http://www.mendeley.com/documents/?uuid=56063fed-25f6-3324-a2f1-f316166613f0"]},{"id":"ITEM-5","itemData":{"DOI":"10.1016/j.cmi.2018.01.002","ISSN":"14690691","PMID":"29544767","abstract":"The European Society for Clinical Microbiology and Infectious Diseases, the European Confederation of Medical Mycology and the European Respiratory Society Joint Clinical Guidelines focus on diagnosis and management of aspergillosis. Of the numerous recommendations, a few are summarized here. Chest computed tomography as well as bronchoscopy with bronchoalveolar lavage (BAL) in patients with suspicion of pulmonary invasive aspergillosis (IA) are strongly recommended. For diagnosis, direct microscopy, preferably using optical brighteners, histopathology and culture are strongly recommended. Serum and BAL galactomannan measures are recommended as markers for the diagnosis of IA. PCR should be considered in conjunction with other diagnostic tests. Pathogen identification to species complex level is strongly recommended for all clinically relevant Aspergillus isolates; antifungal susceptibility testing should be performed in patients with invasive disease in regions with resistance found in contemporary surveillance programmes. Isavuconazole and voriconazole are the preferred agents for first-line treatment of pulmonary IA, whereas liposomal amphotericin B is moderately supported. Combinations of antifungals as primary treatment options are not recommended. Therapeutic drug monitoring is strongly recommended for patients receiving posaconazole suspension or any form of voriconazole for IA treatment, and in refractory disease, where a personalized approach considering reversal of predisposing factors, switching drug class and surgical intervention is also strongly recommended. Primary prophylaxis with posaconazole is strongly recommended in patients with acute myelogenous leukaemia or myelodysplastic syndrome receiving induction chemotherapy. Secondary prophylaxis is strongly recommended in high-risk patients. We strongly recommend treatment duration based on clinical improvement, degree of immunosuppression and response on imaging.","author":[{"dropping-particle":"","family":"Ullmann","given":"A. J.","non-dropping-particle":"","parse-names":false,"suffix":""},{"dropping-particle":"","family":"Aguado","given":"J. M.","non-dropping-particle":"","parse-names":false,"suffix":""},{"dropping-particle":"","family":"Arikan-Akdagli","given":"S.","non-dropping-particle":"","parse-names":false,"suffix":""},{"dropping-particle":"","family":"Denning","given":"D. W.","non-dropping-particle":"","parse-names":false,"suffix":""},{"dropping-particle":"","family":"Groll","given":"A. H.","non-dropping-particle":"","parse-names":false,"suffix":""},{"dropping-particle":"","family":"Lagrou","given":"K.","non-dropping-particle":"","parse-names":false,"suffix":""},{"dropping-particle":"","family":"Lass-Flörl","given":"C.","non-dropping-particle":"","parse-names":false,"suffix":""},{"dropping-particle":"","family":"Lewis","given":"R. E.","non-dropping-particle":"","parse-names":false,"suffix":""},{"dropping-particle":"","family":"Munoz","given":"P.","non-dropping-particle":"","parse-names":false,"suffix":""},{"dropping-particle":"","family":"Verweij","given":"P. E.","non-dropping-particle":"","parse-names":false,"suffix":""},{"dropping-particle":"","family":"Warris","given":"A.","non-dropping-particle":"","parse-names":false,"suffix":""},{"dropping-particle":"","family":"Ader","given":"F.","non-dropping-particle":"","parse-names":false,"suffix":""},{"dropping-particle":"","family":"Akova","given":"M.","non-dropping-particle":"","parse-names":false,"suffix":""},{"dropping-particle":"","family":"Arendrup","given":"M. C.","non-dropping-particle":"","parse-names":false,"suffix":""},{"dropping-particle":"","family":"Barnes","given":"R. A.","non-dropping-particle":"","parse-names":false,"suffix":""},{"dropping-particle":"","family":"Beigelman-Aubry","given":"C.","non-dropping-particle":"","parse-names":false,"suffix":""},{"dropping-particle":"","family":"Blot","given":"S.","non-dropping-particle":"","parse-names":false,"suffix":""},{"dropping-particle":"","family":"Bouza","given":"E.","non-dropping-particle":"","parse-names":false,"suffix":""},{"dropping-particle":"","family":"Brüggemann","given":"R. J.M.","non-dropping-particle":"","parse-names":false,"suffix":""},{"dropping-particle":"","family":"Buchheidt","given":"D.","non-dropping-particle":"","parse-names":false,"suffix":""},{"dropping-particle":"","family":"Cadranel","given":"J.","non-dropping-particle":"","parse-names":false,"suffix":""},{"dropping-particle":"","family":"Castagnola","given":"E.","non-dropping-particle":"","parse-names":false,"suffix":""},{"dropping-particle":"","family":"Chakrabarti","given":"A.","non-dropping-particle":"","parse-names":false,"suffix":""},{"dropping-particle":"","family":"Cuenca-Estrella","given":"M.","non-dropping-particle":"","parse-names":false,"suffix":""},{"dropping-particle":"","family":"Dimopoulos","given":"G.","non-dropping-particle":"","parse-names":false,"suffix":""},{"dropping-particle":"","family":"Fortun","given":"J.","non-dropping-particle":"","parse-names":false,"suffix":""},{"dropping-particle":"","family":"Gangneux","given":"J. P.","non-dropping-particle":"","parse-names":false,"suffix":""},{"dropping-particle":"","family":"Garbino","given":"J.","non-dropping-particle":"","parse-names":false,"suffix":""},{"dropping-particle":"","family":"Heinz","given":"W. J.","non-dropping-particle":"","parse-names":false,"suffix":""},{"dropping-particle":"","family":"Herbrecht","given":"R.","non-dropping-particle":"","parse-names":false,"suffix":""},{"dropping-particle":"","family":"Heussel","given":"C. P.","non-dropping-particle":"","parse-names":false,"suffix":""},{"dropping-particle":"","family":"Kibbler","given":"C. C.","non-dropping-particle":"","parse-names":false,"suffix":""},{"dropping-particle":"","family":"Klimko","given":"N.","non-dropping-particle":"","parse-names":false,"suffix":""},{"dropping-particle":"","family":"Kullberg","given":"B. J.","non-dropping-particle":"","parse-names":false,"suffix":""},{"dropping-particle":"","family":"Lange","given":"C.","non-dropping-particle":"","parse-names":false,"suffix":""},{"dropping-particle":"","family":"Lehrnbecher","given":"T.","non-dropping-particle":"","parse-names":false,"suffix":""},{"dropping-particle":"","family":"Löffler","given":"J.","non-dropping-particle":"","parse-names":false,"suffix":""},{"dropping-particle":"","family":"Lortholary","given":"O.","non-dropping-particle":"","parse-names":false,"suffix":""},{"dropping-particle":"","family":"Maertens","given":"J.","non-dropping-particle":"","parse-names":false,"suffix":""},{"dropping-particle":"","family":"Marchetti","given":"O.","non-dropping-particle":"","parse-names":false,"suffix":""},{"dropping-particle":"","family":"Meis","given":"J. F.","non-dropping-particle":"","parse-names":false,"suffix":""},{"dropping-particle":"","family":"Pagano","given":"L.","non-dropping-particle":"","parse-names":false,"suffix":""},{"dropping-particle":"","family":"Ribaud","given":"P.","non-dropping-particle":"","parse-names":false,"suffix":""},{"dropping-particle":"","family":"Richardson","given":"M.","non-dropping-particle":"","parse-names":false,"suffix":""},{"dropping-particle":"","family":"Roilides","given":"E.","non-dropping-particle":"","parse-names":false,"suffix":""},{"dropping-particle":"","family":"Ruhnke","given":"M.","non-dropping-particle":"","parse-names":false,"suffix":""},{"dropping-particle":"","family":"Sanguinetti","given":"M.","non-dropping-particle":"","parse-names":false,"suffix":""},{"dropping-particle":"","family":"Sheppard","given":"D. C.","non-dropping-particle":"","parse-names":false,"suffix":""},{"dropping-particle":"","family":"Sinkó","given":"J.","non-dropping-particle":"","parse-names":false,"suffix":""},{"dropping-particle":"","family":"Skiada","given":"A.","non-dropping-particle":"","parse-names":false,"suffix":""},{"dropping-particle":"","family":"Vehreschild","given":"M. J.G.T.","non-dropping-particle":"","parse-names":false,"suffix":""},{"dropping-particle":"","family":"Viscoli","given":"C.","non-dropping-particle":"","parse-names":false,"suffix":""},{"dropping-particle":"","family":"Cornely","given":"O. A.","non-dropping-particle":"","parse-names":false,"suffix":""}],"container-title":"Clinical Microbiology and Infection","id":"ITEM-5","issued":{"date-parts":[["2018","5","1"]]},"page":"e1-e38","publisher":"Elsevier B.V.","title":"Diagnosis and management of Aspergillus diseases: executive summary of the 2017 ESCMID-ECMM-ERS guideline","type":"article-journal","volume":"24"},"uris":["http://www.mendeley.com/documents/?uuid=5eaef361-0e16-3d87-bd2e-021d8493d891"]}],"mendeley":{"formattedCitation":"[47,48,54,55,57]","plainTextFormattedCitation":"[47,48,54,55,57]","previouslyFormattedCitation":"[47,48,54,55,57]"},"properties":{"noteIndex":0},"schema":"https://github.com/citation-style-language/schema/raw/master/csl-citation.json"}</w:instrText>
      </w:r>
      <w:r>
        <w:rPr>
          <w:b/>
        </w:rPr>
        <w:fldChar w:fldCharType="separate"/>
      </w:r>
      <w:r w:rsidR="004C3BA5" w:rsidRPr="004C3BA5">
        <w:rPr>
          <w:noProof/>
        </w:rPr>
        <w:t>[47,48,54,55,57]</w:t>
      </w:r>
      <w:r>
        <w:rPr>
          <w:b/>
        </w:rPr>
        <w:fldChar w:fldCharType="end"/>
      </w:r>
    </w:p>
    <w:p w14:paraId="647865E7" w14:textId="77777777" w:rsidR="00116AF3" w:rsidRPr="00DA2BC8" w:rsidRDefault="00116AF3" w:rsidP="00116AF3">
      <w:pPr>
        <w:widowControl w:val="0"/>
        <w:autoSpaceDE w:val="0"/>
        <w:autoSpaceDN w:val="0"/>
        <w:adjustRightInd w:val="0"/>
        <w:ind w:right="50"/>
        <w:contextualSpacing/>
      </w:pPr>
      <w:r w:rsidRPr="00DA2BC8">
        <w:t xml:space="preserve">Инвазивный аспергиллез является ведущей грибковой инфекцией в современной гематологии. В структуре инвазивных микозов у </w:t>
      </w:r>
      <w:r>
        <w:t xml:space="preserve">гематологических пациентов </w:t>
      </w:r>
      <w:r w:rsidRPr="00DA2BC8">
        <w:t xml:space="preserve">доля инвазивного аспергиллеза достигает 80%. Первичный очаг локализуется в легких (90-95%) и в придаточных пазухах носа (5-10%). Инвазивный аспергиллез преобладает у реципиентов аллогенных ТСГК, особенно неродственных, у </w:t>
      </w:r>
      <w:r>
        <w:t>пациентов с</w:t>
      </w:r>
      <w:r w:rsidRPr="00DA2BC8">
        <w:t xml:space="preserve"> острыми миелоидными лейкозами и миелодиспластическом синдром</w:t>
      </w:r>
      <w:r>
        <w:t>ом</w:t>
      </w:r>
      <w:r w:rsidRPr="00DA2BC8">
        <w:t xml:space="preserve">. </w:t>
      </w:r>
      <w:r w:rsidRPr="00DA2BC8">
        <w:rPr>
          <w:bCs/>
        </w:rPr>
        <w:t xml:space="preserve">Основные возбудители </w:t>
      </w:r>
      <w:r w:rsidRPr="00DA2BC8">
        <w:rPr>
          <w:i/>
          <w:iCs/>
        </w:rPr>
        <w:t>Aspergillus fumigatus</w:t>
      </w:r>
      <w:r w:rsidRPr="00DA2BC8">
        <w:t xml:space="preserve"> и </w:t>
      </w:r>
      <w:r w:rsidRPr="00DA2BC8">
        <w:rPr>
          <w:i/>
          <w:iCs/>
        </w:rPr>
        <w:t>Aspergillus flavus</w:t>
      </w:r>
      <w:r w:rsidRPr="00DA2BC8">
        <w:t xml:space="preserve">, реже - </w:t>
      </w:r>
      <w:r w:rsidRPr="00DA2BC8">
        <w:rPr>
          <w:i/>
          <w:iCs/>
        </w:rPr>
        <w:t>Aspergillus niger</w:t>
      </w:r>
      <w:r w:rsidRPr="00DA2BC8">
        <w:t xml:space="preserve"> и другие виды.</w:t>
      </w:r>
    </w:p>
    <w:p w14:paraId="79EA41DB" w14:textId="77777777" w:rsidR="00116AF3" w:rsidRPr="009B5EC6" w:rsidRDefault="00116AF3" w:rsidP="00116AF3">
      <w:pPr>
        <w:widowControl w:val="0"/>
        <w:autoSpaceDE w:val="0"/>
        <w:autoSpaceDN w:val="0"/>
        <w:adjustRightInd w:val="0"/>
        <w:ind w:right="50"/>
        <w:contextualSpacing/>
        <w:rPr>
          <w:i/>
          <w:iCs/>
          <w:u w:val="single"/>
        </w:rPr>
      </w:pPr>
      <w:r w:rsidRPr="009B5EC6">
        <w:rPr>
          <w:i/>
          <w:iCs/>
          <w:u w:val="single"/>
        </w:rPr>
        <w:t>Факторы риска</w:t>
      </w:r>
    </w:p>
    <w:p w14:paraId="2AED60D3" w14:textId="77777777" w:rsidR="00116AF3" w:rsidRPr="00DA2BC8" w:rsidRDefault="00116AF3" w:rsidP="00116AF3">
      <w:pPr>
        <w:widowControl w:val="0"/>
        <w:autoSpaceDE w:val="0"/>
        <w:autoSpaceDN w:val="0"/>
        <w:adjustRightInd w:val="0"/>
        <w:ind w:right="50"/>
        <w:contextualSpacing/>
      </w:pPr>
      <w:r w:rsidRPr="00DA2BC8">
        <w:t>Основными факторами, индуцирующими развитие инвазивного аспергиллеза, являются гранулоцитопения (нейтрофилов менее 0,5×10</w:t>
      </w:r>
      <w:r w:rsidRPr="00DA2BC8">
        <w:rPr>
          <w:vertAlign w:val="superscript"/>
        </w:rPr>
        <w:t>9</w:t>
      </w:r>
      <w:r w:rsidRPr="00DA2BC8">
        <w:t>/л) длительностью от 10 дней и более на момент диагностики или в течение 60 дней до развития инвазивного аспергиллеза; трансплантация аллогенных ТГСК, лечение глюкокортикоидами и другими препаратами, приводящими к подавлению функции T-лимфоцитов. Частота инвазивного аспергиллеза возрастает в период эпидемии вирусных инфекций.</w:t>
      </w:r>
    </w:p>
    <w:p w14:paraId="6FA858A3" w14:textId="77777777" w:rsidR="00116AF3" w:rsidRPr="00453773" w:rsidRDefault="00116AF3" w:rsidP="00116AF3">
      <w:pPr>
        <w:widowControl w:val="0"/>
        <w:autoSpaceDE w:val="0"/>
        <w:autoSpaceDN w:val="0"/>
        <w:adjustRightInd w:val="0"/>
        <w:ind w:right="50"/>
        <w:contextualSpacing/>
        <w:rPr>
          <w:b/>
          <w:bCs/>
        </w:rPr>
      </w:pPr>
      <w:r w:rsidRPr="00453773">
        <w:rPr>
          <w:b/>
          <w:bCs/>
        </w:rPr>
        <w:t>Инвазивный аспергиллез легких</w:t>
      </w:r>
    </w:p>
    <w:p w14:paraId="285D6B30" w14:textId="77777777" w:rsidR="00116AF3" w:rsidRPr="009B5EC6" w:rsidRDefault="00116AF3" w:rsidP="00116AF3">
      <w:pPr>
        <w:widowControl w:val="0"/>
        <w:autoSpaceDE w:val="0"/>
        <w:autoSpaceDN w:val="0"/>
        <w:adjustRightInd w:val="0"/>
        <w:ind w:right="50"/>
        <w:contextualSpacing/>
        <w:rPr>
          <w:i/>
          <w:iCs/>
        </w:rPr>
      </w:pPr>
      <w:r w:rsidRPr="009B5EC6">
        <w:rPr>
          <w:i/>
          <w:iCs/>
          <w:u w:val="single"/>
        </w:rPr>
        <w:t>Симптомы</w:t>
      </w:r>
      <w:r w:rsidRPr="009B5EC6">
        <w:rPr>
          <w:i/>
          <w:iCs/>
        </w:rPr>
        <w:t xml:space="preserve"> </w:t>
      </w:r>
    </w:p>
    <w:p w14:paraId="22E5E196" w14:textId="77777777" w:rsidR="00116AF3" w:rsidRPr="00DA2BC8" w:rsidRDefault="00116AF3" w:rsidP="00116AF3">
      <w:pPr>
        <w:widowControl w:val="0"/>
        <w:autoSpaceDE w:val="0"/>
        <w:autoSpaceDN w:val="0"/>
        <w:adjustRightInd w:val="0"/>
        <w:ind w:right="50"/>
        <w:contextualSpacing/>
      </w:pPr>
      <w:r w:rsidRPr="00DA2BC8">
        <w:t xml:space="preserve">Начальные признаки скудные, в большинстве случаев бывает только лихорадка. У 15-20% </w:t>
      </w:r>
      <w:r>
        <w:t>пациентов</w:t>
      </w:r>
      <w:r w:rsidRPr="00DA2BC8">
        <w:t xml:space="preserve"> инвазивным аспергиллезом температура быва</w:t>
      </w:r>
      <w:r>
        <w:t>ет нормальной или субфебрильной</w:t>
      </w:r>
      <w:r w:rsidRPr="00DA2BC8">
        <w:t xml:space="preserve">. Другими симптомами являются кашель, сухой или с мокротой, кровохарканье, боль в грудной клетке, одышка. При прогрессировании инфекции может возникнуть легочное кровотечение, дыхательная недостаточность, спонтанный пневмоторакс. У 30-40% больных происходит диссеминация инвазивного аспергиллеза, чаще в головной мозг или печень. </w:t>
      </w:r>
    </w:p>
    <w:p w14:paraId="680C0677" w14:textId="77777777" w:rsidR="00116AF3" w:rsidRPr="009B5EC6" w:rsidRDefault="00116AF3" w:rsidP="00116AF3">
      <w:pPr>
        <w:widowControl w:val="0"/>
        <w:autoSpaceDE w:val="0"/>
        <w:autoSpaceDN w:val="0"/>
        <w:adjustRightInd w:val="0"/>
        <w:ind w:right="50"/>
        <w:contextualSpacing/>
        <w:rPr>
          <w:i/>
          <w:iCs/>
          <w:u w:val="single"/>
        </w:rPr>
      </w:pPr>
      <w:r w:rsidRPr="009B5EC6">
        <w:rPr>
          <w:i/>
          <w:iCs/>
          <w:u w:val="single"/>
        </w:rPr>
        <w:t>Диагностика инвазивного аспергиллеза легких</w:t>
      </w:r>
    </w:p>
    <w:p w14:paraId="3060EE4E" w14:textId="77777777" w:rsidR="00116AF3" w:rsidRPr="00DA2BC8" w:rsidRDefault="00116AF3" w:rsidP="00116AF3">
      <w:pPr>
        <w:widowControl w:val="0"/>
        <w:autoSpaceDE w:val="0"/>
        <w:autoSpaceDN w:val="0"/>
        <w:adjustRightInd w:val="0"/>
        <w:ind w:right="50"/>
        <w:contextualSpacing/>
      </w:pPr>
      <w:r w:rsidRPr="00DA2BC8">
        <w:rPr>
          <w:bCs/>
        </w:rPr>
        <w:t>Диагноз инвазивного аспергиллеза устанавливают</w:t>
      </w:r>
      <w:r w:rsidRPr="00DA2BC8">
        <w:t xml:space="preserve"> на основании наличия факторов риска, характерных изменений</w:t>
      </w:r>
      <w:r>
        <w:t xml:space="preserve"> при радиологическом исследовании (КТ/СКТ легких)</w:t>
      </w:r>
      <w:r w:rsidRPr="00DA2BC8">
        <w:t>, микологического подтвержден</w:t>
      </w:r>
      <w:r>
        <w:t>и</w:t>
      </w:r>
      <w:r w:rsidRPr="00DA2BC8">
        <w:t xml:space="preserve">я, включающего культуральное и/или серологические исследования. </w:t>
      </w:r>
    </w:p>
    <w:p w14:paraId="11A2EF78" w14:textId="77777777" w:rsidR="00116AF3" w:rsidRPr="009B5EC6" w:rsidRDefault="00116AF3" w:rsidP="00116AF3">
      <w:pPr>
        <w:widowControl w:val="0"/>
        <w:autoSpaceDE w:val="0"/>
        <w:autoSpaceDN w:val="0"/>
        <w:adjustRightInd w:val="0"/>
        <w:ind w:right="50"/>
        <w:contextualSpacing/>
        <w:rPr>
          <w:i/>
          <w:iCs/>
          <w:u w:val="single"/>
        </w:rPr>
      </w:pPr>
      <w:r w:rsidRPr="009B5EC6">
        <w:rPr>
          <w:i/>
          <w:iCs/>
          <w:u w:val="single"/>
        </w:rPr>
        <w:t>Радиологические особенности инвазивного аспергиллеза легких</w:t>
      </w:r>
    </w:p>
    <w:p w14:paraId="32C98CDC" w14:textId="77777777" w:rsidR="00116AF3" w:rsidRPr="00DA2BC8" w:rsidRDefault="00116AF3" w:rsidP="00116AF3">
      <w:pPr>
        <w:widowControl w:val="0"/>
        <w:tabs>
          <w:tab w:val="left" w:pos="317"/>
        </w:tabs>
        <w:autoSpaceDE w:val="0"/>
        <w:autoSpaceDN w:val="0"/>
        <w:adjustRightInd w:val="0"/>
        <w:ind w:right="50"/>
        <w:contextualSpacing/>
      </w:pPr>
      <w:r w:rsidRPr="00DA2BC8">
        <w:t xml:space="preserve">Ранняя диагностика инвазивного аспергиллеза легких возможна только по данным </w:t>
      </w:r>
      <w:r>
        <w:t>КТ</w:t>
      </w:r>
      <w:r w:rsidRPr="00DA2BC8">
        <w:t xml:space="preserve">. Рентгенографию </w:t>
      </w:r>
      <w:r>
        <w:t xml:space="preserve">рутинно </w:t>
      </w:r>
      <w:r w:rsidRPr="00DA2BC8">
        <w:t>не используют в диагностике инвазивного аспергиллеза по причине позднего выявления изменений в легких. Радиологические проявления инвазивного аспергиллеза легких не являются строго специфичными. На раннем этапе инфекции определяется симптом «ореола» (область разрежения, которая представляет собой геморрагический инфильтрат, окружающий некротизированную ткань легкого), в более отдаленные сроки - симптом «серпа» (формирование воздушной полости в виде полумесяца) или образование полости. Характерными также являются очаги с ровными контурами или инфильтраты треугольной формы, обращенные основанием к плевре, преобладает субплевральное расположение очагов. У реципиентов аллогенных ГСК вне нейтропении, получающих лечение преднизолоном по поводу РТПХ доминируют изменения в легких, неспецифичные для инвазивного аспергиллеза, – это центролобулярные очаги небольших размеров или изменения по типу бронхиолита. При диагностике инвазивного аспергиллеза следует провести КТ или МРТ головного мозга с целью исключения диссеминации. У больных, излеченных от инвазивного аспергиллеза, могут определяться в легких остаточные изменения в виде паренхиматозных тяжей или небольших полостей.</w:t>
      </w:r>
    </w:p>
    <w:p w14:paraId="792DAB96" w14:textId="77777777" w:rsidR="00116AF3" w:rsidRPr="00DA2BC8" w:rsidRDefault="00116AF3" w:rsidP="00116AF3">
      <w:pPr>
        <w:widowControl w:val="0"/>
        <w:autoSpaceDE w:val="0"/>
        <w:autoSpaceDN w:val="0"/>
        <w:adjustRightInd w:val="0"/>
        <w:ind w:right="50"/>
        <w:contextualSpacing/>
      </w:pPr>
      <w:r w:rsidRPr="00EB3571">
        <w:rPr>
          <w:bCs/>
          <w:i/>
          <w:iCs/>
          <w:u w:val="single"/>
        </w:rPr>
        <w:t>Микологические исследования</w:t>
      </w:r>
      <w:r w:rsidRPr="00DA2BC8">
        <w:t xml:space="preserve"> включают выделение культуры </w:t>
      </w:r>
      <w:r w:rsidRPr="00DA2BC8">
        <w:rPr>
          <w:i/>
          <w:iCs/>
        </w:rPr>
        <w:t>Aspergillus</w:t>
      </w:r>
      <w:r w:rsidRPr="00DA2BC8">
        <w:t xml:space="preserve"> из мокроты, жидкости БАЛ или биоптата легкого либо обнаружение истинного септированного мицелия из биоптата (аспирата) при гистологическом или цитологическом исследовании; определение положительного антигена </w:t>
      </w:r>
      <w:r w:rsidRPr="00DA2BC8">
        <w:rPr>
          <w:i/>
          <w:iCs/>
        </w:rPr>
        <w:t>Aspergillus</w:t>
      </w:r>
      <w:r w:rsidRPr="00DA2BC8">
        <w:t xml:space="preserve"> (галактоманнан) в сыворотке (индекс оптической плотности ≥0,5) и/или в жидкости БАЛ (индекс оптической плотности от 1,0 и более).</w:t>
      </w:r>
    </w:p>
    <w:p w14:paraId="681C8743" w14:textId="77777777" w:rsidR="00116AF3" w:rsidRPr="00EB3571" w:rsidRDefault="00116AF3" w:rsidP="00116AF3">
      <w:pPr>
        <w:widowControl w:val="0"/>
        <w:autoSpaceDE w:val="0"/>
        <w:autoSpaceDN w:val="0"/>
        <w:adjustRightInd w:val="0"/>
        <w:ind w:right="50"/>
        <w:contextualSpacing/>
        <w:rPr>
          <w:i/>
          <w:iCs/>
          <w:u w:val="single"/>
        </w:rPr>
      </w:pPr>
      <w:r w:rsidRPr="00EB3571">
        <w:rPr>
          <w:i/>
          <w:iCs/>
          <w:u w:val="single"/>
        </w:rPr>
        <w:t>Мониторинг исследований</w:t>
      </w:r>
    </w:p>
    <w:p w14:paraId="297DF33A" w14:textId="77777777" w:rsidR="00116AF3" w:rsidRPr="00DA2BC8" w:rsidRDefault="00116AF3" w:rsidP="00116AF3">
      <w:pPr>
        <w:widowControl w:val="0"/>
        <w:tabs>
          <w:tab w:val="left" w:pos="317"/>
        </w:tabs>
        <w:autoSpaceDE w:val="0"/>
        <w:autoSpaceDN w:val="0"/>
        <w:adjustRightInd w:val="0"/>
        <w:ind w:right="50"/>
        <w:contextualSpacing/>
      </w:pPr>
      <w:r w:rsidRPr="00DA2BC8">
        <w:t>В процессе лечения инвазивного аспергиллеза повторяют КТ</w:t>
      </w:r>
      <w:r>
        <w:t xml:space="preserve">/СКТ легких </w:t>
      </w:r>
      <w:r w:rsidRPr="00DA2BC8">
        <w:t xml:space="preserve"> каждые 2-3 недели, при клинической неэффективности лечения - через 1 неделю от начала терапии, при стабилизации клинических проявлений инфекции – реже; определение антигена </w:t>
      </w:r>
      <w:r w:rsidRPr="00DA2BC8">
        <w:rPr>
          <w:i/>
          <w:iCs/>
        </w:rPr>
        <w:t>Aspergillus</w:t>
      </w:r>
      <w:r w:rsidRPr="00DA2BC8">
        <w:t xml:space="preserve"> (галактоманнан) в крови - 1 раз в неделю, если тест был положительным. Повторные положительные результаты определения галактоманнана (индекс оптической плотности &gt;0,5) в период лечения инвазивного аспергиллеза относятся к неблагоприятным факторам прогноза и свидетельсвуют об отсутствии контроля над инфекцией. </w:t>
      </w:r>
    </w:p>
    <w:p w14:paraId="5FE8C266" w14:textId="77777777" w:rsidR="00116AF3" w:rsidRPr="00DA2BC8" w:rsidRDefault="00116AF3" w:rsidP="00116AF3">
      <w:pPr>
        <w:widowControl w:val="0"/>
        <w:autoSpaceDE w:val="0"/>
        <w:autoSpaceDN w:val="0"/>
        <w:adjustRightInd w:val="0"/>
        <w:ind w:right="50"/>
        <w:contextualSpacing/>
      </w:pPr>
      <w:r w:rsidRPr="00DA2BC8">
        <w:t>При повышении нейтрофилов (более 0,5×10</w:t>
      </w:r>
      <w:r w:rsidRPr="00DA2BC8">
        <w:rPr>
          <w:vertAlign w:val="superscript"/>
        </w:rPr>
        <w:t>9</w:t>
      </w:r>
      <w:r w:rsidRPr="00DA2BC8">
        <w:t xml:space="preserve">/л) объем поражения в легких может увеличиваться на фоне улучшения клинического состояния </w:t>
      </w:r>
      <w:r>
        <w:t>пациента</w:t>
      </w:r>
      <w:r w:rsidRPr="00DA2BC8">
        <w:t>. Модификацию противогрибковой терапии не проводят.</w:t>
      </w:r>
    </w:p>
    <w:p w14:paraId="7F76A415" w14:textId="77777777" w:rsidR="00116AF3" w:rsidRPr="00DA2BC8" w:rsidRDefault="00116AF3" w:rsidP="00116AF3">
      <w:pPr>
        <w:widowControl w:val="0"/>
        <w:autoSpaceDE w:val="0"/>
        <w:autoSpaceDN w:val="0"/>
        <w:adjustRightInd w:val="0"/>
        <w:ind w:right="50"/>
        <w:contextualSpacing/>
      </w:pPr>
      <w:r w:rsidRPr="00DA2BC8">
        <w:t xml:space="preserve">Радиологические проявления, характерные для инвазивного аспергиллеза, могут быть при инфекции, вызванной другими микроорганизмами, или при иных патологических состояниях. Это следует учитывать, особенно когда диагноз инвазивного аспергиллеза установлен только на основании данных радиологического исследования без микологического подтверждения. </w:t>
      </w:r>
    </w:p>
    <w:p w14:paraId="0581C274" w14:textId="77777777" w:rsidR="00116AF3" w:rsidRPr="00EB3571" w:rsidRDefault="00116AF3" w:rsidP="00116AF3">
      <w:pPr>
        <w:widowControl w:val="0"/>
        <w:autoSpaceDE w:val="0"/>
        <w:autoSpaceDN w:val="0"/>
        <w:adjustRightInd w:val="0"/>
        <w:ind w:right="50"/>
        <w:contextualSpacing/>
        <w:rPr>
          <w:i/>
        </w:rPr>
      </w:pPr>
      <w:r w:rsidRPr="00EB3571">
        <w:rPr>
          <w:i/>
          <w:u w:val="single"/>
        </w:rPr>
        <w:t xml:space="preserve">Лечение инвазивного аспергиллеза </w:t>
      </w:r>
    </w:p>
    <w:p w14:paraId="5E0D8354" w14:textId="77777777" w:rsidR="00116AF3" w:rsidRPr="00DA2BC8" w:rsidRDefault="00116AF3" w:rsidP="00116AF3">
      <w:pPr>
        <w:widowControl w:val="0"/>
        <w:autoSpaceDE w:val="0"/>
        <w:autoSpaceDN w:val="0"/>
        <w:adjustRightInd w:val="0"/>
        <w:ind w:right="50"/>
        <w:contextualSpacing/>
      </w:pPr>
      <w:r w:rsidRPr="00DA2BC8">
        <w:t>Основными принципами эффективной терапии инвазивного аспергиллеза являются своевременная диагностика; незамедлительное назначение антимикотиков при подозрении на инвазивный аспергиллез; назначение эффективных препаратов на первом этапе лечения.</w:t>
      </w:r>
    </w:p>
    <w:p w14:paraId="47740748" w14:textId="77777777" w:rsidR="00116AF3" w:rsidRPr="00DA2BC8" w:rsidRDefault="00116AF3" w:rsidP="00116AF3">
      <w:pPr>
        <w:widowControl w:val="0"/>
        <w:tabs>
          <w:tab w:val="left" w:pos="317"/>
        </w:tabs>
        <w:autoSpaceDE w:val="0"/>
        <w:autoSpaceDN w:val="0"/>
        <w:adjustRightInd w:val="0"/>
        <w:ind w:right="50"/>
        <w:contextualSpacing/>
      </w:pPr>
      <w:r w:rsidRPr="00DA2BC8">
        <w:rPr>
          <w:bCs/>
        </w:rPr>
        <w:t>Препаратами выбора являются</w:t>
      </w:r>
      <w:r w:rsidRPr="00DA2BC8">
        <w:rPr>
          <w:b/>
          <w:bCs/>
        </w:rPr>
        <w:t xml:space="preserve"> </w:t>
      </w:r>
      <w:r w:rsidRPr="00DA2BC8">
        <w:t xml:space="preserve">вориконазол (в 1-й первый день по 6 мг/кг внутривенно 2 раза в сутки, в последующие дни по 4 мг/кг внутривенно 2 раза в сутки, с переходом в дальнейшем на пероральную форму по 200 мг 2 раза в сутки, у больных с высокой массой тела пероральная доза составляет 8 мг/кг, максимально - по 300 мг х 2 раза, прием натощак или через 1 час после еды), изавуконазол по 200 мг каждые 8 час в течение </w:t>
      </w:r>
      <w:r>
        <w:t xml:space="preserve">2 дней, далее по </w:t>
      </w:r>
      <w:r w:rsidRPr="00DA2BC8">
        <w:t>200 мг 1 раз в сутки внутривенно или перорально [</w:t>
      </w:r>
      <w:r w:rsidRPr="00EC3182">
        <w:t>6</w:t>
      </w:r>
      <w:r w:rsidRPr="00DA2BC8">
        <w:t xml:space="preserve">]. Изавуконазол в сравнении с вориконазолом имеет достоверно ниже токсичность, разрешен больным с отклонениями в функции печени, проявляет активность не только против </w:t>
      </w:r>
      <w:r w:rsidRPr="00DA2BC8">
        <w:rPr>
          <w:i/>
        </w:rPr>
        <w:t>Aspergillus</w:t>
      </w:r>
      <w:r w:rsidRPr="00DA2BC8">
        <w:t xml:space="preserve">, но и грибов рода </w:t>
      </w:r>
      <w:r w:rsidRPr="00DA2BC8">
        <w:rPr>
          <w:i/>
        </w:rPr>
        <w:t>Mucorales</w:t>
      </w:r>
      <w:r w:rsidRPr="00DA2BC8">
        <w:t xml:space="preserve">. Больным печеночными порфириями не назначают азолы, для лечения используют эхинокандин. </w:t>
      </w:r>
      <w:r w:rsidRPr="00DA2BC8">
        <w:rPr>
          <w:bCs/>
        </w:rPr>
        <w:t xml:space="preserve">Альтернативные антимикотики для лечения инвазивного аспергиллеза легких - </w:t>
      </w:r>
      <w:r w:rsidRPr="00DA2BC8">
        <w:t>липидный комплекс амфотерицина В (5 мг/кг/сутки внутривенно), липосомальный амфотерициин В (3 мг/кг/сутки), каспофунгин (в 1-й день 70 мг, затем 50 мг внутривенно 1 раз в сутки), микафунгин (100 мг 1 раз в сутки внутривенно). Лечение амфотерицином В инвазивного аспергиллеза легких не показано.</w:t>
      </w:r>
    </w:p>
    <w:p w14:paraId="49481FDC" w14:textId="77777777" w:rsidR="00116AF3" w:rsidRPr="00DA2BC8" w:rsidRDefault="00116AF3" w:rsidP="00116AF3">
      <w:pPr>
        <w:widowControl w:val="0"/>
        <w:tabs>
          <w:tab w:val="left" w:pos="317"/>
        </w:tabs>
        <w:autoSpaceDE w:val="0"/>
        <w:autoSpaceDN w:val="0"/>
        <w:adjustRightInd w:val="0"/>
        <w:ind w:right="50"/>
        <w:contextualSpacing/>
      </w:pPr>
      <w:r w:rsidRPr="00DA2BC8">
        <w:rPr>
          <w:iCs/>
        </w:rPr>
        <w:t>Не используют сочетание противогрибковых препаратов в качестве терапии первой линии инвазивного аспергиллеза.</w:t>
      </w:r>
    </w:p>
    <w:p w14:paraId="6EFB186E" w14:textId="77777777" w:rsidR="00116AF3" w:rsidRPr="00DA2BC8" w:rsidRDefault="00116AF3" w:rsidP="00116AF3">
      <w:pPr>
        <w:widowControl w:val="0"/>
        <w:autoSpaceDE w:val="0"/>
        <w:autoSpaceDN w:val="0"/>
        <w:adjustRightInd w:val="0"/>
        <w:ind w:right="50"/>
        <w:contextualSpacing/>
        <w:rPr>
          <w:bCs/>
        </w:rPr>
      </w:pPr>
      <w:r w:rsidRPr="00DA2BC8">
        <w:rPr>
          <w:bCs/>
        </w:rPr>
        <w:t xml:space="preserve">Хирургическое лечение инвазивного аспергиллеза легких включает удаление очага, который </w:t>
      </w:r>
      <w:r w:rsidRPr="00DA2BC8">
        <w:t>расположен около крупных сосудов или перикарда, или в наличии активное кровохарканье из отдельного очага, или инвазия в плевральную полость/ребра.</w:t>
      </w:r>
    </w:p>
    <w:p w14:paraId="31E5282D" w14:textId="77777777" w:rsidR="00116AF3" w:rsidRPr="00DA2BC8" w:rsidRDefault="00116AF3" w:rsidP="00116AF3">
      <w:pPr>
        <w:widowControl w:val="0"/>
        <w:autoSpaceDE w:val="0"/>
        <w:autoSpaceDN w:val="0"/>
        <w:adjustRightInd w:val="0"/>
        <w:ind w:right="50"/>
        <w:contextualSpacing/>
      </w:pPr>
      <w:r w:rsidRPr="00DA2BC8">
        <w:rPr>
          <w:bCs/>
        </w:rPr>
        <w:t xml:space="preserve">Применение противогрибковых препаратов длительное и </w:t>
      </w:r>
      <w:r w:rsidRPr="00DA2BC8">
        <w:t>составляет не менее 6-12 недель. Критерием для отмены антимиоктиков является регрессия очагов в легких. Отрицательные результаты определения галактоманнана в сыворотке крови или в жидкости БАЛ в процессе лечения не являются основанием для прекращения противогрибковой терапии.</w:t>
      </w:r>
    </w:p>
    <w:p w14:paraId="3F4315B2" w14:textId="77777777" w:rsidR="00116AF3" w:rsidRPr="008F73A5" w:rsidRDefault="00116AF3" w:rsidP="00116AF3">
      <w:pPr>
        <w:widowControl w:val="0"/>
        <w:autoSpaceDE w:val="0"/>
        <w:autoSpaceDN w:val="0"/>
        <w:adjustRightInd w:val="0"/>
        <w:ind w:right="50"/>
        <w:contextualSpacing/>
        <w:rPr>
          <w:b/>
          <w:bCs/>
        </w:rPr>
      </w:pPr>
      <w:r w:rsidRPr="008F73A5">
        <w:rPr>
          <w:b/>
          <w:bCs/>
        </w:rPr>
        <w:t>Инвазивный аспергиллезный риносинусит</w:t>
      </w:r>
    </w:p>
    <w:p w14:paraId="0BA43538" w14:textId="77777777" w:rsidR="00116AF3" w:rsidRPr="00DA2BC8" w:rsidRDefault="00116AF3" w:rsidP="00116AF3">
      <w:pPr>
        <w:widowControl w:val="0"/>
        <w:autoSpaceDE w:val="0"/>
        <w:autoSpaceDN w:val="0"/>
        <w:adjustRightInd w:val="0"/>
        <w:ind w:right="50"/>
        <w:contextualSpacing/>
      </w:pPr>
      <w:r w:rsidRPr="00EB3571">
        <w:rPr>
          <w:i/>
          <w:iCs/>
          <w:u w:val="single"/>
        </w:rPr>
        <w:t>Симптомы</w:t>
      </w:r>
      <w:r w:rsidRPr="00DA2BC8">
        <w:rPr>
          <w:bCs/>
        </w:rPr>
        <w:t xml:space="preserve"> включают </w:t>
      </w:r>
      <w:r w:rsidRPr="00DA2BC8">
        <w:t xml:space="preserve">затруднение носового дыхания, выраженную локальную боль в области пораженной околоносовой пазухи, периорбитальный отек на стороне поражения, асимметрию лица. </w:t>
      </w:r>
      <w:r>
        <w:t>При осмотре оториноларинголом н</w:t>
      </w:r>
      <w:r w:rsidRPr="00DA2BC8">
        <w:t>а слизистой оболочке нижней стенки и/или перегородки носового хода определяют некроз или изъязвления. В дальнейшем возникает деструкция мягкого и твердого неба, деструкция костей лицевой части черепа.</w:t>
      </w:r>
    </w:p>
    <w:p w14:paraId="359A59DF" w14:textId="77777777" w:rsidR="00116AF3" w:rsidRDefault="00116AF3" w:rsidP="00116AF3">
      <w:pPr>
        <w:widowControl w:val="0"/>
        <w:autoSpaceDE w:val="0"/>
        <w:autoSpaceDN w:val="0"/>
        <w:adjustRightInd w:val="0"/>
        <w:ind w:right="50"/>
        <w:contextualSpacing/>
      </w:pPr>
      <w:r w:rsidRPr="00EB3571">
        <w:rPr>
          <w:i/>
          <w:iCs/>
          <w:u w:val="single"/>
        </w:rPr>
        <w:t>Диагноз аспергиллезного риносинусита</w:t>
      </w:r>
      <w:r w:rsidRPr="00DA2BC8">
        <w:rPr>
          <w:b/>
          <w:bCs/>
        </w:rPr>
        <w:t xml:space="preserve"> </w:t>
      </w:r>
      <w:r w:rsidRPr="00DA2BC8">
        <w:rPr>
          <w:bCs/>
        </w:rPr>
        <w:t>устанавливают на основании</w:t>
      </w:r>
      <w:r w:rsidRPr="00DA2BC8">
        <w:rPr>
          <w:b/>
          <w:bCs/>
        </w:rPr>
        <w:t xml:space="preserve"> </w:t>
      </w:r>
      <w:r w:rsidRPr="00DA2BC8">
        <w:t>радиологических призна</w:t>
      </w:r>
      <w:r>
        <w:t>ков (МРТ носоротоглотки)</w:t>
      </w:r>
      <w:r w:rsidRPr="00DA2BC8">
        <w:t xml:space="preserve"> и выделения культуры </w:t>
      </w:r>
      <w:r w:rsidRPr="00DA2BC8">
        <w:rPr>
          <w:i/>
          <w:iCs/>
        </w:rPr>
        <w:t xml:space="preserve">Aspergillus </w:t>
      </w:r>
      <w:r w:rsidRPr="00DA2BC8">
        <w:t>spp. из биоптата некротизированной слизистой оболочки носа или аспирата придаточных пазух носа либо обнаружение мицелия грибов при гистологическом или цитологическом исследовании биоптата (аспирата).</w:t>
      </w:r>
    </w:p>
    <w:p w14:paraId="7D768026" w14:textId="77777777" w:rsidR="00116AF3" w:rsidRPr="00DA2BC8" w:rsidRDefault="00116AF3" w:rsidP="00116AF3">
      <w:pPr>
        <w:widowControl w:val="0"/>
        <w:autoSpaceDE w:val="0"/>
        <w:autoSpaceDN w:val="0"/>
        <w:adjustRightInd w:val="0"/>
        <w:ind w:right="50"/>
        <w:contextualSpacing/>
      </w:pPr>
      <w:r w:rsidRPr="00EB3571">
        <w:rPr>
          <w:i/>
          <w:iCs/>
          <w:u w:val="single"/>
        </w:rPr>
        <w:t>Для лечения</w:t>
      </w:r>
      <w:r w:rsidRPr="00DA2BC8">
        <w:rPr>
          <w:b/>
          <w:bCs/>
        </w:rPr>
        <w:t xml:space="preserve"> </w:t>
      </w:r>
      <w:r w:rsidRPr="00DA2BC8">
        <w:t>используют те же препараты, что при инвазивном аспергиллезе легких.</w:t>
      </w:r>
    </w:p>
    <w:p w14:paraId="461F1E3A" w14:textId="77777777" w:rsidR="00116AF3" w:rsidRPr="001828E6" w:rsidRDefault="00116AF3" w:rsidP="00116AF3">
      <w:pPr>
        <w:widowControl w:val="0"/>
        <w:autoSpaceDE w:val="0"/>
        <w:autoSpaceDN w:val="0"/>
        <w:adjustRightInd w:val="0"/>
        <w:ind w:right="50"/>
        <w:contextualSpacing/>
        <w:rPr>
          <w:b/>
          <w:bCs/>
        </w:rPr>
      </w:pPr>
      <w:r w:rsidRPr="001828E6">
        <w:rPr>
          <w:b/>
          <w:bCs/>
        </w:rPr>
        <w:t xml:space="preserve">Резистентный инвазивный аспергиллез </w:t>
      </w:r>
    </w:p>
    <w:p w14:paraId="32D76A9E" w14:textId="77777777" w:rsidR="00116AF3" w:rsidRPr="00DA2BC8" w:rsidRDefault="00116AF3" w:rsidP="00116AF3">
      <w:pPr>
        <w:widowControl w:val="0"/>
        <w:autoSpaceDE w:val="0"/>
        <w:autoSpaceDN w:val="0"/>
        <w:adjustRightInd w:val="0"/>
        <w:ind w:right="50"/>
        <w:contextualSpacing/>
      </w:pPr>
      <w:r w:rsidRPr="00DA2BC8">
        <w:rPr>
          <w:bCs/>
        </w:rPr>
        <w:t>В критерии резистентного течения входят</w:t>
      </w:r>
      <w:r w:rsidRPr="00DA2BC8">
        <w:rPr>
          <w:b/>
          <w:bCs/>
        </w:rPr>
        <w:t xml:space="preserve"> </w:t>
      </w:r>
      <w:r w:rsidRPr="00DA2BC8">
        <w:t>сохранение клинических признаков инфекции и отрицательная динамика в легких по данным КТВР не ранее чем через 7-14 дней от начала лечения.</w:t>
      </w:r>
    </w:p>
    <w:p w14:paraId="0D21F72F" w14:textId="77777777" w:rsidR="00116AF3" w:rsidRPr="00DA2BC8" w:rsidRDefault="00116AF3" w:rsidP="00116AF3">
      <w:pPr>
        <w:widowControl w:val="0"/>
        <w:autoSpaceDE w:val="0"/>
        <w:autoSpaceDN w:val="0"/>
        <w:adjustRightInd w:val="0"/>
        <w:ind w:right="50"/>
        <w:contextualSpacing/>
        <w:rPr>
          <w:b/>
          <w:bCs/>
          <w:i/>
          <w:iCs/>
        </w:rPr>
      </w:pPr>
      <w:r w:rsidRPr="00DA2BC8">
        <w:rPr>
          <w:bCs/>
          <w:iCs/>
        </w:rPr>
        <w:t>Проводят модификацию противогрибковой терапии, которая включает</w:t>
      </w:r>
      <w:r w:rsidRPr="00DA2BC8">
        <w:rPr>
          <w:b/>
          <w:bCs/>
          <w:i/>
          <w:iCs/>
        </w:rPr>
        <w:t xml:space="preserve"> </w:t>
      </w:r>
      <w:r w:rsidRPr="00DA2BC8">
        <w:t>добавление второго антимикотика к ранее назначенному (например, к вориконазолу добавляют эхинокандин), или назначают противогрибковый препарат другой группы, отменяя препарат первой линии (назначение липидного комплекса амфотерицина В 5 мг/кг/сутки или липосомального амфотерицина В 5 мг/кг/сутки).</w:t>
      </w:r>
    </w:p>
    <w:p w14:paraId="6B1479FF" w14:textId="77777777" w:rsidR="00116AF3" w:rsidRPr="00047807" w:rsidRDefault="00116AF3" w:rsidP="00116AF3">
      <w:pPr>
        <w:widowControl w:val="0"/>
        <w:autoSpaceDE w:val="0"/>
        <w:autoSpaceDN w:val="0"/>
        <w:adjustRightInd w:val="0"/>
        <w:ind w:right="50"/>
        <w:contextualSpacing/>
        <w:rPr>
          <w:b/>
          <w:bCs/>
        </w:rPr>
      </w:pPr>
      <w:r w:rsidRPr="00047807">
        <w:rPr>
          <w:b/>
          <w:bCs/>
        </w:rPr>
        <w:t>Инвазивный аспергиллез ЦНС</w:t>
      </w:r>
    </w:p>
    <w:p w14:paraId="0B99271F" w14:textId="77777777" w:rsidR="00116AF3" w:rsidRPr="00DA2BC8" w:rsidRDefault="00116AF3" w:rsidP="00116AF3">
      <w:pPr>
        <w:widowControl w:val="0"/>
        <w:autoSpaceDE w:val="0"/>
        <w:autoSpaceDN w:val="0"/>
        <w:adjustRightInd w:val="0"/>
        <w:ind w:right="50"/>
        <w:contextualSpacing/>
        <w:rPr>
          <w:bCs/>
        </w:rPr>
      </w:pPr>
      <w:r w:rsidRPr="00DA2BC8">
        <w:t xml:space="preserve">Поражение аспергиллами ЦНС происходит в результате диссеминации - гематогенной или из соседнего органа (инвазия грибов из околоносовых пазух). </w:t>
      </w:r>
      <w:r w:rsidRPr="00DA2BC8">
        <w:rPr>
          <w:bCs/>
        </w:rPr>
        <w:t xml:space="preserve">В критерии диагностики входят </w:t>
      </w:r>
      <w:r w:rsidRPr="00DA2BC8">
        <w:t xml:space="preserve">неврологические симптомы, выявление очагов в головном мозге при </w:t>
      </w:r>
      <w:r>
        <w:t>КТ/СКТ</w:t>
      </w:r>
      <w:r w:rsidRPr="00DA2BC8">
        <w:t xml:space="preserve"> или МРТ</w:t>
      </w:r>
      <w:r>
        <w:t xml:space="preserve"> (по показаниям с контрастированием)</w:t>
      </w:r>
      <w:r w:rsidRPr="00DA2BC8">
        <w:t>;</w:t>
      </w:r>
      <w:r w:rsidRPr="00DA2BC8">
        <w:rPr>
          <w:bCs/>
        </w:rPr>
        <w:t xml:space="preserve"> </w:t>
      </w:r>
      <w:r w:rsidRPr="00DA2BC8">
        <w:t xml:space="preserve">наличие первичного очага инвазии аспергиллами в легких или околоносовых пазухах. В части случаев может быть определен положительный антиген </w:t>
      </w:r>
      <w:r w:rsidRPr="00DA2BC8">
        <w:rPr>
          <w:i/>
          <w:iCs/>
        </w:rPr>
        <w:t>Aspergillus</w:t>
      </w:r>
      <w:r w:rsidRPr="00DA2BC8">
        <w:t xml:space="preserve"> (галактоманнана) в СМЖ (индекс оптической плотности ≥1</w:t>
      </w:r>
      <w:r>
        <w:t>)</w:t>
      </w:r>
      <w:r w:rsidRPr="00EC3182">
        <w:t>.</w:t>
      </w:r>
      <w:r w:rsidRPr="00DA2BC8">
        <w:rPr>
          <w:b/>
          <w:bCs/>
          <w:i/>
          <w:iCs/>
        </w:rPr>
        <w:t xml:space="preserve"> </w:t>
      </w:r>
      <w:r w:rsidRPr="00DA2BC8">
        <w:t>Препарат выбора для лечения инвазивного аспергиллеза ЦНС – липосомальный амфотерицин В (5-10 мг/кг/сутки) или липидный комплекс амфотерицина В (5 мг/кг /сутки); альтернативный – вориконазол (дозы как при лечении инвазивного аспергиллеза легких) или изавуконазол.</w:t>
      </w:r>
      <w:r w:rsidRPr="00DA2BC8">
        <w:rPr>
          <w:b/>
          <w:bCs/>
        </w:rPr>
        <w:t xml:space="preserve"> </w:t>
      </w:r>
      <w:r w:rsidRPr="00DA2BC8">
        <w:rPr>
          <w:bCs/>
        </w:rPr>
        <w:t xml:space="preserve">Если лечение проводили липидной формой амфотерицина В, то после стабилизации состояния, но не ранее чем через 2 недели, можно перейти на пероральный прием азолов (вориконазол, изавуконазол, позаконазол). </w:t>
      </w:r>
      <w:r w:rsidRPr="00DA2BC8">
        <w:t>Противогрибковые препараты, включая амфотерицин В, интратекально или в очаг поражения не вводят.</w:t>
      </w:r>
      <w:r w:rsidRPr="00DA2BC8">
        <w:rPr>
          <w:bCs/>
        </w:rPr>
        <w:t xml:space="preserve"> Хирургическое лечение</w:t>
      </w:r>
      <w:r w:rsidRPr="00DA2BC8">
        <w:t xml:space="preserve"> заключается в резекции очага в головном мозге, которую проводят при условии, что не будет усугубления неврологических нарушений. Лечение длительное, составляет несколько месяцев.</w:t>
      </w:r>
    </w:p>
    <w:p w14:paraId="0D7E90EE" w14:textId="77777777" w:rsidR="00116AF3" w:rsidRDefault="00116AF3" w:rsidP="00116AF3">
      <w:pPr>
        <w:widowControl w:val="0"/>
        <w:autoSpaceDE w:val="0"/>
        <w:autoSpaceDN w:val="0"/>
        <w:adjustRightInd w:val="0"/>
        <w:ind w:right="50"/>
        <w:contextualSpacing/>
        <w:rPr>
          <w:b/>
          <w:bCs/>
        </w:rPr>
      </w:pPr>
    </w:p>
    <w:p w14:paraId="4B8AA492" w14:textId="516C22F9" w:rsidR="00116AF3" w:rsidRPr="00084B8B" w:rsidRDefault="00116AF3" w:rsidP="00116AF3">
      <w:pPr>
        <w:widowControl w:val="0"/>
        <w:autoSpaceDE w:val="0"/>
        <w:autoSpaceDN w:val="0"/>
        <w:adjustRightInd w:val="0"/>
        <w:ind w:right="49"/>
        <w:contextualSpacing/>
        <w:rPr>
          <w:bCs/>
          <w:u w:val="single"/>
        </w:rPr>
      </w:pPr>
      <w:r w:rsidRPr="00EB3571">
        <w:rPr>
          <w:bCs/>
          <w:u w:val="single"/>
        </w:rPr>
        <w:t>Диагностика и лечение мукормикоза</w:t>
      </w:r>
      <w:r>
        <w:rPr>
          <w:bCs/>
          <w:u w:val="single"/>
          <w:lang w:val="en-US"/>
        </w:rPr>
        <w:t xml:space="preserve"> </w:t>
      </w:r>
      <w:r>
        <w:rPr>
          <w:b/>
        </w:rPr>
        <w:fldChar w:fldCharType="begin" w:fldLock="1"/>
      </w:r>
      <w:r w:rsidR="009D41F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patients","type":"article-journal","volume":"102"},"uris":["http://www.mendeley.com/documents/?uuid=56063fed-25f6-3324-a2f1-f316166613f0"]},{"id":"ITEM-5","itemData":{"DOI":"10.1016/S1473-3099(19)30312-3","ISSN":"14744457","PMID":"31699664","abstract":"Mucormycosis is a difficult to diagnose rare disease with high morbidity and mortality. Diagnosis is often delayed, and disease tends to progress rapidly. Urgent surgical and medical intervention is lifesaving. Guidance on the complex multidisciplinary management has potential to improve prognosis, but approaches differ between health-care settings. From January, 2018, authors from 33 countries in all United Nations regions analysed the published evidence on mucormycosis management and provided consensus recommendations addressing differences between the regions of the world as part of the “One World One Guideline” initiative of the European Confederation of Medical Mycology (ECMM). Diagnostic management does not differ greatly between world regions. Upon suspicion of mucormycosis appropriate imaging is strongly recommended to document extent of disease and is followed by strongly recommended surgical intervention. First-line treatment with high-dose liposomal amphotericin B is strongly recommended, while intravenous isavuconazole and intravenous or delayed release tablet posaconazole are recommended with moderate strength. Both triazoles are strongly recommended salvage treatments. Amphotericin B deoxycholate is recommended against, because of substantial toxicity, but may be the only option in resource limited settings. Management of mucormycosis depends on recognising disease patterns and on early diagnosis. Limited availability of contemporary treatments burdens patients in low and middle income settings. Areas of uncertainty were identified and future research directions specified.","author":[{"dropping-particle":"","family":"Cornely","given":"Oliver A.","non-dropping-particle":"","parse-names":false,"suffix":""},{"dropping-particle":"","family":"Alastruey-Izquierdo","given":"Ana","non-dropping-particle":"","parse-names":false,"suffix":""},{"dropping-particle":"","family":"Arenz","given":"Dorothee","non-dropping-particle":"","parse-names":false,"suffix":""},{"dropping-particle":"","family":"Chen","given":"Sharon C.A.","non-dropping-particle":"","parse-names":false,"suffix":""},{"dropping-particle":"","family":"Dannaoui","given":"Eric","non-dropping-particle":"","parse-names":false,"suffix":""},{"dropping-particle":"","family":"Hochhegger","given":"Bruno","non-dropping-particle":"","parse-names":false,"suffix":""},{"dropping-particle":"","family":"Hoenigl","given":"Martin","non-dropping-particle":"","parse-names":false,"suffix":""},{"dropping-particle":"","family":"Jensen","given":"Henrik E.","non-dropping-particle":"","parse-names":false,"suffix":""},{"dropping-particle":"","family":"Lagrou","given":"Katrien","non-dropping-particle":"","parse-names":false,"suffix":""},{"dropping-particle":"","family":"Lewis","given":"Russell E.","non-dropping-particle":"","parse-names":false,"suffix":""},{"dropping-particle":"","family":"Mellinghoff","given":"Sibylle C.","non-dropping-particle":"","parse-names":false,"suffix":""},{"dropping-particle":"","family":"Mer","given":"Mervyn","non-dropping-particle":"","parse-names":false,"suffix":""},{"dropping-particle":"","family":"Pana","given":"Zoi D.","non-dropping-particle":"","parse-names":false,"suffix":""},{"dropping-particle":"","family":"Seidel","given":"Danila","non-dropping-particle":"","parse-names":false,"suffix":""},{"dropping-particle":"","family":"Sheppard","given":"Donald C.","non-dropping-particle":"","parse-names":false,"suffix":""},{"dropping-particle":"","family":"Wahba","given":"Roger","non-dropping-particle":"","parse-names":false,"suffix":""},{"dropping-particle":"","family":"Akova","given":"Murat","non-dropping-particle":"","parse-names":false,"suffix":""},{"dropping-particle":"","family":"Alanio","given":"Alexandre","non-dropping-particle":"","parse-names":false,"suffix":""},{"dropping-particle":"","family":"Al-Hatmi","given":"Abdullah M.S.","non-dropping-particle":"","parse-names":false,"suffix":""},{"dropping-particle":"","family":"Arikan-Akdagli","given":"Sevtap","non-dropping-particle":"","parse-names":false,"suffix":""},{"dropping-particle":"","family":"Badali","given":"Hamid","non-dropping-particle":"","parse-names":false,"suffix":""},{"dropping-particle":"","family":"Ben-Ami","given":"Ronen","non-dropping-particle":"","parse-names":false,"suffix":""},{"dropping-particle":"","family":"Bonifaz","given":"Alexandro","non-dropping-particle":"","parse-names":false,"suffix":""},{"dropping-particle":"","family":"Bretagne","given":"Stéphane","non-dropping-particle":"","parse-names":false,"suffix":""},{"dropping-particle":"","family":"Castagnola","given":"Elio","non-dropping-particle":"","parse-names":false,"suffix":""},{"dropping-particle":"","family":"Chayakulkeeree","given":"Methee","non-dropping-particle":"","parse-names":false,"suffix":""},{"dropping-particle":"","family":"Colombo","given":"Arnaldo L.","non-dropping-particle":"","parse-names":false,"suffix":""},{"dropping-particle":"","family":"Corzo-León","given":"Dora E.","non-dropping-particle":"","parse-names":false,"suffix":""},{"dropping-particle":"","family":"Drgona","given":"Lubos","non-dropping-particle":"","parse-names":false,"suffix":""},{"dropping-particle":"","family":"Groll","given":"Andreas H.","non-dropping-particle":"","parse-names":false,"suffix":""},{"dropping-particle":"","family":"Guinea","given":"Jesus","non-dropping-particle":"","parse-names":false,"suffix":""},{"dropping-particle":"","family":"Heussel","given":"Claus Peter","non-dropping-particle":"","parse-names":false,"suffix":""},{"dropping-particle":"","family":"Ibrahim","given":"Ashraf S.","non-dropping-particle":"","parse-names":false,"suffix":""},{"dropping-particle":"","family":"Kanj","given":"Souha S.","non-dropping-particle":"","parse-names":false,"suffix":""},{"dropping-particle":"","family":"Klimko","given":"Nikolay","non-dropping-particle":"","parse-names":false,"suffix":""},{"dropping-particle":"","family":"Lackner","given":"Michaela","non-dropping-particle":"","parse-names":false,"suffix":""},{"dropping-particle":"","family":"Lamoth","given":"Frederic","non-dropping-particle":"","parse-names":false,"suffix":""},{"dropping-particle":"","family":"Lanternier","given":"Fanny","non-dropping-particle":"","parse-names":false,"suffix":""},{"dropping-particle":"","family":"Lass-Floerl","given":"Cornelia","non-dropping-particle":"","parse-names":false,"suffix":""},{"dropping-particle":"","family":"Lee","given":"Dong Gun","non-dropping-particle":"","parse-names":false,"suffix":""},{"dropping-particle":"","family":"Lehrnbecher","given":"Thomas","non-dropping-particle":"","parse-names":false,"suffix":""},{"dropping-particle":"","family":"Lmimouni","given":"Badre E.","non-dropping-particle":"","parse-names":false,"suffix":""},{"dropping-particle":"","family":"Mares","given":"Mihai","non-dropping-particle":"","parse-names":false,"suffix":""},{"dropping-particle":"","family":"Maschmeyer","given":"Georg","non-dropping-particle":"","parse-names":false,"suffix":""},{"dropping-particle":"","family":"Meis","given":"Jacques F.","non-dropping-particle":"","parse-names":false,"suffix":""},{"dropping-particle":"","family":"Meletiadis","given":"Joseph","non-dropping-particle":"","parse-names":false,"suffix":""},{"dropping-particle":"","family":"Morrissey","given":"C. Orla","non-dropping-particle":"","parse-names":false,"suffix":""},{"dropping-particle":"","family":"Nucci","given":"Marcio","non-dropping-particle":"","parse-names":false,"suffix":""},{"dropping-particle":"","family":"Oladele","given":"Rita","non-dropping-particle":"","parse-names":false,"suffix":""},{"dropping-particle":"","family":"Pagano","given":"Livio","non-dropping-particle":"","parse-names":false,"suffix":""},{"dropping-particle":"","family":"Pasqualotto","given":"Alessandro","non-dropping-particle":"","parse-names":false,"suffix":""},{"dropping-particle":"","family":"Patel","given":"Atul","non-dropping-particle":"","parse-names":false,"suffix":""},{"dropping-particle":"","family":"Racil","given":"Zdenek","non-dropping-particle":"","parse-names":false,"suffix":""},{"dropping-particle":"","family":"Richardson","given":"Malcolm","non-dropping-particle":"","parse-names":false,"suffix":""},{"dropping-particle":"","family":"Roilides","given":"Emmanuel","non-dropping-particle":"","parse-names":false,"suffix":""},{"dropping-particle":"","family":"Ruhnke","given":"Markus","non-dropping-particle":"","parse-names":false,"suffix":""},{"dropping-particle":"","family":"Seyedmousavi","given":"Seyedmojtaba","non-dropping-particle":"","parse-names":false,"suffix":""},{"dropping-particle":"","family":"Sidharthan","given":"Neeraj","non-dropping-particle":"","parse-names":false,"suffix":""},{"dropping-particle":"","family":"Singh","given":"Nina","non-dropping-particle":"","parse-names":false,"suffix":""},{"dropping-particle":"","family":"Sinko","given":"János","non-dropping-particle":"","parse-names":false,"suffix":""},{"dropping-particle":"","family":"Skiada","given":"Anna","non-dropping-particle":"","parse-names":false,"suffix":""},{"dropping-particle":"","family":"Slavin","given":"Monica","non-dropping-particle":"","parse-names":false,"suffix":""},{"dropping-particle":"","family":"Soman","given":"Rajeev","non-dropping-particle":"","parse-names":false,"suffix":""},{"dropping-particle":"","family":"Spellberg","given":"Brad","non-dropping-particle":"","parse-names":false,"suffix":""},{"dropping-particle":"","family":"Steinbach","given":"William","non-dropping-particle":"","parse-names":false,"suffix":""},{"dropping-particle":"","family":"Tan","given":"Ban Hock","non-dropping-particle":"","parse-names":false,"suffix":""},{"dropping-particle":"","family":"Ullmann","given":"Andrew J.","non-dropping-particle":"","parse-names":false,"suffix":""},{"dropping-particle":"","family":"Vehreschild","given":"Jörg J.","non-dropping-particle":"","parse-names":false,"suffix":""},{"dropping-particle":"","family":"Vehreschild","given":"Maria J.G.T.","non-dropping-particle":"","parse-names":false,"suffix":""},{"dropping-particle":"","family":"Walsh","given":"Thomas J.","non-dropping-particle":"","parse-names":false,"suffix":""},{"dropping-particle":"","family":"White","given":"P. Lewis","non-dropping-particle":"","parse-names":false,"suffix":""},{"dropping-particle":"","family":"Wiederhold","given":"Nathan P.","non-dropping-particle":"","parse-names":false,"suffix":""},{"dropping-particle":"","family":"Zaoutis","given":"Theoklis","non-dropping-particle":"","parse-names":false,"suffix":""},{"dropping-particle":"","family":"Chakrabarti","given":"Arunaloke","non-dropping-particle":"","parse-names":false,"suffix":""}],"container-title":"The Lancet Infectious Diseases","id":"ITEM-5","issue":"12","issued":{"date-parts":[["2019","12","1"]]},"page":"e405-e421","publisher":"Lancet Publishing Group","title":"Global guideline for the diagnosis and management of mucormycosis: an initiative of the European Confederation of Medical Mycology in cooperation with the Mycoses Study Group Education and Research Consortium","type":"article","volume":"19"},"uris":["http://www.mendeley.com/documents/?uuid=fc978cfc-9076-3684-a701-eca666f38a46"]}],"mendeley":{"formattedCitation":"[47,48,54,55,58]","plainTextFormattedCitation":"[47,48,54,55,58]","previouslyFormattedCitation":"[47,48,54,55,58]"},"properties":{"noteIndex":0},"schema":"https://github.com/citation-style-language/schema/raw/master/csl-citation.json"}</w:instrText>
      </w:r>
      <w:r>
        <w:rPr>
          <w:b/>
        </w:rPr>
        <w:fldChar w:fldCharType="separate"/>
      </w:r>
      <w:r w:rsidR="004C3BA5" w:rsidRPr="004C3BA5">
        <w:rPr>
          <w:noProof/>
        </w:rPr>
        <w:t>[47,48,54,55,58]</w:t>
      </w:r>
      <w:r>
        <w:rPr>
          <w:b/>
        </w:rPr>
        <w:fldChar w:fldCharType="end"/>
      </w:r>
    </w:p>
    <w:p w14:paraId="20D85207" w14:textId="77777777" w:rsidR="00116AF3" w:rsidRPr="00DA2BC8" w:rsidRDefault="00116AF3" w:rsidP="00116AF3">
      <w:pPr>
        <w:widowControl w:val="0"/>
        <w:autoSpaceDE w:val="0"/>
        <w:autoSpaceDN w:val="0"/>
        <w:adjustRightInd w:val="0"/>
        <w:ind w:right="50"/>
        <w:contextualSpacing/>
      </w:pPr>
      <w:r w:rsidRPr="00DA2BC8">
        <w:t>Мукормикоз занимает вторую позицию после инвазивного аспергиллеза в спектре инвазивных микозо</w:t>
      </w:r>
      <w:r>
        <w:t>в, вызванных плесневыми грибами</w:t>
      </w:r>
      <w:r w:rsidRPr="00DA2BC8">
        <w:t xml:space="preserve"> у </w:t>
      </w:r>
      <w:r>
        <w:t>гематологических пациентов</w:t>
      </w:r>
      <w:r w:rsidRPr="00DA2BC8">
        <w:t xml:space="preserve">. Частота мукормикоза у </w:t>
      </w:r>
      <w:r>
        <w:t>гематологических пациентов</w:t>
      </w:r>
      <w:r w:rsidRPr="00DA2BC8">
        <w:t xml:space="preserve"> не превышает 0,5%, в структуре инвазивных микозов составляет </w:t>
      </w:r>
      <w:r>
        <w:t>3-5</w:t>
      </w:r>
      <w:r w:rsidRPr="00DA2BC8">
        <w:t xml:space="preserve">. Мукормикоз преобладает у больных острыми лейкозами и реципиентов аллогенных СГК, характеризуется агрессивным течением с преимущественным поражением легких, частой диссеминацией (25-40%), высокой летальностью (50—60%). </w:t>
      </w:r>
      <w:r w:rsidRPr="00DA2BC8">
        <w:rPr>
          <w:bCs/>
        </w:rPr>
        <w:t xml:space="preserve">Возбудители </w:t>
      </w:r>
      <w:r w:rsidRPr="00DA2BC8">
        <w:t xml:space="preserve">– мицелиальные грибы </w:t>
      </w:r>
      <w:r w:rsidRPr="00DA2BC8">
        <w:rPr>
          <w:i/>
          <w:iCs/>
        </w:rPr>
        <w:t>Mucorales</w:t>
      </w:r>
      <w:r w:rsidRPr="00DA2BC8">
        <w:t xml:space="preserve">, среди них наиболее часто инфекцию у человека вызывают </w:t>
      </w:r>
      <w:r w:rsidRPr="00DA2BC8">
        <w:rPr>
          <w:i/>
          <w:iCs/>
        </w:rPr>
        <w:t>Rhizopus</w:t>
      </w:r>
      <w:r w:rsidRPr="00DA2BC8">
        <w:t xml:space="preserve"> spp., </w:t>
      </w:r>
      <w:r w:rsidRPr="00DA2BC8">
        <w:rPr>
          <w:i/>
          <w:iCs/>
        </w:rPr>
        <w:t>Mucor</w:t>
      </w:r>
      <w:r w:rsidRPr="00DA2BC8">
        <w:t xml:space="preserve"> spp., </w:t>
      </w:r>
      <w:r w:rsidRPr="00DA2BC8">
        <w:rPr>
          <w:i/>
          <w:iCs/>
        </w:rPr>
        <w:t>Lichtheimia</w:t>
      </w:r>
      <w:r w:rsidRPr="00DA2BC8">
        <w:t xml:space="preserve"> (</w:t>
      </w:r>
      <w:r w:rsidRPr="00DA2BC8">
        <w:rPr>
          <w:i/>
          <w:iCs/>
        </w:rPr>
        <w:t>Absidia</w:t>
      </w:r>
      <w:r w:rsidRPr="00DA2BC8">
        <w:t xml:space="preserve">) spp., </w:t>
      </w:r>
      <w:r w:rsidRPr="00DA2BC8">
        <w:rPr>
          <w:i/>
          <w:iCs/>
        </w:rPr>
        <w:t>Cunninghamella</w:t>
      </w:r>
      <w:r w:rsidRPr="00DA2BC8">
        <w:t xml:space="preserve"> spp., </w:t>
      </w:r>
      <w:r w:rsidRPr="00DA2BC8">
        <w:rPr>
          <w:i/>
          <w:iCs/>
        </w:rPr>
        <w:t>Rhizomucor</w:t>
      </w:r>
      <w:r w:rsidRPr="00DA2BC8">
        <w:t xml:space="preserve"> spp., </w:t>
      </w:r>
      <w:r w:rsidRPr="00DA2BC8">
        <w:rPr>
          <w:i/>
          <w:iCs/>
        </w:rPr>
        <w:t>Apophysomyces</w:t>
      </w:r>
      <w:r w:rsidRPr="00DA2BC8">
        <w:t xml:space="preserve"> spp., </w:t>
      </w:r>
      <w:r w:rsidRPr="00DA2BC8">
        <w:rPr>
          <w:i/>
          <w:iCs/>
        </w:rPr>
        <w:t>Saksenaea</w:t>
      </w:r>
      <w:r w:rsidRPr="00DA2BC8">
        <w:t xml:space="preserve"> spp.</w:t>
      </w:r>
    </w:p>
    <w:p w14:paraId="25CF99FB" w14:textId="77777777" w:rsidR="00116AF3" w:rsidRPr="00DA2BC8" w:rsidRDefault="00116AF3" w:rsidP="00116AF3">
      <w:pPr>
        <w:widowControl w:val="0"/>
        <w:autoSpaceDE w:val="0"/>
        <w:autoSpaceDN w:val="0"/>
        <w:adjustRightInd w:val="0"/>
        <w:ind w:right="50"/>
        <w:contextualSpacing/>
      </w:pPr>
      <w:r w:rsidRPr="00686506">
        <w:rPr>
          <w:i/>
          <w:iCs/>
          <w:u w:val="single"/>
        </w:rPr>
        <w:t>Факторы риска</w:t>
      </w:r>
      <w:r w:rsidRPr="00DA2BC8">
        <w:t xml:space="preserve"> возникновения мукормикоза во многом схожи с таковыми для инвазивного аспергиллеза и включают длительную гранулоцитопению (нейтрофилов менее 0,5 × 10</w:t>
      </w:r>
      <w:r w:rsidRPr="00DA2BC8">
        <w:rPr>
          <w:vertAlign w:val="superscript"/>
        </w:rPr>
        <w:t>9</w:t>
      </w:r>
      <w:r w:rsidRPr="00DA2BC8">
        <w:t xml:space="preserve">/л), трансплантацию аллогенных СГК, отсутствие ремиссии гемобластоза, лечение глюкокортикостероидами и другими иммуносупрессивными препаратами. К дополнительным факторам риска, ассоциированным с развитием мукормикоза, относят сахарный диабет, тяжелые травмы и обширные ожоги. Следует отметить, что вориконазол не активен в отношении </w:t>
      </w:r>
      <w:r w:rsidRPr="00DA2BC8">
        <w:rPr>
          <w:i/>
          <w:iCs/>
        </w:rPr>
        <w:t>Mucorale</w:t>
      </w:r>
      <w:r w:rsidRPr="00DA2BC8">
        <w:t xml:space="preserve">s, и в период его применения может возникать мукормикоз. Важным компонентом метаболизма </w:t>
      </w:r>
      <w:r w:rsidRPr="00DA2BC8">
        <w:rPr>
          <w:i/>
          <w:iCs/>
        </w:rPr>
        <w:t xml:space="preserve">Mucorales </w:t>
      </w:r>
      <w:r w:rsidRPr="00DA2BC8">
        <w:t xml:space="preserve">является железо, поэтому </w:t>
      </w:r>
      <w:r>
        <w:t>пациентов</w:t>
      </w:r>
      <w:r w:rsidRPr="00DA2BC8">
        <w:t xml:space="preserve"> с гемосидерозом относят к группе высокого риска по возникновению мукормикоза, как и пациентов, получающих лечение дефероксамином. </w:t>
      </w:r>
    </w:p>
    <w:p w14:paraId="2852F7F2" w14:textId="77777777" w:rsidR="00116AF3" w:rsidRPr="00047807" w:rsidRDefault="00116AF3" w:rsidP="00116AF3">
      <w:pPr>
        <w:widowControl w:val="0"/>
        <w:autoSpaceDE w:val="0"/>
        <w:autoSpaceDN w:val="0"/>
        <w:adjustRightInd w:val="0"/>
        <w:ind w:right="50"/>
        <w:contextualSpacing/>
        <w:rPr>
          <w:b/>
          <w:bCs/>
        </w:rPr>
      </w:pPr>
      <w:r w:rsidRPr="00047807">
        <w:rPr>
          <w:b/>
          <w:bCs/>
        </w:rPr>
        <w:t>Мукормикоз легких</w:t>
      </w:r>
    </w:p>
    <w:p w14:paraId="11FEB684" w14:textId="77777777" w:rsidR="00116AF3" w:rsidRPr="00686506" w:rsidRDefault="00116AF3" w:rsidP="00116AF3">
      <w:pPr>
        <w:widowControl w:val="0"/>
        <w:autoSpaceDE w:val="0"/>
        <w:autoSpaceDN w:val="0"/>
        <w:adjustRightInd w:val="0"/>
        <w:ind w:right="50"/>
        <w:contextualSpacing/>
        <w:rPr>
          <w:i/>
          <w:iCs/>
          <w:u w:val="single"/>
        </w:rPr>
      </w:pPr>
      <w:r w:rsidRPr="00686506">
        <w:rPr>
          <w:i/>
          <w:iCs/>
          <w:u w:val="single"/>
        </w:rPr>
        <w:t>Симптомы</w:t>
      </w:r>
    </w:p>
    <w:p w14:paraId="73AC90E2" w14:textId="77777777" w:rsidR="00116AF3" w:rsidRPr="00DA2BC8" w:rsidRDefault="00116AF3" w:rsidP="00116AF3">
      <w:pPr>
        <w:widowControl w:val="0"/>
        <w:autoSpaceDE w:val="0"/>
        <w:autoSpaceDN w:val="0"/>
        <w:adjustRightInd w:val="0"/>
        <w:ind w:right="50"/>
        <w:contextualSpacing/>
      </w:pPr>
      <w:r w:rsidRPr="00DA2BC8">
        <w:t xml:space="preserve">Клинические проявления скудные, неспецифичные, схожи с таковыми при инвазивном аспергиллезе легких. Нередко присутствует непродуктивный кашель, прогрессирующая дыхательная недостаточность, плевральная боль. При наличии плеврита может выслушиваться шум трения плевры. Инвазия мицелия грибов в сосуды вызывает некроз окружающих тканей и приводит к образованию полостей и фатальным легочным кровотечениям. У </w:t>
      </w:r>
      <w:r>
        <w:t>гематологических пациентов</w:t>
      </w:r>
      <w:r w:rsidRPr="00DA2BC8">
        <w:t xml:space="preserve"> часто бывает диссеминация инфекции вследствие инвазии грибов в окружающие ткани и органы (бронхи, плевру, грудную стенку, диафрагму, печень и др.), или гематогенно (в головной мозг, селезенку, почки, сердце, мягкие ткани и т. д.). Для диссеминированной формы инфекции характерны симптомы, соответствующие локализации очагов поражения. </w:t>
      </w:r>
    </w:p>
    <w:p w14:paraId="3E3F3160" w14:textId="77777777" w:rsidR="00116AF3" w:rsidRPr="00DA2BC8" w:rsidRDefault="00116AF3" w:rsidP="00116AF3">
      <w:pPr>
        <w:widowControl w:val="0"/>
        <w:autoSpaceDE w:val="0"/>
        <w:autoSpaceDN w:val="0"/>
        <w:adjustRightInd w:val="0"/>
        <w:ind w:right="50"/>
        <w:contextualSpacing/>
        <w:rPr>
          <w:b/>
          <w:bCs/>
        </w:rPr>
      </w:pPr>
      <w:r w:rsidRPr="00686506">
        <w:rPr>
          <w:i/>
          <w:iCs/>
          <w:u w:val="single"/>
        </w:rPr>
        <w:t>Диагностика мукормикоза легких</w:t>
      </w:r>
      <w:r w:rsidRPr="00DA2BC8">
        <w:rPr>
          <w:b/>
          <w:bCs/>
        </w:rPr>
        <w:t xml:space="preserve"> </w:t>
      </w:r>
      <w:r w:rsidRPr="00DA2BC8">
        <w:rPr>
          <w:bCs/>
        </w:rPr>
        <w:t xml:space="preserve">включает присутствие факторов риска, радиологические изменения в легких и наличие микологического подтверждения инфекции. </w:t>
      </w:r>
    </w:p>
    <w:p w14:paraId="195612B5" w14:textId="77777777" w:rsidR="00116AF3" w:rsidRPr="00686506" w:rsidRDefault="00116AF3" w:rsidP="00116AF3">
      <w:pPr>
        <w:widowControl w:val="0"/>
        <w:autoSpaceDE w:val="0"/>
        <w:autoSpaceDN w:val="0"/>
        <w:adjustRightInd w:val="0"/>
        <w:ind w:right="50"/>
        <w:contextualSpacing/>
        <w:rPr>
          <w:i/>
          <w:iCs/>
          <w:u w:val="single"/>
        </w:rPr>
      </w:pPr>
      <w:r w:rsidRPr="00686506">
        <w:rPr>
          <w:i/>
          <w:iCs/>
          <w:u w:val="single"/>
        </w:rPr>
        <w:t>Радиологические особенности мукормикоза легких</w:t>
      </w:r>
    </w:p>
    <w:p w14:paraId="161873A3" w14:textId="77777777" w:rsidR="00116AF3" w:rsidRPr="00DA2BC8" w:rsidRDefault="00116AF3" w:rsidP="00116AF3">
      <w:pPr>
        <w:widowControl w:val="0"/>
        <w:autoSpaceDE w:val="0"/>
        <w:autoSpaceDN w:val="0"/>
        <w:adjustRightInd w:val="0"/>
        <w:ind w:right="50"/>
        <w:contextualSpacing/>
      </w:pPr>
      <w:r w:rsidRPr="00DA2BC8">
        <w:t>Основа радиологической диагностики – это КТ</w:t>
      </w:r>
      <w:r>
        <w:t>/СКТ</w:t>
      </w:r>
      <w:r w:rsidRPr="00DA2BC8">
        <w:t>. Радиологические проявления мукормикоза неспецифичны и часто схожи с инвазивным аспергиллезом. Выделяют ряд радиологических признаков, которые в большей степени характерны для мукормикоза, чем для инвазивного аспергиллеза, и включают симптом «обратного ореола» (просветление в центре очага или зоны консолидации), плевральный выпот, наличие от 10 и более очагов в легких.</w:t>
      </w:r>
    </w:p>
    <w:p w14:paraId="4318EB70" w14:textId="77777777" w:rsidR="00116AF3" w:rsidRPr="00686506" w:rsidRDefault="00116AF3" w:rsidP="00116AF3">
      <w:pPr>
        <w:widowControl w:val="0"/>
        <w:autoSpaceDE w:val="0"/>
        <w:autoSpaceDN w:val="0"/>
        <w:adjustRightInd w:val="0"/>
        <w:ind w:right="50"/>
        <w:contextualSpacing/>
        <w:rPr>
          <w:bCs/>
          <w:i/>
          <w:iCs/>
        </w:rPr>
      </w:pPr>
      <w:r w:rsidRPr="00686506">
        <w:rPr>
          <w:bCs/>
          <w:i/>
          <w:iCs/>
          <w:u w:val="single"/>
        </w:rPr>
        <w:t>Микологическая диагностика мукормикоза</w:t>
      </w:r>
    </w:p>
    <w:p w14:paraId="2E0CFC82" w14:textId="77777777" w:rsidR="00116AF3" w:rsidRPr="00DA2BC8" w:rsidRDefault="00116AF3" w:rsidP="00116AF3">
      <w:pPr>
        <w:widowControl w:val="0"/>
        <w:autoSpaceDE w:val="0"/>
        <w:autoSpaceDN w:val="0"/>
        <w:adjustRightInd w:val="0"/>
        <w:ind w:right="50"/>
        <w:contextualSpacing/>
      </w:pPr>
      <w:r w:rsidRPr="00DA2BC8">
        <w:t xml:space="preserve">Нет серологических маркеров диагностики. Исследуют жидкость БАЛ или биоптаты органов. Диагноз устанавливают на основании обнаружения несептированного мицелия при флуоресцентной микроскопии либо при гистологическом исследовании биоптата, или детекции культуры грибов </w:t>
      </w:r>
      <w:r w:rsidRPr="00DA2BC8">
        <w:rPr>
          <w:i/>
          <w:iCs/>
        </w:rPr>
        <w:t>Mucorales</w:t>
      </w:r>
      <w:r w:rsidRPr="00DA2BC8">
        <w:t xml:space="preserve"> из исследуемых образцов. Вероятность получения культуры </w:t>
      </w:r>
      <w:r w:rsidRPr="00DA2BC8">
        <w:rPr>
          <w:i/>
          <w:iCs/>
        </w:rPr>
        <w:t xml:space="preserve">Mucorales </w:t>
      </w:r>
      <w:r w:rsidRPr="00DA2BC8">
        <w:rPr>
          <w:iCs/>
        </w:rPr>
        <w:t xml:space="preserve">выше из биоптатов, чем из жидкости БАЛ. </w:t>
      </w:r>
    </w:p>
    <w:p w14:paraId="433FD261" w14:textId="77777777" w:rsidR="00116AF3" w:rsidRPr="00686506" w:rsidRDefault="00116AF3" w:rsidP="00116AF3">
      <w:pPr>
        <w:widowControl w:val="0"/>
        <w:autoSpaceDE w:val="0"/>
        <w:autoSpaceDN w:val="0"/>
        <w:adjustRightInd w:val="0"/>
        <w:ind w:right="50"/>
        <w:contextualSpacing/>
        <w:rPr>
          <w:i/>
          <w:iCs/>
          <w:u w:val="single"/>
        </w:rPr>
      </w:pPr>
      <w:r w:rsidRPr="00686506">
        <w:rPr>
          <w:i/>
          <w:iCs/>
          <w:u w:val="single"/>
        </w:rPr>
        <w:t>Лечение мукормикоза легких</w:t>
      </w:r>
    </w:p>
    <w:p w14:paraId="0276B433" w14:textId="77777777" w:rsidR="00116AF3" w:rsidRPr="00DA2BC8" w:rsidRDefault="00116AF3" w:rsidP="00116AF3">
      <w:pPr>
        <w:widowControl w:val="0"/>
        <w:autoSpaceDE w:val="0"/>
        <w:autoSpaceDN w:val="0"/>
        <w:adjustRightInd w:val="0"/>
        <w:ind w:right="50"/>
        <w:contextualSpacing/>
      </w:pPr>
      <w:r w:rsidRPr="00DA2BC8">
        <w:t xml:space="preserve">Мукормикоз характеризуется крайне агрессивным течением. Лечение необходимо начинать при первых признаках инфекции, поскольку промедление в назначении антимикотиков приводит к увеличению частоты летальных исходов. </w:t>
      </w:r>
      <w:r w:rsidRPr="00DA2BC8">
        <w:rPr>
          <w:bCs/>
        </w:rPr>
        <w:t>Препаратами выбора для лечения являются липидные формы амфотерицина В (</w:t>
      </w:r>
      <w:r w:rsidRPr="00DA2BC8">
        <w:t>липосомальный амфотерицин или липидный комплекс амфотерицина В 5 мг/кг/сутки), альтернативный - изавуконазол (изавуконазол по 200 мг каждые 8 час в течение 2 дней (6 доз), далее по 200 мг 1 раз в сутки внутривенно или перорально). Замену липидной формы амфотерицина В на позаконазол проводят при одновременном наличии следующих условий: положительная динамика в легких по данным КТВР, стабильном состоянии больного, отсутствии мукозита и диареи, полноценном питании, отсутствии нарушения функции печени.</w:t>
      </w:r>
    </w:p>
    <w:p w14:paraId="1EEBBDA7" w14:textId="77777777" w:rsidR="00116AF3" w:rsidRPr="00DA2BC8" w:rsidRDefault="00116AF3" w:rsidP="00116AF3">
      <w:pPr>
        <w:widowControl w:val="0"/>
        <w:autoSpaceDE w:val="0"/>
        <w:autoSpaceDN w:val="0"/>
        <w:adjustRightInd w:val="0"/>
        <w:ind w:right="50"/>
        <w:contextualSpacing/>
      </w:pPr>
      <w:r w:rsidRPr="00DA2BC8">
        <w:t>При диссеминации Mucorales в головной мозг препаратом выбора является липосомальный амфотерицин, дозирование может быть увеличено до 10 мг/кг в сутки. При неэффективности к липидным формам амфотерицина В добавляют эхинокандин или позаконазол.</w:t>
      </w:r>
    </w:p>
    <w:p w14:paraId="54D78131" w14:textId="77777777" w:rsidR="00116AF3" w:rsidRPr="00686506" w:rsidRDefault="00116AF3" w:rsidP="00116AF3">
      <w:pPr>
        <w:widowControl w:val="0"/>
        <w:autoSpaceDE w:val="0"/>
        <w:autoSpaceDN w:val="0"/>
        <w:adjustRightInd w:val="0"/>
        <w:ind w:right="50"/>
        <w:contextualSpacing/>
        <w:rPr>
          <w:i/>
          <w:iCs/>
          <w:u w:val="single"/>
        </w:rPr>
      </w:pPr>
      <w:r w:rsidRPr="00686506">
        <w:rPr>
          <w:i/>
          <w:iCs/>
          <w:u w:val="single"/>
        </w:rPr>
        <w:t>Хирургическое лечение мукормикоза легких</w:t>
      </w:r>
    </w:p>
    <w:p w14:paraId="6A841741" w14:textId="77777777" w:rsidR="00116AF3" w:rsidRPr="00DA2BC8" w:rsidRDefault="00116AF3" w:rsidP="00116AF3">
      <w:pPr>
        <w:widowControl w:val="0"/>
        <w:autoSpaceDE w:val="0"/>
        <w:autoSpaceDN w:val="0"/>
        <w:adjustRightInd w:val="0"/>
        <w:ind w:right="50"/>
        <w:contextualSpacing/>
      </w:pPr>
      <w:r w:rsidRPr="00DA2BC8">
        <w:rPr>
          <w:i/>
          <w:iCs/>
        </w:rPr>
        <w:t>При локализованной форме</w:t>
      </w:r>
      <w:r w:rsidRPr="00DA2BC8">
        <w:t xml:space="preserve"> мукормикоза легких показано хирургическое лечение во всех случаях, если позволяет состояние </w:t>
      </w:r>
      <w:r>
        <w:t>пациента</w:t>
      </w:r>
      <w:r w:rsidRPr="00DA2BC8">
        <w:t xml:space="preserve">. Операцию выполняют при стабилизации состояния больного. </w:t>
      </w:r>
      <w:r w:rsidRPr="00DA2BC8">
        <w:rPr>
          <w:i/>
          <w:iCs/>
        </w:rPr>
        <w:t>При диссеминации</w:t>
      </w:r>
      <w:r w:rsidRPr="00DA2BC8">
        <w:t xml:space="preserve"> необходимость хирургического лечения определяется индивидуально.</w:t>
      </w:r>
    </w:p>
    <w:p w14:paraId="687D0C60" w14:textId="77777777" w:rsidR="00116AF3" w:rsidRPr="00DA2BC8" w:rsidRDefault="00116AF3" w:rsidP="00116AF3">
      <w:pPr>
        <w:widowControl w:val="0"/>
        <w:autoSpaceDE w:val="0"/>
        <w:autoSpaceDN w:val="0"/>
        <w:adjustRightInd w:val="0"/>
        <w:ind w:right="50"/>
        <w:contextualSpacing/>
      </w:pPr>
      <w:r w:rsidRPr="00686506">
        <w:t>Лечение</w:t>
      </w:r>
      <w:r w:rsidRPr="00DA2BC8">
        <w:rPr>
          <w:b/>
          <w:bCs/>
        </w:rPr>
        <w:t xml:space="preserve"> </w:t>
      </w:r>
      <w:r w:rsidRPr="00DA2BC8">
        <w:t xml:space="preserve">мукормикоза антимикотиками длительное, несколько месяцев. Критерием для отмены противогрибковых препаратов является регрессия очагов в легких. Всем больных, имевших мукормикоз в анамнезе, во время очередных курсов ПХТ проводят профилактику позаконазолом по 200 мг 3 раза в сутки в суспензии или изавуконазолом (см. вторичная профилактика). </w:t>
      </w:r>
    </w:p>
    <w:p w14:paraId="2050B111" w14:textId="77777777" w:rsidR="00116AF3" w:rsidRPr="00047807" w:rsidRDefault="00116AF3" w:rsidP="00116AF3">
      <w:pPr>
        <w:widowControl w:val="0"/>
        <w:autoSpaceDE w:val="0"/>
        <w:autoSpaceDN w:val="0"/>
        <w:adjustRightInd w:val="0"/>
        <w:ind w:right="51"/>
        <w:contextualSpacing/>
        <w:rPr>
          <w:b/>
          <w:bCs/>
        </w:rPr>
      </w:pPr>
      <w:r w:rsidRPr="00047807">
        <w:rPr>
          <w:b/>
          <w:bCs/>
        </w:rPr>
        <w:t>Мукормикоз придаточных пазух носа</w:t>
      </w:r>
    </w:p>
    <w:p w14:paraId="52A5AC1F" w14:textId="77777777" w:rsidR="00116AF3" w:rsidRPr="00DA2BC8" w:rsidRDefault="00116AF3" w:rsidP="00116AF3">
      <w:pPr>
        <w:widowControl w:val="0"/>
        <w:autoSpaceDE w:val="0"/>
        <w:autoSpaceDN w:val="0"/>
        <w:adjustRightInd w:val="0"/>
        <w:ind w:right="51"/>
        <w:contextualSpacing/>
      </w:pPr>
      <w:r w:rsidRPr="00DA2BC8">
        <w:t xml:space="preserve">Эта локализация инфекции наиболее характерна для </w:t>
      </w:r>
      <w:r>
        <w:t xml:space="preserve">гематологических пациентов с </w:t>
      </w:r>
      <w:r w:rsidRPr="00DA2BC8">
        <w:t xml:space="preserve">сахарным диабетом. Клиническая картина аналогична инвазивному аспергиллезному риносинуситу, но мукормикоз протекает более агрессивно, и в течение нескольких дней происходит вовлечение в инфекционный процесс окружающих мягких тканей (некроз) с деструкцией костей черепа и инвазией грибов в орбиту и головной мозг. Как правило, наблюдается одностороннее поражение грибами </w:t>
      </w:r>
      <w:r w:rsidRPr="00DA2BC8">
        <w:rPr>
          <w:i/>
        </w:rPr>
        <w:t>Mucorale</w:t>
      </w:r>
      <w:r w:rsidRPr="00DA2BC8">
        <w:rPr>
          <w:i/>
          <w:iCs/>
        </w:rPr>
        <w:t>s</w:t>
      </w:r>
      <w:r w:rsidRPr="00DA2BC8">
        <w:t xml:space="preserve"> придаточных пазух носа. </w:t>
      </w:r>
    </w:p>
    <w:p w14:paraId="38C8FE06" w14:textId="77777777" w:rsidR="00116AF3" w:rsidRPr="00DA2BC8" w:rsidRDefault="00116AF3" w:rsidP="00116AF3">
      <w:pPr>
        <w:widowControl w:val="0"/>
        <w:autoSpaceDE w:val="0"/>
        <w:autoSpaceDN w:val="0"/>
        <w:adjustRightInd w:val="0"/>
        <w:ind w:right="51"/>
        <w:contextualSpacing/>
      </w:pPr>
      <w:r w:rsidRPr="00DA2BC8">
        <w:t xml:space="preserve">Начальные симптомы заболевания включают боль, отек и покраснение на стороне поражения. В дальнейшем возникает некроз или изъязвления на слизистой оболочке носовых ходов, коже. Часто бывает гематогенненная диссеминация. Клиническая картина соответствует локализации очага поражения. </w:t>
      </w:r>
    </w:p>
    <w:p w14:paraId="11C60114" w14:textId="77777777" w:rsidR="00116AF3" w:rsidRPr="00DA2BC8" w:rsidRDefault="00116AF3" w:rsidP="00116AF3">
      <w:pPr>
        <w:widowControl w:val="0"/>
        <w:autoSpaceDE w:val="0"/>
        <w:autoSpaceDN w:val="0"/>
        <w:adjustRightInd w:val="0"/>
        <w:ind w:right="51"/>
        <w:contextualSpacing/>
      </w:pPr>
      <w:r w:rsidRPr="00686506">
        <w:rPr>
          <w:i/>
          <w:iCs/>
          <w:u w:val="single"/>
        </w:rPr>
        <w:t>Диагностика мукормикозного риносинусита</w:t>
      </w:r>
      <w:r w:rsidRPr="00DA2BC8">
        <w:rPr>
          <w:b/>
          <w:bCs/>
        </w:rPr>
        <w:t xml:space="preserve"> </w:t>
      </w:r>
      <w:r w:rsidRPr="00DA2BC8">
        <w:rPr>
          <w:bCs/>
        </w:rPr>
        <w:t>включает наличие</w:t>
      </w:r>
      <w:r w:rsidRPr="00DA2BC8">
        <w:rPr>
          <w:b/>
          <w:bCs/>
        </w:rPr>
        <w:t xml:space="preserve"> </w:t>
      </w:r>
      <w:r w:rsidRPr="00DA2BC8">
        <w:t>радиологических признаков риносинусита, деструкции костей черепа</w:t>
      </w:r>
      <w:r>
        <w:t xml:space="preserve"> при КТ/СКТ/МРТ</w:t>
      </w:r>
      <w:r w:rsidRPr="00DA2BC8">
        <w:t>;</w:t>
      </w:r>
      <w:r w:rsidRPr="00DA2BC8">
        <w:rPr>
          <w:b/>
          <w:bCs/>
        </w:rPr>
        <w:t xml:space="preserve"> </w:t>
      </w:r>
      <w:r w:rsidRPr="00DA2BC8">
        <w:t xml:space="preserve">выделение культуры </w:t>
      </w:r>
      <w:r w:rsidRPr="00DA2BC8">
        <w:rPr>
          <w:i/>
        </w:rPr>
        <w:t>Mucorales</w:t>
      </w:r>
      <w:r w:rsidRPr="00DA2BC8">
        <w:t xml:space="preserve"> из биоптата некротизированной слизистой оболочки носа или аспирата придаточных пазух носа или обнаружение несептированного мицелия грибов при гистологическом или цитологическом исследовании биоптата (аспирата). </w:t>
      </w:r>
    </w:p>
    <w:p w14:paraId="74240805" w14:textId="77777777" w:rsidR="00116AF3" w:rsidRPr="00DA2BC8" w:rsidRDefault="00116AF3" w:rsidP="00116AF3">
      <w:pPr>
        <w:widowControl w:val="0"/>
        <w:autoSpaceDE w:val="0"/>
        <w:autoSpaceDN w:val="0"/>
        <w:adjustRightInd w:val="0"/>
        <w:ind w:right="51"/>
        <w:contextualSpacing/>
        <w:rPr>
          <w:b/>
          <w:bCs/>
        </w:rPr>
      </w:pPr>
      <w:r w:rsidRPr="00686506">
        <w:rPr>
          <w:i/>
          <w:iCs/>
          <w:u w:val="single"/>
        </w:rPr>
        <w:t>Лечение мукормикоза придаточных пазух носа</w:t>
      </w:r>
      <w:r w:rsidRPr="00DA2BC8">
        <w:t xml:space="preserve"> является комбинированным и включает назначение противогрибковых препаратов в сочетании с оперативным лечением. Применяют те же антимикотики, что при мукормикозе легких.</w:t>
      </w:r>
      <w:r w:rsidRPr="00DA2BC8">
        <w:rPr>
          <w:bCs/>
        </w:rPr>
        <w:t xml:space="preserve"> </w:t>
      </w:r>
      <w:r w:rsidRPr="00DA2BC8">
        <w:t xml:space="preserve">Хирургическую резекцию очага поражения обязательно выполняют в пределах здоровых тканей. </w:t>
      </w:r>
    </w:p>
    <w:p w14:paraId="2554AB05" w14:textId="77777777" w:rsidR="00116AF3" w:rsidRPr="00047807" w:rsidRDefault="00116AF3" w:rsidP="00116AF3">
      <w:pPr>
        <w:widowControl w:val="0"/>
        <w:autoSpaceDE w:val="0"/>
        <w:autoSpaceDN w:val="0"/>
        <w:adjustRightInd w:val="0"/>
        <w:ind w:right="51"/>
        <w:contextualSpacing/>
        <w:rPr>
          <w:b/>
          <w:bCs/>
        </w:rPr>
      </w:pPr>
      <w:r w:rsidRPr="00047807">
        <w:rPr>
          <w:b/>
          <w:bCs/>
        </w:rPr>
        <w:t>Мукормикоз кожи и мягких тканей</w:t>
      </w:r>
    </w:p>
    <w:p w14:paraId="3C319464" w14:textId="77777777" w:rsidR="00116AF3" w:rsidRPr="00DA2BC8" w:rsidRDefault="00116AF3" w:rsidP="00116AF3">
      <w:pPr>
        <w:widowControl w:val="0"/>
        <w:autoSpaceDE w:val="0"/>
        <w:autoSpaceDN w:val="0"/>
        <w:adjustRightInd w:val="0"/>
        <w:ind w:right="51"/>
        <w:contextualSpacing/>
      </w:pPr>
      <w:r w:rsidRPr="00DA2BC8">
        <w:t xml:space="preserve">Такая локализация инфекции преобладает у </w:t>
      </w:r>
      <w:r>
        <w:t>пациентов</w:t>
      </w:r>
      <w:r w:rsidRPr="00DA2BC8">
        <w:t xml:space="preserve"> с обширными травмами и ожогами. В некоторых случаях может быть следствием инвазивных медицинских процедур при использовании медицинского оборудования, контаминированного грибами </w:t>
      </w:r>
      <w:r w:rsidRPr="00DA2BC8">
        <w:rPr>
          <w:i/>
        </w:rPr>
        <w:t>Mucorales</w:t>
      </w:r>
      <w:r w:rsidRPr="00DA2BC8">
        <w:t xml:space="preserve">. </w:t>
      </w:r>
    </w:p>
    <w:p w14:paraId="5516954C" w14:textId="77777777" w:rsidR="00116AF3" w:rsidRPr="00DA2BC8" w:rsidRDefault="00116AF3" w:rsidP="00116AF3">
      <w:pPr>
        <w:widowControl w:val="0"/>
        <w:autoSpaceDE w:val="0"/>
        <w:autoSpaceDN w:val="0"/>
        <w:adjustRightInd w:val="0"/>
        <w:ind w:right="51"/>
        <w:contextualSpacing/>
      </w:pPr>
      <w:r w:rsidRPr="00DA2BC8">
        <w:t xml:space="preserve">Симптомы мукормикоза кожи и мягких тканей включают наличие признаков воспаления (гиперемии, болезненности, уплотнения) в области очага инфекции с некрозом в центре, который появляется в течение короткого временного промежутка (1-4 суток). Инвазия грибов происходит в окружающие ткани, включая подкожно-жировую клетчатку и мышцы. При прорастании сосудов происходит гематогенная диссеминация мукормикоза в другие органы и ткани. Для диагностики мукормикоза мягких тканей необходимо провести краевую биопсию области поражения. </w:t>
      </w:r>
      <w:r w:rsidRPr="00DA2BC8">
        <w:rPr>
          <w:bCs/>
        </w:rPr>
        <w:t xml:space="preserve">Диагноз устанавливают на основании </w:t>
      </w:r>
      <w:r w:rsidRPr="00DA2BC8">
        <w:t xml:space="preserve">выделения культуры </w:t>
      </w:r>
      <w:r w:rsidRPr="00DA2BC8">
        <w:rPr>
          <w:i/>
        </w:rPr>
        <w:t>Mucorales</w:t>
      </w:r>
      <w:r w:rsidRPr="00DA2BC8">
        <w:t xml:space="preserve"> из биоптата некротизированной ткани либо обнаружения несептированного мицелия грибов при флуоресцентной микроскопии или гистологическом исследовании. </w:t>
      </w:r>
      <w:r w:rsidRPr="00DA2BC8">
        <w:rPr>
          <w:bCs/>
        </w:rPr>
        <w:t xml:space="preserve">Лечение мукормикоза мягких тканей во всех случяах комбринированное, включающее обязательную резекцию некроза до здоровых фрагментов и назначение антимикотиков, как </w:t>
      </w:r>
      <w:r w:rsidRPr="00DA2BC8">
        <w:t>при мукормикозе легких.</w:t>
      </w:r>
    </w:p>
    <w:p w14:paraId="5E6A5DB3" w14:textId="77777777" w:rsidR="00116AF3" w:rsidRDefault="00116AF3" w:rsidP="00116AF3">
      <w:pPr>
        <w:widowControl w:val="0"/>
        <w:autoSpaceDE w:val="0"/>
        <w:autoSpaceDN w:val="0"/>
        <w:adjustRightInd w:val="0"/>
        <w:ind w:right="50"/>
        <w:contextualSpacing/>
        <w:rPr>
          <w:b/>
          <w:bCs/>
        </w:rPr>
      </w:pPr>
    </w:p>
    <w:p w14:paraId="319974BE" w14:textId="172E54F9" w:rsidR="00116AF3" w:rsidRPr="00144984" w:rsidRDefault="00116AF3" w:rsidP="00116AF3">
      <w:pPr>
        <w:widowControl w:val="0"/>
        <w:autoSpaceDE w:val="0"/>
        <w:autoSpaceDN w:val="0"/>
        <w:adjustRightInd w:val="0"/>
        <w:ind w:right="49"/>
        <w:contextualSpacing/>
        <w:rPr>
          <w:bCs/>
          <w:u w:val="single"/>
        </w:rPr>
      </w:pPr>
      <w:r w:rsidRPr="00686506">
        <w:rPr>
          <w:bCs/>
          <w:u w:val="single"/>
        </w:rPr>
        <w:t xml:space="preserve">Диагностика и лечение инвазивных микозов, вызванных редкими плесневыми грибами </w:t>
      </w:r>
      <w:r>
        <w:rPr>
          <w:b/>
        </w:rPr>
        <w:fldChar w:fldCharType="begin" w:fldLock="1"/>
      </w:r>
      <w:r w:rsidR="009D41F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infections","type":"article-journal","volume":"20"},"uris":["http://www.mendeley.com/documents/?uuid=5a6b3e24-e337-3cd9-bb20-08cd60455554"]},{"id":"ITEM-4","itemData":{"DOI":"10.1111/1469-0691.12465","ISSN":"14690691","PMID":"24548001","abstract":"Mycoses summarized in the hyalohyphomycosis group are heterogeneous, defined by the presence of hyaline (non-dematiaceous) hyphae. The number of organisms implicated in hyalohyphomycosis is increasing and the most clinically important species belong to the genera Fusarium, Scedosporium, Acremonium, Scopulariopsis, Purpureocillium and Paecilomyces. Severely immunocompromised patients are particularly vulnerable to infection, and clinical manifestations range from colonization to chronic localized lesions to acute invasive and/or disseminated diseases. Diagnosis usually requires isolation and identification of the infecting pathogen. A poor prognosis is associated with fusariosis and early therapy of localized disease is important to prevent progression to a more aggressive or disseminated infection. Therapy should include voriconazole and surgical debridement where possible or posaconazole as salvage treatment. Voriconazole represents the first-line treatment of infections due to members of the genus Scedosporium. For Acremonium spp., Scopulariopsis spp., Purpureocillium spp. and Paecilomyces spp. the optimal antifungal treatment has not been established. Management usually consists of surgery and antifungal treatment, depending on the clinical presentation. © 2014 European Society of Clinical Microbiology and Infectious Diseases.","author":[{"dropping-particle":"","family":"Tortorano","given":"A. M.","non-dropping-particle":"","parse-names":false,"suffix":""},{"dropping-particle":"","family":"Richardson","given":"M.","non-dropping-particle":"","parse-names":false,"suffix":""},{"dropping-particle":"","family":"Roilides","given":"E.","non-dropping-particle":"","parse-names":false,"suffix":""},{"dropping-particle":"","family":"Diepeningen","given":"A.","non-dropping-particle":"van","parse-names":false,"suffix":""},{"dropping-particle":"","family":"Caira","given":"M.","non-dropping-particle":"","parse-names":false,"suffix":""},{"dropping-particle":"","family":"Munoz","given":"P.","non-dropping-particle":"","parse-names":false,"suffix":""},{"dropping-particle":"","family":"Johnson","given":"E.","non-dropping-particle":"","parse-names":false,"suffix":""},{"dropping-particle":"","family":"Meletiadis","given":"J.","non-dropping-particle":"","parse-names":false,"suffix":""},{"dropping-particle":"","family":"Pana","given":"Z. D.","non-dropping-particle":"","parse-names":false,"suffix":""},{"dropping-particle":"","family":"Lackner","given":"M.","non-dropping-particle":"","parse-names":false,"suffix":""},{"dropping-particle":"","family":"Verweij","given":"P.","non-dropping-particle":"","parse-names":false,"suffix":""},{"dropping-particle":"","family":"Freiberger","given":"T.","non-dropping-particle":"","parse-names":false,"suffix":""},{"dropping-particle":"","family":"Cornely","given":"O. A.","non-dropping-particle":"","parse-names":false,"suffix":""},{"dropping-particle":"","family":"Arikan-Akdagli","given":"S.","non-dropping-particle":"","parse-names":false,"suffix":""},{"dropping-particle":"","family":"Dannaoui","given":"E.","non-dropping-particle":"","parse-names":false,"suffix":""},{"dropping-particle":"","family":"Groll","given":"A. H.","non-dropping-particle":"","parse-names":false,"suffix":""},{"dropping-particle":"","family":"Lagrou","given":"K.","non-dropping-particle":"","parse-names":false,"suffix":""},{"dropping-particle":"","family":"Chakrabarti","given":"A.","non-dropping-particle":"","parse-names":false,"suffix":""},{"dropping-particle":"","family":"Lanternier","given":"F.","non-dropping-particle":"","parse-names":false,"suffix":""},{"dropping-particle":"","family":"Pagano","given":"L.","non-dropping-particle":"","parse-names":false,"suffix":""},{"dropping-particle":"","family":"Skiada","given":"A.","non-dropping-particle":"","parse-names":false,"suffix":""},{"dropping-particle":"","family":"Akova","given":"M.","non-dropping-particle":"","parse-names":false,"suffix":""},{"dropping-particle":"","family":"Arendrup","given":"M. C.","non-dropping-particle":"","parse-names":false,"suffix":""},{"dropping-particle":"","family":"Boekhout","given":"T.","non-dropping-particle":"","parse-names":false,"suffix":""},{"dropping-particle":"","family":"Chowdhary","given":"A.","non-dropping-particle":"","parse-names":false,"suffix":""},{"dropping-particle":"","family":"Cuenca-Estrella","given":"M.","non-dropping-particle":"","parse-names":false,"suffix":""},{"dropping-particle":"","family":"Guinea","given":"J.","non-dropping-particle":"","parse-names":false,"suffix":""},{"dropping-particle":"","family":"Guarro","given":"J.","non-dropping-particle":"","parse-names":false,"suffix":""},{"dropping-particle":"","family":"Hoog","given":"S.","non-dropping-particle":"de","parse-names":false,"suffix":""},{"dropping-particle":"","family":"Hope","given":"W.","non-dropping-particle":"","parse-names":false,"suffix":""},{"dropping-particle":"","family":"Kathuria","given":"S.","non-dropping-particle":"","parse-names":false,"suffix":""},{"dropping-particle":"","family":"Lortholary","given":"O.","non-dropping-particle":"","parse-names":false,"suffix":""},{"dropping-particle":"","family":"Meis","given":"J. F.","non-dropping-particle":"","parse-names":false,"suffix":""},{"dropping-particle":"","family":"Ullmann","given":"A. J.","non-dropping-particle":"","parse-names":false,"suffix":""},{"dropping-particle":"","family":"Petrikkos","given":"G.","non-dropping-particle":"","parse-names":false,"suffix":""},{"dropping-particle":"","family":"Lass-Flörl","given":"C.","non-dropping-particle":"","parse-names":false,"suffix":""}],"container-title":"Clinical Microbiology and Infection","id":"ITEM-4","issue":"S3","issued":{"date-parts":[["2014"]]},"page":"27-46","publisher":"Blackwell Publishing Ltd","title":"ESCMID and ECMM joint guidelines on diagnosis and management of hyalohyphomycosis: Fusarium spp., Scedosporium spp. and others","type":"article-journal","volume":"20"},"uris":["http://www.mendeley.com/documents/?uuid=a2a77bc6-7c62-3766-9352-c711579a66f5"]}],"mendeley":{"formattedCitation":"[47,48,54,59]","plainTextFormattedCitation":"[47,48,54,59]","previouslyFormattedCitation":"[47,48,54,59]"},"properties":{"noteIndex":0},"schema":"https://github.com/citation-style-language/schema/raw/master/csl-citation.json"}</w:instrText>
      </w:r>
      <w:r>
        <w:rPr>
          <w:b/>
        </w:rPr>
        <w:fldChar w:fldCharType="separate"/>
      </w:r>
      <w:r w:rsidR="004C3BA5" w:rsidRPr="004C3BA5">
        <w:rPr>
          <w:noProof/>
        </w:rPr>
        <w:t>[47,48,54,59]</w:t>
      </w:r>
      <w:r>
        <w:rPr>
          <w:b/>
        </w:rPr>
        <w:fldChar w:fldCharType="end"/>
      </w:r>
    </w:p>
    <w:p w14:paraId="67207942" w14:textId="77777777" w:rsidR="00116AF3" w:rsidRPr="00144984" w:rsidRDefault="00116AF3" w:rsidP="00116AF3">
      <w:pPr>
        <w:widowControl w:val="0"/>
        <w:autoSpaceDE w:val="0"/>
        <w:autoSpaceDN w:val="0"/>
        <w:adjustRightInd w:val="0"/>
        <w:ind w:right="50" w:firstLine="708"/>
        <w:rPr>
          <w:b/>
          <w:bCs/>
        </w:rPr>
      </w:pPr>
      <w:r>
        <w:rPr>
          <w:bCs/>
        </w:rPr>
        <w:t>У</w:t>
      </w:r>
      <w:r w:rsidRPr="00144984">
        <w:rPr>
          <w:bCs/>
        </w:rPr>
        <w:t xml:space="preserve"> </w:t>
      </w:r>
      <w:r>
        <w:rPr>
          <w:bCs/>
        </w:rPr>
        <w:t>гематологических</w:t>
      </w:r>
      <w:r w:rsidRPr="00144984">
        <w:rPr>
          <w:bCs/>
        </w:rPr>
        <w:t xml:space="preserve"> </w:t>
      </w:r>
      <w:r>
        <w:rPr>
          <w:bCs/>
        </w:rPr>
        <w:t>пациентов</w:t>
      </w:r>
      <w:r w:rsidRPr="00144984">
        <w:rPr>
          <w:bCs/>
        </w:rPr>
        <w:t xml:space="preserve"> </w:t>
      </w:r>
      <w:r>
        <w:rPr>
          <w:bCs/>
        </w:rPr>
        <w:t>ввиду</w:t>
      </w:r>
      <w:r w:rsidRPr="00144984">
        <w:rPr>
          <w:bCs/>
        </w:rPr>
        <w:t xml:space="preserve"> </w:t>
      </w:r>
      <w:r>
        <w:rPr>
          <w:bCs/>
        </w:rPr>
        <w:t>иммуносупрессии</w:t>
      </w:r>
      <w:r w:rsidRPr="00144984">
        <w:rPr>
          <w:bCs/>
        </w:rPr>
        <w:t xml:space="preserve">, </w:t>
      </w:r>
      <w:r>
        <w:rPr>
          <w:bCs/>
        </w:rPr>
        <w:t>вызванной</w:t>
      </w:r>
      <w:r w:rsidRPr="00144984">
        <w:rPr>
          <w:bCs/>
        </w:rPr>
        <w:t xml:space="preserve"> </w:t>
      </w:r>
      <w:r>
        <w:rPr>
          <w:bCs/>
        </w:rPr>
        <w:t>как</w:t>
      </w:r>
      <w:r w:rsidRPr="00144984">
        <w:rPr>
          <w:bCs/>
        </w:rPr>
        <w:t xml:space="preserve"> </w:t>
      </w:r>
      <w:r>
        <w:rPr>
          <w:bCs/>
        </w:rPr>
        <w:t>самим</w:t>
      </w:r>
      <w:r w:rsidRPr="00144984">
        <w:rPr>
          <w:bCs/>
        </w:rPr>
        <w:t xml:space="preserve"> </w:t>
      </w:r>
      <w:r>
        <w:rPr>
          <w:bCs/>
        </w:rPr>
        <w:t>заболеванием</w:t>
      </w:r>
      <w:r w:rsidRPr="00144984">
        <w:rPr>
          <w:bCs/>
        </w:rPr>
        <w:t xml:space="preserve">, </w:t>
      </w:r>
      <w:r>
        <w:rPr>
          <w:bCs/>
        </w:rPr>
        <w:t>так</w:t>
      </w:r>
      <w:r w:rsidRPr="00144984">
        <w:rPr>
          <w:bCs/>
        </w:rPr>
        <w:t xml:space="preserve"> </w:t>
      </w:r>
      <w:r>
        <w:rPr>
          <w:bCs/>
        </w:rPr>
        <w:t>и</w:t>
      </w:r>
      <w:r w:rsidRPr="00144984">
        <w:rPr>
          <w:bCs/>
        </w:rPr>
        <w:t xml:space="preserve"> </w:t>
      </w:r>
      <w:r>
        <w:rPr>
          <w:bCs/>
        </w:rPr>
        <w:t>специфической</w:t>
      </w:r>
      <w:r w:rsidRPr="00144984">
        <w:rPr>
          <w:bCs/>
        </w:rPr>
        <w:t xml:space="preserve"> </w:t>
      </w:r>
      <w:r>
        <w:rPr>
          <w:bCs/>
        </w:rPr>
        <w:t>терапией</w:t>
      </w:r>
      <w:r w:rsidRPr="00144984">
        <w:rPr>
          <w:bCs/>
        </w:rPr>
        <w:t xml:space="preserve"> </w:t>
      </w:r>
      <w:r>
        <w:rPr>
          <w:bCs/>
        </w:rPr>
        <w:t>гематологического</w:t>
      </w:r>
      <w:r w:rsidRPr="00144984">
        <w:rPr>
          <w:bCs/>
        </w:rPr>
        <w:t xml:space="preserve"> </w:t>
      </w:r>
      <w:r>
        <w:rPr>
          <w:bCs/>
        </w:rPr>
        <w:t>заболевания</w:t>
      </w:r>
      <w:r w:rsidRPr="00144984">
        <w:rPr>
          <w:bCs/>
        </w:rPr>
        <w:t xml:space="preserve">, </w:t>
      </w:r>
      <w:r>
        <w:rPr>
          <w:bCs/>
        </w:rPr>
        <w:t>могут</w:t>
      </w:r>
      <w:r w:rsidRPr="00144984">
        <w:rPr>
          <w:bCs/>
        </w:rPr>
        <w:t xml:space="preserve"> </w:t>
      </w:r>
      <w:r>
        <w:rPr>
          <w:bCs/>
        </w:rPr>
        <w:t>встречаться</w:t>
      </w:r>
      <w:r w:rsidRPr="00144984">
        <w:rPr>
          <w:bCs/>
        </w:rPr>
        <w:t xml:space="preserve"> </w:t>
      </w:r>
      <w:r w:rsidRPr="00E41F19">
        <w:rPr>
          <w:bCs/>
        </w:rPr>
        <w:t>инвазивные</w:t>
      </w:r>
      <w:r w:rsidRPr="00144984">
        <w:rPr>
          <w:bCs/>
        </w:rPr>
        <w:t xml:space="preserve"> </w:t>
      </w:r>
      <w:r w:rsidRPr="00E41F19">
        <w:rPr>
          <w:bCs/>
        </w:rPr>
        <w:t>микозы</w:t>
      </w:r>
      <w:r w:rsidRPr="00144984">
        <w:rPr>
          <w:bCs/>
        </w:rPr>
        <w:t xml:space="preserve">, </w:t>
      </w:r>
      <w:r w:rsidRPr="00E41F19">
        <w:rPr>
          <w:bCs/>
        </w:rPr>
        <w:t>вызванные</w:t>
      </w:r>
      <w:r w:rsidRPr="00144984">
        <w:rPr>
          <w:bCs/>
        </w:rPr>
        <w:t xml:space="preserve"> </w:t>
      </w:r>
      <w:r w:rsidRPr="00E41F19">
        <w:rPr>
          <w:bCs/>
        </w:rPr>
        <w:t>редкими</w:t>
      </w:r>
      <w:r w:rsidRPr="00144984">
        <w:rPr>
          <w:bCs/>
        </w:rPr>
        <w:t xml:space="preserve"> </w:t>
      </w:r>
      <w:r w:rsidRPr="00E41F19">
        <w:rPr>
          <w:bCs/>
        </w:rPr>
        <w:t>плесневыми</w:t>
      </w:r>
      <w:r w:rsidRPr="00144984">
        <w:rPr>
          <w:bCs/>
        </w:rPr>
        <w:t xml:space="preserve"> </w:t>
      </w:r>
      <w:r w:rsidRPr="00E41F19">
        <w:rPr>
          <w:bCs/>
        </w:rPr>
        <w:t>грибами</w:t>
      </w:r>
      <w:r w:rsidRPr="00144984">
        <w:rPr>
          <w:bCs/>
        </w:rPr>
        <w:t>.</w:t>
      </w:r>
    </w:p>
    <w:p w14:paraId="63D8C9D1" w14:textId="77777777" w:rsidR="00116AF3" w:rsidRPr="00144984" w:rsidRDefault="00116AF3" w:rsidP="00116AF3">
      <w:pPr>
        <w:widowControl w:val="0"/>
        <w:autoSpaceDE w:val="0"/>
        <w:autoSpaceDN w:val="0"/>
        <w:adjustRightInd w:val="0"/>
        <w:ind w:right="50"/>
        <w:contextualSpacing/>
        <w:rPr>
          <w:i/>
          <w:iCs/>
          <w:u w:val="single"/>
        </w:rPr>
      </w:pPr>
      <w:r w:rsidRPr="00686506">
        <w:rPr>
          <w:i/>
          <w:iCs/>
          <w:u w:val="single"/>
        </w:rPr>
        <w:t>Фузариоз</w:t>
      </w:r>
      <w:r w:rsidRPr="00144984">
        <w:rPr>
          <w:i/>
          <w:iCs/>
          <w:u w:val="single"/>
        </w:rPr>
        <w:t xml:space="preserve"> </w:t>
      </w:r>
    </w:p>
    <w:p w14:paraId="0EC345E6" w14:textId="77777777" w:rsidR="00116AF3" w:rsidRPr="00DA2BC8" w:rsidRDefault="00116AF3" w:rsidP="00116AF3">
      <w:pPr>
        <w:widowControl w:val="0"/>
        <w:autoSpaceDE w:val="0"/>
        <w:autoSpaceDN w:val="0"/>
        <w:adjustRightInd w:val="0"/>
        <w:ind w:right="50"/>
        <w:contextualSpacing/>
      </w:pPr>
      <w:r w:rsidRPr="00DA2BC8">
        <w:t>Основными</w:t>
      </w:r>
      <w:r w:rsidRPr="00144984">
        <w:t xml:space="preserve"> </w:t>
      </w:r>
      <w:r w:rsidRPr="00DA2BC8">
        <w:t>возбудителями</w:t>
      </w:r>
      <w:r w:rsidRPr="00144984">
        <w:t xml:space="preserve"> </w:t>
      </w:r>
      <w:r w:rsidRPr="00DA2BC8">
        <w:t>являются</w:t>
      </w:r>
      <w:r w:rsidRPr="00144984">
        <w:t xml:space="preserve"> </w:t>
      </w:r>
      <w:r w:rsidRPr="00FB256D">
        <w:rPr>
          <w:i/>
          <w:iCs/>
          <w:lang w:val="en-US"/>
        </w:rPr>
        <w:t>Fusarium</w:t>
      </w:r>
      <w:r w:rsidRPr="00144984">
        <w:rPr>
          <w:i/>
          <w:iCs/>
        </w:rPr>
        <w:t xml:space="preserve"> </w:t>
      </w:r>
      <w:r w:rsidRPr="00FB256D">
        <w:rPr>
          <w:i/>
          <w:iCs/>
          <w:lang w:val="en-US"/>
        </w:rPr>
        <w:t>solani</w:t>
      </w:r>
      <w:r w:rsidRPr="00144984">
        <w:t xml:space="preserve"> </w:t>
      </w:r>
      <w:r w:rsidRPr="00DA2BC8">
        <w:t>и</w:t>
      </w:r>
      <w:r w:rsidRPr="00144984">
        <w:t xml:space="preserve"> </w:t>
      </w:r>
      <w:r w:rsidRPr="00FB256D">
        <w:rPr>
          <w:i/>
          <w:iCs/>
          <w:lang w:val="en-US"/>
        </w:rPr>
        <w:t>Fusarium</w:t>
      </w:r>
      <w:r w:rsidRPr="00144984">
        <w:rPr>
          <w:i/>
          <w:iCs/>
        </w:rPr>
        <w:t xml:space="preserve"> </w:t>
      </w:r>
      <w:r w:rsidRPr="00FB256D">
        <w:rPr>
          <w:i/>
          <w:iCs/>
          <w:lang w:val="en-US"/>
        </w:rPr>
        <w:t>oxysporum</w:t>
      </w:r>
      <w:r w:rsidRPr="00144984">
        <w:t xml:space="preserve">. </w:t>
      </w:r>
      <w:r w:rsidRPr="00DA2BC8">
        <w:t>Фузариоз</w:t>
      </w:r>
      <w:r w:rsidRPr="00144984">
        <w:t xml:space="preserve"> </w:t>
      </w:r>
      <w:r w:rsidRPr="00DA2BC8">
        <w:t>развивается</w:t>
      </w:r>
      <w:r w:rsidRPr="00144984">
        <w:t xml:space="preserve"> </w:t>
      </w:r>
      <w:r w:rsidRPr="00DA2BC8">
        <w:t>преимущественно</w:t>
      </w:r>
      <w:r w:rsidRPr="00144984">
        <w:t xml:space="preserve"> </w:t>
      </w:r>
      <w:r w:rsidRPr="00DA2BC8">
        <w:t>у</w:t>
      </w:r>
      <w:r w:rsidRPr="00144984">
        <w:t xml:space="preserve"> </w:t>
      </w:r>
      <w:r>
        <w:t>онкогематологических</w:t>
      </w:r>
      <w:r w:rsidRPr="00144984">
        <w:t xml:space="preserve"> </w:t>
      </w:r>
      <w:r>
        <w:t>пациентов</w:t>
      </w:r>
      <w:r w:rsidRPr="00DA2BC8">
        <w:t xml:space="preserve">, в основном у </w:t>
      </w:r>
      <w:r>
        <w:t>пациентов с острыми миелоидными лейкозами</w:t>
      </w:r>
      <w:r w:rsidRPr="00DA2BC8">
        <w:t xml:space="preserve"> и у реципиентов аллогенных СГК. Ведущим фактором риска возникновения фузариоза является наличие гранулоцитопении. В отличие от других видов мицелиальных грибов, основным проявлением инфекции, вызванной </w:t>
      </w:r>
      <w:r w:rsidRPr="00DA2BC8">
        <w:rPr>
          <w:i/>
          <w:iCs/>
        </w:rPr>
        <w:t xml:space="preserve">Fusarium </w:t>
      </w:r>
      <w:r w:rsidRPr="00DA2BC8">
        <w:t xml:space="preserve">spp., является фунгемия (40-60%) с образованием септико-пиемических очагов на коже (60-80%), а также вовлечение в инфекционный процесс легких и придаточных пазух носа. Для фузариоза характерно наличие на коже множества септико-пиемических очагов в виде уплотненных эритематозных макул или папул, болезненных, с некрозом в центре. Летальность при фузариозе высокая и достигает 50-70% у иммунокомпрометированных больных. </w:t>
      </w:r>
      <w:r w:rsidRPr="00DA2BC8">
        <w:rPr>
          <w:bCs/>
        </w:rPr>
        <w:t xml:space="preserve">Для диагностики фузариоза должна быть получена культура </w:t>
      </w:r>
      <w:r w:rsidRPr="00DA2BC8">
        <w:rPr>
          <w:i/>
          <w:iCs/>
        </w:rPr>
        <w:t>Fusarium</w:t>
      </w:r>
      <w:r w:rsidRPr="00DA2BC8">
        <w:t xml:space="preserve"> spp. из крови или других стерильных образцов (биоптаты кожи и органов, аспират придаточных пазух носа), жидкости БАЛ или мокроты. При фузариозе может быть определен ложно-положительный антиген </w:t>
      </w:r>
      <w:r w:rsidRPr="00DA2BC8">
        <w:rPr>
          <w:i/>
          <w:iCs/>
        </w:rPr>
        <w:t>Aspergillus</w:t>
      </w:r>
      <w:r w:rsidRPr="00DA2BC8">
        <w:t xml:space="preserve"> (галактоманнан). Радиологические изменения в легких и придаточных пазухах носа при фузариозе неспецифичны и схожи с инвазивным аспергиллезом. </w:t>
      </w:r>
      <w:r w:rsidRPr="00DA2BC8">
        <w:rPr>
          <w:iCs/>
        </w:rPr>
        <w:t>Грибы</w:t>
      </w:r>
      <w:r w:rsidRPr="00DA2BC8">
        <w:rPr>
          <w:i/>
          <w:iCs/>
        </w:rPr>
        <w:t xml:space="preserve"> Fusaruim </w:t>
      </w:r>
      <w:r w:rsidRPr="00DA2BC8">
        <w:t xml:space="preserve">spp. характеризуются низкими параметрами чувствительности и могут быть устойчивыми ко всем препаратам из группы азолов. </w:t>
      </w:r>
    </w:p>
    <w:p w14:paraId="745D3C67" w14:textId="77777777" w:rsidR="00116AF3" w:rsidRPr="00DA2BC8" w:rsidRDefault="00116AF3" w:rsidP="00116AF3">
      <w:pPr>
        <w:widowControl w:val="0"/>
        <w:autoSpaceDE w:val="0"/>
        <w:autoSpaceDN w:val="0"/>
        <w:adjustRightInd w:val="0"/>
        <w:ind w:right="50"/>
        <w:contextualSpacing/>
        <w:rPr>
          <w:b/>
          <w:bCs/>
        </w:rPr>
      </w:pPr>
      <w:r w:rsidRPr="00DA2BC8">
        <w:rPr>
          <w:bCs/>
        </w:rPr>
        <w:t xml:space="preserve">Препаратом выбора для лечения является </w:t>
      </w:r>
      <w:r w:rsidRPr="00DA2BC8">
        <w:t xml:space="preserve">вориконазол (в 1-й день по 6 мг/кг внутривенно 2 раза в сутки, затем по 4 мг/кг внутривенно 2 раза в сутки, с переходом на пероральную форму по 200 мг 2 раза в сутки, прием натощак или через 1 час после еды), </w:t>
      </w:r>
      <w:r w:rsidRPr="00DA2BC8">
        <w:rPr>
          <w:bCs/>
        </w:rPr>
        <w:t xml:space="preserve">альтернативные препараты - </w:t>
      </w:r>
      <w:r w:rsidRPr="00DA2BC8">
        <w:t>липосомальный амфотерицин В (5 мг/кг)</w:t>
      </w:r>
      <w:r w:rsidRPr="00DA2BC8">
        <w:rPr>
          <w:bCs/>
        </w:rPr>
        <w:t>, л</w:t>
      </w:r>
      <w:r w:rsidRPr="00DA2BC8">
        <w:t>ипидный комплекс амфотерицина В (5 мг/кг), позаконазол (суспензия, по 400 мг 2 раза в сутки, после еды).</w:t>
      </w:r>
      <w:r w:rsidRPr="00DA2BC8">
        <w:rPr>
          <w:bCs/>
        </w:rPr>
        <w:t xml:space="preserve"> </w:t>
      </w:r>
      <w:r w:rsidRPr="00DA2BC8">
        <w:t xml:space="preserve">Не показано сочетание противогрибковых препаратов в качестве стартовой терапии. Не назначают эхинокандин ввиду природной устойчивости. </w:t>
      </w:r>
    </w:p>
    <w:p w14:paraId="37E32FEF" w14:textId="77777777" w:rsidR="00116AF3" w:rsidRPr="00686506" w:rsidRDefault="00116AF3" w:rsidP="00116AF3">
      <w:pPr>
        <w:widowControl w:val="0"/>
        <w:autoSpaceDE w:val="0"/>
        <w:autoSpaceDN w:val="0"/>
        <w:adjustRightInd w:val="0"/>
        <w:ind w:right="51"/>
        <w:contextualSpacing/>
        <w:rPr>
          <w:i/>
          <w:iCs/>
          <w:u w:val="single"/>
        </w:rPr>
      </w:pPr>
      <w:r w:rsidRPr="00686506">
        <w:rPr>
          <w:i/>
          <w:iCs/>
          <w:u w:val="single"/>
        </w:rPr>
        <w:t xml:space="preserve">Сцедоспориоз </w:t>
      </w:r>
    </w:p>
    <w:p w14:paraId="21B2A8AF" w14:textId="77777777" w:rsidR="00116AF3" w:rsidRPr="00DA2BC8" w:rsidRDefault="00116AF3" w:rsidP="00116AF3">
      <w:pPr>
        <w:widowControl w:val="0"/>
        <w:autoSpaceDE w:val="0"/>
        <w:autoSpaceDN w:val="0"/>
        <w:adjustRightInd w:val="0"/>
        <w:ind w:right="51"/>
        <w:contextualSpacing/>
      </w:pPr>
      <w:r w:rsidRPr="00DA2BC8">
        <w:t xml:space="preserve">Основными возбудителя сцедоспориоза являются </w:t>
      </w:r>
      <w:r w:rsidRPr="00DA2BC8">
        <w:rPr>
          <w:i/>
          <w:iCs/>
        </w:rPr>
        <w:t>Scedosporium apiospermium</w:t>
      </w:r>
      <w:r w:rsidRPr="00DA2BC8">
        <w:t xml:space="preserve"> и </w:t>
      </w:r>
      <w:r w:rsidRPr="00DA2BC8">
        <w:rPr>
          <w:i/>
          <w:iCs/>
        </w:rPr>
        <w:t>Scedosporium prolificans</w:t>
      </w:r>
      <w:r w:rsidRPr="00DA2BC8">
        <w:t xml:space="preserve">. У иммунокомпрометированных больных преобладает диссеминированная форма инфекции с преимущественным поражением кожи, придаточных пазух носа, легких и центральной нервной системы. При сцедоспориозе головного мозга, в отличие от инвазивного аспергиллеза, может не быть изменений в легких или придаточных пазухах носа. </w:t>
      </w:r>
      <w:r w:rsidRPr="00DA2BC8">
        <w:rPr>
          <w:i/>
          <w:iCs/>
        </w:rPr>
        <w:t>S. prolificans</w:t>
      </w:r>
      <w:r w:rsidRPr="00DA2BC8">
        <w:t xml:space="preserve">, как и </w:t>
      </w:r>
      <w:r w:rsidRPr="00DA2BC8">
        <w:rPr>
          <w:i/>
          <w:iCs/>
        </w:rPr>
        <w:t>Fusarium</w:t>
      </w:r>
      <w:r w:rsidRPr="00DA2BC8">
        <w:t xml:space="preserve"> spp., с высокой частотой (&gt;50%) выделяют из гемокультуры. Для инфекций, вызванных </w:t>
      </w:r>
      <w:r w:rsidRPr="00DA2BC8">
        <w:rPr>
          <w:i/>
          <w:iCs/>
        </w:rPr>
        <w:t>S. prolificans</w:t>
      </w:r>
      <w:r w:rsidRPr="00DA2BC8">
        <w:t xml:space="preserve">, характерна очень высокая летальность (до 95%) среди больных опухолями системы крови ввиду наличия устойчивости этого микроорганизма ко многим противогрибковым препаратам, а в ряде случаев ко всем антимикотикам. </w:t>
      </w:r>
      <w:r w:rsidRPr="00DA2BC8">
        <w:rPr>
          <w:bCs/>
        </w:rPr>
        <w:t xml:space="preserve">Критерии диагностики сцедоспориоза включают </w:t>
      </w:r>
      <w:r w:rsidRPr="00DA2BC8">
        <w:t xml:space="preserve">выделение </w:t>
      </w:r>
      <w:r w:rsidRPr="00DA2BC8">
        <w:rPr>
          <w:i/>
          <w:iCs/>
        </w:rPr>
        <w:t xml:space="preserve">Scedosporium </w:t>
      </w:r>
      <w:r w:rsidRPr="00DA2BC8">
        <w:t xml:space="preserve">spp. из гемокультуры или других стерильных образцов (аспират из придаточных пазух носа, биоптаты тканей и органов), жидкости БАЛ, мокроты. </w:t>
      </w:r>
      <w:r w:rsidRPr="00DA2BC8">
        <w:rPr>
          <w:bCs/>
        </w:rPr>
        <w:t>Препарат выбора –</w:t>
      </w:r>
      <w:r w:rsidRPr="00DA2BC8">
        <w:t xml:space="preserve"> вориконазол (дозирование как при аспергиллезе), </w:t>
      </w:r>
      <w:r w:rsidRPr="00DA2BC8">
        <w:rPr>
          <w:bCs/>
        </w:rPr>
        <w:t>альтернативные - л</w:t>
      </w:r>
      <w:r w:rsidRPr="00DA2BC8">
        <w:t>ипосомальный или липидный комплекс амфотерцина В (5 мг/кг) или позаконазол (по 400 мг х 2 раза в сутки). Возможно применение сочетания антимикотиков.</w:t>
      </w:r>
    </w:p>
    <w:p w14:paraId="5DFE18A4" w14:textId="77777777" w:rsidR="00116AF3" w:rsidRPr="00686506" w:rsidRDefault="00116AF3" w:rsidP="00116AF3">
      <w:pPr>
        <w:widowControl w:val="0"/>
        <w:autoSpaceDE w:val="0"/>
        <w:autoSpaceDN w:val="0"/>
        <w:adjustRightInd w:val="0"/>
        <w:ind w:right="51"/>
        <w:contextualSpacing/>
        <w:rPr>
          <w:i/>
          <w:iCs/>
          <w:u w:val="single"/>
        </w:rPr>
      </w:pPr>
      <w:r w:rsidRPr="00686506">
        <w:rPr>
          <w:i/>
          <w:iCs/>
          <w:u w:val="single"/>
        </w:rPr>
        <w:t>Инфекции, вызванные Acremonium spp.</w:t>
      </w:r>
    </w:p>
    <w:p w14:paraId="780427F6" w14:textId="77777777" w:rsidR="00116AF3" w:rsidRPr="00DA2BC8" w:rsidRDefault="00116AF3" w:rsidP="00116AF3">
      <w:pPr>
        <w:widowControl w:val="0"/>
        <w:autoSpaceDE w:val="0"/>
        <w:autoSpaceDN w:val="0"/>
        <w:adjustRightInd w:val="0"/>
        <w:ind w:right="51"/>
        <w:contextualSpacing/>
      </w:pPr>
      <w:r>
        <w:t>Эти г</w:t>
      </w:r>
      <w:r w:rsidRPr="00DA2BC8">
        <w:t xml:space="preserve">рибы широко распространены в окружающей среде. Описаны случаи перитонита, инфицирования диализной фистулы, остеомиелита, менингита после спинномозговой анестезии, эндокардита после операции на клапанах, пневмонии, вызванные </w:t>
      </w:r>
      <w:r w:rsidRPr="00DA2BC8">
        <w:rPr>
          <w:i/>
          <w:iCs/>
        </w:rPr>
        <w:t xml:space="preserve">Acremonium </w:t>
      </w:r>
      <w:r w:rsidRPr="00DA2BC8">
        <w:t xml:space="preserve">spp., инфекции кровотока. Диагностика инфекций, вызванных </w:t>
      </w:r>
      <w:r w:rsidRPr="00DA2BC8">
        <w:rPr>
          <w:i/>
          <w:iCs/>
        </w:rPr>
        <w:t>Acremonium</w:t>
      </w:r>
      <w:r w:rsidRPr="00DA2BC8">
        <w:t xml:space="preserve"> spp</w:t>
      </w:r>
      <w:r>
        <w:t>. включает выделение культуры этих</w:t>
      </w:r>
      <w:r w:rsidRPr="00DA2BC8">
        <w:t xml:space="preserve"> грибов из локуса поражения</w:t>
      </w:r>
      <w:r>
        <w:t>, выявленного при соответствующей инструментальной диагностике (УЗИ, ЭхоКГ, КТ/СКТ, МРТ пораженных областей) и манипуляциях – люмбальная пункция, плевральная пункция, пункция брюшной полости, пункция/биопсия очага поражения</w:t>
      </w:r>
      <w:r w:rsidRPr="00DA2BC8">
        <w:t>. Лечение проводится вориконазолом или амфотерицином В или позаконазолом (стандартные дозы).</w:t>
      </w:r>
    </w:p>
    <w:p w14:paraId="527E0725" w14:textId="77777777" w:rsidR="00116AF3" w:rsidRDefault="00116AF3" w:rsidP="00116AF3">
      <w:pPr>
        <w:widowControl w:val="0"/>
        <w:autoSpaceDE w:val="0"/>
        <w:autoSpaceDN w:val="0"/>
        <w:adjustRightInd w:val="0"/>
        <w:ind w:right="50"/>
        <w:contextualSpacing/>
        <w:rPr>
          <w:b/>
          <w:bCs/>
        </w:rPr>
      </w:pPr>
    </w:p>
    <w:p w14:paraId="47E4FD2B" w14:textId="5F174276" w:rsidR="00116AF3" w:rsidRPr="00084B8B" w:rsidRDefault="00116AF3" w:rsidP="00116AF3">
      <w:pPr>
        <w:widowControl w:val="0"/>
        <w:autoSpaceDE w:val="0"/>
        <w:autoSpaceDN w:val="0"/>
        <w:adjustRightInd w:val="0"/>
        <w:ind w:right="50"/>
        <w:contextualSpacing/>
        <w:rPr>
          <w:b/>
        </w:rPr>
      </w:pPr>
      <w:r w:rsidRPr="00686506">
        <w:rPr>
          <w:bCs/>
          <w:u w:val="single"/>
        </w:rPr>
        <w:t>Диагностика и лечение пневмоцистной пневмонии</w:t>
      </w:r>
      <w:r w:rsidRPr="00084B8B">
        <w:rPr>
          <w:bCs/>
          <w:u w:val="single"/>
        </w:rPr>
        <w:t xml:space="preserve"> </w:t>
      </w:r>
      <w:r>
        <w:rPr>
          <w:b/>
        </w:rPr>
        <w:fldChar w:fldCharType="begin" w:fldLock="1"/>
      </w:r>
      <w:r w:rsidR="009D41F9">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infections","type":"article-journal","volume":"20"},"uris":["http://www.mendeley.com/documents/?uuid=5a6b3e24-e337-3cd9-bb20-08cd60455554"]},{"id":"ITEM-4","itemData":{"DOI":"10.1093/jac/dkw158","ISSN":"14602091","PMID":"27550993","abstract":"The initiation of systemic antimicrobial treatment of Pneumocystis jirovecii pneumonia (PCP) is triggered by clinical signs and symptoms, typical radiological and occasionally laboratory findings in patients at risk of this infection. Diagnostic proof by bronchoalveolar lavage should not delay the start of treatment. Most patients with haematological malignancies present with a severe PCP; therefore, antimicrobial therapy should be started intravenously. High-dose trimethoprim/sulfamethoxazole is the treatment of choice. In patients with documented intolerance to this regimen, the preferred alternative is the combination of primaquine plus clindamycin. Treatment success should be first evaluated after 1 week, and in case of clinical non-response, pulmonary CT scan and bronchoalveolar lavage should be repeated to look for secondary or co-infections. Treatment duration typically is 3 weeks and secondary anti-PCP prophylaxis is indicated in all patients thereafter. In patients with critical respiratory failure, non-invasive ventilation is not significantly superior to intubation and mechanical ventilation. The administration of glucocorticoids must be decided on a case-by-case basis.","author":[{"dropping-particle":"","family":"Maschmeyer","given":"Georg","non-dropping-particle":"","parse-names":false,"suffix":""},{"dropping-particle":"","family":"Helweg-Larsen","given":"Jannik","non-dropping-particle":"","parse-names":false,"suffix":""},{"dropping-particle":"","family":"Pagano","given":"Livio","non-dropping-particle":"","parse-names":false,"suffix":""},{"dropping-particle":"","family":"Robin","given":"Christine","non-dropping-particle":"","parse-names":false,"suffix":""},{"dropping-particle":"","family":"Cordonnier","given":"Catherine","non-dropping-particle":"","parse-names":false,"suffix":""},{"dropping-particle":"","family":"Schellongowski","given":"Peter","non-dropping-particle":"","parse-names":false,"suffix":""}],"container-title":"The Journal of antimicrobial chemotherapy","id":"ITEM-4","issue":"9","issued":{"date-parts":[["2016","9","1"]]},"page":"2405-2413","publisher":"J Antimicrob Chemother","title":"ECIL guidelines for treatment of Pneumocystis jirovecii pneumonia in non-HIV-infected haematology patients","type":"article-journal","volume":"71"},"uris":["http://www.mendeley.com/documents/?uuid=2f829fda-f017-3f84-8bbc-ec72967bb7a9"]}],"mendeley":{"formattedCitation":"[47,48,54,60]","plainTextFormattedCitation":"[47,48,54,60]","previouslyFormattedCitation":"[47,48,54,60]"},"properties":{"noteIndex":0},"schema":"https://github.com/citation-style-language/schema/raw/master/csl-citation.json"}</w:instrText>
      </w:r>
      <w:r>
        <w:rPr>
          <w:b/>
        </w:rPr>
        <w:fldChar w:fldCharType="separate"/>
      </w:r>
      <w:r w:rsidR="004C3BA5" w:rsidRPr="004C3BA5">
        <w:rPr>
          <w:noProof/>
        </w:rPr>
        <w:t>[47,48,54,60]</w:t>
      </w:r>
      <w:r>
        <w:rPr>
          <w:b/>
        </w:rPr>
        <w:fldChar w:fldCharType="end"/>
      </w:r>
    </w:p>
    <w:p w14:paraId="36D13596" w14:textId="77777777" w:rsidR="00116AF3" w:rsidRPr="00DA2BC8" w:rsidRDefault="00116AF3" w:rsidP="00116AF3">
      <w:pPr>
        <w:widowControl w:val="0"/>
        <w:autoSpaceDE w:val="0"/>
        <w:autoSpaceDN w:val="0"/>
        <w:adjustRightInd w:val="0"/>
        <w:ind w:right="50"/>
        <w:contextualSpacing/>
      </w:pPr>
      <w:r w:rsidRPr="00DA2BC8">
        <w:t>До</w:t>
      </w:r>
      <w:r w:rsidRPr="00FB256D">
        <w:t xml:space="preserve"> </w:t>
      </w:r>
      <w:r w:rsidRPr="00DA2BC8">
        <w:t>недавнего</w:t>
      </w:r>
      <w:r w:rsidRPr="00FB256D">
        <w:t xml:space="preserve"> </w:t>
      </w:r>
      <w:r w:rsidRPr="00DA2BC8">
        <w:t>времени</w:t>
      </w:r>
      <w:r w:rsidRPr="00FB256D">
        <w:t xml:space="preserve"> </w:t>
      </w:r>
      <w:r w:rsidRPr="00DA2BC8">
        <w:t>большинство</w:t>
      </w:r>
      <w:r w:rsidRPr="00FB256D">
        <w:t xml:space="preserve"> </w:t>
      </w:r>
      <w:r w:rsidRPr="00DA2BC8">
        <w:t>специалистов</w:t>
      </w:r>
      <w:r w:rsidRPr="00FB256D">
        <w:t xml:space="preserve"> </w:t>
      </w:r>
      <w:r w:rsidRPr="00DA2BC8">
        <w:t>относили</w:t>
      </w:r>
      <w:r w:rsidRPr="00FB256D">
        <w:t xml:space="preserve"> </w:t>
      </w:r>
      <w:r w:rsidRPr="00FB256D">
        <w:rPr>
          <w:i/>
          <w:iCs/>
          <w:lang w:val="en-US"/>
        </w:rPr>
        <w:t>Pneumocystis</w:t>
      </w:r>
      <w:r w:rsidRPr="00FB256D">
        <w:rPr>
          <w:i/>
          <w:iCs/>
        </w:rPr>
        <w:t xml:space="preserve"> </w:t>
      </w:r>
      <w:r w:rsidRPr="00FB256D">
        <w:rPr>
          <w:i/>
          <w:iCs/>
          <w:lang w:val="en-US"/>
        </w:rPr>
        <w:t>jirovecii</w:t>
      </w:r>
      <w:r w:rsidRPr="00FB256D">
        <w:t xml:space="preserve"> (</w:t>
      </w:r>
      <w:r w:rsidRPr="00DA2BC8">
        <w:t>ранее</w:t>
      </w:r>
      <w:r w:rsidRPr="00FB256D">
        <w:t xml:space="preserve"> </w:t>
      </w:r>
      <w:r w:rsidRPr="00FB256D">
        <w:rPr>
          <w:i/>
          <w:iCs/>
          <w:lang w:val="en-US"/>
        </w:rPr>
        <w:t>Pneumocystis</w:t>
      </w:r>
      <w:r w:rsidRPr="00FB256D">
        <w:rPr>
          <w:i/>
          <w:iCs/>
        </w:rPr>
        <w:t xml:space="preserve"> </w:t>
      </w:r>
      <w:r w:rsidRPr="00FB256D">
        <w:rPr>
          <w:i/>
          <w:iCs/>
          <w:lang w:val="en-US"/>
        </w:rPr>
        <w:t>carinii</w:t>
      </w:r>
      <w:r w:rsidRPr="00FB256D">
        <w:t xml:space="preserve">) </w:t>
      </w:r>
      <w:r w:rsidRPr="00DA2BC8">
        <w:t>к</w:t>
      </w:r>
      <w:r w:rsidRPr="00FB256D">
        <w:t xml:space="preserve"> </w:t>
      </w:r>
      <w:r w:rsidRPr="00DA2BC8">
        <w:t>простейшим</w:t>
      </w:r>
      <w:r w:rsidRPr="00FB256D">
        <w:t xml:space="preserve">. </w:t>
      </w:r>
      <w:r w:rsidRPr="00DA2BC8">
        <w:t xml:space="preserve">Это подтверждалось эффективным лечением пневмоцистной инфекции препаратами с антипротозойной активностью и безуспешной терапией противогрибковыми препаратами, а также отсутствием некоторых веществ в клеточной стенке пневмоцист, характерных для грибов, например, эргостерола. В настоящее время </w:t>
      </w:r>
      <w:r w:rsidRPr="00DA2BC8">
        <w:rPr>
          <w:i/>
          <w:iCs/>
        </w:rPr>
        <w:t>P. jirovecii</w:t>
      </w:r>
      <w:r w:rsidRPr="00DA2BC8">
        <w:t xml:space="preserve"> отнесены к дрожжеподобным грибам, сходным с патогенами растений, на основании идентичности строения ряда клеточных структур, гомологичности ферментных систем, фрагментов рибонуклеиновых кислот (16S pРНК, 5S pРНК).</w:t>
      </w:r>
    </w:p>
    <w:p w14:paraId="1301829A" w14:textId="77777777" w:rsidR="00116AF3" w:rsidRPr="00DA2BC8" w:rsidRDefault="00116AF3" w:rsidP="00116AF3">
      <w:pPr>
        <w:widowControl w:val="0"/>
        <w:autoSpaceDE w:val="0"/>
        <w:autoSpaceDN w:val="0"/>
        <w:adjustRightInd w:val="0"/>
        <w:ind w:right="50"/>
        <w:contextualSpacing/>
      </w:pPr>
      <w:r w:rsidRPr="00DA2BC8">
        <w:t xml:space="preserve">В общей популяции передача возбудителя происходит при непосредственном контакте с носителем </w:t>
      </w:r>
      <w:r w:rsidRPr="00DA2BC8">
        <w:rPr>
          <w:i/>
          <w:iCs/>
        </w:rPr>
        <w:t>P. jirovecii</w:t>
      </w:r>
      <w:r w:rsidRPr="00DA2BC8">
        <w:t xml:space="preserve">. У иммунокомпрометированных </w:t>
      </w:r>
      <w:r>
        <w:t>пациентов</w:t>
      </w:r>
      <w:r w:rsidRPr="00DA2BC8">
        <w:t xml:space="preserve"> </w:t>
      </w:r>
      <w:r w:rsidRPr="00DA2BC8">
        <w:rPr>
          <w:i/>
          <w:iCs/>
        </w:rPr>
        <w:t>P. jirovecii</w:t>
      </w:r>
      <w:r w:rsidRPr="00DA2BC8">
        <w:t xml:space="preserve"> вызывают тяжелую пневмонию, в большинстве случаев сопровождающейся острой дыхательной недостаточностью. Пневмоцистная пневмония возникает, прежде всего, у реципиентов аллогенных СГК, </w:t>
      </w:r>
      <w:r>
        <w:t xml:space="preserve">пациентов с </w:t>
      </w:r>
      <w:r w:rsidRPr="00DA2BC8">
        <w:t>острыми лимфобластными лейкозами</w:t>
      </w:r>
      <w:r>
        <w:t xml:space="preserve">, </w:t>
      </w:r>
      <w:r w:rsidRPr="00DA2BC8">
        <w:t xml:space="preserve">лимфопролиферативными заболеваниями, включая </w:t>
      </w:r>
      <w:r>
        <w:t>пациентов</w:t>
      </w:r>
      <w:r w:rsidRPr="00DA2BC8">
        <w:t xml:space="preserve"> хроническим лимфолейкозом, лимфомами, множественной миеломой. Сопутствующие заболевания, такие как хроническая обструктивная болезнь легких и бронхиальная астма также ассоциированы с развитием этой инфекции. Активная профилактика пневмоцистных пневмоний привели к существенному снижению частоты подобных осложнений. Развитие пневмоцистной пневмонии на фоне профилактического приема ко-тримоксазола бывает обусловлено чаще всего нарушениями в режиме приема препарата, а не резистентнотсью. Летальность от пневмоцистной пневмонии у </w:t>
      </w:r>
      <w:r>
        <w:t>гематологических пациентов</w:t>
      </w:r>
      <w:r w:rsidRPr="00DA2BC8">
        <w:t xml:space="preserve"> может достигать 30-50%, особенно у реципиентов аллогенных СГК. </w:t>
      </w:r>
    </w:p>
    <w:p w14:paraId="3BFC0FE2" w14:textId="77777777" w:rsidR="00116AF3" w:rsidRPr="00686506" w:rsidRDefault="00116AF3" w:rsidP="00116AF3">
      <w:pPr>
        <w:widowControl w:val="0"/>
        <w:autoSpaceDE w:val="0"/>
        <w:autoSpaceDN w:val="0"/>
        <w:adjustRightInd w:val="0"/>
        <w:ind w:right="50"/>
        <w:contextualSpacing/>
        <w:rPr>
          <w:i/>
          <w:iCs/>
        </w:rPr>
      </w:pPr>
      <w:r w:rsidRPr="00686506">
        <w:rPr>
          <w:i/>
          <w:iCs/>
          <w:u w:val="single"/>
        </w:rPr>
        <w:t>Факторы риска</w:t>
      </w:r>
    </w:p>
    <w:p w14:paraId="4FFA24F2" w14:textId="77777777" w:rsidR="00116AF3" w:rsidRPr="00DA2BC8" w:rsidRDefault="00116AF3" w:rsidP="00116AF3">
      <w:pPr>
        <w:widowControl w:val="0"/>
        <w:autoSpaceDE w:val="0"/>
        <w:autoSpaceDN w:val="0"/>
        <w:adjustRightInd w:val="0"/>
        <w:ind w:right="50"/>
        <w:contextualSpacing/>
      </w:pPr>
      <w:r w:rsidRPr="00DA2BC8">
        <w:t xml:space="preserve">Пневмоцистная пневмония возникает прежде всего у </w:t>
      </w:r>
      <w:r>
        <w:t>пациентов</w:t>
      </w:r>
      <w:r w:rsidRPr="00DA2BC8">
        <w:t xml:space="preserve"> с дефицитом Т-клеточного звена иммунитета, лимфоцитопенией, низким уровнем CD4+ клеток. Основной предрасполагающий фактор в развитии пневмоцистной пневмонии – это прием глюкокортикоидов. К другим факторам относят использование цитостатических препаратов (флюдарабин</w:t>
      </w:r>
      <w:r>
        <w:t>а, винкристина, циклофосфамида</w:t>
      </w:r>
      <w:r w:rsidRPr="00DA2BC8">
        <w:t xml:space="preserve">), моноклональных антител (ритуксимаба, </w:t>
      </w:r>
      <w:r>
        <w:t>обину</w:t>
      </w:r>
      <w:r w:rsidRPr="00DA2BC8">
        <w:t xml:space="preserve">тузумаба), трансплантация СГК, РТПХ. </w:t>
      </w:r>
    </w:p>
    <w:p w14:paraId="4A683B92" w14:textId="77777777" w:rsidR="00116AF3" w:rsidRPr="00686506" w:rsidRDefault="00116AF3" w:rsidP="00116AF3">
      <w:pPr>
        <w:widowControl w:val="0"/>
        <w:autoSpaceDE w:val="0"/>
        <w:autoSpaceDN w:val="0"/>
        <w:adjustRightInd w:val="0"/>
        <w:ind w:right="50"/>
        <w:contextualSpacing/>
        <w:rPr>
          <w:i/>
          <w:iCs/>
          <w:u w:val="single"/>
        </w:rPr>
      </w:pPr>
      <w:r w:rsidRPr="00686506">
        <w:rPr>
          <w:i/>
          <w:iCs/>
          <w:u w:val="single"/>
        </w:rPr>
        <w:t>Симптомы</w:t>
      </w:r>
    </w:p>
    <w:p w14:paraId="1BC219D9" w14:textId="77777777" w:rsidR="00116AF3" w:rsidRPr="00DA2BC8" w:rsidRDefault="00116AF3" w:rsidP="00116AF3">
      <w:pPr>
        <w:widowControl w:val="0"/>
        <w:autoSpaceDE w:val="0"/>
        <w:autoSpaceDN w:val="0"/>
        <w:adjustRightInd w:val="0"/>
        <w:ind w:right="50"/>
        <w:contextualSpacing/>
      </w:pPr>
      <w:r w:rsidRPr="00DA2BC8">
        <w:t xml:space="preserve">Начальные признаки инфекции включают лихорадку (90%), сухой кашель, одышку, затем быстро возникает острая дыхательная недостаточность. У части </w:t>
      </w:r>
      <w:r>
        <w:t>пациентов</w:t>
      </w:r>
      <w:r w:rsidRPr="00DA2BC8">
        <w:t xml:space="preserve">, получающих кортикостероиды, клиническая картина может быть стертой и ухудшение происходит только после снижения дозы или отмены этих препаратов. При осмотре </w:t>
      </w:r>
      <w:r>
        <w:t>пациента</w:t>
      </w:r>
      <w:r w:rsidRPr="00DA2BC8">
        <w:t xml:space="preserve"> с пневмоцистной пневмонией выявляется, прежде всего, несоответствие между физикальными данными и тяжестью </w:t>
      </w:r>
      <w:r>
        <w:t>состояния</w:t>
      </w:r>
      <w:r w:rsidRPr="00DA2BC8">
        <w:t xml:space="preserve">, когда крайне скудная аускультативная симптоматика сочетается с выраженной дыхательной недостаточностью (одышка, артериальная гипоксемия, респираторный алкалоз). </w:t>
      </w:r>
    </w:p>
    <w:p w14:paraId="00664A17" w14:textId="77777777" w:rsidR="00116AF3" w:rsidRPr="00DA2BC8" w:rsidRDefault="00116AF3" w:rsidP="00116AF3">
      <w:pPr>
        <w:widowControl w:val="0"/>
        <w:autoSpaceDE w:val="0"/>
        <w:autoSpaceDN w:val="0"/>
        <w:adjustRightInd w:val="0"/>
        <w:ind w:right="50"/>
        <w:contextualSpacing/>
      </w:pPr>
      <w:r w:rsidRPr="00DA2BC8">
        <w:rPr>
          <w:bCs/>
        </w:rPr>
        <w:t>Диагностика включает о</w:t>
      </w:r>
      <w:r w:rsidRPr="00DA2BC8">
        <w:t xml:space="preserve">бнаружение цист, трофозоидов при флуоресцентной микроскопии (метод непрямой иммунофлюоресценции) или ДНК </w:t>
      </w:r>
      <w:r w:rsidRPr="00DA2BC8">
        <w:rPr>
          <w:i/>
          <w:iCs/>
        </w:rPr>
        <w:t>P. jirovecii</w:t>
      </w:r>
      <w:r w:rsidRPr="00DA2BC8">
        <w:t xml:space="preserve"> методом ПЦР в образцах жидкости БАЛ.</w:t>
      </w:r>
      <w:r w:rsidRPr="00DA2BC8">
        <w:rPr>
          <w:bCs/>
        </w:rPr>
        <w:t xml:space="preserve"> </w:t>
      </w:r>
      <w:r w:rsidRPr="00DA2BC8">
        <w:t xml:space="preserve">Образцы индуцированной мокроты или смывыв со слизистой оболочки бронхов и верхних дыхательных путей не используют для диагностики пневмоцистной инфекции у </w:t>
      </w:r>
      <w:r>
        <w:t>гематологических пациентов</w:t>
      </w:r>
      <w:r w:rsidRPr="00DA2BC8">
        <w:t xml:space="preserve"> ввиду их низкой чувствительности. </w:t>
      </w:r>
    </w:p>
    <w:p w14:paraId="6F3506EE" w14:textId="77777777" w:rsidR="00116AF3" w:rsidRPr="00DA2BC8" w:rsidRDefault="00116AF3" w:rsidP="00116AF3">
      <w:pPr>
        <w:widowControl w:val="0"/>
        <w:autoSpaceDE w:val="0"/>
        <w:autoSpaceDN w:val="0"/>
        <w:adjustRightInd w:val="0"/>
        <w:ind w:right="50"/>
        <w:contextualSpacing/>
      </w:pPr>
      <w:r w:rsidRPr="00DA2BC8">
        <w:t xml:space="preserve">Неоднократное обнаружение ДНК пневмоцист при повторных исследованиях жидкости БАЛ не является критерием неэффективного лечения при наличии положительной клинической динамики. </w:t>
      </w:r>
      <w:r w:rsidRPr="00DA2BC8">
        <w:rPr>
          <w:i/>
          <w:iCs/>
        </w:rPr>
        <w:t>P. jirovecii</w:t>
      </w:r>
      <w:r w:rsidRPr="00DA2BC8">
        <w:t xml:space="preserve"> могут определяться в жидкости БАЛ в течение нескольких дней и даже недель при успешном лечении пневмоцистной пневмонии. </w:t>
      </w:r>
    </w:p>
    <w:p w14:paraId="6057C99A" w14:textId="77777777" w:rsidR="00116AF3" w:rsidRPr="00DA2BC8" w:rsidRDefault="00116AF3" w:rsidP="00116AF3">
      <w:pPr>
        <w:widowControl w:val="0"/>
        <w:autoSpaceDE w:val="0"/>
        <w:autoSpaceDN w:val="0"/>
        <w:adjustRightInd w:val="0"/>
        <w:ind w:right="50"/>
        <w:contextualSpacing/>
      </w:pPr>
      <w:r w:rsidRPr="00DA2BC8">
        <w:t>У реципиентов аллогенных СГК пневмоцистная пневмония примерно в половине случаев сочетается с цитамегаловирусной инфекцией.</w:t>
      </w:r>
    </w:p>
    <w:p w14:paraId="22DE0BD0" w14:textId="77777777" w:rsidR="00116AF3" w:rsidRPr="00DA2BC8" w:rsidRDefault="00116AF3" w:rsidP="00116AF3">
      <w:pPr>
        <w:widowControl w:val="0"/>
        <w:autoSpaceDE w:val="0"/>
        <w:autoSpaceDN w:val="0"/>
        <w:adjustRightInd w:val="0"/>
        <w:ind w:right="50"/>
        <w:contextualSpacing/>
      </w:pPr>
      <w:r w:rsidRPr="00DA2BC8">
        <w:t xml:space="preserve">Повышение уровня лактатдегидрогеназы в сыворотке крови при пневмоцистной пневмонии более характерно для ВИЧ-инфицированных больных, а не для больных опухолями системы крови. </w:t>
      </w:r>
    </w:p>
    <w:p w14:paraId="3B77EF7F" w14:textId="77777777" w:rsidR="00116AF3" w:rsidRPr="00686506" w:rsidRDefault="00116AF3" w:rsidP="00116AF3">
      <w:pPr>
        <w:widowControl w:val="0"/>
        <w:autoSpaceDE w:val="0"/>
        <w:autoSpaceDN w:val="0"/>
        <w:adjustRightInd w:val="0"/>
        <w:ind w:right="50"/>
        <w:contextualSpacing/>
        <w:rPr>
          <w:bCs/>
          <w:i/>
          <w:iCs/>
          <w:u w:val="single"/>
        </w:rPr>
      </w:pPr>
      <w:r w:rsidRPr="00686506">
        <w:rPr>
          <w:bCs/>
          <w:i/>
          <w:iCs/>
          <w:u w:val="single"/>
        </w:rPr>
        <w:t>Радиологические особенности пневмоцистной пневмонии</w:t>
      </w:r>
    </w:p>
    <w:p w14:paraId="032BB92D" w14:textId="77777777" w:rsidR="00116AF3" w:rsidRPr="00DA2BC8" w:rsidRDefault="00116AF3" w:rsidP="00116AF3">
      <w:pPr>
        <w:widowControl w:val="0"/>
        <w:autoSpaceDE w:val="0"/>
        <w:autoSpaceDN w:val="0"/>
        <w:adjustRightInd w:val="0"/>
        <w:ind w:right="50"/>
        <w:contextualSpacing/>
      </w:pPr>
      <w:r w:rsidRPr="00DA2BC8">
        <w:t>Заподозрить пневмоцистную пневмонию можно только по данным КТ</w:t>
      </w:r>
      <w:r>
        <w:t>/СКТ</w:t>
      </w:r>
      <w:r w:rsidRPr="00DA2BC8">
        <w:t>.</w:t>
      </w:r>
      <w:r w:rsidRPr="00DA2BC8">
        <w:rPr>
          <w:b/>
        </w:rPr>
        <w:t xml:space="preserve"> </w:t>
      </w:r>
    </w:p>
    <w:p w14:paraId="3F6BA540" w14:textId="77777777" w:rsidR="00116AF3" w:rsidRPr="00DA2BC8" w:rsidRDefault="00116AF3" w:rsidP="00116AF3">
      <w:pPr>
        <w:widowControl w:val="0"/>
        <w:autoSpaceDE w:val="0"/>
        <w:autoSpaceDN w:val="0"/>
        <w:adjustRightInd w:val="0"/>
        <w:ind w:right="50"/>
        <w:contextualSpacing/>
      </w:pPr>
      <w:r w:rsidRPr="00DA2BC8">
        <w:t>При радиологическом исследовании легких обнаруживают облаковидную, туманную, по типу снежной бури или матового стекла, билатеральную инфильтрацию, чаще в прикорневых отделах легких. В то же время могут быть выявлены участки консолидации, буллы (10%), особенно в верхних долях легких, которые могут приводить к образованию пневмоторакса. Признаки плеврита бывают редко, за исключением реципиентов аллогенных СГК. В некоторых случаях определяют одиночные или множественные очаги в легких, описаны случаи симптома «обратного ореола» и каверн по данным КТ</w:t>
      </w:r>
      <w:r>
        <w:t>/СКТ</w:t>
      </w:r>
      <w:r w:rsidRPr="00DA2BC8">
        <w:t xml:space="preserve"> легких. </w:t>
      </w:r>
    </w:p>
    <w:p w14:paraId="1FAF610B" w14:textId="77777777" w:rsidR="00116AF3" w:rsidRPr="00DA2BC8" w:rsidRDefault="00116AF3" w:rsidP="00116AF3">
      <w:pPr>
        <w:widowControl w:val="0"/>
        <w:autoSpaceDE w:val="0"/>
        <w:autoSpaceDN w:val="0"/>
        <w:adjustRightInd w:val="0"/>
        <w:ind w:right="50"/>
        <w:contextualSpacing/>
        <w:rPr>
          <w:b/>
          <w:bCs/>
        </w:rPr>
      </w:pPr>
      <w:r w:rsidRPr="00DA2BC8">
        <w:rPr>
          <w:bCs/>
        </w:rPr>
        <w:t>Препаратом выбора является т</w:t>
      </w:r>
      <w:r w:rsidRPr="00DA2BC8">
        <w:t>риметоприм/сульфаметоксазол, который назначают из расчета по триметоприму 15-20 мг/кг в сутки, внутривенно, дозу разделяют на 3 приема.</w:t>
      </w:r>
    </w:p>
    <w:p w14:paraId="262AB6D8" w14:textId="77777777" w:rsidR="00116AF3" w:rsidRPr="00DA2BC8" w:rsidRDefault="00116AF3" w:rsidP="00116AF3">
      <w:pPr>
        <w:widowControl w:val="0"/>
        <w:autoSpaceDE w:val="0"/>
        <w:autoSpaceDN w:val="0"/>
        <w:adjustRightInd w:val="0"/>
        <w:ind w:right="50"/>
        <w:contextualSpacing/>
      </w:pPr>
      <w:r w:rsidRPr="00DA2BC8">
        <w:rPr>
          <w:bCs/>
        </w:rPr>
        <w:t xml:space="preserve">У </w:t>
      </w:r>
      <w:r w:rsidRPr="00DA2BC8">
        <w:t xml:space="preserve">нетяжелых </w:t>
      </w:r>
      <w:r>
        <w:t>пациентов</w:t>
      </w:r>
      <w:r w:rsidRPr="00DA2BC8">
        <w:t xml:space="preserve"> пневмоцистной пневмонией без дыхательной недостаточности, при условии отсутствия мукозита и нормальной функции желудочно-кишечного тракта (нет диареи), может быть использован триметоприм/сульфаметоксазол перорально в тех же дозах, как и для внутривенного назначения. Концентрация триметоприма/сульфаметоксазола в сыворотке крови является эквивалентной при использовании его внутривенно или перорально (в случае нормальной функции желудочно-кишечного тракта). Внутривенная форма триметоприма/сульфаметоксазола может быть заменена на пероральную без изменения дозирования препарата, как продолжение лечения, при клиническом улучшении состояния и нормальной абсорбции в желудочно-кишечном тракте. </w:t>
      </w:r>
    </w:p>
    <w:p w14:paraId="4FB539C2" w14:textId="77777777" w:rsidR="00116AF3" w:rsidRDefault="00116AF3" w:rsidP="00116AF3">
      <w:pPr>
        <w:widowControl w:val="0"/>
        <w:autoSpaceDE w:val="0"/>
        <w:autoSpaceDN w:val="0"/>
        <w:adjustRightInd w:val="0"/>
        <w:ind w:right="50"/>
        <w:contextualSpacing/>
      </w:pPr>
      <w:r w:rsidRPr="00DA2BC8">
        <w:t xml:space="preserve">Не рекомендовано назначать метотрексат в период терапии триметопримом/сульфаметоксазолом из-за развития побочных эффектов. </w:t>
      </w:r>
      <w:r w:rsidRPr="00DA2BC8">
        <w:rPr>
          <w:bCs/>
        </w:rPr>
        <w:t xml:space="preserve">Препаратами 2-го ряда являются </w:t>
      </w:r>
      <w:r w:rsidRPr="00DA2BC8">
        <w:t xml:space="preserve">пентамидин (4 мг/кг 1 раз в сутки, внутривенно, максимальная суточная доза 300 мг), сочетание примахина (30 мг внутрь 1 раз в сутки) и клиндамицина (600 мг внутривенно 3 раза в сутки). При неэффективности к триметоприму/сульфаметоксазолу добавляют каспофунгин (в 1-й день 70 мг, затем и по 50 мг внутривенно 1 раз в сутки). </w:t>
      </w:r>
      <w:r w:rsidRPr="00DA2BC8">
        <w:rPr>
          <w:iCs/>
        </w:rPr>
        <w:t>Не проводят одним эхинокандином</w:t>
      </w:r>
      <w:r w:rsidRPr="00DA2BC8">
        <w:t xml:space="preserve"> </w:t>
      </w:r>
      <w:r w:rsidRPr="00DA2BC8">
        <w:rPr>
          <w:iCs/>
        </w:rPr>
        <w:t>лечение пневмоцистной пневмонии (нет исследований).</w:t>
      </w:r>
      <w:r w:rsidRPr="00DA2BC8">
        <w:t xml:space="preserve"> Не рекомендовано назначение кортикостероидов всем больным с пневмоцистной пневмонией и дыхательной недостаточностью. Решение о добавлении кортикостероидов </w:t>
      </w:r>
      <w:r>
        <w:t>пациентам</w:t>
      </w:r>
      <w:r w:rsidRPr="00DA2BC8">
        <w:t xml:space="preserve"> с пневмоцистной пневмонией и дыхательной недостаточностью следует рассматривать индивидуально в каждом случае. </w:t>
      </w:r>
      <w:r w:rsidRPr="00DA2BC8">
        <w:rPr>
          <w:bCs/>
        </w:rPr>
        <w:t>Длительность лечения</w:t>
      </w:r>
      <w:r w:rsidRPr="00DA2BC8">
        <w:t xml:space="preserve"> пневмоцистной пневмонии составляет от 2 до 3-х недель.</w:t>
      </w:r>
    </w:p>
    <w:p w14:paraId="7675B7A4" w14:textId="77777777" w:rsidR="00116AF3" w:rsidRDefault="00116AF3" w:rsidP="00116AF3">
      <w:pPr>
        <w:widowControl w:val="0"/>
        <w:autoSpaceDE w:val="0"/>
        <w:autoSpaceDN w:val="0"/>
        <w:adjustRightInd w:val="0"/>
        <w:ind w:right="50"/>
        <w:contextualSpacing/>
      </w:pPr>
    </w:p>
    <w:p w14:paraId="1D130B90" w14:textId="6C017AA3" w:rsidR="00116AF3" w:rsidRPr="00AE3627" w:rsidRDefault="00116AF3" w:rsidP="00116AF3">
      <w:pPr>
        <w:pStyle w:val="2"/>
        <w:spacing w:before="0"/>
      </w:pPr>
      <w:bookmarkStart w:id="91" w:name="_Toc66097847"/>
      <w:bookmarkStart w:id="92" w:name="_Toc66184334"/>
      <w:r w:rsidRPr="000322E4">
        <w:t>7.</w:t>
      </w:r>
      <w:r w:rsidR="00C07B00">
        <w:t>10</w:t>
      </w:r>
      <w:r>
        <w:t xml:space="preserve"> </w:t>
      </w:r>
      <w:r w:rsidRPr="003722EE">
        <w:rPr>
          <w:bCs/>
        </w:rPr>
        <w:t>Профилактика инфекционных осложнений у пациентов с гематологическими заболеваниями</w:t>
      </w:r>
      <w:bookmarkEnd w:id="91"/>
      <w:bookmarkEnd w:id="92"/>
    </w:p>
    <w:p w14:paraId="7EAF45E3" w14:textId="77777777" w:rsidR="00116AF3" w:rsidRPr="003722EE" w:rsidRDefault="00116AF3" w:rsidP="00116AF3">
      <w:pPr>
        <w:ind w:right="49" w:firstLine="708"/>
        <w:contextualSpacing/>
        <w:rPr>
          <w:rFonts w:cs="Times New Roman"/>
        </w:rPr>
      </w:pPr>
      <w:r w:rsidRPr="003722EE">
        <w:rPr>
          <w:rFonts w:cs="Times New Roman"/>
        </w:rPr>
        <w:t xml:space="preserve">Высокая частота инфекционных осложнений у гематологических пациентов, особенно в период нейтропении, диктует необходимость назначения препаратов для профилактики инфекций. Профилактика показана для инфекций, вызванных грибами и вирусами в группе высокого риска. Профилактика бактериальных инфекций становится менее актуальной по причине увеличения полирезистентных бактерий и проводится у определенной категории больных. </w:t>
      </w:r>
    </w:p>
    <w:p w14:paraId="2519069C" w14:textId="77777777" w:rsidR="00116AF3" w:rsidRDefault="00116AF3" w:rsidP="00116AF3">
      <w:pPr>
        <w:widowControl w:val="0"/>
        <w:autoSpaceDE w:val="0"/>
        <w:autoSpaceDN w:val="0"/>
        <w:adjustRightInd w:val="0"/>
        <w:ind w:right="49"/>
        <w:rPr>
          <w:rFonts w:cs="Times New Roman"/>
          <w:i/>
          <w:iCs/>
          <w:u w:val="single"/>
        </w:rPr>
      </w:pPr>
    </w:p>
    <w:p w14:paraId="4C1F4CF0" w14:textId="77777777" w:rsidR="00116AF3" w:rsidRPr="003722EE" w:rsidRDefault="00116AF3" w:rsidP="00116AF3">
      <w:pPr>
        <w:widowControl w:val="0"/>
        <w:autoSpaceDE w:val="0"/>
        <w:autoSpaceDN w:val="0"/>
        <w:adjustRightInd w:val="0"/>
        <w:ind w:right="49"/>
        <w:rPr>
          <w:rFonts w:cs="Times New Roman"/>
          <w:i/>
          <w:iCs/>
          <w:u w:val="single"/>
        </w:rPr>
      </w:pPr>
      <w:r w:rsidRPr="003722EE">
        <w:rPr>
          <w:rFonts w:cs="Times New Roman"/>
          <w:i/>
          <w:iCs/>
          <w:u w:val="single"/>
        </w:rPr>
        <w:t>Профилактика инфекций, вызванных бактериями</w:t>
      </w:r>
    </w:p>
    <w:p w14:paraId="67D76ADA" w14:textId="77777777" w:rsidR="00116AF3" w:rsidRPr="003722EE" w:rsidRDefault="00116AF3" w:rsidP="00116AF3">
      <w:pPr>
        <w:widowControl w:val="0"/>
        <w:autoSpaceDE w:val="0"/>
        <w:autoSpaceDN w:val="0"/>
        <w:adjustRightInd w:val="0"/>
        <w:ind w:right="49"/>
        <w:contextualSpacing/>
        <w:rPr>
          <w:rFonts w:cs="Times New Roman"/>
          <w:bCs/>
        </w:rPr>
      </w:pPr>
      <w:r w:rsidRPr="003722EE">
        <w:rPr>
          <w:rFonts w:cs="Times New Roman"/>
          <w:bCs/>
        </w:rPr>
        <w:t xml:space="preserve">Профилактику бактериальных инфекций проводят реципиентам аллогенной трансплантации гемопоэтических стволовых клеток (ТГСК), не имеющим колонизации слизистых оболочек энтеробактериями с продукцией </w:t>
      </w:r>
      <w:r w:rsidRPr="003722EE">
        <w:rPr>
          <w:rFonts w:cs="Times New Roman"/>
          <w:bCs/>
        </w:rPr>
        <w:sym w:font="Symbol" w:char="F062"/>
      </w:r>
      <w:r w:rsidRPr="003722EE">
        <w:rPr>
          <w:rFonts w:cs="Times New Roman"/>
          <w:bCs/>
        </w:rPr>
        <w:t xml:space="preserve">-лактамаз расширенного спектра или карбапенемаз, фторхинолон-устойчивыми штаммами </w:t>
      </w:r>
      <w:r w:rsidRPr="003722EE">
        <w:rPr>
          <w:rFonts w:cs="Times New Roman"/>
          <w:bCs/>
          <w:i/>
        </w:rPr>
        <w:t>Pseudomonas aeruginosa, Stenotrophomonas maltophilia, Acinetobacter baumannii</w:t>
      </w:r>
      <w:r w:rsidRPr="003722EE">
        <w:rPr>
          <w:rFonts w:cs="Times New Roman"/>
          <w:bCs/>
        </w:rPr>
        <w:t xml:space="preserve"> и другими бактериями, устойчивыми к фторхинолонам. Перед назначением фторхинолона для профилактики необходимо исследовать мазок со слизистой прямой кишки, исследование повторяют каждые 7 дней. Профилактику отменяют при назначении системных антибиотиков по поводу лихорадки в период нейтропении. Для профилактики используют фторхинолоны - </w:t>
      </w:r>
      <w:r w:rsidRPr="003722EE">
        <w:rPr>
          <w:rFonts w:cs="Times New Roman"/>
        </w:rPr>
        <w:t xml:space="preserve">ципрофлоксацин по 0,5 г внутрь 2 раза в сутки </w:t>
      </w:r>
      <w:r w:rsidRPr="003722EE">
        <w:rPr>
          <w:rFonts w:cs="Times New Roman"/>
          <w:iCs/>
        </w:rPr>
        <w:t>или</w:t>
      </w:r>
      <w:r w:rsidRPr="003722EE">
        <w:rPr>
          <w:rFonts w:cs="Times New Roman"/>
          <w:bCs/>
        </w:rPr>
        <w:t xml:space="preserve"> </w:t>
      </w:r>
      <w:r w:rsidRPr="003722EE">
        <w:rPr>
          <w:rFonts w:cs="Times New Roman"/>
        </w:rPr>
        <w:t>левофлоксацин по 0,5 г внутрь 1 раз в сутки. Назначают фторхинолон перед ТГСК с 1-го дня кондиционирования, отменяют - при лейкоцитах более 1,0х10</w:t>
      </w:r>
      <w:r w:rsidRPr="003722EE">
        <w:rPr>
          <w:rFonts w:cs="Times New Roman"/>
          <w:vertAlign w:val="superscript"/>
        </w:rPr>
        <w:t>9</w:t>
      </w:r>
      <w:r w:rsidRPr="003722EE">
        <w:rPr>
          <w:rFonts w:cs="Times New Roman"/>
        </w:rPr>
        <w:t>/л или при назначении системных антибиотиков по поводу возникшей инфекции.</w:t>
      </w:r>
    </w:p>
    <w:p w14:paraId="4E2B1AF7" w14:textId="77777777" w:rsidR="00116AF3" w:rsidRDefault="00116AF3" w:rsidP="00116AF3">
      <w:pPr>
        <w:widowControl w:val="0"/>
        <w:autoSpaceDE w:val="0"/>
        <w:autoSpaceDN w:val="0"/>
        <w:adjustRightInd w:val="0"/>
        <w:ind w:right="49"/>
        <w:contextualSpacing/>
        <w:rPr>
          <w:rFonts w:cs="Times New Roman"/>
        </w:rPr>
      </w:pPr>
      <w:r w:rsidRPr="003722EE">
        <w:rPr>
          <w:rFonts w:cs="Times New Roman"/>
        </w:rPr>
        <w:t>Профилактика бактериальных инфекций у других категорий пациентов исключена по причине неэффективности из-за высокой частоты детекции полирезистентных бактерий. Так, профилактическое применение фторхинолонов приводит к достоверному увеличению частоты инфекций, вызванных полирезистентными штаммами, возрастает необходимость в назначении карбапенемов . Отсутствие в протоколе лечения острых лейкозов антимикробной профилактики означает только более жесткий клинический и бактериологический мониторинг состояния пациента и своевременное назначение противомикробных препаратов внутривенно в соответствии с проявлениями инфекции. Не назначают антибиотики с целью деколонизации полирезистентных бактерий со слизистой желудочно-кишечного тракта.</w:t>
      </w:r>
    </w:p>
    <w:p w14:paraId="66B6538A" w14:textId="77777777" w:rsidR="00116AF3" w:rsidRPr="003722EE" w:rsidRDefault="00116AF3" w:rsidP="00116AF3">
      <w:pPr>
        <w:widowControl w:val="0"/>
        <w:autoSpaceDE w:val="0"/>
        <w:autoSpaceDN w:val="0"/>
        <w:adjustRightInd w:val="0"/>
        <w:ind w:right="49"/>
        <w:contextualSpacing/>
        <w:rPr>
          <w:rFonts w:cs="Times New Roman"/>
          <w:bCs/>
        </w:rPr>
      </w:pPr>
    </w:p>
    <w:p w14:paraId="7BAFBEDA" w14:textId="063E5CA7" w:rsidR="00116AF3" w:rsidRPr="00DD5F61" w:rsidRDefault="00116AF3" w:rsidP="00116AF3">
      <w:pPr>
        <w:widowControl w:val="0"/>
        <w:autoSpaceDE w:val="0"/>
        <w:autoSpaceDN w:val="0"/>
        <w:adjustRightInd w:val="0"/>
        <w:ind w:right="49"/>
        <w:rPr>
          <w:rFonts w:cs="Times New Roman"/>
          <w:i/>
          <w:iCs/>
          <w:u w:val="single"/>
        </w:rPr>
      </w:pPr>
      <w:r w:rsidRPr="006F23E6">
        <w:rPr>
          <w:rFonts w:cs="Times New Roman"/>
          <w:i/>
          <w:iCs/>
          <w:u w:val="single"/>
        </w:rPr>
        <w:t>Профилактика пневмоцистной пневмонии</w:t>
      </w:r>
      <w:r>
        <w:rPr>
          <w:rFonts w:cs="Times New Roman"/>
          <w:i/>
          <w:iCs/>
          <w:u w:val="single"/>
        </w:rPr>
        <w:t xml:space="preserve"> </w:t>
      </w:r>
      <w:r>
        <w:rPr>
          <w:rFonts w:cs="Times New Roman"/>
          <w:i/>
          <w:iCs/>
          <w:u w:val="single"/>
        </w:rPr>
        <w:fldChar w:fldCharType="begin" w:fldLock="1"/>
      </w:r>
      <w:r w:rsidR="009D41F9">
        <w:rPr>
          <w:rFonts w:cs="Times New Roman"/>
          <w:i/>
          <w:iCs/>
          <w:u w:val="single"/>
        </w:rPr>
        <w:instrText>ADDIN CSL_CITATION {"citationItems":[{"id":"ITEM-1","itemData":{"DOI":"10.1093/jac/dkw157","ISSN":"14602091","PMID":"27550992","abstract":"The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given":"Anna","non-dropping-particle":"","parse-names":false,"suffix":""},{"dropping-particle":"","family":"Rizzi-Puechal","given":"Valérie","non-dropping-particle":"","parse-names":false,"suffix":""},{"dropping-particle":"","family":"Sinko","given":"Janos","non-dropping-particle":"","parse-names":false,"suffix":""},{"dropping-particle":"","family":"Slavin","given":"Monica","non-dropping-particle":"","parse-names":false,"suffix":""},{"dropping-particle":"","family":"Styczynski","given":"Jan","non-dropping-particle":"","parse-names":false,"suffix":""},{"dropping-particle":"","family":"Tweddle","given":"Lorraine","non-dropping-particle":"","parse-names":false,"suffix":""},{"dropping-particle":"","family":"Wood","given":"Craig","non-dropping-particle":"","parse-names":false,"suffix":""}],"container-title":"Journal of Antimicrobial Chemotherapy","id":"ITEM-1","issue":"9","issued":{"date-parts":[["2016","9","1"]]},"page":"1-8","publisher":"Oxford University Press","title":"ECIL guidelines for preventing Pneumocystis jirovecii pneumonia in patients with haematological malignancies and stem cell transplant recipients","type":"bill","volume":"71"},"uris":["http://www.mendeley.com/documents/?uuid=a0eb48bc-4417-4d24-8796-9587f2cfd3b7"]}],"mendeley":{"formattedCitation":"[61]","plainTextFormattedCitation":"[61]","previouslyFormattedCitation":"[61]"},"properties":{"noteIndex":0},"schema":"https://github.com/citation-style-language/schema/raw/master/csl-citation.json"}</w:instrText>
      </w:r>
      <w:r>
        <w:rPr>
          <w:rFonts w:cs="Times New Roman"/>
          <w:i/>
          <w:iCs/>
          <w:u w:val="single"/>
        </w:rPr>
        <w:fldChar w:fldCharType="separate"/>
      </w:r>
      <w:r w:rsidR="004C3BA5" w:rsidRPr="004C3BA5">
        <w:rPr>
          <w:rFonts w:cs="Times New Roman"/>
          <w:iCs/>
          <w:noProof/>
        </w:rPr>
        <w:t>[61]</w:t>
      </w:r>
      <w:r>
        <w:rPr>
          <w:rFonts w:cs="Times New Roman"/>
          <w:i/>
          <w:iCs/>
          <w:u w:val="single"/>
        </w:rPr>
        <w:fldChar w:fldCharType="end"/>
      </w:r>
    </w:p>
    <w:p w14:paraId="2039BCB7" w14:textId="77777777" w:rsidR="00116AF3" w:rsidRPr="003722EE" w:rsidRDefault="00116AF3" w:rsidP="00116AF3">
      <w:pPr>
        <w:widowControl w:val="0"/>
        <w:autoSpaceDE w:val="0"/>
        <w:autoSpaceDN w:val="0"/>
        <w:adjustRightInd w:val="0"/>
        <w:snapToGrid w:val="0"/>
        <w:ind w:right="51" w:firstLine="708"/>
        <w:contextualSpacing/>
        <w:rPr>
          <w:rFonts w:cs="Times New Roman"/>
        </w:rPr>
      </w:pPr>
      <w:r w:rsidRPr="003722EE">
        <w:rPr>
          <w:rFonts w:cs="Times New Roman"/>
        </w:rPr>
        <w:t>Профилактика пневмоцистной пневмонии является обязательной для:</w:t>
      </w:r>
    </w:p>
    <w:p w14:paraId="62097459" w14:textId="77777777" w:rsidR="00116AF3" w:rsidRPr="006F23E6" w:rsidRDefault="00116AF3" w:rsidP="006D53E9">
      <w:pPr>
        <w:pStyle w:val="afe"/>
        <w:widowControl w:val="0"/>
        <w:numPr>
          <w:ilvl w:val="0"/>
          <w:numId w:val="65"/>
        </w:numPr>
        <w:autoSpaceDE w:val="0"/>
        <w:autoSpaceDN w:val="0"/>
        <w:adjustRightInd w:val="0"/>
        <w:snapToGrid w:val="0"/>
        <w:ind w:right="51"/>
        <w:rPr>
          <w:rFonts w:cs="Times New Roman"/>
          <w:szCs w:val="24"/>
        </w:rPr>
      </w:pPr>
      <w:r w:rsidRPr="006F23E6">
        <w:rPr>
          <w:rFonts w:cs="Times New Roman"/>
          <w:szCs w:val="24"/>
        </w:rPr>
        <w:t>пациентов с острыми лимфобластными лейкозами (ОЛЛ);</w:t>
      </w:r>
    </w:p>
    <w:p w14:paraId="1FC15932" w14:textId="77777777" w:rsidR="00116AF3" w:rsidRPr="006F23E6" w:rsidRDefault="00116AF3" w:rsidP="006D53E9">
      <w:pPr>
        <w:pStyle w:val="afe"/>
        <w:widowControl w:val="0"/>
        <w:numPr>
          <w:ilvl w:val="0"/>
          <w:numId w:val="65"/>
        </w:numPr>
        <w:autoSpaceDE w:val="0"/>
        <w:autoSpaceDN w:val="0"/>
        <w:adjustRightInd w:val="0"/>
        <w:ind w:right="49"/>
        <w:rPr>
          <w:rFonts w:cs="Times New Roman"/>
          <w:szCs w:val="24"/>
        </w:rPr>
      </w:pPr>
      <w:r w:rsidRPr="006F23E6">
        <w:rPr>
          <w:rFonts w:cs="Times New Roman"/>
          <w:szCs w:val="24"/>
        </w:rPr>
        <w:t>реципиентов аллогенной ТГСК;</w:t>
      </w:r>
    </w:p>
    <w:p w14:paraId="578784FE" w14:textId="77777777" w:rsidR="00116AF3" w:rsidRPr="006F23E6" w:rsidRDefault="00116AF3" w:rsidP="006D53E9">
      <w:pPr>
        <w:pStyle w:val="afe"/>
        <w:widowControl w:val="0"/>
        <w:numPr>
          <w:ilvl w:val="0"/>
          <w:numId w:val="65"/>
        </w:numPr>
        <w:autoSpaceDE w:val="0"/>
        <w:autoSpaceDN w:val="0"/>
        <w:adjustRightInd w:val="0"/>
        <w:ind w:right="49"/>
        <w:rPr>
          <w:rFonts w:cs="Times New Roman"/>
          <w:szCs w:val="24"/>
        </w:rPr>
      </w:pPr>
      <w:r w:rsidRPr="006F23E6">
        <w:rPr>
          <w:rFonts w:cs="Times New Roman"/>
          <w:szCs w:val="24"/>
        </w:rPr>
        <w:t>при терапиии алемтузумабом;</w:t>
      </w:r>
    </w:p>
    <w:p w14:paraId="0505D619" w14:textId="77777777" w:rsidR="00116AF3" w:rsidRPr="006F23E6" w:rsidRDefault="00116AF3" w:rsidP="006D53E9">
      <w:pPr>
        <w:pStyle w:val="afe"/>
        <w:widowControl w:val="0"/>
        <w:numPr>
          <w:ilvl w:val="0"/>
          <w:numId w:val="65"/>
        </w:numPr>
        <w:autoSpaceDE w:val="0"/>
        <w:autoSpaceDN w:val="0"/>
        <w:adjustRightInd w:val="0"/>
        <w:ind w:right="49"/>
        <w:rPr>
          <w:rFonts w:cs="Times New Roman"/>
          <w:szCs w:val="24"/>
        </w:rPr>
      </w:pPr>
      <w:r w:rsidRPr="006F23E6">
        <w:rPr>
          <w:rFonts w:cs="Times New Roman"/>
          <w:szCs w:val="24"/>
        </w:rPr>
        <w:t>при использовании программ с включением флударабина, циклофосфамида, ритуксимаба;</w:t>
      </w:r>
    </w:p>
    <w:p w14:paraId="4BF33E0B" w14:textId="77777777" w:rsidR="00116AF3" w:rsidRPr="006F23E6" w:rsidRDefault="00116AF3" w:rsidP="006D53E9">
      <w:pPr>
        <w:pStyle w:val="afe"/>
        <w:widowControl w:val="0"/>
        <w:numPr>
          <w:ilvl w:val="0"/>
          <w:numId w:val="65"/>
        </w:numPr>
        <w:autoSpaceDE w:val="0"/>
        <w:autoSpaceDN w:val="0"/>
        <w:adjustRightInd w:val="0"/>
        <w:ind w:right="51"/>
        <w:rPr>
          <w:rFonts w:cs="Times New Roman"/>
          <w:szCs w:val="24"/>
        </w:rPr>
      </w:pPr>
      <w:r w:rsidRPr="006F23E6">
        <w:rPr>
          <w:rFonts w:cs="Times New Roman"/>
          <w:szCs w:val="24"/>
        </w:rPr>
        <w:t>при лечении глюкокортикостероидными препаратами.</w:t>
      </w:r>
    </w:p>
    <w:p w14:paraId="4DA01858" w14:textId="77777777" w:rsidR="00116AF3" w:rsidRPr="003722EE" w:rsidRDefault="00116AF3" w:rsidP="00116AF3">
      <w:pPr>
        <w:widowControl w:val="0"/>
        <w:autoSpaceDE w:val="0"/>
        <w:autoSpaceDN w:val="0"/>
        <w:adjustRightInd w:val="0"/>
        <w:ind w:right="51" w:firstLine="708"/>
        <w:contextualSpacing/>
        <w:rPr>
          <w:rFonts w:cs="Times New Roman"/>
        </w:rPr>
      </w:pPr>
      <w:r w:rsidRPr="003722EE">
        <w:rPr>
          <w:rFonts w:cs="Times New Roman"/>
        </w:rPr>
        <w:t>Препарат для профилактики назначают больным ОЛЛ с 14-го дня полихимиотерапии (ПХТ) и проводят весь период лечения, включая этап поддерживания; реципиентам аллогенных ТГСК – от дня  констатации приживления костного мозга в течение 6 мес и более, включая весь период в период иммуносупрессивной терапии до повышения уровня CD4+ более 200 кл/мм</w:t>
      </w:r>
      <w:r w:rsidRPr="003722EE">
        <w:rPr>
          <w:rFonts w:cs="Times New Roman"/>
          <w:vertAlign w:val="superscript"/>
        </w:rPr>
        <w:t>3</w:t>
      </w:r>
      <w:r w:rsidRPr="003722EE">
        <w:rPr>
          <w:rFonts w:cs="Times New Roman"/>
        </w:rPr>
        <w:t xml:space="preserve">. Длительность профилактики при использовании препаратов алемтузумаб, флударабин, циклофосфамид, ритуксимаб, глюкокортикостероидов составляет от 6 мес и более. </w:t>
      </w:r>
    </w:p>
    <w:p w14:paraId="11D2B479" w14:textId="77777777" w:rsidR="00116AF3" w:rsidRPr="003722EE" w:rsidRDefault="00116AF3" w:rsidP="00116AF3">
      <w:pPr>
        <w:widowControl w:val="0"/>
        <w:autoSpaceDE w:val="0"/>
        <w:autoSpaceDN w:val="0"/>
        <w:adjustRightInd w:val="0"/>
        <w:ind w:right="51" w:firstLine="708"/>
        <w:contextualSpacing/>
        <w:rPr>
          <w:rFonts w:cs="Times New Roman"/>
        </w:rPr>
      </w:pPr>
      <w:r w:rsidRPr="003722EE">
        <w:rPr>
          <w:rFonts w:cs="Times New Roman"/>
        </w:rPr>
        <w:t xml:space="preserve">Профилактика пневмоцистной пневмонии также рекомендована: </w:t>
      </w:r>
    </w:p>
    <w:p w14:paraId="5B624AE4"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 xml:space="preserve">пациентам с лимфопролиферативными заболеваниями при лечении курсами ПХТ, включающими глюкокортикостероидные препараты (в том числе, </w:t>
      </w:r>
      <w:r w:rsidRPr="006F23E6">
        <w:rPr>
          <w:rFonts w:cs="Times New Roman"/>
          <w:szCs w:val="24"/>
        </w:rPr>
        <w:t>R</w:t>
      </w:r>
      <w:r w:rsidRPr="003722EE">
        <w:rPr>
          <w:rFonts w:cs="Times New Roman"/>
          <w:szCs w:val="24"/>
        </w:rPr>
        <w:t>-</w:t>
      </w:r>
      <w:r w:rsidRPr="006F23E6">
        <w:rPr>
          <w:rFonts w:cs="Times New Roman"/>
          <w:szCs w:val="24"/>
        </w:rPr>
        <w:t>CHOP</w:t>
      </w:r>
      <w:r w:rsidRPr="003722EE">
        <w:rPr>
          <w:rFonts w:cs="Times New Roman"/>
          <w:szCs w:val="24"/>
        </w:rPr>
        <w:t xml:space="preserve"> или </w:t>
      </w:r>
      <w:r w:rsidRPr="006F23E6">
        <w:rPr>
          <w:rFonts w:cs="Times New Roman"/>
          <w:szCs w:val="24"/>
        </w:rPr>
        <w:t>BEACOPP</w:t>
      </w:r>
      <w:r w:rsidRPr="003722EE">
        <w:rPr>
          <w:rFonts w:cs="Times New Roman"/>
          <w:szCs w:val="24"/>
        </w:rPr>
        <w:t>-14, ВЕАСОРР</w:t>
      </w:r>
      <w:r w:rsidRPr="006F23E6">
        <w:rPr>
          <w:rFonts w:cs="Times New Roman"/>
          <w:szCs w:val="24"/>
        </w:rPr>
        <w:t>esc</w:t>
      </w:r>
      <w:r w:rsidRPr="003722EE">
        <w:rPr>
          <w:rFonts w:cs="Times New Roman"/>
          <w:szCs w:val="24"/>
        </w:rPr>
        <w:t xml:space="preserve"> и др.);</w:t>
      </w:r>
    </w:p>
    <w:p w14:paraId="64DFEADC"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при лечении лимфопролиферативных заболеваний нуклеозидными препаратами (флударабин, кладрибин);</w:t>
      </w:r>
    </w:p>
    <w:p w14:paraId="7D41F88C"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 xml:space="preserve"> при применении имуунодепрессантов (например, микофенолат мофетил);</w:t>
      </w:r>
    </w:p>
    <w:p w14:paraId="66E91203"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при проведении лучевой терапии опухоли центральной нервной системы (ЦНС), или метастазах в ЦНС, с использованием высоких доз кортикостероидов.</w:t>
      </w:r>
    </w:p>
    <w:p w14:paraId="1664E05F" w14:textId="77777777" w:rsidR="00116AF3" w:rsidRPr="003722EE" w:rsidRDefault="00116AF3" w:rsidP="00116AF3">
      <w:pPr>
        <w:widowControl w:val="0"/>
        <w:autoSpaceDE w:val="0"/>
        <w:autoSpaceDN w:val="0"/>
        <w:adjustRightInd w:val="0"/>
        <w:ind w:right="49" w:firstLine="708"/>
        <w:contextualSpacing/>
        <w:rPr>
          <w:rFonts w:cs="Times New Roman"/>
          <w:i/>
          <w:iCs/>
        </w:rPr>
      </w:pPr>
      <w:r w:rsidRPr="003722EE">
        <w:rPr>
          <w:rFonts w:cs="Times New Roman"/>
        </w:rPr>
        <w:t>Препаратом выбора для профилактики пневмоцистной пневмонии является триметоприм/сульфаметоксазол, назначают по 480 мг ежедневно, альтернативный - пентамидин, применение в дозе 300 мг в виде аэрозоля через респираторный ингалятор или внутривенно каждые 3-4 недели.</w:t>
      </w:r>
    </w:p>
    <w:p w14:paraId="370069D7" w14:textId="77777777" w:rsidR="00116AF3" w:rsidRPr="003722EE" w:rsidRDefault="00116AF3" w:rsidP="00116AF3">
      <w:pPr>
        <w:widowControl w:val="0"/>
        <w:autoSpaceDE w:val="0"/>
        <w:autoSpaceDN w:val="0"/>
        <w:adjustRightInd w:val="0"/>
        <w:ind w:right="49" w:firstLine="708"/>
        <w:contextualSpacing/>
        <w:rPr>
          <w:rFonts w:cs="Times New Roman"/>
        </w:rPr>
      </w:pPr>
      <w:r w:rsidRPr="003722EE">
        <w:rPr>
          <w:rFonts w:cs="Times New Roman"/>
        </w:rPr>
        <w:t xml:space="preserve">Использование триметоприма/сульфаметоксазола ежедневно одновременно предупреждает инфекции, вызываемые </w:t>
      </w:r>
      <w:r w:rsidRPr="003722EE">
        <w:rPr>
          <w:rFonts w:cs="Times New Roman"/>
          <w:i/>
          <w:iCs/>
        </w:rPr>
        <w:t>Toxoplasma gondii, Listeria monocytogenes, Nocardia asteroides.</w:t>
      </w:r>
    </w:p>
    <w:p w14:paraId="25E921F7" w14:textId="77777777" w:rsidR="00116AF3" w:rsidRPr="003722EE" w:rsidRDefault="00116AF3" w:rsidP="00116AF3">
      <w:pPr>
        <w:widowControl w:val="0"/>
        <w:autoSpaceDE w:val="0"/>
        <w:autoSpaceDN w:val="0"/>
        <w:adjustRightInd w:val="0"/>
        <w:ind w:right="49" w:firstLine="708"/>
        <w:contextualSpacing/>
        <w:rPr>
          <w:rFonts w:cs="Times New Roman"/>
        </w:rPr>
      </w:pPr>
      <w:r w:rsidRPr="003722EE">
        <w:rPr>
          <w:rFonts w:cs="Times New Roman"/>
        </w:rPr>
        <w:t xml:space="preserve">Пациенты, инфицированные </w:t>
      </w:r>
      <w:r w:rsidRPr="003722EE">
        <w:rPr>
          <w:rFonts w:cs="Times New Roman"/>
          <w:i/>
          <w:iCs/>
        </w:rPr>
        <w:t>Pneumocystis jirovecii,</w:t>
      </w:r>
      <w:r w:rsidRPr="003722EE">
        <w:rPr>
          <w:rFonts w:cs="Times New Roman"/>
        </w:rPr>
        <w:t xml:space="preserve"> не должны находиться в одной палате с другими иммунокомпрометированными пациентами.</w:t>
      </w:r>
    </w:p>
    <w:p w14:paraId="7BC8D7CB" w14:textId="77777777" w:rsidR="00116AF3" w:rsidRDefault="00116AF3" w:rsidP="00116AF3">
      <w:pPr>
        <w:widowControl w:val="0"/>
        <w:autoSpaceDE w:val="0"/>
        <w:autoSpaceDN w:val="0"/>
        <w:adjustRightInd w:val="0"/>
        <w:ind w:right="49"/>
        <w:rPr>
          <w:rFonts w:cs="Times New Roman"/>
          <w:i/>
          <w:iCs/>
          <w:u w:val="single"/>
        </w:rPr>
      </w:pPr>
    </w:p>
    <w:p w14:paraId="630B897F" w14:textId="799A475F" w:rsidR="00116AF3" w:rsidRPr="001A25D9" w:rsidRDefault="00116AF3" w:rsidP="00116AF3">
      <w:pPr>
        <w:widowControl w:val="0"/>
        <w:autoSpaceDE w:val="0"/>
        <w:autoSpaceDN w:val="0"/>
        <w:adjustRightInd w:val="0"/>
        <w:ind w:right="49"/>
        <w:rPr>
          <w:rFonts w:cs="Times New Roman"/>
          <w:i/>
          <w:iCs/>
          <w:u w:val="single"/>
        </w:rPr>
      </w:pPr>
      <w:r w:rsidRPr="00643B16">
        <w:rPr>
          <w:rFonts w:cs="Times New Roman"/>
          <w:i/>
          <w:iCs/>
          <w:u w:val="single"/>
        </w:rPr>
        <w:t>Профилактика инфекций, вызванных грибами</w:t>
      </w:r>
      <w:r>
        <w:rPr>
          <w:rFonts w:cs="Times New Roman"/>
          <w:i/>
          <w:iCs/>
          <w:u w:val="single"/>
        </w:rPr>
        <w:t xml:space="preserve"> </w:t>
      </w:r>
      <w:r>
        <w:rPr>
          <w:rFonts w:cs="Times New Roman"/>
          <w:i/>
          <w:iCs/>
          <w:u w:val="single"/>
        </w:rPr>
        <w:fldChar w:fldCharType="begin" w:fldLock="1"/>
      </w:r>
      <w:r w:rsidR="009D41F9">
        <w:rPr>
          <w:rFonts w:cs="Times New Roman"/>
          <w:i/>
          <w:iCs/>
          <w:u w:val="single"/>
        </w:rPr>
        <w:instrText>ADDIN CSL_CITATION {"citationItems":[{"id":"ITEM-1","itemData":{"DOI":"10.1038/bmt.2010.175","ISSN":"14765365","abstract":"In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Transplantation","id":"ITEM-1","issue":"5","issued":{"date-parts":[["2011"]]},"page":"709-718","publisher":"Nature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mendeley":{"formattedCitation":"[48]","plainTextFormattedCitation":"[48]","previouslyFormattedCitation":"[48]"},"properties":{"noteIndex":0},"schema":"https://github.com/citation-style-language/schema/raw/master/csl-citation.json"}</w:instrText>
      </w:r>
      <w:r>
        <w:rPr>
          <w:rFonts w:cs="Times New Roman"/>
          <w:i/>
          <w:iCs/>
          <w:u w:val="single"/>
        </w:rPr>
        <w:fldChar w:fldCharType="separate"/>
      </w:r>
      <w:r w:rsidR="004C3BA5" w:rsidRPr="004C3BA5">
        <w:rPr>
          <w:rFonts w:cs="Times New Roman"/>
          <w:iCs/>
          <w:noProof/>
        </w:rPr>
        <w:t>[48]</w:t>
      </w:r>
      <w:r>
        <w:rPr>
          <w:rFonts w:cs="Times New Roman"/>
          <w:i/>
          <w:iCs/>
          <w:u w:val="single"/>
        </w:rPr>
        <w:fldChar w:fldCharType="end"/>
      </w:r>
    </w:p>
    <w:p w14:paraId="4CA6A5A0" w14:textId="77777777" w:rsidR="00116AF3" w:rsidRPr="003722EE" w:rsidRDefault="00116AF3" w:rsidP="00116AF3">
      <w:pPr>
        <w:widowControl w:val="0"/>
        <w:autoSpaceDE w:val="0"/>
        <w:autoSpaceDN w:val="0"/>
        <w:adjustRightInd w:val="0"/>
        <w:ind w:right="49"/>
        <w:contextualSpacing/>
        <w:rPr>
          <w:rFonts w:cs="Times New Roman"/>
        </w:rPr>
      </w:pPr>
      <w:r w:rsidRPr="003722EE">
        <w:rPr>
          <w:rFonts w:cs="Times New Roman"/>
        </w:rPr>
        <w:t xml:space="preserve">Цель профилактического применения противогрибковых препаратов — предупреждение развития инвазивных микозов в группах высокого риска их возникновения. </w:t>
      </w:r>
    </w:p>
    <w:p w14:paraId="302CD8D2" w14:textId="77777777" w:rsidR="00116AF3" w:rsidRPr="003722EE" w:rsidRDefault="00116AF3" w:rsidP="00116AF3">
      <w:pPr>
        <w:widowControl w:val="0"/>
        <w:autoSpaceDE w:val="0"/>
        <w:autoSpaceDN w:val="0"/>
        <w:adjustRightInd w:val="0"/>
        <w:ind w:right="49"/>
        <w:contextualSpacing/>
        <w:rPr>
          <w:rFonts w:cs="Times New Roman"/>
        </w:rPr>
      </w:pPr>
      <w:r w:rsidRPr="003722EE">
        <w:rPr>
          <w:rFonts w:cs="Times New Roman"/>
        </w:rPr>
        <w:t xml:space="preserve">Различают первичную и вторичную </w:t>
      </w:r>
      <w:r w:rsidRPr="003722EE">
        <w:rPr>
          <w:rFonts w:cs="Times New Roman"/>
          <w:bCs/>
        </w:rPr>
        <w:t xml:space="preserve">противогрибковую </w:t>
      </w:r>
      <w:r w:rsidRPr="003722EE">
        <w:rPr>
          <w:rFonts w:cs="Times New Roman"/>
        </w:rPr>
        <w:t>профилактику.</w:t>
      </w:r>
    </w:p>
    <w:p w14:paraId="4386C722" w14:textId="77777777" w:rsidR="00116AF3" w:rsidRDefault="00116AF3" w:rsidP="00116AF3">
      <w:pPr>
        <w:widowControl w:val="0"/>
        <w:autoSpaceDE w:val="0"/>
        <w:autoSpaceDN w:val="0"/>
        <w:adjustRightInd w:val="0"/>
        <w:ind w:right="51" w:firstLine="708"/>
        <w:contextualSpacing/>
        <w:rPr>
          <w:rFonts w:cs="Times New Roman"/>
          <w:b/>
          <w:bCs/>
          <w:u w:val="single"/>
        </w:rPr>
      </w:pPr>
    </w:p>
    <w:p w14:paraId="24922AD6" w14:textId="77777777" w:rsidR="00116AF3" w:rsidRPr="00643B16" w:rsidRDefault="00116AF3" w:rsidP="00116AF3">
      <w:pPr>
        <w:widowControl w:val="0"/>
        <w:autoSpaceDE w:val="0"/>
        <w:autoSpaceDN w:val="0"/>
        <w:adjustRightInd w:val="0"/>
        <w:ind w:right="51" w:firstLine="708"/>
        <w:contextualSpacing/>
        <w:rPr>
          <w:rFonts w:cs="Times New Roman"/>
          <w:b/>
          <w:bCs/>
        </w:rPr>
      </w:pPr>
      <w:r w:rsidRPr="00643B16">
        <w:rPr>
          <w:rFonts w:cs="Times New Roman"/>
          <w:b/>
          <w:bCs/>
        </w:rPr>
        <w:t xml:space="preserve">Первичная противогрибковая профилактика </w:t>
      </w:r>
    </w:p>
    <w:p w14:paraId="16821229" w14:textId="77777777" w:rsidR="00116AF3" w:rsidRPr="003722EE" w:rsidRDefault="00116AF3" w:rsidP="00116AF3">
      <w:pPr>
        <w:widowControl w:val="0"/>
        <w:autoSpaceDE w:val="0"/>
        <w:autoSpaceDN w:val="0"/>
        <w:adjustRightInd w:val="0"/>
        <w:ind w:right="51"/>
        <w:contextualSpacing/>
        <w:rPr>
          <w:rFonts w:cs="Times New Roman"/>
          <w:bCs/>
        </w:rPr>
      </w:pPr>
      <w:r w:rsidRPr="003722EE">
        <w:rPr>
          <w:rFonts w:cs="Times New Roman"/>
          <w:bCs/>
        </w:rPr>
        <w:t>Первичная противогрибковая профилактика показана:</w:t>
      </w:r>
    </w:p>
    <w:p w14:paraId="16FF6E23"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реципиентам аллогенной ТГСК;</w:t>
      </w:r>
    </w:p>
    <w:p w14:paraId="6030F3E1" w14:textId="77777777" w:rsidR="00116AF3" w:rsidRPr="00643B16"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пациентам острым миелобластным лейкозом на этапах индукции и консолидации проводят при ожидаемой длительной нейтропении;</w:t>
      </w:r>
    </w:p>
    <w:p w14:paraId="5108DD4C"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пациентам с апластической анемией (во время введения антитимоцитарного глобулина (</w:t>
      </w:r>
      <w:r w:rsidRPr="00643B16">
        <w:rPr>
          <w:rFonts w:cs="Times New Roman"/>
          <w:szCs w:val="24"/>
        </w:rPr>
        <w:t>A</w:t>
      </w:r>
      <w:r w:rsidRPr="003722EE">
        <w:rPr>
          <w:rFonts w:cs="Times New Roman"/>
          <w:szCs w:val="24"/>
        </w:rPr>
        <w:t>ТГ).</w:t>
      </w:r>
    </w:p>
    <w:p w14:paraId="5C1E8F4A" w14:textId="77777777" w:rsidR="00116AF3" w:rsidRPr="003722EE" w:rsidRDefault="00116AF3" w:rsidP="00116AF3">
      <w:pPr>
        <w:widowControl w:val="0"/>
        <w:autoSpaceDE w:val="0"/>
        <w:autoSpaceDN w:val="0"/>
        <w:adjustRightInd w:val="0"/>
        <w:ind w:right="51"/>
        <w:contextualSpacing/>
        <w:rPr>
          <w:rFonts w:cs="Times New Roman"/>
          <w:b/>
          <w:bCs/>
          <w:i/>
          <w:iCs/>
        </w:rPr>
      </w:pPr>
      <w:r w:rsidRPr="003722EE">
        <w:rPr>
          <w:rFonts w:cs="Times New Roman"/>
          <w:bCs/>
          <w:iCs/>
        </w:rPr>
        <w:t xml:space="preserve">Реципиентам аллогенной ТГСК в период гранулоцитопении и пребывания в палате с фильтрами высокой степени очистки воздуха препаратом выбора для профилактики является </w:t>
      </w:r>
      <w:r w:rsidRPr="003722EE">
        <w:rPr>
          <w:rFonts w:cs="Times New Roman"/>
        </w:rPr>
        <w:t>флуконазол, (400 мг в сутки, внутривенно или внутрь), альтернативные препараты - микафунгин 50</w:t>
      </w:r>
      <w:r>
        <w:rPr>
          <w:rFonts w:cs="Times New Roman"/>
        </w:rPr>
        <w:t xml:space="preserve"> </w:t>
      </w:r>
      <w:r w:rsidRPr="003722EE">
        <w:rPr>
          <w:rFonts w:cs="Times New Roman"/>
        </w:rPr>
        <w:t>мг внутривенно</w:t>
      </w:r>
      <w:r w:rsidRPr="003722EE">
        <w:rPr>
          <w:rFonts w:cs="Times New Roman"/>
          <w:b/>
          <w:bCs/>
          <w:i/>
          <w:iCs/>
        </w:rPr>
        <w:t>,</w:t>
      </w:r>
      <w:r w:rsidRPr="003722EE">
        <w:rPr>
          <w:rFonts w:cs="Times New Roman"/>
          <w:bCs/>
          <w:iCs/>
        </w:rPr>
        <w:t xml:space="preserve"> в</w:t>
      </w:r>
      <w:r w:rsidRPr="003722EE">
        <w:rPr>
          <w:rFonts w:cs="Times New Roman"/>
        </w:rPr>
        <w:t>ориконазол (по 200</w:t>
      </w:r>
      <w:r>
        <w:rPr>
          <w:rFonts w:cs="Times New Roman"/>
        </w:rPr>
        <w:t xml:space="preserve"> </w:t>
      </w:r>
      <w:r w:rsidRPr="003722EE">
        <w:rPr>
          <w:rFonts w:cs="Times New Roman"/>
        </w:rPr>
        <w:t>мг 2 раза в сутки внутрь или внутривенно).</w:t>
      </w:r>
    </w:p>
    <w:p w14:paraId="1B6BEC31" w14:textId="77777777" w:rsidR="00116AF3" w:rsidRPr="003722EE" w:rsidRDefault="00116AF3" w:rsidP="00116AF3">
      <w:pPr>
        <w:widowControl w:val="0"/>
        <w:autoSpaceDE w:val="0"/>
        <w:autoSpaceDN w:val="0"/>
        <w:adjustRightInd w:val="0"/>
        <w:ind w:right="51"/>
        <w:contextualSpacing/>
        <w:rPr>
          <w:rFonts w:cs="Times New Roman"/>
          <w:bCs/>
          <w:iCs/>
        </w:rPr>
      </w:pPr>
      <w:r w:rsidRPr="003722EE">
        <w:rPr>
          <w:rFonts w:cs="Times New Roman"/>
          <w:bCs/>
          <w:iCs/>
        </w:rPr>
        <w:t xml:space="preserve">Реципиентам аллогенной ТГСК в период гранулоцитопении, если они пребывают в палате без фильтров высокой степени очистки воздуха, </w:t>
      </w:r>
      <w:r w:rsidRPr="003722EE">
        <w:rPr>
          <w:rFonts w:cs="Times New Roman"/>
        </w:rPr>
        <w:t xml:space="preserve">при проведении 2й и последующих трансплантаций </w:t>
      </w:r>
      <w:r w:rsidRPr="003722EE">
        <w:rPr>
          <w:rFonts w:cs="Times New Roman"/>
          <w:bCs/>
          <w:iCs/>
        </w:rPr>
        <w:t>назначают антимикотики, активные против плесневых грибов:</w:t>
      </w:r>
    </w:p>
    <w:p w14:paraId="1650D345" w14:textId="77777777" w:rsidR="00116AF3" w:rsidRPr="00643B16" w:rsidRDefault="00116AF3" w:rsidP="006D53E9">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микафунгин (по 50</w:t>
      </w:r>
      <w:r>
        <w:rPr>
          <w:rFonts w:cs="Times New Roman"/>
          <w:szCs w:val="24"/>
        </w:rPr>
        <w:t xml:space="preserve"> </w:t>
      </w:r>
      <w:r w:rsidRPr="00643B16">
        <w:rPr>
          <w:rFonts w:cs="Times New Roman"/>
          <w:szCs w:val="24"/>
        </w:rPr>
        <w:t>мг внутривенно)</w:t>
      </w:r>
      <w:r w:rsidRPr="003722EE">
        <w:rPr>
          <w:rFonts w:cs="Times New Roman"/>
          <w:szCs w:val="24"/>
        </w:rPr>
        <w:t>;</w:t>
      </w:r>
    </w:p>
    <w:p w14:paraId="35C5ABC6"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вориконазол (по 200</w:t>
      </w:r>
      <w:r w:rsidRPr="00643B16">
        <w:rPr>
          <w:rFonts w:cs="Times New Roman"/>
          <w:szCs w:val="24"/>
        </w:rPr>
        <w:t> </w:t>
      </w:r>
      <w:r w:rsidRPr="003722EE">
        <w:rPr>
          <w:rFonts w:cs="Times New Roman"/>
          <w:szCs w:val="24"/>
        </w:rPr>
        <w:t>мг 2</w:t>
      </w:r>
      <w:r w:rsidRPr="00643B16">
        <w:rPr>
          <w:rFonts w:cs="Times New Roman"/>
          <w:szCs w:val="24"/>
        </w:rPr>
        <w:t> </w:t>
      </w:r>
      <w:r w:rsidRPr="003722EE">
        <w:rPr>
          <w:rFonts w:cs="Times New Roman"/>
          <w:szCs w:val="24"/>
        </w:rPr>
        <w:t>раза в сутки внутрь или внутривенно);</w:t>
      </w:r>
    </w:p>
    <w:p w14:paraId="7B5B9D1F"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позаконазол  в суспензии;</w:t>
      </w:r>
      <w:r>
        <w:rPr>
          <w:rFonts w:cs="Times New Roman"/>
          <w:szCs w:val="24"/>
        </w:rPr>
        <w:t xml:space="preserve"> </w:t>
      </w:r>
      <w:r w:rsidRPr="003722EE">
        <w:rPr>
          <w:rFonts w:cs="Times New Roman"/>
          <w:szCs w:val="24"/>
        </w:rPr>
        <w:t>по 200</w:t>
      </w:r>
      <w:r w:rsidRPr="00643B16">
        <w:rPr>
          <w:rFonts w:cs="Times New Roman"/>
          <w:szCs w:val="24"/>
        </w:rPr>
        <w:t> </w:t>
      </w:r>
      <w:r w:rsidRPr="003722EE">
        <w:rPr>
          <w:rFonts w:cs="Times New Roman"/>
          <w:szCs w:val="24"/>
        </w:rPr>
        <w:t>мг 3</w:t>
      </w:r>
      <w:r w:rsidRPr="00643B16">
        <w:rPr>
          <w:rFonts w:cs="Times New Roman"/>
          <w:szCs w:val="24"/>
        </w:rPr>
        <w:t> </w:t>
      </w:r>
      <w:r w:rsidRPr="003722EE">
        <w:rPr>
          <w:rFonts w:cs="Times New Roman"/>
          <w:szCs w:val="24"/>
        </w:rPr>
        <w:t>раза в сутки внутрь);</w:t>
      </w:r>
    </w:p>
    <w:p w14:paraId="04A7B86F"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позаконазол в таблетках (в 1 день по 300 мг 2 раза, далее по 300 мг 1 раз в сутки).</w:t>
      </w:r>
    </w:p>
    <w:p w14:paraId="315B2BB4" w14:textId="77777777" w:rsidR="00116AF3" w:rsidRPr="003722EE" w:rsidRDefault="00116AF3" w:rsidP="00116AF3">
      <w:pPr>
        <w:pStyle w:val="afe"/>
        <w:widowControl w:val="0"/>
        <w:autoSpaceDE w:val="0"/>
        <w:autoSpaceDN w:val="0"/>
        <w:adjustRightInd w:val="0"/>
        <w:ind w:right="49"/>
        <w:rPr>
          <w:rFonts w:cs="Times New Roman"/>
          <w:szCs w:val="24"/>
        </w:rPr>
      </w:pPr>
    </w:p>
    <w:p w14:paraId="11A866C5" w14:textId="77777777" w:rsidR="00116AF3" w:rsidRPr="003722EE" w:rsidRDefault="00116AF3" w:rsidP="00116AF3">
      <w:pPr>
        <w:pStyle w:val="afe"/>
        <w:widowControl w:val="0"/>
        <w:autoSpaceDE w:val="0"/>
        <w:autoSpaceDN w:val="0"/>
        <w:adjustRightInd w:val="0"/>
        <w:ind w:right="49"/>
        <w:rPr>
          <w:rFonts w:cs="Times New Roman"/>
          <w:szCs w:val="24"/>
        </w:rPr>
      </w:pPr>
      <w:r w:rsidRPr="003722EE">
        <w:rPr>
          <w:rFonts w:cs="Times New Roman"/>
          <w:szCs w:val="24"/>
        </w:rPr>
        <w:t>Реципиентам, имевшим в анамнезе инвазивный аспергиллез назначают:</w:t>
      </w:r>
    </w:p>
    <w:p w14:paraId="047B46E5"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вориконазол (по 200</w:t>
      </w:r>
      <w:r w:rsidRPr="00643B16">
        <w:rPr>
          <w:rFonts w:cs="Times New Roman"/>
          <w:szCs w:val="24"/>
        </w:rPr>
        <w:t> </w:t>
      </w:r>
      <w:r w:rsidRPr="003722EE">
        <w:rPr>
          <w:rFonts w:cs="Times New Roman"/>
          <w:szCs w:val="24"/>
        </w:rPr>
        <w:t>мг 2</w:t>
      </w:r>
      <w:r w:rsidRPr="00643B16">
        <w:rPr>
          <w:rFonts w:cs="Times New Roman"/>
          <w:szCs w:val="24"/>
        </w:rPr>
        <w:t> </w:t>
      </w:r>
      <w:r w:rsidRPr="003722EE">
        <w:rPr>
          <w:rFonts w:cs="Times New Roman"/>
          <w:szCs w:val="24"/>
        </w:rPr>
        <w:t>раза в сутки внутрь или внутривенно);</w:t>
      </w:r>
    </w:p>
    <w:p w14:paraId="085B82EE"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позаконазол (в суспензии по 200</w:t>
      </w:r>
      <w:r w:rsidRPr="00643B16">
        <w:rPr>
          <w:rFonts w:cs="Times New Roman"/>
          <w:szCs w:val="24"/>
        </w:rPr>
        <w:t> </w:t>
      </w:r>
      <w:r w:rsidRPr="003722EE">
        <w:rPr>
          <w:rFonts w:cs="Times New Roman"/>
          <w:szCs w:val="24"/>
        </w:rPr>
        <w:t>мг 3</w:t>
      </w:r>
      <w:r w:rsidRPr="00643B16">
        <w:rPr>
          <w:rFonts w:cs="Times New Roman"/>
          <w:szCs w:val="24"/>
        </w:rPr>
        <w:t> </w:t>
      </w:r>
      <w:r w:rsidRPr="003722EE">
        <w:rPr>
          <w:rFonts w:cs="Times New Roman"/>
          <w:szCs w:val="24"/>
        </w:rPr>
        <w:t>раза в сутки внутрь);</w:t>
      </w:r>
    </w:p>
    <w:p w14:paraId="39BA9FBB"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 xml:space="preserve">позаконазол в таблетках (в 1 день по 300 мг 2 раза, далее по 300 мг 1 раз в сутки); </w:t>
      </w:r>
    </w:p>
    <w:p w14:paraId="478E9669"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изавуконазол в таблетках или внутривенно (в 1-2 дни по 200 мг 3 раза, затем по 200 мг 1 раз).</w:t>
      </w:r>
    </w:p>
    <w:p w14:paraId="442D0CF1" w14:textId="77777777" w:rsidR="00116AF3" w:rsidRPr="003722EE" w:rsidRDefault="00116AF3" w:rsidP="00116AF3">
      <w:pPr>
        <w:widowControl w:val="0"/>
        <w:autoSpaceDE w:val="0"/>
        <w:autoSpaceDN w:val="0"/>
        <w:adjustRightInd w:val="0"/>
        <w:ind w:right="51"/>
        <w:contextualSpacing/>
        <w:rPr>
          <w:rFonts w:cs="Times New Roman"/>
        </w:rPr>
      </w:pPr>
    </w:p>
    <w:p w14:paraId="0F564861" w14:textId="77777777" w:rsidR="00116AF3" w:rsidRPr="003722EE" w:rsidRDefault="00116AF3" w:rsidP="00116AF3">
      <w:pPr>
        <w:widowControl w:val="0"/>
        <w:autoSpaceDE w:val="0"/>
        <w:autoSpaceDN w:val="0"/>
        <w:adjustRightInd w:val="0"/>
        <w:ind w:right="51"/>
        <w:contextualSpacing/>
        <w:rPr>
          <w:rFonts w:cs="Times New Roman"/>
        </w:rPr>
      </w:pPr>
      <w:r w:rsidRPr="003722EE">
        <w:rPr>
          <w:rFonts w:cs="Times New Roman"/>
        </w:rPr>
        <w:t>При реакции «трансплантат против хозяина» (РТПХ) и печеночной недостаточности препаратом выбора для профилактики является анидулафунгин (в 1й день 200 мг, далее 100 мг).</w:t>
      </w:r>
    </w:p>
    <w:p w14:paraId="7C236802" w14:textId="77777777" w:rsidR="00116AF3" w:rsidRPr="003722EE" w:rsidRDefault="00116AF3" w:rsidP="00116AF3">
      <w:pPr>
        <w:widowControl w:val="0"/>
        <w:autoSpaceDE w:val="0"/>
        <w:autoSpaceDN w:val="0"/>
        <w:adjustRightInd w:val="0"/>
        <w:ind w:right="49"/>
        <w:contextualSpacing/>
        <w:rPr>
          <w:rFonts w:cs="Times New Roman"/>
          <w:bCs/>
          <w:iCs/>
        </w:rPr>
      </w:pPr>
      <w:r w:rsidRPr="003722EE">
        <w:rPr>
          <w:rFonts w:cs="Times New Roman"/>
          <w:bCs/>
          <w:iCs/>
        </w:rPr>
        <w:t xml:space="preserve">Реципиентам аутологичной ТГСК в период гранулоцитопении противогрибковую профилактику не проводят. </w:t>
      </w:r>
    </w:p>
    <w:p w14:paraId="755A0C76" w14:textId="77777777" w:rsidR="00116AF3" w:rsidRPr="003722EE" w:rsidRDefault="00116AF3" w:rsidP="00116AF3">
      <w:pPr>
        <w:widowControl w:val="0"/>
        <w:autoSpaceDE w:val="0"/>
        <w:autoSpaceDN w:val="0"/>
        <w:adjustRightInd w:val="0"/>
        <w:ind w:right="49"/>
        <w:contextualSpacing/>
        <w:rPr>
          <w:rFonts w:cs="Times New Roman"/>
        </w:rPr>
      </w:pPr>
      <w:r w:rsidRPr="003722EE">
        <w:rPr>
          <w:rFonts w:cs="Times New Roman"/>
          <w:bCs/>
          <w:iCs/>
        </w:rPr>
        <w:t>Больным острым миелоидным лейкозом противогрибковые препараты для профилактики назначают в индукции. Профилактика на этапе консолидации ПХТ также может быть проведена при курсах ПХТ, приводящих к длительной нейтропении. П</w:t>
      </w:r>
      <w:r w:rsidRPr="003722EE">
        <w:rPr>
          <w:rFonts w:cs="Times New Roman"/>
          <w:bCs/>
        </w:rPr>
        <w:t xml:space="preserve">репаратом выбора для профилактики является </w:t>
      </w:r>
      <w:r w:rsidRPr="003722EE">
        <w:rPr>
          <w:rFonts w:cs="Times New Roman"/>
        </w:rPr>
        <w:t>позаконазол в суспензии (по 200 мг 3 раза после еды) или в таблетках (в 1 день по 300 мг х 2 раза, затем по 300 мг 1 раз, прием препарата не зависит от приема пищи).</w:t>
      </w:r>
    </w:p>
    <w:p w14:paraId="1A9CEEE6" w14:textId="77777777" w:rsidR="00116AF3" w:rsidRPr="003722EE" w:rsidRDefault="00116AF3" w:rsidP="00116AF3">
      <w:pPr>
        <w:widowControl w:val="0"/>
        <w:autoSpaceDE w:val="0"/>
        <w:autoSpaceDN w:val="0"/>
        <w:adjustRightInd w:val="0"/>
        <w:ind w:right="49"/>
        <w:contextualSpacing/>
        <w:rPr>
          <w:rFonts w:cs="Times New Roman"/>
          <w:bCs/>
          <w:iCs/>
        </w:rPr>
      </w:pPr>
      <w:r w:rsidRPr="003722EE">
        <w:rPr>
          <w:rFonts w:cs="Times New Roman"/>
          <w:bCs/>
          <w:iCs/>
        </w:rPr>
        <w:t xml:space="preserve">Больным апластической анемией во время введения AТГ назначают для профилактики </w:t>
      </w:r>
      <w:r w:rsidRPr="003722EE">
        <w:rPr>
          <w:rFonts w:cs="Times New Roman"/>
        </w:rPr>
        <w:t>флуконазол (400 мг в сутки, внутривенно или внутрь).</w:t>
      </w:r>
    </w:p>
    <w:p w14:paraId="1185B3EA" w14:textId="77777777" w:rsidR="00116AF3" w:rsidRDefault="00116AF3" w:rsidP="00116AF3">
      <w:pPr>
        <w:widowControl w:val="0"/>
        <w:tabs>
          <w:tab w:val="left" w:pos="0"/>
        </w:tabs>
        <w:autoSpaceDE w:val="0"/>
        <w:autoSpaceDN w:val="0"/>
        <w:adjustRightInd w:val="0"/>
        <w:ind w:right="49"/>
        <w:contextualSpacing/>
        <w:rPr>
          <w:rFonts w:cs="Times New Roman"/>
        </w:rPr>
      </w:pPr>
      <w:r w:rsidRPr="003722EE">
        <w:rPr>
          <w:rFonts w:cs="Times New Roman"/>
        </w:rPr>
        <w:t>Антимикотики для профилактики назначают</w:t>
      </w:r>
      <w:r w:rsidRPr="003722EE">
        <w:rPr>
          <w:rFonts w:cs="Times New Roman"/>
          <w:bCs/>
          <w:iCs/>
        </w:rPr>
        <w:t xml:space="preserve"> р</w:t>
      </w:r>
      <w:r w:rsidRPr="003722EE">
        <w:rPr>
          <w:rFonts w:cs="Times New Roman"/>
        </w:rPr>
        <w:t>еципиентам аллогенной ТГСК  с 1-го дня предтрансплантационного кондиционирования</w:t>
      </w:r>
      <w:r w:rsidRPr="003722EE">
        <w:rPr>
          <w:rFonts w:cs="Times New Roman"/>
          <w:b/>
          <w:bCs/>
          <w:i/>
          <w:iCs/>
        </w:rPr>
        <w:t xml:space="preserve">, </w:t>
      </w:r>
      <w:r w:rsidRPr="003722EE">
        <w:rPr>
          <w:rFonts w:cs="Times New Roman"/>
        </w:rPr>
        <w:t xml:space="preserve">реципиентам с РТПХ и терапией преднизолона ≥ 1 мг/кг </w:t>
      </w:r>
      <w:r>
        <w:rPr>
          <w:rFonts w:cs="Times New Roman"/>
        </w:rPr>
        <w:t>–</w:t>
      </w:r>
      <w:r w:rsidRPr="003722EE">
        <w:rPr>
          <w:rFonts w:cs="Times New Roman"/>
        </w:rPr>
        <w:t xml:space="preserve"> с 1-го дня применения глюкокортикоидов, </w:t>
      </w:r>
      <w:r w:rsidRPr="003722EE">
        <w:rPr>
          <w:rFonts w:cs="Times New Roman"/>
          <w:bCs/>
          <w:iCs/>
        </w:rPr>
        <w:t>пациента</w:t>
      </w:r>
      <w:r w:rsidRPr="003722EE">
        <w:rPr>
          <w:rFonts w:cs="Times New Roman"/>
        </w:rPr>
        <w:t xml:space="preserve">м острым миелобластным лейкозом – с 1-го дня послекурсового периода, </w:t>
      </w:r>
      <w:r w:rsidRPr="003722EE">
        <w:rPr>
          <w:rFonts w:cs="Times New Roman"/>
          <w:bCs/>
          <w:iCs/>
        </w:rPr>
        <w:t>пациента</w:t>
      </w:r>
      <w:r w:rsidRPr="003722EE">
        <w:rPr>
          <w:rFonts w:cs="Times New Roman"/>
        </w:rPr>
        <w:t>м апластической анемией – за 2 дня до введения АТГ (в день назначения преднизолона).</w:t>
      </w:r>
    </w:p>
    <w:p w14:paraId="5153E0FD" w14:textId="77777777" w:rsidR="00116AF3" w:rsidRPr="00B77DCF" w:rsidRDefault="00116AF3" w:rsidP="00116AF3">
      <w:pPr>
        <w:widowControl w:val="0"/>
        <w:tabs>
          <w:tab w:val="left" w:pos="0"/>
        </w:tabs>
        <w:autoSpaceDE w:val="0"/>
        <w:autoSpaceDN w:val="0"/>
        <w:adjustRightInd w:val="0"/>
        <w:ind w:right="49"/>
        <w:contextualSpacing/>
        <w:rPr>
          <w:rFonts w:cs="Times New Roman"/>
          <w:u w:val="single"/>
        </w:rPr>
      </w:pPr>
      <w:r w:rsidRPr="00B77DCF">
        <w:rPr>
          <w:rFonts w:cs="Times New Roman"/>
          <w:iCs/>
          <w:u w:val="single"/>
        </w:rPr>
        <w:t xml:space="preserve">Критерии отмены профилактики противогрибковыми препаратами: </w:t>
      </w:r>
    </w:p>
    <w:p w14:paraId="19EB209B" w14:textId="77777777" w:rsidR="00116AF3" w:rsidRPr="00643B16" w:rsidRDefault="00116AF3" w:rsidP="006D53E9">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у реципиентов аллогенных ТГСК без РТПХ – восстановление гранулоцитов (&gt;0,5 х 10</w:t>
      </w:r>
      <w:r w:rsidRPr="00015917">
        <w:rPr>
          <w:rFonts w:cs="Times New Roman"/>
          <w:szCs w:val="24"/>
          <w:vertAlign w:val="superscript"/>
        </w:rPr>
        <w:t>9</w:t>
      </w:r>
      <w:r w:rsidRPr="00643B16">
        <w:rPr>
          <w:rFonts w:cs="Times New Roman"/>
          <w:szCs w:val="24"/>
        </w:rPr>
        <w:t xml:space="preserve">/л); </w:t>
      </w:r>
    </w:p>
    <w:p w14:paraId="6C4E93DA"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 xml:space="preserve"> </w:t>
      </w:r>
      <w:r w:rsidRPr="00643B16">
        <w:rPr>
          <w:rFonts w:cs="Times New Roman"/>
          <w:szCs w:val="24"/>
        </w:rPr>
        <w:t>у пациентов с РТПХ</w:t>
      </w:r>
      <w:r w:rsidRPr="003722EE">
        <w:rPr>
          <w:rFonts w:cs="Times New Roman"/>
          <w:szCs w:val="24"/>
        </w:rPr>
        <w:t xml:space="preserve"> – “контроль” над РТПХ, снижение дозы преднизолона до 0,15-0,3 мг/кг/сут, количество гранулоцитов &gt;0,5х10</w:t>
      </w:r>
      <w:r w:rsidRPr="00015917">
        <w:rPr>
          <w:rFonts w:cs="Times New Roman"/>
          <w:szCs w:val="24"/>
          <w:vertAlign w:val="superscript"/>
        </w:rPr>
        <w:t>9</w:t>
      </w:r>
      <w:r w:rsidRPr="003722EE">
        <w:rPr>
          <w:rFonts w:cs="Times New Roman"/>
          <w:szCs w:val="24"/>
        </w:rPr>
        <w:t xml:space="preserve">/л, отсутствие лимфопении и цитомегаловирусной инфекции. </w:t>
      </w:r>
      <w:r w:rsidRPr="003722EE">
        <w:rPr>
          <w:rFonts w:cs="Times New Roman"/>
          <w:szCs w:val="24"/>
        </w:rPr>
        <w:tab/>
      </w:r>
    </w:p>
    <w:p w14:paraId="1D8AFF38"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 xml:space="preserve">Особое внимание при отмене профилактического приема противогрибковых препаратов, активных в отношении плесневых грибов, следует уделять пациентам с доказанной или предполагаемой РТПХ легких. При наличии мокроты у пациентов с РТПХ легких необходимо во всех случаях проводить микологическое исследование на плесневые грибы. При обнаружении плесневых грибов в мокроте, даже при минимальных изменениях в легких, следует назначать позаконазол (суспензия, по 400 мг х 2 раза после еды), или позаконазол в таблетках (в 1й день по 300 мг х 2 раза, затем по 300 мг 1 раз), или изавуконазол (в 1-2 дни по 200 мг 3 раза, затем по 200 мг 1 раз в таблетках или внутривенно), вориконазол (по 200 мг х 2 раза в таблетках, у больных с весом &gt; 85 кг суточную дозу вориконазола в таблетках назначают из расчета 8 мг/кг/сутки, максимально – по 300 мг х 2 раза); </w:t>
      </w:r>
    </w:p>
    <w:p w14:paraId="786DC5E8" w14:textId="77777777" w:rsidR="00116AF3" w:rsidRPr="00643B16"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у пациентов с о</w:t>
      </w:r>
      <w:r w:rsidRPr="00643B16">
        <w:rPr>
          <w:rFonts w:cs="Times New Roman"/>
          <w:szCs w:val="24"/>
        </w:rPr>
        <w:t>стрыми миелоидными лейкозами – восстановление гранулоцитов (&gt;0,5 х 10</w:t>
      </w:r>
      <w:r w:rsidRPr="00015917">
        <w:rPr>
          <w:rFonts w:cs="Times New Roman"/>
          <w:szCs w:val="24"/>
          <w:vertAlign w:val="superscript"/>
        </w:rPr>
        <w:t>9</w:t>
      </w:r>
      <w:r w:rsidRPr="00643B16">
        <w:rPr>
          <w:rFonts w:cs="Times New Roman"/>
          <w:szCs w:val="24"/>
        </w:rPr>
        <w:t>/л);</w:t>
      </w:r>
    </w:p>
    <w:p w14:paraId="264E48D3"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у пациентов с апластической анемией – ч</w:t>
      </w:r>
      <w:r w:rsidRPr="003722EE">
        <w:rPr>
          <w:rFonts w:cs="Times New Roman"/>
          <w:szCs w:val="24"/>
        </w:rPr>
        <w:t>ерез 10</w:t>
      </w:r>
      <w:r w:rsidRPr="00643B16">
        <w:rPr>
          <w:rFonts w:cs="Times New Roman"/>
          <w:szCs w:val="24"/>
        </w:rPr>
        <w:t> </w:t>
      </w:r>
      <w:r w:rsidRPr="003722EE">
        <w:rPr>
          <w:rFonts w:cs="Times New Roman"/>
          <w:szCs w:val="24"/>
        </w:rPr>
        <w:t>дней после окончания введения АТГ.</w:t>
      </w:r>
    </w:p>
    <w:p w14:paraId="244C7DBA" w14:textId="77777777" w:rsidR="00116AF3" w:rsidRDefault="00116AF3" w:rsidP="00116AF3">
      <w:pPr>
        <w:widowControl w:val="0"/>
        <w:autoSpaceDE w:val="0"/>
        <w:autoSpaceDN w:val="0"/>
        <w:adjustRightInd w:val="0"/>
        <w:ind w:right="51"/>
        <w:contextualSpacing/>
        <w:rPr>
          <w:rFonts w:cs="Times New Roman"/>
          <w:b/>
        </w:rPr>
      </w:pPr>
    </w:p>
    <w:p w14:paraId="25800F74" w14:textId="77777777" w:rsidR="00116AF3" w:rsidRPr="00B77DCF" w:rsidRDefault="00116AF3" w:rsidP="00116AF3">
      <w:pPr>
        <w:widowControl w:val="0"/>
        <w:autoSpaceDE w:val="0"/>
        <w:autoSpaceDN w:val="0"/>
        <w:adjustRightInd w:val="0"/>
        <w:ind w:right="51"/>
        <w:contextualSpacing/>
        <w:rPr>
          <w:rFonts w:cs="Times New Roman"/>
          <w:b/>
        </w:rPr>
      </w:pPr>
      <w:r w:rsidRPr="00B77DCF">
        <w:rPr>
          <w:rFonts w:cs="Times New Roman"/>
          <w:b/>
        </w:rPr>
        <w:t>Вторичная противогрибковая профилактика</w:t>
      </w:r>
    </w:p>
    <w:p w14:paraId="3CDDA889" w14:textId="77777777" w:rsidR="00116AF3" w:rsidRPr="003722EE" w:rsidRDefault="00116AF3" w:rsidP="00116AF3">
      <w:pPr>
        <w:widowControl w:val="0"/>
        <w:autoSpaceDE w:val="0"/>
        <w:autoSpaceDN w:val="0"/>
        <w:adjustRightInd w:val="0"/>
        <w:ind w:right="51" w:firstLine="708"/>
        <w:contextualSpacing/>
        <w:rPr>
          <w:rFonts w:cs="Times New Roman"/>
          <w:bCs/>
        </w:rPr>
      </w:pPr>
      <w:r w:rsidRPr="003722EE">
        <w:rPr>
          <w:rFonts w:cs="Times New Roman"/>
        </w:rPr>
        <w:t>Вторичная противогрибковая профилактика п</w:t>
      </w:r>
      <w:r w:rsidRPr="003722EE">
        <w:rPr>
          <w:rFonts w:cs="Times New Roman"/>
          <w:bCs/>
        </w:rPr>
        <w:t>роводится:</w:t>
      </w:r>
    </w:p>
    <w:p w14:paraId="1E976FFB" w14:textId="77777777" w:rsidR="00116AF3" w:rsidRPr="00643B16" w:rsidRDefault="00116AF3" w:rsidP="006D53E9">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пациентам, имевшим в анамнезе инвазивный микоз, вызванный плесневыми грибами (инвазивный аспергиллез, мукормикоз и др.), а также диссеминированный инвазивный кандидоз (инвазия в органы);</w:t>
      </w:r>
    </w:p>
    <w:p w14:paraId="32AFAC5A" w14:textId="77777777" w:rsidR="00116AF3" w:rsidRPr="00643B16" w:rsidRDefault="00116AF3" w:rsidP="006D53E9">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во время очередного курса ПХТ, если ожидается нейтропения от 7 дней и более</w:t>
      </w:r>
      <w:r>
        <w:rPr>
          <w:rFonts w:cs="Times New Roman"/>
          <w:szCs w:val="24"/>
        </w:rPr>
        <w:t>.</w:t>
      </w:r>
    </w:p>
    <w:p w14:paraId="1873CD11" w14:textId="77777777" w:rsidR="00116AF3" w:rsidRPr="00B77DCF" w:rsidRDefault="00116AF3" w:rsidP="00116AF3">
      <w:pPr>
        <w:widowControl w:val="0"/>
        <w:autoSpaceDE w:val="0"/>
        <w:autoSpaceDN w:val="0"/>
        <w:adjustRightInd w:val="0"/>
        <w:snapToGrid w:val="0"/>
        <w:ind w:right="51"/>
        <w:rPr>
          <w:rFonts w:cs="Times New Roman"/>
        </w:rPr>
      </w:pPr>
      <w:r w:rsidRPr="00B77DCF">
        <w:rPr>
          <w:rFonts w:cs="Times New Roman"/>
        </w:rPr>
        <w:t>Пациентам, имевшим кандидемию без диссеминации в органы, профилактику не проводят.</w:t>
      </w:r>
    </w:p>
    <w:p w14:paraId="2D8ECCE2" w14:textId="77777777" w:rsidR="00116AF3" w:rsidRPr="003722EE" w:rsidRDefault="00116AF3" w:rsidP="00116AF3">
      <w:pPr>
        <w:widowControl w:val="0"/>
        <w:autoSpaceDE w:val="0"/>
        <w:autoSpaceDN w:val="0"/>
        <w:adjustRightInd w:val="0"/>
        <w:ind w:right="49"/>
        <w:contextualSpacing/>
        <w:rPr>
          <w:rFonts w:cs="Times New Roman"/>
        </w:rPr>
      </w:pPr>
      <w:r w:rsidRPr="003722EE">
        <w:rPr>
          <w:rFonts w:cs="Times New Roman"/>
        </w:rPr>
        <w:t>Вторичная противогрибковая профилактика показана при курсах ПХТ, сопровождающихся нейтропенией, и при использовании иммуносупресивных препаратов. Для вторичной профилактики назначают препарат, при использовании которого было достигнуто излечение от инвазивного микоза, с 1-го дня послекурсового периода или при количестве гранулоцитов ≤0,5</w:t>
      </w:r>
      <w:r>
        <w:rPr>
          <w:rFonts w:cs="Times New Roman"/>
        </w:rPr>
        <w:t xml:space="preserve"> </w:t>
      </w:r>
      <w:r w:rsidRPr="003722EE">
        <w:rPr>
          <w:rFonts w:cs="Times New Roman"/>
        </w:rPr>
        <w:t>х</w:t>
      </w:r>
      <w:r>
        <w:rPr>
          <w:rFonts w:cs="Times New Roman"/>
        </w:rPr>
        <w:t xml:space="preserve"> </w:t>
      </w:r>
      <w:r w:rsidRPr="003722EE">
        <w:rPr>
          <w:rFonts w:cs="Times New Roman"/>
        </w:rPr>
        <w:t>10</w:t>
      </w:r>
      <w:r w:rsidRPr="003722EE">
        <w:rPr>
          <w:rFonts w:cs="Times New Roman"/>
          <w:vertAlign w:val="superscript"/>
        </w:rPr>
        <w:t>9</w:t>
      </w:r>
      <w:r w:rsidRPr="003722EE">
        <w:rPr>
          <w:rFonts w:cs="Times New Roman"/>
        </w:rPr>
        <w:t>/л, а также в течение всего периода применения иммуносупрессивных препаратов.</w:t>
      </w:r>
    </w:p>
    <w:p w14:paraId="5A56CD6C" w14:textId="0CE42A68" w:rsidR="00116AF3" w:rsidRPr="003722EE" w:rsidRDefault="00116AF3" w:rsidP="00116AF3">
      <w:pPr>
        <w:widowControl w:val="0"/>
        <w:autoSpaceDE w:val="0"/>
        <w:autoSpaceDN w:val="0"/>
        <w:adjustRightInd w:val="0"/>
        <w:ind w:right="51"/>
        <w:contextualSpacing/>
        <w:rPr>
          <w:rFonts w:cs="Times New Roman"/>
        </w:rPr>
      </w:pPr>
      <w:r w:rsidRPr="003722EE">
        <w:rPr>
          <w:rFonts w:cs="Times New Roman"/>
        </w:rPr>
        <w:t>Противогрибковые препараты, используемые для вторичной профилактики больным, имевшим в анамнезе</w:t>
      </w:r>
      <w:r w:rsidRPr="00026095">
        <w:rPr>
          <w:rFonts w:cs="Times New Roman"/>
        </w:rPr>
        <w:t xml:space="preserve"> </w:t>
      </w:r>
      <w:r>
        <w:rPr>
          <w:rFonts w:cs="Times New Roman"/>
        </w:rPr>
        <w:fldChar w:fldCharType="begin" w:fldLock="1"/>
      </w:r>
      <w:r w:rsidR="009D41F9">
        <w:rPr>
          <w:rFonts w:cs="Times New Roman"/>
        </w:rPr>
        <w:instrText>ADDIN CSL_CITATION {"citationItems":[{"id":"ITEM-1","itemData":{"DOI":"10.3324/haematol.2016.152900","ISSN":"15928721","PMID":"28011902","abstract":"The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-1","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[55]","plainTextFormattedCitation":"[55]","previouslyFormattedCitation":"[55]"},"properties":{"noteIndex":0},"schema":"https://github.com/citation-style-language/schema/raw/master/csl-citation.json"}</w:instrText>
      </w:r>
      <w:r>
        <w:rPr>
          <w:rFonts w:cs="Times New Roman"/>
        </w:rPr>
        <w:fldChar w:fldCharType="separate"/>
      </w:r>
      <w:r w:rsidR="004C3BA5" w:rsidRPr="004C3BA5">
        <w:rPr>
          <w:rFonts w:cs="Times New Roman"/>
          <w:noProof/>
        </w:rPr>
        <w:t>[55]</w:t>
      </w:r>
      <w:r>
        <w:rPr>
          <w:rFonts w:cs="Times New Roman"/>
        </w:rPr>
        <w:fldChar w:fldCharType="end"/>
      </w:r>
      <w:r w:rsidRPr="003722EE">
        <w:rPr>
          <w:rFonts w:cs="Times New Roman"/>
        </w:rPr>
        <w:t>:</w:t>
      </w:r>
    </w:p>
    <w:p w14:paraId="4F138179" w14:textId="77777777" w:rsidR="00116AF3" w:rsidRPr="00643B16" w:rsidRDefault="00116AF3" w:rsidP="006D53E9">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Кандидемию с диссеминацией в органы или хронический диссеминированный кандидоз:</w:t>
      </w:r>
    </w:p>
    <w:p w14:paraId="3A5AE59C" w14:textId="77777777" w:rsidR="00116AF3" w:rsidRPr="003722EE" w:rsidRDefault="00116AF3" w:rsidP="006D53E9">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флуконазол, по 400 мг в сутки, внутривенно или внутрь;</w:t>
      </w:r>
    </w:p>
    <w:p w14:paraId="4C2765AB" w14:textId="77777777" w:rsidR="00116AF3" w:rsidRPr="003722EE" w:rsidRDefault="00116AF3" w:rsidP="006D53E9">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каспофунгин, по 50 мг в сутки внутривенно;</w:t>
      </w:r>
    </w:p>
    <w:p w14:paraId="1E741C5A" w14:textId="77777777" w:rsidR="00116AF3" w:rsidRPr="003722EE" w:rsidRDefault="00116AF3" w:rsidP="006D53E9">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микафунгин, по 100 мг в сутки внутривенно;</w:t>
      </w:r>
    </w:p>
    <w:p w14:paraId="67706A41" w14:textId="77777777" w:rsidR="00116AF3" w:rsidRPr="003722EE" w:rsidRDefault="00116AF3" w:rsidP="006D53E9">
      <w:pPr>
        <w:widowControl w:val="0"/>
        <w:numPr>
          <w:ilvl w:val="0"/>
          <w:numId w:val="66"/>
        </w:numPr>
        <w:tabs>
          <w:tab w:val="left" w:pos="317"/>
        </w:tabs>
        <w:autoSpaceDE w:val="0"/>
        <w:autoSpaceDN w:val="0"/>
        <w:adjustRightInd w:val="0"/>
        <w:ind w:right="51"/>
        <w:contextualSpacing/>
        <w:rPr>
          <w:rFonts w:cs="Times New Roman"/>
        </w:rPr>
      </w:pPr>
      <w:r w:rsidRPr="003722EE">
        <w:rPr>
          <w:rFonts w:cs="Times New Roman"/>
        </w:rPr>
        <w:t>анидулафунгин, по 100 мг в сутки внутривенно.</w:t>
      </w:r>
    </w:p>
    <w:p w14:paraId="5EA93D57" w14:textId="77777777" w:rsidR="00116AF3" w:rsidRPr="00643B16" w:rsidRDefault="00116AF3" w:rsidP="006D53E9">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Инвазивный аспергиллез:</w:t>
      </w:r>
    </w:p>
    <w:p w14:paraId="1DA32ADE" w14:textId="77777777" w:rsidR="00116AF3" w:rsidRPr="003722EE" w:rsidRDefault="00116AF3" w:rsidP="006D53E9">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вориконазол (таблетки/внутривенно), по 200</w:t>
      </w:r>
      <w:r w:rsidRPr="00643B16">
        <w:rPr>
          <w:rFonts w:cs="Times New Roman"/>
        </w:rPr>
        <w:t> </w:t>
      </w:r>
      <w:r w:rsidRPr="003722EE">
        <w:rPr>
          <w:rFonts w:cs="Times New Roman"/>
        </w:rPr>
        <w:t>мг 2</w:t>
      </w:r>
      <w:r w:rsidRPr="00643B16">
        <w:rPr>
          <w:rFonts w:cs="Times New Roman"/>
        </w:rPr>
        <w:t> </w:t>
      </w:r>
      <w:r w:rsidRPr="003722EE">
        <w:rPr>
          <w:rFonts w:cs="Times New Roman"/>
        </w:rPr>
        <w:t>раза;</w:t>
      </w:r>
    </w:p>
    <w:p w14:paraId="17B04E95" w14:textId="77777777" w:rsidR="00116AF3" w:rsidRPr="003722EE" w:rsidRDefault="00116AF3" w:rsidP="006D53E9">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позаконазол (суспензия), по 200</w:t>
      </w:r>
      <w:r w:rsidRPr="00643B16">
        <w:rPr>
          <w:rFonts w:cs="Times New Roman"/>
        </w:rPr>
        <w:t> </w:t>
      </w:r>
      <w:r w:rsidRPr="003722EE">
        <w:rPr>
          <w:rFonts w:cs="Times New Roman"/>
        </w:rPr>
        <w:t>мг 3</w:t>
      </w:r>
      <w:r w:rsidRPr="00643B16">
        <w:rPr>
          <w:rFonts w:cs="Times New Roman"/>
        </w:rPr>
        <w:t> </w:t>
      </w:r>
      <w:r w:rsidRPr="003722EE">
        <w:rPr>
          <w:rFonts w:cs="Times New Roman"/>
        </w:rPr>
        <w:t>раза (после еды);</w:t>
      </w:r>
    </w:p>
    <w:p w14:paraId="61C36BFD" w14:textId="77777777" w:rsidR="00116AF3" w:rsidRPr="003722EE" w:rsidRDefault="00116AF3" w:rsidP="006D53E9">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позаконазол (таблетки) в 1й день по 300 мг х 2 раза, далее по 1 таб 1 раз;</w:t>
      </w:r>
    </w:p>
    <w:p w14:paraId="2112BC27" w14:textId="77777777" w:rsidR="00116AF3" w:rsidRPr="00643B16" w:rsidRDefault="00116AF3" w:rsidP="006D53E9">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изавуконазол (таблетки/внутривенно) в 1-2й дни по 200 мг 3 раза, затем по 200 мг 1 раз.</w:t>
      </w:r>
    </w:p>
    <w:p w14:paraId="66C8E594" w14:textId="77777777" w:rsidR="00116AF3" w:rsidRPr="00643B16" w:rsidRDefault="00116AF3" w:rsidP="006D53E9">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Мукормикоз:</w:t>
      </w:r>
    </w:p>
    <w:p w14:paraId="441C4E8F" w14:textId="77777777" w:rsidR="00116AF3" w:rsidRPr="003722EE" w:rsidRDefault="00116AF3" w:rsidP="006D53E9">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позаконазол (суспензия), по 200</w:t>
      </w:r>
      <w:r w:rsidRPr="00643B16">
        <w:rPr>
          <w:rFonts w:cs="Times New Roman"/>
        </w:rPr>
        <w:t> </w:t>
      </w:r>
      <w:r w:rsidRPr="003722EE">
        <w:rPr>
          <w:rFonts w:cs="Times New Roman"/>
        </w:rPr>
        <w:t>мг 3</w:t>
      </w:r>
      <w:r w:rsidRPr="00643B16">
        <w:rPr>
          <w:rFonts w:cs="Times New Roman"/>
        </w:rPr>
        <w:t> </w:t>
      </w:r>
      <w:r w:rsidRPr="003722EE">
        <w:rPr>
          <w:rFonts w:cs="Times New Roman"/>
        </w:rPr>
        <w:t>раза (после еды);</w:t>
      </w:r>
    </w:p>
    <w:p w14:paraId="0CFE9E17" w14:textId="77777777" w:rsidR="00116AF3" w:rsidRPr="003722EE" w:rsidRDefault="00116AF3" w:rsidP="006D53E9">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позаконазол (таблетки) в 1й день по 300 мг х 2 раза, далее по 1 таб 1 раз;</w:t>
      </w:r>
    </w:p>
    <w:p w14:paraId="1F039F8A" w14:textId="77777777" w:rsidR="00116AF3" w:rsidRPr="00643B16" w:rsidRDefault="00116AF3" w:rsidP="006D53E9">
      <w:pPr>
        <w:widowControl w:val="0"/>
        <w:numPr>
          <w:ilvl w:val="0"/>
          <w:numId w:val="66"/>
        </w:numPr>
        <w:tabs>
          <w:tab w:val="left" w:pos="317"/>
        </w:tabs>
        <w:autoSpaceDE w:val="0"/>
        <w:autoSpaceDN w:val="0"/>
        <w:adjustRightInd w:val="0"/>
        <w:ind w:right="49"/>
        <w:contextualSpacing/>
        <w:rPr>
          <w:rFonts w:cs="Times New Roman"/>
        </w:rPr>
      </w:pPr>
      <w:r w:rsidRPr="003722EE">
        <w:rPr>
          <w:rFonts w:cs="Times New Roman"/>
        </w:rPr>
        <w:t>изавуконазол (таблетки/внутривенно) в 1-2й дни по 200 мг 3 раза, затем по 200 мг 1 раз.</w:t>
      </w:r>
    </w:p>
    <w:p w14:paraId="690C3A09" w14:textId="77777777" w:rsidR="00116AF3" w:rsidRPr="003722EE" w:rsidRDefault="00116AF3" w:rsidP="00116AF3">
      <w:pPr>
        <w:widowControl w:val="0"/>
        <w:autoSpaceDE w:val="0"/>
        <w:autoSpaceDN w:val="0"/>
        <w:adjustRightInd w:val="0"/>
        <w:ind w:right="51" w:firstLine="708"/>
        <w:contextualSpacing/>
        <w:rPr>
          <w:rFonts w:cs="Times New Roman"/>
        </w:rPr>
      </w:pPr>
      <w:r w:rsidRPr="003722EE">
        <w:rPr>
          <w:rFonts w:cs="Times New Roman"/>
        </w:rPr>
        <w:t>Амфотерицин В не назначают для профилактики инвазивных микозов по причине его высокой токсичности. При вторичной профилактике вориконазол, позаконазол, изавуконазол следует применять осторожно при курсах ПХТ, включающих винкристин, поскольку они могут потенцировать развитие нейротоксичности. Назначать эти препараты следует не ранее чем через 3-5 дней от даты последнего введения винкристина.</w:t>
      </w:r>
    </w:p>
    <w:p w14:paraId="151B615C" w14:textId="77777777" w:rsidR="00116AF3" w:rsidRPr="003722EE" w:rsidRDefault="00116AF3" w:rsidP="00116AF3">
      <w:pPr>
        <w:widowControl w:val="0"/>
        <w:tabs>
          <w:tab w:val="left" w:pos="0"/>
        </w:tabs>
        <w:autoSpaceDE w:val="0"/>
        <w:autoSpaceDN w:val="0"/>
        <w:adjustRightInd w:val="0"/>
        <w:ind w:right="49"/>
        <w:contextualSpacing/>
        <w:rPr>
          <w:rFonts w:cs="Times New Roman"/>
          <w:bCs/>
          <w:iCs/>
        </w:rPr>
      </w:pPr>
      <w:r w:rsidRPr="003722EE">
        <w:rPr>
          <w:rFonts w:cs="Times New Roman"/>
          <w:bCs/>
        </w:rPr>
        <w:tab/>
        <w:t xml:space="preserve">Противогрибковые препараты, назначенные для вторичной профилактики, отменяют при </w:t>
      </w:r>
      <w:r w:rsidRPr="003722EE">
        <w:rPr>
          <w:rFonts w:cs="Times New Roman"/>
          <w:bCs/>
          <w:iCs/>
        </w:rPr>
        <w:t>восстановление гранулоцитов (&gt;0,5 х 10</w:t>
      </w:r>
      <w:r w:rsidRPr="003722EE">
        <w:rPr>
          <w:rFonts w:cs="Times New Roman"/>
          <w:bCs/>
          <w:iCs/>
          <w:vertAlign w:val="superscript"/>
        </w:rPr>
        <w:t>9</w:t>
      </w:r>
      <w:r w:rsidRPr="003722EE">
        <w:rPr>
          <w:rFonts w:cs="Times New Roman"/>
          <w:bCs/>
          <w:iCs/>
        </w:rPr>
        <w:t>/л).</w:t>
      </w:r>
    </w:p>
    <w:p w14:paraId="5672C416" w14:textId="77777777" w:rsidR="00116AF3" w:rsidRDefault="00116AF3" w:rsidP="00116AF3">
      <w:pPr>
        <w:pStyle w:val="afe"/>
        <w:widowControl w:val="0"/>
        <w:autoSpaceDE w:val="0"/>
        <w:autoSpaceDN w:val="0"/>
        <w:adjustRightInd w:val="0"/>
        <w:ind w:right="51"/>
        <w:rPr>
          <w:rFonts w:cs="Times New Roman"/>
          <w:b/>
          <w:szCs w:val="24"/>
        </w:rPr>
      </w:pPr>
    </w:p>
    <w:p w14:paraId="0BD96CA4" w14:textId="6DFFC9F7" w:rsidR="00116AF3" w:rsidRPr="0051550E" w:rsidRDefault="00116AF3" w:rsidP="00116AF3">
      <w:pPr>
        <w:pStyle w:val="afe"/>
        <w:widowControl w:val="0"/>
        <w:autoSpaceDE w:val="0"/>
        <w:autoSpaceDN w:val="0"/>
        <w:adjustRightInd w:val="0"/>
        <w:ind w:right="51"/>
        <w:rPr>
          <w:rFonts w:cs="Times New Roman"/>
          <w:bCs/>
          <w:i/>
          <w:iCs/>
          <w:szCs w:val="24"/>
          <w:u w:val="single"/>
        </w:rPr>
      </w:pPr>
      <w:r w:rsidRPr="00B77DCF">
        <w:rPr>
          <w:rFonts w:cs="Times New Roman"/>
          <w:bCs/>
          <w:i/>
          <w:iCs/>
          <w:szCs w:val="24"/>
          <w:u w:val="single"/>
        </w:rPr>
        <w:t>Профилактика вирусных инфекций</w:t>
      </w:r>
      <w:r>
        <w:rPr>
          <w:rFonts w:cs="Times New Roman"/>
          <w:bCs/>
          <w:i/>
          <w:iCs/>
          <w:szCs w:val="24"/>
          <w:u w:val="single"/>
        </w:rPr>
        <w:t xml:space="preserve"> </w:t>
      </w:r>
      <w:r>
        <w:rPr>
          <w:rFonts w:cs="Times New Roman"/>
          <w:bCs/>
          <w:i/>
          <w:iCs/>
          <w:szCs w:val="24"/>
          <w:u w:val="single"/>
        </w:rPr>
        <w:fldChar w:fldCharType="begin" w:fldLock="1"/>
      </w:r>
      <w:r w:rsidR="009D41F9">
        <w:rPr>
          <w:rFonts w:cs="Times New Roman"/>
          <w:bCs/>
          <w:i/>
          <w:iCs/>
          <w:szCs w:val="24"/>
          <w:u w:val="single"/>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Leukemia","type":"article-journal","volume":"43"},"uris":["http://www.mendeley.com/documents/?uuid=d821a870-8754-3698-8a43-34506f6d18d8"]},{"id":"ITEM-2","itemData":{"DOI":"10.1038/bmt.2008.162","ISSN":"02683369","PMID":"18587440","abstract":"These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Transplantation","id":"ITEM-2","issue":"4","issued":{"date-parts":[["2008"]]},"page":"227-240","publisher":"Bone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[52,53]","plainTextFormattedCitation":"[52,53]","previouslyFormattedCitation":"[52,53]"},"properties":{"noteIndex":0},"schema":"https://github.com/citation-style-language/schema/raw/master/csl-citation.json"}</w:instrText>
      </w:r>
      <w:r>
        <w:rPr>
          <w:rFonts w:cs="Times New Roman"/>
          <w:bCs/>
          <w:i/>
          <w:iCs/>
          <w:szCs w:val="24"/>
          <w:u w:val="single"/>
        </w:rPr>
        <w:fldChar w:fldCharType="separate"/>
      </w:r>
      <w:r w:rsidR="004C3BA5" w:rsidRPr="004C3BA5">
        <w:rPr>
          <w:rFonts w:cs="Times New Roman"/>
          <w:bCs/>
          <w:iCs/>
          <w:noProof/>
          <w:szCs w:val="24"/>
        </w:rPr>
        <w:t>[52,53]</w:t>
      </w:r>
      <w:r>
        <w:rPr>
          <w:rFonts w:cs="Times New Roman"/>
          <w:bCs/>
          <w:i/>
          <w:iCs/>
          <w:szCs w:val="24"/>
          <w:u w:val="single"/>
        </w:rPr>
        <w:fldChar w:fldCharType="end"/>
      </w:r>
    </w:p>
    <w:p w14:paraId="2F299197" w14:textId="77777777" w:rsidR="00116AF3" w:rsidRPr="003722EE" w:rsidRDefault="00116AF3" w:rsidP="00116AF3">
      <w:pPr>
        <w:ind w:right="51" w:firstLine="708"/>
        <w:contextualSpacing/>
        <w:rPr>
          <w:rFonts w:cs="Times New Roman"/>
        </w:rPr>
      </w:pPr>
      <w:r w:rsidRPr="003722EE">
        <w:rPr>
          <w:rFonts w:cs="Times New Roman"/>
        </w:rPr>
        <w:t xml:space="preserve">Противовирусные препараты для профилактики назначают пациентам, серопозитивным по вирусу простого герпеса (ВПГ) - реципиентам аллогенной ТГСК, пациентам с острыми лейкозами, лимфомами, другими гематологическими заболеваниями. </w:t>
      </w:r>
    </w:p>
    <w:p w14:paraId="68C328AB" w14:textId="77777777" w:rsidR="00116AF3" w:rsidRPr="003722EE" w:rsidRDefault="00116AF3" w:rsidP="00116AF3">
      <w:pPr>
        <w:ind w:right="49"/>
        <w:contextualSpacing/>
        <w:rPr>
          <w:rFonts w:cs="Times New Roman"/>
        </w:rPr>
      </w:pPr>
      <w:r w:rsidRPr="003722EE">
        <w:rPr>
          <w:rFonts w:cs="Times New Roman"/>
        </w:rPr>
        <w:t>Используют следующие препараты для профилактики вирусных инфекций:</w:t>
      </w:r>
    </w:p>
    <w:p w14:paraId="21FC07A8"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ацикловир внутривенно 250 мг/м</w:t>
      </w:r>
      <w:r w:rsidRPr="008356BD">
        <w:rPr>
          <w:rFonts w:cs="Times New Roman"/>
          <w:szCs w:val="24"/>
          <w:vertAlign w:val="superscript"/>
        </w:rPr>
        <w:t>2</w:t>
      </w:r>
      <w:r w:rsidRPr="003722EE">
        <w:rPr>
          <w:rFonts w:cs="Times New Roman"/>
          <w:szCs w:val="24"/>
        </w:rPr>
        <w:t xml:space="preserve"> или 5 мг/кг каждые 12 часов;</w:t>
      </w:r>
    </w:p>
    <w:p w14:paraId="5CBE8235"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ацикловир таблетки по 200 мг х 3 раза;</w:t>
      </w:r>
    </w:p>
    <w:p w14:paraId="139624B7" w14:textId="77777777" w:rsidR="00116AF3" w:rsidRPr="003722EE" w:rsidRDefault="00116AF3" w:rsidP="006D53E9">
      <w:pPr>
        <w:pStyle w:val="afe"/>
        <w:widowControl w:val="0"/>
        <w:numPr>
          <w:ilvl w:val="0"/>
          <w:numId w:val="65"/>
        </w:numPr>
        <w:autoSpaceDE w:val="0"/>
        <w:autoSpaceDN w:val="0"/>
        <w:adjustRightInd w:val="0"/>
        <w:snapToGrid w:val="0"/>
        <w:ind w:right="51"/>
        <w:rPr>
          <w:rFonts w:cs="Times New Roman"/>
          <w:szCs w:val="24"/>
        </w:rPr>
      </w:pPr>
      <w:r w:rsidRPr="003722EE">
        <w:rPr>
          <w:rFonts w:cs="Times New Roman"/>
          <w:szCs w:val="24"/>
        </w:rPr>
        <w:t>валациковир по 500 мг х 2 раза;</w:t>
      </w:r>
    </w:p>
    <w:p w14:paraId="020B44D2" w14:textId="77777777" w:rsidR="00116AF3" w:rsidRPr="00643B16" w:rsidRDefault="00116AF3" w:rsidP="006D53E9">
      <w:pPr>
        <w:pStyle w:val="afe"/>
        <w:widowControl w:val="0"/>
        <w:numPr>
          <w:ilvl w:val="0"/>
          <w:numId w:val="65"/>
        </w:numPr>
        <w:autoSpaceDE w:val="0"/>
        <w:autoSpaceDN w:val="0"/>
        <w:adjustRightInd w:val="0"/>
        <w:snapToGrid w:val="0"/>
        <w:ind w:right="51"/>
        <w:rPr>
          <w:rFonts w:cs="Times New Roman"/>
          <w:szCs w:val="24"/>
        </w:rPr>
      </w:pPr>
      <w:r w:rsidRPr="00643B16">
        <w:rPr>
          <w:rFonts w:cs="Times New Roman"/>
          <w:szCs w:val="24"/>
        </w:rPr>
        <w:t>фамцикловир по 500 мг 2 раза.</w:t>
      </w:r>
    </w:p>
    <w:p w14:paraId="055BD295" w14:textId="77777777" w:rsidR="00116AF3" w:rsidRPr="003722EE" w:rsidRDefault="00116AF3" w:rsidP="00116AF3">
      <w:pPr>
        <w:ind w:right="49"/>
        <w:contextualSpacing/>
        <w:rPr>
          <w:rFonts w:cs="Times New Roman"/>
        </w:rPr>
      </w:pPr>
      <w:r w:rsidRPr="003722EE">
        <w:rPr>
          <w:rFonts w:cs="Times New Roman"/>
        </w:rPr>
        <w:t>Противовирусную профилактику применяют в течение 3-5 недель с 1-го дня ПХТ или кондицирования при ТГСК. Перевод с пероральной на внутривенную форму проводят у больных с мукозитом. У реципиентов аллогенной ТГСК и РТПХ или получающих иммуносупрессивную терапию, включая кортикостероиды, период профилактического приема препаратов является более продолжительным.</w:t>
      </w:r>
    </w:p>
    <w:p w14:paraId="2EAA4AA4" w14:textId="77777777" w:rsidR="00116AF3" w:rsidRPr="003722EE" w:rsidRDefault="00116AF3" w:rsidP="00116AF3">
      <w:pPr>
        <w:ind w:right="49"/>
        <w:contextualSpacing/>
        <w:rPr>
          <w:rFonts w:cs="Times New Roman"/>
        </w:rPr>
      </w:pPr>
      <w:r w:rsidRPr="003722EE">
        <w:rPr>
          <w:rFonts w:cs="Times New Roman"/>
        </w:rPr>
        <w:t>Антивирусная профилактика ВПГ не требуется для серонегативных больных острыми лейкозами и после ТГСК.</w:t>
      </w:r>
    </w:p>
    <w:p w14:paraId="432190A1" w14:textId="77777777" w:rsidR="00F061F3" w:rsidRDefault="00F061F3" w:rsidP="00116AF3">
      <w:pPr>
        <w:widowControl w:val="0"/>
        <w:autoSpaceDE w:val="0"/>
        <w:autoSpaceDN w:val="0"/>
        <w:adjustRightInd w:val="0"/>
        <w:ind w:right="49"/>
        <w:contextualSpacing/>
        <w:rPr>
          <w:rFonts w:cs="Times New Roman"/>
        </w:rPr>
        <w:sectPr w:rsidR="00F061F3" w:rsidSect="00EE59C2">
          <w:headerReference w:type="default" r:id="rId8"/>
          <w:footerReference w:type="default" r:id="rId9"/>
          <w:pgSz w:w="11906" w:h="16838"/>
          <w:pgMar w:top="1134" w:right="850" w:bottom="1134" w:left="1701" w:header="708" w:footer="708" w:gutter="0"/>
          <w:cols w:space="720"/>
          <w:formProt w:val="0"/>
          <w:titlePg/>
          <w:docGrid w:linePitch="360" w:charSpace="-6145"/>
        </w:sectPr>
      </w:pPr>
    </w:p>
    <w:p w14:paraId="44BAE19E" w14:textId="77777777" w:rsidR="000414F6" w:rsidRPr="00FE2263" w:rsidRDefault="00CB71DA" w:rsidP="00FA741B">
      <w:pPr>
        <w:pStyle w:val="afff2"/>
      </w:pPr>
      <w:bookmarkStart w:id="93" w:name="_Toc66184335"/>
      <w:bookmarkEnd w:id="77"/>
      <w:r w:rsidRPr="00FE2263">
        <w:t>Критерии оценки качества медицинской помощи</w:t>
      </w:r>
      <w:bookmarkEnd w:id="65"/>
      <w:bookmarkEnd w:id="66"/>
      <w:bookmarkEnd w:id="93"/>
    </w:p>
    <w:p w14:paraId="506E4224" w14:textId="77777777" w:rsidR="0025228A" w:rsidRPr="00FE2263" w:rsidRDefault="0025228A" w:rsidP="00F817BC">
      <w:pPr>
        <w:pStyle w:val="afffb"/>
      </w:pPr>
    </w:p>
    <w:tbl>
      <w:tblPr>
        <w:tblW w:w="9348" w:type="dxa"/>
        <w:tblCellMar>
          <w:top w:w="15" w:type="dxa"/>
          <w:left w:w="15" w:type="dxa"/>
          <w:bottom w:w="15" w:type="dxa"/>
          <w:right w:w="15" w:type="dxa"/>
        </w:tblCellMar>
        <w:tblLook w:val="04A0" w:firstRow="1" w:lastRow="0" w:firstColumn="1" w:lastColumn="0" w:noHBand="0" w:noVBand="1"/>
      </w:tblPr>
      <w:tblGrid>
        <w:gridCol w:w="1083"/>
        <w:gridCol w:w="5572"/>
        <w:gridCol w:w="2693"/>
      </w:tblGrid>
      <w:tr w:rsidR="00AE6DD2" w:rsidRPr="00FE2263" w14:paraId="5F519EE9" w14:textId="77777777" w:rsidTr="00AE6DD2">
        <w:tc>
          <w:tcPr>
            <w:tcW w:w="1083" w:type="dxa"/>
            <w:tcBorders>
              <w:top w:val="single" w:sz="6" w:space="0" w:color="000000"/>
              <w:left w:val="single" w:sz="6" w:space="0" w:color="000000"/>
              <w:bottom w:val="single" w:sz="6" w:space="0" w:color="000000"/>
              <w:right w:val="single" w:sz="6" w:space="0" w:color="000000"/>
            </w:tcBorders>
            <w:vAlign w:val="center"/>
            <w:hideMark/>
          </w:tcPr>
          <w:p w14:paraId="10085578" w14:textId="77777777" w:rsidR="00AE6DD2" w:rsidRPr="00F061F3" w:rsidRDefault="00AE6DD2" w:rsidP="00AE6DD2">
            <w:pPr>
              <w:spacing w:line="240" w:lineRule="auto"/>
              <w:ind w:firstLine="0"/>
              <w:rPr>
                <w:rFonts w:eastAsia="Times New Roman"/>
              </w:rPr>
            </w:pPr>
            <w:bookmarkStart w:id="94" w:name="__RefHeading___doc_bible"/>
            <w:r w:rsidRPr="00FE2263">
              <w:rPr>
                <w:rFonts w:eastAsia="Times New Roman"/>
              </w:rPr>
              <w:t> </w:t>
            </w:r>
            <w:r w:rsidRPr="00F061F3">
              <w:rPr>
                <w:rFonts w:eastAsia="Times New Roman"/>
              </w:rPr>
              <w:t>1</w:t>
            </w:r>
          </w:p>
        </w:tc>
        <w:tc>
          <w:tcPr>
            <w:tcW w:w="5572" w:type="dxa"/>
            <w:tcBorders>
              <w:top w:val="single" w:sz="6" w:space="0" w:color="000000"/>
              <w:left w:val="single" w:sz="6" w:space="0" w:color="000000"/>
              <w:bottom w:val="single" w:sz="6" w:space="0" w:color="000000"/>
              <w:right w:val="single" w:sz="6" w:space="0" w:color="000000"/>
            </w:tcBorders>
            <w:vAlign w:val="center"/>
            <w:hideMark/>
          </w:tcPr>
          <w:p w14:paraId="2AC38C06" w14:textId="77777777" w:rsidR="00AE6DD2" w:rsidRPr="00FE2263" w:rsidRDefault="00AE6DD2" w:rsidP="00AE6DD2">
            <w:pPr>
              <w:pStyle w:val="afd"/>
              <w:spacing w:beforeAutospacing="0" w:afterAutospacing="0" w:line="240" w:lineRule="auto"/>
              <w:ind w:firstLine="0"/>
              <w:rPr>
                <w:rFonts w:eastAsiaTheme="minorEastAsia"/>
              </w:rPr>
            </w:pPr>
            <w:r w:rsidRPr="00FE2263">
              <w:t>Выполнено определение соотношения белковых фракций в крови и в моче методом электрофореза и исследование моноклональности иммуноглобулинов в крови и в моче методом иммунофиксации</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2ADF9B32" w14:textId="77777777" w:rsidR="00AE6DD2" w:rsidRPr="00FE2263" w:rsidRDefault="00AE6DD2" w:rsidP="00AE6DD2">
            <w:pPr>
              <w:pStyle w:val="afd"/>
              <w:spacing w:beforeAutospacing="0" w:afterAutospacing="0" w:line="240" w:lineRule="auto"/>
              <w:ind w:firstLine="0"/>
              <w:jc w:val="center"/>
            </w:pPr>
            <w:r w:rsidRPr="00FE2263">
              <w:t>Да/Нет</w:t>
            </w:r>
          </w:p>
        </w:tc>
      </w:tr>
      <w:tr w:rsidR="00AE6DD2" w:rsidRPr="00FE2263" w14:paraId="78F431A9" w14:textId="77777777" w:rsidTr="00AE6DD2">
        <w:tc>
          <w:tcPr>
            <w:tcW w:w="1083" w:type="dxa"/>
            <w:tcBorders>
              <w:top w:val="single" w:sz="6" w:space="0" w:color="000000"/>
              <w:left w:val="single" w:sz="6" w:space="0" w:color="000000"/>
              <w:bottom w:val="single" w:sz="6" w:space="0" w:color="000000"/>
              <w:right w:val="single" w:sz="6" w:space="0" w:color="000000"/>
            </w:tcBorders>
            <w:vAlign w:val="center"/>
            <w:hideMark/>
          </w:tcPr>
          <w:p w14:paraId="594A3100" w14:textId="77777777" w:rsidR="00AE6DD2" w:rsidRPr="00F061F3" w:rsidRDefault="00AE6DD2" w:rsidP="00AE6DD2">
            <w:pPr>
              <w:spacing w:line="240" w:lineRule="auto"/>
              <w:ind w:firstLine="0"/>
              <w:rPr>
                <w:rFonts w:eastAsia="Times New Roman"/>
              </w:rPr>
            </w:pPr>
            <w:r w:rsidRPr="00FE2263">
              <w:rPr>
                <w:rFonts w:eastAsia="Times New Roman"/>
              </w:rPr>
              <w:t> </w:t>
            </w:r>
            <w:r w:rsidRPr="00F061F3">
              <w:rPr>
                <w:rFonts w:eastAsia="Times New Roman"/>
              </w:rPr>
              <w:t>3</w:t>
            </w:r>
          </w:p>
        </w:tc>
        <w:tc>
          <w:tcPr>
            <w:tcW w:w="5572" w:type="dxa"/>
            <w:tcBorders>
              <w:top w:val="single" w:sz="6" w:space="0" w:color="000000"/>
              <w:left w:val="single" w:sz="6" w:space="0" w:color="000000"/>
              <w:bottom w:val="single" w:sz="6" w:space="0" w:color="000000"/>
              <w:right w:val="single" w:sz="6" w:space="0" w:color="000000"/>
            </w:tcBorders>
            <w:vAlign w:val="center"/>
            <w:hideMark/>
          </w:tcPr>
          <w:p w14:paraId="0E46BD79" w14:textId="77777777" w:rsidR="00AE6DD2" w:rsidRPr="00FE2263" w:rsidRDefault="00AE6DD2" w:rsidP="00AE6DD2">
            <w:pPr>
              <w:pStyle w:val="afd"/>
              <w:spacing w:beforeAutospacing="0" w:afterAutospacing="0" w:line="240" w:lineRule="auto"/>
              <w:ind w:firstLine="0"/>
              <w:rPr>
                <w:rFonts w:eastAsiaTheme="minorEastAsia"/>
              </w:rPr>
            </w:pPr>
            <w:r w:rsidRPr="00FE2263">
              <w:t>Выполнен развернутый клинический анализ крови с определением гемоглобина, эритроцитов, тромбоцитов, лейкоцитов, подсчетом лейкоцитарной формулы и количества ретикулоцитов</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4ADF70B8" w14:textId="77777777" w:rsidR="00AE6DD2" w:rsidRPr="00FE2263" w:rsidRDefault="00AE6DD2" w:rsidP="00AE6DD2">
            <w:pPr>
              <w:pStyle w:val="afd"/>
              <w:spacing w:beforeAutospacing="0" w:afterAutospacing="0" w:line="240" w:lineRule="auto"/>
              <w:ind w:firstLine="0"/>
              <w:jc w:val="center"/>
            </w:pPr>
            <w:r w:rsidRPr="00FE2263">
              <w:t>Да/Нет</w:t>
            </w:r>
          </w:p>
        </w:tc>
      </w:tr>
      <w:tr w:rsidR="00AE6DD2" w:rsidRPr="00FE2263" w14:paraId="090285D3" w14:textId="77777777" w:rsidTr="00AE6DD2">
        <w:tc>
          <w:tcPr>
            <w:tcW w:w="1083" w:type="dxa"/>
            <w:tcBorders>
              <w:top w:val="single" w:sz="6" w:space="0" w:color="000000"/>
              <w:left w:val="single" w:sz="6" w:space="0" w:color="000000"/>
              <w:bottom w:val="single" w:sz="6" w:space="0" w:color="000000"/>
              <w:right w:val="single" w:sz="6" w:space="0" w:color="000000"/>
            </w:tcBorders>
            <w:vAlign w:val="center"/>
            <w:hideMark/>
          </w:tcPr>
          <w:p w14:paraId="4B221309" w14:textId="77777777" w:rsidR="00AE6DD2" w:rsidRPr="00F061F3" w:rsidRDefault="00AE6DD2" w:rsidP="00AE6DD2">
            <w:pPr>
              <w:spacing w:line="240" w:lineRule="auto"/>
              <w:ind w:firstLine="0"/>
              <w:rPr>
                <w:rFonts w:eastAsia="Times New Roman"/>
              </w:rPr>
            </w:pPr>
            <w:r w:rsidRPr="00FE2263">
              <w:rPr>
                <w:rFonts w:eastAsia="Times New Roman"/>
              </w:rPr>
              <w:t> </w:t>
            </w:r>
            <w:r w:rsidRPr="00F061F3">
              <w:rPr>
                <w:rFonts w:eastAsia="Times New Roman"/>
              </w:rPr>
              <w:t>4</w:t>
            </w:r>
          </w:p>
        </w:tc>
        <w:tc>
          <w:tcPr>
            <w:tcW w:w="5572" w:type="dxa"/>
            <w:tcBorders>
              <w:top w:val="single" w:sz="6" w:space="0" w:color="000000"/>
              <w:left w:val="single" w:sz="6" w:space="0" w:color="000000"/>
              <w:bottom w:val="single" w:sz="6" w:space="0" w:color="000000"/>
              <w:right w:val="single" w:sz="6" w:space="0" w:color="000000"/>
            </w:tcBorders>
            <w:vAlign w:val="center"/>
            <w:hideMark/>
          </w:tcPr>
          <w:p w14:paraId="754116CF" w14:textId="77777777" w:rsidR="00AE6DD2" w:rsidRPr="00FE2263" w:rsidRDefault="00AE6DD2" w:rsidP="00AE6DD2">
            <w:pPr>
              <w:pStyle w:val="afd"/>
              <w:spacing w:beforeAutospacing="0" w:afterAutospacing="0" w:line="240" w:lineRule="auto"/>
              <w:ind w:firstLine="0"/>
              <w:rPr>
                <w:rFonts w:eastAsiaTheme="minorEastAsia"/>
              </w:rPr>
            </w:pPr>
            <w:r w:rsidRPr="00FE2263">
              <w:t>Выполнен биохимический анализ крови, включающий обязательное определение ЛДГ, мочевой кислоты, мочевины, креатинина, общего белка, альбумина, билирубина, АСТ, АЛТ, щелочной фосфатазы, кальция, кальция</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5D14FB88" w14:textId="77777777" w:rsidR="00AE6DD2" w:rsidRPr="00FE2263" w:rsidRDefault="00AE6DD2" w:rsidP="00AE6DD2">
            <w:pPr>
              <w:pStyle w:val="afd"/>
              <w:spacing w:beforeAutospacing="0" w:afterAutospacing="0" w:line="240" w:lineRule="auto"/>
              <w:ind w:firstLine="0"/>
              <w:jc w:val="center"/>
            </w:pPr>
            <w:r w:rsidRPr="00FE2263">
              <w:t>Да/Нет</w:t>
            </w:r>
          </w:p>
        </w:tc>
      </w:tr>
      <w:tr w:rsidR="00AE6DD2" w:rsidRPr="00FE2263" w14:paraId="4AA1FCEC" w14:textId="77777777" w:rsidTr="00AE6DD2">
        <w:tc>
          <w:tcPr>
            <w:tcW w:w="1083" w:type="dxa"/>
            <w:tcBorders>
              <w:top w:val="single" w:sz="6" w:space="0" w:color="000000"/>
              <w:left w:val="single" w:sz="6" w:space="0" w:color="000000"/>
              <w:bottom w:val="single" w:sz="6" w:space="0" w:color="000000"/>
              <w:right w:val="single" w:sz="6" w:space="0" w:color="000000"/>
            </w:tcBorders>
            <w:vAlign w:val="center"/>
            <w:hideMark/>
          </w:tcPr>
          <w:p w14:paraId="40D494F8" w14:textId="77777777" w:rsidR="00AE6DD2" w:rsidRPr="00FE2263" w:rsidRDefault="00AE6DD2" w:rsidP="00AE6DD2">
            <w:pPr>
              <w:spacing w:line="240" w:lineRule="auto"/>
              <w:ind w:firstLine="0"/>
              <w:rPr>
                <w:rFonts w:eastAsia="Times New Roman"/>
                <w:lang w:val="en-US"/>
              </w:rPr>
            </w:pPr>
            <w:r w:rsidRPr="00FE2263">
              <w:rPr>
                <w:rFonts w:eastAsia="Times New Roman"/>
              </w:rPr>
              <w:t> </w:t>
            </w:r>
            <w:r w:rsidRPr="00FE2263">
              <w:rPr>
                <w:rFonts w:eastAsia="Times New Roman"/>
                <w:lang w:val="en-US"/>
              </w:rPr>
              <w:t>5</w:t>
            </w:r>
          </w:p>
        </w:tc>
        <w:tc>
          <w:tcPr>
            <w:tcW w:w="5572" w:type="dxa"/>
            <w:tcBorders>
              <w:top w:val="single" w:sz="6" w:space="0" w:color="000000"/>
              <w:left w:val="single" w:sz="6" w:space="0" w:color="000000"/>
              <w:bottom w:val="single" w:sz="6" w:space="0" w:color="000000"/>
              <w:right w:val="single" w:sz="6" w:space="0" w:color="000000"/>
            </w:tcBorders>
            <w:vAlign w:val="center"/>
            <w:hideMark/>
          </w:tcPr>
          <w:p w14:paraId="3663B31B" w14:textId="77777777" w:rsidR="00AE6DD2" w:rsidRPr="00FE2263" w:rsidRDefault="00AE6DD2" w:rsidP="00AE6DD2">
            <w:pPr>
              <w:pStyle w:val="afd"/>
              <w:spacing w:beforeAutospacing="0" w:afterAutospacing="0" w:line="240" w:lineRule="auto"/>
              <w:ind w:firstLine="0"/>
              <w:rPr>
                <w:rFonts w:eastAsiaTheme="minorEastAsia"/>
              </w:rPr>
            </w:pPr>
            <w:r w:rsidRPr="00FE2263">
              <w:t>Выполнена коагулограмма (ориентировочное исследование системы гемостаза) с определением следующих параметров: АЧТВ, протромбиновый индекс по Квику, тромбиновое время, фибриноген</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29DAD173" w14:textId="77777777" w:rsidR="00AE6DD2" w:rsidRPr="00FE2263" w:rsidRDefault="00AE6DD2" w:rsidP="00AE6DD2">
            <w:pPr>
              <w:pStyle w:val="afd"/>
              <w:spacing w:beforeAutospacing="0" w:afterAutospacing="0" w:line="240" w:lineRule="auto"/>
              <w:ind w:firstLine="0"/>
              <w:jc w:val="center"/>
            </w:pPr>
            <w:r w:rsidRPr="00FE2263">
              <w:t>Да/Нет</w:t>
            </w:r>
          </w:p>
        </w:tc>
      </w:tr>
      <w:tr w:rsidR="00AE6DD2" w:rsidRPr="00FE2263" w14:paraId="38A613A6" w14:textId="77777777" w:rsidTr="00AE6DD2">
        <w:tc>
          <w:tcPr>
            <w:tcW w:w="1083" w:type="dxa"/>
            <w:tcBorders>
              <w:top w:val="single" w:sz="6" w:space="0" w:color="000000"/>
              <w:left w:val="single" w:sz="6" w:space="0" w:color="000000"/>
              <w:bottom w:val="single" w:sz="6" w:space="0" w:color="000000"/>
              <w:right w:val="single" w:sz="6" w:space="0" w:color="000000"/>
            </w:tcBorders>
            <w:vAlign w:val="center"/>
            <w:hideMark/>
          </w:tcPr>
          <w:p w14:paraId="4370C2E6" w14:textId="77777777" w:rsidR="00AE6DD2" w:rsidRPr="00FE2263" w:rsidRDefault="00AE6DD2" w:rsidP="00AE6DD2">
            <w:pPr>
              <w:spacing w:line="240" w:lineRule="auto"/>
              <w:ind w:firstLine="0"/>
              <w:rPr>
                <w:rFonts w:eastAsia="Times New Roman"/>
                <w:lang w:val="en-US"/>
              </w:rPr>
            </w:pPr>
            <w:r w:rsidRPr="00FE2263">
              <w:rPr>
                <w:rFonts w:eastAsia="Times New Roman"/>
              </w:rPr>
              <w:t> </w:t>
            </w:r>
            <w:r w:rsidRPr="00FE2263">
              <w:rPr>
                <w:rFonts w:eastAsia="Times New Roman"/>
                <w:lang w:val="en-US"/>
              </w:rPr>
              <w:t>6</w:t>
            </w:r>
          </w:p>
        </w:tc>
        <w:tc>
          <w:tcPr>
            <w:tcW w:w="5572" w:type="dxa"/>
            <w:tcBorders>
              <w:top w:val="single" w:sz="6" w:space="0" w:color="000000"/>
              <w:left w:val="single" w:sz="6" w:space="0" w:color="000000"/>
              <w:bottom w:val="single" w:sz="6" w:space="0" w:color="000000"/>
              <w:right w:val="single" w:sz="6" w:space="0" w:color="000000"/>
            </w:tcBorders>
            <w:vAlign w:val="center"/>
            <w:hideMark/>
          </w:tcPr>
          <w:p w14:paraId="57F1D13D" w14:textId="77777777" w:rsidR="00AE6DD2" w:rsidRPr="00FE2263" w:rsidRDefault="00AE6DD2" w:rsidP="00AE6DD2">
            <w:pPr>
              <w:pStyle w:val="afd"/>
              <w:spacing w:beforeAutospacing="0" w:afterAutospacing="0" w:line="240" w:lineRule="auto"/>
              <w:ind w:firstLine="0"/>
              <w:rPr>
                <w:rFonts w:eastAsiaTheme="minorEastAsia"/>
              </w:rPr>
            </w:pPr>
            <w:r w:rsidRPr="00FE2263">
              <w:t>Выполнена рентгенологическое исследование костей скелета (рентгенография или КТ)</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72F4E946" w14:textId="77777777" w:rsidR="00AE6DD2" w:rsidRPr="00FE2263" w:rsidRDefault="00AE6DD2" w:rsidP="00AE6DD2">
            <w:pPr>
              <w:pStyle w:val="afd"/>
              <w:spacing w:beforeAutospacing="0" w:afterAutospacing="0" w:line="240" w:lineRule="auto"/>
              <w:ind w:firstLine="0"/>
              <w:jc w:val="center"/>
            </w:pPr>
            <w:r w:rsidRPr="00FE2263">
              <w:t>Да/Нет</w:t>
            </w:r>
          </w:p>
        </w:tc>
      </w:tr>
      <w:tr w:rsidR="00AE6DD2" w:rsidRPr="00FE2263" w14:paraId="62C9D15C" w14:textId="77777777" w:rsidTr="00AE6DD2">
        <w:tc>
          <w:tcPr>
            <w:tcW w:w="1083" w:type="dxa"/>
            <w:tcBorders>
              <w:top w:val="single" w:sz="6" w:space="0" w:color="000000"/>
              <w:left w:val="single" w:sz="6" w:space="0" w:color="000000"/>
              <w:bottom w:val="single" w:sz="6" w:space="0" w:color="000000"/>
              <w:right w:val="single" w:sz="6" w:space="0" w:color="000000"/>
            </w:tcBorders>
            <w:vAlign w:val="center"/>
            <w:hideMark/>
          </w:tcPr>
          <w:p w14:paraId="564C8C76" w14:textId="77777777" w:rsidR="00AE6DD2" w:rsidRPr="00FE2263" w:rsidRDefault="00AE6DD2" w:rsidP="00AE6DD2">
            <w:pPr>
              <w:spacing w:line="240" w:lineRule="auto"/>
              <w:ind w:firstLine="0"/>
              <w:rPr>
                <w:rFonts w:eastAsia="Times New Roman"/>
                <w:lang w:val="en-US"/>
              </w:rPr>
            </w:pPr>
            <w:r w:rsidRPr="00FE2263">
              <w:rPr>
                <w:rFonts w:eastAsia="Times New Roman"/>
              </w:rPr>
              <w:t> </w:t>
            </w:r>
            <w:r w:rsidRPr="00FE2263">
              <w:rPr>
                <w:rFonts w:eastAsia="Times New Roman"/>
                <w:lang w:val="en-US"/>
              </w:rPr>
              <w:t>7</w:t>
            </w:r>
          </w:p>
        </w:tc>
        <w:tc>
          <w:tcPr>
            <w:tcW w:w="5572" w:type="dxa"/>
            <w:tcBorders>
              <w:top w:val="single" w:sz="6" w:space="0" w:color="000000"/>
              <w:left w:val="single" w:sz="6" w:space="0" w:color="000000"/>
              <w:bottom w:val="single" w:sz="6" w:space="0" w:color="000000"/>
              <w:right w:val="single" w:sz="6" w:space="0" w:color="000000"/>
            </w:tcBorders>
            <w:vAlign w:val="center"/>
            <w:hideMark/>
          </w:tcPr>
          <w:p w14:paraId="51B57DCE" w14:textId="77777777" w:rsidR="00AE6DD2" w:rsidRPr="00FE2263" w:rsidRDefault="00AE6DD2" w:rsidP="00AE6DD2">
            <w:pPr>
              <w:pStyle w:val="afd"/>
              <w:spacing w:beforeAutospacing="0" w:afterAutospacing="0" w:line="240" w:lineRule="auto"/>
              <w:ind w:firstLine="0"/>
              <w:rPr>
                <w:rFonts w:eastAsiaTheme="minorEastAsia"/>
              </w:rPr>
            </w:pPr>
            <w:r w:rsidRPr="00FE2263">
              <w:t>Выполнено КТ брюшной полости и забрюшинного пространства</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3AA83A1A" w14:textId="77777777" w:rsidR="00AE6DD2" w:rsidRPr="00FE2263" w:rsidRDefault="00AE6DD2" w:rsidP="00AE6DD2">
            <w:pPr>
              <w:pStyle w:val="afd"/>
              <w:spacing w:beforeAutospacing="0" w:afterAutospacing="0" w:line="240" w:lineRule="auto"/>
              <w:ind w:firstLine="0"/>
              <w:jc w:val="center"/>
            </w:pPr>
            <w:r w:rsidRPr="00FE2263">
              <w:t>Да/Нет</w:t>
            </w:r>
          </w:p>
        </w:tc>
      </w:tr>
      <w:tr w:rsidR="00AE6DD2" w:rsidRPr="00FE2263" w14:paraId="26932168" w14:textId="77777777" w:rsidTr="00AE6DD2">
        <w:tc>
          <w:tcPr>
            <w:tcW w:w="1083" w:type="dxa"/>
            <w:tcBorders>
              <w:top w:val="single" w:sz="6" w:space="0" w:color="000000"/>
              <w:left w:val="single" w:sz="6" w:space="0" w:color="000000"/>
              <w:bottom w:val="single" w:sz="6" w:space="0" w:color="000000"/>
              <w:right w:val="single" w:sz="6" w:space="0" w:color="000000"/>
            </w:tcBorders>
            <w:vAlign w:val="center"/>
            <w:hideMark/>
          </w:tcPr>
          <w:p w14:paraId="73718F0F" w14:textId="77777777" w:rsidR="00AE6DD2" w:rsidRPr="00FE2263" w:rsidRDefault="00AE6DD2" w:rsidP="00AE6DD2">
            <w:pPr>
              <w:spacing w:line="240" w:lineRule="auto"/>
              <w:ind w:firstLine="0"/>
              <w:rPr>
                <w:rFonts w:eastAsia="Times New Roman"/>
                <w:lang w:val="en-US"/>
              </w:rPr>
            </w:pPr>
            <w:r w:rsidRPr="00FE2263">
              <w:rPr>
                <w:rFonts w:eastAsia="Times New Roman"/>
              </w:rPr>
              <w:t> </w:t>
            </w:r>
            <w:r w:rsidRPr="00FE2263">
              <w:rPr>
                <w:rFonts w:eastAsia="Times New Roman"/>
                <w:lang w:val="en-US"/>
              </w:rPr>
              <w:t>8</w:t>
            </w:r>
          </w:p>
        </w:tc>
        <w:tc>
          <w:tcPr>
            <w:tcW w:w="5572" w:type="dxa"/>
            <w:tcBorders>
              <w:top w:val="single" w:sz="6" w:space="0" w:color="000000"/>
              <w:left w:val="single" w:sz="6" w:space="0" w:color="000000"/>
              <w:bottom w:val="single" w:sz="6" w:space="0" w:color="000000"/>
              <w:right w:val="single" w:sz="6" w:space="0" w:color="000000"/>
            </w:tcBorders>
            <w:vAlign w:val="center"/>
            <w:hideMark/>
          </w:tcPr>
          <w:p w14:paraId="668A2E14" w14:textId="77777777" w:rsidR="00AE6DD2" w:rsidRPr="00FE2263" w:rsidRDefault="00AE6DD2" w:rsidP="00AE6DD2">
            <w:pPr>
              <w:pStyle w:val="afd"/>
              <w:spacing w:beforeAutospacing="0" w:afterAutospacing="0" w:line="240" w:lineRule="auto"/>
              <w:ind w:firstLine="0"/>
              <w:rPr>
                <w:rFonts w:eastAsiaTheme="minorEastAsia"/>
              </w:rPr>
            </w:pPr>
            <w:r w:rsidRPr="00FE2263">
              <w:t>Выполнена рентгенография органов грудной клетки в двух проекциях</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5E16AA61" w14:textId="77777777" w:rsidR="00AE6DD2" w:rsidRPr="00FE2263" w:rsidRDefault="00AE6DD2" w:rsidP="00AE6DD2">
            <w:pPr>
              <w:pStyle w:val="afd"/>
              <w:spacing w:beforeAutospacing="0" w:afterAutospacing="0" w:line="240" w:lineRule="auto"/>
              <w:ind w:firstLine="0"/>
              <w:jc w:val="center"/>
            </w:pPr>
            <w:r w:rsidRPr="00FE2263">
              <w:t>Да/Нет</w:t>
            </w:r>
          </w:p>
        </w:tc>
      </w:tr>
      <w:tr w:rsidR="00AE6DD2" w:rsidRPr="00FE2263" w14:paraId="1A1766F3" w14:textId="77777777" w:rsidTr="00AE6DD2">
        <w:tc>
          <w:tcPr>
            <w:tcW w:w="1083" w:type="dxa"/>
            <w:tcBorders>
              <w:top w:val="single" w:sz="6" w:space="0" w:color="000000"/>
              <w:left w:val="single" w:sz="6" w:space="0" w:color="000000"/>
              <w:bottom w:val="single" w:sz="6" w:space="0" w:color="000000"/>
              <w:right w:val="single" w:sz="6" w:space="0" w:color="000000"/>
            </w:tcBorders>
            <w:vAlign w:val="center"/>
            <w:hideMark/>
          </w:tcPr>
          <w:p w14:paraId="75756846" w14:textId="77777777" w:rsidR="00AE6DD2" w:rsidRPr="00FE2263" w:rsidRDefault="00AE6DD2" w:rsidP="00AE6DD2">
            <w:pPr>
              <w:spacing w:line="240" w:lineRule="auto"/>
              <w:ind w:firstLine="0"/>
              <w:rPr>
                <w:rFonts w:eastAsia="Times New Roman"/>
                <w:lang w:val="en-US"/>
              </w:rPr>
            </w:pPr>
            <w:r w:rsidRPr="00FE2263">
              <w:rPr>
                <w:rFonts w:eastAsia="Times New Roman"/>
              </w:rPr>
              <w:t> </w:t>
            </w:r>
            <w:r w:rsidRPr="00FE2263">
              <w:rPr>
                <w:rFonts w:eastAsia="Times New Roman"/>
                <w:lang w:val="en-US"/>
              </w:rPr>
              <w:t>9</w:t>
            </w:r>
          </w:p>
        </w:tc>
        <w:tc>
          <w:tcPr>
            <w:tcW w:w="5572" w:type="dxa"/>
            <w:tcBorders>
              <w:top w:val="single" w:sz="6" w:space="0" w:color="000000"/>
              <w:left w:val="single" w:sz="6" w:space="0" w:color="000000"/>
              <w:bottom w:val="single" w:sz="6" w:space="0" w:color="000000"/>
              <w:right w:val="single" w:sz="6" w:space="0" w:color="000000"/>
            </w:tcBorders>
            <w:vAlign w:val="center"/>
            <w:hideMark/>
          </w:tcPr>
          <w:p w14:paraId="342E28EF" w14:textId="77777777" w:rsidR="00AE6DD2" w:rsidRPr="00FE2263" w:rsidRDefault="00AE6DD2" w:rsidP="00AE6DD2">
            <w:pPr>
              <w:pStyle w:val="afd"/>
              <w:spacing w:beforeAutospacing="0" w:afterAutospacing="0" w:line="240" w:lineRule="auto"/>
              <w:ind w:firstLine="0"/>
              <w:rPr>
                <w:rFonts w:eastAsiaTheme="minorEastAsia"/>
              </w:rPr>
            </w:pPr>
            <w:r w:rsidRPr="00FE2263">
              <w:t>Выполнено ультразвуковое исследование органов брюшной полости</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69E53B0E" w14:textId="77777777" w:rsidR="00AE6DD2" w:rsidRPr="00FE2263" w:rsidRDefault="00AE6DD2" w:rsidP="00AE6DD2">
            <w:pPr>
              <w:pStyle w:val="afd"/>
              <w:spacing w:beforeAutospacing="0" w:afterAutospacing="0" w:line="240" w:lineRule="auto"/>
              <w:ind w:firstLine="0"/>
              <w:jc w:val="center"/>
            </w:pPr>
            <w:r w:rsidRPr="00FE2263">
              <w:t>Да/Нет</w:t>
            </w:r>
          </w:p>
        </w:tc>
      </w:tr>
      <w:tr w:rsidR="00AE6DD2" w:rsidRPr="00FE2263" w14:paraId="7E09F9E8" w14:textId="77777777" w:rsidTr="00AE6DD2">
        <w:tc>
          <w:tcPr>
            <w:tcW w:w="1083" w:type="dxa"/>
            <w:tcBorders>
              <w:top w:val="single" w:sz="6" w:space="0" w:color="000000"/>
              <w:left w:val="single" w:sz="6" w:space="0" w:color="000000"/>
              <w:bottom w:val="single" w:sz="6" w:space="0" w:color="000000"/>
              <w:right w:val="single" w:sz="6" w:space="0" w:color="000000"/>
            </w:tcBorders>
            <w:vAlign w:val="center"/>
            <w:hideMark/>
          </w:tcPr>
          <w:p w14:paraId="0ED52A1C" w14:textId="77777777" w:rsidR="00AE6DD2" w:rsidRPr="00FE2263" w:rsidRDefault="00AE6DD2" w:rsidP="00AE6DD2">
            <w:pPr>
              <w:spacing w:line="240" w:lineRule="auto"/>
              <w:ind w:firstLine="0"/>
              <w:rPr>
                <w:rFonts w:eastAsia="Times New Roman"/>
                <w:lang w:val="en-US"/>
              </w:rPr>
            </w:pPr>
            <w:r w:rsidRPr="00FE2263">
              <w:rPr>
                <w:rFonts w:eastAsia="Times New Roman"/>
              </w:rPr>
              <w:t> </w:t>
            </w:r>
            <w:r w:rsidRPr="00FE2263">
              <w:rPr>
                <w:rFonts w:eastAsia="Times New Roman"/>
                <w:lang w:val="en-US"/>
              </w:rPr>
              <w:t>10</w:t>
            </w:r>
          </w:p>
        </w:tc>
        <w:tc>
          <w:tcPr>
            <w:tcW w:w="5572" w:type="dxa"/>
            <w:tcBorders>
              <w:top w:val="single" w:sz="6" w:space="0" w:color="000000"/>
              <w:left w:val="single" w:sz="6" w:space="0" w:color="000000"/>
              <w:bottom w:val="single" w:sz="6" w:space="0" w:color="000000"/>
              <w:right w:val="single" w:sz="6" w:space="0" w:color="000000"/>
            </w:tcBorders>
            <w:vAlign w:val="center"/>
            <w:hideMark/>
          </w:tcPr>
          <w:p w14:paraId="22BD1FA2" w14:textId="77777777" w:rsidR="00AE6DD2" w:rsidRPr="00FE2263" w:rsidRDefault="00AE6DD2" w:rsidP="00AE6DD2">
            <w:pPr>
              <w:pStyle w:val="afd"/>
              <w:spacing w:beforeAutospacing="0" w:afterAutospacing="0" w:line="240" w:lineRule="auto"/>
              <w:ind w:firstLine="0"/>
              <w:rPr>
                <w:rFonts w:eastAsiaTheme="minorEastAsia"/>
              </w:rPr>
            </w:pPr>
            <w:r w:rsidRPr="00FE2263">
              <w:t>Выполнено ультразвуковое исследование всех групп периферических, внутрибрюшных и забрюшинных лимфоузлов</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4C734AD0" w14:textId="77777777" w:rsidR="00AE6DD2" w:rsidRPr="00FE2263" w:rsidRDefault="00AE6DD2" w:rsidP="00AE6DD2">
            <w:pPr>
              <w:pStyle w:val="afd"/>
              <w:spacing w:beforeAutospacing="0" w:afterAutospacing="0" w:line="240" w:lineRule="auto"/>
              <w:ind w:firstLine="0"/>
              <w:jc w:val="center"/>
            </w:pPr>
            <w:r w:rsidRPr="00FE2263">
              <w:t>Да/Нет</w:t>
            </w:r>
          </w:p>
        </w:tc>
      </w:tr>
      <w:tr w:rsidR="00AE6DD2" w:rsidRPr="00FE2263" w14:paraId="1E5AE0D3" w14:textId="77777777" w:rsidTr="00AE6DD2">
        <w:tc>
          <w:tcPr>
            <w:tcW w:w="1083" w:type="dxa"/>
            <w:tcBorders>
              <w:top w:val="single" w:sz="6" w:space="0" w:color="000000"/>
              <w:left w:val="single" w:sz="6" w:space="0" w:color="000000"/>
              <w:bottom w:val="single" w:sz="6" w:space="0" w:color="000000"/>
              <w:right w:val="single" w:sz="6" w:space="0" w:color="000000"/>
            </w:tcBorders>
            <w:vAlign w:val="center"/>
            <w:hideMark/>
          </w:tcPr>
          <w:p w14:paraId="5FC52C25" w14:textId="77777777" w:rsidR="00AE6DD2" w:rsidRPr="00FE2263" w:rsidRDefault="00AE6DD2" w:rsidP="00AE6DD2">
            <w:pPr>
              <w:spacing w:line="240" w:lineRule="auto"/>
              <w:ind w:firstLine="0"/>
              <w:rPr>
                <w:rFonts w:eastAsia="Times New Roman"/>
                <w:lang w:val="en-US"/>
              </w:rPr>
            </w:pPr>
            <w:r w:rsidRPr="00FE2263">
              <w:rPr>
                <w:rFonts w:eastAsia="Times New Roman"/>
              </w:rPr>
              <w:t> </w:t>
            </w:r>
            <w:r w:rsidRPr="00FE2263">
              <w:rPr>
                <w:rFonts w:eastAsia="Times New Roman"/>
                <w:lang w:val="en-US"/>
              </w:rPr>
              <w:t>11</w:t>
            </w:r>
          </w:p>
        </w:tc>
        <w:tc>
          <w:tcPr>
            <w:tcW w:w="5572" w:type="dxa"/>
            <w:tcBorders>
              <w:top w:val="single" w:sz="6" w:space="0" w:color="000000"/>
              <w:left w:val="single" w:sz="6" w:space="0" w:color="000000"/>
              <w:bottom w:val="single" w:sz="6" w:space="0" w:color="000000"/>
              <w:right w:val="single" w:sz="6" w:space="0" w:color="000000"/>
            </w:tcBorders>
            <w:vAlign w:val="center"/>
            <w:hideMark/>
          </w:tcPr>
          <w:p w14:paraId="2A3B72D1" w14:textId="77777777" w:rsidR="00AE6DD2" w:rsidRPr="00FE2263" w:rsidRDefault="00AE6DD2" w:rsidP="00AE6DD2">
            <w:pPr>
              <w:pStyle w:val="afd"/>
              <w:spacing w:beforeAutospacing="0" w:afterAutospacing="0" w:line="240" w:lineRule="auto"/>
              <w:ind w:firstLine="0"/>
              <w:rPr>
                <w:rFonts w:eastAsiaTheme="minorEastAsia"/>
              </w:rPr>
            </w:pPr>
            <w:r w:rsidRPr="00FE2263">
              <w:t>Выполнено получение цитологического препарата костного мозга путем пункции</w:t>
            </w:r>
            <w:r w:rsidRPr="00FE2263">
              <w:rPr>
                <w:color w:val="000000" w:themeColor="text1"/>
              </w:rPr>
              <w:t>, цитологическое исследование мазка костного мозга (миелограмма)</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45B07A91" w14:textId="77777777" w:rsidR="00AE6DD2" w:rsidRPr="00FE2263" w:rsidRDefault="00AE6DD2" w:rsidP="00AE6DD2">
            <w:pPr>
              <w:pStyle w:val="afd"/>
              <w:spacing w:beforeAutospacing="0" w:afterAutospacing="0" w:line="240" w:lineRule="auto"/>
              <w:ind w:firstLine="0"/>
              <w:jc w:val="center"/>
            </w:pPr>
            <w:r w:rsidRPr="00FE2263">
              <w:t>Да/Нет</w:t>
            </w:r>
          </w:p>
        </w:tc>
      </w:tr>
      <w:tr w:rsidR="00AE6DD2" w:rsidRPr="00FE2263" w14:paraId="7609AC6B" w14:textId="77777777" w:rsidTr="00AE6DD2">
        <w:tc>
          <w:tcPr>
            <w:tcW w:w="1083" w:type="dxa"/>
            <w:tcBorders>
              <w:top w:val="single" w:sz="6" w:space="0" w:color="000000"/>
              <w:left w:val="single" w:sz="6" w:space="0" w:color="000000"/>
              <w:bottom w:val="single" w:sz="6" w:space="0" w:color="000000"/>
              <w:right w:val="single" w:sz="6" w:space="0" w:color="000000"/>
            </w:tcBorders>
            <w:vAlign w:val="center"/>
            <w:hideMark/>
          </w:tcPr>
          <w:p w14:paraId="1F6FB175" w14:textId="77777777" w:rsidR="00AE6DD2" w:rsidRPr="00FE2263" w:rsidRDefault="00AE6DD2" w:rsidP="00AE6DD2">
            <w:pPr>
              <w:spacing w:line="240" w:lineRule="auto"/>
              <w:ind w:firstLine="0"/>
              <w:rPr>
                <w:rFonts w:eastAsia="Times New Roman"/>
                <w:lang w:val="en-US"/>
              </w:rPr>
            </w:pPr>
            <w:r w:rsidRPr="00FE2263">
              <w:rPr>
                <w:rFonts w:eastAsia="Times New Roman"/>
              </w:rPr>
              <w:t> </w:t>
            </w:r>
            <w:r w:rsidRPr="00FE2263">
              <w:rPr>
                <w:rFonts w:eastAsia="Times New Roman"/>
                <w:lang w:val="en-US"/>
              </w:rPr>
              <w:t>12</w:t>
            </w:r>
          </w:p>
        </w:tc>
        <w:tc>
          <w:tcPr>
            <w:tcW w:w="5572" w:type="dxa"/>
            <w:tcBorders>
              <w:top w:val="single" w:sz="6" w:space="0" w:color="000000"/>
              <w:left w:val="single" w:sz="6" w:space="0" w:color="000000"/>
              <w:bottom w:val="single" w:sz="6" w:space="0" w:color="000000"/>
              <w:right w:val="single" w:sz="6" w:space="0" w:color="000000"/>
            </w:tcBorders>
            <w:vAlign w:val="center"/>
            <w:hideMark/>
          </w:tcPr>
          <w:p w14:paraId="1AF78ED4" w14:textId="77777777" w:rsidR="00AE6DD2" w:rsidRPr="00FE2263" w:rsidRDefault="00AE6DD2" w:rsidP="00AE6DD2">
            <w:pPr>
              <w:pStyle w:val="afd"/>
              <w:spacing w:beforeAutospacing="0" w:afterAutospacing="0" w:line="240" w:lineRule="auto"/>
              <w:ind w:firstLine="0"/>
              <w:rPr>
                <w:rFonts w:eastAsiaTheme="minorEastAsia"/>
              </w:rPr>
            </w:pPr>
            <w:r w:rsidRPr="00FE2263">
              <w:t xml:space="preserve">Выполнено </w:t>
            </w:r>
            <w:r w:rsidRPr="00FE2263">
              <w:rPr>
                <w:color w:val="000000" w:themeColor="text1"/>
              </w:rPr>
              <w:t xml:space="preserve">получение гистологического препарата костного мозга (трепанобиопсия), патолого-анатомическое исследование биопсийного (операционного) материала костного мозга с применением иммуногистохимических методов </w:t>
            </w:r>
            <w:r w:rsidRPr="00FE2263">
              <w:t>и/или иммунофенотипирование клеток-предшественниц в костном мозге (ИФТ) клеток аспирата костного мозга</w:t>
            </w:r>
          </w:p>
        </w:tc>
        <w:tc>
          <w:tcPr>
            <w:tcW w:w="2693" w:type="dxa"/>
            <w:tcBorders>
              <w:top w:val="single" w:sz="6" w:space="0" w:color="000000"/>
              <w:left w:val="single" w:sz="6" w:space="0" w:color="000000"/>
              <w:bottom w:val="single" w:sz="6" w:space="0" w:color="000000"/>
              <w:right w:val="single" w:sz="6" w:space="0" w:color="000000"/>
            </w:tcBorders>
            <w:vAlign w:val="center"/>
            <w:hideMark/>
          </w:tcPr>
          <w:p w14:paraId="262F0CC5" w14:textId="77777777" w:rsidR="00AE6DD2" w:rsidRPr="00FE2263" w:rsidRDefault="00AE6DD2" w:rsidP="00AE6DD2">
            <w:pPr>
              <w:pStyle w:val="afd"/>
              <w:spacing w:beforeAutospacing="0" w:afterAutospacing="0" w:line="240" w:lineRule="auto"/>
              <w:ind w:firstLine="0"/>
              <w:jc w:val="center"/>
            </w:pPr>
            <w:r w:rsidRPr="00FE2263">
              <w:t>Да/Нет</w:t>
            </w:r>
          </w:p>
        </w:tc>
      </w:tr>
    </w:tbl>
    <w:p w14:paraId="241C142A" w14:textId="5EFAC61B" w:rsidR="00AF3168" w:rsidRPr="00FE2263" w:rsidRDefault="00AF3168" w:rsidP="00004D38">
      <w:pPr>
        <w:pStyle w:val="afd"/>
      </w:pPr>
    </w:p>
    <w:p w14:paraId="643E4F3F" w14:textId="34EB5819" w:rsidR="000414F6" w:rsidRPr="00FE2263" w:rsidRDefault="00CB71DA" w:rsidP="00FA741B">
      <w:pPr>
        <w:pStyle w:val="afff2"/>
      </w:pPr>
      <w:bookmarkStart w:id="95" w:name="_Toc11747751"/>
      <w:bookmarkStart w:id="96" w:name="_Toc66184336"/>
      <w:r w:rsidRPr="00FE2263">
        <w:t>Список литературы</w:t>
      </w:r>
      <w:bookmarkEnd w:id="94"/>
      <w:bookmarkEnd w:id="95"/>
      <w:bookmarkEnd w:id="96"/>
    </w:p>
    <w:p w14:paraId="4692AABC" w14:textId="6A1BC2C6" w:rsidR="004F29A0" w:rsidRPr="004F29A0" w:rsidRDefault="00004D38" w:rsidP="004F29A0">
      <w:pPr>
        <w:widowControl w:val="0"/>
        <w:autoSpaceDE w:val="0"/>
        <w:autoSpaceDN w:val="0"/>
        <w:adjustRightInd w:val="0"/>
        <w:ind w:left="640" w:hanging="640"/>
        <w:rPr>
          <w:rFonts w:cs="Times New Roman"/>
          <w:noProof/>
        </w:rPr>
      </w:pPr>
      <w:r w:rsidRPr="00FE2263">
        <w:fldChar w:fldCharType="begin" w:fldLock="1"/>
      </w:r>
      <w:r w:rsidRPr="00FE2263">
        <w:rPr>
          <w:lang w:val="en-US"/>
        </w:rPr>
        <w:instrText xml:space="preserve">ADDIN Mendeley Bibliography CSL_BIBLIOGRAPHY </w:instrText>
      </w:r>
      <w:r w:rsidRPr="00FE2263">
        <w:fldChar w:fldCharType="separate"/>
      </w:r>
      <w:r w:rsidR="004F29A0" w:rsidRPr="004F29A0">
        <w:rPr>
          <w:rFonts w:cs="Times New Roman"/>
          <w:noProof/>
        </w:rPr>
        <w:t>1.</w:t>
      </w:r>
      <w:r w:rsidR="004F29A0" w:rsidRPr="004F29A0">
        <w:rPr>
          <w:rFonts w:cs="Times New Roman"/>
          <w:noProof/>
        </w:rPr>
        <w:tab/>
        <w:t>Owen R.G. et al. Clinicopathological definition of Waldenstrom’s macroglobulinemia: Consensus panel recommendations from the Second International Workshop on Waldenstrom’s Macroglobulinemia // Seminars in Oncology. W.B. Saunders, 2003. Vol. 30, № 2. P. 110–115.</w:t>
      </w:r>
    </w:p>
    <w:p w14:paraId="03ACB8C8"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2.</w:t>
      </w:r>
      <w:r w:rsidRPr="004F29A0">
        <w:rPr>
          <w:rFonts w:cs="Times New Roman"/>
          <w:noProof/>
        </w:rPr>
        <w:tab/>
        <w:t>Kumar S.K. et al. Waldenström Macroglobulinemia/ Lymphoplasmacytic Lymphoma. NCCN Clinical Practice Guidelines in Oncology (NCCN Guidelines®). 2020.</w:t>
      </w:r>
    </w:p>
    <w:p w14:paraId="143972E7"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3.</w:t>
      </w:r>
      <w:r w:rsidRPr="004F29A0">
        <w:rPr>
          <w:rFonts w:cs="Times New Roman"/>
          <w:noProof/>
        </w:rPr>
        <w:tab/>
        <w:t>Балакирева Т.В., Андреева Н.Е. Макроглобулинемия Вальденстрема // Клиническая онкогематология. Фундаментальные исследования и клиническая практика. 2009. Vol. 2, № 2. P. 121–136.</w:t>
      </w:r>
    </w:p>
    <w:p w14:paraId="7AF9BBC4"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4.</w:t>
      </w:r>
      <w:r w:rsidRPr="004F29A0">
        <w:rPr>
          <w:rFonts w:cs="Times New Roman"/>
          <w:noProof/>
        </w:rPr>
        <w:tab/>
        <w:t>Varettoni M. et al. Prevalence and clinical significance of the MYD88 (L265P) somatic mutation in Waldenström’s macroglobulinemia and related lymphoid neoplasms // Blood. American Society of Hematology, 2013. Vol. 121, № 13. P. 2522–2528.</w:t>
      </w:r>
    </w:p>
    <w:p w14:paraId="59A542B7"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5.</w:t>
      </w:r>
      <w:r w:rsidRPr="004F29A0">
        <w:rPr>
          <w:rFonts w:cs="Times New Roman"/>
          <w:noProof/>
        </w:rPr>
        <w:tab/>
        <w:t>Treon S.P. et al. MYD88 L265P somatic mutation in Waldenström’s macroglobulinemia // N. Engl. J. Med. Massachussetts Medical Society, 2012. Vol. 367, № 9. P. 826–833.</w:t>
      </w:r>
    </w:p>
    <w:p w14:paraId="33FD51B4"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6.</w:t>
      </w:r>
      <w:r w:rsidRPr="004F29A0">
        <w:rPr>
          <w:rFonts w:cs="Times New Roman"/>
          <w:noProof/>
        </w:rPr>
        <w:tab/>
        <w:t>Morel P. et al. International prognostic scoring system for Waldenström macroglobulinemia // Blood. 2009. Vol. 113, № 18. P. 4163–4170.</w:t>
      </w:r>
    </w:p>
    <w:p w14:paraId="18343D76"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7.</w:t>
      </w:r>
      <w:r w:rsidRPr="004F29A0">
        <w:rPr>
          <w:rFonts w:cs="Times New Roman"/>
          <w:noProof/>
        </w:rPr>
        <w:tab/>
        <w:t>Kastritis E. et al. Waldenström’s macroglobulinaemia: ESMO Clinical Practice Guidelines for diagnosis, treatment and follow-up // Ann. Oncol. 2018. Vol. 29, № Supp. 4. P. iv41–iv50.</w:t>
      </w:r>
    </w:p>
    <w:p w14:paraId="27268DE4"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8.</w:t>
      </w:r>
      <w:r w:rsidRPr="004F29A0">
        <w:rPr>
          <w:rFonts w:cs="Times New Roman"/>
          <w:noProof/>
        </w:rPr>
        <w:tab/>
        <w:t>Kastritis E. et al. Prognostication in young and old patients with Waldenström’s macroglobulinemia: Importance of the international prognostic scoring system and of serum lactate dehydrogenase // Clin. Lymphoma Myeloma. Cancer Information Group, LP, 2009. Vol. 9, № 1. P. 50–52.</w:t>
      </w:r>
    </w:p>
    <w:p w14:paraId="0D1E3C3F"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9.</w:t>
      </w:r>
      <w:r w:rsidRPr="004F29A0">
        <w:rPr>
          <w:rFonts w:cs="Times New Roman"/>
          <w:noProof/>
        </w:rPr>
        <w:tab/>
        <w:t>Демина Е.А. et al. Общие принципы диагностики лимфом // Российские клинические рекомендации по диагностике и лечению злокачественных лимфопролиферативных заболеваний; под ред. И.В. Поддубной, В.Г. Савченко. 2018. P. 9–27.</w:t>
      </w:r>
    </w:p>
    <w:p w14:paraId="5BF9FD40"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10.</w:t>
      </w:r>
      <w:r w:rsidRPr="004F29A0">
        <w:rPr>
          <w:rFonts w:cs="Times New Roman"/>
          <w:noProof/>
        </w:rPr>
        <w:tab/>
        <w:t>Auwerda J.J.A. et al. Prothrombotic coagulation abnormalities in patients with paraprotein-producing B-cell disorders. // Clin. Lymphoma Myeloma. 2007. Vol. 7, № 7. P. 462–466.</w:t>
      </w:r>
    </w:p>
    <w:p w14:paraId="20755B37"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11.</w:t>
      </w:r>
      <w:r w:rsidRPr="004F29A0">
        <w:rPr>
          <w:rFonts w:cs="Times New Roman"/>
          <w:noProof/>
        </w:rPr>
        <w:tab/>
        <w:t>Rothschild B.M., Ruhli F., Rothschild C. Skeletal clues apparently distinguishing Waldenstrom’s macroglobulinemia from multiple myeloma and leukemia // Am. J. Hum. Biol. Wiley-Blackwell, 2002. Vol. 14, № 4. P. 532–537.</w:t>
      </w:r>
    </w:p>
    <w:p w14:paraId="51391416"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12.</w:t>
      </w:r>
      <w:r w:rsidRPr="004F29A0">
        <w:rPr>
          <w:rFonts w:cs="Times New Roman"/>
          <w:noProof/>
        </w:rPr>
        <w:tab/>
        <w:t>Rausch P.G., Herion J.C. Pulmonary manifestations of waldenstrom macroglobulinemia // Am. J. Hematol. John Wiley &amp; Sons, Ltd, 1980. Vol. 9, № 2. P. 201–209.</w:t>
      </w:r>
    </w:p>
    <w:p w14:paraId="15C4784C"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13.</w:t>
      </w:r>
      <w:r w:rsidRPr="004F29A0">
        <w:rPr>
          <w:rFonts w:cs="Times New Roman"/>
          <w:noProof/>
        </w:rPr>
        <w:tab/>
        <w:t>Kyle R.A. et al. Prognostic markers and criteria to initiate therapy in Waldenstrom’s macroglobulinemia: Consensus panel recommendations from the Second International Workshop on Waldenstrom’s Macroglobulinemia // Seminars in Oncology. W.B. Saunders, 2003. Vol. 30, № 2. P. 116–120.</w:t>
      </w:r>
    </w:p>
    <w:p w14:paraId="2D47A918"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14.</w:t>
      </w:r>
      <w:r w:rsidRPr="004F29A0">
        <w:rPr>
          <w:rFonts w:cs="Times New Roman"/>
          <w:noProof/>
        </w:rPr>
        <w:tab/>
        <w:t>Owen R.G. et al. Waldenström macroglobulinemia: Development of diagnostic criteria and identification of prognostic factors // Am. J. Clin. Pathol. 2001. Vol. 116, № 3. P. 420–428.</w:t>
      </w:r>
    </w:p>
    <w:p w14:paraId="312EBB0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15.</w:t>
      </w:r>
      <w:r w:rsidRPr="004F29A0">
        <w:rPr>
          <w:rFonts w:cs="Times New Roman"/>
          <w:noProof/>
        </w:rPr>
        <w:tab/>
        <w:t>Palladini G. et al. Serum N-terminal pro-brain natriuretic peptide is a sensitive marker of myocardial dysfunction in AL amyloidosis // Circulation. Lippincott Williams and Wilkins, 2003. Vol. 107, № 19. P. 2440–2445.</w:t>
      </w:r>
    </w:p>
    <w:p w14:paraId="68C92BE4"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16.</w:t>
      </w:r>
      <w:r w:rsidRPr="004F29A0">
        <w:rPr>
          <w:rFonts w:cs="Times New Roman"/>
          <w:noProof/>
        </w:rPr>
        <w:tab/>
        <w:t>Menke M. et al. Ophthalmologic techniques to assess the severity of hyperviscosity syndrome and the effect of plasmapheresis in patients with Waldenström’s macroglobulinemia // Clin. Lymphoma Myeloma. Cancer Information Group, LP, 2009. Vol. 9, № 1. P. 100–103.</w:t>
      </w:r>
    </w:p>
    <w:p w14:paraId="08A5C6D0"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17.</w:t>
      </w:r>
      <w:r w:rsidRPr="004F29A0">
        <w:rPr>
          <w:rFonts w:cs="Times New Roman"/>
          <w:noProof/>
        </w:rPr>
        <w:tab/>
        <w:t>Brandefors L. et al. Prognostic factors and primary treatment for Waldenström macroglobulinemia – a Swedish Lymphoma Registry study // Br. J. Haematol. Blackwell Publishing Ltd, 2018. Vol. 183, № 4. P. 564–577.</w:t>
      </w:r>
    </w:p>
    <w:p w14:paraId="5AC8CC2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18.</w:t>
      </w:r>
      <w:r w:rsidRPr="004F29A0">
        <w:rPr>
          <w:rFonts w:cs="Times New Roman"/>
          <w:noProof/>
        </w:rPr>
        <w:tab/>
        <w:t>Dimopoulos M.A. et al. Predictive factors for response to rituximab in Waldenstrom’s macroglobulinemia. // Clin. Lymphoma. 2005. Vol. 5, № 4. P. 270–272.</w:t>
      </w:r>
    </w:p>
    <w:p w14:paraId="644C4BDB"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19.</w:t>
      </w:r>
      <w:r w:rsidRPr="004F29A0">
        <w:rPr>
          <w:rFonts w:cs="Times New Roman"/>
          <w:noProof/>
        </w:rPr>
        <w:tab/>
        <w:t>Treon S.P. et al. Primary therapy of Waldenström macroglobulinemia with bortezomib, dexamethasone, and rituximab: WMCTG clinical trial 05-180 // J. Clin. Oncol. 2009. Vol. 27, № 23. P. 3830–3835.</w:t>
      </w:r>
    </w:p>
    <w:p w14:paraId="5E06F509"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20.</w:t>
      </w:r>
      <w:r w:rsidRPr="004F29A0">
        <w:rPr>
          <w:rFonts w:cs="Times New Roman"/>
          <w:noProof/>
        </w:rPr>
        <w:tab/>
        <w:t>Ghobrial I.M. et al. Phase II trial of weekly bortezomib in combination with rituximab in untreated patients with Waldenström Macroglobulinemia // Am. J. Hematol. Wiley-Liss Inc., 2010. Vol. 85, № 9. P. 670–674.</w:t>
      </w:r>
    </w:p>
    <w:p w14:paraId="4BF34A5D"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21.</w:t>
      </w:r>
      <w:r w:rsidRPr="004F29A0">
        <w:rPr>
          <w:rFonts w:cs="Times New Roman"/>
          <w:noProof/>
        </w:rPr>
        <w:tab/>
        <w:t>Dimopoulos M.A. et al. Primary treatment of Waldenström macroglobulinemia with dexamethasone, rituximab, and cyclophosphamide // J. Clin. Oncol. 2007. Vol. 25, № 22. P. 3344–3349.</w:t>
      </w:r>
    </w:p>
    <w:p w14:paraId="4F78A16F"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22.</w:t>
      </w:r>
      <w:r w:rsidRPr="004F29A0">
        <w:rPr>
          <w:rFonts w:cs="Times New Roman"/>
          <w:noProof/>
        </w:rPr>
        <w:tab/>
        <w:t>Buske C. et al. The addition of rituximab to front-line therapy with CHOP (R-CHOP) results in a higher response rate and longer time to treatment failure in patients with lymphoplasmacytic lymphoma: Results of a randomized trial of the German Low-Grade Lymphoma Study Group (GLSG) // Leukemia. Nature Publishing Group, 2009. Vol. 23, № 1. P. 153–161.</w:t>
      </w:r>
    </w:p>
    <w:p w14:paraId="61D5FC62"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23.</w:t>
      </w:r>
      <w:r w:rsidRPr="004F29A0">
        <w:rPr>
          <w:rFonts w:cs="Times New Roman"/>
          <w:noProof/>
        </w:rPr>
        <w:tab/>
        <w:t>Treon S.P. et al. Maintenance Rituximab is associated with improved clinical outcome in rituximab naïve patients with Waldenstrom Macroglobulinaemia who respond to a rituximab-containing regimen // Br. J. Haematol. 2011. Vol. 154, № 3. P. 357–362.</w:t>
      </w:r>
    </w:p>
    <w:p w14:paraId="69402C5E"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24.</w:t>
      </w:r>
      <w:r w:rsidRPr="004F29A0">
        <w:rPr>
          <w:rFonts w:cs="Times New Roman"/>
          <w:noProof/>
        </w:rPr>
        <w:tab/>
        <w:t>Chen C.I. et al. Bortezomib is active in patients with untreated or relapsed Waldenström’s macroglobulinemia: A phase II study of the National Cancer Institute of Canada Clinical Trials Group // J. Clin. Oncol. 2007. Vol. 25, № 12. P. 1570–1575.</w:t>
      </w:r>
    </w:p>
    <w:p w14:paraId="5DF2FA26"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25.</w:t>
      </w:r>
      <w:r w:rsidRPr="004F29A0">
        <w:rPr>
          <w:rFonts w:cs="Times New Roman"/>
          <w:noProof/>
        </w:rPr>
        <w:tab/>
        <w:t>Paludo J. et al. Bendamustine and rituximab (BR) versus dexamethasone, rituximab, and cyclophosphamide (DRC) in patients with Waldenström macroglobulinemia // Ann. Hematol. Springer Verlag, 2018. Vol. 97, № 8. P. 1417–1425.</w:t>
      </w:r>
    </w:p>
    <w:p w14:paraId="4D736224"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26.</w:t>
      </w:r>
      <w:r w:rsidRPr="004F29A0">
        <w:rPr>
          <w:rFonts w:cs="Times New Roman"/>
          <w:noProof/>
        </w:rPr>
        <w:tab/>
        <w:t>Treon S.P. et al. Long-term outcomes to fludarabine and rituximab in Waldenström macroglobulinemia // Blood. 2009. Vol. 113, № 16. P. 3673–3678.</w:t>
      </w:r>
    </w:p>
    <w:p w14:paraId="5E88CCDA"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27.</w:t>
      </w:r>
      <w:r w:rsidRPr="004F29A0">
        <w:rPr>
          <w:rFonts w:cs="Times New Roman"/>
          <w:noProof/>
        </w:rPr>
        <w:tab/>
        <w:t>Laszlo D. et al. Rituximab and subcutaneous 2-chloro-2’-deoxyadenosine as therapy in untreated and relapsed Waldenström’s macroglobulinemia // Clinical Lymphoma, Myeloma and Leukemia. 2011. Vol. 11, № 1. P. 130–132.</w:t>
      </w:r>
    </w:p>
    <w:p w14:paraId="4127B5DD"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28.</w:t>
      </w:r>
      <w:r w:rsidRPr="004F29A0">
        <w:rPr>
          <w:rFonts w:cs="Times New Roman"/>
          <w:noProof/>
        </w:rPr>
        <w:tab/>
        <w:t>Tedeschi A. et al. Fludarabine plus cyclophosphamide and rituximab in waldenstrom macroglobulinemia: An effective but myelosuppressive regimen to be offered to patients with advanced disease // Cancer. 2012. Vol. 118, № 2. P. 434–443.</w:t>
      </w:r>
    </w:p>
    <w:p w14:paraId="2B78C3FE"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29.</w:t>
      </w:r>
      <w:r w:rsidRPr="004F29A0">
        <w:rPr>
          <w:rFonts w:cs="Times New Roman"/>
          <w:noProof/>
        </w:rPr>
        <w:tab/>
        <w:t>Souchet L. et al. Efficacy and long-term toxicity of the rituximab-fludarabine-cyclophosphamide combination therapy in Waldenstrom’s macroglobulinemia // Am. J. Hematol. Wiley-Liss Inc., 2016. Vol. 91, № 8. P. 782–786.</w:t>
      </w:r>
    </w:p>
    <w:p w14:paraId="53039F8B"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30.</w:t>
      </w:r>
      <w:r w:rsidRPr="004F29A0">
        <w:rPr>
          <w:rFonts w:cs="Times New Roman"/>
          <w:noProof/>
        </w:rPr>
        <w:tab/>
        <w:t>Kyle R.A. et al. Waldenstrom’s macroglobulinaemia: A prospective study comparing daily intermittent oral chlorambucil // Br. J. Haematol. 2000. Vol. 108, № 4. P. 737–742.</w:t>
      </w:r>
    </w:p>
    <w:p w14:paraId="4D0C812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31.</w:t>
      </w:r>
      <w:r w:rsidRPr="004F29A0">
        <w:rPr>
          <w:rFonts w:cs="Times New Roman"/>
          <w:noProof/>
        </w:rPr>
        <w:tab/>
        <w:t>Treon S.P. et al. Ibrutinib monotherapy in symptomatic, treatment-naïve patients with waldenström macroglobulinemia // J. Clin. Oncol. American Society of Clinical Oncology, 2018. Vol. 36, № 27. P. 2755–2761.</w:t>
      </w:r>
    </w:p>
    <w:p w14:paraId="73C346A0"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32.</w:t>
      </w:r>
      <w:r w:rsidRPr="004F29A0">
        <w:rPr>
          <w:rFonts w:cs="Times New Roman"/>
          <w:noProof/>
        </w:rPr>
        <w:tab/>
        <w:t>Dimopoulos M.A. et al. Update on treatment recommendations from the fourth international workshop on Waldenström’s macroglobulinemia // Journal of Clinical Oncology. 2009. Vol. 27, № 1. P. 120–126.</w:t>
      </w:r>
    </w:p>
    <w:p w14:paraId="25794E54"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33.</w:t>
      </w:r>
      <w:r w:rsidRPr="004F29A0">
        <w:rPr>
          <w:rFonts w:cs="Times New Roman"/>
          <w:noProof/>
        </w:rPr>
        <w:tab/>
        <w:t>Rummel M.J. et al. Bendamustine plus rituximab versus CHOP plus rituximab as first-line treatment for patients with indolent and mantle-cell lymphomas: An open-label, multicentre, randomised, phase 3 non-inferiority trial // Lancet. Lancet Publishing Group, 2013. Vol. 381, № 9873. P. 1203–1210.</w:t>
      </w:r>
    </w:p>
    <w:p w14:paraId="39BEBD10"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34.</w:t>
      </w:r>
      <w:r w:rsidRPr="004F29A0">
        <w:rPr>
          <w:rFonts w:cs="Times New Roman"/>
          <w:noProof/>
        </w:rPr>
        <w:tab/>
        <w:t>Treon S.P. et al. Bendamustine therapy in patients with relapsed or refractory Waldenström’s macroglobulinemia // Clinical Lymphoma, Myeloma and Leukemia. 2011. Vol. 11, № 1. P. 133–135.</w:t>
      </w:r>
    </w:p>
    <w:p w14:paraId="6567F2C4"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35.</w:t>
      </w:r>
      <w:r w:rsidRPr="004F29A0">
        <w:rPr>
          <w:rFonts w:cs="Times New Roman"/>
          <w:noProof/>
        </w:rPr>
        <w:tab/>
        <w:t>Treon S.P. et al. Ibrutinib in Previously Treated Waldenström’s Macroglobulinemia. Supplemental Appendix. // N. Engl. J. Med. 2015. Vol. 372, № 15. P. 1430–1440.</w:t>
      </w:r>
    </w:p>
    <w:p w14:paraId="5FD92EE1"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36.</w:t>
      </w:r>
      <w:r w:rsidRPr="004F29A0">
        <w:rPr>
          <w:rFonts w:cs="Times New Roman"/>
          <w:noProof/>
        </w:rPr>
        <w:tab/>
        <w:t>Treon S.P. How I treat Waldenström macroglobulinemia // Blood. 2009. Vol. 114, № 12. P. 2375–2385.</w:t>
      </w:r>
    </w:p>
    <w:p w14:paraId="29E85A3C"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37.</w:t>
      </w:r>
      <w:r w:rsidRPr="004F29A0">
        <w:rPr>
          <w:rFonts w:cs="Times New Roman"/>
          <w:noProof/>
        </w:rPr>
        <w:tab/>
        <w:t>Annibali O. et al. Incidence of venous thromboembolism and use of anticoagulation in hematological malignancies: Critical review of the literature // Critical Reviews in Oncology/Hematology. Elsevier Ireland Ltd, 2018. Vol. 124. P. 41–50.</w:t>
      </w:r>
    </w:p>
    <w:p w14:paraId="51DA8A3C"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38.</w:t>
      </w:r>
      <w:r w:rsidRPr="004F29A0">
        <w:rPr>
          <w:rFonts w:cs="Times New Roman"/>
          <w:noProof/>
        </w:rPr>
        <w:tab/>
        <w:t>Falanga A., Marchetti M., Russo L. Venous thromboembolism in the hematologic malignancies // Current Opinion in Oncology. Curr Opin Oncol, 2012. Vol. 24, № 6. P. 702–710.</w:t>
      </w:r>
    </w:p>
    <w:p w14:paraId="47F602DA"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39.</w:t>
      </w:r>
      <w:r w:rsidRPr="004F29A0">
        <w:rPr>
          <w:rFonts w:cs="Times New Roman"/>
          <w:noProof/>
        </w:rPr>
        <w:tab/>
        <w:t>Воробьев А.И. et al. Гиперкоагуляционный синдром: классификация, патогенез, диагностика, терапия // Гематология и трансфузиология. 2016. Vol. 61, № 3. P. 116–122.</w:t>
      </w:r>
    </w:p>
    <w:p w14:paraId="43D843FB"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40.</w:t>
      </w:r>
      <w:r w:rsidRPr="004F29A0">
        <w:rPr>
          <w:rFonts w:cs="Times New Roman"/>
          <w:noProof/>
        </w:rPr>
        <w:tab/>
        <w:t>Пантелеев М.А. et al. Практическая коагулология. 2010. 192 p.</w:t>
      </w:r>
    </w:p>
    <w:p w14:paraId="5AB4C568"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41.</w:t>
      </w:r>
      <w:r w:rsidRPr="004F29A0">
        <w:rPr>
          <w:rFonts w:cs="Times New Roman"/>
          <w:noProof/>
        </w:rPr>
        <w:tab/>
        <w:t>Greenberg C.S. The role of D-dimer testing in clinical hematology and oncology // Clin. Adv. Hematol. Oncol. 2017. Vol. 15, № 8. P. 580–583.</w:t>
      </w:r>
    </w:p>
    <w:p w14:paraId="6405FCB9"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42.</w:t>
      </w:r>
      <w:r w:rsidRPr="004F29A0">
        <w:rPr>
          <w:rFonts w:cs="Times New Roman"/>
          <w:noProof/>
        </w:rPr>
        <w:tab/>
        <w:t>Weitz I.C. et al. Chemotherapy-induced activation of hemostasis: effect of a low molecular weight heparin (dalteparin sodium) on plasma markers of hemostatic activation // Thromb. Haemost. 2002. Vol. 88, № 2. P. 213–220.</w:t>
      </w:r>
    </w:p>
    <w:p w14:paraId="54BD2C28"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43.</w:t>
      </w:r>
      <w:r w:rsidRPr="004F29A0">
        <w:rPr>
          <w:rFonts w:cs="Times New Roman"/>
          <w:noProof/>
        </w:rPr>
        <w:tab/>
        <w:t>Sharifi M. et al. New oral anticoagulants in the treatment of heparin- Induced thrombocytopenia // Thromb. Res. Elsevier Ltd, 2015. Vol. 135, № 4. P. 607–609.</w:t>
      </w:r>
    </w:p>
    <w:p w14:paraId="7853EA6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44.</w:t>
      </w:r>
      <w:r w:rsidRPr="004F29A0">
        <w:rPr>
          <w:rFonts w:cs="Times New Roman"/>
          <w:noProof/>
        </w:rPr>
        <w:tab/>
        <w:t>Охмат В.А. et al. Спектр и этиология инфекционных осложнений у больных острыми миелоидными лейкозами на этапах индукции и консолидации ремиссии // Гематология и трансфузиология. 2017. Vol. 62, № 1. P. 9–15.</w:t>
      </w:r>
    </w:p>
    <w:p w14:paraId="46542C29"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45.</w:t>
      </w:r>
      <w:r w:rsidRPr="004F29A0">
        <w:rPr>
          <w:rFonts w:cs="Times New Roman"/>
          <w:noProof/>
        </w:rPr>
        <w:tab/>
        <w:t>Охмат В.А. et al. Инфекционные осложнения у взрослых больных острыми лимфобластными лейкозами на разных этапах химиотерапии по протоколу ОЛЛ-2009. // Онкогематология. 2017. Vol. 12, № 3. P. 31–40.</w:t>
      </w:r>
    </w:p>
    <w:p w14:paraId="262F0A52"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46.</w:t>
      </w:r>
      <w:r w:rsidRPr="004F29A0">
        <w:rPr>
          <w:rFonts w:cs="Times New Roman"/>
          <w:noProof/>
        </w:rPr>
        <w:tab/>
        <w:t>Клясова Г.А. et al. Возбудители сепсиса у иммунокомпрометированных больных: структура и проблемы антибиотикорезистентности (результаты многоцентрового исследования) // Гематология и трансфузиология. 2007. Vol. 52, № 1. P. 11–18.</w:t>
      </w:r>
    </w:p>
    <w:p w14:paraId="75ABB511"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47.</w:t>
      </w:r>
      <w:r w:rsidRPr="004F29A0">
        <w:rPr>
          <w:rFonts w:cs="Times New Roman"/>
          <w:noProof/>
        </w:rPr>
        <w:tab/>
        <w:t>Клясова Г.А., Охмат В.А. Антимикробная терапия // Алгоритмы диагностики и протоколы лечения заболеваний системы крови. Под редакцией Савченко В.Г. Москва: Практика, 2018. P. 1067–1114.</w:t>
      </w:r>
    </w:p>
    <w:p w14:paraId="574E3FBD"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48.</w:t>
      </w:r>
      <w:r w:rsidRPr="004F29A0">
        <w:rPr>
          <w:rFonts w:cs="Times New Roman"/>
          <w:noProof/>
        </w:rPr>
        <w:tab/>
        <w:t>Maertens J. et al. European guidelines for antifungal management in leukemia and hematopoietic stem cell transplant recipients: Summary of the ECIL 32009 update // Bone Marrow Transplant. Nature Publishing Group, 2011. Vol. 46, № 5. P. 709–718.</w:t>
      </w:r>
    </w:p>
    <w:p w14:paraId="6FF02B8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49.</w:t>
      </w:r>
      <w:r w:rsidRPr="004F29A0">
        <w:rPr>
          <w:rFonts w:cs="Times New Roman"/>
          <w:noProof/>
        </w:rPr>
        <w:tab/>
        <w:t>Kollef M.H. et al. Ceftolozane–tazobactam versus meropenem for treatment of nosocomial pneumonia (ASPECT-NP): a randomised, controlled, double-blind, phase 3, non-inferiority trial // Lancet Infect. Dis. Lancet Publishing Group, 2019. Vol. 19, № 12. P. 1299–1311.</w:t>
      </w:r>
    </w:p>
    <w:p w14:paraId="6BC282CD"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50.</w:t>
      </w:r>
      <w:r w:rsidRPr="004F29A0">
        <w:rPr>
          <w:rFonts w:cs="Times New Roman"/>
          <w:noProof/>
        </w:rPr>
        <w:tab/>
        <w:t>Averbuch D. et al. Targeted therapy against multi-resistant bacteria in leukemic and hematopoietic stem cell transplant recipients: Guidelines of the 4th European conference on Infections in Leukemia (ECIL-4, 2011) // Haematologica. Ferrata Storti Foundation, 2013. Vol. 98, № 12. P. 1836–1847.</w:t>
      </w:r>
    </w:p>
    <w:p w14:paraId="2020EB7C"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51.</w:t>
      </w:r>
      <w:r w:rsidRPr="004F29A0">
        <w:rPr>
          <w:rFonts w:cs="Times New Roman"/>
          <w:noProof/>
        </w:rPr>
        <w:tab/>
        <w:t>Debast S.B. et al. European society of clinical microbiology and infectious diseases: Update of the treatment guidance document for Clostridium difficile infection // Clin. Microbiol. Infect. Blackwell Publishing Ltd, 2014. Vol. 20, № S2. P. 1–26.</w:t>
      </w:r>
    </w:p>
    <w:p w14:paraId="29F6B50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52.</w:t>
      </w:r>
      <w:r w:rsidRPr="004F29A0">
        <w:rPr>
          <w:rFonts w:cs="Times New Roman"/>
          <w:noProof/>
        </w:rPr>
        <w:tab/>
        <w:t>Styczynski J. et al. Management of HSV, VZV and EBV infections in patients with hematological malignancies and after SCT: Guidelines from the Second European Conference on Infections in Leukemia // Bone Marrow Transplant. Bone Marrow Transplant, 2009. Vol. 43, № 10. P. 757–770.</w:t>
      </w:r>
    </w:p>
    <w:p w14:paraId="788AFA12"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53.</w:t>
      </w:r>
      <w:r w:rsidRPr="004F29A0">
        <w:rPr>
          <w:rFonts w:cs="Times New Roman"/>
          <w:noProof/>
        </w:rPr>
        <w:tab/>
        <w:t>Ljungman P. et al. Management of CMV, HHV-6, HHV-7 and Kaposi-sarcoma herpesvirus (HHV-8) infections in patients with hematological malignancies and after SCT // Bone Marrow Transplant. Bone Marrow Transplant, 2008. Vol. 42, № 4. P. 227–240.</w:t>
      </w:r>
    </w:p>
    <w:p w14:paraId="06A87768"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54.</w:t>
      </w:r>
      <w:r w:rsidRPr="004F29A0">
        <w:rPr>
          <w:rFonts w:cs="Times New Roman"/>
          <w:noProof/>
        </w:rPr>
        <w:tab/>
        <w:t>Arendrup M.C. et al. ESCMID and ECMM joint clinical guidelines for the diagnosis and management of rare invasive yeast infections // Clin. Microbiol. Infect. Blackwell Publishing Ltd, 2014. Vol. 20, № S3. P. 76–98.</w:t>
      </w:r>
    </w:p>
    <w:p w14:paraId="07F995CB"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55.</w:t>
      </w:r>
      <w:r w:rsidRPr="004F29A0">
        <w:rPr>
          <w:rFonts w:cs="Times New Roman"/>
          <w:noProof/>
        </w:rPr>
        <w:tab/>
        <w:t>Tissot F. et al. ECIL-6 guidelines for the treatment of invasive candidiasis, aspergillosis and mucormycosis in leukemia and hematopoietic stem cell transplant patients // Haematologica. Ferrata Storti Foundation, 2017. Vol. 102, № 3. P. 433–444.</w:t>
      </w:r>
    </w:p>
    <w:p w14:paraId="0CF44B64"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56.</w:t>
      </w:r>
      <w:r w:rsidRPr="004F29A0">
        <w:rPr>
          <w:rFonts w:cs="Times New Roman"/>
          <w:noProof/>
        </w:rPr>
        <w:tab/>
        <w:t>Мальчикова А.О., Клясова Г.А. Формирование биопленок у изолятов Candida spp, выделенных из гемокультуры от больных с опухолями системы крови // Клиническая микробиология и антимикробная химиотерапия. 2018. Vol. 20, № 2. P. 126–130.</w:t>
      </w:r>
    </w:p>
    <w:p w14:paraId="12FCE91D"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57.</w:t>
      </w:r>
      <w:r w:rsidRPr="004F29A0">
        <w:rPr>
          <w:rFonts w:cs="Times New Roman"/>
          <w:noProof/>
        </w:rPr>
        <w:tab/>
        <w:t>Ullmann A.J. et al. Diagnosis and management of Aspergillus diseases: executive summary of the 2017 ESCMID-ECMM-ERS guideline // Clin. Microbiol. Infect. Elsevier B.V., 2018. Vol. 24. P. e1–e38.</w:t>
      </w:r>
    </w:p>
    <w:p w14:paraId="0B87B057"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58.</w:t>
      </w:r>
      <w:r w:rsidRPr="004F29A0">
        <w:rPr>
          <w:rFonts w:cs="Times New Roman"/>
          <w:noProof/>
        </w:rPr>
        <w:tab/>
        <w:t>Cornely O.A. et al. Global guideline for the diagnosis and management of mucormycosis: an initiative of the European Confederation of Medical Mycology in cooperation with the Mycoses Study Group Education and Research Consortium // The Lancet Infectious Diseases. Lancet Publishing Group, 2019. Vol. 19, № 12. P. e405–e421.</w:t>
      </w:r>
    </w:p>
    <w:p w14:paraId="6F84B2EC"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59.</w:t>
      </w:r>
      <w:r w:rsidRPr="004F29A0">
        <w:rPr>
          <w:rFonts w:cs="Times New Roman"/>
          <w:noProof/>
        </w:rPr>
        <w:tab/>
        <w:t>Tortorano A.M. et al. ESCMID and ECMM joint guidelines on diagnosis and management of hyalohyphomycosis: Fusarium spp., Scedosporium spp. and others // Clin. Microbiol. Infect. Blackwell Publishing Ltd, 2014. Vol. 20, № S3. P. 27–46.</w:t>
      </w:r>
    </w:p>
    <w:p w14:paraId="50D10636"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60.</w:t>
      </w:r>
      <w:r w:rsidRPr="004F29A0">
        <w:rPr>
          <w:rFonts w:cs="Times New Roman"/>
          <w:noProof/>
        </w:rPr>
        <w:tab/>
        <w:t>Maschmeyer G. et al. ECIL guidelines for treatment of Pneumocystis jirovecii pneumonia in non-HIV-infected haematology patients // J. Antimicrob. Chemother. J Antimicrob Chemother, 2016. Vol. 71, № 9. P. 2405–2413.</w:t>
      </w:r>
    </w:p>
    <w:p w14:paraId="7DE836D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61.</w:t>
      </w:r>
      <w:r w:rsidRPr="004F29A0">
        <w:rPr>
          <w:rFonts w:cs="Times New Roman"/>
          <w:noProof/>
        </w:rPr>
        <w:tab/>
        <w:t>Maertens J. et al. ECIL guidelines for preventing Pneumocystis jirovecii pneumonia in patients with haematological malignancies and stem cell transplant recipients // Journal of Antimicrobial Chemotherapy. Oxford University Press, 2016. Vol. 71, № 9. P. 1–8.</w:t>
      </w:r>
    </w:p>
    <w:p w14:paraId="508C74D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62.</w:t>
      </w:r>
      <w:r w:rsidRPr="004F29A0">
        <w:rPr>
          <w:rFonts w:cs="Times New Roman"/>
          <w:noProof/>
        </w:rPr>
        <w:tab/>
        <w:t>Ioakimidis L. et al. Comparative outcomes following CP-R, CVP-R, and CHOP-R in Waldenström’s macroglobulinemia // Clin. Lymphoma Myeloma. Cancer Information Group, LP, 2009. Vol. 9, № 1. P. 62–66.</w:t>
      </w:r>
    </w:p>
    <w:p w14:paraId="376AAEC6"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63.</w:t>
      </w:r>
      <w:r w:rsidRPr="004F29A0">
        <w:rPr>
          <w:rFonts w:cs="Times New Roman"/>
          <w:noProof/>
        </w:rPr>
        <w:tab/>
        <w:t>Leblond V. et al. Results of a randomized Trial of Chlorambucil versus Fludarabine for patients with untreated Waldenström Macroglobulinemia, marginal zone lymphoma, or lymphoplasmacytic lymphoma // J. Clin. Oncol. 2013. Vol. 31, № 3. P. 301–307.</w:t>
      </w:r>
    </w:p>
    <w:p w14:paraId="12BFBFE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64.</w:t>
      </w:r>
      <w:r w:rsidRPr="004F29A0">
        <w:rPr>
          <w:rFonts w:cs="Times New Roman"/>
          <w:noProof/>
        </w:rPr>
        <w:tab/>
        <w:t>Dimopoulos M.A. et al. Treatment of waldenstrom macroglobulinemia with 2-chlorodeoxyadenosine // Ann. Intern. Med. American College of Physicians, 1993. Vol. 118, № 3. P. 195–198.</w:t>
      </w:r>
    </w:p>
    <w:p w14:paraId="61315F20"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65.</w:t>
      </w:r>
      <w:r w:rsidRPr="004F29A0">
        <w:rPr>
          <w:rFonts w:cs="Times New Roman"/>
          <w:noProof/>
        </w:rPr>
        <w:tab/>
        <w:t>Dimopoulos M.A. et al. Treatment of Waldenstrom’s macroglobulinemia resistant to standard therapy with 2-chlorodeoxyadenosine: Identification of prognostic factors // Ann. Oncol. 1995. Vol. 6, № 1. P. 49–52.</w:t>
      </w:r>
    </w:p>
    <w:p w14:paraId="3E1B2B89"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66.</w:t>
      </w:r>
      <w:r w:rsidRPr="004F29A0">
        <w:rPr>
          <w:rFonts w:cs="Times New Roman"/>
          <w:noProof/>
        </w:rPr>
        <w:tab/>
        <w:t>Haanen J.B.A.G. et al. Management of toxicities from immunotherapy: ESMO Clinical Practice Guidelines for diagnosis, treatment and follow-up // Ann. Oncol. 2018. Vol. 29, № Supp. 4. P. iv264–iv266.</w:t>
      </w:r>
    </w:p>
    <w:p w14:paraId="3362099A"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67.</w:t>
      </w:r>
      <w:r w:rsidRPr="004F29A0">
        <w:rPr>
          <w:rFonts w:cs="Times New Roman"/>
          <w:noProof/>
        </w:rPr>
        <w:tab/>
        <w:t>Hua Q., Zhu Y., Liu H. Severe and fatal adverse events risk associated with rituximab addition to b-cell non-hodgkin’s lymphoma (B-NHL) chemotherapy: A meta-analysis // J. Chemother. 2015.</w:t>
      </w:r>
    </w:p>
    <w:p w14:paraId="531722D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68.</w:t>
      </w:r>
      <w:r w:rsidRPr="004F29A0">
        <w:rPr>
          <w:rFonts w:cs="Times New Roman"/>
          <w:noProof/>
        </w:rPr>
        <w:tab/>
        <w:t>Navari R.M., Aapro M. Antiemetic Prophylaxis for Chemotherapy-Induced Nausea and Vomiting // N. Engl. J. Med. New England Journal of Medicine (NEJM/MMS), 2016. Vol. 374, № 14. P. 1356–1367.</w:t>
      </w:r>
    </w:p>
    <w:p w14:paraId="399FD63D"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69.</w:t>
      </w:r>
      <w:r w:rsidRPr="004F29A0">
        <w:rPr>
          <w:rFonts w:cs="Times New Roman"/>
          <w:noProof/>
        </w:rPr>
        <w:tab/>
        <w:t>Ettinger D.S. et al. Antiemesis. NCCN Clinical Practice Guidelines in Oncology (NCCN Guidelines). Version 1.2021. 2020.</w:t>
      </w:r>
    </w:p>
    <w:p w14:paraId="43EAB6FB"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70.</w:t>
      </w:r>
      <w:r w:rsidRPr="004F29A0">
        <w:rPr>
          <w:rFonts w:cs="Times New Roman"/>
          <w:noProof/>
        </w:rPr>
        <w:tab/>
        <w:t>Roila F. et al. Prevention of chemotherapy- and radiotherapy-induced emesis: Results of the 2004 Perugia International Antiemetic Consensus Conference // Annals of Oncology. Ann Oncol, 2006. Vol. 17, № 1. P. 20–28.</w:t>
      </w:r>
    </w:p>
    <w:p w14:paraId="1E7A8657"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71.</w:t>
      </w:r>
      <w:r w:rsidRPr="004F29A0">
        <w:rPr>
          <w:rFonts w:cs="Times New Roman"/>
          <w:noProof/>
        </w:rPr>
        <w:tab/>
        <w:t>Basch E. et al. Antiemetics: American Society of Clinical Oncology clinical practice guideline update // J. Clin. Oncol. J Clin Oncol, 2011. Vol. 29, № 31. P. 4189–4198.</w:t>
      </w:r>
    </w:p>
    <w:p w14:paraId="5D80723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72.</w:t>
      </w:r>
      <w:r w:rsidRPr="004F29A0">
        <w:rPr>
          <w:rFonts w:cs="Times New Roman"/>
          <w:noProof/>
        </w:rPr>
        <w:tab/>
        <w:t>Hesketh P.J. et al. Antiemetics: American Society of Clinical Oncology clinical practice guideline update // Journal of Clinical Oncology. American Society of Clinical Oncology, 2017. Vol. 35, № 28. P. 3240–3261.</w:t>
      </w:r>
    </w:p>
    <w:p w14:paraId="23A9EA04"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73.</w:t>
      </w:r>
      <w:r w:rsidRPr="004F29A0">
        <w:rPr>
          <w:rFonts w:cs="Times New Roman"/>
          <w:noProof/>
        </w:rPr>
        <w:tab/>
        <w:t>Razvi Y. et al. ASCO, NCCN, MASCC/ESMO: a comparison of antiemetic guidelines for the treatment of chemotherapy-induced nausea and vomiting in adult patients // Supportive Care in Cancer. Springer Verlag, 2019. Vol. 27, № 1. P. 87–95.</w:t>
      </w:r>
    </w:p>
    <w:p w14:paraId="48836CFA"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74.</w:t>
      </w:r>
      <w:r w:rsidRPr="004F29A0">
        <w:rPr>
          <w:rFonts w:cs="Times New Roman"/>
          <w:noProof/>
        </w:rPr>
        <w:tab/>
        <w:t>Владимирова Л.Ю. et al. Практические рекомендации по профилактике и лечению тошноты и рвоты у онкологических больных // 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 2018. P. 502–511.</w:t>
      </w:r>
    </w:p>
    <w:p w14:paraId="74F87E4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75.</w:t>
      </w:r>
      <w:r w:rsidRPr="004F29A0">
        <w:rPr>
          <w:rFonts w:cs="Times New Roman"/>
          <w:noProof/>
        </w:rPr>
        <w:tab/>
        <w:t>Narum S., Westergren T., Klemp M. Corticosteroids and risk of gastrointestinal bleeding: A systematic review and meta-analysis // BMJ Open. BMJ Publishing Group, 2014. Vol. 4, № 5.</w:t>
      </w:r>
    </w:p>
    <w:p w14:paraId="7C1119E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76.</w:t>
      </w:r>
      <w:r w:rsidRPr="004F29A0">
        <w:rPr>
          <w:rFonts w:cs="Times New Roman"/>
          <w:noProof/>
        </w:rPr>
        <w:tab/>
        <w:t>Conn H.O., Poynard T. Corticosteroids and peptic ulcer: meta-analysis of adverse events during steroid therapy. // J. Intern. Med. J Intern Med, 1994. Vol. 236, № 6. P. 619–632.</w:t>
      </w:r>
    </w:p>
    <w:p w14:paraId="371B57B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77.</w:t>
      </w:r>
      <w:r w:rsidRPr="004F29A0">
        <w:rPr>
          <w:rFonts w:cs="Times New Roman"/>
          <w:noProof/>
        </w:rPr>
        <w:tab/>
        <w:t>Burget D.W., Chiverton S.G., Hunt R.H. Is there an optimal degree of acid suppression for healing of duodenal ulcers? A model of the relationship between ulcer healing and acid suppression // Gastroenterology. Gastroenterology, 1990. Vol. 99, № 2. P. 345–351.</w:t>
      </w:r>
    </w:p>
    <w:p w14:paraId="2F009BCA"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78.</w:t>
      </w:r>
      <w:r w:rsidRPr="004F29A0">
        <w:rPr>
          <w:rFonts w:cs="Times New Roman"/>
          <w:noProof/>
        </w:rPr>
        <w:tab/>
        <w:t>Ивашкин В.Т. et al. 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 // Российский журнал гастроэнтерологии, гепатологии, колопроктологии. 2020. Vol. 30, № 1. P. 49–70.</w:t>
      </w:r>
    </w:p>
    <w:p w14:paraId="4565507A"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79.</w:t>
      </w:r>
      <w:r w:rsidRPr="004F29A0">
        <w:rPr>
          <w:rFonts w:cs="Times New Roman"/>
          <w:noProof/>
        </w:rPr>
        <w:tab/>
        <w:t>Scally B. et al. Effects of gastroprotectant drugs for the prevention and treatment of peptic ulcer disease and its complications: a meta-analysis of randomised trials // Lancet Gastroenterol. Hepatol. Elsevier Ltd, 2018. Vol. 3, № 4. P. 231–241.</w:t>
      </w:r>
    </w:p>
    <w:p w14:paraId="5ACD25B8"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80.</w:t>
      </w:r>
      <w:r w:rsidRPr="004F29A0">
        <w:rPr>
          <w:rFonts w:cs="Times New Roman"/>
          <w:noProof/>
        </w:rPr>
        <w:tab/>
        <w:t>Hu Z.-H. et al. Efficacy of proton pump inhibitors for patients with duodenal ulcers: A pairwise and network meta-analysis of randomized controlled trials // Saudi J. Gastroenterol. Medknow Publications, 2017. Vol. 23, № 1. P. 11.</w:t>
      </w:r>
    </w:p>
    <w:p w14:paraId="0B2CF60A"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81.</w:t>
      </w:r>
      <w:r w:rsidRPr="004F29A0">
        <w:rPr>
          <w:rFonts w:cs="Times New Roman"/>
          <w:noProof/>
        </w:rPr>
        <w:tab/>
        <w:t>Poynard T., Lemaire M., Agostini H. Meta-analysis of randomized clinical trials comparing lansoprazole with ranitidine or famotidine in the treatment of acute duodenal ulcer // Eur. J. Gastroenterol. Hepatol. 1995. Vol. 7, № 7. P. 661–665.</w:t>
      </w:r>
    </w:p>
    <w:p w14:paraId="56E78A37"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82.</w:t>
      </w:r>
      <w:r w:rsidRPr="004F29A0">
        <w:rPr>
          <w:rFonts w:cs="Times New Roman"/>
          <w:noProof/>
        </w:rPr>
        <w:tab/>
        <w:t>Young P. et al. Effect of a buffered crystalloid solution vs saline on acute kidney injury among patients in the intensive care unit: The SPLIT randomized clinical trial // JAMA - J. Am. Med. Assoc. American Medical Association, 2015. Vol. 314, № 16. P. 1701–1710.</w:t>
      </w:r>
    </w:p>
    <w:p w14:paraId="0BAE3CBF"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83.</w:t>
      </w:r>
      <w:r w:rsidRPr="004F29A0">
        <w:rPr>
          <w:rFonts w:cs="Times New Roman"/>
          <w:noProof/>
        </w:rPr>
        <w:tab/>
        <w:t>Hoorn E.J. Intravenous fluids: balancing solutions // Journal of Nephrology. Springer New York LLC, 2017. Vol. 30, № 4. P. 485–492.</w:t>
      </w:r>
    </w:p>
    <w:p w14:paraId="365D19EB"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84.</w:t>
      </w:r>
      <w:r w:rsidRPr="004F29A0">
        <w:rPr>
          <w:rFonts w:cs="Times New Roman"/>
          <w:noProof/>
        </w:rPr>
        <w:tab/>
        <w:t>Криволапов Ю.А. Технические аспекты выполнения трепанобиопсий костного мозга. Клиническая онкогематология 2014; 7:290—295 // Клиническая онкогематология. 2014. Vol. 7. P. 290–295.</w:t>
      </w:r>
    </w:p>
    <w:p w14:paraId="2CB81E7E"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85.</w:t>
      </w:r>
      <w:r w:rsidRPr="004F29A0">
        <w:rPr>
          <w:rFonts w:cs="Times New Roman"/>
          <w:noProof/>
        </w:rPr>
        <w:tab/>
        <w:t>Wang J. et al. Diagnostic utility of bilateral bone marrow examination: Significance of morphologic and ancillary technique study in malignancy // Cancer. Cancer, 2002. Vol. 94, № 5. P. 1522–1531.</w:t>
      </w:r>
    </w:p>
    <w:p w14:paraId="2E76A49C"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86.</w:t>
      </w:r>
      <w:r w:rsidRPr="004F29A0">
        <w:rPr>
          <w:rFonts w:cs="Times New Roman"/>
          <w:noProof/>
        </w:rPr>
        <w:tab/>
        <w:t>SPIRIN M., GALSTYAN G., DROKOV M. Central venous access in lymphoma patients (pts) with superior vena cava syndrome (SVCS) // INTENSIVE CARE Med. Exp. 2019. Vol. 7, № Suppl. 3:001341. P. 388–389.</w:t>
      </w:r>
    </w:p>
    <w:p w14:paraId="1895D089"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87.</w:t>
      </w:r>
      <w:r w:rsidRPr="004F29A0">
        <w:rPr>
          <w:rFonts w:cs="Times New Roman"/>
          <w:noProof/>
        </w:rPr>
        <w:tab/>
        <w:t>Pluschnig U. et al. Extravasation emergencies: state-of-the-art management and progress in clinical research. // Memo. Springer, 2016. Vol. 9, № 4. P. 226–230.</w:t>
      </w:r>
    </w:p>
    <w:p w14:paraId="466DE5C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88.</w:t>
      </w:r>
      <w:r w:rsidRPr="004F29A0">
        <w:rPr>
          <w:rFonts w:cs="Times New Roman"/>
          <w:noProof/>
        </w:rPr>
        <w:tab/>
        <w:t>Zeidler K. et al. Optimal preprocedural platelet transfusion threshold for central venous catheter insertions in patients with thrombocytopenia. // Transfusion. 2011. Vol. 51, № 11. P. 2269–2276.</w:t>
      </w:r>
    </w:p>
    <w:p w14:paraId="011493C8"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89.</w:t>
      </w:r>
      <w:r w:rsidRPr="004F29A0">
        <w:rPr>
          <w:rFonts w:cs="Times New Roman"/>
          <w:noProof/>
        </w:rPr>
        <w:tab/>
        <w:t>Zerati A.E. et al. Totally implantable venous catheters : history , implantation technique and complications. // J Vasc Bras. 2017. Vol. 16, № 2. P. 128–139.</w:t>
      </w:r>
    </w:p>
    <w:p w14:paraId="0D7611A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90.</w:t>
      </w:r>
      <w:r w:rsidRPr="004F29A0">
        <w:rPr>
          <w:rFonts w:cs="Times New Roman"/>
          <w:noProof/>
        </w:rPr>
        <w:tab/>
        <w:t>Gow K.W., Tapper D., Hickman R.O. Between the lines: The 50th anniversary of long-term central venous catheters // Am. J. Surg. Elsevier Ltd, 2017. Vol. 213, № 5. P. 837–848.</w:t>
      </w:r>
    </w:p>
    <w:p w14:paraId="058F539D"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91.</w:t>
      </w:r>
      <w:r w:rsidRPr="004F29A0">
        <w:rPr>
          <w:rFonts w:cs="Times New Roman"/>
          <w:noProof/>
        </w:rPr>
        <w:tab/>
        <w:t>Yeral M. et al. Tunnelled central venous catheter-related problems in the early phase of haematopoietic stem cell transplantation and effects on transplant outcome. // Turkish J. Haematol.  Off. J. Turkish Soc. Haematol. Galenos Yayinevi, 2015. Vol. 32, № 1. P. 51–57.</w:t>
      </w:r>
    </w:p>
    <w:p w14:paraId="66877241"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92.</w:t>
      </w:r>
      <w:r w:rsidRPr="004F29A0">
        <w:rPr>
          <w:rFonts w:cs="Times New Roman"/>
          <w:noProof/>
        </w:rPr>
        <w:tab/>
        <w:t>Maki D.G., Kluger D.M., Crnich C.J. The Risk of Bloodstream Infection in Adults With Different Intravascular Devices: A Systematic Review of 200 Published Prospective Studies // Mayo Clin. Proc. Elsevier, 2006. Vol. 81, № 9. P. 1159–1171.</w:t>
      </w:r>
    </w:p>
    <w:p w14:paraId="7537235B"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93.</w:t>
      </w:r>
      <w:r w:rsidRPr="004F29A0">
        <w:rPr>
          <w:rFonts w:cs="Times New Roman"/>
          <w:noProof/>
        </w:rPr>
        <w:tab/>
        <w:t>Hamilton H. Central Venous Catheters / ed. Bodenham A.R. Oxford, UK: Wiley-Blackwell, 2009.</w:t>
      </w:r>
    </w:p>
    <w:p w14:paraId="5F544641"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94.</w:t>
      </w:r>
      <w:r w:rsidRPr="004F29A0">
        <w:rPr>
          <w:rFonts w:cs="Times New Roman"/>
          <w:noProof/>
        </w:rPr>
        <w:tab/>
        <w:t>Biffi R. Introduction and Overview of PICC History // Peripherally Inserted Central Venous Catheters. Milano: Springer Milan, 2014. P. 1–6.</w:t>
      </w:r>
    </w:p>
    <w:p w14:paraId="3F18108B"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95.</w:t>
      </w:r>
      <w:r w:rsidRPr="004F29A0">
        <w:rPr>
          <w:rFonts w:cs="Times New Roman"/>
          <w:noProof/>
        </w:rPr>
        <w:tab/>
        <w:t>Linenberger M.L. Catheter-related thrombosis: risks, diagnosis, and management. // J. Natl. Compr. Canc. Netw. 2006. Vol. 4, № 9. P. 889–901.</w:t>
      </w:r>
    </w:p>
    <w:p w14:paraId="193F71AD"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96.</w:t>
      </w:r>
      <w:r w:rsidRPr="004F29A0">
        <w:rPr>
          <w:rFonts w:cs="Times New Roman"/>
          <w:noProof/>
        </w:rPr>
        <w:tab/>
        <w:t>Lee A.Y.Y., Kamphuisen P.W. Epidemiology and prevention of catheter-related thrombosis in patients with cancer // J. Thromb. Haemost. 2012. № 10. P. 1491–1499.</w:t>
      </w:r>
    </w:p>
    <w:p w14:paraId="31F8B0C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97.</w:t>
      </w:r>
      <w:r w:rsidRPr="004F29A0">
        <w:rPr>
          <w:rFonts w:cs="Times New Roman"/>
          <w:noProof/>
        </w:rPr>
        <w:tab/>
        <w:t>Цепенщинков Л.., Лядов В.К. Периферически имплантируемый центральный венозный катетер: обзор литераутры. // Клиническая онкогематология. 2014. Vol. 7, № 2. P. 220–228.</w:t>
      </w:r>
    </w:p>
    <w:p w14:paraId="2CA254E0"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98.</w:t>
      </w:r>
      <w:r w:rsidRPr="004F29A0">
        <w:rPr>
          <w:rFonts w:cs="Times New Roman"/>
          <w:noProof/>
        </w:rPr>
        <w:tab/>
        <w:t>Linder L.E. et al. Material thrombogenicity in central venous catheterization: a comparison between soft, antebrachial catheters of silicone elastomer and polyurethane. // JPEN. J. Parenter. Enteral Nutr. 1984. Vol. 8, № 4. P. 399–406.</w:t>
      </w:r>
    </w:p>
    <w:p w14:paraId="6A9EF10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99.</w:t>
      </w:r>
      <w:r w:rsidRPr="004F29A0">
        <w:rPr>
          <w:rFonts w:cs="Times New Roman"/>
          <w:noProof/>
        </w:rPr>
        <w:tab/>
        <w:t>Watters V.A., Grant J.P. Use of Electrocardiogram to Position Right Atrial Catheters During Surgery // Ann. Surg. Vol. 225, № 2. P. 165–171.</w:t>
      </w:r>
    </w:p>
    <w:p w14:paraId="6E90DF8C"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100.</w:t>
      </w:r>
      <w:r w:rsidRPr="004F29A0">
        <w:rPr>
          <w:rFonts w:cs="Times New Roman"/>
          <w:noProof/>
        </w:rPr>
        <w:tab/>
        <w:t>Taal M.W., Chesterton L.J., McIntyre C.W. Venography at insertion of tunnelled internal jugular vein dialysis catheters reveals significant occult stenosis // Nephrol. Dial. Transplant. Oxford University Press, 2004. Vol. 19, № 6. P. 1542–1545.</w:t>
      </w:r>
    </w:p>
    <w:p w14:paraId="46DCE76F"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101.</w:t>
      </w:r>
      <w:r w:rsidRPr="004F29A0">
        <w:rPr>
          <w:rFonts w:cs="Times New Roman"/>
          <w:noProof/>
        </w:rPr>
        <w:tab/>
        <w:t>Lobato E.B. et al. Cross-sectional area of the right and left internal jugular veins. // J. Cardiothorac. Vasc. Anesth. 1999. Vol. 13, № 2. P. 136–138.</w:t>
      </w:r>
    </w:p>
    <w:p w14:paraId="23A7649E"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102.</w:t>
      </w:r>
      <w:r w:rsidRPr="004F29A0">
        <w:rPr>
          <w:rFonts w:cs="Times New Roman"/>
          <w:noProof/>
        </w:rPr>
        <w:tab/>
        <w:t>Червонцева А.М. Повреждение сосудистого эндотелия в процессе лечения острых миелоидных лейкозов. 2008.</w:t>
      </w:r>
    </w:p>
    <w:p w14:paraId="67CBCC5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103.</w:t>
      </w:r>
      <w:r w:rsidRPr="004F29A0">
        <w:rPr>
          <w:rFonts w:cs="Times New Roman"/>
          <w:noProof/>
        </w:rPr>
        <w:tab/>
        <w:t>Багирова Н.С. Инфекции, связанные с внутрисосудистыми устройствами: терминология, диагностика, профилактика и терапия // Злокачественные опухоли. 2014. № 3. P. 164–171.</w:t>
      </w:r>
    </w:p>
    <w:p w14:paraId="106A7E92"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104.</w:t>
      </w:r>
      <w:r w:rsidRPr="004F29A0">
        <w:rPr>
          <w:rFonts w:cs="Times New Roman"/>
          <w:noProof/>
        </w:rPr>
        <w:tab/>
        <w:t>Bannon M.P., Heller S.F., Rivera M. Anatomic considerations for central venous cannulation. // Risk Manag. Healthc. Policy. Dove Press, 2011. Vol. 4. P. 27–39.</w:t>
      </w:r>
    </w:p>
    <w:p w14:paraId="60866886"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105.</w:t>
      </w:r>
      <w:r w:rsidRPr="004F29A0">
        <w:rPr>
          <w:rFonts w:cs="Times New Roman"/>
          <w:noProof/>
        </w:rPr>
        <w:tab/>
        <w:t>Milling T.J. et al. Randomized, controlled clinical trial of point-of-care limited ultrasonography assistance of central venous cannulation: The Third Sonography Outcomes Assessment Program (SOAP-3) Trial* // Crit. Care Med. 2005. Vol. 33, № 8. P. 1764–1769.</w:t>
      </w:r>
    </w:p>
    <w:p w14:paraId="1F64D371"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106.</w:t>
      </w:r>
      <w:r w:rsidRPr="004F29A0">
        <w:rPr>
          <w:rFonts w:cs="Times New Roman"/>
          <w:noProof/>
        </w:rPr>
        <w:tab/>
        <w:t>Зозуля Н.И., Кумскова М.А. Протокол диагностики и лечения гемофилии. // Алгоритмы диагностики и протоколы лечения заболеваний системы крови. Том 1. Практика / ed. Савченко В.Г. Москва, 2018. P. 333–358.</w:t>
      </w:r>
    </w:p>
    <w:p w14:paraId="7A106C11"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107.</w:t>
      </w:r>
      <w:r w:rsidRPr="004F29A0">
        <w:rPr>
          <w:rFonts w:cs="Times New Roman"/>
          <w:noProof/>
        </w:rPr>
        <w:tab/>
        <w:t>Галстян Г.М. НАРУШЕНИЯ ГЕМОСТАЗА, ОБУСЛОВЛЕННЫЕ ДЕФИЦИТОМ ВИТАМИН К-ЗАВИСИМЫХ ФАКТОРОВ СВЕРТЫВАНИЯ КРОВИ — ПАТОГЕНЕЗ, СПОСОБЫ КОРРЕКЦИИ И РЕКОМЕНДАЦИИ ПО ЛЕЧЕНИЮ. // Гематология и трансфузиология. 2012. Vol. 27, № 2. P. 7–21.</w:t>
      </w:r>
    </w:p>
    <w:p w14:paraId="630EB618"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108.</w:t>
      </w:r>
      <w:r w:rsidRPr="004F29A0">
        <w:rPr>
          <w:rFonts w:cs="Times New Roman"/>
          <w:noProof/>
        </w:rPr>
        <w:tab/>
        <w:t>Карагюлян С.Р. et al. Технические сложности выполнения спленэктомии при заболеваниях системы крови // Клиническая онкогематология. 2017. Vol. 10, № 1. P. 101–107.</w:t>
      </w:r>
    </w:p>
    <w:p w14:paraId="466CA28A"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109.</w:t>
      </w:r>
      <w:r w:rsidRPr="004F29A0">
        <w:rPr>
          <w:rFonts w:cs="Times New Roman"/>
          <w:noProof/>
        </w:rPr>
        <w:tab/>
        <w:t>Habermalz B. et al. Laparoscopic splenectomy: The clinical practice guidelines of the European Association for Endoscopic Surgery (EAES) // Surgical Endoscopy and Other Interventional Techniques. Surg Endosc, 2008. Vol. 22, № 4. P. 821–848.</w:t>
      </w:r>
    </w:p>
    <w:p w14:paraId="50A4709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110.</w:t>
      </w:r>
      <w:r w:rsidRPr="004F29A0">
        <w:rPr>
          <w:rFonts w:cs="Times New Roman"/>
          <w:noProof/>
        </w:rPr>
        <w:tab/>
        <w:t>Welte K. et al. Purification and biochemical characterization of human pluripotent hematopoietic colony-stimulating factor // Proc. Natl. Acad. Sci. U. S. A. Proc Natl Acad Sci U S A, 1985. Vol. 82, № 5. P. 1526–1530.</w:t>
      </w:r>
    </w:p>
    <w:p w14:paraId="4F7FE5E9"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111.</w:t>
      </w:r>
      <w:r w:rsidRPr="004F29A0">
        <w:rPr>
          <w:rFonts w:cs="Times New Roman"/>
          <w:noProof/>
        </w:rPr>
        <w:tab/>
        <w:t>Krause D.S. et al. CD34: Structure, biology, and clinical utility // Blood. American Society of Hematology, 1996. Vol. 87, № 1. P. 1–13.</w:t>
      </w:r>
    </w:p>
    <w:p w14:paraId="78A3F70E"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112.</w:t>
      </w:r>
      <w:r w:rsidRPr="004F29A0">
        <w:rPr>
          <w:rFonts w:cs="Times New Roman"/>
          <w:noProof/>
        </w:rPr>
        <w:tab/>
        <w:t>Giralt S. et al. Optimizing autologous stem cell mobilization strategies to improve patient outcomes: Consensus guidelines and recommendations // Biology of Blood and Marrow Transplantation. Elsevier, 2014. Vol. 20, № 3. P. 295–308.</w:t>
      </w:r>
    </w:p>
    <w:p w14:paraId="4549C501"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113.</w:t>
      </w:r>
      <w:r w:rsidRPr="004F29A0">
        <w:rPr>
          <w:rFonts w:cs="Times New Roman"/>
          <w:noProof/>
        </w:rPr>
        <w:tab/>
        <w:t>Stiff P.J. et al. Transplanted CD34 + Cell Dose Is Associated with Long-Term Platelet Count Recovery following Autologous Peripheral Blood Stem Cell Transplant in Patients with Non-Hodgkin Lymphoma or Multiple Myeloma // Biol. Blood Marrow Transplant. Biol Blood Marrow Transplant, 2011. Vol. 17, № 8. P. 1146–1153.</w:t>
      </w:r>
    </w:p>
    <w:p w14:paraId="3A17870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114.</w:t>
      </w:r>
      <w:r w:rsidRPr="004F29A0">
        <w:rPr>
          <w:rFonts w:cs="Times New Roman"/>
          <w:noProof/>
        </w:rPr>
        <w:tab/>
        <w:t>Passos-Coelho J.L. et al. Predictive factors for peripheral-blood progenitor-cell collections using a single large-volume leukapheresis after cyclophosphamide and granulocyte- macrophage colony-stimulating factor mobilization // J. Clin. Oncol. American Society of Clinical Oncology, 1995. Vol. 13, № 3. P. 705–714.</w:t>
      </w:r>
    </w:p>
    <w:p w14:paraId="33A35B27"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115.</w:t>
      </w:r>
      <w:r w:rsidRPr="004F29A0">
        <w:rPr>
          <w:rFonts w:cs="Times New Roman"/>
          <w:noProof/>
        </w:rPr>
        <w:tab/>
        <w:t>Hohaus S. et al. Successful autografting following myeloablative conditioning therapy with blood stem cells mobilized by chemotherapy plus rhG-CSF. // Exp. Hematol. 1993. Vol. 21, № 4. P. 508–514.</w:t>
      </w:r>
    </w:p>
    <w:p w14:paraId="1CECB19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116.</w:t>
      </w:r>
      <w:r w:rsidRPr="004F29A0">
        <w:rPr>
          <w:rFonts w:cs="Times New Roman"/>
          <w:noProof/>
        </w:rPr>
        <w:tab/>
        <w:t>Покровская О.С., Менделеева Л.П., Гальцева И.В., Варламова Е.Ю., Капланская И.Б., Воробьев И.А., Грецов Е.М., Калинин Н.Н., Варламова С.В., Клясова Г.А., Тихонова Л.Ю. С.В.Г. Мобилизация гемопоэтических клеток крови у больных миеломной болезнью // Проблемы гематологии и переливания. 2003. P. 55–56.</w:t>
      </w:r>
    </w:p>
    <w:p w14:paraId="3F65160A"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117.</w:t>
      </w:r>
      <w:r w:rsidRPr="004F29A0">
        <w:rPr>
          <w:rFonts w:cs="Times New Roman"/>
          <w:noProof/>
        </w:rPr>
        <w:tab/>
        <w:t>Olivieri A. et al. Proposed definition of “poor mobilizer” in lymphoma and multiple myeloma: An analytic hierarchy process by ad hoc working group Gruppo ItalianoTrapianto di Midollo Osseo // Bone Marrow Transplant. Bone Marrow Transplant, 2012. Vol. 47, № 3. P. 342–351.</w:t>
      </w:r>
    </w:p>
    <w:p w14:paraId="240B5BF8"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118.</w:t>
      </w:r>
      <w:r w:rsidRPr="004F29A0">
        <w:rPr>
          <w:rFonts w:cs="Times New Roman"/>
          <w:noProof/>
        </w:rPr>
        <w:tab/>
        <w:t>Yang B.B., Kido A. Pharmacokinetics and pharmacodynamics of pegfilgrastim // Clinical Pharmacokinetics. Clin Pharmacokinet, 2011. Vol. 50, № 5. P. 295–306.</w:t>
      </w:r>
    </w:p>
    <w:p w14:paraId="62D406DE"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119.</w:t>
      </w:r>
      <w:r w:rsidRPr="004F29A0">
        <w:rPr>
          <w:rFonts w:cs="Times New Roman"/>
          <w:noProof/>
        </w:rPr>
        <w:tab/>
        <w:t>Costa L.J. et al. Pegfilgrastim-versus filgrastim-based autologous hematopoietic stem cell mobilization in the setting of preemptive use of plerixafor: Efficacy and cost analysis // Transfusion. Transfusion, 2012. Vol. 52, № 11. P. 2375–2381.</w:t>
      </w:r>
    </w:p>
    <w:p w14:paraId="7B186150"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120.</w:t>
      </w:r>
      <w:r w:rsidRPr="004F29A0">
        <w:rPr>
          <w:rFonts w:cs="Times New Roman"/>
          <w:noProof/>
        </w:rPr>
        <w:tab/>
        <w:t>Dale D.C. et al. A systematic literature review of the efficacy, effectiveness, and safety of filgrastim // Supportive Care in Cancer. Springer Verlag, 2018. Vol. 26, № 1. P. 7–20.</w:t>
      </w:r>
    </w:p>
    <w:p w14:paraId="715A4520"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121.</w:t>
      </w:r>
      <w:r w:rsidRPr="004F29A0">
        <w:rPr>
          <w:rFonts w:cs="Times New Roman"/>
          <w:noProof/>
        </w:rPr>
        <w:tab/>
        <w:t>Smith T.J. et al. Recommendations for the use of WBC growth factors: American society of clinical oncology clinical practice guideline update // J. Clin. Oncol. American Society of Clinical Oncology, 2015. Vol. 33, № 28. P. 3199–3212.</w:t>
      </w:r>
    </w:p>
    <w:p w14:paraId="2F1AE1A0"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122.</w:t>
      </w:r>
      <w:r w:rsidRPr="004F29A0">
        <w:rPr>
          <w:rFonts w:cs="Times New Roman"/>
          <w:noProof/>
        </w:rPr>
        <w:tab/>
        <w:t>Bilgin Y.M., De Greef G.E. Plerixafor for stem cell mobilization: The current status // Current Opinion in Hematology. Lippincott Williams and Wilkins, 2016. Vol. 23, № 1. P. 67–71.</w:t>
      </w:r>
    </w:p>
    <w:p w14:paraId="354E7A7D"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123.</w:t>
      </w:r>
      <w:r w:rsidRPr="004F29A0">
        <w:rPr>
          <w:rFonts w:cs="Times New Roman"/>
          <w:noProof/>
        </w:rPr>
        <w:tab/>
        <w:t>Бабенецкая Д.В., Моторин Д.В., Петров А.В., Алексеева Ю.А. З.А.Ю. 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 // Гематология и трансфузиология. 2017. № 62(4). P. 180-187.</w:t>
      </w:r>
    </w:p>
    <w:p w14:paraId="1EBDCC34"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124.</w:t>
      </w:r>
      <w:r w:rsidRPr="004F29A0">
        <w:rPr>
          <w:rFonts w:cs="Times New Roman"/>
          <w:noProof/>
        </w:rPr>
        <w:tab/>
        <w:t>Покровская О.С. 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 2011. Vol. 153. 29 p.</w:t>
      </w:r>
    </w:p>
    <w:p w14:paraId="724FA29B"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125.</w:t>
      </w:r>
      <w:r w:rsidRPr="004F29A0">
        <w:rPr>
          <w:rFonts w:cs="Times New Roman"/>
          <w:noProof/>
        </w:rPr>
        <w:tab/>
        <w:t>Афанасьева О.И., Воинов В.А. Г.Ю.С. Экстракорпоральная гемокоррекция: терминология, языковые соответствия. СПб, 2016. P. 7–15.</w:t>
      </w:r>
    </w:p>
    <w:p w14:paraId="741E0B97"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126.</w:t>
      </w:r>
      <w:r w:rsidRPr="004F29A0">
        <w:rPr>
          <w:rFonts w:cs="Times New Roman"/>
          <w:noProof/>
        </w:rPr>
        <w:tab/>
        <w:t>Ikeda K. et al. Adverse Events Associated With Infusion of Hematopoietic Stem Cell Products: A Prospective and Multicenter Surveillance Study // Transfusion Medicine Reviews. W.B. Saunders, 2018. Vol. 32, № 3. P. 186–194.</w:t>
      </w:r>
    </w:p>
    <w:p w14:paraId="3FAFA6A7"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127.</w:t>
      </w:r>
      <w:r w:rsidRPr="004F29A0">
        <w:rPr>
          <w:rFonts w:cs="Times New Roman"/>
          <w:noProof/>
        </w:rPr>
        <w:tab/>
        <w:t>Sutherland D.R. et al. The ISHAGE guidelines for CD34+ cell determination by flow cytometry // Journal of Hematotherapy and Stem Cell Research. J Hematother, 1996. Vol. 5, № 3. P. 213–226.</w:t>
      </w:r>
    </w:p>
    <w:p w14:paraId="509925D1"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128.</w:t>
      </w:r>
      <w:r w:rsidRPr="004F29A0">
        <w:rPr>
          <w:rFonts w:cs="Times New Roman"/>
          <w:noProof/>
        </w:rPr>
        <w:tab/>
        <w:t>Enric Carreras D.C., Mohty Mohamad K.N. Hematopoietic Stem Cell Transplantation and Cellular Therapies. 2019. 702 p.</w:t>
      </w:r>
    </w:p>
    <w:p w14:paraId="1E4C91E7"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129.</w:t>
      </w:r>
      <w:r w:rsidRPr="004F29A0">
        <w:rPr>
          <w:rFonts w:cs="Times New Roman"/>
          <w:noProof/>
        </w:rPr>
        <w:tab/>
        <w:t>Frankiewicz A. et al. Comparable safety profile of BeEAM (bendamustine, etoposide, cytarabine, melphalan) and BEAM (carmustine, etoposide, cytarabine, melphalan) as conditioning before autologous haematopoietic cell transplantation. // Contemp. Oncol. (Poznan, Poland). Termedia Publishing, 2018. Vol. 22, № 2. P. 113–117.</w:t>
      </w:r>
    </w:p>
    <w:p w14:paraId="7A860FA0"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130.</w:t>
      </w:r>
      <w:r w:rsidRPr="004F29A0">
        <w:rPr>
          <w:rFonts w:cs="Times New Roman"/>
          <w:noProof/>
        </w:rPr>
        <w:tab/>
        <w:t>Caballero M.D. et al. BEAM chemotherapy followed by autologous stem cell support in lymphoma patients: analysis of efficacy, toxicity and prognostic factors. // Bone Marrow Transplant. Bone Marrow Transplant, 1997. Vol. 20, № 6. P. 451–458.</w:t>
      </w:r>
    </w:p>
    <w:p w14:paraId="04125C9F"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131.</w:t>
      </w:r>
      <w:r w:rsidRPr="004F29A0">
        <w:rPr>
          <w:rFonts w:cs="Times New Roman"/>
          <w:noProof/>
        </w:rPr>
        <w:tab/>
        <w:t>Mills W. et al. BEAM chemotherapy and autologous bone marrow transplantation for patients with relapsed or refractory non-Hodgkin’s lymphoma. // J. Clin. Oncol. J Clin Oncol, 1995. Vol. 13, № 3. P. 588–595.</w:t>
      </w:r>
    </w:p>
    <w:p w14:paraId="4F77FE07"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132.</w:t>
      </w:r>
      <w:r w:rsidRPr="004F29A0">
        <w:rPr>
          <w:rFonts w:cs="Times New Roman"/>
          <w:noProof/>
        </w:rPr>
        <w:tab/>
        <w:t>Colita A. et al. LEAM vs. BEAM vs. CLV Conditioning Regimen for Autologous Stem Cell Transplantation in Malignant Lymphomas. Retrospective Comparison of Toxicity and Efficacy on 222 Patients in the First 100 Days After Transplant, On Behalf of the Romanian Society for Bon // Front. Oncol. 2019. Vol. 9. P. 892.</w:t>
      </w:r>
    </w:p>
    <w:p w14:paraId="49592A3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133.</w:t>
      </w:r>
      <w:r w:rsidRPr="004F29A0">
        <w:rPr>
          <w:rFonts w:cs="Times New Roman"/>
          <w:noProof/>
        </w:rPr>
        <w:tab/>
        <w:t>Sharma A. et al. Comparison of BEAM vs. LEAM regimen in autologous transplant for lymphoma at AIIMS. // Springerplus. Springerplus, 2013. Vol. 2. P. 489.</w:t>
      </w:r>
    </w:p>
    <w:p w14:paraId="7CB5210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134.</w:t>
      </w:r>
      <w:r w:rsidRPr="004F29A0">
        <w:rPr>
          <w:rFonts w:cs="Times New Roman"/>
          <w:noProof/>
        </w:rPr>
        <w:tab/>
        <w:t>Perz J.B. et al. LACE-conditioned autologous stem cell transplantation for relapsed or refractory Hodgkin’s lymphoma: treatment outcome and risk factor analysis in 67 patients from a single centre. // Bone Marrow Transplant. Bone Marrow Transplant, 2007. Vol. 39, № 1. P. 41–47.</w:t>
      </w:r>
    </w:p>
    <w:p w14:paraId="4BC0C0FD"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135.</w:t>
      </w:r>
      <w:r w:rsidRPr="004F29A0">
        <w:rPr>
          <w:rFonts w:cs="Times New Roman"/>
          <w:noProof/>
        </w:rPr>
        <w:tab/>
        <w:t>Ramzi M. et al. Autologous noncryopreserved hematopoietic stem cell transplant with CEAM as a modified conditioning regimen in patients with Hodgkin lymphoma: a single-center experience with a new protocol. // Exp. Clin. Transplant. Exp Clin Transplant, 2012. Vol. 10, № 2. P. 163–167.</w:t>
      </w:r>
    </w:p>
    <w:p w14:paraId="3CB893A2"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136.</w:t>
      </w:r>
      <w:r w:rsidRPr="004F29A0">
        <w:rPr>
          <w:rFonts w:cs="Times New Roman"/>
          <w:noProof/>
        </w:rPr>
        <w:tab/>
        <w:t>Visani G. et al. XRCC1 399GG genotype predicts significantly longer overall survival in resistant lymphoma patients treated with Benda-EAM and ASCT // Bone Marrow Transplant. Nature Publishing Group, 2020. Vol. 55, № 4. P. 818–820.</w:t>
      </w:r>
    </w:p>
    <w:p w14:paraId="10049302"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137.</w:t>
      </w:r>
      <w:r w:rsidRPr="004F29A0">
        <w:rPr>
          <w:rFonts w:cs="Times New Roman"/>
          <w:noProof/>
        </w:rPr>
        <w:tab/>
        <w:t>Visani G. et al. BeEAM (bendamustine, etoposide, cytarabine, melphalan) before autologous stem cell transplantation is safe and effective for resistant/relapsed lymphoma patients. // Blood. 2011. Vol. 118, № 12. P. 3419–3425.</w:t>
      </w:r>
    </w:p>
    <w:p w14:paraId="1A886F72"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138.</w:t>
      </w:r>
      <w:r w:rsidRPr="004F29A0">
        <w:rPr>
          <w:rFonts w:cs="Times New Roman"/>
          <w:noProof/>
        </w:rPr>
        <w:tab/>
        <w:t>Lanas A., Chan F.K.L. Peptic ulcer disease. // Lancet (London, England). Lancet, 2017. Vol. 390, № 10094. P. 613–624.</w:t>
      </w:r>
    </w:p>
    <w:p w14:paraId="7F28395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139.</w:t>
      </w:r>
      <w:r w:rsidRPr="004F29A0">
        <w:rPr>
          <w:rFonts w:cs="Times New Roman"/>
          <w:noProof/>
        </w:rPr>
        <w:tab/>
        <w:t>Auner H.W. et al. Infectious complications after autologous hematopoietic stem cell transplantation: Comparison of patients with acute myeloid leukemia, malignant lymphoma, and multiple myeloma // Ann. Hematol. Ann Hematol, 2002. Vol. 81, № 7. P. 374–377.</w:t>
      </w:r>
    </w:p>
    <w:p w14:paraId="452C78AD"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140.</w:t>
      </w:r>
      <w:r w:rsidRPr="004F29A0">
        <w:rPr>
          <w:rFonts w:cs="Times New Roman"/>
          <w:noProof/>
        </w:rPr>
        <w:tab/>
        <w:t>Gil L., Styczynski J., Komarnicki M. Infectious complication in 314 patients after high-dose therapy and autologous hematopoietic stem cell transplantation: Risk factors analysis and outcome // Infection. Infection, 2007. Vol. 35, № 6. P. 421–427.</w:t>
      </w:r>
    </w:p>
    <w:p w14:paraId="561E55FE"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141.</w:t>
      </w:r>
      <w:r w:rsidRPr="004F29A0">
        <w:rPr>
          <w:rFonts w:cs="Times New Roman"/>
          <w:noProof/>
        </w:rPr>
        <w:tab/>
        <w:t>Eleutherakis-Papaiakovou E. et al. Prophylactic antibiotics for the prevention of neutropenic fever in patients undergoing autologous stem-cell transplantation: Results of a single institution, randomized phase 2 trial // Am. J. Hematol. Am J Hematol, 2010. Vol. 85, № 11. P. 863–867.</w:t>
      </w:r>
    </w:p>
    <w:p w14:paraId="64D5E69C"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142.</w:t>
      </w:r>
      <w:r w:rsidRPr="004F29A0">
        <w:rPr>
          <w:rFonts w:cs="Times New Roman"/>
          <w:noProof/>
        </w:rPr>
        <w:tab/>
        <w:t>Neumann S. et al. Primary prophylaxis of bacterial infections and Pneumocystis jirovecii pneumonia in patients with hematological malignancies and solid tumors: Guidelines of the Infectious Diseases Working Party (AGIHO) of the German Society of Hematology and Oncology (DG // Annals of Hematology. Ann Hematol, 2013. Vol. 92, № 4. P. 433–442.</w:t>
      </w:r>
    </w:p>
    <w:p w14:paraId="7CFCD9BE"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143.</w:t>
      </w:r>
      <w:r w:rsidRPr="004F29A0">
        <w:rPr>
          <w:rFonts w:cs="Times New Roman"/>
          <w:noProof/>
        </w:rPr>
        <w:tab/>
        <w:t>Moghnieh R. et al. Bacteraemia post-autologous haematopoietic stem cell transplantation in the absence of antibacterial prophylaxis: a decade’s experience from Lebanon // Infection. Urban und Vogel GmbH, 2018. Vol. 46, № 6.</w:t>
      </w:r>
    </w:p>
    <w:p w14:paraId="0B3A3D8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144.</w:t>
      </w:r>
      <w:r w:rsidRPr="004F29A0">
        <w:rPr>
          <w:rFonts w:cs="Times New Roman"/>
          <w:noProof/>
        </w:rPr>
        <w:tab/>
        <w:t>Клясова Г.А. et al. Эмпирическая антимикробная терапия у больных острыми лейкозами: итоги многоцентрового исследования // Терапевтический архив. 1998. Vol. 70, № 7. P. 15–21.</w:t>
      </w:r>
    </w:p>
    <w:p w14:paraId="5456D595"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145.</w:t>
      </w:r>
      <w:r w:rsidRPr="004F29A0">
        <w:rPr>
          <w:rFonts w:cs="Times New Roman"/>
          <w:noProof/>
        </w:rPr>
        <w:tab/>
        <w:t>Савченко В.Г. и др. Алгоритмы диагностики и протоколы лечения заболеваний системы крови. Москва: Практика, 2018. 1008 p.</w:t>
      </w:r>
    </w:p>
    <w:p w14:paraId="224C8CCC"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146.</w:t>
      </w:r>
      <w:r w:rsidRPr="004F29A0">
        <w:rPr>
          <w:rFonts w:cs="Times New Roman"/>
          <w:noProof/>
        </w:rPr>
        <w:tab/>
        <w:t>Terpos E. et al. European myeloma network guidelines for the management of multiple myeloma-related complications // Haematologica. Ferrata Storti Foundation, 2015. Vol. 100, № 10. P. 1254–1266.</w:t>
      </w:r>
    </w:p>
    <w:p w14:paraId="6DC2358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147.</w:t>
      </w:r>
      <w:r w:rsidRPr="004F29A0">
        <w:rPr>
          <w:rFonts w:cs="Times New Roman"/>
          <w:noProof/>
        </w:rPr>
        <w:tab/>
        <w:t>Сытов А.В., Лейдерман И.Н., Ломидзе С.В., Нехаев И.В. Х.А.Ж.. Практические рекомендации по нутритивной поддержке онкологических больных // RUSSCO. 2017. P. 524–532.</w:t>
      </w:r>
    </w:p>
    <w:p w14:paraId="4E8BE6C3"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148.</w:t>
      </w:r>
      <w:r w:rsidRPr="004F29A0">
        <w:rPr>
          <w:rFonts w:cs="Times New Roman"/>
          <w:noProof/>
        </w:rPr>
        <w:tab/>
        <w:t>Virizuela J.A. et al. Nutritional support and parenteral nutrition in cancer patients: an expert consensus report // Clin. Transl. Oncol. Springer-Verlag Italia s.r.l., 2018. Vol. 20, № 5. P. 619–629.</w:t>
      </w:r>
    </w:p>
    <w:p w14:paraId="6820B090"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149.</w:t>
      </w:r>
      <w:r w:rsidRPr="004F29A0">
        <w:rPr>
          <w:rFonts w:cs="Times New Roman"/>
          <w:noProof/>
        </w:rPr>
        <w:tab/>
        <w:t>Бесова Н.С., Борисова Т.Н., Ларионова В.Б., Лейдерман И.Н., Обухова О.А., Попова Т.С., Салтанов А.И., Сельчук В.Ю., Снеговой А.В., Ткачев С.И., Тюляндин С.А. Ш.А.И. Клинические рекомендации по нутритивной поддержке при химиотерапии и/или лучевой терапии. 2014.</w:t>
      </w:r>
    </w:p>
    <w:p w14:paraId="49226977"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150.</w:t>
      </w:r>
      <w:r w:rsidRPr="004F29A0">
        <w:rPr>
          <w:rFonts w:cs="Times New Roman"/>
          <w:noProof/>
        </w:rPr>
        <w:tab/>
        <w:t>Arends J. et al. ESPEN guidelines on nutrition in cancer patients // Clin. Nutr. Churchill Livingstone, 2017. Vol. 36, № 1. P. 11–48.</w:t>
      </w:r>
    </w:p>
    <w:p w14:paraId="4834DC50"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151.</w:t>
      </w:r>
      <w:r w:rsidRPr="004F29A0">
        <w:rPr>
          <w:rFonts w:cs="Times New Roman"/>
          <w:noProof/>
        </w:rPr>
        <w:tab/>
        <w:t>Camblor-Álvarez M. et al. Soporte nutricional y nutrición parenteral en el paciente oncológico: informe de consenso de un grupo de expertos // Nutr. Hosp. ARAN Ediciones, 2018. Vol. 35, № 1.</w:t>
      </w:r>
    </w:p>
    <w:p w14:paraId="2EF4B9FD" w14:textId="77777777" w:rsidR="004F29A0" w:rsidRPr="004F29A0" w:rsidRDefault="004F29A0" w:rsidP="004F29A0">
      <w:pPr>
        <w:widowControl w:val="0"/>
        <w:autoSpaceDE w:val="0"/>
        <w:autoSpaceDN w:val="0"/>
        <w:adjustRightInd w:val="0"/>
        <w:ind w:left="640" w:hanging="640"/>
        <w:rPr>
          <w:rFonts w:cs="Times New Roman"/>
          <w:noProof/>
        </w:rPr>
      </w:pPr>
      <w:r w:rsidRPr="004F29A0">
        <w:rPr>
          <w:rFonts w:cs="Times New Roman"/>
          <w:noProof/>
        </w:rPr>
        <w:t>152.</w:t>
      </w:r>
      <w:r w:rsidRPr="004F29A0">
        <w:rPr>
          <w:rFonts w:cs="Times New Roman"/>
          <w:noProof/>
        </w:rPr>
        <w:tab/>
        <w:t>Baiu I., Spain D.A. Parenteral Nutrition // JAMA - Journal of the American Medical Association. American Medical Association, 2019. Vol. 321, № 21. P. 2142.</w:t>
      </w:r>
    </w:p>
    <w:p w14:paraId="439F84B5" w14:textId="7D8FD8FA" w:rsidR="00004D38" w:rsidRPr="00FE2263" w:rsidRDefault="00004D38" w:rsidP="004F29A0">
      <w:pPr>
        <w:widowControl w:val="0"/>
        <w:autoSpaceDE w:val="0"/>
        <w:autoSpaceDN w:val="0"/>
        <w:adjustRightInd w:val="0"/>
        <w:ind w:left="640" w:hanging="640"/>
      </w:pPr>
      <w:r w:rsidRPr="00FE2263">
        <w:fldChar w:fldCharType="end"/>
      </w:r>
    </w:p>
    <w:p w14:paraId="3EAA0248" w14:textId="6070F64D" w:rsidR="000414F6" w:rsidRPr="00FE2263" w:rsidRDefault="00CB71DA" w:rsidP="00FA741B">
      <w:pPr>
        <w:pStyle w:val="afff2"/>
      </w:pPr>
      <w:bookmarkStart w:id="97" w:name="__RefHeading___doc_a1"/>
      <w:bookmarkStart w:id="98" w:name="_Toc66184337"/>
      <w:r w:rsidRPr="00FE2263">
        <w:t>Приложение А1. Состав рабочей группы</w:t>
      </w:r>
      <w:bookmarkEnd w:id="97"/>
      <w:r w:rsidR="005627B3" w:rsidRPr="00FE2263">
        <w:t xml:space="preserve"> по разработке и пересмотру клинических рекомендаций</w:t>
      </w:r>
      <w:bookmarkEnd w:id="98"/>
    </w:p>
    <w:p w14:paraId="1B265036" w14:textId="77777777" w:rsidR="00A2640D" w:rsidRPr="00FE2263" w:rsidRDefault="00A2640D" w:rsidP="00F817BC"/>
    <w:p w14:paraId="27DFE91B" w14:textId="77777777" w:rsidR="00A2640D" w:rsidRPr="00FE2263" w:rsidRDefault="00A2640D" w:rsidP="0010608C">
      <w:pPr>
        <w:pStyle w:val="afd"/>
        <w:numPr>
          <w:ilvl w:val="0"/>
          <w:numId w:val="6"/>
        </w:numPr>
        <w:spacing w:beforeAutospacing="0" w:afterAutospacing="0" w:line="360" w:lineRule="auto"/>
        <w:ind w:left="357" w:hanging="357"/>
      </w:pPr>
      <w:r w:rsidRPr="00FE2263">
        <w:rPr>
          <w:rStyle w:val="affb"/>
        </w:rPr>
        <w:t>Вотякова Ольга Михайловна</w:t>
      </w:r>
      <w:r w:rsidRPr="00FE2263">
        <w:t xml:space="preserve"> – кандидат медицинских наук, старший научный сотрудник ФГБУ РОНЦ МЗ РФ, член Российского профессионального общества онкогематологов</w:t>
      </w:r>
    </w:p>
    <w:p w14:paraId="53FE8135" w14:textId="77777777" w:rsidR="00A2640D" w:rsidRPr="00FE2263" w:rsidRDefault="00A2640D" w:rsidP="0010608C">
      <w:pPr>
        <w:pStyle w:val="afd"/>
        <w:numPr>
          <w:ilvl w:val="0"/>
          <w:numId w:val="6"/>
        </w:numPr>
        <w:spacing w:beforeAutospacing="0" w:afterAutospacing="0" w:line="360" w:lineRule="auto"/>
        <w:ind w:left="357" w:hanging="357"/>
      </w:pPr>
      <w:r w:rsidRPr="00FE2263">
        <w:rPr>
          <w:rStyle w:val="affb"/>
        </w:rPr>
        <w:t xml:space="preserve">Менделеева Лариса Павловна </w:t>
      </w:r>
      <w:r w:rsidRPr="00FE2263">
        <w:t>– доктор медицинских наук, заместитель генерального директора ФГБУ ГНЦ МЗ РФ по научной работе и инновациям, член Национального гематологического общества, член Российского профессионального общества онкогематологов</w:t>
      </w:r>
    </w:p>
    <w:p w14:paraId="65AFA445" w14:textId="77777777" w:rsidR="00A2640D" w:rsidRPr="00FE2263" w:rsidRDefault="00A2640D" w:rsidP="0010608C">
      <w:pPr>
        <w:pStyle w:val="afe"/>
        <w:numPr>
          <w:ilvl w:val="0"/>
          <w:numId w:val="6"/>
        </w:numPr>
        <w:ind w:left="357" w:hanging="357"/>
      </w:pPr>
      <w:r w:rsidRPr="00FE2263">
        <w:rPr>
          <w:b/>
          <w:bCs/>
        </w:rPr>
        <w:t xml:space="preserve">Стадник Елена Александровна </w:t>
      </w:r>
      <w:r w:rsidRPr="00FE2263">
        <w:t>–</w:t>
      </w:r>
      <w:r w:rsidRPr="00FE2263">
        <w:rPr>
          <w:b/>
          <w:bCs/>
        </w:rPr>
        <w:t xml:space="preserve"> </w:t>
      </w:r>
      <w:r w:rsidRPr="00FE2263">
        <w:t>к.м.н., доцент кафедры факультетской терапии ФГБОУ ВО «ПСПбГМУ им. И.П. Павлова» Минздрава России, старший научный сотрудник ФГБУ «НМИЦ им. В. А. Алмазова» Минздрава России, член Российского общества онкогематологов.</w:t>
      </w:r>
    </w:p>
    <w:p w14:paraId="1E3DD8FD" w14:textId="77777777" w:rsidR="00A2640D" w:rsidRPr="00FE2263" w:rsidRDefault="00A2640D" w:rsidP="0010608C">
      <w:pPr>
        <w:pStyle w:val="afe"/>
        <w:numPr>
          <w:ilvl w:val="0"/>
          <w:numId w:val="6"/>
        </w:numPr>
        <w:ind w:left="357" w:hanging="357"/>
      </w:pPr>
      <w:r w:rsidRPr="00FE2263">
        <w:rPr>
          <w:b/>
        </w:rPr>
        <w:t xml:space="preserve">Фалалеева Наталья Александровна </w:t>
      </w:r>
      <w:r w:rsidRPr="00FE2263">
        <w:t>– д.м.н., зав. отделением противоопухолевого лекарственного лечения МРНЦ им. А.Ф. Цыба – филиал ФГБУ «НМИЦ радиологии» Минздрава России, член Ассоциации онкологов России и Российской Ассоциации терапевтических радиационных онкологов.</w:t>
      </w:r>
    </w:p>
    <w:p w14:paraId="45BA274B" w14:textId="77777777" w:rsidR="00A2640D" w:rsidRPr="00FE2263" w:rsidRDefault="00A2640D" w:rsidP="0010608C">
      <w:pPr>
        <w:pStyle w:val="afe"/>
        <w:numPr>
          <w:ilvl w:val="0"/>
          <w:numId w:val="6"/>
        </w:numPr>
        <w:ind w:left="357" w:hanging="357"/>
      </w:pPr>
      <w:r w:rsidRPr="00FE2263">
        <w:rPr>
          <w:b/>
        </w:rPr>
        <w:t xml:space="preserve">Стефанов Дмитрий Николаевич </w:t>
      </w:r>
      <w:r w:rsidRPr="00FE2263">
        <w:t>– научный сотрудник, зав. научно-организационным отделом, ФГБУ «НМИЦ ДГОИ им. Дмитрия Рогачева» Минздрава России, член Российского общества онкогематологов</w:t>
      </w:r>
    </w:p>
    <w:p w14:paraId="118249BB" w14:textId="77777777" w:rsidR="00A2640D" w:rsidRPr="00FE2263" w:rsidRDefault="00A2640D" w:rsidP="0010608C">
      <w:pPr>
        <w:pStyle w:val="afe"/>
        <w:numPr>
          <w:ilvl w:val="0"/>
          <w:numId w:val="6"/>
        </w:numPr>
      </w:pPr>
      <w:r w:rsidRPr="00FE2263">
        <w:rPr>
          <w:b/>
        </w:rPr>
        <w:t xml:space="preserve">Поддубная Ирина Владимировна </w:t>
      </w:r>
      <w:r w:rsidRPr="00FE2263">
        <w:t>– академик РАН, заслуженный деятель образования РФ, д.м.н., профессор, зав. кафедрой онкологии и паллиативной медицины, проректор по лечебной работе и международному сотрудничеству ГБОУ ДПО РМАНПО Минздрава России, председатель Российского общества онкогематологов.</w:t>
      </w:r>
    </w:p>
    <w:p w14:paraId="4E534A79" w14:textId="77777777" w:rsidR="00A2640D" w:rsidRPr="00FE2263" w:rsidRDefault="00A2640D" w:rsidP="0010608C">
      <w:pPr>
        <w:pStyle w:val="afe"/>
        <w:numPr>
          <w:ilvl w:val="0"/>
          <w:numId w:val="6"/>
        </w:numPr>
      </w:pPr>
      <w:r w:rsidRPr="00FE2263">
        <w:rPr>
          <w:b/>
          <w:bCs/>
        </w:rPr>
        <w:t xml:space="preserve">Мякова Наталья Валерьевна </w:t>
      </w:r>
      <w:r w:rsidRPr="00FE2263">
        <w:t>– д.м.н., профессор, Заместитель главного врача по лечебной работе, зав. отделением онкогематологии ФГБУ «НМИЦ ДГОИ им. Дмитрия Рогачева» Минздрава России, член Национального общества детских гематологов и онкологов</w:t>
      </w:r>
    </w:p>
    <w:p w14:paraId="6C5CDEFE" w14:textId="77777777" w:rsidR="00A2640D" w:rsidRPr="00FE2263" w:rsidRDefault="00A2640D" w:rsidP="0010608C">
      <w:pPr>
        <w:pStyle w:val="Default"/>
        <w:numPr>
          <w:ilvl w:val="0"/>
          <w:numId w:val="6"/>
        </w:numPr>
        <w:spacing w:line="360" w:lineRule="auto"/>
      </w:pPr>
      <w:r w:rsidRPr="00FE2263">
        <w:rPr>
          <w:b/>
          <w:bCs/>
        </w:rPr>
        <w:t>Невольских Алексей Алексеевич</w:t>
      </w:r>
      <w:r w:rsidRPr="00FE2263">
        <w:t xml:space="preserve"> – д.м.н., заместитель директора по лечебной работе МРНЦ им. А.Ф. Цыба – филиал ФГБУ «НМИЦ радиологии» Минздрава России.</w:t>
      </w:r>
    </w:p>
    <w:p w14:paraId="41E3AAB6" w14:textId="77777777" w:rsidR="00A2640D" w:rsidRPr="00FE2263" w:rsidRDefault="00A2640D" w:rsidP="0010608C">
      <w:pPr>
        <w:pStyle w:val="Default"/>
        <w:numPr>
          <w:ilvl w:val="0"/>
          <w:numId w:val="6"/>
        </w:numPr>
        <w:spacing w:line="360" w:lineRule="auto"/>
      </w:pPr>
      <w:r w:rsidRPr="00FE2263">
        <w:rPr>
          <w:b/>
          <w:bCs/>
        </w:rPr>
        <w:t>Иванов Сергей Анатольевич</w:t>
      </w:r>
      <w:r w:rsidRPr="00FE2263">
        <w:t xml:space="preserve"> – профессор РАН, д.м.н., директор МРНЦ им. А.Ф. Цыба – филиал ФГБУ «НМИЦ радиологии» Минздрава России.</w:t>
      </w:r>
    </w:p>
    <w:p w14:paraId="5618EC72" w14:textId="77777777" w:rsidR="00A2640D" w:rsidRPr="00FE2263" w:rsidRDefault="00A2640D" w:rsidP="0010608C">
      <w:pPr>
        <w:pStyle w:val="Default"/>
        <w:numPr>
          <w:ilvl w:val="0"/>
          <w:numId w:val="6"/>
        </w:numPr>
        <w:spacing w:line="360" w:lineRule="auto"/>
      </w:pPr>
      <w:r w:rsidRPr="00FE2263">
        <w:rPr>
          <w:b/>
          <w:bCs/>
        </w:rPr>
        <w:t>Хайлова Жанна Владимировна</w:t>
      </w:r>
      <w:r w:rsidRPr="00FE2263">
        <w:t xml:space="preserve"> – кандидат медицинских наук, заместитель директора по организационно-методической работе МРНЦ им. А.Ф. Цыба – филиал ФГБУ «НМИЦ радиологии» Минздрава России.</w:t>
      </w:r>
    </w:p>
    <w:p w14:paraId="1533B393" w14:textId="77777777" w:rsidR="00A2640D" w:rsidRPr="00FE2263" w:rsidRDefault="00A2640D" w:rsidP="0010608C">
      <w:pPr>
        <w:numPr>
          <w:ilvl w:val="0"/>
          <w:numId w:val="6"/>
        </w:numPr>
      </w:pPr>
      <w:r w:rsidRPr="00FE2263">
        <w:rPr>
          <w:b/>
          <w:bCs/>
          <w:shd w:val="clear" w:color="auto" w:fill="FFFFFF"/>
        </w:rPr>
        <w:t>Геворкян Тигран Гагикович</w:t>
      </w:r>
      <w:r w:rsidRPr="00FE2263">
        <w:rPr>
          <w:shd w:val="clear" w:color="auto" w:fill="FFFFFF"/>
        </w:rPr>
        <w:t xml:space="preserve"> – заместитель директора НИИ КЭР ФГБУ «НМИЦ онкологии им. Н.Н. Блохина».</w:t>
      </w:r>
    </w:p>
    <w:p w14:paraId="7B7CBFED" w14:textId="77777777" w:rsidR="00A2640D" w:rsidRPr="00FE2263" w:rsidRDefault="00A2640D" w:rsidP="00C46D62"/>
    <w:p w14:paraId="7BDBE9C5" w14:textId="77777777" w:rsidR="00A2640D" w:rsidRPr="00FE2263" w:rsidRDefault="00A2640D" w:rsidP="00C46D62">
      <w:pPr>
        <w:rPr>
          <w:b/>
        </w:rPr>
      </w:pPr>
      <w:r w:rsidRPr="00FE2263">
        <w:rPr>
          <w:b/>
        </w:rPr>
        <w:t>Конфликт интересов отсутствует.</w:t>
      </w:r>
    </w:p>
    <w:p w14:paraId="3EA42261" w14:textId="77777777" w:rsidR="00A2640D" w:rsidRPr="00FE2263" w:rsidRDefault="00A2640D" w:rsidP="00C46D62">
      <w:pPr>
        <w:rPr>
          <w:b/>
          <w:bCs/>
        </w:rPr>
      </w:pPr>
    </w:p>
    <w:p w14:paraId="39C7A7CC" w14:textId="77777777" w:rsidR="000414F6" w:rsidRPr="00FE2263" w:rsidRDefault="00CB71DA" w:rsidP="00FA741B">
      <w:pPr>
        <w:pStyle w:val="afff2"/>
      </w:pPr>
      <w:r w:rsidRPr="00FE2263">
        <w:br w:type="page"/>
      </w:r>
      <w:bookmarkStart w:id="99" w:name="__RefHeading___doc_a2"/>
      <w:bookmarkStart w:id="100" w:name="_Toc11747752"/>
      <w:bookmarkStart w:id="101" w:name="_Toc66184338"/>
      <w:r w:rsidRPr="00FE2263">
        <w:t>Приложение А2. Методология разработки клинических рекомендаций</w:t>
      </w:r>
      <w:bookmarkEnd w:id="99"/>
      <w:bookmarkEnd w:id="100"/>
      <w:bookmarkEnd w:id="101"/>
    </w:p>
    <w:p w14:paraId="3B7D1EAB" w14:textId="77777777" w:rsidR="00B16138" w:rsidRPr="00FE2263" w:rsidRDefault="00B16138" w:rsidP="00004D38">
      <w:pPr>
        <w:pStyle w:val="afd"/>
        <w:spacing w:beforeAutospacing="0" w:afterAutospacing="0" w:line="360" w:lineRule="auto"/>
        <w:divId w:val="1333020968"/>
      </w:pPr>
      <w:bookmarkStart w:id="102" w:name="_Ref515967586"/>
      <w:r w:rsidRPr="00FE2263">
        <w:rPr>
          <w:rStyle w:val="affb"/>
          <w:u w:val="single"/>
        </w:rPr>
        <w:t>Целевая аудитория данных клинических рекомендаций:</w:t>
      </w:r>
    </w:p>
    <w:p w14:paraId="4A0E4CA1" w14:textId="45EB04AE" w:rsidR="00B16138" w:rsidRPr="00FE2263" w:rsidRDefault="00004D38" w:rsidP="0010608C">
      <w:pPr>
        <w:pStyle w:val="afd"/>
        <w:numPr>
          <w:ilvl w:val="0"/>
          <w:numId w:val="9"/>
        </w:numPr>
        <w:spacing w:beforeAutospacing="0" w:afterAutospacing="0" w:line="360" w:lineRule="auto"/>
        <w:jc w:val="left"/>
        <w:divId w:val="1333020968"/>
      </w:pPr>
      <w:r w:rsidRPr="00FE2263">
        <w:t>Врачи-гематологи</w:t>
      </w:r>
    </w:p>
    <w:p w14:paraId="219E9368" w14:textId="142E347F" w:rsidR="00B16138" w:rsidRPr="00FE2263" w:rsidRDefault="00004D38" w:rsidP="0010608C">
      <w:pPr>
        <w:pStyle w:val="afd"/>
        <w:numPr>
          <w:ilvl w:val="0"/>
          <w:numId w:val="9"/>
        </w:numPr>
        <w:spacing w:beforeAutospacing="0" w:afterAutospacing="0" w:line="360" w:lineRule="auto"/>
        <w:jc w:val="left"/>
        <w:divId w:val="1333020968"/>
      </w:pPr>
      <w:r w:rsidRPr="00FE2263">
        <w:t>Врачи-онкологи</w:t>
      </w:r>
    </w:p>
    <w:p w14:paraId="4BA0B484" w14:textId="291E2A70" w:rsidR="00004D38" w:rsidRPr="00FE2263" w:rsidRDefault="00004D38" w:rsidP="0010608C">
      <w:pPr>
        <w:pStyle w:val="afd"/>
        <w:numPr>
          <w:ilvl w:val="0"/>
          <w:numId w:val="9"/>
        </w:numPr>
        <w:spacing w:beforeAutospacing="0" w:afterAutospacing="0" w:line="360" w:lineRule="auto"/>
        <w:jc w:val="left"/>
        <w:divId w:val="1333020968"/>
      </w:pPr>
      <w:r w:rsidRPr="00FE2263">
        <w:t>Врачи-детские гематологи-онкологи</w:t>
      </w:r>
    </w:p>
    <w:p w14:paraId="054ED060" w14:textId="2DE8E939" w:rsidR="00004D38" w:rsidRPr="00FE2263" w:rsidRDefault="00004D38" w:rsidP="0010608C">
      <w:pPr>
        <w:pStyle w:val="afd"/>
        <w:numPr>
          <w:ilvl w:val="0"/>
          <w:numId w:val="9"/>
        </w:numPr>
        <w:spacing w:beforeAutospacing="0" w:afterAutospacing="0" w:line="360" w:lineRule="auto"/>
        <w:jc w:val="left"/>
        <w:divId w:val="1333020968"/>
      </w:pPr>
      <w:r w:rsidRPr="00FE2263">
        <w:t>Студенты медицинских ВУЗов</w:t>
      </w:r>
    </w:p>
    <w:p w14:paraId="5B89CB3B" w14:textId="77777777" w:rsidR="00B16138" w:rsidRPr="00FE2263" w:rsidRDefault="00B16138" w:rsidP="00004D38">
      <w:pPr>
        <w:pStyle w:val="afd"/>
        <w:spacing w:beforeAutospacing="0" w:afterAutospacing="0" w:line="360" w:lineRule="auto"/>
        <w:divId w:val="1333020968"/>
      </w:pPr>
      <w:r w:rsidRPr="00FE2263">
        <w:rPr>
          <w:rStyle w:val="affb"/>
          <w:u w:val="single"/>
        </w:rPr>
        <w:t>Методология сбора доказательств</w:t>
      </w:r>
    </w:p>
    <w:p w14:paraId="50467717" w14:textId="77777777" w:rsidR="00B16138" w:rsidRPr="00FE2263" w:rsidRDefault="00B16138" w:rsidP="00004D38">
      <w:pPr>
        <w:pStyle w:val="afd"/>
        <w:spacing w:beforeAutospacing="0" w:afterAutospacing="0" w:line="360" w:lineRule="auto"/>
        <w:divId w:val="1333020968"/>
      </w:pPr>
      <w:r w:rsidRPr="00FE2263">
        <w:rPr>
          <w:rStyle w:val="affb"/>
        </w:rPr>
        <w:t>Методы, использованные для сбора / селекции доказательств:</w:t>
      </w:r>
    </w:p>
    <w:p w14:paraId="3A539355" w14:textId="77777777" w:rsidR="00B16138" w:rsidRPr="00FE2263" w:rsidRDefault="00B16138" w:rsidP="00004D38">
      <w:pPr>
        <w:pStyle w:val="afd"/>
        <w:spacing w:beforeAutospacing="0" w:afterAutospacing="0" w:line="360" w:lineRule="auto"/>
        <w:divId w:val="1333020968"/>
      </w:pPr>
      <w:r w:rsidRPr="00FE2263">
        <w:t>Поиск публикаций в специализированных периодических печатных изданиях с импакт-фактором &gt; 0.3, поиск в электронных базах данных.</w:t>
      </w:r>
    </w:p>
    <w:p w14:paraId="334805E3" w14:textId="77777777" w:rsidR="00B16138" w:rsidRPr="00FE2263" w:rsidRDefault="00B16138" w:rsidP="00004D38">
      <w:pPr>
        <w:pStyle w:val="afd"/>
        <w:spacing w:beforeAutospacing="0" w:afterAutospacing="0" w:line="360" w:lineRule="auto"/>
        <w:divId w:val="1333020968"/>
      </w:pPr>
      <w:r w:rsidRPr="00FE2263">
        <w:rPr>
          <w:rStyle w:val="affb"/>
        </w:rPr>
        <w:t>Базы данных, использованных для сбора / селекции доказательств:</w:t>
      </w:r>
    </w:p>
    <w:p w14:paraId="6D169F6B" w14:textId="77777777" w:rsidR="00B16138" w:rsidRPr="00FE2263" w:rsidRDefault="00B16138" w:rsidP="00004D38">
      <w:pPr>
        <w:pStyle w:val="afd"/>
        <w:spacing w:beforeAutospacing="0" w:afterAutospacing="0" w:line="360" w:lineRule="auto"/>
        <w:divId w:val="1333020968"/>
      </w:pPr>
      <w:r w:rsidRPr="00FE2263">
        <w:t>Доказательной базой для рекомендаций являются публикации, вошедшие в Кохрайновскую библиотеку, базы данных PUBMED и MEDLINE. Глубина поиска составляла 30 лет.</w:t>
      </w:r>
    </w:p>
    <w:p w14:paraId="17EEB06D" w14:textId="77777777" w:rsidR="00B16138" w:rsidRPr="00FE2263" w:rsidRDefault="00B16138" w:rsidP="00004D38">
      <w:pPr>
        <w:pStyle w:val="afd"/>
        <w:spacing w:beforeAutospacing="0" w:afterAutospacing="0" w:line="360" w:lineRule="auto"/>
        <w:divId w:val="1333020968"/>
      </w:pPr>
      <w:r w:rsidRPr="00FE2263">
        <w:rPr>
          <w:rStyle w:val="affb"/>
        </w:rPr>
        <w:t>Методы, использованные для анализа доказательств:</w:t>
      </w:r>
    </w:p>
    <w:p w14:paraId="3AF31672" w14:textId="77777777" w:rsidR="00B16138" w:rsidRPr="00FE2263" w:rsidRDefault="00B16138" w:rsidP="0010608C">
      <w:pPr>
        <w:pStyle w:val="afd"/>
        <w:numPr>
          <w:ilvl w:val="0"/>
          <w:numId w:val="10"/>
        </w:numPr>
        <w:spacing w:beforeAutospacing="0" w:afterAutospacing="0" w:line="360" w:lineRule="auto"/>
        <w:jc w:val="left"/>
        <w:divId w:val="1333020968"/>
      </w:pPr>
      <w:r w:rsidRPr="00FE2263">
        <w:t>Обзоры опубликованных мета-анализов;</w:t>
      </w:r>
    </w:p>
    <w:p w14:paraId="1AB0ECE2" w14:textId="77777777" w:rsidR="00B16138" w:rsidRPr="00FE2263" w:rsidRDefault="00B16138" w:rsidP="0010608C">
      <w:pPr>
        <w:pStyle w:val="afd"/>
        <w:numPr>
          <w:ilvl w:val="0"/>
          <w:numId w:val="10"/>
        </w:numPr>
        <w:spacing w:beforeAutospacing="0" w:afterAutospacing="0" w:line="360" w:lineRule="auto"/>
        <w:jc w:val="left"/>
        <w:divId w:val="1333020968"/>
      </w:pPr>
      <w:r w:rsidRPr="00FE2263">
        <w:t>Систематические обзоры с таблицами доказательств.</w:t>
      </w:r>
    </w:p>
    <w:p w14:paraId="107C48EF" w14:textId="4E631AB2" w:rsidR="00A91645" w:rsidRPr="00FE2263" w:rsidRDefault="00A91645" w:rsidP="00F817BC">
      <w:pPr>
        <w:divId w:val="1333020968"/>
        <w:rPr>
          <w:rFonts w:eastAsia="Calibri"/>
        </w:rPr>
      </w:pPr>
      <w:r w:rsidRPr="00FE2263">
        <w:rPr>
          <w:b/>
        </w:rPr>
        <w:t xml:space="preserve">Таблица </w:t>
      </w:r>
      <w:r w:rsidRPr="00FE2263">
        <w:rPr>
          <w:b/>
        </w:rPr>
        <w:fldChar w:fldCharType="begin"/>
      </w:r>
      <w:r w:rsidRPr="00FE2263">
        <w:rPr>
          <w:b/>
        </w:rPr>
        <w:instrText xml:space="preserve"> SEQ Таблица \* ARABIC </w:instrText>
      </w:r>
      <w:r w:rsidRPr="00FE2263">
        <w:rPr>
          <w:b/>
        </w:rPr>
        <w:fldChar w:fldCharType="separate"/>
      </w:r>
      <w:r w:rsidR="004B21E9" w:rsidRPr="00FE2263">
        <w:rPr>
          <w:b/>
          <w:noProof/>
        </w:rPr>
        <w:t>1</w:t>
      </w:r>
      <w:r w:rsidRPr="00FE2263">
        <w:rPr>
          <w:b/>
        </w:rPr>
        <w:fldChar w:fldCharType="end"/>
      </w:r>
      <w:bookmarkEnd w:id="102"/>
      <w:r w:rsidRPr="00FE2263">
        <w:rPr>
          <w:rFonts w:eastAsia="Calibri"/>
          <w:b/>
        </w:rPr>
        <w:t>.</w:t>
      </w:r>
      <w:r w:rsidRPr="00FE2263">
        <w:rPr>
          <w:rFonts w:eastAsia="Calibri"/>
        </w:rPr>
        <w:t xml:space="preserve"> Шкала оценки уровней достоверности доказательств (УДД) для методов диагностики</w:t>
      </w:r>
      <w:r w:rsidR="005C7877" w:rsidRPr="00FE2263">
        <w:rPr>
          <w:rFonts w:eastAsia="Calibri"/>
        </w:rPr>
        <w:t xml:space="preserve"> (диагностических вмешательств)</w:t>
      </w:r>
    </w:p>
    <w:tbl>
      <w:tblPr>
        <w:tblStyle w:val="1f3"/>
        <w:tblW w:w="5000" w:type="pct"/>
        <w:tblLook w:val="04A0" w:firstRow="1" w:lastRow="0" w:firstColumn="1" w:lastColumn="0" w:noHBand="0" w:noVBand="1"/>
      </w:tblPr>
      <w:tblGrid>
        <w:gridCol w:w="798"/>
        <w:gridCol w:w="8547"/>
      </w:tblGrid>
      <w:tr w:rsidR="00A91645" w:rsidRPr="00FE2263" w14:paraId="59B6F2EB" w14:textId="77777777" w:rsidTr="00334F6C">
        <w:trPr>
          <w:divId w:val="1333020968"/>
          <w:trHeight w:val="58"/>
        </w:trPr>
        <w:tc>
          <w:tcPr>
            <w:tcW w:w="427" w:type="pct"/>
          </w:tcPr>
          <w:p w14:paraId="0B06C076" w14:textId="77777777" w:rsidR="00A91645" w:rsidRPr="00FE2263" w:rsidRDefault="00A91645" w:rsidP="00004D38">
            <w:pPr>
              <w:ind w:firstLine="0"/>
              <w:jc w:val="center"/>
              <w:rPr>
                <w:b/>
                <w:color w:val="000000"/>
              </w:rPr>
            </w:pPr>
            <w:r w:rsidRPr="00FE2263">
              <w:rPr>
                <w:b/>
                <w:color w:val="000000"/>
              </w:rPr>
              <w:t>УДД</w:t>
            </w:r>
          </w:p>
        </w:tc>
        <w:tc>
          <w:tcPr>
            <w:tcW w:w="4573" w:type="pct"/>
          </w:tcPr>
          <w:p w14:paraId="1D1214DC" w14:textId="77777777" w:rsidR="00A91645" w:rsidRPr="00FE2263" w:rsidRDefault="00A91645" w:rsidP="00004D38">
            <w:pPr>
              <w:ind w:firstLine="0"/>
              <w:jc w:val="center"/>
              <w:rPr>
                <w:b/>
                <w:color w:val="000000"/>
              </w:rPr>
            </w:pPr>
            <w:r w:rsidRPr="00FE2263">
              <w:rPr>
                <w:b/>
                <w:color w:val="000000"/>
              </w:rPr>
              <w:t>Расшифровка</w:t>
            </w:r>
          </w:p>
        </w:tc>
      </w:tr>
      <w:tr w:rsidR="00A91645" w:rsidRPr="00FE2263" w14:paraId="35DC5220" w14:textId="77777777" w:rsidTr="00334F6C">
        <w:trPr>
          <w:divId w:val="1333020968"/>
        </w:trPr>
        <w:tc>
          <w:tcPr>
            <w:tcW w:w="427" w:type="pct"/>
          </w:tcPr>
          <w:p w14:paraId="5A9207A6" w14:textId="77777777" w:rsidR="00A91645" w:rsidRPr="00FE2263" w:rsidRDefault="00A91645" w:rsidP="00004D38">
            <w:pPr>
              <w:ind w:firstLine="0"/>
              <w:jc w:val="center"/>
              <w:rPr>
                <w:color w:val="000000"/>
              </w:rPr>
            </w:pPr>
            <w:r w:rsidRPr="00FE2263">
              <w:rPr>
                <w:color w:val="000000"/>
              </w:rPr>
              <w:t>1</w:t>
            </w:r>
          </w:p>
        </w:tc>
        <w:tc>
          <w:tcPr>
            <w:tcW w:w="4573" w:type="pct"/>
          </w:tcPr>
          <w:p w14:paraId="2F3C42D3" w14:textId="77777777" w:rsidR="00A91645" w:rsidRPr="00FE2263" w:rsidRDefault="00A91645" w:rsidP="00004D38">
            <w:pPr>
              <w:ind w:firstLine="0"/>
              <w:rPr>
                <w:color w:val="000000"/>
              </w:rPr>
            </w:pPr>
            <w:r w:rsidRPr="00FE2263">
              <w:rPr>
                <w:color w:val="000000"/>
              </w:rPr>
              <w:t>Систематические обзоры исследований с контролем референсным методом</w:t>
            </w:r>
            <w:r w:rsidRPr="00FE2263">
              <w:t xml:space="preserve"> или систематический обзор </w:t>
            </w:r>
            <w:r w:rsidR="005C7877" w:rsidRPr="00FE2263">
              <w:t>рандомизированных клинических исследований с применением мета-анализа</w:t>
            </w:r>
          </w:p>
        </w:tc>
      </w:tr>
      <w:tr w:rsidR="00A91645" w:rsidRPr="00FE2263" w14:paraId="52009077" w14:textId="77777777" w:rsidTr="00334F6C">
        <w:trPr>
          <w:divId w:val="1333020968"/>
        </w:trPr>
        <w:tc>
          <w:tcPr>
            <w:tcW w:w="427" w:type="pct"/>
          </w:tcPr>
          <w:p w14:paraId="60475550" w14:textId="77777777" w:rsidR="00A91645" w:rsidRPr="00FE2263" w:rsidRDefault="00A91645" w:rsidP="00004D38">
            <w:pPr>
              <w:ind w:firstLine="0"/>
              <w:jc w:val="center"/>
              <w:rPr>
                <w:color w:val="000000"/>
              </w:rPr>
            </w:pPr>
            <w:r w:rsidRPr="00FE2263">
              <w:rPr>
                <w:color w:val="000000"/>
              </w:rPr>
              <w:t>2</w:t>
            </w:r>
          </w:p>
        </w:tc>
        <w:tc>
          <w:tcPr>
            <w:tcW w:w="4573" w:type="pct"/>
          </w:tcPr>
          <w:p w14:paraId="2BA0C70A" w14:textId="77777777" w:rsidR="00A91645" w:rsidRPr="00FE2263" w:rsidRDefault="00A91645" w:rsidP="00004D38">
            <w:pPr>
              <w:ind w:firstLine="0"/>
              <w:rPr>
                <w:color w:val="000000"/>
              </w:rPr>
            </w:pPr>
            <w:r w:rsidRPr="00FE2263">
              <w:rPr>
                <w:color w:val="000000"/>
              </w:rPr>
              <w:t>Отдельные исследования с контролем референсным методом</w:t>
            </w:r>
            <w:r w:rsidR="005C7877" w:rsidRPr="00FE2263">
              <w:rPr>
                <w:color w:val="000000"/>
              </w:rPr>
              <w:t xml:space="preserve">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FE2263" w14:paraId="3BD253FA" w14:textId="77777777" w:rsidTr="00334F6C">
        <w:trPr>
          <w:divId w:val="1333020968"/>
        </w:trPr>
        <w:tc>
          <w:tcPr>
            <w:tcW w:w="427" w:type="pct"/>
          </w:tcPr>
          <w:p w14:paraId="7AB30A28" w14:textId="77777777" w:rsidR="00A91645" w:rsidRPr="00FE2263" w:rsidRDefault="00A91645" w:rsidP="00004D38">
            <w:pPr>
              <w:ind w:firstLine="0"/>
              <w:jc w:val="center"/>
              <w:rPr>
                <w:color w:val="000000"/>
              </w:rPr>
            </w:pPr>
            <w:r w:rsidRPr="00FE2263">
              <w:rPr>
                <w:color w:val="000000"/>
              </w:rPr>
              <w:t>3</w:t>
            </w:r>
          </w:p>
        </w:tc>
        <w:tc>
          <w:tcPr>
            <w:tcW w:w="4573" w:type="pct"/>
          </w:tcPr>
          <w:p w14:paraId="41999412" w14:textId="77777777" w:rsidR="00A91645" w:rsidRPr="00FE2263" w:rsidRDefault="00A91645" w:rsidP="00004D38">
            <w:pPr>
              <w:ind w:firstLine="0"/>
              <w:rPr>
                <w:color w:val="000000"/>
              </w:rPr>
            </w:pPr>
            <w:r w:rsidRPr="00FE2263">
              <w:rPr>
                <w:color w:val="000000"/>
              </w:rPr>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w:t>
            </w:r>
            <w:r w:rsidR="005C7877" w:rsidRPr="00FE2263">
              <w:rPr>
                <w:color w:val="000000"/>
              </w:rPr>
              <w:t xml:space="preserve"> или нерандомизированные сравнительные исследования, в том числе когортные исследования</w:t>
            </w:r>
          </w:p>
        </w:tc>
      </w:tr>
      <w:tr w:rsidR="00A91645" w:rsidRPr="00FE2263" w14:paraId="3A569F3A" w14:textId="77777777" w:rsidTr="00334F6C">
        <w:trPr>
          <w:divId w:val="1333020968"/>
        </w:trPr>
        <w:tc>
          <w:tcPr>
            <w:tcW w:w="427" w:type="pct"/>
          </w:tcPr>
          <w:p w14:paraId="0EEC64B5" w14:textId="77777777" w:rsidR="00A91645" w:rsidRPr="00FE2263" w:rsidRDefault="00A91645" w:rsidP="00004D38">
            <w:pPr>
              <w:ind w:firstLine="0"/>
              <w:jc w:val="center"/>
              <w:rPr>
                <w:color w:val="000000"/>
              </w:rPr>
            </w:pPr>
            <w:r w:rsidRPr="00FE2263">
              <w:rPr>
                <w:color w:val="000000"/>
              </w:rPr>
              <w:t>4</w:t>
            </w:r>
          </w:p>
        </w:tc>
        <w:tc>
          <w:tcPr>
            <w:tcW w:w="4573" w:type="pct"/>
          </w:tcPr>
          <w:p w14:paraId="1DE020CA" w14:textId="77777777" w:rsidR="00A91645" w:rsidRPr="00FE2263" w:rsidRDefault="00A91645" w:rsidP="00004D38">
            <w:pPr>
              <w:ind w:firstLine="0"/>
              <w:rPr>
                <w:color w:val="000000"/>
              </w:rPr>
            </w:pPr>
            <w:r w:rsidRPr="00FE2263">
              <w:rPr>
                <w:color w:val="000000"/>
              </w:rPr>
              <w:t>Несравнительные исследования, описание клинического случая</w:t>
            </w:r>
          </w:p>
        </w:tc>
      </w:tr>
      <w:tr w:rsidR="00A91645" w:rsidRPr="00FE2263" w14:paraId="06F4B923" w14:textId="77777777" w:rsidTr="00334F6C">
        <w:trPr>
          <w:divId w:val="1333020968"/>
        </w:trPr>
        <w:tc>
          <w:tcPr>
            <w:tcW w:w="427" w:type="pct"/>
          </w:tcPr>
          <w:p w14:paraId="2827569A" w14:textId="77777777" w:rsidR="00A91645" w:rsidRPr="00FE2263" w:rsidRDefault="00A91645" w:rsidP="00004D38">
            <w:pPr>
              <w:ind w:firstLine="0"/>
              <w:jc w:val="center"/>
              <w:rPr>
                <w:color w:val="000000"/>
              </w:rPr>
            </w:pPr>
            <w:r w:rsidRPr="00FE2263">
              <w:rPr>
                <w:color w:val="000000"/>
              </w:rPr>
              <w:t>5</w:t>
            </w:r>
          </w:p>
        </w:tc>
        <w:tc>
          <w:tcPr>
            <w:tcW w:w="4573" w:type="pct"/>
          </w:tcPr>
          <w:p w14:paraId="08322651" w14:textId="77777777" w:rsidR="00A91645" w:rsidRPr="00FE2263" w:rsidRDefault="00A91645" w:rsidP="00004D38">
            <w:pPr>
              <w:ind w:firstLine="0"/>
              <w:rPr>
                <w:color w:val="000000"/>
              </w:rPr>
            </w:pPr>
            <w:r w:rsidRPr="00FE2263">
              <w:rPr>
                <w:color w:val="000000"/>
              </w:rPr>
              <w:t>Имеется лишь обоснование механизма действия или мнение экспертов</w:t>
            </w:r>
          </w:p>
        </w:tc>
      </w:tr>
    </w:tbl>
    <w:p w14:paraId="756F20AB" w14:textId="77777777" w:rsidR="00A91645" w:rsidRPr="00FE2263" w:rsidRDefault="00A91645" w:rsidP="00F817BC">
      <w:pPr>
        <w:pStyle w:val="aff8"/>
        <w:divId w:val="1333020968"/>
        <w:rPr>
          <w:rStyle w:val="affb"/>
        </w:rPr>
      </w:pPr>
    </w:p>
    <w:p w14:paraId="43453FB9" w14:textId="4C627381" w:rsidR="005C7877" w:rsidRPr="00FE2263" w:rsidRDefault="00A91645" w:rsidP="00F817BC">
      <w:pPr>
        <w:divId w:val="1333020968"/>
      </w:pPr>
      <w:bookmarkStart w:id="103" w:name="_Ref515967623"/>
      <w:r w:rsidRPr="00FE2263">
        <w:rPr>
          <w:b/>
        </w:rPr>
        <w:t xml:space="preserve">Таблица </w:t>
      </w:r>
      <w:r w:rsidRPr="00FE2263">
        <w:rPr>
          <w:b/>
        </w:rPr>
        <w:fldChar w:fldCharType="begin"/>
      </w:r>
      <w:r w:rsidRPr="00FE2263">
        <w:rPr>
          <w:b/>
        </w:rPr>
        <w:instrText xml:space="preserve"> SEQ Таблица \* ARABIC </w:instrText>
      </w:r>
      <w:r w:rsidRPr="00FE2263">
        <w:rPr>
          <w:b/>
        </w:rPr>
        <w:fldChar w:fldCharType="separate"/>
      </w:r>
      <w:r w:rsidR="004B21E9" w:rsidRPr="00FE2263">
        <w:rPr>
          <w:b/>
          <w:noProof/>
        </w:rPr>
        <w:t>2</w:t>
      </w:r>
      <w:r w:rsidRPr="00FE2263">
        <w:rPr>
          <w:b/>
        </w:rPr>
        <w:fldChar w:fldCharType="end"/>
      </w:r>
      <w:bookmarkEnd w:id="103"/>
      <w:r w:rsidRPr="00FE2263">
        <w:rPr>
          <w:rFonts w:eastAsia="Calibri"/>
          <w:b/>
        </w:rPr>
        <w:t>.</w:t>
      </w:r>
      <w:r w:rsidRPr="00FE2263">
        <w:rPr>
          <w:rFonts w:eastAsia="Calibri"/>
        </w:rPr>
        <w:t xml:space="preserve"> </w:t>
      </w:r>
      <w:r w:rsidR="005C7877" w:rsidRPr="00FE2263">
        <w:t xml:space="preserve"> Шкала оценки уровней достоверности доказательств (УДД) </w:t>
      </w:r>
      <w:r w:rsidR="005C7877" w:rsidRPr="00FE2263">
        <w:rPr>
          <w:rFonts w:eastAsia="Calibri"/>
        </w:rPr>
        <w:t xml:space="preserve">для методов профилактики, лечения и реабилитации (профилактических, </w:t>
      </w:r>
      <w:r w:rsidR="009C0364" w:rsidRPr="00FE2263">
        <w:rPr>
          <w:rFonts w:eastAsia="Calibri"/>
        </w:rPr>
        <w:t>лечебных, реабилитационных</w:t>
      </w:r>
      <w:r w:rsidR="005C7877" w:rsidRPr="00FE2263">
        <w:rPr>
          <w:rFonts w:eastAsia="Calibri"/>
        </w:rPr>
        <w:t xml:space="preserve"> вмешательств</w:t>
      </w:r>
      <w:r w:rsidR="009C0364" w:rsidRPr="00FE2263">
        <w:rPr>
          <w:rFonts w:eastAsia="Calibri"/>
        </w:rPr>
        <w:t>)</w:t>
      </w:r>
    </w:p>
    <w:tbl>
      <w:tblPr>
        <w:tblStyle w:val="1f3"/>
        <w:tblW w:w="5074" w:type="pct"/>
        <w:tblLook w:val="04A0" w:firstRow="1" w:lastRow="0" w:firstColumn="1" w:lastColumn="0" w:noHBand="0" w:noVBand="1"/>
      </w:tblPr>
      <w:tblGrid>
        <w:gridCol w:w="723"/>
        <w:gridCol w:w="8760"/>
      </w:tblGrid>
      <w:tr w:rsidR="005C7877" w:rsidRPr="00FE2263" w14:paraId="7D153D7D" w14:textId="77777777" w:rsidTr="005C7877">
        <w:trPr>
          <w:divId w:val="1333020968"/>
        </w:trPr>
        <w:tc>
          <w:tcPr>
            <w:tcW w:w="360" w:type="pct"/>
          </w:tcPr>
          <w:p w14:paraId="52AA82EF" w14:textId="77777777" w:rsidR="005C7877" w:rsidRPr="00FE2263" w:rsidRDefault="005C7877" w:rsidP="00004D38">
            <w:pPr>
              <w:ind w:firstLine="0"/>
              <w:jc w:val="center"/>
              <w:rPr>
                <w:b/>
                <w:color w:val="000000"/>
              </w:rPr>
            </w:pPr>
            <w:r w:rsidRPr="00FE2263">
              <w:rPr>
                <w:b/>
                <w:color w:val="000000"/>
              </w:rPr>
              <w:t>УДД</w:t>
            </w:r>
          </w:p>
        </w:tc>
        <w:tc>
          <w:tcPr>
            <w:tcW w:w="4640" w:type="pct"/>
          </w:tcPr>
          <w:p w14:paraId="726DE5C9" w14:textId="77777777" w:rsidR="005C7877" w:rsidRPr="00FE2263" w:rsidRDefault="005C7877" w:rsidP="00004D38">
            <w:pPr>
              <w:ind w:firstLine="0"/>
              <w:jc w:val="center"/>
              <w:rPr>
                <w:b/>
                <w:color w:val="000000"/>
              </w:rPr>
            </w:pPr>
            <w:r w:rsidRPr="00FE2263">
              <w:rPr>
                <w:b/>
                <w:color w:val="000000"/>
              </w:rPr>
              <w:t xml:space="preserve"> </w:t>
            </w:r>
            <w:r w:rsidR="009C0364" w:rsidRPr="00FE2263">
              <w:rPr>
                <w:b/>
                <w:color w:val="000000"/>
              </w:rPr>
              <w:t xml:space="preserve">Расшифровка </w:t>
            </w:r>
          </w:p>
        </w:tc>
      </w:tr>
      <w:tr w:rsidR="005C7877" w:rsidRPr="00FE2263" w14:paraId="6F024BC8" w14:textId="77777777" w:rsidTr="005C7877">
        <w:trPr>
          <w:divId w:val="1333020968"/>
        </w:trPr>
        <w:tc>
          <w:tcPr>
            <w:tcW w:w="360" w:type="pct"/>
          </w:tcPr>
          <w:p w14:paraId="32E4CCC9" w14:textId="77777777" w:rsidR="005C7877" w:rsidRPr="00FE2263" w:rsidRDefault="005C7877" w:rsidP="00004D38">
            <w:pPr>
              <w:ind w:firstLine="0"/>
              <w:jc w:val="center"/>
              <w:rPr>
                <w:color w:val="000000"/>
              </w:rPr>
            </w:pPr>
            <w:r w:rsidRPr="00FE2263">
              <w:rPr>
                <w:color w:val="000000"/>
              </w:rPr>
              <w:t>1</w:t>
            </w:r>
          </w:p>
        </w:tc>
        <w:tc>
          <w:tcPr>
            <w:tcW w:w="4640" w:type="pct"/>
          </w:tcPr>
          <w:p w14:paraId="0E9115E9" w14:textId="77777777" w:rsidR="005C7877" w:rsidRPr="00FE2263" w:rsidRDefault="005C7877" w:rsidP="00004D38">
            <w:pPr>
              <w:ind w:firstLine="0"/>
              <w:rPr>
                <w:color w:val="000000"/>
              </w:rPr>
            </w:pPr>
            <w:r w:rsidRPr="00FE2263">
              <w:rPr>
                <w:color w:val="000000"/>
              </w:rPr>
              <w:t>Систематический обзор РКИ с применением мета-анализа</w:t>
            </w:r>
          </w:p>
        </w:tc>
      </w:tr>
      <w:tr w:rsidR="005C7877" w:rsidRPr="00FE2263" w14:paraId="6A798157" w14:textId="77777777" w:rsidTr="005C7877">
        <w:trPr>
          <w:divId w:val="1333020968"/>
        </w:trPr>
        <w:tc>
          <w:tcPr>
            <w:tcW w:w="360" w:type="pct"/>
          </w:tcPr>
          <w:p w14:paraId="46222414" w14:textId="77777777" w:rsidR="005C7877" w:rsidRPr="00FE2263" w:rsidRDefault="005C7877" w:rsidP="00004D38">
            <w:pPr>
              <w:ind w:firstLine="0"/>
              <w:jc w:val="center"/>
              <w:rPr>
                <w:color w:val="000000"/>
                <w:lang w:val="en-US"/>
              </w:rPr>
            </w:pPr>
            <w:r w:rsidRPr="00FE2263">
              <w:rPr>
                <w:color w:val="000000"/>
              </w:rPr>
              <w:t>2</w:t>
            </w:r>
          </w:p>
        </w:tc>
        <w:tc>
          <w:tcPr>
            <w:tcW w:w="4640" w:type="pct"/>
          </w:tcPr>
          <w:p w14:paraId="26CEE6D0" w14:textId="77777777" w:rsidR="005C7877" w:rsidRPr="00FE2263" w:rsidRDefault="005C7877" w:rsidP="00004D38">
            <w:pPr>
              <w:ind w:firstLine="0"/>
              <w:rPr>
                <w:color w:val="000000"/>
              </w:rPr>
            </w:pPr>
            <w:r w:rsidRPr="00FE2263">
              <w:rPr>
                <w:color w:val="000000"/>
              </w:rPr>
              <w:t xml:space="preserve">Отдельные РКИ и систематические обзоры исследований любого </w:t>
            </w:r>
            <w:r w:rsidR="009C0364" w:rsidRPr="00FE2263">
              <w:rPr>
                <w:color w:val="000000"/>
              </w:rPr>
              <w:t xml:space="preserve">дизайна, за исключением РКИ, </w:t>
            </w:r>
            <w:r w:rsidRPr="00FE2263">
              <w:rPr>
                <w:color w:val="000000"/>
              </w:rPr>
              <w:t>с применением мета-анализа</w:t>
            </w:r>
          </w:p>
        </w:tc>
      </w:tr>
      <w:tr w:rsidR="005C7877" w:rsidRPr="00FE2263" w14:paraId="1CC313BF" w14:textId="77777777" w:rsidTr="005C7877">
        <w:trPr>
          <w:divId w:val="1333020968"/>
        </w:trPr>
        <w:tc>
          <w:tcPr>
            <w:tcW w:w="360" w:type="pct"/>
          </w:tcPr>
          <w:p w14:paraId="5263E742" w14:textId="77777777" w:rsidR="005C7877" w:rsidRPr="00FE2263" w:rsidRDefault="005C7877" w:rsidP="00004D38">
            <w:pPr>
              <w:ind w:firstLine="0"/>
              <w:jc w:val="center"/>
              <w:rPr>
                <w:color w:val="000000"/>
              </w:rPr>
            </w:pPr>
            <w:r w:rsidRPr="00FE2263">
              <w:rPr>
                <w:color w:val="000000"/>
              </w:rPr>
              <w:t>3</w:t>
            </w:r>
          </w:p>
        </w:tc>
        <w:tc>
          <w:tcPr>
            <w:tcW w:w="4640" w:type="pct"/>
          </w:tcPr>
          <w:p w14:paraId="5DABA418" w14:textId="77777777" w:rsidR="005C7877" w:rsidRPr="00FE2263" w:rsidRDefault="005C7877" w:rsidP="00004D38">
            <w:pPr>
              <w:ind w:firstLine="0"/>
              <w:rPr>
                <w:color w:val="000000"/>
              </w:rPr>
            </w:pPr>
            <w:r w:rsidRPr="00FE2263">
              <w:rPr>
                <w:color w:val="000000"/>
              </w:rPr>
              <w:t>Нерандомизированные сравнительные исследования, в т.ч. когортные исследования</w:t>
            </w:r>
          </w:p>
        </w:tc>
      </w:tr>
      <w:tr w:rsidR="005C7877" w:rsidRPr="00FE2263" w14:paraId="23703816" w14:textId="77777777" w:rsidTr="005C7877">
        <w:trPr>
          <w:divId w:val="1333020968"/>
        </w:trPr>
        <w:tc>
          <w:tcPr>
            <w:tcW w:w="360" w:type="pct"/>
          </w:tcPr>
          <w:p w14:paraId="02D956DD" w14:textId="77777777" w:rsidR="005C7877" w:rsidRPr="00FE2263" w:rsidRDefault="005C7877" w:rsidP="00004D38">
            <w:pPr>
              <w:ind w:firstLine="0"/>
              <w:jc w:val="center"/>
              <w:rPr>
                <w:color w:val="000000"/>
              </w:rPr>
            </w:pPr>
            <w:r w:rsidRPr="00FE2263">
              <w:rPr>
                <w:color w:val="000000"/>
              </w:rPr>
              <w:t>4</w:t>
            </w:r>
          </w:p>
        </w:tc>
        <w:tc>
          <w:tcPr>
            <w:tcW w:w="4640" w:type="pct"/>
          </w:tcPr>
          <w:p w14:paraId="66E612E8" w14:textId="77777777" w:rsidR="005C7877" w:rsidRPr="00FE2263" w:rsidRDefault="005C7877" w:rsidP="00004D38">
            <w:pPr>
              <w:ind w:firstLine="0"/>
              <w:rPr>
                <w:color w:val="000000"/>
              </w:rPr>
            </w:pPr>
            <w:r w:rsidRPr="00FE2263">
              <w:rPr>
                <w:color w:val="000000"/>
              </w:rPr>
              <w:t>Несравнительные исследования, описание клинического случая или серии случаев, исследования «случай-контроль»</w:t>
            </w:r>
          </w:p>
        </w:tc>
      </w:tr>
      <w:tr w:rsidR="005C7877" w:rsidRPr="00FE2263" w14:paraId="2932F3D5" w14:textId="77777777" w:rsidTr="005C7877">
        <w:trPr>
          <w:divId w:val="1333020968"/>
        </w:trPr>
        <w:tc>
          <w:tcPr>
            <w:tcW w:w="360" w:type="pct"/>
          </w:tcPr>
          <w:p w14:paraId="23245A64" w14:textId="77777777" w:rsidR="005C7877" w:rsidRPr="00FE2263" w:rsidRDefault="005C7877" w:rsidP="00004D38">
            <w:pPr>
              <w:ind w:firstLine="0"/>
              <w:jc w:val="center"/>
              <w:rPr>
                <w:color w:val="000000"/>
              </w:rPr>
            </w:pPr>
            <w:r w:rsidRPr="00FE2263">
              <w:rPr>
                <w:color w:val="000000"/>
              </w:rPr>
              <w:t>5</w:t>
            </w:r>
          </w:p>
        </w:tc>
        <w:tc>
          <w:tcPr>
            <w:tcW w:w="4640" w:type="pct"/>
          </w:tcPr>
          <w:p w14:paraId="44AC8339" w14:textId="77777777" w:rsidR="005C7877" w:rsidRPr="00FE2263" w:rsidRDefault="005C7877" w:rsidP="00004D38">
            <w:pPr>
              <w:ind w:firstLine="0"/>
              <w:rPr>
                <w:color w:val="000000"/>
              </w:rPr>
            </w:pPr>
            <w:r w:rsidRPr="00FE2263">
              <w:rPr>
                <w:color w:val="000000"/>
              </w:rPr>
              <w:t>Имеется лишь обоснование механизма действия вмешательства (доклинические исследования) или мнение экспертов</w:t>
            </w:r>
          </w:p>
        </w:tc>
      </w:tr>
    </w:tbl>
    <w:p w14:paraId="22C0E8DB" w14:textId="77777777" w:rsidR="005C7877" w:rsidRPr="00FE2263" w:rsidRDefault="005C7877" w:rsidP="00F817BC">
      <w:pPr>
        <w:pStyle w:val="aff8"/>
        <w:divId w:val="1333020968"/>
        <w:rPr>
          <w:rStyle w:val="affb"/>
        </w:rPr>
      </w:pPr>
    </w:p>
    <w:p w14:paraId="5DB1CF0E" w14:textId="77777777" w:rsidR="009C0364" w:rsidRPr="00FE2263" w:rsidRDefault="009C0364" w:rsidP="00F817BC">
      <w:pPr>
        <w:divId w:val="1333020968"/>
      </w:pPr>
      <w:bookmarkStart w:id="104" w:name="_Ref515967732"/>
      <w:r w:rsidRPr="00FE2263">
        <w:rPr>
          <w:b/>
        </w:rPr>
        <w:t xml:space="preserve">Таблица </w:t>
      </w:r>
      <w:bookmarkEnd w:id="104"/>
      <w:r w:rsidRPr="00FE2263">
        <w:rPr>
          <w:b/>
        </w:rPr>
        <w:t>3.</w:t>
      </w:r>
      <w:r w:rsidRPr="00FE2263">
        <w:t xml:space="preserve"> Шкала оценки уровней убедительности рекомендаций (УУР)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Style w:val="1f3"/>
        <w:tblW w:w="5000" w:type="pct"/>
        <w:tblLook w:val="04A0" w:firstRow="1" w:lastRow="0" w:firstColumn="1" w:lastColumn="0" w:noHBand="0" w:noVBand="1"/>
      </w:tblPr>
      <w:tblGrid>
        <w:gridCol w:w="1331"/>
        <w:gridCol w:w="8014"/>
      </w:tblGrid>
      <w:tr w:rsidR="009C0364" w:rsidRPr="00FE2263" w14:paraId="564CBA40" w14:textId="77777777" w:rsidTr="000B7A71">
        <w:trPr>
          <w:divId w:val="1333020968"/>
        </w:trPr>
        <w:tc>
          <w:tcPr>
            <w:tcW w:w="712" w:type="pct"/>
          </w:tcPr>
          <w:p w14:paraId="09614074" w14:textId="77777777" w:rsidR="009C0364" w:rsidRPr="00FE2263" w:rsidRDefault="009C0364" w:rsidP="00004D38">
            <w:pPr>
              <w:ind w:firstLine="0"/>
              <w:jc w:val="center"/>
              <w:rPr>
                <w:b/>
                <w:color w:val="000000" w:themeColor="text1"/>
              </w:rPr>
            </w:pPr>
            <w:r w:rsidRPr="00FE2263">
              <w:rPr>
                <w:b/>
                <w:color w:val="000000" w:themeColor="text1"/>
              </w:rPr>
              <w:t>УУР</w:t>
            </w:r>
          </w:p>
        </w:tc>
        <w:tc>
          <w:tcPr>
            <w:tcW w:w="4288" w:type="pct"/>
          </w:tcPr>
          <w:p w14:paraId="72F258FC" w14:textId="77777777" w:rsidR="009C0364" w:rsidRPr="00FE2263" w:rsidRDefault="009C0364" w:rsidP="00004D38">
            <w:pPr>
              <w:ind w:firstLine="0"/>
              <w:jc w:val="center"/>
              <w:rPr>
                <w:b/>
                <w:color w:val="000000" w:themeColor="text1"/>
              </w:rPr>
            </w:pPr>
            <w:r w:rsidRPr="00FE2263">
              <w:rPr>
                <w:b/>
                <w:color w:val="000000" w:themeColor="text1"/>
              </w:rPr>
              <w:t>Расшифровка</w:t>
            </w:r>
          </w:p>
        </w:tc>
      </w:tr>
      <w:tr w:rsidR="009C0364" w:rsidRPr="00FE2263" w14:paraId="63EB0C2F" w14:textId="77777777" w:rsidTr="000B7A71">
        <w:trPr>
          <w:divId w:val="1333020968"/>
          <w:trHeight w:val="1060"/>
        </w:trPr>
        <w:tc>
          <w:tcPr>
            <w:tcW w:w="712" w:type="pct"/>
          </w:tcPr>
          <w:p w14:paraId="58920915" w14:textId="77777777" w:rsidR="009C0364" w:rsidRPr="00FE2263" w:rsidRDefault="009C0364" w:rsidP="00004D38">
            <w:pPr>
              <w:ind w:firstLine="0"/>
              <w:jc w:val="center"/>
              <w:rPr>
                <w:color w:val="000000" w:themeColor="text1"/>
              </w:rPr>
            </w:pPr>
            <w:r w:rsidRPr="00FE2263">
              <w:rPr>
                <w:color w:val="000000" w:themeColor="text1"/>
                <w:lang w:val="en-US"/>
              </w:rPr>
              <w:t>A</w:t>
            </w:r>
          </w:p>
        </w:tc>
        <w:tc>
          <w:tcPr>
            <w:tcW w:w="4288" w:type="pct"/>
          </w:tcPr>
          <w:p w14:paraId="757350AE" w14:textId="77777777" w:rsidR="009C0364" w:rsidRPr="00FE2263" w:rsidRDefault="009C0364" w:rsidP="00004D38">
            <w:pPr>
              <w:ind w:firstLine="0"/>
              <w:rPr>
                <w:color w:val="000000" w:themeColor="text1"/>
              </w:rPr>
            </w:pPr>
            <w:r w:rsidRPr="00FE2263">
              <w:rPr>
                <w:color w:val="000000" w:themeColor="text1"/>
              </w:rPr>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FE2263" w14:paraId="15AB07B5" w14:textId="77777777" w:rsidTr="000B7A71">
        <w:trPr>
          <w:divId w:val="1333020968"/>
          <w:trHeight w:val="558"/>
        </w:trPr>
        <w:tc>
          <w:tcPr>
            <w:tcW w:w="712" w:type="pct"/>
          </w:tcPr>
          <w:p w14:paraId="4B3F5358" w14:textId="77777777" w:rsidR="009C0364" w:rsidRPr="00FE2263" w:rsidRDefault="009C0364" w:rsidP="00004D38">
            <w:pPr>
              <w:ind w:firstLine="0"/>
              <w:jc w:val="center"/>
              <w:rPr>
                <w:color w:val="000000" w:themeColor="text1"/>
              </w:rPr>
            </w:pPr>
            <w:r w:rsidRPr="00FE2263">
              <w:rPr>
                <w:color w:val="000000" w:themeColor="text1"/>
              </w:rPr>
              <w:t>B</w:t>
            </w:r>
          </w:p>
        </w:tc>
        <w:tc>
          <w:tcPr>
            <w:tcW w:w="4288" w:type="pct"/>
          </w:tcPr>
          <w:p w14:paraId="576D42DD" w14:textId="77777777" w:rsidR="009C0364" w:rsidRPr="00FE2263" w:rsidRDefault="009C0364" w:rsidP="00004D38">
            <w:pPr>
              <w:ind w:firstLine="0"/>
              <w:rPr>
                <w:color w:val="000000" w:themeColor="text1"/>
              </w:rPr>
            </w:pPr>
            <w:r w:rsidRPr="00FE2263">
              <w:rPr>
                <w:color w:val="000000" w:themeColor="text1"/>
              </w:rPr>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FE2263" w14:paraId="15E730A0" w14:textId="77777777" w:rsidTr="000B7A71">
        <w:trPr>
          <w:divId w:val="1333020968"/>
          <w:trHeight w:val="798"/>
        </w:trPr>
        <w:tc>
          <w:tcPr>
            <w:tcW w:w="712" w:type="pct"/>
          </w:tcPr>
          <w:p w14:paraId="5D53620D" w14:textId="77777777" w:rsidR="009C0364" w:rsidRPr="00FE2263" w:rsidRDefault="009C0364" w:rsidP="00004D38">
            <w:pPr>
              <w:ind w:firstLine="0"/>
              <w:jc w:val="center"/>
              <w:rPr>
                <w:color w:val="000000" w:themeColor="text1"/>
              </w:rPr>
            </w:pPr>
            <w:r w:rsidRPr="00FE2263">
              <w:rPr>
                <w:color w:val="000000" w:themeColor="text1"/>
              </w:rPr>
              <w:t>C</w:t>
            </w:r>
          </w:p>
        </w:tc>
        <w:tc>
          <w:tcPr>
            <w:tcW w:w="4288" w:type="pct"/>
          </w:tcPr>
          <w:p w14:paraId="62E56882" w14:textId="77777777" w:rsidR="009C0364" w:rsidRPr="00FE2263" w:rsidRDefault="009C0364" w:rsidP="00004D38">
            <w:pPr>
              <w:ind w:firstLine="0"/>
              <w:rPr>
                <w:color w:val="000000" w:themeColor="text1"/>
              </w:rPr>
            </w:pPr>
            <w:r w:rsidRPr="00FE2263">
              <w:rPr>
                <w:color w:val="000000" w:themeColor="text1"/>
              </w:rPr>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61412518" w14:textId="77777777" w:rsidR="001D24E4" w:rsidRPr="00FE2263" w:rsidRDefault="001D24E4" w:rsidP="00F817BC">
      <w:pPr>
        <w:pStyle w:val="aff8"/>
        <w:divId w:val="1333020968"/>
        <w:rPr>
          <w:rStyle w:val="affb"/>
        </w:rPr>
      </w:pPr>
    </w:p>
    <w:p w14:paraId="1B38E1B0" w14:textId="77777777" w:rsidR="00275A41" w:rsidRPr="00FE2263" w:rsidRDefault="00CB71DA" w:rsidP="00F817BC">
      <w:pPr>
        <w:pStyle w:val="aff8"/>
        <w:divId w:val="1333020968"/>
        <w:rPr>
          <w:rFonts w:eastAsiaTheme="minorEastAsia"/>
        </w:rPr>
      </w:pPr>
      <w:r w:rsidRPr="00FE2263">
        <w:rPr>
          <w:rStyle w:val="affb"/>
        </w:rPr>
        <w:t>Порядок обновления клинических рекомендаций.</w:t>
      </w:r>
    </w:p>
    <w:p w14:paraId="7036D9DA" w14:textId="77777777" w:rsidR="00275A41" w:rsidRPr="00FE2263" w:rsidRDefault="00CB71DA" w:rsidP="0070759B">
      <w:pPr>
        <w:divId w:val="1333020968"/>
      </w:pPr>
      <w:r w:rsidRPr="00FE2263">
        <w:t xml:space="preserve">Механизм обновления клинических рекомендаций предусматривает их систематическую актуализацию – не реже чем один раз в три </w:t>
      </w:r>
      <w:r w:rsidR="00221384" w:rsidRPr="00FE2263">
        <w:t>года,</w:t>
      </w:r>
      <w:r w:rsidRPr="00FE2263">
        <w:t xml:space="preserve"> </w:t>
      </w:r>
      <w:r w:rsidR="00221384" w:rsidRPr="00FE2263">
        <w:t xml:space="preserve">а также </w:t>
      </w:r>
      <w:r w:rsidRPr="00FE2263">
        <w:t xml:space="preserve">при появлении </w:t>
      </w:r>
      <w:r w:rsidR="00221384" w:rsidRPr="00FE2263">
        <w:t>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14:paraId="035073E3" w14:textId="77777777" w:rsidR="000414F6" w:rsidRPr="00FE2263" w:rsidRDefault="00CB71DA" w:rsidP="00FA741B">
      <w:pPr>
        <w:pStyle w:val="afff2"/>
      </w:pPr>
      <w:r w:rsidRPr="00FE2263">
        <w:br w:type="page"/>
      </w:r>
      <w:bookmarkStart w:id="105" w:name="__RefHeading___doc_a3"/>
      <w:bookmarkStart w:id="106" w:name="_Toc11747753"/>
      <w:bookmarkStart w:id="107" w:name="_Toc66184339"/>
      <w:r w:rsidRPr="00FE2263">
        <w:t xml:space="preserve">Приложение А3. </w:t>
      </w:r>
      <w:bookmarkEnd w:id="105"/>
      <w:r w:rsidR="009C0364" w:rsidRPr="00FE2263">
        <w:t>Справочные материалы, включая соответствие показаний к применению и противопоказаний, способов применения и доз лекарственных препаратов</w:t>
      </w:r>
      <w:r w:rsidR="00427B0E" w:rsidRPr="00FE2263">
        <w:t>,</w:t>
      </w:r>
      <w:r w:rsidR="009C0364" w:rsidRPr="00FE2263">
        <w:t xml:space="preserve"> инструкции по прим</w:t>
      </w:r>
      <w:r w:rsidR="003527A8" w:rsidRPr="00FE2263">
        <w:t>енению лекарственного препарата</w:t>
      </w:r>
      <w:bookmarkEnd w:id="106"/>
      <w:bookmarkEnd w:id="107"/>
    </w:p>
    <w:p w14:paraId="407A9053" w14:textId="77777777" w:rsidR="00B16138" w:rsidRPr="00FE2263" w:rsidRDefault="00B16138" w:rsidP="00710EC8">
      <w:pPr>
        <w:pStyle w:val="2"/>
        <w:spacing w:before="0"/>
      </w:pPr>
      <w:bookmarkStart w:id="108" w:name="_Toc24546459"/>
      <w:bookmarkStart w:id="109" w:name="_Toc23601741"/>
      <w:bookmarkStart w:id="110" w:name="_Toc66184340"/>
      <w:r w:rsidRPr="00FE2263">
        <w:t xml:space="preserve">Приложение А3.1. Режимы лекарственного лечения </w:t>
      </w:r>
      <w:bookmarkEnd w:id="108"/>
      <w:bookmarkEnd w:id="109"/>
      <w:r w:rsidRPr="00FE2263">
        <w:t>МВ</w:t>
      </w:r>
      <w:bookmarkEnd w:id="110"/>
    </w:p>
    <w:p w14:paraId="38FF9739" w14:textId="6E0D276F" w:rsidR="00B16138" w:rsidRPr="00FE2263" w:rsidRDefault="00B16138" w:rsidP="0010608C">
      <w:pPr>
        <w:pStyle w:val="afd"/>
        <w:numPr>
          <w:ilvl w:val="0"/>
          <w:numId w:val="11"/>
        </w:numPr>
        <w:spacing w:beforeAutospacing="0" w:afterAutospacing="0" w:line="360" w:lineRule="auto"/>
        <w:jc w:val="left"/>
      </w:pPr>
      <w:r w:rsidRPr="00FE2263">
        <w:rPr>
          <w:rStyle w:val="affb"/>
          <w:u w:val="single"/>
        </w:rPr>
        <w:t>Монотерапия ритуксимабом</w:t>
      </w:r>
      <w:r w:rsidRPr="00FE2263">
        <w:t>**</w:t>
      </w:r>
      <w:r w:rsidR="00FA741B" w:rsidRPr="00FE2263">
        <w:t xml:space="preserve"> </w:t>
      </w:r>
      <w:r w:rsidR="00FA741B" w:rsidRPr="00FE2263">
        <w:fldChar w:fldCharType="begin" w:fldLock="1"/>
      </w:r>
      <w:r w:rsidR="00FA741B" w:rsidRPr="00FE2263">
        <w:instrText>ADDIN CSL_CITATION {"citationItems":[{"id":"ITEM-1","itemData":{"DOI":"10.1111/j.1365-2141.2011.08750.x","ISSN":"00071048","abstract":"This study examined the outcome of 248 Waldenstrom macroglobulinaemia (WM) rituximab-naïve patients who responded to a rituximab-containing regimen. Eighty-six patients (35%) subsequently received maintenance rituximab (M-Rituximab). No differences in baseline characteristics, and post-induction categorical responses between cohorts were observed. The median rituximab infusions during induction was 6 for both cohorts; and 8 over a 2-year period for patients receiving M-Rituximab. Categorical responses improved in 16/162 (10%) of observed, and 36/86 (41·8%) of M-Rituximab patients respectively, following induction therapy (P&lt; 0·0001). Both progression-free (56·3 vs. 28·6months; P=0·0001) and overall survival (Not reached versus 116months; P=0·0095) were longer in patients who received M-Rituximab. Improved progression-free survival was evident despite previous treatment status, induction with rituximab alone or in combination therapy (P≤0·0001). Best serum IgM response was lower (P&lt;0·0001), and haematocrit higher (P=0·001) for patients receiving M-Rituximab. Among patients receiving M-Rituximab, an increased number of infectious events were observed, but were mainly ≤grade 2 (P=0·008). The findings of this observational study suggest improved clinical outcomes following M-Rituximab in WM patients who respond to induction with a rituximab-containing regimen. Prospective studies aimed at clarifying the role of M-Rituximab therapy in WM patients are needed to confirm these findings. © 2011 Blackwell Publishing Ltd.","author":[{"dropping-particle":"","family":"Treon","given":"Steven P.","non-dropping-particle":"","parse-names":false,"suffix":""},{"dropping-particle":"","family":"Hanzis","given":"Christina","non-dropping-particle":"","parse-names":false,"suffix":""},{"dropping-particle":"","family":"Manning","given":"Robert J.","non-dropping-particle":"","parse-names":false,"suffix":""},{"dropping-particle":"","family":"Ioakimidis","given":"Leukothea","non-dropping-particle":"","parse-names":false,"suffix":""},{"dropping-particle":"","family":"Patterson","given":"Christopher J.","non-dropping-particle":"","parse-names":false,"suffix":""},{"dropping-particle":"","family":"Hunter","given":"Zachary R.","non-dropping-particle":"","parse-names":false,"suffix":""},{"dropping-particle":"","family":"Sheehy","given":"Patricia","non-dropping-particle":"","parse-names":false,"suffix":""},{"dropping-particle":"","family":"Turnbull","given":"Barry","non-dropping-particle":"","parse-names":false,"suffix":""}],"container-title":"British Journal of Haematology","id":"ITEM-1","issue":"3","issued":{"date-parts":[["2011","8"]]},"page":"357-362","title":"Maintenance Rituximab is associated with improved clinical outcome in rituximab naïve patients with Waldenstrom Macroglobulinaemia who respond to a rituximab-containing regimen","type":"article-journal","volume":"154"},"uris":["http://www.mendeley.com/documents/?uuid=8b50c9e5-ad16-33cb-9e11-e81d590ff167"]}],"mendeley":{"formattedCitation":"[23]","plainTextFormattedCitation":"[23]","previouslyFormattedCitation":"[23]"},"properties":{"noteIndex":0},"schema":"https://github.com/citation-style-language/schema/raw/master/csl-citation.json"}</w:instrText>
      </w:r>
      <w:r w:rsidR="00FA741B" w:rsidRPr="00FE2263">
        <w:fldChar w:fldCharType="separate"/>
      </w:r>
      <w:r w:rsidR="00FA741B" w:rsidRPr="00FE2263">
        <w:rPr>
          <w:noProof/>
        </w:rPr>
        <w:t>[23]</w:t>
      </w:r>
      <w:r w:rsidR="00FA741B" w:rsidRPr="00FE2263">
        <w:fldChar w:fldCharType="end"/>
      </w:r>
    </w:p>
    <w:p w14:paraId="405932BC" w14:textId="77777777" w:rsidR="00B16138" w:rsidRPr="00FE2263" w:rsidRDefault="00B16138" w:rsidP="00F817BC">
      <w:pPr>
        <w:pStyle w:val="afd"/>
        <w:spacing w:beforeAutospacing="0" w:afterAutospacing="0" w:line="360" w:lineRule="auto"/>
      </w:pPr>
      <w:r w:rsidRPr="00FE2263">
        <w:t>Ритуксимаб** – 375 мг/м</w:t>
      </w:r>
      <w:r w:rsidRPr="00FE2263">
        <w:rPr>
          <w:vertAlign w:val="superscript"/>
        </w:rPr>
        <w:t>2</w:t>
      </w:r>
      <w:r w:rsidRPr="00FE2263">
        <w:t xml:space="preserve"> в/в кап, 1 р/нед в течение 4 недель.</w:t>
      </w:r>
    </w:p>
    <w:p w14:paraId="38FC25A6" w14:textId="77777777" w:rsidR="00B16138" w:rsidRPr="00FE2263" w:rsidRDefault="00B16138" w:rsidP="0070759B">
      <w:pPr>
        <w:pStyle w:val="afd"/>
        <w:spacing w:beforeAutospacing="0" w:afterAutospacing="0" w:line="360" w:lineRule="auto"/>
      </w:pPr>
      <w:r w:rsidRPr="00FE2263">
        <w:t>Курс повторяют через 12 недель</w:t>
      </w:r>
    </w:p>
    <w:p w14:paraId="163829E1" w14:textId="46B4F0F9" w:rsidR="00710EC8" w:rsidRPr="00FE2263" w:rsidRDefault="00710EC8" w:rsidP="00710EC8">
      <w:pPr>
        <w:rPr>
          <w:rFonts w:eastAsia="Times New Roman" w:cs="Times New Roman"/>
          <w:szCs w:val="24"/>
          <w:lang w:eastAsia="ru-RU"/>
        </w:rPr>
      </w:pPr>
      <w:r w:rsidRPr="00277C09">
        <w:rPr>
          <w:rFonts w:eastAsia="Times New Roman" w:cs="Times New Roman"/>
          <w:b/>
          <w:szCs w:val="24"/>
          <w:u w:val="single"/>
          <w:lang w:val="en-US" w:eastAsia="ru-RU"/>
        </w:rPr>
        <w:t>R</w:t>
      </w:r>
      <w:r w:rsidRPr="00277C09">
        <w:rPr>
          <w:rFonts w:eastAsia="Times New Roman" w:cs="Times New Roman"/>
          <w:b/>
          <w:szCs w:val="24"/>
          <w:u w:val="single"/>
          <w:lang w:eastAsia="ru-RU"/>
        </w:rPr>
        <w:t>-</w:t>
      </w:r>
      <w:r w:rsidRPr="00277C09">
        <w:rPr>
          <w:rFonts w:eastAsia="Times New Roman" w:cs="Times New Roman"/>
          <w:b/>
          <w:szCs w:val="24"/>
          <w:u w:val="single"/>
          <w:lang w:val="en-US" w:eastAsia="ru-RU"/>
        </w:rPr>
        <w:t>CHOP</w:t>
      </w:r>
      <w:r w:rsidR="00FA741B" w:rsidRPr="0051317D">
        <w:rPr>
          <w:rFonts w:eastAsia="Times New Roman" w:cs="Times New Roman"/>
          <w:b/>
          <w:szCs w:val="24"/>
          <w:lang w:eastAsia="ru-RU"/>
        </w:rPr>
        <w:t xml:space="preserve"> </w:t>
      </w:r>
      <w:r w:rsidR="00FA741B" w:rsidRPr="00FE2263">
        <w:rPr>
          <w:rFonts w:eastAsia="Times New Roman" w:cs="Times New Roman"/>
          <w:b/>
          <w:szCs w:val="24"/>
          <w:lang w:val="en-US" w:eastAsia="ru-RU"/>
        </w:rPr>
        <w:fldChar w:fldCharType="begin" w:fldLock="1"/>
      </w:r>
      <w:r w:rsidR="009D41F9">
        <w:rPr>
          <w:rFonts w:eastAsia="Times New Roman" w:cs="Times New Roman"/>
          <w:b/>
          <w:szCs w:val="24"/>
          <w:lang w:val="en-US" w:eastAsia="ru-RU"/>
        </w:rPr>
        <w:instrText>ADDIN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CSL</w:instrText>
      </w:r>
      <w:r w:rsidR="009D41F9" w:rsidRPr="0051317D">
        <w:rPr>
          <w:rFonts w:eastAsia="Times New Roman" w:cs="Times New Roman"/>
          <w:b/>
          <w:szCs w:val="24"/>
          <w:lang w:eastAsia="ru-RU"/>
        </w:rPr>
        <w:instrText>_</w:instrText>
      </w:r>
      <w:r w:rsidR="009D41F9">
        <w:rPr>
          <w:rFonts w:eastAsia="Times New Roman" w:cs="Times New Roman"/>
          <w:b/>
          <w:szCs w:val="24"/>
          <w:lang w:val="en-US" w:eastAsia="ru-RU"/>
        </w:rPr>
        <w:instrText>CITATION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citationItems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id</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ITEM</w:instrText>
      </w:r>
      <w:r w:rsidR="009D41F9" w:rsidRPr="0051317D">
        <w:rPr>
          <w:rFonts w:eastAsia="Times New Roman" w:cs="Times New Roman"/>
          <w:b/>
          <w:szCs w:val="24"/>
          <w:lang w:eastAsia="ru-RU"/>
        </w:rPr>
        <w:instrText>-1","</w:instrText>
      </w:r>
      <w:r w:rsidR="009D41F9">
        <w:rPr>
          <w:rFonts w:eastAsia="Times New Roman" w:cs="Times New Roman"/>
          <w:b/>
          <w:szCs w:val="24"/>
          <w:lang w:val="en-US" w:eastAsia="ru-RU"/>
        </w:rPr>
        <w:instrText>itemData</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DOI</w:instrText>
      </w:r>
      <w:r w:rsidR="009D41F9" w:rsidRPr="0051317D">
        <w:rPr>
          <w:rFonts w:eastAsia="Times New Roman" w:cs="Times New Roman"/>
          <w:b/>
          <w:szCs w:val="24"/>
          <w:lang w:eastAsia="ru-RU"/>
        </w:rPr>
        <w:instrText>":"10.1038/</w:instrText>
      </w:r>
      <w:r w:rsidR="009D41F9">
        <w:rPr>
          <w:rFonts w:eastAsia="Times New Roman" w:cs="Times New Roman"/>
          <w:b/>
          <w:szCs w:val="24"/>
          <w:lang w:val="en-US" w:eastAsia="ru-RU"/>
        </w:rPr>
        <w:instrText>leu</w:instrText>
      </w:r>
      <w:r w:rsidR="009D41F9" w:rsidRPr="0051317D">
        <w:rPr>
          <w:rFonts w:eastAsia="Times New Roman" w:cs="Times New Roman"/>
          <w:b/>
          <w:szCs w:val="24"/>
          <w:lang w:eastAsia="ru-RU"/>
        </w:rPr>
        <w:instrText>.2008.261","</w:instrText>
      </w:r>
      <w:r w:rsidR="009D41F9">
        <w:rPr>
          <w:rFonts w:eastAsia="Times New Roman" w:cs="Times New Roman"/>
          <w:b/>
          <w:szCs w:val="24"/>
          <w:lang w:val="en-US" w:eastAsia="ru-RU"/>
        </w:rPr>
        <w:instrText>ISSN</w:instrText>
      </w:r>
      <w:r w:rsidR="009D41F9" w:rsidRPr="0051317D">
        <w:rPr>
          <w:rFonts w:eastAsia="Times New Roman" w:cs="Times New Roman"/>
          <w:b/>
          <w:szCs w:val="24"/>
          <w:lang w:eastAsia="ru-RU"/>
        </w:rPr>
        <w:instrText>":"14765551","</w:instrText>
      </w:r>
      <w:r w:rsidR="009D41F9">
        <w:rPr>
          <w:rFonts w:eastAsia="Times New Roman" w:cs="Times New Roman"/>
          <w:b/>
          <w:szCs w:val="24"/>
          <w:lang w:val="en-US" w:eastAsia="ru-RU"/>
        </w:rPr>
        <w:instrText>abstract</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Lymphoplasmacytic</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lymphoma</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LPL</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indolent</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lymphoma</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with</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moderate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sensitivity</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to</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conventional</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chemotherapy</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This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study</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investigated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whether</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addition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of</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rituximab</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to</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standard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chemotherapy</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improves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treatment</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outcome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LPL</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and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subgroup</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of</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LPL</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patients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fulfilling</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criteria</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of</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Waldenstroem</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macroglobulinemia</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WM</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total</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of</w:instrText>
      </w:r>
      <w:r w:rsidR="009D41F9" w:rsidRPr="0051317D">
        <w:rPr>
          <w:rFonts w:eastAsia="Times New Roman" w:cs="Times New Roman"/>
          <w:b/>
          <w:szCs w:val="24"/>
          <w:lang w:eastAsia="ru-RU"/>
        </w:rPr>
        <w:instrText xml:space="preserve"> 69 </w:instrText>
      </w:r>
      <w:r w:rsidR="009D41F9">
        <w:rPr>
          <w:rFonts w:eastAsia="Times New Roman" w:cs="Times New Roman"/>
          <w:b/>
          <w:szCs w:val="24"/>
          <w:lang w:val="en-US" w:eastAsia="ru-RU"/>
        </w:rPr>
        <w:instrText>patients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with</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previously</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untreated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LPL</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were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enrolled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into</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trial</w:instrText>
      </w:r>
      <w:r w:rsidR="009D41F9" w:rsidRPr="0051317D">
        <w:rPr>
          <w:rFonts w:eastAsia="Times New Roman" w:cs="Times New Roman"/>
          <w:b/>
          <w:szCs w:val="24"/>
          <w:lang w:eastAsia="ru-RU"/>
        </w:rPr>
        <w:instrText xml:space="preserve">; 64 </w:instrText>
      </w:r>
      <w:r w:rsidR="009D41F9">
        <w:rPr>
          <w:rFonts w:eastAsia="Times New Roman" w:cs="Times New Roman"/>
          <w:b/>
          <w:szCs w:val="24"/>
          <w:lang w:val="en-US" w:eastAsia="ru-RU"/>
        </w:rPr>
        <w:instrText>patients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were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evaluable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for</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treatment</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outcome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all</w:instrText>
      </w:r>
      <w:r w:rsidR="009D41F9" w:rsidRPr="0051317D">
        <w:rPr>
          <w:rFonts w:eastAsia="Times New Roman" w:cs="Times New Roman"/>
          <w:b/>
          <w:szCs w:val="24"/>
          <w:lang w:eastAsia="ru-RU"/>
        </w:rPr>
        <w:instrText xml:space="preserve">, 48 </w:instrText>
      </w:r>
      <w:r w:rsidR="009D41F9">
        <w:rPr>
          <w:rFonts w:eastAsia="Times New Roman" w:cs="Times New Roman"/>
          <w:b/>
          <w:szCs w:val="24"/>
          <w:lang w:val="en-US" w:eastAsia="ru-RU"/>
        </w:rPr>
        <w:instrText>of</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w:instrText>
      </w:r>
      <w:r w:rsidR="009D41F9" w:rsidRPr="0051317D">
        <w:rPr>
          <w:rFonts w:eastAsia="Times New Roman" w:cs="Times New Roman"/>
          <w:b/>
          <w:szCs w:val="24"/>
          <w:lang w:eastAsia="ru-RU"/>
        </w:rPr>
        <w:instrText xml:space="preserve"> 64 </w:instrText>
      </w:r>
      <w:r w:rsidR="009D41F9">
        <w:rPr>
          <w:rFonts w:eastAsia="Times New Roman" w:cs="Times New Roman"/>
          <w:b/>
          <w:szCs w:val="24"/>
          <w:lang w:val="en-US" w:eastAsia="ru-RU"/>
        </w:rPr>
        <w:instrText>LPL</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patients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fulfilled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criteria</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of</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WM</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Patients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were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randomly</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assigned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to</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R</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CHOP</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rituximab</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cyclophosphamide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doxorubicin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vincristine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and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prednisone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n</w:instrText>
      </w:r>
      <w:r w:rsidR="009D41F9" w:rsidRPr="0051317D">
        <w:rPr>
          <w:rFonts w:eastAsia="Times New Roman" w:cs="Times New Roman"/>
          <w:b/>
          <w:szCs w:val="24"/>
          <w:lang w:eastAsia="ru-RU"/>
        </w:rPr>
        <w:instrText xml:space="preserve">=34) </w:instrText>
      </w:r>
      <w:r w:rsidR="009D41F9">
        <w:rPr>
          <w:rFonts w:eastAsia="Times New Roman" w:cs="Times New Roman"/>
          <w:b/>
          <w:szCs w:val="24"/>
          <w:lang w:val="en-US" w:eastAsia="ru-RU"/>
        </w:rPr>
        <w:instrText>or</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CHOP</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n</w:instrText>
      </w:r>
      <w:r w:rsidR="009D41F9" w:rsidRPr="0051317D">
        <w:rPr>
          <w:rFonts w:eastAsia="Times New Roman" w:cs="Times New Roman"/>
          <w:b/>
          <w:szCs w:val="24"/>
          <w:lang w:eastAsia="ru-RU"/>
        </w:rPr>
        <w:instrText xml:space="preserve">=30). </w:instrText>
      </w:r>
      <w:r w:rsidR="009D41F9">
        <w:rPr>
          <w:rFonts w:eastAsia="Times New Roman" w:cs="Times New Roman"/>
          <w:b/>
          <w:szCs w:val="24"/>
          <w:lang w:val="en-US" w:eastAsia="ru-RU"/>
        </w:rPr>
        <w:instrText>R</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CHOP</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resulted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significantly</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higher</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overall</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response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OR</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rate</w:instrText>
      </w:r>
      <w:r w:rsidR="009D41F9" w:rsidRPr="0051317D">
        <w:rPr>
          <w:rFonts w:eastAsia="Times New Roman" w:cs="Times New Roman"/>
          <w:b/>
          <w:szCs w:val="24"/>
          <w:lang w:eastAsia="ru-RU"/>
        </w:rPr>
        <w:instrText xml:space="preserve"> (94 </w:instrText>
      </w:r>
      <w:r w:rsidR="009D41F9">
        <w:rPr>
          <w:rFonts w:eastAsia="Times New Roman" w:cs="Times New Roman"/>
          <w:b/>
          <w:szCs w:val="24"/>
          <w:lang w:val="en-US" w:eastAsia="ru-RU"/>
        </w:rPr>
        <w:instrText>vs</w:instrText>
      </w:r>
      <w:r w:rsidR="009D41F9" w:rsidRPr="0051317D">
        <w:rPr>
          <w:rFonts w:eastAsia="Times New Roman" w:cs="Times New Roman"/>
          <w:b/>
          <w:szCs w:val="24"/>
          <w:lang w:eastAsia="ru-RU"/>
        </w:rPr>
        <w:instrText xml:space="preserve"> 67%, </w:instrText>
      </w:r>
      <w:r w:rsidR="009D41F9">
        <w:rPr>
          <w:rFonts w:eastAsia="Times New Roman" w:cs="Times New Roman"/>
          <w:b/>
          <w:szCs w:val="24"/>
          <w:lang w:val="en-US" w:eastAsia="ru-RU"/>
        </w:rPr>
        <w:instrText>P</w:instrText>
      </w:r>
      <w:r w:rsidR="009D41F9" w:rsidRPr="0051317D">
        <w:rPr>
          <w:rFonts w:eastAsia="Times New Roman" w:cs="Times New Roman"/>
          <w:b/>
          <w:szCs w:val="24"/>
          <w:lang w:eastAsia="ru-RU"/>
        </w:rPr>
        <w:instrText xml:space="preserve">=0.0085) </w:instrText>
      </w:r>
      <w:r w:rsidR="009D41F9">
        <w:rPr>
          <w:rFonts w:eastAsia="Times New Roman" w:cs="Times New Roman"/>
          <w:b/>
          <w:szCs w:val="24"/>
          <w:lang w:val="en-US" w:eastAsia="ru-RU"/>
        </w:rPr>
        <w:instrText>in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LPL</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patients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and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WM</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subgroup</w:instrText>
      </w:r>
      <w:r w:rsidR="009D41F9" w:rsidRPr="0051317D">
        <w:rPr>
          <w:rFonts w:eastAsia="Times New Roman" w:cs="Times New Roman"/>
          <w:b/>
          <w:szCs w:val="24"/>
          <w:lang w:eastAsia="ru-RU"/>
        </w:rPr>
        <w:instrText xml:space="preserve"> (91 </w:instrText>
      </w:r>
      <w:r w:rsidR="009D41F9">
        <w:rPr>
          <w:rFonts w:eastAsia="Times New Roman" w:cs="Times New Roman"/>
          <w:b/>
          <w:szCs w:val="24"/>
          <w:lang w:val="en-US" w:eastAsia="ru-RU"/>
        </w:rPr>
        <w:instrText>vs</w:instrText>
      </w:r>
      <w:r w:rsidR="009D41F9" w:rsidRPr="0051317D">
        <w:rPr>
          <w:rFonts w:eastAsia="Times New Roman" w:cs="Times New Roman"/>
          <w:b/>
          <w:szCs w:val="24"/>
          <w:lang w:eastAsia="ru-RU"/>
        </w:rPr>
        <w:instrText xml:space="preserve"> 60%, </w:instrText>
      </w:r>
      <w:r w:rsidR="009D41F9">
        <w:rPr>
          <w:rFonts w:eastAsia="Times New Roman" w:cs="Times New Roman"/>
          <w:b/>
          <w:szCs w:val="24"/>
          <w:lang w:val="en-US" w:eastAsia="ru-RU"/>
        </w:rPr>
        <w:instrText>P</w:instrText>
      </w:r>
      <w:r w:rsidR="009D41F9" w:rsidRPr="0051317D">
        <w:rPr>
          <w:rFonts w:eastAsia="Times New Roman" w:cs="Times New Roman"/>
          <w:b/>
          <w:szCs w:val="24"/>
          <w:lang w:eastAsia="ru-RU"/>
        </w:rPr>
        <w:instrText xml:space="preserve">=0.0188). </w:instrText>
      </w:r>
      <w:r w:rsidR="009D41F9">
        <w:rPr>
          <w:rFonts w:eastAsia="Times New Roman" w:cs="Times New Roman"/>
          <w:b/>
          <w:szCs w:val="24"/>
          <w:lang w:val="en-US" w:eastAsia="ru-RU"/>
        </w:rPr>
        <w:instrText>With</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median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observation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time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of</w:instrText>
      </w:r>
      <w:r w:rsidR="009D41F9" w:rsidRPr="0051317D">
        <w:rPr>
          <w:rFonts w:eastAsia="Times New Roman" w:cs="Times New Roman"/>
          <w:b/>
          <w:szCs w:val="24"/>
          <w:lang w:eastAsia="ru-RU"/>
        </w:rPr>
        <w:instrText xml:space="preserve"> 42 </w:instrText>
      </w:r>
      <w:r w:rsidR="009D41F9">
        <w:rPr>
          <w:rFonts w:eastAsia="Times New Roman" w:cs="Times New Roman"/>
          <w:b/>
          <w:szCs w:val="24"/>
          <w:lang w:val="en-US" w:eastAsia="ru-RU"/>
        </w:rPr>
        <w:instrText>months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R</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CHOP</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induced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significantly</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longer</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time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to</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treatment</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failure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TTF</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with</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median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of</w:instrText>
      </w:r>
      <w:r w:rsidR="009D41F9" w:rsidRPr="0051317D">
        <w:rPr>
          <w:rFonts w:eastAsia="Times New Roman" w:cs="Times New Roman"/>
          <w:b/>
          <w:szCs w:val="24"/>
          <w:lang w:eastAsia="ru-RU"/>
        </w:rPr>
        <w:instrText xml:space="preserve"> 63 </w:instrText>
      </w:r>
      <w:r w:rsidR="009D41F9">
        <w:rPr>
          <w:rFonts w:eastAsia="Times New Roman" w:cs="Times New Roman"/>
          <w:b/>
          <w:szCs w:val="24"/>
          <w:lang w:val="en-US" w:eastAsia="ru-RU"/>
        </w:rPr>
        <w:instrText>months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for</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R</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CHOP</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vs</w:instrText>
      </w:r>
      <w:r w:rsidR="009D41F9" w:rsidRPr="0051317D">
        <w:rPr>
          <w:rFonts w:eastAsia="Times New Roman" w:cs="Times New Roman"/>
          <w:b/>
          <w:szCs w:val="24"/>
          <w:lang w:eastAsia="ru-RU"/>
        </w:rPr>
        <w:instrText xml:space="preserve"> 22 </w:instrText>
      </w:r>
      <w:r w:rsidR="009D41F9">
        <w:rPr>
          <w:rFonts w:eastAsia="Times New Roman" w:cs="Times New Roman"/>
          <w:b/>
          <w:szCs w:val="24"/>
          <w:lang w:val="en-US" w:eastAsia="ru-RU"/>
        </w:rPr>
        <w:instrText>months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CHOP</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arm</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LPL</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patients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P</w:instrText>
      </w:r>
      <w:r w:rsidR="009D41F9" w:rsidRPr="0051317D">
        <w:rPr>
          <w:rFonts w:eastAsia="Times New Roman" w:cs="Times New Roman"/>
          <w:b/>
          <w:szCs w:val="24"/>
          <w:lang w:eastAsia="ru-RU"/>
        </w:rPr>
        <w:instrText xml:space="preserve">=0.0033) </w:instrText>
      </w:r>
      <w:r w:rsidR="009D41F9">
        <w:rPr>
          <w:rFonts w:eastAsia="Times New Roman" w:cs="Times New Roman"/>
          <w:b/>
          <w:szCs w:val="24"/>
          <w:lang w:val="en-US" w:eastAsia="ru-RU"/>
        </w:rPr>
        <w:instrText>and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WM</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subgroup</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P</w:instrText>
      </w:r>
      <w:r w:rsidR="009D41F9" w:rsidRPr="0051317D">
        <w:rPr>
          <w:rFonts w:eastAsia="Times New Roman" w:cs="Times New Roman"/>
          <w:b/>
          <w:szCs w:val="24"/>
          <w:lang w:eastAsia="ru-RU"/>
        </w:rPr>
        <w:instrText xml:space="preserve">=0.0241). </w:instrText>
      </w:r>
      <w:r w:rsidR="009D41F9">
        <w:rPr>
          <w:rFonts w:eastAsia="Times New Roman" w:cs="Times New Roman"/>
          <w:b/>
          <w:szCs w:val="24"/>
          <w:lang w:val="en-US" w:eastAsia="ru-RU"/>
        </w:rPr>
        <w:instrText>There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was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no</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major</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difference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of</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treatment</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associated</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toxicity</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between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both</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treatment</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groups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These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data</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indicate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that</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the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addition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of</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rituximab</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to</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front</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line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chemotherapy</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improves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treatment</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outcome</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in</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patients</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with</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LPL</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or</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WM</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author</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Buske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C</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Hoster</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Dreyling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M</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Eimermacher</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H</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Wandt</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H</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Metzner</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B</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Fuchs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R</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Bittenbring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J</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Woermann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B</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Hohloch</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K</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Hess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Ludwig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W</w:instrText>
      </w:r>
      <w:r w:rsidR="009D41F9" w:rsidRPr="0051317D">
        <w:rPr>
          <w:rFonts w:eastAsia="Times New Roman" w:cs="Times New Roman"/>
          <w:b/>
          <w:szCs w:val="24"/>
          <w:lang w:eastAsia="ru-RU"/>
        </w:rPr>
        <w:instrText xml:space="preserve">. </w:instrText>
      </w:r>
      <w:r w:rsidR="009D41F9">
        <w:rPr>
          <w:rFonts w:eastAsia="Times New Roman" w:cs="Times New Roman"/>
          <w:b/>
          <w:szCs w:val="24"/>
          <w:lang w:val="en-US" w:eastAsia="ru-RU"/>
        </w:rPr>
        <w:instrText>D</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Schimke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J</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names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false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suffix</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dropping</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particle</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family</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Schmitz</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given</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S</w:instrText>
      </w:r>
      <w:r w:rsidR="009D41F9" w:rsidRPr="0051317D">
        <w:rPr>
          <w:rFonts w:eastAsia="Times New Roman" w:cs="Times New Roman"/>
          <w:b/>
          <w:szCs w:val="24"/>
          <w:lang w:eastAsia="ru-RU"/>
        </w:rPr>
        <w:instrText>.","</w:instrText>
      </w:r>
      <w:r w:rsidR="009D41F9">
        <w:rPr>
          <w:rFonts w:eastAsia="Times New Roman" w:cs="Times New Roman"/>
          <w:b/>
          <w:szCs w:val="24"/>
          <w:lang w:val="en-US" w:eastAsia="ru-RU"/>
        </w:rPr>
        <w:instrText>non-dropping-particle":"","parse-names":false,"suffix":""},{"dropping-particle":"","family":"Kneba","given":"M.","non-dropping-particle":"","parse-names":false,"suffix":""},{"dropping-particle":"","family":"Reiser","given":"M.","non-dropping-particle":"","parse-names":false,"suffix":""},{"dropping-particle":"","family":"Graeven","given":"U.","non-dropping-particle":"","parse-names":false,"suffix":""},{"dropping-particle":"","family":"Klapper","given":"W.","non-dropping-particle":"","parse-names":false,"suffix":""},{"dropping-particle":"","family":"Unterhalt","given":"M.","non-dropping-particle":"","parse-names":false,"suffix":""},{"dropping-particle":"","family":"Hiddemann","given":"W.","non-dropping-particle":"","parse-names":false,"suffix":""}],"container-title":"Leukemia","id":"ITEM-1","issue":"1","issued":{"date-parts":[["2009","1"]]},"page":"153-161","publisher":"Nature Publishing Group","title":"The addition of rituximab to front-line therapy with CHOP (R-CHOP) results in a higher response rate and longer time to treatment failure in patients with lymphoplasmacytic lymphoma: Results of a randomized trial of the German Low-Grade Lymphoma Study Group (GLSG)","type":"article-journal","volume":"23"},"uris":["http://www.mendeley.com/documents/?uuid=4e01cf7f-4756-3189-9d5d-fe062582e4cb"]},{"id":"ITEM-2","itemData":{"DOI":"10.3816/CLM.2009.n.016","ISSN":"15579190","abstract":"Since the adoption of rituximab, the importance of doxorubicin and vincristine as treatment components remains to be clarified in Waldenström's macroglobulinemia (WM). We therefore examined the outcomes of symptomatic patients with WM who received CHOP-R (cyclophosphamide/doxorubicin/ vincristine/prednisone plus rituximab; n = 23), CVP-R (cyclophosphamide/ vincristine/ prednisone plus rituximab; n = 16), or CP-R (cyclophosphamide/ prednisone plus rituximab; n = 19) at our institution. Baseline characteristics for all 3 cohorts were similar for age, previous therapies, bone marrow involvement, hematocrit, platelet count, and serum β&lt;sub&gt;2&lt;/ sub&gt;-microglobulin, though serum immunoglobulin M levels were higher in patients treated with CHOP-R (P .015). The overall response rates (ORR) and complete response (CR) rates to therapy were as follows: CHOP-R (ORR, 96%; CR, 17%); CVP-R (ORR 88%; CR 12%); CP-R (ORR, 95%; CR, 0%); P = not significant. Adverse events attributed to therapy showed a higher incidence for neutropenic fever and treatment-related neuropathy for CHOP-R and CVP-R versus CPR (P &lt; .03). The results of this study demonstrate comparable responses among patients with WM receiving CHOP-R, CVP-R, or CP-R, though a significantly higher incidence of treatment-related neuropathy and febrile neutropenia was observed among patients treated with CVP-R and CHOP-R versus CP-R. The use of CP-R might provide analogous treatment responses to more intense cyclophosphamide-based regimens while minimizing treatment-related complications in patients with WM.","author":[{"dropping-particle":"","family":"Ioakimidis","given":"Leukothea","non-dropping-particle":"","parse-names":false,"suffix":""},{"dropping-particle":"","family":"Patterson","given":"Christopher","non-dropping-particle":"","parse-names":false,"suffix":""},{"dropping-particle":"","family":"Hunter","given":"Zachary","non-dropping-particle":"","parse-names":false,"suffix":""},{"dropping-particle":"","family":"Soumerai","given":"Jacob","non-dropping-particle":"","parse-names":false,"suffix":""},{"dropping-particle":"","family":"Manning","given":"Robert","non-dropping-particle":"","parse-names":false,"suffix":""},{"dropping-particle":"","family":"Turnbull","given":"Barry","non-dropping-particle":"","parse-names":false,"suffix":""},{"dropping-particle":"","family":"Sheehy","given":"Patricia","non-dropping-particle":"","parse-names":false,"suffix":""},{"dropping-particle":"","family":"Treon","given":"Steven","non-dropping-particle":"","parse-names":false,"suffix":""}],"container-title":"Clinical Lymphoma and Myeloma","id":"ITEM-2","issue":"1","issued":{"date-parts":[["2009","3"]]},"page":"62-66","publisher":"Cancer Information Group, LP","title":"Comparative outcomes following CP-R, CVP-R, and CHOP-R in Waldenström's macroglobulinemia","type":"article-journal","volume":"9"},"uris":["http://www.mendeley.com/documents/?uuid=cdee16ce-557d-346c-add6-4fc42c938fb1"]}],"mendeley":{"formattedCitation":"[22,62]","plainTextFormattedCitation":"[22,62]","previouslyFormattedCitation":"[22,62]"},"properties":{"noteIndex":0},"schema":"https://github.com/citation-style-language/schema/raw/master/csl-citation.json"}</w:instrText>
      </w:r>
      <w:r w:rsidR="00FA741B" w:rsidRPr="00FE2263">
        <w:rPr>
          <w:rFonts w:eastAsia="Times New Roman" w:cs="Times New Roman"/>
          <w:b/>
          <w:szCs w:val="24"/>
          <w:lang w:val="en-US" w:eastAsia="ru-RU"/>
        </w:rPr>
        <w:fldChar w:fldCharType="separate"/>
      </w:r>
      <w:r w:rsidR="004C3BA5" w:rsidRPr="004C3BA5">
        <w:rPr>
          <w:rFonts w:eastAsia="Times New Roman" w:cs="Times New Roman"/>
          <w:noProof/>
          <w:szCs w:val="24"/>
          <w:lang w:eastAsia="ru-RU"/>
        </w:rPr>
        <w:t>[22,62]</w:t>
      </w:r>
      <w:r w:rsidR="00FA741B" w:rsidRPr="00FE2263">
        <w:rPr>
          <w:rFonts w:eastAsia="Times New Roman" w:cs="Times New Roman"/>
          <w:b/>
          <w:szCs w:val="24"/>
          <w:lang w:val="en-US" w:eastAsia="ru-RU"/>
        </w:rPr>
        <w:fldChar w:fldCharType="end"/>
      </w:r>
    </w:p>
    <w:p w14:paraId="5F5092B8" w14:textId="638558C3" w:rsidR="00710EC8" w:rsidRPr="00FE2263" w:rsidRDefault="00710EC8" w:rsidP="0010608C">
      <w:pPr>
        <w:numPr>
          <w:ilvl w:val="0"/>
          <w:numId w:val="12"/>
        </w:numPr>
        <w:contextualSpacing/>
        <w:rPr>
          <w:rFonts w:eastAsia="Times New Roman" w:cs="Times New Roman"/>
          <w:szCs w:val="24"/>
          <w:lang w:eastAsia="ru-RU"/>
        </w:rPr>
      </w:pPr>
      <w:r w:rsidRPr="00FE2263">
        <w:rPr>
          <w:rFonts w:eastAsia="Times New Roman" w:cs="Times New Roman"/>
          <w:szCs w:val="24"/>
          <w:lang w:eastAsia="ru-RU"/>
        </w:rPr>
        <w:t>Ритуксимаб** 375 мг/м</w:t>
      </w:r>
      <w:r w:rsidRPr="00FE2263">
        <w:rPr>
          <w:rFonts w:eastAsia="Times New Roman" w:cs="Times New Roman"/>
          <w:szCs w:val="24"/>
          <w:vertAlign w:val="superscript"/>
          <w:lang w:eastAsia="ru-RU"/>
        </w:rPr>
        <w:t>2</w:t>
      </w:r>
      <w:r w:rsidRPr="00FE2263">
        <w:rPr>
          <w:rFonts w:eastAsia="Times New Roman" w:cs="Times New Roman"/>
          <w:szCs w:val="24"/>
          <w:lang w:eastAsia="ru-RU"/>
        </w:rPr>
        <w:t xml:space="preserve"> в/в кап., день 0 или 1 все циклы курса</w:t>
      </w:r>
    </w:p>
    <w:p w14:paraId="6DAB0D7F" w14:textId="77777777" w:rsidR="00710EC8" w:rsidRPr="00FE2263" w:rsidRDefault="00710EC8" w:rsidP="0010608C">
      <w:pPr>
        <w:numPr>
          <w:ilvl w:val="0"/>
          <w:numId w:val="12"/>
        </w:numPr>
        <w:contextualSpacing/>
        <w:rPr>
          <w:rFonts w:eastAsia="Times New Roman" w:cs="Times New Roman"/>
          <w:szCs w:val="24"/>
          <w:lang w:eastAsia="ru-RU"/>
        </w:rPr>
      </w:pPr>
      <w:r w:rsidRPr="00FE2263">
        <w:rPr>
          <w:rFonts w:eastAsia="Times New Roman" w:cs="Times New Roman"/>
          <w:szCs w:val="24"/>
          <w:lang w:eastAsia="ru-RU"/>
        </w:rPr>
        <w:t>Доксорубицин** 50 мг/м</w:t>
      </w:r>
      <w:r w:rsidRPr="00FE2263">
        <w:rPr>
          <w:rFonts w:eastAsia="Times New Roman" w:cs="Times New Roman"/>
          <w:szCs w:val="24"/>
          <w:vertAlign w:val="superscript"/>
          <w:lang w:eastAsia="ru-RU"/>
        </w:rPr>
        <w:t>2</w:t>
      </w:r>
      <w:r w:rsidRPr="00FE2263">
        <w:rPr>
          <w:rFonts w:eastAsia="Times New Roman" w:cs="Times New Roman"/>
          <w:szCs w:val="24"/>
          <w:lang w:eastAsia="ru-RU"/>
        </w:rPr>
        <w:t xml:space="preserve"> в/в кап., день 1</w:t>
      </w:r>
    </w:p>
    <w:p w14:paraId="5631BE91" w14:textId="77777777" w:rsidR="00710EC8" w:rsidRPr="00FE2263" w:rsidRDefault="00710EC8" w:rsidP="0010608C">
      <w:pPr>
        <w:numPr>
          <w:ilvl w:val="0"/>
          <w:numId w:val="12"/>
        </w:numPr>
        <w:contextualSpacing/>
        <w:rPr>
          <w:rFonts w:eastAsia="Times New Roman" w:cs="Times New Roman"/>
          <w:szCs w:val="24"/>
          <w:lang w:eastAsia="ru-RU"/>
        </w:rPr>
      </w:pPr>
      <w:r w:rsidRPr="00FE2263">
        <w:rPr>
          <w:rFonts w:eastAsia="Times New Roman" w:cs="Times New Roman"/>
          <w:szCs w:val="24"/>
          <w:lang w:eastAsia="ru-RU"/>
        </w:rPr>
        <w:t>Циклофосфамид** 750 мг/м</w:t>
      </w:r>
      <w:r w:rsidRPr="00FE2263">
        <w:rPr>
          <w:rFonts w:eastAsia="Times New Roman" w:cs="Times New Roman"/>
          <w:szCs w:val="24"/>
          <w:vertAlign w:val="superscript"/>
          <w:lang w:eastAsia="ru-RU"/>
        </w:rPr>
        <w:t>2</w:t>
      </w:r>
      <w:r w:rsidRPr="00FE2263">
        <w:rPr>
          <w:rFonts w:eastAsia="Times New Roman" w:cs="Times New Roman"/>
          <w:szCs w:val="24"/>
          <w:lang w:eastAsia="ru-RU"/>
        </w:rPr>
        <w:t xml:space="preserve"> в/в кап., день 1</w:t>
      </w:r>
    </w:p>
    <w:p w14:paraId="4D689D36" w14:textId="77777777" w:rsidR="00710EC8" w:rsidRPr="00FE2263" w:rsidRDefault="00710EC8" w:rsidP="0010608C">
      <w:pPr>
        <w:numPr>
          <w:ilvl w:val="0"/>
          <w:numId w:val="12"/>
        </w:numPr>
        <w:contextualSpacing/>
        <w:rPr>
          <w:rFonts w:eastAsia="Times New Roman" w:cs="Times New Roman"/>
          <w:szCs w:val="24"/>
          <w:lang w:eastAsia="ru-RU"/>
        </w:rPr>
      </w:pPr>
      <w:r w:rsidRPr="00FE2263">
        <w:rPr>
          <w:rFonts w:eastAsia="Times New Roman" w:cs="Times New Roman"/>
          <w:szCs w:val="24"/>
          <w:lang w:eastAsia="ru-RU"/>
        </w:rPr>
        <w:t>#Винкристин** 1,4 мг/м</w:t>
      </w:r>
      <w:r w:rsidRPr="00FE2263">
        <w:rPr>
          <w:rFonts w:eastAsia="Times New Roman" w:cs="Times New Roman"/>
          <w:szCs w:val="24"/>
          <w:vertAlign w:val="superscript"/>
          <w:lang w:eastAsia="ru-RU"/>
        </w:rPr>
        <w:t>2</w:t>
      </w:r>
      <w:r w:rsidRPr="00FE2263">
        <w:rPr>
          <w:rFonts w:eastAsia="Times New Roman" w:cs="Times New Roman"/>
          <w:szCs w:val="24"/>
          <w:lang w:eastAsia="ru-RU"/>
        </w:rPr>
        <w:t xml:space="preserve"> (суммарно не более 2 мг) в/в, день 1</w:t>
      </w:r>
    </w:p>
    <w:p w14:paraId="416406F8" w14:textId="77777777" w:rsidR="00710EC8" w:rsidRPr="00FE2263" w:rsidRDefault="00710EC8" w:rsidP="0010608C">
      <w:pPr>
        <w:numPr>
          <w:ilvl w:val="0"/>
          <w:numId w:val="12"/>
        </w:numPr>
        <w:contextualSpacing/>
        <w:rPr>
          <w:rFonts w:eastAsia="Times New Roman" w:cs="Times New Roman"/>
          <w:szCs w:val="24"/>
          <w:lang w:eastAsia="ru-RU"/>
        </w:rPr>
      </w:pPr>
      <w:r w:rsidRPr="00FE2263">
        <w:rPr>
          <w:rFonts w:eastAsia="Times New Roman" w:cs="Times New Roman"/>
          <w:szCs w:val="24"/>
          <w:lang w:eastAsia="ru-RU"/>
        </w:rPr>
        <w:t>Преднизолон** 100 мг внутрь, дни 1-5</w:t>
      </w:r>
    </w:p>
    <w:p w14:paraId="65D13DE5" w14:textId="333F4197" w:rsidR="00710EC8" w:rsidRPr="00FE2263" w:rsidRDefault="00710EC8" w:rsidP="00710EC8">
      <w:pPr>
        <w:pStyle w:val="afd"/>
        <w:spacing w:beforeAutospacing="0" w:afterAutospacing="0" w:line="360" w:lineRule="auto"/>
        <w:ind w:left="720" w:firstLine="0"/>
        <w:jc w:val="left"/>
        <w:rPr>
          <w:rStyle w:val="affb"/>
          <w:b w:val="0"/>
          <w:bCs w:val="0"/>
        </w:rPr>
      </w:pPr>
      <w:r w:rsidRPr="00FE2263">
        <w:t>Лечение возобновляется на 22 день</w:t>
      </w:r>
    </w:p>
    <w:p w14:paraId="3C3D127E" w14:textId="2BED4CEC" w:rsidR="00B16138" w:rsidRPr="00FE2263" w:rsidRDefault="00B16138" w:rsidP="0010608C">
      <w:pPr>
        <w:pStyle w:val="afd"/>
        <w:numPr>
          <w:ilvl w:val="0"/>
          <w:numId w:val="12"/>
        </w:numPr>
        <w:spacing w:beforeAutospacing="0" w:afterAutospacing="0" w:line="360" w:lineRule="auto"/>
        <w:jc w:val="left"/>
      </w:pPr>
      <w:r w:rsidRPr="00FE2263">
        <w:rPr>
          <w:rStyle w:val="affb"/>
          <w:u w:val="single"/>
        </w:rPr>
        <w:t>BR</w:t>
      </w:r>
      <w:r w:rsidR="00FA741B" w:rsidRPr="00FE2263">
        <w:rPr>
          <w:rStyle w:val="affb"/>
          <w:u w:val="single"/>
        </w:rPr>
        <w:t xml:space="preserve"> </w:t>
      </w:r>
      <w:r w:rsidR="00FA741B" w:rsidRPr="00FE2263">
        <w:rPr>
          <w:rStyle w:val="affb"/>
          <w:u w:val="single"/>
          <w:lang w:val="en-US"/>
        </w:rPr>
        <w:fldChar w:fldCharType="begin" w:fldLock="1"/>
      </w:r>
      <w:r w:rsidR="00FA741B" w:rsidRPr="00FE2263">
        <w:rPr>
          <w:rStyle w:val="affb"/>
          <w:u w:val="single"/>
          <w:lang w:val="en-US"/>
        </w:rPr>
        <w:instrText>ADDIN</w:instrText>
      </w:r>
      <w:r w:rsidR="00FA741B" w:rsidRPr="00FE2263">
        <w:rPr>
          <w:rStyle w:val="affb"/>
          <w:u w:val="single"/>
        </w:rPr>
        <w:instrText xml:space="preserve"> </w:instrText>
      </w:r>
      <w:r w:rsidR="00FA741B" w:rsidRPr="00FE2263">
        <w:rPr>
          <w:rStyle w:val="affb"/>
          <w:u w:val="single"/>
          <w:lang w:val="en-US"/>
        </w:rPr>
        <w:instrText>CSL</w:instrText>
      </w:r>
      <w:r w:rsidR="00FA741B" w:rsidRPr="00FE2263">
        <w:rPr>
          <w:rStyle w:val="affb"/>
          <w:u w:val="single"/>
        </w:rPr>
        <w:instrText>_</w:instrText>
      </w:r>
      <w:r w:rsidR="00FA741B" w:rsidRPr="00FE2263">
        <w:rPr>
          <w:rStyle w:val="affb"/>
          <w:u w:val="single"/>
          <w:lang w:val="en-US"/>
        </w:rPr>
        <w:instrText>CITATION</w:instrText>
      </w:r>
      <w:r w:rsidR="00FA741B" w:rsidRPr="00FE2263">
        <w:rPr>
          <w:rStyle w:val="affb"/>
          <w:u w:val="single"/>
        </w:rPr>
        <w:instrText xml:space="preserve"> {"</w:instrText>
      </w:r>
      <w:r w:rsidR="00FA741B" w:rsidRPr="00FE2263">
        <w:rPr>
          <w:rStyle w:val="affb"/>
          <w:u w:val="single"/>
          <w:lang w:val="en-US"/>
        </w:rPr>
        <w:instrText>citationItems</w:instrText>
      </w:r>
      <w:r w:rsidR="00FA741B" w:rsidRPr="00FE2263">
        <w:rPr>
          <w:rStyle w:val="affb"/>
          <w:u w:val="single"/>
        </w:rPr>
        <w:instrText>":[{"</w:instrText>
      </w:r>
      <w:r w:rsidR="00FA741B" w:rsidRPr="00FE2263">
        <w:rPr>
          <w:rStyle w:val="affb"/>
          <w:u w:val="single"/>
          <w:lang w:val="en-US"/>
        </w:rPr>
        <w:instrText>id</w:instrText>
      </w:r>
      <w:r w:rsidR="00FA741B" w:rsidRPr="00FE2263">
        <w:rPr>
          <w:rStyle w:val="affb"/>
          <w:u w:val="single"/>
        </w:rPr>
        <w:instrText>":"</w:instrText>
      </w:r>
      <w:r w:rsidR="00FA741B" w:rsidRPr="00FE2263">
        <w:rPr>
          <w:rStyle w:val="affb"/>
          <w:u w:val="single"/>
          <w:lang w:val="en-US"/>
        </w:rPr>
        <w:instrText>ITEM</w:instrText>
      </w:r>
      <w:r w:rsidR="00FA741B" w:rsidRPr="00FE2263">
        <w:rPr>
          <w:rStyle w:val="affb"/>
          <w:u w:val="single"/>
        </w:rPr>
        <w:instrText>-1","</w:instrText>
      </w:r>
      <w:r w:rsidR="00FA741B" w:rsidRPr="00FE2263">
        <w:rPr>
          <w:rStyle w:val="affb"/>
          <w:u w:val="single"/>
          <w:lang w:val="en-US"/>
        </w:rPr>
        <w:instrText>itemData</w:instrText>
      </w:r>
      <w:r w:rsidR="00FA741B" w:rsidRPr="00FE2263">
        <w:rPr>
          <w:rStyle w:val="affb"/>
          <w:u w:val="single"/>
        </w:rPr>
        <w:instrText>":{"</w:instrText>
      </w:r>
      <w:r w:rsidR="00FA741B" w:rsidRPr="00FE2263">
        <w:rPr>
          <w:rStyle w:val="affb"/>
          <w:u w:val="single"/>
          <w:lang w:val="en-US"/>
        </w:rPr>
        <w:instrText>DOI</w:instrText>
      </w:r>
      <w:r w:rsidR="00FA741B" w:rsidRPr="00FE2263">
        <w:rPr>
          <w:rStyle w:val="affb"/>
          <w:u w:val="single"/>
        </w:rPr>
        <w:instrText>":"10.1002/</w:instrText>
      </w:r>
      <w:r w:rsidR="00FA741B" w:rsidRPr="00FE2263">
        <w:rPr>
          <w:rStyle w:val="affb"/>
          <w:u w:val="single"/>
          <w:lang w:val="en-US"/>
        </w:rPr>
        <w:instrText>ajh</w:instrText>
      </w:r>
      <w:r w:rsidR="00FA741B" w:rsidRPr="00FE2263">
        <w:rPr>
          <w:rStyle w:val="affb"/>
          <w:u w:val="single"/>
        </w:rPr>
        <w:instrText>.21788","</w:instrText>
      </w:r>
      <w:r w:rsidR="00FA741B" w:rsidRPr="00FE2263">
        <w:rPr>
          <w:rStyle w:val="affb"/>
          <w:u w:val="single"/>
          <w:lang w:val="en-US"/>
        </w:rPr>
        <w:instrText>ISSN</w:instrText>
      </w:r>
      <w:r w:rsidR="00FA741B" w:rsidRPr="00FE2263">
        <w:rPr>
          <w:rStyle w:val="affb"/>
          <w:u w:val="single"/>
        </w:rPr>
        <w:instrText>":"10968652","</w:instrText>
      </w:r>
      <w:r w:rsidR="00FA741B" w:rsidRPr="00FE2263">
        <w:rPr>
          <w:rStyle w:val="affb"/>
          <w:u w:val="single"/>
          <w:lang w:val="en-US"/>
        </w:rPr>
        <w:instrText>abstract</w:instrText>
      </w:r>
      <w:r w:rsidR="00FA741B" w:rsidRPr="00FE2263">
        <w:rPr>
          <w:rStyle w:val="affb"/>
          <w:u w:val="single"/>
        </w:rPr>
        <w:instrText>":"</w:instrText>
      </w:r>
      <w:r w:rsidR="00FA741B" w:rsidRPr="00FE2263">
        <w:rPr>
          <w:rStyle w:val="affb"/>
          <w:u w:val="single"/>
          <w:lang w:val="en-US"/>
        </w:rPr>
        <w:instrText>This</w:instrText>
      </w:r>
      <w:r w:rsidR="00FA741B" w:rsidRPr="00FE2263">
        <w:rPr>
          <w:rStyle w:val="affb"/>
          <w:u w:val="single"/>
        </w:rPr>
        <w:instrText xml:space="preserve"> </w:instrText>
      </w:r>
      <w:r w:rsidR="00FA741B" w:rsidRPr="00FE2263">
        <w:rPr>
          <w:rStyle w:val="affb"/>
          <w:u w:val="single"/>
          <w:lang w:val="en-US"/>
        </w:rPr>
        <w:instrText>study</w:instrText>
      </w:r>
      <w:r w:rsidR="00FA741B" w:rsidRPr="00FE2263">
        <w:rPr>
          <w:rStyle w:val="affb"/>
          <w:u w:val="single"/>
        </w:rPr>
        <w:instrText xml:space="preserve"> </w:instrText>
      </w:r>
      <w:r w:rsidR="00FA741B" w:rsidRPr="00FE2263">
        <w:rPr>
          <w:rStyle w:val="affb"/>
          <w:u w:val="single"/>
          <w:lang w:val="en-US"/>
        </w:rPr>
        <w:instrText>aimed</w:instrText>
      </w:r>
      <w:r w:rsidR="00FA741B" w:rsidRPr="00FE2263">
        <w:rPr>
          <w:rStyle w:val="affb"/>
          <w:u w:val="single"/>
        </w:rPr>
        <w:instrText xml:space="preserve"> </w:instrText>
      </w:r>
      <w:r w:rsidR="00FA741B" w:rsidRPr="00FE2263">
        <w:rPr>
          <w:rStyle w:val="affb"/>
          <w:u w:val="single"/>
          <w:lang w:val="en-US"/>
        </w:rPr>
        <w:instrText>to</w:instrText>
      </w:r>
      <w:r w:rsidR="00FA741B" w:rsidRPr="00FE2263">
        <w:rPr>
          <w:rStyle w:val="affb"/>
          <w:u w:val="single"/>
        </w:rPr>
        <w:instrText xml:space="preserve"> </w:instrText>
      </w:r>
      <w:r w:rsidR="00FA741B" w:rsidRPr="00FE2263">
        <w:rPr>
          <w:rStyle w:val="affb"/>
          <w:u w:val="single"/>
          <w:lang w:val="en-US"/>
        </w:rPr>
        <w:instrText>determine</w:instrText>
      </w:r>
      <w:r w:rsidR="00FA741B" w:rsidRPr="00FE2263">
        <w:rPr>
          <w:rStyle w:val="affb"/>
          <w:u w:val="single"/>
        </w:rPr>
        <w:instrText xml:space="preserve"> </w:instrText>
      </w:r>
      <w:r w:rsidR="00FA741B" w:rsidRPr="00FE2263">
        <w:rPr>
          <w:rStyle w:val="affb"/>
          <w:u w:val="single"/>
          <w:lang w:val="en-US"/>
        </w:rPr>
        <w:instrText>the</w:instrText>
      </w:r>
      <w:r w:rsidR="00FA741B" w:rsidRPr="00FE2263">
        <w:rPr>
          <w:rStyle w:val="affb"/>
          <w:u w:val="single"/>
        </w:rPr>
        <w:instrText xml:space="preserve"> </w:instrText>
      </w:r>
      <w:r w:rsidR="00FA741B" w:rsidRPr="00FE2263">
        <w:rPr>
          <w:rStyle w:val="affb"/>
          <w:u w:val="single"/>
          <w:lang w:val="en-US"/>
        </w:rPr>
        <w:instrText>activity</w:instrText>
      </w:r>
      <w:r w:rsidR="00FA741B" w:rsidRPr="00FE2263">
        <w:rPr>
          <w:rStyle w:val="affb"/>
          <w:u w:val="single"/>
        </w:rPr>
        <w:instrText xml:space="preserve"> </w:instrText>
      </w:r>
      <w:r w:rsidR="00FA741B" w:rsidRPr="00FE2263">
        <w:rPr>
          <w:rStyle w:val="affb"/>
          <w:u w:val="single"/>
          <w:lang w:val="en-US"/>
        </w:rPr>
        <w:instrText>and</w:instrText>
      </w:r>
      <w:r w:rsidR="00FA741B" w:rsidRPr="00FE2263">
        <w:rPr>
          <w:rStyle w:val="affb"/>
          <w:u w:val="single"/>
        </w:rPr>
        <w:instrText xml:space="preserve"> </w:instrText>
      </w:r>
      <w:r w:rsidR="00FA741B" w:rsidRPr="00FE2263">
        <w:rPr>
          <w:rStyle w:val="affb"/>
          <w:u w:val="single"/>
          <w:lang w:val="en-US"/>
        </w:rPr>
        <w:instrText>safety</w:instrText>
      </w:r>
      <w:r w:rsidR="00FA741B" w:rsidRPr="00FE2263">
        <w:rPr>
          <w:rStyle w:val="affb"/>
          <w:u w:val="single"/>
        </w:rPr>
        <w:instrText xml:space="preserve"> </w:instrText>
      </w:r>
      <w:r w:rsidR="00FA741B" w:rsidRPr="00FE2263">
        <w:rPr>
          <w:rStyle w:val="affb"/>
          <w:u w:val="single"/>
          <w:lang w:val="en-US"/>
        </w:rPr>
        <w:instrText>of</w:instrText>
      </w:r>
      <w:r w:rsidR="00FA741B" w:rsidRPr="00FE2263">
        <w:rPr>
          <w:rStyle w:val="affb"/>
          <w:u w:val="single"/>
        </w:rPr>
        <w:instrText xml:space="preserve"> </w:instrText>
      </w:r>
      <w:r w:rsidR="00FA741B" w:rsidRPr="00FE2263">
        <w:rPr>
          <w:rStyle w:val="affb"/>
          <w:u w:val="single"/>
          <w:lang w:val="en-US"/>
        </w:rPr>
        <w:instrText>weekly</w:instrText>
      </w:r>
      <w:r w:rsidR="00FA741B" w:rsidRPr="00FE2263">
        <w:rPr>
          <w:rStyle w:val="affb"/>
          <w:u w:val="single"/>
        </w:rPr>
        <w:instrText xml:space="preserve"> </w:instrText>
      </w:r>
      <w:r w:rsidR="00FA741B" w:rsidRPr="00FE2263">
        <w:rPr>
          <w:rStyle w:val="affb"/>
          <w:u w:val="single"/>
          <w:lang w:val="en-US"/>
        </w:rPr>
        <w:instrText>bortezomib</w:instrText>
      </w:r>
      <w:r w:rsidR="00FA741B" w:rsidRPr="00FE2263">
        <w:rPr>
          <w:rStyle w:val="affb"/>
          <w:u w:val="single"/>
        </w:rPr>
        <w:instrText xml:space="preserve"> </w:instrText>
      </w:r>
      <w:r w:rsidR="00FA741B" w:rsidRPr="00FE2263">
        <w:rPr>
          <w:rStyle w:val="affb"/>
          <w:u w:val="single"/>
          <w:lang w:val="en-US"/>
        </w:rPr>
        <w:instrText>and</w:instrText>
      </w:r>
      <w:r w:rsidR="00FA741B" w:rsidRPr="00FE2263">
        <w:rPr>
          <w:rStyle w:val="affb"/>
          <w:u w:val="single"/>
        </w:rPr>
        <w:instrText xml:space="preserve"> </w:instrText>
      </w:r>
      <w:r w:rsidR="00FA741B" w:rsidRPr="00FE2263">
        <w:rPr>
          <w:rStyle w:val="affb"/>
          <w:u w:val="single"/>
          <w:lang w:val="en-US"/>
        </w:rPr>
        <w:instrText>rituximab</w:instrText>
      </w:r>
      <w:r w:rsidR="00FA741B" w:rsidRPr="00FE2263">
        <w:rPr>
          <w:rStyle w:val="affb"/>
          <w:u w:val="single"/>
        </w:rPr>
        <w:instrText xml:space="preserve"> </w:instrText>
      </w:r>
      <w:r w:rsidR="00FA741B" w:rsidRPr="00FE2263">
        <w:rPr>
          <w:rStyle w:val="affb"/>
          <w:u w:val="single"/>
          <w:lang w:val="en-US"/>
        </w:rPr>
        <w:instrText>in</w:instrText>
      </w:r>
      <w:r w:rsidR="00FA741B" w:rsidRPr="00FE2263">
        <w:rPr>
          <w:rStyle w:val="affb"/>
          <w:u w:val="single"/>
        </w:rPr>
        <w:instrText xml:space="preserve"> </w:instrText>
      </w:r>
      <w:r w:rsidR="00FA741B" w:rsidRPr="00FE2263">
        <w:rPr>
          <w:rStyle w:val="affb"/>
          <w:u w:val="single"/>
          <w:lang w:val="en-US"/>
        </w:rPr>
        <w:instrText>patients</w:instrText>
      </w:r>
      <w:r w:rsidR="00FA741B" w:rsidRPr="00FE2263">
        <w:rPr>
          <w:rStyle w:val="affb"/>
          <w:u w:val="single"/>
        </w:rPr>
        <w:instrText xml:space="preserve"> </w:instrText>
      </w:r>
      <w:r w:rsidR="00FA741B" w:rsidRPr="00FE2263">
        <w:rPr>
          <w:rStyle w:val="affb"/>
          <w:u w:val="single"/>
          <w:lang w:val="en-US"/>
        </w:rPr>
        <w:instrText>with</w:instrText>
      </w:r>
      <w:r w:rsidR="00FA741B" w:rsidRPr="00FE2263">
        <w:rPr>
          <w:rStyle w:val="affb"/>
          <w:u w:val="single"/>
        </w:rPr>
        <w:instrText xml:space="preserve"> </w:instrText>
      </w:r>
      <w:r w:rsidR="00FA741B" w:rsidRPr="00FE2263">
        <w:rPr>
          <w:rStyle w:val="affb"/>
          <w:u w:val="single"/>
          <w:lang w:val="en-US"/>
        </w:rPr>
        <w:instrText>untreated</w:instrText>
      </w:r>
      <w:r w:rsidR="00FA741B" w:rsidRPr="00FE2263">
        <w:rPr>
          <w:rStyle w:val="affb"/>
          <w:u w:val="single"/>
        </w:rPr>
        <w:instrText xml:space="preserve"> </w:instrText>
      </w:r>
      <w:r w:rsidR="00FA741B" w:rsidRPr="00FE2263">
        <w:rPr>
          <w:rStyle w:val="affb"/>
          <w:u w:val="single"/>
          <w:lang w:val="en-US"/>
        </w:rPr>
        <w:instrText>Waldenstr</w:instrText>
      </w:r>
      <w:r w:rsidR="00FA741B" w:rsidRPr="00FE2263">
        <w:rPr>
          <w:rStyle w:val="affb"/>
          <w:u w:val="single"/>
        </w:rPr>
        <w:instrText>ö</w:instrText>
      </w:r>
      <w:r w:rsidR="00FA741B" w:rsidRPr="00FE2263">
        <w:rPr>
          <w:rStyle w:val="affb"/>
          <w:u w:val="single"/>
          <w:lang w:val="en-US"/>
        </w:rPr>
        <w:instrText>m</w:instrText>
      </w:r>
      <w:r w:rsidR="00FA741B" w:rsidRPr="00FE2263">
        <w:rPr>
          <w:rStyle w:val="affb"/>
          <w:u w:val="single"/>
        </w:rPr>
        <w:instrText xml:space="preserve"> </w:instrText>
      </w:r>
      <w:r w:rsidR="00FA741B" w:rsidRPr="00FE2263">
        <w:rPr>
          <w:rStyle w:val="affb"/>
          <w:u w:val="single"/>
          <w:lang w:val="en-US"/>
        </w:rPr>
        <w:instrText>Macroglobulinemia</w:instrText>
      </w:r>
      <w:r w:rsidR="00FA741B" w:rsidRPr="00FE2263">
        <w:rPr>
          <w:rStyle w:val="affb"/>
          <w:u w:val="single"/>
        </w:rPr>
        <w:instrText xml:space="preserve"> (</w:instrText>
      </w:r>
      <w:r w:rsidR="00FA741B" w:rsidRPr="00FE2263">
        <w:rPr>
          <w:rStyle w:val="affb"/>
          <w:u w:val="single"/>
          <w:lang w:val="en-US"/>
        </w:rPr>
        <w:instrText>WM</w:instrText>
      </w:r>
      <w:r w:rsidR="00FA741B" w:rsidRPr="00FE2263">
        <w:rPr>
          <w:rStyle w:val="affb"/>
          <w:u w:val="single"/>
        </w:rPr>
        <w:instrText xml:space="preserve">). </w:instrText>
      </w:r>
      <w:r w:rsidR="00FA741B" w:rsidRPr="00FE2263">
        <w:rPr>
          <w:rStyle w:val="affb"/>
          <w:u w:val="single"/>
          <w:lang w:val="en-US"/>
        </w:rPr>
        <w:instrText>Patients</w:instrText>
      </w:r>
      <w:r w:rsidR="00FA741B" w:rsidRPr="00FE2263">
        <w:rPr>
          <w:rStyle w:val="affb"/>
          <w:u w:val="single"/>
        </w:rPr>
        <w:instrText xml:space="preserve"> </w:instrText>
      </w:r>
      <w:r w:rsidR="00FA741B" w:rsidRPr="00FE2263">
        <w:rPr>
          <w:rStyle w:val="affb"/>
          <w:u w:val="single"/>
          <w:lang w:val="en-US"/>
        </w:rPr>
        <w:instrText>with</w:instrText>
      </w:r>
      <w:r w:rsidR="00FA741B" w:rsidRPr="00FE2263">
        <w:rPr>
          <w:rStyle w:val="affb"/>
          <w:u w:val="single"/>
        </w:rPr>
        <w:instrText xml:space="preserve"> </w:instrText>
      </w:r>
      <w:r w:rsidR="00FA741B" w:rsidRPr="00FE2263">
        <w:rPr>
          <w:rStyle w:val="affb"/>
          <w:u w:val="single"/>
          <w:lang w:val="en-US"/>
        </w:rPr>
        <w:instrText>no</w:instrText>
      </w:r>
      <w:r w:rsidR="00FA741B" w:rsidRPr="00FE2263">
        <w:rPr>
          <w:rStyle w:val="affb"/>
          <w:u w:val="single"/>
        </w:rPr>
        <w:instrText xml:space="preserve"> </w:instrText>
      </w:r>
      <w:r w:rsidR="00FA741B" w:rsidRPr="00FE2263">
        <w:rPr>
          <w:rStyle w:val="affb"/>
          <w:u w:val="single"/>
          <w:lang w:val="en-US"/>
        </w:rPr>
        <w:instrText>prior</w:instrText>
      </w:r>
      <w:r w:rsidR="00FA741B" w:rsidRPr="00FE2263">
        <w:rPr>
          <w:rStyle w:val="affb"/>
          <w:u w:val="single"/>
        </w:rPr>
        <w:instrText xml:space="preserve"> </w:instrText>
      </w:r>
      <w:r w:rsidR="00FA741B" w:rsidRPr="00FE2263">
        <w:rPr>
          <w:rStyle w:val="affb"/>
          <w:u w:val="single"/>
          <w:lang w:val="en-US"/>
        </w:rPr>
        <w:instrText>therapy</w:instrText>
      </w:r>
      <w:r w:rsidR="00FA741B" w:rsidRPr="00FE2263">
        <w:rPr>
          <w:rStyle w:val="affb"/>
          <w:u w:val="single"/>
        </w:rPr>
        <w:instrText xml:space="preserve"> </w:instrText>
      </w:r>
      <w:r w:rsidR="00FA741B" w:rsidRPr="00FE2263">
        <w:rPr>
          <w:rStyle w:val="affb"/>
          <w:u w:val="single"/>
          <w:lang w:val="en-US"/>
        </w:rPr>
        <w:instrText>and</w:instrText>
      </w:r>
      <w:r w:rsidR="00FA741B" w:rsidRPr="00FE2263">
        <w:rPr>
          <w:rStyle w:val="affb"/>
          <w:u w:val="single"/>
        </w:rPr>
        <w:instrText xml:space="preserve"> </w:instrText>
      </w:r>
      <w:r w:rsidR="00FA741B" w:rsidRPr="00FE2263">
        <w:rPr>
          <w:rStyle w:val="affb"/>
          <w:u w:val="single"/>
          <w:lang w:val="en-US"/>
        </w:rPr>
        <w:instrText>symptomatic</w:instrText>
      </w:r>
      <w:r w:rsidR="00FA741B" w:rsidRPr="00FE2263">
        <w:rPr>
          <w:rStyle w:val="affb"/>
          <w:u w:val="single"/>
        </w:rPr>
        <w:instrText xml:space="preserve"> </w:instrText>
      </w:r>
      <w:r w:rsidR="00FA741B" w:rsidRPr="00FE2263">
        <w:rPr>
          <w:rStyle w:val="affb"/>
          <w:u w:val="single"/>
          <w:lang w:val="en-US"/>
        </w:rPr>
        <w:instrText>disease</w:instrText>
      </w:r>
      <w:r w:rsidR="00FA741B" w:rsidRPr="00FE2263">
        <w:rPr>
          <w:rStyle w:val="affb"/>
          <w:u w:val="single"/>
        </w:rPr>
        <w:instrText xml:space="preserve"> </w:instrText>
      </w:r>
      <w:r w:rsidR="00FA741B" w:rsidRPr="00FE2263">
        <w:rPr>
          <w:rStyle w:val="affb"/>
          <w:u w:val="single"/>
          <w:lang w:val="en-US"/>
        </w:rPr>
        <w:instrText>were</w:instrText>
      </w:r>
      <w:r w:rsidR="00FA741B" w:rsidRPr="00FE2263">
        <w:rPr>
          <w:rStyle w:val="affb"/>
          <w:u w:val="single"/>
        </w:rPr>
        <w:instrText xml:space="preserve"> </w:instrText>
      </w:r>
      <w:r w:rsidR="00FA741B" w:rsidRPr="00FE2263">
        <w:rPr>
          <w:rStyle w:val="affb"/>
          <w:u w:val="single"/>
          <w:lang w:val="en-US"/>
        </w:rPr>
        <w:instrText>eligible</w:instrText>
      </w:r>
      <w:r w:rsidR="00FA741B" w:rsidRPr="00FE2263">
        <w:rPr>
          <w:rStyle w:val="affb"/>
          <w:u w:val="single"/>
        </w:rPr>
        <w:instrText xml:space="preserve">. </w:instrText>
      </w:r>
      <w:r w:rsidR="00FA741B" w:rsidRPr="00FE2263">
        <w:rPr>
          <w:rStyle w:val="affb"/>
          <w:u w:val="single"/>
          <w:lang w:val="en-US"/>
        </w:rPr>
        <w:instrText>Patients</w:instrText>
      </w:r>
      <w:r w:rsidR="00FA741B" w:rsidRPr="00FE2263">
        <w:rPr>
          <w:rStyle w:val="affb"/>
          <w:u w:val="single"/>
        </w:rPr>
        <w:instrText xml:space="preserve"> </w:instrText>
      </w:r>
      <w:r w:rsidR="00FA741B" w:rsidRPr="00FE2263">
        <w:rPr>
          <w:rStyle w:val="affb"/>
          <w:u w:val="single"/>
          <w:lang w:val="en-US"/>
        </w:rPr>
        <w:instrText>received</w:instrText>
      </w:r>
      <w:r w:rsidR="00FA741B" w:rsidRPr="00FE2263">
        <w:rPr>
          <w:rStyle w:val="affb"/>
          <w:u w:val="single"/>
        </w:rPr>
        <w:instrText xml:space="preserve"> </w:instrText>
      </w:r>
      <w:r w:rsidR="00FA741B" w:rsidRPr="00FE2263">
        <w:rPr>
          <w:rStyle w:val="affb"/>
          <w:u w:val="single"/>
          <w:lang w:val="en-US"/>
        </w:rPr>
        <w:instrText>bortezomib</w:instrText>
      </w:r>
      <w:r w:rsidR="00FA741B" w:rsidRPr="00FE2263">
        <w:rPr>
          <w:rStyle w:val="affb"/>
          <w:u w:val="single"/>
        </w:rPr>
        <w:instrText xml:space="preserve"> </w:instrText>
      </w:r>
      <w:r w:rsidR="00FA741B" w:rsidRPr="00FE2263">
        <w:rPr>
          <w:rStyle w:val="affb"/>
          <w:u w:val="single"/>
          <w:lang w:val="en-US"/>
        </w:rPr>
        <w:instrText>IV</w:instrText>
      </w:r>
      <w:r w:rsidR="00FA741B" w:rsidRPr="00FE2263">
        <w:rPr>
          <w:rStyle w:val="affb"/>
          <w:u w:val="single"/>
        </w:rPr>
        <w:instrText xml:space="preserve"> </w:instrText>
      </w:r>
      <w:r w:rsidR="00FA741B" w:rsidRPr="00FE2263">
        <w:rPr>
          <w:rStyle w:val="affb"/>
          <w:u w:val="single"/>
          <w:lang w:val="en-US"/>
        </w:rPr>
        <w:instrText>weekly</w:instrText>
      </w:r>
      <w:r w:rsidR="00FA741B" w:rsidRPr="00FE2263">
        <w:rPr>
          <w:rStyle w:val="affb"/>
          <w:u w:val="single"/>
        </w:rPr>
        <w:instrText xml:space="preserve"> </w:instrText>
      </w:r>
      <w:r w:rsidR="00FA741B" w:rsidRPr="00FE2263">
        <w:rPr>
          <w:rStyle w:val="affb"/>
          <w:u w:val="single"/>
          <w:lang w:val="en-US"/>
        </w:rPr>
        <w:instrText>at</w:instrText>
      </w:r>
      <w:r w:rsidR="00FA741B" w:rsidRPr="00FE2263">
        <w:rPr>
          <w:rStyle w:val="affb"/>
          <w:u w:val="single"/>
        </w:rPr>
        <w:instrText xml:space="preserve"> 1.6 </w:instrText>
      </w:r>
      <w:r w:rsidR="00FA741B" w:rsidRPr="00FE2263">
        <w:rPr>
          <w:rStyle w:val="affb"/>
          <w:u w:val="single"/>
          <w:lang w:val="en-US"/>
        </w:rPr>
        <w:instrText>mg</w:instrText>
      </w:r>
      <w:r w:rsidR="00FA741B" w:rsidRPr="00FE2263">
        <w:rPr>
          <w:rStyle w:val="affb"/>
          <w:u w:val="single"/>
        </w:rPr>
        <w:instrText>/</w:instrText>
      </w:r>
      <w:r w:rsidR="00FA741B" w:rsidRPr="00FE2263">
        <w:rPr>
          <w:rStyle w:val="affb"/>
          <w:u w:val="single"/>
          <w:lang w:val="en-US"/>
        </w:rPr>
        <w:instrText>m</w:instrText>
      </w:r>
      <w:r w:rsidR="00FA741B" w:rsidRPr="00FE2263">
        <w:rPr>
          <w:rStyle w:val="affb"/>
          <w:u w:val="single"/>
        </w:rPr>
        <w:instrText xml:space="preserve">2 </w:instrText>
      </w:r>
      <w:r w:rsidR="00FA741B" w:rsidRPr="00FE2263">
        <w:rPr>
          <w:rStyle w:val="affb"/>
          <w:u w:val="single"/>
          <w:lang w:val="en-US"/>
        </w:rPr>
        <w:instrText>on</w:instrText>
      </w:r>
      <w:r w:rsidR="00FA741B" w:rsidRPr="00FE2263">
        <w:rPr>
          <w:rStyle w:val="affb"/>
          <w:u w:val="single"/>
        </w:rPr>
        <w:instrText xml:space="preserve"> </w:instrText>
      </w:r>
      <w:r w:rsidR="00FA741B" w:rsidRPr="00FE2263">
        <w:rPr>
          <w:rStyle w:val="affb"/>
          <w:u w:val="single"/>
          <w:lang w:val="en-US"/>
        </w:rPr>
        <w:instrText>days</w:instrText>
      </w:r>
      <w:r w:rsidR="00FA741B" w:rsidRPr="00FE2263">
        <w:rPr>
          <w:rStyle w:val="affb"/>
          <w:u w:val="single"/>
        </w:rPr>
        <w:instrText xml:space="preserve"> 1, 8, 15, </w:instrText>
      </w:r>
      <w:r w:rsidR="00FA741B" w:rsidRPr="00FE2263">
        <w:rPr>
          <w:rStyle w:val="affb"/>
          <w:u w:val="single"/>
          <w:lang w:val="en-US"/>
        </w:rPr>
        <w:instrText>q</w:instrText>
      </w:r>
      <w:r w:rsidR="00FA741B" w:rsidRPr="00FE2263">
        <w:rPr>
          <w:rStyle w:val="affb"/>
          <w:u w:val="single"/>
        </w:rPr>
        <w:instrText xml:space="preserve"> 28 </w:instrText>
      </w:r>
      <w:r w:rsidR="00FA741B" w:rsidRPr="00FE2263">
        <w:rPr>
          <w:rStyle w:val="affb"/>
          <w:u w:val="single"/>
          <w:lang w:val="en-US"/>
        </w:rPr>
        <w:instrText>days</w:instrText>
      </w:r>
      <w:r w:rsidR="00FA741B" w:rsidRPr="00FE2263">
        <w:rPr>
          <w:rStyle w:val="affb"/>
          <w:u w:val="single"/>
        </w:rPr>
        <w:instrText xml:space="preserve"> × 6 </w:instrText>
      </w:r>
      <w:r w:rsidR="00FA741B" w:rsidRPr="00FE2263">
        <w:rPr>
          <w:rStyle w:val="affb"/>
          <w:u w:val="single"/>
          <w:lang w:val="en-US"/>
        </w:rPr>
        <w:instrText>cycles</w:instrText>
      </w:r>
      <w:r w:rsidR="00FA741B" w:rsidRPr="00FE2263">
        <w:rPr>
          <w:rStyle w:val="affb"/>
          <w:u w:val="single"/>
        </w:rPr>
        <w:instrText xml:space="preserve">, </w:instrText>
      </w:r>
      <w:r w:rsidR="00FA741B" w:rsidRPr="00FE2263">
        <w:rPr>
          <w:rStyle w:val="affb"/>
          <w:u w:val="single"/>
          <w:lang w:val="en-US"/>
        </w:rPr>
        <w:instrText>and</w:instrText>
      </w:r>
      <w:r w:rsidR="00FA741B" w:rsidRPr="00FE2263">
        <w:rPr>
          <w:rStyle w:val="affb"/>
          <w:u w:val="single"/>
        </w:rPr>
        <w:instrText xml:space="preserve"> </w:instrText>
      </w:r>
      <w:r w:rsidR="00FA741B" w:rsidRPr="00FE2263">
        <w:rPr>
          <w:rStyle w:val="affb"/>
          <w:u w:val="single"/>
          <w:lang w:val="en-US"/>
        </w:rPr>
        <w:instrText>rituximab</w:instrText>
      </w:r>
      <w:r w:rsidR="00FA741B" w:rsidRPr="00FE2263">
        <w:rPr>
          <w:rStyle w:val="affb"/>
          <w:u w:val="single"/>
        </w:rPr>
        <w:instrText xml:space="preserve"> 375 </w:instrText>
      </w:r>
      <w:r w:rsidR="00FA741B" w:rsidRPr="00FE2263">
        <w:rPr>
          <w:rStyle w:val="affb"/>
          <w:u w:val="single"/>
          <w:lang w:val="en-US"/>
        </w:rPr>
        <w:instrText>mg</w:instrText>
      </w:r>
      <w:r w:rsidR="00FA741B" w:rsidRPr="00FE2263">
        <w:rPr>
          <w:rStyle w:val="affb"/>
          <w:u w:val="single"/>
        </w:rPr>
        <w:instrText>/</w:instrText>
      </w:r>
      <w:r w:rsidR="00FA741B" w:rsidRPr="00FE2263">
        <w:rPr>
          <w:rStyle w:val="affb"/>
          <w:u w:val="single"/>
          <w:lang w:val="en-US"/>
        </w:rPr>
        <w:instrText>m</w:instrText>
      </w:r>
      <w:r w:rsidR="00FA741B" w:rsidRPr="00FE2263">
        <w:rPr>
          <w:rStyle w:val="affb"/>
          <w:u w:val="single"/>
        </w:rPr>
        <w:instrText xml:space="preserve">2 </w:instrText>
      </w:r>
      <w:r w:rsidR="00FA741B" w:rsidRPr="00FE2263">
        <w:rPr>
          <w:rStyle w:val="affb"/>
          <w:u w:val="single"/>
          <w:lang w:val="en-US"/>
        </w:rPr>
        <w:instrText>weekly</w:instrText>
      </w:r>
      <w:r w:rsidR="00FA741B" w:rsidRPr="00FE2263">
        <w:rPr>
          <w:rStyle w:val="affb"/>
          <w:u w:val="single"/>
        </w:rPr>
        <w:instrText xml:space="preserve"> </w:instrText>
      </w:r>
      <w:r w:rsidR="00FA741B" w:rsidRPr="00FE2263">
        <w:rPr>
          <w:rStyle w:val="affb"/>
          <w:u w:val="single"/>
          <w:lang w:val="en-US"/>
        </w:rPr>
        <w:instrText>on</w:instrText>
      </w:r>
      <w:r w:rsidR="00FA741B" w:rsidRPr="00FE2263">
        <w:rPr>
          <w:rStyle w:val="affb"/>
          <w:u w:val="single"/>
        </w:rPr>
        <w:instrText xml:space="preserve"> </w:instrText>
      </w:r>
      <w:r w:rsidR="00FA741B" w:rsidRPr="00FE2263">
        <w:rPr>
          <w:rStyle w:val="affb"/>
          <w:u w:val="single"/>
          <w:lang w:val="en-US"/>
        </w:rPr>
        <w:instrText>cycles</w:instrText>
      </w:r>
      <w:r w:rsidR="00FA741B" w:rsidRPr="00FE2263">
        <w:rPr>
          <w:rStyle w:val="affb"/>
          <w:u w:val="single"/>
        </w:rPr>
        <w:instrText xml:space="preserve"> 1 </w:instrText>
      </w:r>
      <w:r w:rsidR="00FA741B" w:rsidRPr="00FE2263">
        <w:rPr>
          <w:rStyle w:val="affb"/>
          <w:u w:val="single"/>
          <w:lang w:val="en-US"/>
        </w:rPr>
        <w:instrText>and</w:instrText>
      </w:r>
      <w:r w:rsidR="00FA741B" w:rsidRPr="00FE2263">
        <w:rPr>
          <w:rStyle w:val="affb"/>
          <w:u w:val="single"/>
        </w:rPr>
        <w:instrText xml:space="preserve"> 4. </w:instrText>
      </w:r>
      <w:r w:rsidR="00FA741B" w:rsidRPr="00FE2263">
        <w:rPr>
          <w:rStyle w:val="affb"/>
          <w:u w:val="single"/>
          <w:lang w:val="en-US"/>
        </w:rPr>
        <w:instrText>Primary</w:instrText>
      </w:r>
      <w:r w:rsidR="00FA741B" w:rsidRPr="00FE2263">
        <w:rPr>
          <w:rStyle w:val="affb"/>
          <w:u w:val="single"/>
        </w:rPr>
        <w:instrText xml:space="preserve"> </w:instrText>
      </w:r>
      <w:r w:rsidR="00FA741B" w:rsidRPr="00FE2263">
        <w:rPr>
          <w:rStyle w:val="affb"/>
          <w:u w:val="single"/>
          <w:lang w:val="en-US"/>
        </w:rPr>
        <w:instrText>endpoint</w:instrText>
      </w:r>
      <w:r w:rsidR="00FA741B" w:rsidRPr="00FE2263">
        <w:rPr>
          <w:rStyle w:val="affb"/>
          <w:u w:val="single"/>
        </w:rPr>
        <w:instrText xml:space="preserve"> </w:instrText>
      </w:r>
      <w:r w:rsidR="00FA741B" w:rsidRPr="00FE2263">
        <w:rPr>
          <w:rStyle w:val="affb"/>
          <w:u w:val="single"/>
          <w:lang w:val="en-US"/>
        </w:rPr>
        <w:instrText>was</w:instrText>
      </w:r>
      <w:r w:rsidR="00FA741B" w:rsidRPr="00FE2263">
        <w:rPr>
          <w:rStyle w:val="affb"/>
          <w:u w:val="single"/>
        </w:rPr>
        <w:instrText xml:space="preserve"> </w:instrText>
      </w:r>
      <w:r w:rsidR="00FA741B" w:rsidRPr="00FE2263">
        <w:rPr>
          <w:rStyle w:val="affb"/>
          <w:u w:val="single"/>
          <w:lang w:val="en-US"/>
        </w:rPr>
        <w:instrText>the</w:instrText>
      </w:r>
      <w:r w:rsidR="00FA741B" w:rsidRPr="00FE2263">
        <w:rPr>
          <w:rStyle w:val="affb"/>
          <w:u w:val="single"/>
        </w:rPr>
        <w:instrText xml:space="preserve"> </w:instrText>
      </w:r>
      <w:r w:rsidR="00FA741B" w:rsidRPr="00FE2263">
        <w:rPr>
          <w:rStyle w:val="affb"/>
          <w:u w:val="single"/>
          <w:lang w:val="en-US"/>
        </w:rPr>
        <w:instrText>percent</w:instrText>
      </w:r>
      <w:r w:rsidR="00FA741B" w:rsidRPr="00FE2263">
        <w:rPr>
          <w:rStyle w:val="affb"/>
          <w:u w:val="single"/>
        </w:rPr>
        <w:instrText xml:space="preserve"> </w:instrText>
      </w:r>
      <w:r w:rsidR="00FA741B" w:rsidRPr="00FE2263">
        <w:rPr>
          <w:rStyle w:val="affb"/>
          <w:u w:val="single"/>
          <w:lang w:val="en-US"/>
        </w:rPr>
        <w:instrText>of</w:instrText>
      </w:r>
      <w:r w:rsidR="00FA741B" w:rsidRPr="00FE2263">
        <w:rPr>
          <w:rStyle w:val="affb"/>
          <w:u w:val="single"/>
        </w:rPr>
        <w:instrText xml:space="preserve"> </w:instrText>
      </w:r>
      <w:r w:rsidR="00FA741B" w:rsidRPr="00FE2263">
        <w:rPr>
          <w:rStyle w:val="affb"/>
          <w:u w:val="single"/>
          <w:lang w:val="en-US"/>
        </w:rPr>
        <w:instrText>patients</w:instrText>
      </w:r>
      <w:r w:rsidR="00FA741B" w:rsidRPr="00FE2263">
        <w:rPr>
          <w:rStyle w:val="affb"/>
          <w:u w:val="single"/>
        </w:rPr>
        <w:instrText xml:space="preserve"> </w:instrText>
      </w:r>
      <w:r w:rsidR="00FA741B" w:rsidRPr="00FE2263">
        <w:rPr>
          <w:rStyle w:val="affb"/>
          <w:u w:val="single"/>
          <w:lang w:val="en-US"/>
        </w:rPr>
        <w:instrText>with</w:instrText>
      </w:r>
      <w:r w:rsidR="00FA741B" w:rsidRPr="00FE2263">
        <w:rPr>
          <w:rStyle w:val="affb"/>
          <w:u w:val="single"/>
        </w:rPr>
        <w:instrText xml:space="preserve"> </w:instrText>
      </w:r>
      <w:r w:rsidR="00FA741B" w:rsidRPr="00FE2263">
        <w:rPr>
          <w:rStyle w:val="affb"/>
          <w:u w:val="single"/>
          <w:lang w:val="en-US"/>
        </w:rPr>
        <w:instrText>at</w:instrText>
      </w:r>
      <w:r w:rsidR="00FA741B" w:rsidRPr="00FE2263">
        <w:rPr>
          <w:rStyle w:val="affb"/>
          <w:u w:val="single"/>
        </w:rPr>
        <w:instrText xml:space="preserve"> </w:instrText>
      </w:r>
      <w:r w:rsidR="00FA741B" w:rsidRPr="00FE2263">
        <w:rPr>
          <w:rStyle w:val="affb"/>
          <w:u w:val="single"/>
          <w:lang w:val="en-US"/>
        </w:rPr>
        <w:instrText>least</w:instrText>
      </w:r>
      <w:r w:rsidR="00FA741B" w:rsidRPr="00FE2263">
        <w:rPr>
          <w:rStyle w:val="affb"/>
          <w:u w:val="single"/>
        </w:rPr>
        <w:instrText xml:space="preserve"> </w:instrText>
      </w:r>
      <w:r w:rsidR="00FA741B" w:rsidRPr="00FE2263">
        <w:rPr>
          <w:rStyle w:val="affb"/>
          <w:u w:val="single"/>
          <w:lang w:val="en-US"/>
        </w:rPr>
        <w:instrText>a</w:instrText>
      </w:r>
      <w:r w:rsidR="00FA741B" w:rsidRPr="00FE2263">
        <w:rPr>
          <w:rStyle w:val="affb"/>
          <w:u w:val="single"/>
        </w:rPr>
        <w:instrText xml:space="preserve"> </w:instrText>
      </w:r>
      <w:r w:rsidR="00FA741B" w:rsidRPr="00FE2263">
        <w:rPr>
          <w:rStyle w:val="affb"/>
          <w:u w:val="single"/>
          <w:lang w:val="en-US"/>
        </w:rPr>
        <w:instrText>minor</w:instrText>
      </w:r>
      <w:r w:rsidR="00FA741B" w:rsidRPr="00FE2263">
        <w:rPr>
          <w:rStyle w:val="affb"/>
          <w:u w:val="single"/>
        </w:rPr>
        <w:instrText xml:space="preserve"> </w:instrText>
      </w:r>
      <w:r w:rsidR="00FA741B" w:rsidRPr="00FE2263">
        <w:rPr>
          <w:rStyle w:val="affb"/>
          <w:u w:val="single"/>
          <w:lang w:val="en-US"/>
        </w:rPr>
        <w:instrText>response</w:instrText>
      </w:r>
      <w:r w:rsidR="00FA741B" w:rsidRPr="00FE2263">
        <w:rPr>
          <w:rStyle w:val="affb"/>
          <w:u w:val="single"/>
        </w:rPr>
        <w:instrText xml:space="preserve"> (</w:instrText>
      </w:r>
      <w:r w:rsidR="00FA741B" w:rsidRPr="00FE2263">
        <w:rPr>
          <w:rStyle w:val="affb"/>
          <w:u w:val="single"/>
          <w:lang w:val="en-US"/>
        </w:rPr>
        <w:instrText>MR</w:instrText>
      </w:r>
      <w:r w:rsidR="00FA741B" w:rsidRPr="00FE2263">
        <w:rPr>
          <w:rStyle w:val="affb"/>
          <w:u w:val="single"/>
        </w:rPr>
        <w:instrText xml:space="preserve">). </w:instrText>
      </w:r>
      <w:r w:rsidR="00FA741B" w:rsidRPr="00FE2263">
        <w:rPr>
          <w:rStyle w:val="affb"/>
          <w:u w:val="single"/>
          <w:lang w:val="en-US"/>
        </w:rPr>
        <w:instrText>Twenty</w:instrText>
      </w:r>
      <w:r w:rsidR="00FA741B" w:rsidRPr="00FE2263">
        <w:rPr>
          <w:rStyle w:val="affb"/>
          <w:u w:val="single"/>
        </w:rPr>
        <w:instrText>-</w:instrText>
      </w:r>
      <w:r w:rsidR="00FA741B" w:rsidRPr="00FE2263">
        <w:rPr>
          <w:rStyle w:val="affb"/>
          <w:u w:val="single"/>
          <w:lang w:val="en-US"/>
        </w:rPr>
        <w:instrText>six</w:instrText>
      </w:r>
      <w:r w:rsidR="00FA741B" w:rsidRPr="00FE2263">
        <w:rPr>
          <w:rStyle w:val="affb"/>
          <w:u w:val="single"/>
        </w:rPr>
        <w:instrText xml:space="preserve"> </w:instrText>
      </w:r>
      <w:r w:rsidR="00FA741B" w:rsidRPr="00FE2263">
        <w:rPr>
          <w:rStyle w:val="affb"/>
          <w:u w:val="single"/>
          <w:lang w:val="en-US"/>
        </w:rPr>
        <w:instrText>patients</w:instrText>
      </w:r>
      <w:r w:rsidR="00FA741B" w:rsidRPr="00FE2263">
        <w:rPr>
          <w:rStyle w:val="affb"/>
          <w:u w:val="single"/>
        </w:rPr>
        <w:instrText xml:space="preserve"> </w:instrText>
      </w:r>
      <w:r w:rsidR="00FA741B" w:rsidRPr="00FE2263">
        <w:rPr>
          <w:rStyle w:val="affb"/>
          <w:u w:val="single"/>
          <w:lang w:val="en-US"/>
        </w:rPr>
        <w:instrText>were</w:instrText>
      </w:r>
      <w:r w:rsidR="00FA741B" w:rsidRPr="00FE2263">
        <w:rPr>
          <w:rStyle w:val="affb"/>
          <w:u w:val="single"/>
        </w:rPr>
        <w:instrText xml:space="preserve"> </w:instrText>
      </w:r>
      <w:r w:rsidR="00FA741B" w:rsidRPr="00FE2263">
        <w:rPr>
          <w:rStyle w:val="affb"/>
          <w:u w:val="single"/>
          <w:lang w:val="en-US"/>
        </w:rPr>
        <w:instrText>treated</w:instrText>
      </w:r>
      <w:r w:rsidR="00FA741B" w:rsidRPr="00FE2263">
        <w:rPr>
          <w:rStyle w:val="affb"/>
          <w:u w:val="single"/>
        </w:rPr>
        <w:instrText xml:space="preserve">. </w:instrText>
      </w:r>
      <w:r w:rsidR="00FA741B" w:rsidRPr="00FE2263">
        <w:rPr>
          <w:rStyle w:val="affb"/>
          <w:u w:val="single"/>
          <w:lang w:val="en-US"/>
        </w:rPr>
        <w:instrText>At</w:instrText>
      </w:r>
      <w:r w:rsidR="00FA741B" w:rsidRPr="00FE2263">
        <w:rPr>
          <w:rStyle w:val="affb"/>
          <w:u w:val="single"/>
        </w:rPr>
        <w:instrText xml:space="preserve"> </w:instrText>
      </w:r>
      <w:r w:rsidR="00FA741B" w:rsidRPr="00FE2263">
        <w:rPr>
          <w:rStyle w:val="affb"/>
          <w:u w:val="single"/>
          <w:lang w:val="en-US"/>
        </w:rPr>
        <w:instrText>least</w:instrText>
      </w:r>
      <w:r w:rsidR="00FA741B" w:rsidRPr="00FE2263">
        <w:rPr>
          <w:rStyle w:val="affb"/>
          <w:u w:val="single"/>
        </w:rPr>
        <w:instrText xml:space="preserve"> </w:instrText>
      </w:r>
      <w:r w:rsidR="00FA741B" w:rsidRPr="00FE2263">
        <w:rPr>
          <w:rStyle w:val="affb"/>
          <w:u w:val="single"/>
          <w:lang w:val="en-US"/>
        </w:rPr>
        <w:instrText>MR</w:instrText>
      </w:r>
      <w:r w:rsidR="00FA741B" w:rsidRPr="00FE2263">
        <w:rPr>
          <w:rStyle w:val="affb"/>
          <w:u w:val="single"/>
        </w:rPr>
        <w:instrText xml:space="preserve"> </w:instrText>
      </w:r>
      <w:r w:rsidR="00FA741B" w:rsidRPr="00FE2263">
        <w:rPr>
          <w:rStyle w:val="affb"/>
          <w:u w:val="single"/>
          <w:lang w:val="en-US"/>
        </w:rPr>
        <w:instrText>was</w:instrText>
      </w:r>
      <w:r w:rsidR="00FA741B" w:rsidRPr="00FE2263">
        <w:rPr>
          <w:rStyle w:val="affb"/>
          <w:u w:val="single"/>
        </w:rPr>
        <w:instrText xml:space="preserve"> </w:instrText>
      </w:r>
      <w:r w:rsidR="00FA741B" w:rsidRPr="00FE2263">
        <w:rPr>
          <w:rStyle w:val="affb"/>
          <w:u w:val="single"/>
          <w:lang w:val="en-US"/>
        </w:rPr>
        <w:instrText>observed</w:instrText>
      </w:r>
      <w:r w:rsidR="00FA741B" w:rsidRPr="00FE2263">
        <w:rPr>
          <w:rStyle w:val="affb"/>
          <w:u w:val="single"/>
        </w:rPr>
        <w:instrText xml:space="preserve"> </w:instrText>
      </w:r>
      <w:r w:rsidR="00FA741B" w:rsidRPr="00FE2263">
        <w:rPr>
          <w:rStyle w:val="affb"/>
          <w:u w:val="single"/>
          <w:lang w:val="en-US"/>
        </w:rPr>
        <w:instrText>in</w:instrText>
      </w:r>
      <w:r w:rsidR="00FA741B" w:rsidRPr="00FE2263">
        <w:rPr>
          <w:rStyle w:val="affb"/>
          <w:u w:val="single"/>
        </w:rPr>
        <w:instrText xml:space="preserve"> 23/26 </w:instrText>
      </w:r>
      <w:r w:rsidR="00FA741B" w:rsidRPr="00FE2263">
        <w:rPr>
          <w:rStyle w:val="affb"/>
          <w:u w:val="single"/>
          <w:lang w:val="en-US"/>
        </w:rPr>
        <w:instrText>patients</w:instrText>
      </w:r>
      <w:r w:rsidR="00FA741B" w:rsidRPr="00FE2263">
        <w:rPr>
          <w:rStyle w:val="affb"/>
          <w:u w:val="single"/>
        </w:rPr>
        <w:instrText xml:space="preserve"> (88%) (95% </w:instrText>
      </w:r>
      <w:r w:rsidR="00FA741B" w:rsidRPr="00FE2263">
        <w:rPr>
          <w:rStyle w:val="affb"/>
          <w:u w:val="single"/>
          <w:lang w:val="en-US"/>
        </w:rPr>
        <w:instrText>CI</w:instrText>
      </w:r>
      <w:r w:rsidR="00FA741B" w:rsidRPr="00FE2263">
        <w:rPr>
          <w:rStyle w:val="affb"/>
          <w:u w:val="single"/>
        </w:rPr>
        <w:instrText xml:space="preserve">: 70-98%) </w:instrText>
      </w:r>
      <w:r w:rsidR="00FA741B" w:rsidRPr="00FE2263">
        <w:rPr>
          <w:rStyle w:val="affb"/>
          <w:u w:val="single"/>
          <w:lang w:val="en-US"/>
        </w:rPr>
        <w:instrText>with</w:instrText>
      </w:r>
      <w:r w:rsidR="00FA741B" w:rsidRPr="00FE2263">
        <w:rPr>
          <w:rStyle w:val="affb"/>
          <w:u w:val="single"/>
        </w:rPr>
        <w:instrText xml:space="preserve"> 1 </w:instrText>
      </w:r>
      <w:r w:rsidR="00FA741B" w:rsidRPr="00FE2263">
        <w:rPr>
          <w:rStyle w:val="affb"/>
          <w:u w:val="single"/>
          <w:lang w:val="en-US"/>
        </w:rPr>
        <w:instrText>complete</w:instrText>
      </w:r>
      <w:r w:rsidR="00FA741B" w:rsidRPr="00FE2263">
        <w:rPr>
          <w:rStyle w:val="affb"/>
          <w:u w:val="single"/>
        </w:rPr>
        <w:instrText xml:space="preserve"> </w:instrText>
      </w:r>
      <w:r w:rsidR="00FA741B" w:rsidRPr="00FE2263">
        <w:rPr>
          <w:rStyle w:val="affb"/>
          <w:u w:val="single"/>
          <w:lang w:val="en-US"/>
        </w:rPr>
        <w:instrText>response</w:instrText>
      </w:r>
      <w:r w:rsidR="00FA741B" w:rsidRPr="00FE2263">
        <w:rPr>
          <w:rStyle w:val="affb"/>
          <w:u w:val="single"/>
        </w:rPr>
        <w:instrText xml:space="preserve"> (4%), 1 </w:instrText>
      </w:r>
      <w:r w:rsidR="00FA741B" w:rsidRPr="00FE2263">
        <w:rPr>
          <w:rStyle w:val="affb"/>
          <w:u w:val="single"/>
          <w:lang w:val="en-US"/>
        </w:rPr>
        <w:instrText>near</w:instrText>
      </w:r>
      <w:r w:rsidR="00FA741B" w:rsidRPr="00FE2263">
        <w:rPr>
          <w:rStyle w:val="affb"/>
          <w:u w:val="single"/>
        </w:rPr>
        <w:instrText>-</w:instrText>
      </w:r>
      <w:r w:rsidR="00FA741B" w:rsidRPr="00FE2263">
        <w:rPr>
          <w:rStyle w:val="affb"/>
          <w:u w:val="single"/>
          <w:lang w:val="en-US"/>
        </w:rPr>
        <w:instrText>complete</w:instrText>
      </w:r>
      <w:r w:rsidR="00FA741B" w:rsidRPr="00FE2263">
        <w:rPr>
          <w:rStyle w:val="affb"/>
          <w:u w:val="single"/>
        </w:rPr>
        <w:instrText xml:space="preserve"> </w:instrText>
      </w:r>
      <w:r w:rsidR="00FA741B" w:rsidRPr="00FE2263">
        <w:rPr>
          <w:rStyle w:val="affb"/>
          <w:u w:val="single"/>
          <w:lang w:val="en-US"/>
        </w:rPr>
        <w:instrText>response</w:instrText>
      </w:r>
      <w:r w:rsidR="00FA741B" w:rsidRPr="00FE2263">
        <w:rPr>
          <w:rStyle w:val="affb"/>
          <w:u w:val="single"/>
        </w:rPr>
        <w:instrText xml:space="preserve"> (4%), 15 </w:instrText>
      </w:r>
      <w:r w:rsidR="00FA741B" w:rsidRPr="00FE2263">
        <w:rPr>
          <w:rStyle w:val="affb"/>
          <w:u w:val="single"/>
          <w:lang w:val="en-US"/>
        </w:rPr>
        <w:instrText>partial</w:instrText>
      </w:r>
      <w:r w:rsidR="00FA741B" w:rsidRPr="00FE2263">
        <w:rPr>
          <w:rStyle w:val="affb"/>
          <w:u w:val="single"/>
        </w:rPr>
        <w:instrText xml:space="preserve"> </w:instrText>
      </w:r>
      <w:r w:rsidR="00FA741B" w:rsidRPr="00FE2263">
        <w:rPr>
          <w:rStyle w:val="affb"/>
          <w:u w:val="single"/>
          <w:lang w:val="en-US"/>
        </w:rPr>
        <w:instrText>remission</w:instrText>
      </w:r>
      <w:r w:rsidR="00FA741B" w:rsidRPr="00FE2263">
        <w:rPr>
          <w:rStyle w:val="affb"/>
          <w:u w:val="single"/>
        </w:rPr>
        <w:instrText xml:space="preserve"> (58%), </w:instrText>
      </w:r>
      <w:r w:rsidR="00FA741B" w:rsidRPr="00FE2263">
        <w:rPr>
          <w:rStyle w:val="affb"/>
          <w:u w:val="single"/>
          <w:lang w:val="en-US"/>
        </w:rPr>
        <w:instrText>and</w:instrText>
      </w:r>
      <w:r w:rsidR="00FA741B" w:rsidRPr="00FE2263">
        <w:rPr>
          <w:rStyle w:val="affb"/>
          <w:u w:val="single"/>
        </w:rPr>
        <w:instrText xml:space="preserve"> 6 </w:instrText>
      </w:r>
      <w:r w:rsidR="00FA741B" w:rsidRPr="00FE2263">
        <w:rPr>
          <w:rStyle w:val="affb"/>
          <w:u w:val="single"/>
          <w:lang w:val="en-US"/>
        </w:rPr>
        <w:instrText>MR</w:instrText>
      </w:r>
      <w:r w:rsidR="00FA741B" w:rsidRPr="00FE2263">
        <w:rPr>
          <w:rStyle w:val="affb"/>
          <w:u w:val="single"/>
        </w:rPr>
        <w:instrText xml:space="preserve"> (23%). </w:instrText>
      </w:r>
      <w:r w:rsidR="00FA741B" w:rsidRPr="00FE2263">
        <w:rPr>
          <w:rStyle w:val="affb"/>
          <w:u w:val="single"/>
          <w:lang w:val="en-US"/>
        </w:rPr>
        <w:instrText>Using</w:instrText>
      </w:r>
      <w:r w:rsidR="00FA741B" w:rsidRPr="00FE2263">
        <w:rPr>
          <w:rStyle w:val="affb"/>
          <w:u w:val="single"/>
        </w:rPr>
        <w:instrText xml:space="preserve"> </w:instrText>
      </w:r>
      <w:r w:rsidR="00FA741B" w:rsidRPr="00FE2263">
        <w:rPr>
          <w:rStyle w:val="affb"/>
          <w:u w:val="single"/>
          <w:lang w:val="en-US"/>
        </w:rPr>
        <w:instrText>IgM</w:instrText>
      </w:r>
      <w:r w:rsidR="00FA741B" w:rsidRPr="00FE2263">
        <w:rPr>
          <w:rStyle w:val="affb"/>
          <w:u w:val="single"/>
        </w:rPr>
        <w:instrText xml:space="preserve"> </w:instrText>
      </w:r>
      <w:r w:rsidR="00FA741B" w:rsidRPr="00FE2263">
        <w:rPr>
          <w:rStyle w:val="affb"/>
          <w:u w:val="single"/>
          <w:lang w:val="en-US"/>
        </w:rPr>
        <w:instrText>response</w:instrText>
      </w:r>
      <w:r w:rsidR="00FA741B" w:rsidRPr="00FE2263">
        <w:rPr>
          <w:rStyle w:val="affb"/>
          <w:u w:val="single"/>
        </w:rPr>
        <w:instrText xml:space="preserve"> </w:instrText>
      </w:r>
      <w:r w:rsidR="00FA741B" w:rsidRPr="00FE2263">
        <w:rPr>
          <w:rStyle w:val="affb"/>
          <w:u w:val="single"/>
          <w:lang w:val="en-US"/>
        </w:rPr>
        <w:instrText>evaluated</w:instrText>
      </w:r>
      <w:r w:rsidR="00FA741B" w:rsidRPr="00FE2263">
        <w:rPr>
          <w:rStyle w:val="affb"/>
          <w:u w:val="single"/>
        </w:rPr>
        <w:instrText xml:space="preserve"> </w:instrText>
      </w:r>
      <w:r w:rsidR="00FA741B" w:rsidRPr="00FE2263">
        <w:rPr>
          <w:rStyle w:val="affb"/>
          <w:u w:val="single"/>
          <w:lang w:val="en-US"/>
        </w:rPr>
        <w:instrText>by</w:instrText>
      </w:r>
      <w:r w:rsidR="00FA741B" w:rsidRPr="00FE2263">
        <w:rPr>
          <w:rStyle w:val="affb"/>
          <w:u w:val="single"/>
        </w:rPr>
        <w:instrText xml:space="preserve"> </w:instrText>
      </w:r>
      <w:r w:rsidR="00FA741B" w:rsidRPr="00FE2263">
        <w:rPr>
          <w:rStyle w:val="affb"/>
          <w:u w:val="single"/>
          <w:lang w:val="en-US"/>
        </w:rPr>
        <w:instrText>nephlometry</w:instrText>
      </w:r>
      <w:r w:rsidR="00FA741B" w:rsidRPr="00FE2263">
        <w:rPr>
          <w:rStyle w:val="affb"/>
          <w:u w:val="single"/>
        </w:rPr>
        <w:instrText xml:space="preserve">, </w:instrText>
      </w:r>
      <w:r w:rsidR="00FA741B" w:rsidRPr="00FE2263">
        <w:rPr>
          <w:rStyle w:val="affb"/>
          <w:u w:val="single"/>
          <w:lang w:val="en-US"/>
        </w:rPr>
        <w:instrText>all</w:instrText>
      </w:r>
      <w:r w:rsidR="00FA741B" w:rsidRPr="00FE2263">
        <w:rPr>
          <w:rStyle w:val="affb"/>
          <w:u w:val="single"/>
        </w:rPr>
        <w:instrText xml:space="preserve"> 26 </w:instrText>
      </w:r>
      <w:r w:rsidR="00FA741B" w:rsidRPr="00FE2263">
        <w:rPr>
          <w:rStyle w:val="affb"/>
          <w:u w:val="single"/>
          <w:lang w:val="en-US"/>
        </w:rPr>
        <w:instrText>patients</w:instrText>
      </w:r>
      <w:r w:rsidR="00FA741B" w:rsidRPr="00FE2263">
        <w:rPr>
          <w:rStyle w:val="affb"/>
          <w:u w:val="single"/>
        </w:rPr>
        <w:instrText xml:space="preserve"> (100%) </w:instrText>
      </w:r>
      <w:r w:rsidR="00FA741B" w:rsidRPr="00FE2263">
        <w:rPr>
          <w:rStyle w:val="affb"/>
          <w:u w:val="single"/>
          <w:lang w:val="en-US"/>
        </w:rPr>
        <w:instrText>achieved</w:instrText>
      </w:r>
      <w:r w:rsidR="00FA741B" w:rsidRPr="00FE2263">
        <w:rPr>
          <w:rStyle w:val="affb"/>
          <w:u w:val="single"/>
        </w:rPr>
        <w:instrText xml:space="preserve"> </w:instrText>
      </w:r>
      <w:r w:rsidR="00FA741B" w:rsidRPr="00FE2263">
        <w:rPr>
          <w:rStyle w:val="affb"/>
          <w:u w:val="single"/>
          <w:lang w:val="en-US"/>
        </w:rPr>
        <w:instrText>at</w:instrText>
      </w:r>
      <w:r w:rsidR="00FA741B" w:rsidRPr="00FE2263">
        <w:rPr>
          <w:rStyle w:val="affb"/>
          <w:u w:val="single"/>
        </w:rPr>
        <w:instrText xml:space="preserve"> </w:instrText>
      </w:r>
      <w:r w:rsidR="00FA741B" w:rsidRPr="00FE2263">
        <w:rPr>
          <w:rStyle w:val="affb"/>
          <w:u w:val="single"/>
          <w:lang w:val="en-US"/>
        </w:rPr>
        <w:instrText>least</w:instrText>
      </w:r>
      <w:r w:rsidR="00FA741B" w:rsidRPr="00FE2263">
        <w:rPr>
          <w:rStyle w:val="affb"/>
          <w:u w:val="single"/>
        </w:rPr>
        <w:instrText xml:space="preserve"> </w:instrText>
      </w:r>
      <w:r w:rsidR="00FA741B" w:rsidRPr="00FE2263">
        <w:rPr>
          <w:rStyle w:val="affb"/>
          <w:u w:val="single"/>
          <w:lang w:val="en-US"/>
        </w:rPr>
        <w:instrText>MR</w:instrText>
      </w:r>
      <w:r w:rsidR="00FA741B" w:rsidRPr="00FE2263">
        <w:rPr>
          <w:rStyle w:val="affb"/>
          <w:u w:val="single"/>
        </w:rPr>
        <w:instrText xml:space="preserve"> </w:instrText>
      </w:r>
      <w:r w:rsidR="00FA741B" w:rsidRPr="00FE2263">
        <w:rPr>
          <w:rStyle w:val="affb"/>
          <w:u w:val="single"/>
          <w:lang w:val="en-US"/>
        </w:rPr>
        <w:instrText>or</w:instrText>
      </w:r>
      <w:r w:rsidR="00FA741B" w:rsidRPr="00FE2263">
        <w:rPr>
          <w:rStyle w:val="affb"/>
          <w:u w:val="single"/>
        </w:rPr>
        <w:instrText xml:space="preserve"> </w:instrText>
      </w:r>
      <w:r w:rsidR="00FA741B" w:rsidRPr="00FE2263">
        <w:rPr>
          <w:rStyle w:val="affb"/>
          <w:u w:val="single"/>
          <w:lang w:val="en-US"/>
        </w:rPr>
        <w:instrText>better</w:instrText>
      </w:r>
      <w:r w:rsidR="00FA741B" w:rsidRPr="00FE2263">
        <w:rPr>
          <w:rStyle w:val="affb"/>
          <w:u w:val="single"/>
        </w:rPr>
        <w:instrText xml:space="preserve">. </w:instrText>
      </w:r>
      <w:r w:rsidR="00FA741B" w:rsidRPr="00FE2263">
        <w:rPr>
          <w:rStyle w:val="affb"/>
          <w:u w:val="single"/>
          <w:lang w:val="en-US"/>
        </w:rPr>
        <w:instrText>The</w:instrText>
      </w:r>
      <w:r w:rsidR="00FA741B" w:rsidRPr="00FE2263">
        <w:rPr>
          <w:rStyle w:val="affb"/>
          <w:u w:val="single"/>
        </w:rPr>
        <w:instrText xml:space="preserve"> </w:instrText>
      </w:r>
      <w:r w:rsidR="00FA741B" w:rsidRPr="00FE2263">
        <w:rPr>
          <w:rStyle w:val="affb"/>
          <w:u w:val="single"/>
          <w:lang w:val="en-US"/>
        </w:rPr>
        <w:instrText>median</w:instrText>
      </w:r>
      <w:r w:rsidR="00FA741B" w:rsidRPr="00FE2263">
        <w:rPr>
          <w:rStyle w:val="affb"/>
          <w:u w:val="single"/>
        </w:rPr>
        <w:instrText xml:space="preserve"> </w:instrText>
      </w:r>
      <w:r w:rsidR="00FA741B" w:rsidRPr="00FE2263">
        <w:rPr>
          <w:rStyle w:val="affb"/>
          <w:u w:val="single"/>
          <w:lang w:val="en-US"/>
        </w:rPr>
        <w:instrText>time</w:instrText>
      </w:r>
      <w:r w:rsidR="00FA741B" w:rsidRPr="00FE2263">
        <w:rPr>
          <w:rStyle w:val="affb"/>
          <w:u w:val="single"/>
        </w:rPr>
        <w:instrText xml:space="preserve"> </w:instrText>
      </w:r>
      <w:r w:rsidR="00FA741B" w:rsidRPr="00FE2263">
        <w:rPr>
          <w:rStyle w:val="affb"/>
          <w:u w:val="single"/>
          <w:lang w:val="en-US"/>
        </w:rPr>
        <w:instrText>to</w:instrText>
      </w:r>
      <w:r w:rsidR="00FA741B" w:rsidRPr="00FE2263">
        <w:rPr>
          <w:rStyle w:val="affb"/>
          <w:u w:val="single"/>
        </w:rPr>
        <w:instrText xml:space="preserve"> </w:instrText>
      </w:r>
      <w:r w:rsidR="00FA741B" w:rsidRPr="00FE2263">
        <w:rPr>
          <w:rStyle w:val="affb"/>
          <w:u w:val="single"/>
          <w:lang w:val="en-US"/>
        </w:rPr>
        <w:instrText>progression</w:instrText>
      </w:r>
      <w:r w:rsidR="00FA741B" w:rsidRPr="00FE2263">
        <w:rPr>
          <w:rStyle w:val="affb"/>
          <w:u w:val="single"/>
        </w:rPr>
        <w:instrText xml:space="preserve"> </w:instrText>
      </w:r>
      <w:r w:rsidR="00FA741B" w:rsidRPr="00FE2263">
        <w:rPr>
          <w:rStyle w:val="affb"/>
          <w:u w:val="single"/>
          <w:lang w:val="en-US"/>
        </w:rPr>
        <w:instrText>has</w:instrText>
      </w:r>
      <w:r w:rsidR="00FA741B" w:rsidRPr="00FE2263">
        <w:rPr>
          <w:rStyle w:val="affb"/>
          <w:u w:val="single"/>
        </w:rPr>
        <w:instrText xml:space="preserve"> </w:instrText>
      </w:r>
      <w:r w:rsidR="00FA741B" w:rsidRPr="00FE2263">
        <w:rPr>
          <w:rStyle w:val="affb"/>
          <w:u w:val="single"/>
          <w:lang w:val="en-US"/>
        </w:rPr>
        <w:instrText>not</w:instrText>
      </w:r>
      <w:r w:rsidR="00FA741B" w:rsidRPr="00FE2263">
        <w:rPr>
          <w:rStyle w:val="affb"/>
          <w:u w:val="single"/>
        </w:rPr>
        <w:instrText xml:space="preserve"> </w:instrText>
      </w:r>
      <w:r w:rsidR="00FA741B" w:rsidRPr="00FE2263">
        <w:rPr>
          <w:rStyle w:val="affb"/>
          <w:u w:val="single"/>
          <w:lang w:val="en-US"/>
        </w:rPr>
        <w:instrText>been</w:instrText>
      </w:r>
      <w:r w:rsidR="00FA741B" w:rsidRPr="00FE2263">
        <w:rPr>
          <w:rStyle w:val="affb"/>
          <w:u w:val="single"/>
        </w:rPr>
        <w:instrText xml:space="preserve"> </w:instrText>
      </w:r>
      <w:r w:rsidR="00FA741B" w:rsidRPr="00FE2263">
        <w:rPr>
          <w:rStyle w:val="affb"/>
          <w:u w:val="single"/>
          <w:lang w:val="en-US"/>
        </w:rPr>
        <w:instrText>reached</w:instrText>
      </w:r>
      <w:r w:rsidR="00FA741B" w:rsidRPr="00FE2263">
        <w:rPr>
          <w:rStyle w:val="affb"/>
          <w:u w:val="single"/>
        </w:rPr>
        <w:instrText xml:space="preserve">, </w:instrText>
      </w:r>
      <w:r w:rsidR="00FA741B" w:rsidRPr="00FE2263">
        <w:rPr>
          <w:rStyle w:val="affb"/>
          <w:u w:val="single"/>
          <w:lang w:val="en-US"/>
        </w:rPr>
        <w:instrText>with</w:instrText>
      </w:r>
      <w:r w:rsidR="00FA741B" w:rsidRPr="00FE2263">
        <w:rPr>
          <w:rStyle w:val="affb"/>
          <w:u w:val="single"/>
        </w:rPr>
        <w:instrText xml:space="preserve"> </w:instrText>
      </w:r>
      <w:r w:rsidR="00FA741B" w:rsidRPr="00FE2263">
        <w:rPr>
          <w:rStyle w:val="affb"/>
          <w:u w:val="single"/>
          <w:lang w:val="en-US"/>
        </w:rPr>
        <w:instrText>an</w:instrText>
      </w:r>
      <w:r w:rsidR="00FA741B" w:rsidRPr="00FE2263">
        <w:rPr>
          <w:rStyle w:val="affb"/>
          <w:u w:val="single"/>
        </w:rPr>
        <w:instrText xml:space="preserve"> </w:instrText>
      </w:r>
      <w:r w:rsidR="00FA741B" w:rsidRPr="00FE2263">
        <w:rPr>
          <w:rStyle w:val="affb"/>
          <w:u w:val="single"/>
          <w:lang w:val="en-US"/>
        </w:rPr>
        <w:instrText>estimated</w:instrText>
      </w:r>
      <w:r w:rsidR="00FA741B" w:rsidRPr="00FE2263">
        <w:rPr>
          <w:rStyle w:val="affb"/>
          <w:u w:val="single"/>
        </w:rPr>
        <w:instrText xml:space="preserve"> 1-</w:instrText>
      </w:r>
      <w:r w:rsidR="00FA741B" w:rsidRPr="00FE2263">
        <w:rPr>
          <w:rStyle w:val="affb"/>
          <w:u w:val="single"/>
          <w:lang w:val="en-US"/>
        </w:rPr>
        <w:instrText>year</w:instrText>
      </w:r>
      <w:r w:rsidR="00FA741B" w:rsidRPr="00FE2263">
        <w:rPr>
          <w:rStyle w:val="affb"/>
          <w:u w:val="single"/>
        </w:rPr>
        <w:instrText xml:space="preserve"> </w:instrText>
      </w:r>
      <w:r w:rsidR="00FA741B" w:rsidRPr="00FE2263">
        <w:rPr>
          <w:rStyle w:val="affb"/>
          <w:u w:val="single"/>
          <w:lang w:val="en-US"/>
        </w:rPr>
        <w:instrText>event</w:instrText>
      </w:r>
      <w:r w:rsidR="00FA741B" w:rsidRPr="00FE2263">
        <w:rPr>
          <w:rStyle w:val="affb"/>
          <w:u w:val="single"/>
        </w:rPr>
        <w:instrText xml:space="preserve"> </w:instrText>
      </w:r>
      <w:r w:rsidR="00FA741B" w:rsidRPr="00FE2263">
        <w:rPr>
          <w:rStyle w:val="affb"/>
          <w:u w:val="single"/>
          <w:lang w:val="en-US"/>
        </w:rPr>
        <w:instrText>free</w:instrText>
      </w:r>
      <w:r w:rsidR="00FA741B" w:rsidRPr="00FE2263">
        <w:rPr>
          <w:rStyle w:val="affb"/>
          <w:u w:val="single"/>
        </w:rPr>
        <w:instrText xml:space="preserve"> </w:instrText>
      </w:r>
      <w:r w:rsidR="00FA741B" w:rsidRPr="00FE2263">
        <w:rPr>
          <w:rStyle w:val="affb"/>
          <w:u w:val="single"/>
          <w:lang w:val="en-US"/>
        </w:rPr>
        <w:instrText>rate</w:instrText>
      </w:r>
      <w:r w:rsidR="00FA741B" w:rsidRPr="00FE2263">
        <w:rPr>
          <w:rStyle w:val="affb"/>
          <w:u w:val="single"/>
        </w:rPr>
        <w:instrText xml:space="preserve"> </w:instrText>
      </w:r>
      <w:r w:rsidR="00FA741B" w:rsidRPr="00FE2263">
        <w:rPr>
          <w:rStyle w:val="affb"/>
          <w:u w:val="single"/>
          <w:lang w:val="en-US"/>
        </w:rPr>
        <w:instrText>of</w:instrText>
      </w:r>
      <w:r w:rsidR="00FA741B" w:rsidRPr="00FE2263">
        <w:rPr>
          <w:rStyle w:val="affb"/>
          <w:u w:val="single"/>
        </w:rPr>
        <w:instrText xml:space="preserve"> 79% (95% </w:instrText>
      </w:r>
      <w:r w:rsidR="00FA741B" w:rsidRPr="00FE2263">
        <w:rPr>
          <w:rStyle w:val="affb"/>
          <w:u w:val="single"/>
          <w:lang w:val="en-US"/>
        </w:rPr>
        <w:instrText>CI</w:instrText>
      </w:r>
      <w:r w:rsidR="00FA741B" w:rsidRPr="00FE2263">
        <w:rPr>
          <w:rStyle w:val="affb"/>
          <w:u w:val="single"/>
        </w:rPr>
        <w:instrText xml:space="preserve">: 53, 91%). </w:instrText>
      </w:r>
      <w:r w:rsidR="00FA741B" w:rsidRPr="00FE2263">
        <w:rPr>
          <w:rStyle w:val="affb"/>
          <w:u w:val="single"/>
          <w:lang w:val="en-US"/>
        </w:rPr>
        <w:instrText>Common</w:instrText>
      </w:r>
      <w:r w:rsidR="00FA741B" w:rsidRPr="00FE2263">
        <w:rPr>
          <w:rStyle w:val="affb"/>
          <w:u w:val="single"/>
        </w:rPr>
        <w:instrText xml:space="preserve"> </w:instrText>
      </w:r>
      <w:r w:rsidR="00FA741B" w:rsidRPr="00FE2263">
        <w:rPr>
          <w:rStyle w:val="affb"/>
          <w:u w:val="single"/>
          <w:lang w:val="en-US"/>
        </w:rPr>
        <w:instrText>grade</w:instrText>
      </w:r>
      <w:r w:rsidR="00FA741B" w:rsidRPr="00FE2263">
        <w:rPr>
          <w:rStyle w:val="affb"/>
          <w:u w:val="single"/>
        </w:rPr>
        <w:instrText xml:space="preserve"> 3 </w:instrText>
      </w:r>
      <w:r w:rsidR="00FA741B" w:rsidRPr="00FE2263">
        <w:rPr>
          <w:rStyle w:val="affb"/>
          <w:u w:val="single"/>
          <w:lang w:val="en-US"/>
        </w:rPr>
        <w:instrText>and</w:instrText>
      </w:r>
      <w:r w:rsidR="00FA741B" w:rsidRPr="00FE2263">
        <w:rPr>
          <w:rStyle w:val="affb"/>
          <w:u w:val="single"/>
        </w:rPr>
        <w:instrText xml:space="preserve"> 4 </w:instrText>
      </w:r>
      <w:r w:rsidR="00FA741B" w:rsidRPr="00FE2263">
        <w:rPr>
          <w:rStyle w:val="affb"/>
          <w:u w:val="single"/>
          <w:lang w:val="en-US"/>
        </w:rPr>
        <w:instrText>therapy</w:instrText>
      </w:r>
      <w:r w:rsidR="00FA741B" w:rsidRPr="00FE2263">
        <w:rPr>
          <w:rStyle w:val="affb"/>
          <w:u w:val="single"/>
        </w:rPr>
        <w:instrText xml:space="preserve"> </w:instrText>
      </w:r>
      <w:r w:rsidR="00FA741B" w:rsidRPr="00FE2263">
        <w:rPr>
          <w:rStyle w:val="affb"/>
          <w:u w:val="single"/>
          <w:lang w:val="en-US"/>
        </w:rPr>
        <w:instrText>related</w:instrText>
      </w:r>
      <w:r w:rsidR="00FA741B" w:rsidRPr="00FE2263">
        <w:rPr>
          <w:rStyle w:val="affb"/>
          <w:u w:val="single"/>
        </w:rPr>
        <w:instrText xml:space="preserve"> </w:instrText>
      </w:r>
      <w:r w:rsidR="00FA741B" w:rsidRPr="00FE2263">
        <w:rPr>
          <w:rStyle w:val="affb"/>
          <w:u w:val="single"/>
          <w:lang w:val="en-US"/>
        </w:rPr>
        <w:instrText>adverse</w:instrText>
      </w:r>
      <w:r w:rsidR="00FA741B" w:rsidRPr="00FE2263">
        <w:rPr>
          <w:rStyle w:val="affb"/>
          <w:u w:val="single"/>
        </w:rPr>
        <w:instrText xml:space="preserve"> </w:instrText>
      </w:r>
      <w:r w:rsidR="00FA741B" w:rsidRPr="00FE2263">
        <w:rPr>
          <w:rStyle w:val="affb"/>
          <w:u w:val="single"/>
          <w:lang w:val="en-US"/>
        </w:rPr>
        <w:instrText>events</w:instrText>
      </w:r>
      <w:r w:rsidR="00FA741B" w:rsidRPr="00FE2263">
        <w:rPr>
          <w:rStyle w:val="affb"/>
          <w:u w:val="single"/>
        </w:rPr>
        <w:instrText xml:space="preserve"> </w:instrText>
      </w:r>
      <w:r w:rsidR="00FA741B" w:rsidRPr="00FE2263">
        <w:rPr>
          <w:rStyle w:val="affb"/>
          <w:u w:val="single"/>
          <w:lang w:val="en-US"/>
        </w:rPr>
        <w:instrText>included</w:instrText>
      </w:r>
      <w:r w:rsidR="00FA741B" w:rsidRPr="00FE2263">
        <w:rPr>
          <w:rStyle w:val="affb"/>
          <w:u w:val="single"/>
        </w:rPr>
        <w:instrText xml:space="preserve"> </w:instrText>
      </w:r>
      <w:r w:rsidR="00FA741B" w:rsidRPr="00FE2263">
        <w:rPr>
          <w:rStyle w:val="affb"/>
          <w:u w:val="single"/>
          <w:lang w:val="en-US"/>
        </w:rPr>
        <w:instrText>reversible</w:instrText>
      </w:r>
      <w:r w:rsidR="00FA741B" w:rsidRPr="00FE2263">
        <w:rPr>
          <w:rStyle w:val="affb"/>
          <w:u w:val="single"/>
        </w:rPr>
        <w:instrText xml:space="preserve"> </w:instrText>
      </w:r>
      <w:r w:rsidR="00FA741B" w:rsidRPr="00FE2263">
        <w:rPr>
          <w:rStyle w:val="affb"/>
          <w:u w:val="single"/>
          <w:lang w:val="en-US"/>
        </w:rPr>
        <w:instrText>neutropenia</w:instrText>
      </w:r>
      <w:r w:rsidR="00FA741B" w:rsidRPr="00FE2263">
        <w:rPr>
          <w:rStyle w:val="affb"/>
          <w:u w:val="single"/>
        </w:rPr>
        <w:instrText xml:space="preserve"> </w:instrText>
      </w:r>
      <w:r w:rsidR="00FA741B" w:rsidRPr="00FE2263">
        <w:rPr>
          <w:rStyle w:val="affb"/>
          <w:u w:val="single"/>
          <w:lang w:val="en-US"/>
        </w:rPr>
        <w:instrText>in</w:instrText>
      </w:r>
      <w:r w:rsidR="00FA741B" w:rsidRPr="00FE2263">
        <w:rPr>
          <w:rStyle w:val="affb"/>
          <w:u w:val="single"/>
        </w:rPr>
        <w:instrText xml:space="preserve"> 12%, </w:instrText>
      </w:r>
      <w:r w:rsidR="00FA741B" w:rsidRPr="00FE2263">
        <w:rPr>
          <w:rStyle w:val="affb"/>
          <w:u w:val="single"/>
          <w:lang w:val="en-US"/>
        </w:rPr>
        <w:instrText>anemia</w:instrText>
      </w:r>
      <w:r w:rsidR="00FA741B" w:rsidRPr="00FE2263">
        <w:rPr>
          <w:rStyle w:val="affb"/>
          <w:u w:val="single"/>
        </w:rPr>
        <w:instrText xml:space="preserve"> </w:instrText>
      </w:r>
      <w:r w:rsidR="00FA741B" w:rsidRPr="00FE2263">
        <w:rPr>
          <w:rStyle w:val="affb"/>
          <w:u w:val="single"/>
          <w:lang w:val="en-US"/>
        </w:rPr>
        <w:instrText>in</w:instrText>
      </w:r>
      <w:r w:rsidR="00FA741B" w:rsidRPr="00FE2263">
        <w:rPr>
          <w:rStyle w:val="affb"/>
          <w:u w:val="single"/>
        </w:rPr>
        <w:instrText xml:space="preserve"> 8%, </w:instrText>
      </w:r>
      <w:r w:rsidR="00FA741B" w:rsidRPr="00FE2263">
        <w:rPr>
          <w:rStyle w:val="affb"/>
          <w:u w:val="single"/>
          <w:lang w:val="en-US"/>
        </w:rPr>
        <w:instrText>and</w:instrText>
      </w:r>
      <w:r w:rsidR="00FA741B" w:rsidRPr="00FE2263">
        <w:rPr>
          <w:rStyle w:val="affb"/>
          <w:u w:val="single"/>
        </w:rPr>
        <w:instrText xml:space="preserve"> </w:instrText>
      </w:r>
      <w:r w:rsidR="00FA741B" w:rsidRPr="00FE2263">
        <w:rPr>
          <w:rStyle w:val="affb"/>
          <w:u w:val="single"/>
          <w:lang w:val="en-US"/>
        </w:rPr>
        <w:instrText>thrombocytopenia</w:instrText>
      </w:r>
      <w:r w:rsidR="00FA741B" w:rsidRPr="00FE2263">
        <w:rPr>
          <w:rStyle w:val="affb"/>
          <w:u w:val="single"/>
        </w:rPr>
        <w:instrText xml:space="preserve"> </w:instrText>
      </w:r>
      <w:r w:rsidR="00FA741B" w:rsidRPr="00FE2263">
        <w:rPr>
          <w:rStyle w:val="affb"/>
          <w:u w:val="single"/>
          <w:lang w:val="en-US"/>
        </w:rPr>
        <w:instrText>in</w:instrText>
      </w:r>
      <w:r w:rsidR="00FA741B" w:rsidRPr="00FE2263">
        <w:rPr>
          <w:rStyle w:val="affb"/>
          <w:u w:val="single"/>
        </w:rPr>
        <w:instrText xml:space="preserve"> 8%. </w:instrText>
      </w:r>
      <w:r w:rsidR="00FA741B" w:rsidRPr="00FE2263">
        <w:rPr>
          <w:rStyle w:val="affb"/>
          <w:u w:val="single"/>
          <w:lang w:val="en-US"/>
        </w:rPr>
        <w:instrText>No</w:instrText>
      </w:r>
      <w:r w:rsidR="00FA741B" w:rsidRPr="00FE2263">
        <w:rPr>
          <w:rStyle w:val="affb"/>
          <w:u w:val="single"/>
        </w:rPr>
        <w:instrText xml:space="preserve"> </w:instrText>
      </w:r>
      <w:r w:rsidR="00FA741B" w:rsidRPr="00FE2263">
        <w:rPr>
          <w:rStyle w:val="affb"/>
          <w:u w:val="single"/>
          <w:lang w:val="en-US"/>
        </w:rPr>
        <w:instrText>grade</w:instrText>
      </w:r>
      <w:r w:rsidR="00FA741B" w:rsidRPr="00FE2263">
        <w:rPr>
          <w:rStyle w:val="affb"/>
          <w:u w:val="single"/>
        </w:rPr>
        <w:instrText xml:space="preserve"> 3 </w:instrText>
      </w:r>
      <w:r w:rsidR="00FA741B" w:rsidRPr="00FE2263">
        <w:rPr>
          <w:rStyle w:val="affb"/>
          <w:u w:val="single"/>
          <w:lang w:val="en-US"/>
        </w:rPr>
        <w:instrText>or</w:instrText>
      </w:r>
      <w:r w:rsidR="00FA741B" w:rsidRPr="00FE2263">
        <w:rPr>
          <w:rStyle w:val="affb"/>
          <w:u w:val="single"/>
        </w:rPr>
        <w:instrText xml:space="preserve"> 4 </w:instrText>
      </w:r>
      <w:r w:rsidR="00FA741B" w:rsidRPr="00FE2263">
        <w:rPr>
          <w:rStyle w:val="affb"/>
          <w:u w:val="single"/>
          <w:lang w:val="en-US"/>
        </w:rPr>
        <w:instrText>neuropathy</w:instrText>
      </w:r>
      <w:r w:rsidR="00FA741B" w:rsidRPr="00FE2263">
        <w:rPr>
          <w:rStyle w:val="affb"/>
          <w:u w:val="single"/>
        </w:rPr>
        <w:instrText xml:space="preserve"> </w:instrText>
      </w:r>
      <w:r w:rsidR="00FA741B" w:rsidRPr="00FE2263">
        <w:rPr>
          <w:rStyle w:val="affb"/>
          <w:u w:val="single"/>
          <w:lang w:val="en-US"/>
        </w:rPr>
        <w:instrText>occurred</w:instrText>
      </w:r>
      <w:r w:rsidR="00FA741B" w:rsidRPr="00FE2263">
        <w:rPr>
          <w:rStyle w:val="affb"/>
          <w:u w:val="single"/>
        </w:rPr>
        <w:instrText xml:space="preserve">. </w:instrText>
      </w:r>
      <w:r w:rsidR="00FA741B" w:rsidRPr="00FE2263">
        <w:rPr>
          <w:rStyle w:val="affb"/>
          <w:u w:val="single"/>
          <w:lang w:val="en-US"/>
        </w:rPr>
        <w:instrText>The</w:instrText>
      </w:r>
      <w:r w:rsidR="00FA741B" w:rsidRPr="00FE2263">
        <w:rPr>
          <w:rStyle w:val="affb"/>
          <w:u w:val="single"/>
        </w:rPr>
        <w:instrText xml:space="preserve"> </w:instrText>
      </w:r>
      <w:r w:rsidR="00FA741B" w:rsidRPr="00FE2263">
        <w:rPr>
          <w:rStyle w:val="affb"/>
          <w:u w:val="single"/>
          <w:lang w:val="en-US"/>
        </w:rPr>
        <w:instrText>combination</w:instrText>
      </w:r>
      <w:r w:rsidR="00FA741B" w:rsidRPr="00FE2263">
        <w:rPr>
          <w:rStyle w:val="affb"/>
          <w:u w:val="single"/>
        </w:rPr>
        <w:instrText xml:space="preserve"> </w:instrText>
      </w:r>
      <w:r w:rsidR="00FA741B" w:rsidRPr="00FE2263">
        <w:rPr>
          <w:rStyle w:val="affb"/>
          <w:u w:val="single"/>
          <w:lang w:val="en-US"/>
        </w:rPr>
        <w:instrText>of</w:instrText>
      </w:r>
      <w:r w:rsidR="00FA741B" w:rsidRPr="00FE2263">
        <w:rPr>
          <w:rStyle w:val="affb"/>
          <w:u w:val="single"/>
        </w:rPr>
        <w:instrText xml:space="preserve"> </w:instrText>
      </w:r>
      <w:r w:rsidR="00FA741B" w:rsidRPr="00FE2263">
        <w:rPr>
          <w:rStyle w:val="affb"/>
          <w:u w:val="single"/>
          <w:lang w:val="en-US"/>
        </w:rPr>
        <w:instrText>weekly</w:instrText>
      </w:r>
      <w:r w:rsidR="00FA741B" w:rsidRPr="00FE2263">
        <w:rPr>
          <w:rStyle w:val="affb"/>
          <w:u w:val="single"/>
        </w:rPr>
        <w:instrText xml:space="preserve"> </w:instrText>
      </w:r>
      <w:r w:rsidR="00FA741B" w:rsidRPr="00FE2263">
        <w:rPr>
          <w:rStyle w:val="affb"/>
          <w:u w:val="single"/>
          <w:lang w:val="en-US"/>
        </w:rPr>
        <w:instrText>bortezomib</w:instrText>
      </w:r>
      <w:r w:rsidR="00FA741B" w:rsidRPr="00FE2263">
        <w:rPr>
          <w:rStyle w:val="affb"/>
          <w:u w:val="single"/>
        </w:rPr>
        <w:instrText xml:space="preserve"> </w:instrText>
      </w:r>
      <w:r w:rsidR="00FA741B" w:rsidRPr="00FE2263">
        <w:rPr>
          <w:rStyle w:val="affb"/>
          <w:u w:val="single"/>
          <w:lang w:val="en-US"/>
        </w:rPr>
        <w:instrText>and</w:instrText>
      </w:r>
      <w:r w:rsidR="00FA741B" w:rsidRPr="00FE2263">
        <w:rPr>
          <w:rStyle w:val="affb"/>
          <w:u w:val="single"/>
        </w:rPr>
        <w:instrText xml:space="preserve"> </w:instrText>
      </w:r>
      <w:r w:rsidR="00FA741B" w:rsidRPr="00FE2263">
        <w:rPr>
          <w:rStyle w:val="affb"/>
          <w:u w:val="single"/>
          <w:lang w:val="en-US"/>
        </w:rPr>
        <w:instrText>rituximab exhibited significant activity and minimal neurological toxicity in patients with untreated WM. © 2010 Wiley-Liss, Inc.","author":[{"dropping-particle":"","family":"Ghobrial","given":"Irene M.","non-dropping-particle":"","parse-names":false,"suffix":""},{"dropping-particle":"","family":"Xie","given":"Wanling","non-dropping-particle":"","parse-names":false,"suffix":""},{"dropping-particle":"","family":"Padmanabhan","given":"Swaminathan","non-dropping-particle":"","parse-names":false,"suffix":""},{"dropping-particle":"","family":"Badros","given":"Ashraf","non-dropping-particle":"","parse-names":false,"suffix":""},{"dropping-particle":"","family":"Rourke","given":"Meghan","non-dropping-particle":"","parse-names":false,"suffix":""},{"dropping-particle":"","family":"Leduc","given":"Renee","non-dropping-particle":"","parse-names":false,"suffix":""},{"dropping-particle":"","family":"Chuma","given":"Stacey","non-dropping-particle":"","parse-names":false,"suffix":""},{"dropping-particle":"","family":"Kunsman","given":"Janet","non-dropping-particle":"","parse-names":false,"suffix":""},{"dropping-particle":"","family":"Warren","given":"Diane","non-dropping-particle":"","parse-names":false,"suffix":""},{"dropping-particle":"","family":"Poon","given":"Tiffany","non-dropping-particle":"","parse-names":false,"suffix":""},</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family</w:instrText>
      </w:r>
      <w:r w:rsidR="00FA741B" w:rsidRPr="00FE2263">
        <w:rPr>
          <w:rStyle w:val="affb"/>
          <w:u w:val="single"/>
        </w:rPr>
        <w:instrText>":"</w:instrText>
      </w:r>
      <w:r w:rsidR="00FA741B" w:rsidRPr="00FE2263">
        <w:rPr>
          <w:rStyle w:val="affb"/>
          <w:u w:val="single"/>
          <w:lang w:val="en-US"/>
        </w:rPr>
        <w:instrText>Harris</w:instrText>
      </w:r>
      <w:r w:rsidR="00FA741B" w:rsidRPr="00FE2263">
        <w:rPr>
          <w:rStyle w:val="affb"/>
          <w:u w:val="single"/>
        </w:rPr>
        <w:instrText>","</w:instrText>
      </w:r>
      <w:r w:rsidR="00FA741B" w:rsidRPr="00FE2263">
        <w:rPr>
          <w:rStyle w:val="affb"/>
          <w:u w:val="single"/>
          <w:lang w:val="en-US"/>
        </w:rPr>
        <w:instrText>given</w:instrText>
      </w:r>
      <w:r w:rsidR="00FA741B" w:rsidRPr="00FE2263">
        <w:rPr>
          <w:rStyle w:val="affb"/>
          <w:u w:val="single"/>
        </w:rPr>
        <w:instrText>":"</w:instrText>
      </w:r>
      <w:r w:rsidR="00FA741B" w:rsidRPr="00FE2263">
        <w:rPr>
          <w:rStyle w:val="affb"/>
          <w:u w:val="single"/>
          <w:lang w:val="en-US"/>
        </w:rPr>
        <w:instrText>Brianna</w:instrText>
      </w:r>
      <w:r w:rsidR="00FA741B" w:rsidRPr="00FE2263">
        <w:rPr>
          <w:rStyle w:val="affb"/>
          <w:u w:val="single"/>
        </w:rPr>
        <w:instrText>","</w:instrText>
      </w:r>
      <w:r w:rsidR="00FA741B" w:rsidRPr="00FE2263">
        <w:rPr>
          <w:rStyle w:val="affb"/>
          <w:u w:val="single"/>
          <w:lang w:val="en-US"/>
        </w:rPr>
        <w:instrText>non</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parse</w:instrText>
      </w:r>
      <w:r w:rsidR="00FA741B" w:rsidRPr="00FE2263">
        <w:rPr>
          <w:rStyle w:val="affb"/>
          <w:u w:val="single"/>
        </w:rPr>
        <w:instrText>-</w:instrText>
      </w:r>
      <w:r w:rsidR="00FA741B" w:rsidRPr="00FE2263">
        <w:rPr>
          <w:rStyle w:val="affb"/>
          <w:u w:val="single"/>
          <w:lang w:val="en-US"/>
        </w:rPr>
        <w:instrText>names</w:instrText>
      </w:r>
      <w:r w:rsidR="00FA741B" w:rsidRPr="00FE2263">
        <w:rPr>
          <w:rStyle w:val="affb"/>
          <w:u w:val="single"/>
        </w:rPr>
        <w:instrText>":</w:instrText>
      </w:r>
      <w:r w:rsidR="00FA741B" w:rsidRPr="00FE2263">
        <w:rPr>
          <w:rStyle w:val="affb"/>
          <w:u w:val="single"/>
          <w:lang w:val="en-US"/>
        </w:rPr>
        <w:instrText>false</w:instrText>
      </w:r>
      <w:r w:rsidR="00FA741B" w:rsidRPr="00FE2263">
        <w:rPr>
          <w:rStyle w:val="affb"/>
          <w:u w:val="single"/>
        </w:rPr>
        <w:instrText>,"</w:instrText>
      </w:r>
      <w:r w:rsidR="00FA741B" w:rsidRPr="00FE2263">
        <w:rPr>
          <w:rStyle w:val="affb"/>
          <w:u w:val="single"/>
          <w:lang w:val="en-US"/>
        </w:rPr>
        <w:instrText>suffix</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family</w:instrText>
      </w:r>
      <w:r w:rsidR="00FA741B" w:rsidRPr="00FE2263">
        <w:rPr>
          <w:rStyle w:val="affb"/>
          <w:u w:val="single"/>
        </w:rPr>
        <w:instrText>":"</w:instrText>
      </w:r>
      <w:r w:rsidR="00FA741B" w:rsidRPr="00FE2263">
        <w:rPr>
          <w:rStyle w:val="affb"/>
          <w:u w:val="single"/>
          <w:lang w:val="en-US"/>
        </w:rPr>
        <w:instrText>Sam</w:instrText>
      </w:r>
      <w:r w:rsidR="00FA741B" w:rsidRPr="00FE2263">
        <w:rPr>
          <w:rStyle w:val="affb"/>
          <w:u w:val="single"/>
        </w:rPr>
        <w:instrText>","</w:instrText>
      </w:r>
      <w:r w:rsidR="00FA741B" w:rsidRPr="00FE2263">
        <w:rPr>
          <w:rStyle w:val="affb"/>
          <w:u w:val="single"/>
          <w:lang w:val="en-US"/>
        </w:rPr>
        <w:instrText>given</w:instrText>
      </w:r>
      <w:r w:rsidR="00FA741B" w:rsidRPr="00FE2263">
        <w:rPr>
          <w:rStyle w:val="affb"/>
          <w:u w:val="single"/>
        </w:rPr>
        <w:instrText>":"</w:instrText>
      </w:r>
      <w:r w:rsidR="00FA741B" w:rsidRPr="00FE2263">
        <w:rPr>
          <w:rStyle w:val="affb"/>
          <w:u w:val="single"/>
          <w:lang w:val="en-US"/>
        </w:rPr>
        <w:instrText>Amy</w:instrText>
      </w:r>
      <w:r w:rsidR="00FA741B" w:rsidRPr="00FE2263">
        <w:rPr>
          <w:rStyle w:val="affb"/>
          <w:u w:val="single"/>
        </w:rPr>
        <w:instrText>","</w:instrText>
      </w:r>
      <w:r w:rsidR="00FA741B" w:rsidRPr="00FE2263">
        <w:rPr>
          <w:rStyle w:val="affb"/>
          <w:u w:val="single"/>
          <w:lang w:val="en-US"/>
        </w:rPr>
        <w:instrText>non</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parse</w:instrText>
      </w:r>
      <w:r w:rsidR="00FA741B" w:rsidRPr="00FE2263">
        <w:rPr>
          <w:rStyle w:val="affb"/>
          <w:u w:val="single"/>
        </w:rPr>
        <w:instrText>-</w:instrText>
      </w:r>
      <w:r w:rsidR="00FA741B" w:rsidRPr="00FE2263">
        <w:rPr>
          <w:rStyle w:val="affb"/>
          <w:u w:val="single"/>
          <w:lang w:val="en-US"/>
        </w:rPr>
        <w:instrText>names</w:instrText>
      </w:r>
      <w:r w:rsidR="00FA741B" w:rsidRPr="00FE2263">
        <w:rPr>
          <w:rStyle w:val="affb"/>
          <w:u w:val="single"/>
        </w:rPr>
        <w:instrText>":</w:instrText>
      </w:r>
      <w:r w:rsidR="00FA741B" w:rsidRPr="00FE2263">
        <w:rPr>
          <w:rStyle w:val="affb"/>
          <w:u w:val="single"/>
          <w:lang w:val="en-US"/>
        </w:rPr>
        <w:instrText>false</w:instrText>
      </w:r>
      <w:r w:rsidR="00FA741B" w:rsidRPr="00FE2263">
        <w:rPr>
          <w:rStyle w:val="affb"/>
          <w:u w:val="single"/>
        </w:rPr>
        <w:instrText>,"</w:instrText>
      </w:r>
      <w:r w:rsidR="00FA741B" w:rsidRPr="00FE2263">
        <w:rPr>
          <w:rStyle w:val="affb"/>
          <w:u w:val="single"/>
          <w:lang w:val="en-US"/>
        </w:rPr>
        <w:instrText>suffix</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family</w:instrText>
      </w:r>
      <w:r w:rsidR="00FA741B" w:rsidRPr="00FE2263">
        <w:rPr>
          <w:rStyle w:val="affb"/>
          <w:u w:val="single"/>
        </w:rPr>
        <w:instrText>":"</w:instrText>
      </w:r>
      <w:r w:rsidR="00FA741B" w:rsidRPr="00FE2263">
        <w:rPr>
          <w:rStyle w:val="affb"/>
          <w:u w:val="single"/>
          <w:lang w:val="en-US"/>
        </w:rPr>
        <w:instrText>Anderson</w:instrText>
      </w:r>
      <w:r w:rsidR="00FA741B" w:rsidRPr="00FE2263">
        <w:rPr>
          <w:rStyle w:val="affb"/>
          <w:u w:val="single"/>
        </w:rPr>
        <w:instrText>","</w:instrText>
      </w:r>
      <w:r w:rsidR="00FA741B" w:rsidRPr="00FE2263">
        <w:rPr>
          <w:rStyle w:val="affb"/>
          <w:u w:val="single"/>
          <w:lang w:val="en-US"/>
        </w:rPr>
        <w:instrText>given</w:instrText>
      </w:r>
      <w:r w:rsidR="00FA741B" w:rsidRPr="00FE2263">
        <w:rPr>
          <w:rStyle w:val="affb"/>
          <w:u w:val="single"/>
        </w:rPr>
        <w:instrText>":"</w:instrText>
      </w:r>
      <w:r w:rsidR="00FA741B" w:rsidRPr="00FE2263">
        <w:rPr>
          <w:rStyle w:val="affb"/>
          <w:u w:val="single"/>
          <w:lang w:val="en-US"/>
        </w:rPr>
        <w:instrText>Kenneth</w:instrText>
      </w:r>
      <w:r w:rsidR="00FA741B" w:rsidRPr="00FE2263">
        <w:rPr>
          <w:rStyle w:val="affb"/>
          <w:u w:val="single"/>
        </w:rPr>
        <w:instrText xml:space="preserve"> </w:instrText>
      </w:r>
      <w:r w:rsidR="00FA741B" w:rsidRPr="00FE2263">
        <w:rPr>
          <w:rStyle w:val="affb"/>
          <w:u w:val="single"/>
          <w:lang w:val="en-US"/>
        </w:rPr>
        <w:instrText>C</w:instrText>
      </w:r>
      <w:r w:rsidR="00FA741B" w:rsidRPr="00FE2263">
        <w:rPr>
          <w:rStyle w:val="affb"/>
          <w:u w:val="single"/>
        </w:rPr>
        <w:instrText>.","</w:instrText>
      </w:r>
      <w:r w:rsidR="00FA741B" w:rsidRPr="00FE2263">
        <w:rPr>
          <w:rStyle w:val="affb"/>
          <w:u w:val="single"/>
          <w:lang w:val="en-US"/>
        </w:rPr>
        <w:instrText>non</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parse</w:instrText>
      </w:r>
      <w:r w:rsidR="00FA741B" w:rsidRPr="00FE2263">
        <w:rPr>
          <w:rStyle w:val="affb"/>
          <w:u w:val="single"/>
        </w:rPr>
        <w:instrText>-</w:instrText>
      </w:r>
      <w:r w:rsidR="00FA741B" w:rsidRPr="00FE2263">
        <w:rPr>
          <w:rStyle w:val="affb"/>
          <w:u w:val="single"/>
          <w:lang w:val="en-US"/>
        </w:rPr>
        <w:instrText>names</w:instrText>
      </w:r>
      <w:r w:rsidR="00FA741B" w:rsidRPr="00FE2263">
        <w:rPr>
          <w:rStyle w:val="affb"/>
          <w:u w:val="single"/>
        </w:rPr>
        <w:instrText>":</w:instrText>
      </w:r>
      <w:r w:rsidR="00FA741B" w:rsidRPr="00FE2263">
        <w:rPr>
          <w:rStyle w:val="affb"/>
          <w:u w:val="single"/>
          <w:lang w:val="en-US"/>
        </w:rPr>
        <w:instrText>false</w:instrText>
      </w:r>
      <w:r w:rsidR="00FA741B" w:rsidRPr="00FE2263">
        <w:rPr>
          <w:rStyle w:val="affb"/>
          <w:u w:val="single"/>
        </w:rPr>
        <w:instrText>,"</w:instrText>
      </w:r>
      <w:r w:rsidR="00FA741B" w:rsidRPr="00FE2263">
        <w:rPr>
          <w:rStyle w:val="affb"/>
          <w:u w:val="single"/>
          <w:lang w:val="en-US"/>
        </w:rPr>
        <w:instrText>suffix</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family</w:instrText>
      </w:r>
      <w:r w:rsidR="00FA741B" w:rsidRPr="00FE2263">
        <w:rPr>
          <w:rStyle w:val="affb"/>
          <w:u w:val="single"/>
        </w:rPr>
        <w:instrText>":"</w:instrText>
      </w:r>
      <w:r w:rsidR="00FA741B" w:rsidRPr="00FE2263">
        <w:rPr>
          <w:rStyle w:val="affb"/>
          <w:u w:val="single"/>
          <w:lang w:val="en-US"/>
        </w:rPr>
        <w:instrText>Richardson</w:instrText>
      </w:r>
      <w:r w:rsidR="00FA741B" w:rsidRPr="00FE2263">
        <w:rPr>
          <w:rStyle w:val="affb"/>
          <w:u w:val="single"/>
        </w:rPr>
        <w:instrText>","</w:instrText>
      </w:r>
      <w:r w:rsidR="00FA741B" w:rsidRPr="00FE2263">
        <w:rPr>
          <w:rStyle w:val="affb"/>
          <w:u w:val="single"/>
          <w:lang w:val="en-US"/>
        </w:rPr>
        <w:instrText>given</w:instrText>
      </w:r>
      <w:r w:rsidR="00FA741B" w:rsidRPr="00FE2263">
        <w:rPr>
          <w:rStyle w:val="affb"/>
          <w:u w:val="single"/>
        </w:rPr>
        <w:instrText>":"</w:instrText>
      </w:r>
      <w:r w:rsidR="00FA741B" w:rsidRPr="00FE2263">
        <w:rPr>
          <w:rStyle w:val="affb"/>
          <w:u w:val="single"/>
          <w:lang w:val="en-US"/>
        </w:rPr>
        <w:instrText>Paul</w:instrText>
      </w:r>
      <w:r w:rsidR="00FA741B" w:rsidRPr="00FE2263">
        <w:rPr>
          <w:rStyle w:val="affb"/>
          <w:u w:val="single"/>
        </w:rPr>
        <w:instrText xml:space="preserve"> </w:instrText>
      </w:r>
      <w:r w:rsidR="00FA741B" w:rsidRPr="00FE2263">
        <w:rPr>
          <w:rStyle w:val="affb"/>
          <w:u w:val="single"/>
          <w:lang w:val="en-US"/>
        </w:rPr>
        <w:instrText>G</w:instrText>
      </w:r>
      <w:r w:rsidR="00FA741B" w:rsidRPr="00FE2263">
        <w:rPr>
          <w:rStyle w:val="affb"/>
          <w:u w:val="single"/>
        </w:rPr>
        <w:instrText>.","</w:instrText>
      </w:r>
      <w:r w:rsidR="00FA741B" w:rsidRPr="00FE2263">
        <w:rPr>
          <w:rStyle w:val="affb"/>
          <w:u w:val="single"/>
          <w:lang w:val="en-US"/>
        </w:rPr>
        <w:instrText>non</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parse</w:instrText>
      </w:r>
      <w:r w:rsidR="00FA741B" w:rsidRPr="00FE2263">
        <w:rPr>
          <w:rStyle w:val="affb"/>
          <w:u w:val="single"/>
        </w:rPr>
        <w:instrText>-</w:instrText>
      </w:r>
      <w:r w:rsidR="00FA741B" w:rsidRPr="00FE2263">
        <w:rPr>
          <w:rStyle w:val="affb"/>
          <w:u w:val="single"/>
          <w:lang w:val="en-US"/>
        </w:rPr>
        <w:instrText>names</w:instrText>
      </w:r>
      <w:r w:rsidR="00FA741B" w:rsidRPr="00FE2263">
        <w:rPr>
          <w:rStyle w:val="affb"/>
          <w:u w:val="single"/>
        </w:rPr>
        <w:instrText>":</w:instrText>
      </w:r>
      <w:r w:rsidR="00FA741B" w:rsidRPr="00FE2263">
        <w:rPr>
          <w:rStyle w:val="affb"/>
          <w:u w:val="single"/>
          <w:lang w:val="en-US"/>
        </w:rPr>
        <w:instrText>false</w:instrText>
      </w:r>
      <w:r w:rsidR="00FA741B" w:rsidRPr="00FE2263">
        <w:rPr>
          <w:rStyle w:val="affb"/>
          <w:u w:val="single"/>
        </w:rPr>
        <w:instrText>,"</w:instrText>
      </w:r>
      <w:r w:rsidR="00FA741B" w:rsidRPr="00FE2263">
        <w:rPr>
          <w:rStyle w:val="affb"/>
          <w:u w:val="single"/>
          <w:lang w:val="en-US"/>
        </w:rPr>
        <w:instrText>suffix</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family</w:instrText>
      </w:r>
      <w:r w:rsidR="00FA741B" w:rsidRPr="00FE2263">
        <w:rPr>
          <w:rStyle w:val="affb"/>
          <w:u w:val="single"/>
        </w:rPr>
        <w:instrText>":"</w:instrText>
      </w:r>
      <w:r w:rsidR="00FA741B" w:rsidRPr="00FE2263">
        <w:rPr>
          <w:rStyle w:val="affb"/>
          <w:u w:val="single"/>
          <w:lang w:val="en-US"/>
        </w:rPr>
        <w:instrText>Treon</w:instrText>
      </w:r>
      <w:r w:rsidR="00FA741B" w:rsidRPr="00FE2263">
        <w:rPr>
          <w:rStyle w:val="affb"/>
          <w:u w:val="single"/>
        </w:rPr>
        <w:instrText>","</w:instrText>
      </w:r>
      <w:r w:rsidR="00FA741B" w:rsidRPr="00FE2263">
        <w:rPr>
          <w:rStyle w:val="affb"/>
          <w:u w:val="single"/>
          <w:lang w:val="en-US"/>
        </w:rPr>
        <w:instrText>given</w:instrText>
      </w:r>
      <w:r w:rsidR="00FA741B" w:rsidRPr="00FE2263">
        <w:rPr>
          <w:rStyle w:val="affb"/>
          <w:u w:val="single"/>
        </w:rPr>
        <w:instrText>":"</w:instrText>
      </w:r>
      <w:r w:rsidR="00FA741B" w:rsidRPr="00FE2263">
        <w:rPr>
          <w:rStyle w:val="affb"/>
          <w:u w:val="single"/>
          <w:lang w:val="en-US"/>
        </w:rPr>
        <w:instrText>Steven</w:instrText>
      </w:r>
      <w:r w:rsidR="00FA741B" w:rsidRPr="00FE2263">
        <w:rPr>
          <w:rStyle w:val="affb"/>
          <w:u w:val="single"/>
        </w:rPr>
        <w:instrText xml:space="preserve"> </w:instrText>
      </w:r>
      <w:r w:rsidR="00FA741B" w:rsidRPr="00FE2263">
        <w:rPr>
          <w:rStyle w:val="affb"/>
          <w:u w:val="single"/>
          <w:lang w:val="en-US"/>
        </w:rPr>
        <w:instrText>P</w:instrText>
      </w:r>
      <w:r w:rsidR="00FA741B" w:rsidRPr="00FE2263">
        <w:rPr>
          <w:rStyle w:val="affb"/>
          <w:u w:val="single"/>
        </w:rPr>
        <w:instrText>.","</w:instrText>
      </w:r>
      <w:r w:rsidR="00FA741B" w:rsidRPr="00FE2263">
        <w:rPr>
          <w:rStyle w:val="affb"/>
          <w:u w:val="single"/>
          <w:lang w:val="en-US"/>
        </w:rPr>
        <w:instrText>non</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parse</w:instrText>
      </w:r>
      <w:r w:rsidR="00FA741B" w:rsidRPr="00FE2263">
        <w:rPr>
          <w:rStyle w:val="affb"/>
          <w:u w:val="single"/>
        </w:rPr>
        <w:instrText>-</w:instrText>
      </w:r>
      <w:r w:rsidR="00FA741B" w:rsidRPr="00FE2263">
        <w:rPr>
          <w:rStyle w:val="affb"/>
          <w:u w:val="single"/>
          <w:lang w:val="en-US"/>
        </w:rPr>
        <w:instrText>names</w:instrText>
      </w:r>
      <w:r w:rsidR="00FA741B" w:rsidRPr="00FE2263">
        <w:rPr>
          <w:rStyle w:val="affb"/>
          <w:u w:val="single"/>
        </w:rPr>
        <w:instrText>":</w:instrText>
      </w:r>
      <w:r w:rsidR="00FA741B" w:rsidRPr="00FE2263">
        <w:rPr>
          <w:rStyle w:val="affb"/>
          <w:u w:val="single"/>
          <w:lang w:val="en-US"/>
        </w:rPr>
        <w:instrText>false</w:instrText>
      </w:r>
      <w:r w:rsidR="00FA741B" w:rsidRPr="00FE2263">
        <w:rPr>
          <w:rStyle w:val="affb"/>
          <w:u w:val="single"/>
        </w:rPr>
        <w:instrText>,"</w:instrText>
      </w:r>
      <w:r w:rsidR="00FA741B" w:rsidRPr="00FE2263">
        <w:rPr>
          <w:rStyle w:val="affb"/>
          <w:u w:val="single"/>
          <w:lang w:val="en-US"/>
        </w:rPr>
        <w:instrText>suffix</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family</w:instrText>
      </w:r>
      <w:r w:rsidR="00FA741B" w:rsidRPr="00FE2263">
        <w:rPr>
          <w:rStyle w:val="affb"/>
          <w:u w:val="single"/>
        </w:rPr>
        <w:instrText>":"</w:instrText>
      </w:r>
      <w:r w:rsidR="00FA741B" w:rsidRPr="00FE2263">
        <w:rPr>
          <w:rStyle w:val="affb"/>
          <w:u w:val="single"/>
          <w:lang w:val="en-US"/>
        </w:rPr>
        <w:instrText>Weller</w:instrText>
      </w:r>
      <w:r w:rsidR="00FA741B" w:rsidRPr="00FE2263">
        <w:rPr>
          <w:rStyle w:val="affb"/>
          <w:u w:val="single"/>
        </w:rPr>
        <w:instrText>","</w:instrText>
      </w:r>
      <w:r w:rsidR="00FA741B" w:rsidRPr="00FE2263">
        <w:rPr>
          <w:rStyle w:val="affb"/>
          <w:u w:val="single"/>
          <w:lang w:val="en-US"/>
        </w:rPr>
        <w:instrText>given</w:instrText>
      </w:r>
      <w:r w:rsidR="00FA741B" w:rsidRPr="00FE2263">
        <w:rPr>
          <w:rStyle w:val="affb"/>
          <w:u w:val="single"/>
        </w:rPr>
        <w:instrText>":"</w:instrText>
      </w:r>
      <w:r w:rsidR="00FA741B" w:rsidRPr="00FE2263">
        <w:rPr>
          <w:rStyle w:val="affb"/>
          <w:u w:val="single"/>
          <w:lang w:val="en-US"/>
        </w:rPr>
        <w:instrText>Edie</w:instrText>
      </w:r>
      <w:r w:rsidR="00FA741B" w:rsidRPr="00FE2263">
        <w:rPr>
          <w:rStyle w:val="affb"/>
          <w:u w:val="single"/>
        </w:rPr>
        <w:instrText>","</w:instrText>
      </w:r>
      <w:r w:rsidR="00FA741B" w:rsidRPr="00FE2263">
        <w:rPr>
          <w:rStyle w:val="affb"/>
          <w:u w:val="single"/>
          <w:lang w:val="en-US"/>
        </w:rPr>
        <w:instrText>non</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parse</w:instrText>
      </w:r>
      <w:r w:rsidR="00FA741B" w:rsidRPr="00FE2263">
        <w:rPr>
          <w:rStyle w:val="affb"/>
          <w:u w:val="single"/>
        </w:rPr>
        <w:instrText>-</w:instrText>
      </w:r>
      <w:r w:rsidR="00FA741B" w:rsidRPr="00FE2263">
        <w:rPr>
          <w:rStyle w:val="affb"/>
          <w:u w:val="single"/>
          <w:lang w:val="en-US"/>
        </w:rPr>
        <w:instrText>names</w:instrText>
      </w:r>
      <w:r w:rsidR="00FA741B" w:rsidRPr="00FE2263">
        <w:rPr>
          <w:rStyle w:val="affb"/>
          <w:u w:val="single"/>
        </w:rPr>
        <w:instrText>":</w:instrText>
      </w:r>
      <w:r w:rsidR="00FA741B" w:rsidRPr="00FE2263">
        <w:rPr>
          <w:rStyle w:val="affb"/>
          <w:u w:val="single"/>
          <w:lang w:val="en-US"/>
        </w:rPr>
        <w:instrText>false</w:instrText>
      </w:r>
      <w:r w:rsidR="00FA741B" w:rsidRPr="00FE2263">
        <w:rPr>
          <w:rStyle w:val="affb"/>
          <w:u w:val="single"/>
        </w:rPr>
        <w:instrText>,"</w:instrText>
      </w:r>
      <w:r w:rsidR="00FA741B" w:rsidRPr="00FE2263">
        <w:rPr>
          <w:rStyle w:val="affb"/>
          <w:u w:val="single"/>
          <w:lang w:val="en-US"/>
        </w:rPr>
        <w:instrText>suffix</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family</w:instrText>
      </w:r>
      <w:r w:rsidR="00FA741B" w:rsidRPr="00FE2263">
        <w:rPr>
          <w:rStyle w:val="affb"/>
          <w:u w:val="single"/>
        </w:rPr>
        <w:instrText>":"</w:instrText>
      </w:r>
      <w:r w:rsidR="00FA741B" w:rsidRPr="00FE2263">
        <w:rPr>
          <w:rStyle w:val="affb"/>
          <w:u w:val="single"/>
          <w:lang w:val="en-US"/>
        </w:rPr>
        <w:instrText>Matous</w:instrText>
      </w:r>
      <w:r w:rsidR="00FA741B" w:rsidRPr="00FE2263">
        <w:rPr>
          <w:rStyle w:val="affb"/>
          <w:u w:val="single"/>
        </w:rPr>
        <w:instrText>","</w:instrText>
      </w:r>
      <w:r w:rsidR="00FA741B" w:rsidRPr="00FE2263">
        <w:rPr>
          <w:rStyle w:val="affb"/>
          <w:u w:val="single"/>
          <w:lang w:val="en-US"/>
        </w:rPr>
        <w:instrText>given</w:instrText>
      </w:r>
      <w:r w:rsidR="00FA741B" w:rsidRPr="00FE2263">
        <w:rPr>
          <w:rStyle w:val="affb"/>
          <w:u w:val="single"/>
        </w:rPr>
        <w:instrText>":"</w:instrText>
      </w:r>
      <w:r w:rsidR="00FA741B" w:rsidRPr="00FE2263">
        <w:rPr>
          <w:rStyle w:val="affb"/>
          <w:u w:val="single"/>
          <w:lang w:val="en-US"/>
        </w:rPr>
        <w:instrText>Jeffrey</w:instrText>
      </w:r>
      <w:r w:rsidR="00FA741B" w:rsidRPr="00FE2263">
        <w:rPr>
          <w:rStyle w:val="affb"/>
          <w:u w:val="single"/>
        </w:rPr>
        <w:instrText>","</w:instrText>
      </w:r>
      <w:r w:rsidR="00FA741B" w:rsidRPr="00FE2263">
        <w:rPr>
          <w:rStyle w:val="affb"/>
          <w:u w:val="single"/>
          <w:lang w:val="en-US"/>
        </w:rPr>
        <w:instrText>non</w:instrText>
      </w:r>
      <w:r w:rsidR="00FA741B" w:rsidRPr="00FE2263">
        <w:rPr>
          <w:rStyle w:val="affb"/>
          <w:u w:val="single"/>
        </w:rPr>
        <w:instrText>-</w:instrText>
      </w:r>
      <w:r w:rsidR="00FA741B" w:rsidRPr="00FE2263">
        <w:rPr>
          <w:rStyle w:val="affb"/>
          <w:u w:val="single"/>
          <w:lang w:val="en-US"/>
        </w:rPr>
        <w:instrText>dropping</w:instrText>
      </w:r>
      <w:r w:rsidR="00FA741B" w:rsidRPr="00FE2263">
        <w:rPr>
          <w:rStyle w:val="affb"/>
          <w:u w:val="single"/>
        </w:rPr>
        <w:instrText>-</w:instrText>
      </w:r>
      <w:r w:rsidR="00FA741B" w:rsidRPr="00FE2263">
        <w:rPr>
          <w:rStyle w:val="affb"/>
          <w:u w:val="single"/>
          <w:lang w:val="en-US"/>
        </w:rPr>
        <w:instrText>particle</w:instrText>
      </w:r>
      <w:r w:rsidR="00FA741B" w:rsidRPr="00FE2263">
        <w:rPr>
          <w:rStyle w:val="affb"/>
          <w:u w:val="single"/>
        </w:rPr>
        <w:instrText>":"","</w:instrText>
      </w:r>
      <w:r w:rsidR="00FA741B" w:rsidRPr="00FE2263">
        <w:rPr>
          <w:rStyle w:val="affb"/>
          <w:u w:val="single"/>
          <w:lang w:val="en-US"/>
        </w:rPr>
        <w:instrText>parse</w:instrText>
      </w:r>
      <w:r w:rsidR="00FA741B" w:rsidRPr="00FE2263">
        <w:rPr>
          <w:rStyle w:val="affb"/>
          <w:u w:val="single"/>
        </w:rPr>
        <w:instrText>-</w:instrText>
      </w:r>
      <w:r w:rsidR="00FA741B" w:rsidRPr="00FE2263">
        <w:rPr>
          <w:rStyle w:val="affb"/>
          <w:u w:val="single"/>
          <w:lang w:val="en-US"/>
        </w:rPr>
        <w:instrText>names</w:instrText>
      </w:r>
      <w:r w:rsidR="00FA741B" w:rsidRPr="00FE2263">
        <w:rPr>
          <w:rStyle w:val="affb"/>
          <w:u w:val="single"/>
        </w:rPr>
        <w:instrText>":</w:instrText>
      </w:r>
      <w:r w:rsidR="00FA741B" w:rsidRPr="00FE2263">
        <w:rPr>
          <w:rStyle w:val="affb"/>
          <w:u w:val="single"/>
          <w:lang w:val="en-US"/>
        </w:rPr>
        <w:instrText>false</w:instrText>
      </w:r>
      <w:r w:rsidR="00FA741B" w:rsidRPr="00FE2263">
        <w:rPr>
          <w:rStyle w:val="affb"/>
          <w:u w:val="single"/>
        </w:rPr>
        <w:instrText>,"</w:instrText>
      </w:r>
      <w:r w:rsidR="00FA741B" w:rsidRPr="00FE2263">
        <w:rPr>
          <w:rStyle w:val="affb"/>
          <w:u w:val="single"/>
          <w:lang w:val="en-US"/>
        </w:rPr>
        <w:instrText>suffix</w:instrText>
      </w:r>
      <w:r w:rsidR="00FA741B" w:rsidRPr="00FE2263">
        <w:rPr>
          <w:rStyle w:val="affb"/>
          <w:u w:val="single"/>
        </w:rPr>
        <w:instrText>":""}],"</w:instrText>
      </w:r>
      <w:r w:rsidR="00FA741B" w:rsidRPr="00FE2263">
        <w:rPr>
          <w:rStyle w:val="affb"/>
          <w:u w:val="single"/>
          <w:lang w:val="en-US"/>
        </w:rPr>
        <w:instrText>container</w:instrText>
      </w:r>
      <w:r w:rsidR="00FA741B" w:rsidRPr="00FE2263">
        <w:rPr>
          <w:rStyle w:val="affb"/>
          <w:u w:val="single"/>
        </w:rPr>
        <w:instrText>-</w:instrText>
      </w:r>
      <w:r w:rsidR="00FA741B" w:rsidRPr="00FE2263">
        <w:rPr>
          <w:rStyle w:val="affb"/>
          <w:u w:val="single"/>
          <w:lang w:val="en-US"/>
        </w:rPr>
        <w:instrText>title</w:instrText>
      </w:r>
      <w:r w:rsidR="00FA741B" w:rsidRPr="00FE2263">
        <w:rPr>
          <w:rStyle w:val="affb"/>
          <w:u w:val="single"/>
        </w:rPr>
        <w:instrText>":"</w:instrText>
      </w:r>
      <w:r w:rsidR="00FA741B" w:rsidRPr="00FE2263">
        <w:rPr>
          <w:rStyle w:val="affb"/>
          <w:u w:val="single"/>
          <w:lang w:val="en-US"/>
        </w:rPr>
        <w:instrText>American</w:instrText>
      </w:r>
      <w:r w:rsidR="00FA741B" w:rsidRPr="00FE2263">
        <w:rPr>
          <w:rStyle w:val="affb"/>
          <w:u w:val="single"/>
        </w:rPr>
        <w:instrText xml:space="preserve"> </w:instrText>
      </w:r>
      <w:r w:rsidR="00FA741B" w:rsidRPr="00FE2263">
        <w:rPr>
          <w:rStyle w:val="affb"/>
          <w:u w:val="single"/>
          <w:lang w:val="en-US"/>
        </w:rPr>
        <w:instrText>Journal</w:instrText>
      </w:r>
      <w:r w:rsidR="00FA741B" w:rsidRPr="00FE2263">
        <w:rPr>
          <w:rStyle w:val="affb"/>
          <w:u w:val="single"/>
        </w:rPr>
        <w:instrText xml:space="preserve"> </w:instrText>
      </w:r>
      <w:r w:rsidR="00FA741B" w:rsidRPr="00FE2263">
        <w:rPr>
          <w:rStyle w:val="affb"/>
          <w:u w:val="single"/>
          <w:lang w:val="en-US"/>
        </w:rPr>
        <w:instrText>of</w:instrText>
      </w:r>
      <w:r w:rsidR="00FA741B" w:rsidRPr="00FE2263">
        <w:rPr>
          <w:rStyle w:val="affb"/>
          <w:u w:val="single"/>
        </w:rPr>
        <w:instrText xml:space="preserve"> </w:instrText>
      </w:r>
      <w:r w:rsidR="00FA741B" w:rsidRPr="00FE2263">
        <w:rPr>
          <w:rStyle w:val="affb"/>
          <w:u w:val="single"/>
          <w:lang w:val="en-US"/>
        </w:rPr>
        <w:instrText>Hematology</w:instrText>
      </w:r>
      <w:r w:rsidR="00FA741B" w:rsidRPr="00FE2263">
        <w:rPr>
          <w:rStyle w:val="affb"/>
          <w:u w:val="single"/>
        </w:rPr>
        <w:instrText>","</w:instrText>
      </w:r>
      <w:r w:rsidR="00FA741B" w:rsidRPr="00FE2263">
        <w:rPr>
          <w:rStyle w:val="affb"/>
          <w:u w:val="single"/>
          <w:lang w:val="en-US"/>
        </w:rPr>
        <w:instrText>id</w:instrText>
      </w:r>
      <w:r w:rsidR="00FA741B" w:rsidRPr="00FE2263">
        <w:rPr>
          <w:rStyle w:val="affb"/>
          <w:u w:val="single"/>
        </w:rPr>
        <w:instrText>":"</w:instrText>
      </w:r>
      <w:r w:rsidR="00FA741B" w:rsidRPr="00FE2263">
        <w:rPr>
          <w:rStyle w:val="affb"/>
          <w:u w:val="single"/>
          <w:lang w:val="en-US"/>
        </w:rPr>
        <w:instrText>ITEM</w:instrText>
      </w:r>
      <w:r w:rsidR="00FA741B" w:rsidRPr="00FE2263">
        <w:rPr>
          <w:rStyle w:val="affb"/>
          <w:u w:val="single"/>
        </w:rPr>
        <w:instrText>-1","</w:instrText>
      </w:r>
      <w:r w:rsidR="00FA741B" w:rsidRPr="00FE2263">
        <w:rPr>
          <w:rStyle w:val="affb"/>
          <w:u w:val="single"/>
          <w:lang w:val="en-US"/>
        </w:rPr>
        <w:instrText>issue</w:instrText>
      </w:r>
      <w:r w:rsidR="00FA741B" w:rsidRPr="00FE2263">
        <w:rPr>
          <w:rStyle w:val="affb"/>
          <w:u w:val="single"/>
        </w:rPr>
        <w:instrText>":"9","</w:instrText>
      </w:r>
      <w:r w:rsidR="00FA741B" w:rsidRPr="00FE2263">
        <w:rPr>
          <w:rStyle w:val="affb"/>
          <w:u w:val="single"/>
          <w:lang w:val="en-US"/>
        </w:rPr>
        <w:instrText>issued</w:instrText>
      </w:r>
      <w:r w:rsidR="00FA741B" w:rsidRPr="00FE2263">
        <w:rPr>
          <w:rStyle w:val="affb"/>
          <w:u w:val="single"/>
        </w:rPr>
        <w:instrText>":{"</w:instrText>
      </w:r>
      <w:r w:rsidR="00FA741B" w:rsidRPr="00FE2263">
        <w:rPr>
          <w:rStyle w:val="affb"/>
          <w:u w:val="single"/>
          <w:lang w:val="en-US"/>
        </w:rPr>
        <w:instrText>date</w:instrText>
      </w:r>
      <w:r w:rsidR="00FA741B" w:rsidRPr="00FE2263">
        <w:rPr>
          <w:rStyle w:val="affb"/>
          <w:u w:val="single"/>
        </w:rPr>
        <w:instrText>-</w:instrText>
      </w:r>
      <w:r w:rsidR="00FA741B" w:rsidRPr="00FE2263">
        <w:rPr>
          <w:rStyle w:val="affb"/>
          <w:u w:val="single"/>
          <w:lang w:val="en-US"/>
        </w:rPr>
        <w:instrText>parts</w:instrText>
      </w:r>
      <w:r w:rsidR="00FA741B" w:rsidRPr="00FE2263">
        <w:rPr>
          <w:rStyle w:val="affb"/>
          <w:u w:val="single"/>
        </w:rPr>
        <w:instrText>":[["2010","9"]]},"</w:instrText>
      </w:r>
      <w:r w:rsidR="00FA741B" w:rsidRPr="00FE2263">
        <w:rPr>
          <w:rStyle w:val="affb"/>
          <w:u w:val="single"/>
          <w:lang w:val="en-US"/>
        </w:rPr>
        <w:instrText>page</w:instrText>
      </w:r>
      <w:r w:rsidR="00FA741B" w:rsidRPr="00FE2263">
        <w:rPr>
          <w:rStyle w:val="affb"/>
          <w:u w:val="single"/>
        </w:rPr>
        <w:instrText>":"670-674","</w:instrText>
      </w:r>
      <w:r w:rsidR="00FA741B" w:rsidRPr="00FE2263">
        <w:rPr>
          <w:rStyle w:val="affb"/>
          <w:u w:val="single"/>
          <w:lang w:val="en-US"/>
        </w:rPr>
        <w:instrText>publisher</w:instrText>
      </w:r>
      <w:r w:rsidR="00FA741B" w:rsidRPr="00FE2263">
        <w:rPr>
          <w:rStyle w:val="affb"/>
          <w:u w:val="single"/>
        </w:rPr>
        <w:instrText>":"</w:instrText>
      </w:r>
      <w:r w:rsidR="00FA741B" w:rsidRPr="00FE2263">
        <w:rPr>
          <w:rStyle w:val="affb"/>
          <w:u w:val="single"/>
          <w:lang w:val="en-US"/>
        </w:rPr>
        <w:instrText>Wiley</w:instrText>
      </w:r>
      <w:r w:rsidR="00FA741B" w:rsidRPr="00FE2263">
        <w:rPr>
          <w:rStyle w:val="affb"/>
          <w:u w:val="single"/>
        </w:rPr>
        <w:instrText>-</w:instrText>
      </w:r>
      <w:r w:rsidR="00FA741B" w:rsidRPr="00FE2263">
        <w:rPr>
          <w:rStyle w:val="affb"/>
          <w:u w:val="single"/>
          <w:lang w:val="en-US"/>
        </w:rPr>
        <w:instrText>Liss</w:instrText>
      </w:r>
      <w:r w:rsidR="00FA741B" w:rsidRPr="00FE2263">
        <w:rPr>
          <w:rStyle w:val="affb"/>
          <w:u w:val="single"/>
        </w:rPr>
        <w:instrText xml:space="preserve"> </w:instrText>
      </w:r>
      <w:r w:rsidR="00FA741B" w:rsidRPr="00FE2263">
        <w:rPr>
          <w:rStyle w:val="affb"/>
          <w:u w:val="single"/>
          <w:lang w:val="en-US"/>
        </w:rPr>
        <w:instrText>Inc</w:instrText>
      </w:r>
      <w:r w:rsidR="00FA741B" w:rsidRPr="00FE2263">
        <w:rPr>
          <w:rStyle w:val="affb"/>
          <w:u w:val="single"/>
        </w:rPr>
        <w:instrText>.","</w:instrText>
      </w:r>
      <w:r w:rsidR="00FA741B" w:rsidRPr="00FE2263">
        <w:rPr>
          <w:rStyle w:val="affb"/>
          <w:u w:val="single"/>
          <w:lang w:val="en-US"/>
        </w:rPr>
        <w:instrText>title</w:instrText>
      </w:r>
      <w:r w:rsidR="00FA741B" w:rsidRPr="00FE2263">
        <w:rPr>
          <w:rStyle w:val="affb"/>
          <w:u w:val="single"/>
        </w:rPr>
        <w:instrText>":"</w:instrText>
      </w:r>
      <w:r w:rsidR="00FA741B" w:rsidRPr="00FE2263">
        <w:rPr>
          <w:rStyle w:val="affb"/>
          <w:u w:val="single"/>
          <w:lang w:val="en-US"/>
        </w:rPr>
        <w:instrText>Phase</w:instrText>
      </w:r>
      <w:r w:rsidR="00FA741B" w:rsidRPr="00FE2263">
        <w:rPr>
          <w:rStyle w:val="affb"/>
          <w:u w:val="single"/>
        </w:rPr>
        <w:instrText xml:space="preserve"> </w:instrText>
      </w:r>
      <w:r w:rsidR="00FA741B" w:rsidRPr="00FE2263">
        <w:rPr>
          <w:rStyle w:val="affb"/>
          <w:u w:val="single"/>
          <w:lang w:val="en-US"/>
        </w:rPr>
        <w:instrText>II</w:instrText>
      </w:r>
      <w:r w:rsidR="00FA741B" w:rsidRPr="00FE2263">
        <w:rPr>
          <w:rStyle w:val="affb"/>
          <w:u w:val="single"/>
        </w:rPr>
        <w:instrText xml:space="preserve"> </w:instrText>
      </w:r>
      <w:r w:rsidR="00FA741B" w:rsidRPr="00FE2263">
        <w:rPr>
          <w:rStyle w:val="affb"/>
          <w:u w:val="single"/>
          <w:lang w:val="en-US"/>
        </w:rPr>
        <w:instrText>trial</w:instrText>
      </w:r>
      <w:r w:rsidR="00FA741B" w:rsidRPr="00FE2263">
        <w:rPr>
          <w:rStyle w:val="affb"/>
          <w:u w:val="single"/>
        </w:rPr>
        <w:instrText xml:space="preserve"> </w:instrText>
      </w:r>
      <w:r w:rsidR="00FA741B" w:rsidRPr="00FE2263">
        <w:rPr>
          <w:rStyle w:val="affb"/>
          <w:u w:val="single"/>
          <w:lang w:val="en-US"/>
        </w:rPr>
        <w:instrText>of</w:instrText>
      </w:r>
      <w:r w:rsidR="00FA741B" w:rsidRPr="00FE2263">
        <w:rPr>
          <w:rStyle w:val="affb"/>
          <w:u w:val="single"/>
        </w:rPr>
        <w:instrText xml:space="preserve"> </w:instrText>
      </w:r>
      <w:r w:rsidR="00FA741B" w:rsidRPr="00FE2263">
        <w:rPr>
          <w:rStyle w:val="affb"/>
          <w:u w:val="single"/>
          <w:lang w:val="en-US"/>
        </w:rPr>
        <w:instrText>weekly</w:instrText>
      </w:r>
      <w:r w:rsidR="00FA741B" w:rsidRPr="00FE2263">
        <w:rPr>
          <w:rStyle w:val="affb"/>
          <w:u w:val="single"/>
        </w:rPr>
        <w:instrText xml:space="preserve"> </w:instrText>
      </w:r>
      <w:r w:rsidR="00FA741B" w:rsidRPr="00FE2263">
        <w:rPr>
          <w:rStyle w:val="affb"/>
          <w:u w:val="single"/>
          <w:lang w:val="en-US"/>
        </w:rPr>
        <w:instrText>bortezomib</w:instrText>
      </w:r>
      <w:r w:rsidR="00FA741B" w:rsidRPr="00FE2263">
        <w:rPr>
          <w:rStyle w:val="affb"/>
          <w:u w:val="single"/>
        </w:rPr>
        <w:instrText xml:space="preserve"> </w:instrText>
      </w:r>
      <w:r w:rsidR="00FA741B" w:rsidRPr="00FE2263">
        <w:rPr>
          <w:rStyle w:val="affb"/>
          <w:u w:val="single"/>
          <w:lang w:val="en-US"/>
        </w:rPr>
        <w:instrText>in</w:instrText>
      </w:r>
      <w:r w:rsidR="00FA741B" w:rsidRPr="00FE2263">
        <w:rPr>
          <w:rStyle w:val="affb"/>
          <w:u w:val="single"/>
        </w:rPr>
        <w:instrText xml:space="preserve"> </w:instrText>
      </w:r>
      <w:r w:rsidR="00FA741B" w:rsidRPr="00FE2263">
        <w:rPr>
          <w:rStyle w:val="affb"/>
          <w:u w:val="single"/>
          <w:lang w:val="en-US"/>
        </w:rPr>
        <w:instrText>combination</w:instrText>
      </w:r>
      <w:r w:rsidR="00FA741B" w:rsidRPr="00FE2263">
        <w:rPr>
          <w:rStyle w:val="affb"/>
          <w:u w:val="single"/>
        </w:rPr>
        <w:instrText xml:space="preserve"> </w:instrText>
      </w:r>
      <w:r w:rsidR="00FA741B" w:rsidRPr="00FE2263">
        <w:rPr>
          <w:rStyle w:val="affb"/>
          <w:u w:val="single"/>
          <w:lang w:val="en-US"/>
        </w:rPr>
        <w:instrText>with</w:instrText>
      </w:r>
      <w:r w:rsidR="00FA741B" w:rsidRPr="00FE2263">
        <w:rPr>
          <w:rStyle w:val="affb"/>
          <w:u w:val="single"/>
        </w:rPr>
        <w:instrText xml:space="preserve"> </w:instrText>
      </w:r>
      <w:r w:rsidR="00FA741B" w:rsidRPr="00FE2263">
        <w:rPr>
          <w:rStyle w:val="affb"/>
          <w:u w:val="single"/>
          <w:lang w:val="en-US"/>
        </w:rPr>
        <w:instrText>rituximab</w:instrText>
      </w:r>
      <w:r w:rsidR="00FA741B" w:rsidRPr="00FE2263">
        <w:rPr>
          <w:rStyle w:val="affb"/>
          <w:u w:val="single"/>
        </w:rPr>
        <w:instrText xml:space="preserve"> </w:instrText>
      </w:r>
      <w:r w:rsidR="00FA741B" w:rsidRPr="00FE2263">
        <w:rPr>
          <w:rStyle w:val="affb"/>
          <w:u w:val="single"/>
          <w:lang w:val="en-US"/>
        </w:rPr>
        <w:instrText>in</w:instrText>
      </w:r>
      <w:r w:rsidR="00FA741B" w:rsidRPr="00FE2263">
        <w:rPr>
          <w:rStyle w:val="affb"/>
          <w:u w:val="single"/>
        </w:rPr>
        <w:instrText xml:space="preserve"> </w:instrText>
      </w:r>
      <w:r w:rsidR="00FA741B" w:rsidRPr="00FE2263">
        <w:rPr>
          <w:rStyle w:val="affb"/>
          <w:u w:val="single"/>
          <w:lang w:val="en-US"/>
        </w:rPr>
        <w:instrText>untreated</w:instrText>
      </w:r>
      <w:r w:rsidR="00FA741B" w:rsidRPr="00FE2263">
        <w:rPr>
          <w:rStyle w:val="affb"/>
          <w:u w:val="single"/>
        </w:rPr>
        <w:instrText xml:space="preserve"> </w:instrText>
      </w:r>
      <w:r w:rsidR="00FA741B" w:rsidRPr="00FE2263">
        <w:rPr>
          <w:rStyle w:val="affb"/>
          <w:u w:val="single"/>
          <w:lang w:val="en-US"/>
        </w:rPr>
        <w:instrText>patients</w:instrText>
      </w:r>
      <w:r w:rsidR="00FA741B" w:rsidRPr="00FE2263">
        <w:rPr>
          <w:rStyle w:val="affb"/>
          <w:u w:val="single"/>
        </w:rPr>
        <w:instrText xml:space="preserve"> </w:instrText>
      </w:r>
      <w:r w:rsidR="00FA741B" w:rsidRPr="00FE2263">
        <w:rPr>
          <w:rStyle w:val="affb"/>
          <w:u w:val="single"/>
          <w:lang w:val="en-US"/>
        </w:rPr>
        <w:instrText>with</w:instrText>
      </w:r>
      <w:r w:rsidR="00FA741B" w:rsidRPr="00FE2263">
        <w:rPr>
          <w:rStyle w:val="affb"/>
          <w:u w:val="single"/>
        </w:rPr>
        <w:instrText xml:space="preserve"> </w:instrText>
      </w:r>
      <w:r w:rsidR="00FA741B" w:rsidRPr="00FE2263">
        <w:rPr>
          <w:rStyle w:val="affb"/>
          <w:u w:val="single"/>
          <w:lang w:val="en-US"/>
        </w:rPr>
        <w:instrText>Waldenstr</w:instrText>
      </w:r>
      <w:r w:rsidR="00FA741B" w:rsidRPr="00FE2263">
        <w:rPr>
          <w:rStyle w:val="affb"/>
          <w:u w:val="single"/>
        </w:rPr>
        <w:instrText>ö</w:instrText>
      </w:r>
      <w:r w:rsidR="00FA741B" w:rsidRPr="00FE2263">
        <w:rPr>
          <w:rStyle w:val="affb"/>
          <w:u w:val="single"/>
          <w:lang w:val="en-US"/>
        </w:rPr>
        <w:instrText>m</w:instrText>
      </w:r>
      <w:r w:rsidR="00FA741B" w:rsidRPr="00FE2263">
        <w:rPr>
          <w:rStyle w:val="affb"/>
          <w:u w:val="single"/>
        </w:rPr>
        <w:instrText xml:space="preserve"> </w:instrText>
      </w:r>
      <w:r w:rsidR="00FA741B" w:rsidRPr="00FE2263">
        <w:rPr>
          <w:rStyle w:val="affb"/>
          <w:u w:val="single"/>
          <w:lang w:val="en-US"/>
        </w:rPr>
        <w:instrText>Macroglobulinemia</w:instrText>
      </w:r>
      <w:r w:rsidR="00FA741B" w:rsidRPr="00FE2263">
        <w:rPr>
          <w:rStyle w:val="affb"/>
          <w:u w:val="single"/>
        </w:rPr>
        <w:instrText>","</w:instrText>
      </w:r>
      <w:r w:rsidR="00FA741B" w:rsidRPr="00FE2263">
        <w:rPr>
          <w:rStyle w:val="affb"/>
          <w:u w:val="single"/>
          <w:lang w:val="en-US"/>
        </w:rPr>
        <w:instrText>type</w:instrText>
      </w:r>
      <w:r w:rsidR="00FA741B" w:rsidRPr="00FE2263">
        <w:rPr>
          <w:rStyle w:val="affb"/>
          <w:u w:val="single"/>
        </w:rPr>
        <w:instrText>":"</w:instrText>
      </w:r>
      <w:r w:rsidR="00FA741B" w:rsidRPr="00FE2263">
        <w:rPr>
          <w:rStyle w:val="affb"/>
          <w:u w:val="single"/>
          <w:lang w:val="en-US"/>
        </w:rPr>
        <w:instrText>article</w:instrText>
      </w:r>
      <w:r w:rsidR="00FA741B" w:rsidRPr="00FE2263">
        <w:rPr>
          <w:rStyle w:val="affb"/>
          <w:u w:val="single"/>
        </w:rPr>
        <w:instrText>-</w:instrText>
      </w:r>
      <w:r w:rsidR="00FA741B" w:rsidRPr="00FE2263">
        <w:rPr>
          <w:rStyle w:val="affb"/>
          <w:u w:val="single"/>
          <w:lang w:val="en-US"/>
        </w:rPr>
        <w:instrText>journal</w:instrText>
      </w:r>
      <w:r w:rsidR="00FA741B" w:rsidRPr="00FE2263">
        <w:rPr>
          <w:rStyle w:val="affb"/>
          <w:u w:val="single"/>
        </w:rPr>
        <w:instrText>","</w:instrText>
      </w:r>
      <w:r w:rsidR="00FA741B" w:rsidRPr="00FE2263">
        <w:rPr>
          <w:rStyle w:val="affb"/>
          <w:u w:val="single"/>
          <w:lang w:val="en-US"/>
        </w:rPr>
        <w:instrText>volume</w:instrText>
      </w:r>
      <w:r w:rsidR="00FA741B" w:rsidRPr="00FE2263">
        <w:rPr>
          <w:rStyle w:val="affb"/>
          <w:u w:val="single"/>
        </w:rPr>
        <w:instrText>":"85"},"</w:instrText>
      </w:r>
      <w:r w:rsidR="00FA741B" w:rsidRPr="00FE2263">
        <w:rPr>
          <w:rStyle w:val="affb"/>
          <w:u w:val="single"/>
          <w:lang w:val="en-US"/>
        </w:rPr>
        <w:instrText>uris</w:instrText>
      </w:r>
      <w:r w:rsidR="00FA741B" w:rsidRPr="00FE2263">
        <w:rPr>
          <w:rStyle w:val="affb"/>
          <w:u w:val="single"/>
        </w:rPr>
        <w:instrText>":["</w:instrText>
      </w:r>
      <w:r w:rsidR="00FA741B" w:rsidRPr="00FE2263">
        <w:rPr>
          <w:rStyle w:val="affb"/>
          <w:u w:val="single"/>
          <w:lang w:val="en-US"/>
        </w:rPr>
        <w:instrText>http</w:instrText>
      </w:r>
      <w:r w:rsidR="00FA741B" w:rsidRPr="00FE2263">
        <w:rPr>
          <w:rStyle w:val="affb"/>
          <w:u w:val="single"/>
        </w:rPr>
        <w:instrText>://</w:instrText>
      </w:r>
      <w:r w:rsidR="00FA741B" w:rsidRPr="00FE2263">
        <w:rPr>
          <w:rStyle w:val="affb"/>
          <w:u w:val="single"/>
          <w:lang w:val="en-US"/>
        </w:rPr>
        <w:instrText>www</w:instrText>
      </w:r>
      <w:r w:rsidR="00FA741B" w:rsidRPr="00FE2263">
        <w:rPr>
          <w:rStyle w:val="affb"/>
          <w:u w:val="single"/>
        </w:rPr>
        <w:instrText>.</w:instrText>
      </w:r>
      <w:r w:rsidR="00FA741B" w:rsidRPr="00FE2263">
        <w:rPr>
          <w:rStyle w:val="affb"/>
          <w:u w:val="single"/>
          <w:lang w:val="en-US"/>
        </w:rPr>
        <w:instrText>mendeley</w:instrText>
      </w:r>
      <w:r w:rsidR="00FA741B" w:rsidRPr="00FE2263">
        <w:rPr>
          <w:rStyle w:val="affb"/>
          <w:u w:val="single"/>
        </w:rPr>
        <w:instrText>.</w:instrText>
      </w:r>
      <w:r w:rsidR="00FA741B" w:rsidRPr="00FE2263">
        <w:rPr>
          <w:rStyle w:val="affb"/>
          <w:u w:val="single"/>
          <w:lang w:val="en-US"/>
        </w:rPr>
        <w:instrText>com</w:instrText>
      </w:r>
      <w:r w:rsidR="00FA741B" w:rsidRPr="00FE2263">
        <w:rPr>
          <w:rStyle w:val="affb"/>
          <w:u w:val="single"/>
        </w:rPr>
        <w:instrText>/</w:instrText>
      </w:r>
      <w:r w:rsidR="00FA741B" w:rsidRPr="00FE2263">
        <w:rPr>
          <w:rStyle w:val="affb"/>
          <w:u w:val="single"/>
          <w:lang w:val="en-US"/>
        </w:rPr>
        <w:instrText>documents</w:instrText>
      </w:r>
      <w:r w:rsidR="00FA741B" w:rsidRPr="00FE2263">
        <w:rPr>
          <w:rStyle w:val="affb"/>
          <w:u w:val="single"/>
        </w:rPr>
        <w:instrText>/?</w:instrText>
      </w:r>
      <w:r w:rsidR="00FA741B" w:rsidRPr="00FE2263">
        <w:rPr>
          <w:rStyle w:val="affb"/>
          <w:u w:val="single"/>
          <w:lang w:val="en-US"/>
        </w:rPr>
        <w:instrText>uuid</w:instrText>
      </w:r>
      <w:r w:rsidR="00FA741B" w:rsidRPr="00FE2263">
        <w:rPr>
          <w:rStyle w:val="affb"/>
          <w:u w:val="single"/>
        </w:rPr>
        <w:instrText>=944</w:instrText>
      </w:r>
      <w:r w:rsidR="00FA741B" w:rsidRPr="00FE2263">
        <w:rPr>
          <w:rStyle w:val="affb"/>
          <w:u w:val="single"/>
          <w:lang w:val="en-US"/>
        </w:rPr>
        <w:instrText>f</w:instrText>
      </w:r>
      <w:r w:rsidR="00FA741B" w:rsidRPr="00FE2263">
        <w:rPr>
          <w:rStyle w:val="affb"/>
          <w:u w:val="single"/>
        </w:rPr>
        <w:instrText>46</w:instrText>
      </w:r>
      <w:r w:rsidR="00FA741B" w:rsidRPr="00FE2263">
        <w:rPr>
          <w:rStyle w:val="affb"/>
          <w:u w:val="single"/>
          <w:lang w:val="en-US"/>
        </w:rPr>
        <w:instrText>df</w:instrText>
      </w:r>
      <w:r w:rsidR="00FA741B" w:rsidRPr="00FE2263">
        <w:rPr>
          <w:rStyle w:val="affb"/>
          <w:u w:val="single"/>
        </w:rPr>
        <w:instrText>-4</w:instrText>
      </w:r>
      <w:r w:rsidR="00FA741B" w:rsidRPr="00FE2263">
        <w:rPr>
          <w:rStyle w:val="affb"/>
          <w:u w:val="single"/>
          <w:lang w:val="en-US"/>
        </w:rPr>
        <w:instrText>d</w:instrText>
      </w:r>
      <w:r w:rsidR="00FA741B" w:rsidRPr="00FE2263">
        <w:rPr>
          <w:rStyle w:val="affb"/>
          <w:u w:val="single"/>
        </w:rPr>
        <w:instrText>40-3</w:instrText>
      </w:r>
      <w:r w:rsidR="00FA741B" w:rsidRPr="00FE2263">
        <w:rPr>
          <w:rStyle w:val="affb"/>
          <w:u w:val="single"/>
          <w:lang w:val="en-US"/>
        </w:rPr>
        <w:instrText>a</w:instrText>
      </w:r>
      <w:r w:rsidR="00FA741B" w:rsidRPr="00FE2263">
        <w:rPr>
          <w:rStyle w:val="affb"/>
          <w:u w:val="single"/>
        </w:rPr>
        <w:instrText>6</w:instrText>
      </w:r>
      <w:r w:rsidR="00FA741B" w:rsidRPr="00FE2263">
        <w:rPr>
          <w:rStyle w:val="affb"/>
          <w:u w:val="single"/>
          <w:lang w:val="en-US"/>
        </w:rPr>
        <w:instrText>f</w:instrText>
      </w:r>
      <w:r w:rsidR="00FA741B" w:rsidRPr="00FE2263">
        <w:rPr>
          <w:rStyle w:val="affb"/>
          <w:u w:val="single"/>
        </w:rPr>
        <w:instrText>-</w:instrText>
      </w:r>
      <w:r w:rsidR="00FA741B" w:rsidRPr="00FE2263">
        <w:rPr>
          <w:rStyle w:val="affb"/>
          <w:u w:val="single"/>
          <w:lang w:val="en-US"/>
        </w:rPr>
        <w:instrText>bb</w:instrText>
      </w:r>
      <w:r w:rsidR="00FA741B" w:rsidRPr="00FE2263">
        <w:rPr>
          <w:rStyle w:val="affb"/>
          <w:u w:val="single"/>
        </w:rPr>
        <w:instrText>6</w:instrText>
      </w:r>
      <w:r w:rsidR="00FA741B" w:rsidRPr="00FE2263">
        <w:rPr>
          <w:rStyle w:val="affb"/>
          <w:u w:val="single"/>
          <w:lang w:val="en-US"/>
        </w:rPr>
        <w:instrText>b</w:instrText>
      </w:r>
      <w:r w:rsidR="00FA741B" w:rsidRPr="00FE2263">
        <w:rPr>
          <w:rStyle w:val="affb"/>
          <w:u w:val="single"/>
        </w:rPr>
        <w:instrText>-2198</w:instrText>
      </w:r>
      <w:r w:rsidR="00FA741B" w:rsidRPr="00FE2263">
        <w:rPr>
          <w:rStyle w:val="affb"/>
          <w:u w:val="single"/>
          <w:lang w:val="en-US"/>
        </w:rPr>
        <w:instrText>a</w:instrText>
      </w:r>
      <w:r w:rsidR="00FA741B" w:rsidRPr="00FE2263">
        <w:rPr>
          <w:rStyle w:val="affb"/>
          <w:u w:val="single"/>
        </w:rPr>
        <w:instrText>3617</w:instrText>
      </w:r>
      <w:r w:rsidR="00FA741B" w:rsidRPr="00FE2263">
        <w:rPr>
          <w:rStyle w:val="affb"/>
          <w:u w:val="single"/>
          <w:lang w:val="en-US"/>
        </w:rPr>
        <w:instrText>c</w:instrText>
      </w:r>
      <w:r w:rsidR="00FA741B" w:rsidRPr="00FE2263">
        <w:rPr>
          <w:rStyle w:val="affb"/>
          <w:u w:val="single"/>
        </w:rPr>
        <w:instrText>78"]}],"</w:instrText>
      </w:r>
      <w:r w:rsidR="00FA741B" w:rsidRPr="00FE2263">
        <w:rPr>
          <w:rStyle w:val="affb"/>
          <w:u w:val="single"/>
          <w:lang w:val="en-US"/>
        </w:rPr>
        <w:instrText>mendeley</w:instrText>
      </w:r>
      <w:r w:rsidR="00FA741B" w:rsidRPr="00FE2263">
        <w:rPr>
          <w:rStyle w:val="affb"/>
          <w:u w:val="single"/>
        </w:rPr>
        <w:instrText>":{"</w:instrText>
      </w:r>
      <w:r w:rsidR="00FA741B" w:rsidRPr="00FE2263">
        <w:rPr>
          <w:rStyle w:val="affb"/>
          <w:u w:val="single"/>
          <w:lang w:val="en-US"/>
        </w:rPr>
        <w:instrText>formattedCitation</w:instrText>
      </w:r>
      <w:r w:rsidR="00FA741B" w:rsidRPr="00FE2263">
        <w:rPr>
          <w:rStyle w:val="affb"/>
          <w:u w:val="single"/>
        </w:rPr>
        <w:instrText>":"[20]","</w:instrText>
      </w:r>
      <w:r w:rsidR="00FA741B" w:rsidRPr="00FE2263">
        <w:rPr>
          <w:rStyle w:val="affb"/>
          <w:u w:val="single"/>
          <w:lang w:val="en-US"/>
        </w:rPr>
        <w:instrText>plainTextFormattedCitation</w:instrText>
      </w:r>
      <w:r w:rsidR="00FA741B" w:rsidRPr="00FE2263">
        <w:rPr>
          <w:rStyle w:val="affb"/>
          <w:u w:val="single"/>
        </w:rPr>
        <w:instrText>":"[20]","</w:instrText>
      </w:r>
      <w:r w:rsidR="00FA741B" w:rsidRPr="00FE2263">
        <w:rPr>
          <w:rStyle w:val="affb"/>
          <w:u w:val="single"/>
          <w:lang w:val="en-US"/>
        </w:rPr>
        <w:instrText>previouslyFormattedCitation</w:instrText>
      </w:r>
      <w:r w:rsidR="00FA741B" w:rsidRPr="00FE2263">
        <w:rPr>
          <w:rStyle w:val="affb"/>
          <w:u w:val="single"/>
        </w:rPr>
        <w:instrText>":"[20]"},"</w:instrText>
      </w:r>
      <w:r w:rsidR="00FA741B" w:rsidRPr="00FE2263">
        <w:rPr>
          <w:rStyle w:val="affb"/>
          <w:u w:val="single"/>
          <w:lang w:val="en-US"/>
        </w:rPr>
        <w:instrText>properties</w:instrText>
      </w:r>
      <w:r w:rsidR="00FA741B" w:rsidRPr="00FE2263">
        <w:rPr>
          <w:rStyle w:val="affb"/>
          <w:u w:val="single"/>
        </w:rPr>
        <w:instrText>":{"</w:instrText>
      </w:r>
      <w:r w:rsidR="00FA741B" w:rsidRPr="00FE2263">
        <w:rPr>
          <w:rStyle w:val="affb"/>
          <w:u w:val="single"/>
          <w:lang w:val="en-US"/>
        </w:rPr>
        <w:instrText>noteIndex</w:instrText>
      </w:r>
      <w:r w:rsidR="00FA741B" w:rsidRPr="00FE2263">
        <w:rPr>
          <w:rStyle w:val="affb"/>
          <w:u w:val="single"/>
        </w:rPr>
        <w:instrText>":0},"</w:instrText>
      </w:r>
      <w:r w:rsidR="00FA741B" w:rsidRPr="00FE2263">
        <w:rPr>
          <w:rStyle w:val="affb"/>
          <w:u w:val="single"/>
          <w:lang w:val="en-US"/>
        </w:rPr>
        <w:instrText>schema</w:instrText>
      </w:r>
      <w:r w:rsidR="00FA741B" w:rsidRPr="00FE2263">
        <w:rPr>
          <w:rStyle w:val="affb"/>
          <w:u w:val="single"/>
        </w:rPr>
        <w:instrText>":"</w:instrText>
      </w:r>
      <w:r w:rsidR="00FA741B" w:rsidRPr="00FE2263">
        <w:rPr>
          <w:rStyle w:val="affb"/>
          <w:u w:val="single"/>
          <w:lang w:val="en-US"/>
        </w:rPr>
        <w:instrText>https</w:instrText>
      </w:r>
      <w:r w:rsidR="00FA741B" w:rsidRPr="00FE2263">
        <w:rPr>
          <w:rStyle w:val="affb"/>
          <w:u w:val="single"/>
        </w:rPr>
        <w:instrText>://</w:instrText>
      </w:r>
      <w:r w:rsidR="00FA741B" w:rsidRPr="00FE2263">
        <w:rPr>
          <w:rStyle w:val="affb"/>
          <w:u w:val="single"/>
          <w:lang w:val="en-US"/>
        </w:rPr>
        <w:instrText>github</w:instrText>
      </w:r>
      <w:r w:rsidR="00FA741B" w:rsidRPr="00FE2263">
        <w:rPr>
          <w:rStyle w:val="affb"/>
          <w:u w:val="single"/>
        </w:rPr>
        <w:instrText>.</w:instrText>
      </w:r>
      <w:r w:rsidR="00FA741B" w:rsidRPr="00FE2263">
        <w:rPr>
          <w:rStyle w:val="affb"/>
          <w:u w:val="single"/>
          <w:lang w:val="en-US"/>
        </w:rPr>
        <w:instrText>com</w:instrText>
      </w:r>
      <w:r w:rsidR="00FA741B" w:rsidRPr="00FE2263">
        <w:rPr>
          <w:rStyle w:val="affb"/>
          <w:u w:val="single"/>
        </w:rPr>
        <w:instrText>/</w:instrText>
      </w:r>
      <w:r w:rsidR="00FA741B" w:rsidRPr="00FE2263">
        <w:rPr>
          <w:rStyle w:val="affb"/>
          <w:u w:val="single"/>
          <w:lang w:val="en-US"/>
        </w:rPr>
        <w:instrText>citation</w:instrText>
      </w:r>
      <w:r w:rsidR="00FA741B" w:rsidRPr="00FE2263">
        <w:rPr>
          <w:rStyle w:val="affb"/>
          <w:u w:val="single"/>
        </w:rPr>
        <w:instrText>-</w:instrText>
      </w:r>
      <w:r w:rsidR="00FA741B" w:rsidRPr="00FE2263">
        <w:rPr>
          <w:rStyle w:val="affb"/>
          <w:u w:val="single"/>
          <w:lang w:val="en-US"/>
        </w:rPr>
        <w:instrText>style</w:instrText>
      </w:r>
      <w:r w:rsidR="00FA741B" w:rsidRPr="00FE2263">
        <w:rPr>
          <w:rStyle w:val="affb"/>
          <w:u w:val="single"/>
        </w:rPr>
        <w:instrText>-</w:instrText>
      </w:r>
      <w:r w:rsidR="00FA741B" w:rsidRPr="00FE2263">
        <w:rPr>
          <w:rStyle w:val="affb"/>
          <w:u w:val="single"/>
          <w:lang w:val="en-US"/>
        </w:rPr>
        <w:instrText>language</w:instrText>
      </w:r>
      <w:r w:rsidR="00FA741B" w:rsidRPr="00FE2263">
        <w:rPr>
          <w:rStyle w:val="affb"/>
          <w:u w:val="single"/>
        </w:rPr>
        <w:instrText>/</w:instrText>
      </w:r>
      <w:r w:rsidR="00FA741B" w:rsidRPr="00FE2263">
        <w:rPr>
          <w:rStyle w:val="affb"/>
          <w:u w:val="single"/>
          <w:lang w:val="en-US"/>
        </w:rPr>
        <w:instrText>schema</w:instrText>
      </w:r>
      <w:r w:rsidR="00FA741B" w:rsidRPr="00FE2263">
        <w:rPr>
          <w:rStyle w:val="affb"/>
          <w:u w:val="single"/>
        </w:rPr>
        <w:instrText>/</w:instrText>
      </w:r>
      <w:r w:rsidR="00FA741B" w:rsidRPr="00FE2263">
        <w:rPr>
          <w:rStyle w:val="affb"/>
          <w:u w:val="single"/>
          <w:lang w:val="en-US"/>
        </w:rPr>
        <w:instrText>raw</w:instrText>
      </w:r>
      <w:r w:rsidR="00FA741B" w:rsidRPr="00FE2263">
        <w:rPr>
          <w:rStyle w:val="affb"/>
          <w:u w:val="single"/>
        </w:rPr>
        <w:instrText>/</w:instrText>
      </w:r>
      <w:r w:rsidR="00FA741B" w:rsidRPr="00FE2263">
        <w:rPr>
          <w:rStyle w:val="affb"/>
          <w:u w:val="single"/>
          <w:lang w:val="en-US"/>
        </w:rPr>
        <w:instrText>master</w:instrText>
      </w:r>
      <w:r w:rsidR="00FA741B" w:rsidRPr="00FE2263">
        <w:rPr>
          <w:rStyle w:val="affb"/>
          <w:u w:val="single"/>
        </w:rPr>
        <w:instrText>/</w:instrText>
      </w:r>
      <w:r w:rsidR="00FA741B" w:rsidRPr="00FE2263">
        <w:rPr>
          <w:rStyle w:val="affb"/>
          <w:u w:val="single"/>
          <w:lang w:val="en-US"/>
        </w:rPr>
        <w:instrText>csl</w:instrText>
      </w:r>
      <w:r w:rsidR="00FA741B" w:rsidRPr="00FE2263">
        <w:rPr>
          <w:rStyle w:val="affb"/>
          <w:u w:val="single"/>
        </w:rPr>
        <w:instrText>-</w:instrText>
      </w:r>
      <w:r w:rsidR="00FA741B" w:rsidRPr="00FE2263">
        <w:rPr>
          <w:rStyle w:val="affb"/>
          <w:u w:val="single"/>
          <w:lang w:val="en-US"/>
        </w:rPr>
        <w:instrText>citation</w:instrText>
      </w:r>
      <w:r w:rsidR="00FA741B" w:rsidRPr="00FE2263">
        <w:rPr>
          <w:rStyle w:val="affb"/>
          <w:u w:val="single"/>
        </w:rPr>
        <w:instrText>.</w:instrText>
      </w:r>
      <w:r w:rsidR="00FA741B" w:rsidRPr="00FE2263">
        <w:rPr>
          <w:rStyle w:val="affb"/>
          <w:u w:val="single"/>
          <w:lang w:val="en-US"/>
        </w:rPr>
        <w:instrText>json</w:instrText>
      </w:r>
      <w:r w:rsidR="00FA741B" w:rsidRPr="00FE2263">
        <w:rPr>
          <w:rStyle w:val="affb"/>
          <w:u w:val="single"/>
        </w:rPr>
        <w:instrText>"}</w:instrText>
      </w:r>
      <w:r w:rsidR="00FA741B" w:rsidRPr="00FE2263">
        <w:rPr>
          <w:rStyle w:val="affb"/>
          <w:u w:val="single"/>
          <w:lang w:val="en-US"/>
        </w:rPr>
        <w:fldChar w:fldCharType="separate"/>
      </w:r>
      <w:r w:rsidR="00FA741B" w:rsidRPr="00FE2263">
        <w:rPr>
          <w:rStyle w:val="affb"/>
          <w:b w:val="0"/>
          <w:noProof/>
        </w:rPr>
        <w:t>[20]</w:t>
      </w:r>
      <w:r w:rsidR="00FA741B" w:rsidRPr="00FE2263">
        <w:rPr>
          <w:rStyle w:val="affb"/>
          <w:u w:val="single"/>
          <w:lang w:val="en-US"/>
        </w:rPr>
        <w:fldChar w:fldCharType="end"/>
      </w:r>
    </w:p>
    <w:p w14:paraId="0DFB46AA" w14:textId="77777777" w:rsidR="00B16138" w:rsidRPr="00FE2263" w:rsidRDefault="00B16138" w:rsidP="0070759B">
      <w:pPr>
        <w:pStyle w:val="afd"/>
        <w:spacing w:beforeAutospacing="0" w:afterAutospacing="0" w:line="360" w:lineRule="auto"/>
      </w:pPr>
      <w:r w:rsidRPr="00FE2263">
        <w:t>Бортезомиб** - 1,6 мг/м</w:t>
      </w:r>
      <w:r w:rsidRPr="00FE2263">
        <w:rPr>
          <w:vertAlign w:val="superscript"/>
        </w:rPr>
        <w:t>2</w:t>
      </w:r>
      <w:r w:rsidRPr="00FE2263">
        <w:t xml:space="preserve"> в/в, дни 1, 8, 15</w:t>
      </w:r>
    </w:p>
    <w:p w14:paraId="7BD2A7E5" w14:textId="77777777" w:rsidR="00B16138" w:rsidRPr="00FE2263" w:rsidRDefault="00B16138" w:rsidP="0070759B">
      <w:pPr>
        <w:pStyle w:val="afd"/>
        <w:spacing w:beforeAutospacing="0" w:afterAutospacing="0" w:line="360" w:lineRule="auto"/>
      </w:pPr>
      <w:r w:rsidRPr="00FE2263">
        <w:t>Ритуксимаб** – 375 мг мг/м</w:t>
      </w:r>
      <w:r w:rsidRPr="00FE2263">
        <w:rPr>
          <w:vertAlign w:val="superscript"/>
        </w:rPr>
        <w:t>2</w:t>
      </w:r>
      <w:r w:rsidRPr="00FE2263">
        <w:t xml:space="preserve"> в/в, дни 1, 8, 15, 22 в 1 и 4 курсах</w:t>
      </w:r>
    </w:p>
    <w:p w14:paraId="5B7FE89C" w14:textId="77777777" w:rsidR="00B16138" w:rsidRPr="00FE2263" w:rsidRDefault="00B16138" w:rsidP="0070759B">
      <w:pPr>
        <w:pStyle w:val="afd"/>
        <w:spacing w:beforeAutospacing="0" w:afterAutospacing="0" w:line="360" w:lineRule="auto"/>
      </w:pPr>
      <w:r w:rsidRPr="00FE2263">
        <w:t>Лечение возобновляется на 29-й день. Проводят 6 курсов.</w:t>
      </w:r>
    </w:p>
    <w:p w14:paraId="550BA294" w14:textId="2941E9A0" w:rsidR="00B16138" w:rsidRPr="00FE2263" w:rsidRDefault="00B16138" w:rsidP="0010608C">
      <w:pPr>
        <w:pStyle w:val="afd"/>
        <w:numPr>
          <w:ilvl w:val="0"/>
          <w:numId w:val="13"/>
        </w:numPr>
        <w:spacing w:beforeAutospacing="0" w:afterAutospacing="0" w:line="360" w:lineRule="auto"/>
        <w:jc w:val="left"/>
      </w:pPr>
      <w:r w:rsidRPr="00FE2263">
        <w:rPr>
          <w:rStyle w:val="affb"/>
          <w:u w:val="single"/>
        </w:rPr>
        <w:t>BDR</w:t>
      </w:r>
      <w:r w:rsidR="00FA741B" w:rsidRPr="00FE2263">
        <w:rPr>
          <w:rStyle w:val="affb"/>
          <w:u w:val="single"/>
        </w:rPr>
        <w:t xml:space="preserve"> </w:t>
      </w:r>
      <w:r w:rsidR="00FA741B" w:rsidRPr="00FE2263">
        <w:rPr>
          <w:rStyle w:val="affb"/>
          <w:u w:val="single"/>
          <w:lang w:val="en-US"/>
        </w:rPr>
        <w:fldChar w:fldCharType="begin" w:fldLock="1"/>
      </w:r>
      <w:r w:rsidR="0004027B" w:rsidRPr="00FE2263">
        <w:rPr>
          <w:rStyle w:val="affb"/>
          <w:u w:val="single"/>
          <w:lang w:val="en-US"/>
        </w:rPr>
        <w:instrText>ADDIN</w:instrText>
      </w:r>
      <w:r w:rsidR="0004027B" w:rsidRPr="00FE2263">
        <w:rPr>
          <w:rStyle w:val="affb"/>
          <w:u w:val="single"/>
        </w:rPr>
        <w:instrText xml:space="preserve"> </w:instrText>
      </w:r>
      <w:r w:rsidR="0004027B" w:rsidRPr="00FE2263">
        <w:rPr>
          <w:rStyle w:val="affb"/>
          <w:u w:val="single"/>
          <w:lang w:val="en-US"/>
        </w:rPr>
        <w:instrText>CSL</w:instrText>
      </w:r>
      <w:r w:rsidR="0004027B" w:rsidRPr="00FE2263">
        <w:rPr>
          <w:rStyle w:val="affb"/>
          <w:u w:val="single"/>
        </w:rPr>
        <w:instrText>_</w:instrText>
      </w:r>
      <w:r w:rsidR="0004027B" w:rsidRPr="00FE2263">
        <w:rPr>
          <w:rStyle w:val="affb"/>
          <w:u w:val="single"/>
          <w:lang w:val="en-US"/>
        </w:rPr>
        <w:instrText>CITATION</w:instrText>
      </w:r>
      <w:r w:rsidR="0004027B" w:rsidRPr="00FE2263">
        <w:rPr>
          <w:rStyle w:val="affb"/>
          <w:u w:val="single"/>
        </w:rPr>
        <w:instrText xml:space="preserve"> {"</w:instrText>
      </w:r>
      <w:r w:rsidR="0004027B" w:rsidRPr="00FE2263">
        <w:rPr>
          <w:rStyle w:val="affb"/>
          <w:u w:val="single"/>
          <w:lang w:val="en-US"/>
        </w:rPr>
        <w:instrText>citationItems</w:instrText>
      </w:r>
      <w:r w:rsidR="0004027B" w:rsidRPr="00FE2263">
        <w:rPr>
          <w:rStyle w:val="affb"/>
          <w:u w:val="single"/>
        </w:rPr>
        <w:instrText>":[{"</w:instrText>
      </w:r>
      <w:r w:rsidR="0004027B" w:rsidRPr="00FE2263">
        <w:rPr>
          <w:rStyle w:val="affb"/>
          <w:u w:val="single"/>
          <w:lang w:val="en-US"/>
        </w:rPr>
        <w:instrText>id</w:instrText>
      </w:r>
      <w:r w:rsidR="0004027B" w:rsidRPr="00FE2263">
        <w:rPr>
          <w:rStyle w:val="affb"/>
          <w:u w:val="single"/>
        </w:rPr>
        <w:instrText>":"</w:instrText>
      </w:r>
      <w:r w:rsidR="0004027B" w:rsidRPr="00FE2263">
        <w:rPr>
          <w:rStyle w:val="affb"/>
          <w:u w:val="single"/>
          <w:lang w:val="en-US"/>
        </w:rPr>
        <w:instrText>ITEM</w:instrText>
      </w:r>
      <w:r w:rsidR="0004027B" w:rsidRPr="00FE2263">
        <w:rPr>
          <w:rStyle w:val="affb"/>
          <w:u w:val="single"/>
        </w:rPr>
        <w:instrText>-1","</w:instrText>
      </w:r>
      <w:r w:rsidR="0004027B" w:rsidRPr="00FE2263">
        <w:rPr>
          <w:rStyle w:val="affb"/>
          <w:u w:val="single"/>
          <w:lang w:val="en-US"/>
        </w:rPr>
        <w:instrText>itemData</w:instrText>
      </w:r>
      <w:r w:rsidR="0004027B" w:rsidRPr="00FE2263">
        <w:rPr>
          <w:rStyle w:val="affb"/>
          <w:u w:val="single"/>
        </w:rPr>
        <w:instrText>":{"</w:instrText>
      </w:r>
      <w:r w:rsidR="0004027B" w:rsidRPr="00FE2263">
        <w:rPr>
          <w:rStyle w:val="affb"/>
          <w:u w:val="single"/>
          <w:lang w:val="en-US"/>
        </w:rPr>
        <w:instrText>DOI</w:instrText>
      </w:r>
      <w:r w:rsidR="0004027B" w:rsidRPr="00FE2263">
        <w:rPr>
          <w:rStyle w:val="affb"/>
          <w:u w:val="single"/>
        </w:rPr>
        <w:instrText>":"10.1200/</w:instrText>
      </w:r>
      <w:r w:rsidR="0004027B" w:rsidRPr="00FE2263">
        <w:rPr>
          <w:rStyle w:val="affb"/>
          <w:u w:val="single"/>
          <w:lang w:val="en-US"/>
        </w:rPr>
        <w:instrText>JCO</w:instrText>
      </w:r>
      <w:r w:rsidR="0004027B" w:rsidRPr="00FE2263">
        <w:rPr>
          <w:rStyle w:val="affb"/>
          <w:u w:val="single"/>
        </w:rPr>
        <w:instrText>.2008.20.4677","</w:instrText>
      </w:r>
      <w:r w:rsidR="0004027B" w:rsidRPr="00FE2263">
        <w:rPr>
          <w:rStyle w:val="affb"/>
          <w:u w:val="single"/>
          <w:lang w:val="en-US"/>
        </w:rPr>
        <w:instrText>ISSN</w:instrText>
      </w:r>
      <w:r w:rsidR="0004027B" w:rsidRPr="00FE2263">
        <w:rPr>
          <w:rStyle w:val="affb"/>
          <w:u w:val="single"/>
        </w:rPr>
        <w:instrText>":"0732183</w:instrText>
      </w:r>
      <w:r w:rsidR="0004027B" w:rsidRPr="00FE2263">
        <w:rPr>
          <w:rStyle w:val="affb"/>
          <w:u w:val="single"/>
          <w:lang w:val="en-US"/>
        </w:rPr>
        <w:instrText>X</w:instrText>
      </w:r>
      <w:r w:rsidR="0004027B" w:rsidRPr="00FE2263">
        <w:rPr>
          <w:rStyle w:val="affb"/>
          <w:u w:val="single"/>
        </w:rPr>
        <w:instrText>","</w:instrText>
      </w:r>
      <w:r w:rsidR="0004027B" w:rsidRPr="00FE2263">
        <w:rPr>
          <w:rStyle w:val="affb"/>
          <w:u w:val="single"/>
          <w:lang w:val="en-US"/>
        </w:rPr>
        <w:instrText>abstract</w:instrText>
      </w:r>
      <w:r w:rsidR="0004027B" w:rsidRPr="00FE2263">
        <w:rPr>
          <w:rStyle w:val="affb"/>
          <w:u w:val="single"/>
        </w:rPr>
        <w:instrText>":"</w:instrText>
      </w:r>
      <w:r w:rsidR="0004027B" w:rsidRPr="00FE2263">
        <w:rPr>
          <w:rStyle w:val="affb"/>
          <w:u w:val="single"/>
          <w:lang w:val="en-US"/>
        </w:rPr>
        <w:instrText>Purpose</w:instrText>
      </w:r>
      <w:r w:rsidR="0004027B" w:rsidRPr="00FE2263">
        <w:rPr>
          <w:rStyle w:val="affb"/>
          <w:u w:val="single"/>
        </w:rPr>
        <w:instrText xml:space="preserve">: </w:instrText>
      </w:r>
      <w:r w:rsidR="0004027B" w:rsidRPr="00FE2263">
        <w:rPr>
          <w:rStyle w:val="affb"/>
          <w:u w:val="single"/>
          <w:lang w:val="en-US"/>
        </w:rPr>
        <w:instrText>We</w:instrText>
      </w:r>
      <w:r w:rsidR="0004027B" w:rsidRPr="00FE2263">
        <w:rPr>
          <w:rStyle w:val="affb"/>
          <w:u w:val="single"/>
        </w:rPr>
        <w:instrText xml:space="preserve"> </w:instrText>
      </w:r>
      <w:r w:rsidR="0004027B" w:rsidRPr="00FE2263">
        <w:rPr>
          <w:rStyle w:val="affb"/>
          <w:u w:val="single"/>
          <w:lang w:val="en-US"/>
        </w:rPr>
        <w:instrText>examined</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activity</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bortezomib</w:instrText>
      </w:r>
      <w:r w:rsidR="0004027B" w:rsidRPr="00FE2263">
        <w:rPr>
          <w:rStyle w:val="affb"/>
          <w:u w:val="single"/>
        </w:rPr>
        <w:instrText xml:space="preserve">, </w:instrText>
      </w:r>
      <w:r w:rsidR="0004027B" w:rsidRPr="00FE2263">
        <w:rPr>
          <w:rStyle w:val="affb"/>
          <w:u w:val="single"/>
          <w:lang w:val="en-US"/>
        </w:rPr>
        <w:instrText>dexamethasone</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w:instrText>
      </w:r>
      <w:r w:rsidR="0004027B" w:rsidRPr="00FE2263">
        <w:rPr>
          <w:rStyle w:val="affb"/>
          <w:u w:val="single"/>
          <w:lang w:val="en-US"/>
        </w:rPr>
        <w:instrText>BDR</w:instrText>
      </w:r>
      <w:r w:rsidR="0004027B" w:rsidRPr="00FE2263">
        <w:rPr>
          <w:rStyle w:val="affb"/>
          <w:u w:val="single"/>
        </w:rPr>
        <w:instrText xml:space="preserve">) </w:instrText>
      </w:r>
      <w:r w:rsidR="0004027B" w:rsidRPr="00FE2263">
        <w:rPr>
          <w:rStyle w:val="affb"/>
          <w:u w:val="single"/>
          <w:lang w:val="en-US"/>
        </w:rPr>
        <w:instrText>in</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with</w:instrText>
      </w:r>
      <w:r w:rsidR="0004027B" w:rsidRPr="00FE2263">
        <w:rPr>
          <w:rStyle w:val="affb"/>
          <w:u w:val="single"/>
        </w:rPr>
        <w:instrText xml:space="preserve"> </w:instrText>
      </w:r>
      <w:r w:rsidR="0004027B" w:rsidRPr="00FE2263">
        <w:rPr>
          <w:rStyle w:val="affb"/>
          <w:u w:val="single"/>
          <w:lang w:val="en-US"/>
        </w:rPr>
        <w:instrText>symptomatic</w:instrText>
      </w:r>
      <w:r w:rsidR="0004027B" w:rsidRPr="00FE2263">
        <w:rPr>
          <w:rStyle w:val="affb"/>
          <w:u w:val="single"/>
        </w:rPr>
        <w:instrText xml:space="preserve">, </w:instrText>
      </w:r>
      <w:r w:rsidR="0004027B" w:rsidRPr="00FE2263">
        <w:rPr>
          <w:rStyle w:val="affb"/>
          <w:u w:val="single"/>
          <w:lang w:val="en-US"/>
        </w:rPr>
        <w:instrText>untreated</w:instrText>
      </w:r>
      <w:r w:rsidR="0004027B" w:rsidRPr="00FE2263">
        <w:rPr>
          <w:rStyle w:val="affb"/>
          <w:u w:val="single"/>
        </w:rPr>
        <w:instrText xml:space="preserve"> </w:instrText>
      </w:r>
      <w:r w:rsidR="0004027B" w:rsidRPr="00FE2263">
        <w:rPr>
          <w:rStyle w:val="affb"/>
          <w:u w:val="single"/>
          <w:lang w:val="en-US"/>
        </w:rPr>
        <w:instrText>Waldenstr</w:instrText>
      </w:r>
      <w:r w:rsidR="0004027B" w:rsidRPr="00FE2263">
        <w:rPr>
          <w:rStyle w:val="affb"/>
          <w:u w:val="single"/>
        </w:rPr>
        <w:instrText>ö</w:instrText>
      </w:r>
      <w:r w:rsidR="0004027B" w:rsidRPr="00FE2263">
        <w:rPr>
          <w:rStyle w:val="affb"/>
          <w:u w:val="single"/>
          <w:lang w:val="en-US"/>
        </w:rPr>
        <w:instrText>m</w:instrText>
      </w:r>
      <w:r w:rsidR="0004027B" w:rsidRPr="00FE2263">
        <w:rPr>
          <w:rStyle w:val="affb"/>
          <w:u w:val="single"/>
        </w:rPr>
        <w:instrText xml:space="preserve"> </w:instrText>
      </w:r>
      <w:r w:rsidR="0004027B" w:rsidRPr="00FE2263">
        <w:rPr>
          <w:rStyle w:val="affb"/>
          <w:u w:val="single"/>
          <w:lang w:val="en-US"/>
        </w:rPr>
        <w:instrText>macroglobulinemia</w:instrText>
      </w:r>
      <w:r w:rsidR="0004027B" w:rsidRPr="00FE2263">
        <w:rPr>
          <w:rStyle w:val="affb"/>
          <w:u w:val="single"/>
        </w:rPr>
        <w:instrText xml:space="preserve"> (</w:instrText>
      </w:r>
      <w:r w:rsidR="0004027B" w:rsidRPr="00FE2263">
        <w:rPr>
          <w:rStyle w:val="affb"/>
          <w:u w:val="single"/>
          <w:lang w:val="en-US"/>
        </w:rPr>
        <w:instrText>WM</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Methods</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cycle</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therapy</w:instrText>
      </w:r>
      <w:r w:rsidR="0004027B" w:rsidRPr="00FE2263">
        <w:rPr>
          <w:rStyle w:val="affb"/>
          <w:u w:val="single"/>
        </w:rPr>
        <w:instrText xml:space="preserve"> </w:instrText>
      </w:r>
      <w:r w:rsidR="0004027B" w:rsidRPr="00FE2263">
        <w:rPr>
          <w:rStyle w:val="affb"/>
          <w:u w:val="single"/>
          <w:lang w:val="en-US"/>
        </w:rPr>
        <w:instrText>consisted</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bortezomib</w:instrText>
      </w:r>
      <w:r w:rsidR="0004027B" w:rsidRPr="00FE2263">
        <w:rPr>
          <w:rStyle w:val="affb"/>
          <w:u w:val="single"/>
        </w:rPr>
        <w:instrText xml:space="preserve"> 1.3 </w:instrText>
      </w:r>
      <w:r w:rsidR="0004027B" w:rsidRPr="00FE2263">
        <w:rPr>
          <w:rStyle w:val="affb"/>
          <w:u w:val="single"/>
          <w:lang w:val="en-US"/>
        </w:rPr>
        <w:instrText>mg</w:instrText>
      </w:r>
      <w:r w:rsidR="0004027B" w:rsidRPr="00FE2263">
        <w:rPr>
          <w:rStyle w:val="affb"/>
          <w:u w:val="single"/>
        </w:rPr>
        <w:instrText>/</w:instrText>
      </w:r>
      <w:r w:rsidR="0004027B" w:rsidRPr="00FE2263">
        <w:rPr>
          <w:rStyle w:val="affb"/>
          <w:u w:val="single"/>
          <w:lang w:val="en-US"/>
        </w:rPr>
        <w:instrText>m</w:instrText>
      </w:r>
      <w:r w:rsidR="0004027B" w:rsidRPr="00FE2263">
        <w:rPr>
          <w:rStyle w:val="affb"/>
          <w:u w:val="single"/>
        </w:rPr>
        <w:instrText xml:space="preserve">2 </w:instrText>
      </w:r>
      <w:r w:rsidR="0004027B" w:rsidRPr="00FE2263">
        <w:rPr>
          <w:rStyle w:val="affb"/>
          <w:u w:val="single"/>
          <w:lang w:val="en-US"/>
        </w:rPr>
        <w:instrText>intravenously</w:instrText>
      </w:r>
      <w:r w:rsidR="0004027B" w:rsidRPr="00FE2263">
        <w:rPr>
          <w:rStyle w:val="affb"/>
          <w:u w:val="single"/>
        </w:rPr>
        <w:instrText xml:space="preserve">; </w:instrText>
      </w:r>
      <w:r w:rsidR="0004027B" w:rsidRPr="00FE2263">
        <w:rPr>
          <w:rStyle w:val="affb"/>
          <w:u w:val="single"/>
          <w:lang w:val="en-US"/>
        </w:rPr>
        <w:instrText>dexamethasone</w:instrText>
      </w:r>
      <w:r w:rsidR="0004027B" w:rsidRPr="00FE2263">
        <w:rPr>
          <w:rStyle w:val="affb"/>
          <w:u w:val="single"/>
        </w:rPr>
        <w:instrText xml:space="preserve"> 40 </w:instrText>
      </w:r>
      <w:r w:rsidR="0004027B" w:rsidRPr="00FE2263">
        <w:rPr>
          <w:rStyle w:val="affb"/>
          <w:u w:val="single"/>
          <w:lang w:val="en-US"/>
        </w:rPr>
        <w:instrText>mg</w:instrText>
      </w:r>
      <w:r w:rsidR="0004027B" w:rsidRPr="00FE2263">
        <w:rPr>
          <w:rStyle w:val="affb"/>
          <w:u w:val="single"/>
        </w:rPr>
        <w:instrText xml:space="preserve"> </w:instrText>
      </w:r>
      <w:r w:rsidR="0004027B" w:rsidRPr="00FE2263">
        <w:rPr>
          <w:rStyle w:val="affb"/>
          <w:u w:val="single"/>
          <w:lang w:val="en-US"/>
        </w:rPr>
        <w:instrText>on</w:instrText>
      </w:r>
      <w:r w:rsidR="0004027B" w:rsidRPr="00FE2263">
        <w:rPr>
          <w:rStyle w:val="affb"/>
          <w:u w:val="single"/>
        </w:rPr>
        <w:instrText xml:space="preserve"> </w:instrText>
      </w:r>
      <w:r w:rsidR="0004027B" w:rsidRPr="00FE2263">
        <w:rPr>
          <w:rStyle w:val="affb"/>
          <w:u w:val="single"/>
          <w:lang w:val="en-US"/>
        </w:rPr>
        <w:instrText>days</w:instrText>
      </w:r>
      <w:r w:rsidR="0004027B" w:rsidRPr="00FE2263">
        <w:rPr>
          <w:rStyle w:val="affb"/>
          <w:u w:val="single"/>
        </w:rPr>
        <w:instrText xml:space="preserve"> 1, 4, 8, </w:instrText>
      </w:r>
      <w:r w:rsidR="0004027B" w:rsidRPr="00FE2263">
        <w:rPr>
          <w:rStyle w:val="affb"/>
          <w:u w:val="single"/>
          <w:lang w:val="en-US"/>
        </w:rPr>
        <w:instrText>and</w:instrText>
      </w:r>
      <w:r w:rsidR="0004027B" w:rsidRPr="00FE2263">
        <w:rPr>
          <w:rStyle w:val="affb"/>
          <w:u w:val="single"/>
        </w:rPr>
        <w:instrText xml:space="preserve"> 11;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375 </w:instrText>
      </w:r>
      <w:r w:rsidR="0004027B" w:rsidRPr="00FE2263">
        <w:rPr>
          <w:rStyle w:val="affb"/>
          <w:u w:val="single"/>
          <w:lang w:val="en-US"/>
        </w:rPr>
        <w:instrText>mg</w:instrText>
      </w:r>
      <w:r w:rsidR="0004027B" w:rsidRPr="00FE2263">
        <w:rPr>
          <w:rStyle w:val="affb"/>
          <w:u w:val="single"/>
        </w:rPr>
        <w:instrText>/</w:instrText>
      </w:r>
      <w:r w:rsidR="0004027B" w:rsidRPr="00FE2263">
        <w:rPr>
          <w:rStyle w:val="affb"/>
          <w:u w:val="single"/>
          <w:lang w:val="en-US"/>
        </w:rPr>
        <w:instrText>m</w:instrText>
      </w:r>
      <w:r w:rsidR="0004027B" w:rsidRPr="00FE2263">
        <w:rPr>
          <w:rStyle w:val="affb"/>
          <w:u w:val="single"/>
        </w:rPr>
        <w:instrText xml:space="preserve">2 </w:instrText>
      </w:r>
      <w:r w:rsidR="0004027B" w:rsidRPr="00FE2263">
        <w:rPr>
          <w:rStyle w:val="affb"/>
          <w:u w:val="single"/>
          <w:lang w:val="en-US"/>
        </w:rPr>
        <w:instrText>on</w:instrText>
      </w:r>
      <w:r w:rsidR="0004027B" w:rsidRPr="00FE2263">
        <w:rPr>
          <w:rStyle w:val="affb"/>
          <w:u w:val="single"/>
        </w:rPr>
        <w:instrText xml:space="preserve"> </w:instrText>
      </w:r>
      <w:r w:rsidR="0004027B" w:rsidRPr="00FE2263">
        <w:rPr>
          <w:rStyle w:val="affb"/>
          <w:u w:val="single"/>
          <w:lang w:val="en-US"/>
        </w:rPr>
        <w:instrText>day</w:instrText>
      </w:r>
      <w:r w:rsidR="0004027B" w:rsidRPr="00FE2263">
        <w:rPr>
          <w:rStyle w:val="affb"/>
          <w:u w:val="single"/>
        </w:rPr>
        <w:instrText xml:space="preserve"> 11.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received</w:instrText>
      </w:r>
      <w:r w:rsidR="0004027B" w:rsidRPr="00FE2263">
        <w:rPr>
          <w:rStyle w:val="affb"/>
          <w:u w:val="single"/>
        </w:rPr>
        <w:instrText xml:space="preserve"> </w:instrText>
      </w:r>
      <w:r w:rsidR="0004027B" w:rsidRPr="00FE2263">
        <w:rPr>
          <w:rStyle w:val="affb"/>
          <w:u w:val="single"/>
          <w:lang w:val="en-US"/>
        </w:rPr>
        <w:instrText>four</w:instrText>
      </w:r>
      <w:r w:rsidR="0004027B" w:rsidRPr="00FE2263">
        <w:rPr>
          <w:rStyle w:val="affb"/>
          <w:u w:val="single"/>
        </w:rPr>
        <w:instrText xml:space="preserve"> </w:instrText>
      </w:r>
      <w:r w:rsidR="0004027B" w:rsidRPr="00FE2263">
        <w:rPr>
          <w:rStyle w:val="affb"/>
          <w:u w:val="single"/>
          <w:lang w:val="en-US"/>
        </w:rPr>
        <w:instrText>consecutive</w:instrText>
      </w:r>
      <w:r w:rsidR="0004027B" w:rsidRPr="00FE2263">
        <w:rPr>
          <w:rStyle w:val="affb"/>
          <w:u w:val="single"/>
        </w:rPr>
        <w:instrText xml:space="preserve"> </w:instrText>
      </w:r>
      <w:r w:rsidR="0004027B" w:rsidRPr="00FE2263">
        <w:rPr>
          <w:rStyle w:val="affb"/>
          <w:u w:val="single"/>
          <w:lang w:val="en-US"/>
        </w:rPr>
        <w:instrText>cycles</w:instrText>
      </w:r>
      <w:r w:rsidR="0004027B" w:rsidRPr="00FE2263">
        <w:rPr>
          <w:rStyle w:val="affb"/>
          <w:u w:val="single"/>
        </w:rPr>
        <w:instrText xml:space="preserve"> </w:instrText>
      </w:r>
      <w:r w:rsidR="0004027B" w:rsidRPr="00FE2263">
        <w:rPr>
          <w:rStyle w:val="affb"/>
          <w:u w:val="single"/>
          <w:lang w:val="en-US"/>
        </w:rPr>
        <w:instrText>for</w:instrText>
      </w:r>
      <w:r w:rsidR="0004027B" w:rsidRPr="00FE2263">
        <w:rPr>
          <w:rStyle w:val="affb"/>
          <w:u w:val="single"/>
        </w:rPr>
        <w:instrText xml:space="preserve"> </w:instrText>
      </w:r>
      <w:r w:rsidR="0004027B" w:rsidRPr="00FE2263">
        <w:rPr>
          <w:rStyle w:val="affb"/>
          <w:u w:val="single"/>
          <w:lang w:val="en-US"/>
        </w:rPr>
        <w:instrText>induction</w:instrText>
      </w:r>
      <w:r w:rsidR="0004027B" w:rsidRPr="00FE2263">
        <w:rPr>
          <w:rStyle w:val="affb"/>
          <w:u w:val="single"/>
        </w:rPr>
        <w:instrText xml:space="preserve"> </w:instrText>
      </w:r>
      <w:r w:rsidR="0004027B" w:rsidRPr="00FE2263">
        <w:rPr>
          <w:rStyle w:val="affb"/>
          <w:u w:val="single"/>
          <w:lang w:val="en-US"/>
        </w:rPr>
        <w:instrText>therapy</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then</w:instrText>
      </w:r>
      <w:r w:rsidR="0004027B" w:rsidRPr="00FE2263">
        <w:rPr>
          <w:rStyle w:val="affb"/>
          <w:u w:val="single"/>
        </w:rPr>
        <w:instrText xml:space="preserve"> </w:instrText>
      </w:r>
      <w:r w:rsidR="0004027B" w:rsidRPr="00FE2263">
        <w:rPr>
          <w:rStyle w:val="affb"/>
          <w:u w:val="single"/>
          <w:lang w:val="en-US"/>
        </w:rPr>
        <w:instrText>four</w:instrText>
      </w:r>
      <w:r w:rsidR="0004027B" w:rsidRPr="00FE2263">
        <w:rPr>
          <w:rStyle w:val="affb"/>
          <w:u w:val="single"/>
        </w:rPr>
        <w:instrText xml:space="preserve"> </w:instrText>
      </w:r>
      <w:r w:rsidR="0004027B" w:rsidRPr="00FE2263">
        <w:rPr>
          <w:rStyle w:val="affb"/>
          <w:u w:val="single"/>
          <w:lang w:val="en-US"/>
        </w:rPr>
        <w:instrText>more</w:instrText>
      </w:r>
      <w:r w:rsidR="0004027B" w:rsidRPr="00FE2263">
        <w:rPr>
          <w:rStyle w:val="affb"/>
          <w:u w:val="single"/>
        </w:rPr>
        <w:instrText xml:space="preserve"> </w:instrText>
      </w:r>
      <w:r w:rsidR="0004027B" w:rsidRPr="00FE2263">
        <w:rPr>
          <w:rStyle w:val="affb"/>
          <w:u w:val="single"/>
          <w:lang w:val="en-US"/>
        </w:rPr>
        <w:instrText>cycles</w:instrText>
      </w:r>
      <w:r w:rsidR="0004027B" w:rsidRPr="00FE2263">
        <w:rPr>
          <w:rStyle w:val="affb"/>
          <w:u w:val="single"/>
        </w:rPr>
        <w:instrText xml:space="preserve">, </w:instrText>
      </w:r>
      <w:r w:rsidR="0004027B" w:rsidRPr="00FE2263">
        <w:rPr>
          <w:rStyle w:val="affb"/>
          <w:u w:val="single"/>
          <w:lang w:val="en-US"/>
        </w:rPr>
        <w:instrText>each</w:instrText>
      </w:r>
      <w:r w:rsidR="0004027B" w:rsidRPr="00FE2263">
        <w:rPr>
          <w:rStyle w:val="affb"/>
          <w:u w:val="single"/>
        </w:rPr>
        <w:instrText xml:space="preserve"> </w:instrText>
      </w:r>
      <w:r w:rsidR="0004027B" w:rsidRPr="00FE2263">
        <w:rPr>
          <w:rStyle w:val="affb"/>
          <w:u w:val="single"/>
          <w:lang w:val="en-US"/>
        </w:rPr>
        <w:instrText>given</w:instrText>
      </w:r>
      <w:r w:rsidR="0004027B" w:rsidRPr="00FE2263">
        <w:rPr>
          <w:rStyle w:val="affb"/>
          <w:u w:val="single"/>
        </w:rPr>
        <w:instrText xml:space="preserve"> 3 </w:instrText>
      </w:r>
      <w:r w:rsidR="0004027B" w:rsidRPr="00FE2263">
        <w:rPr>
          <w:rStyle w:val="affb"/>
          <w:u w:val="single"/>
          <w:lang w:val="en-US"/>
        </w:rPr>
        <w:instrText>months</w:instrText>
      </w:r>
      <w:r w:rsidR="0004027B" w:rsidRPr="00FE2263">
        <w:rPr>
          <w:rStyle w:val="affb"/>
          <w:u w:val="single"/>
        </w:rPr>
        <w:instrText xml:space="preserve"> </w:instrText>
      </w:r>
      <w:r w:rsidR="0004027B" w:rsidRPr="00FE2263">
        <w:rPr>
          <w:rStyle w:val="affb"/>
          <w:u w:val="single"/>
          <w:lang w:val="en-US"/>
        </w:rPr>
        <w:instrText>apart</w:instrText>
      </w:r>
      <w:r w:rsidR="0004027B" w:rsidRPr="00FE2263">
        <w:rPr>
          <w:rStyle w:val="affb"/>
          <w:u w:val="single"/>
        </w:rPr>
        <w:instrText xml:space="preserve">, </w:instrText>
      </w:r>
      <w:r w:rsidR="0004027B" w:rsidRPr="00FE2263">
        <w:rPr>
          <w:rStyle w:val="affb"/>
          <w:u w:val="single"/>
          <w:lang w:val="en-US"/>
        </w:rPr>
        <w:instrText>for</w:instrText>
      </w:r>
      <w:r w:rsidR="0004027B" w:rsidRPr="00FE2263">
        <w:rPr>
          <w:rStyle w:val="affb"/>
          <w:u w:val="single"/>
        </w:rPr>
        <w:instrText xml:space="preserve"> </w:instrText>
      </w:r>
      <w:r w:rsidR="0004027B" w:rsidRPr="00FE2263">
        <w:rPr>
          <w:rStyle w:val="affb"/>
          <w:u w:val="single"/>
          <w:lang w:val="en-US"/>
        </w:rPr>
        <w:instrText>maintenance</w:instrText>
      </w:r>
      <w:r w:rsidR="0004027B" w:rsidRPr="00FE2263">
        <w:rPr>
          <w:rStyle w:val="affb"/>
          <w:u w:val="single"/>
        </w:rPr>
        <w:instrText xml:space="preserve"> </w:instrText>
      </w:r>
      <w:r w:rsidR="0004027B" w:rsidRPr="00FE2263">
        <w:rPr>
          <w:rStyle w:val="affb"/>
          <w:u w:val="single"/>
          <w:lang w:val="en-US"/>
        </w:rPr>
        <w:instrText>therapy</w:instrText>
      </w:r>
      <w:r w:rsidR="0004027B" w:rsidRPr="00FE2263">
        <w:rPr>
          <w:rStyle w:val="affb"/>
          <w:u w:val="single"/>
        </w:rPr>
        <w:instrText xml:space="preserve">. </w:instrText>
      </w:r>
      <w:r w:rsidR="0004027B" w:rsidRPr="00FE2263">
        <w:rPr>
          <w:rStyle w:val="affb"/>
          <w:u w:val="single"/>
          <w:lang w:val="en-US"/>
        </w:rPr>
        <w:instrText>Twenty</w:instrText>
      </w:r>
      <w:r w:rsidR="0004027B" w:rsidRPr="00FE2263">
        <w:rPr>
          <w:rStyle w:val="affb"/>
          <w:u w:val="single"/>
        </w:rPr>
        <w:instrText>-</w:instrText>
      </w:r>
      <w:r w:rsidR="0004027B" w:rsidRPr="00FE2263">
        <w:rPr>
          <w:rStyle w:val="affb"/>
          <w:u w:val="single"/>
          <w:lang w:val="en-US"/>
        </w:rPr>
        <w:instrText>three</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received</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median</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seven</w:instrText>
      </w:r>
      <w:r w:rsidR="0004027B" w:rsidRPr="00FE2263">
        <w:rPr>
          <w:rStyle w:val="affb"/>
          <w:u w:val="single"/>
        </w:rPr>
        <w:instrText xml:space="preserve"> </w:instrText>
      </w:r>
      <w:r w:rsidR="0004027B" w:rsidRPr="00FE2263">
        <w:rPr>
          <w:rStyle w:val="affb"/>
          <w:u w:val="single"/>
          <w:lang w:val="en-US"/>
        </w:rPr>
        <w:instrText>cycles</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treatment</w:instrText>
      </w:r>
      <w:r w:rsidR="0004027B" w:rsidRPr="00FE2263">
        <w:rPr>
          <w:rStyle w:val="affb"/>
          <w:u w:val="single"/>
        </w:rPr>
        <w:instrText xml:space="preserve">. </w:instrText>
      </w:r>
      <w:r w:rsidR="0004027B" w:rsidRPr="00FE2263">
        <w:rPr>
          <w:rStyle w:val="affb"/>
          <w:u w:val="single"/>
          <w:lang w:val="en-US"/>
        </w:rPr>
        <w:instrText>Results</w:instrText>
      </w:r>
      <w:r w:rsidR="0004027B" w:rsidRPr="00FE2263">
        <w:rPr>
          <w:rStyle w:val="affb"/>
          <w:u w:val="single"/>
        </w:rPr>
        <w:instrText xml:space="preserve">: </w:instrText>
      </w:r>
      <w:r w:rsidR="0004027B" w:rsidRPr="00FE2263">
        <w:rPr>
          <w:rStyle w:val="affb"/>
          <w:u w:val="single"/>
          <w:lang w:val="en-US"/>
        </w:rPr>
        <w:instrText>Median</w:instrText>
      </w:r>
      <w:r w:rsidR="0004027B" w:rsidRPr="00FE2263">
        <w:rPr>
          <w:rStyle w:val="affb"/>
          <w:u w:val="single"/>
        </w:rPr>
        <w:instrText xml:space="preserve"> </w:instrText>
      </w:r>
      <w:r w:rsidR="0004027B" w:rsidRPr="00FE2263">
        <w:rPr>
          <w:rStyle w:val="affb"/>
          <w:u w:val="single"/>
          <w:lang w:val="en-US"/>
        </w:rPr>
        <w:instrText>bone</w:instrText>
      </w:r>
      <w:r w:rsidR="0004027B" w:rsidRPr="00FE2263">
        <w:rPr>
          <w:rStyle w:val="affb"/>
          <w:u w:val="single"/>
        </w:rPr>
        <w:instrText xml:space="preserve"> </w:instrText>
      </w:r>
      <w:r w:rsidR="0004027B" w:rsidRPr="00FE2263">
        <w:rPr>
          <w:rStyle w:val="affb"/>
          <w:u w:val="single"/>
          <w:lang w:val="en-US"/>
        </w:rPr>
        <w:instrText>marrow</w:instrText>
      </w:r>
      <w:r w:rsidR="0004027B" w:rsidRPr="00FE2263">
        <w:rPr>
          <w:rStyle w:val="affb"/>
          <w:u w:val="single"/>
        </w:rPr>
        <w:instrText xml:space="preserve"> </w:instrText>
      </w:r>
      <w:r w:rsidR="0004027B" w:rsidRPr="00FE2263">
        <w:rPr>
          <w:rStyle w:val="affb"/>
          <w:u w:val="single"/>
          <w:lang w:val="en-US"/>
        </w:rPr>
        <w:instrText>disease</w:instrText>
      </w:r>
      <w:r w:rsidR="0004027B" w:rsidRPr="00FE2263">
        <w:rPr>
          <w:rStyle w:val="affb"/>
          <w:u w:val="single"/>
        </w:rPr>
        <w:instrText xml:space="preserve"> </w:instrText>
      </w:r>
      <w:r w:rsidR="0004027B" w:rsidRPr="00FE2263">
        <w:rPr>
          <w:rStyle w:val="affb"/>
          <w:u w:val="single"/>
          <w:lang w:val="en-US"/>
        </w:rPr>
        <w:instrText>involvement</w:instrText>
      </w:r>
      <w:r w:rsidR="0004027B" w:rsidRPr="00FE2263">
        <w:rPr>
          <w:rStyle w:val="affb"/>
          <w:u w:val="single"/>
        </w:rPr>
        <w:instrText xml:space="preserve"> </w:instrText>
      </w:r>
      <w:r w:rsidR="0004027B" w:rsidRPr="00FE2263">
        <w:rPr>
          <w:rStyle w:val="affb"/>
          <w:u w:val="single"/>
          <w:lang w:val="en-US"/>
        </w:rPr>
        <w:instrText>declined</w:instrText>
      </w:r>
      <w:r w:rsidR="0004027B" w:rsidRPr="00FE2263">
        <w:rPr>
          <w:rStyle w:val="affb"/>
          <w:u w:val="single"/>
        </w:rPr>
        <w:instrText xml:space="preserve"> </w:instrText>
      </w:r>
      <w:r w:rsidR="0004027B" w:rsidRPr="00FE2263">
        <w:rPr>
          <w:rStyle w:val="affb"/>
          <w:u w:val="single"/>
          <w:lang w:val="en-US"/>
        </w:rPr>
        <w:instrText>from</w:instrText>
      </w:r>
      <w:r w:rsidR="0004027B" w:rsidRPr="00FE2263">
        <w:rPr>
          <w:rStyle w:val="affb"/>
          <w:u w:val="single"/>
        </w:rPr>
        <w:instrText xml:space="preserve"> 55% </w:instrText>
      </w:r>
      <w:r w:rsidR="0004027B" w:rsidRPr="00FE2263">
        <w:rPr>
          <w:rStyle w:val="affb"/>
          <w:u w:val="single"/>
          <w:lang w:val="en-US"/>
        </w:rPr>
        <w:instrText>to</w:instrText>
      </w:r>
      <w:r w:rsidR="0004027B" w:rsidRPr="00FE2263">
        <w:rPr>
          <w:rStyle w:val="affb"/>
          <w:u w:val="single"/>
        </w:rPr>
        <w:instrText xml:space="preserve"> 10% (</w:instrText>
      </w:r>
      <w:r w:rsidR="0004027B" w:rsidRPr="00FE2263">
        <w:rPr>
          <w:rStyle w:val="affb"/>
          <w:u w:val="single"/>
          <w:lang w:val="en-US"/>
        </w:rPr>
        <w:instrText>P</w:instrText>
      </w:r>
      <w:r w:rsidR="0004027B" w:rsidRPr="00FE2263">
        <w:rPr>
          <w:rStyle w:val="affb"/>
          <w:u w:val="single"/>
        </w:rPr>
        <w:instrText xml:space="preserve"> = .0004), </w:instrText>
      </w:r>
      <w:r w:rsidR="0004027B" w:rsidRPr="00FE2263">
        <w:rPr>
          <w:rStyle w:val="affb"/>
          <w:u w:val="single"/>
          <w:lang w:val="en-US"/>
        </w:rPr>
        <w:instrText>serum</w:instrText>
      </w:r>
      <w:r w:rsidR="0004027B" w:rsidRPr="00FE2263">
        <w:rPr>
          <w:rStyle w:val="affb"/>
          <w:u w:val="single"/>
        </w:rPr>
        <w:instrText xml:space="preserve"> </w:instrText>
      </w:r>
      <w:r w:rsidR="0004027B" w:rsidRPr="00FE2263">
        <w:rPr>
          <w:rStyle w:val="affb"/>
          <w:u w:val="single"/>
          <w:lang w:val="en-US"/>
        </w:rPr>
        <w:instrText>immunoglobulin</w:instrText>
      </w:r>
      <w:r w:rsidR="0004027B" w:rsidRPr="00FE2263">
        <w:rPr>
          <w:rStyle w:val="affb"/>
          <w:u w:val="single"/>
        </w:rPr>
        <w:instrText xml:space="preserve"> </w:instrText>
      </w:r>
      <w:r w:rsidR="0004027B" w:rsidRPr="00FE2263">
        <w:rPr>
          <w:rStyle w:val="affb"/>
          <w:u w:val="single"/>
          <w:lang w:val="en-US"/>
        </w:rPr>
        <w:instrText>M</w:instrText>
      </w:r>
      <w:r w:rsidR="0004027B" w:rsidRPr="00FE2263">
        <w:rPr>
          <w:rStyle w:val="affb"/>
          <w:u w:val="single"/>
        </w:rPr>
        <w:instrText xml:space="preserve"> </w:instrText>
      </w:r>
      <w:r w:rsidR="0004027B" w:rsidRPr="00FE2263">
        <w:rPr>
          <w:rStyle w:val="affb"/>
          <w:u w:val="single"/>
          <w:lang w:val="en-US"/>
        </w:rPr>
        <w:instrText>levels</w:instrText>
      </w:r>
      <w:r w:rsidR="0004027B" w:rsidRPr="00FE2263">
        <w:rPr>
          <w:rStyle w:val="affb"/>
          <w:u w:val="single"/>
        </w:rPr>
        <w:instrText xml:space="preserve"> </w:instrText>
      </w:r>
      <w:r w:rsidR="0004027B" w:rsidRPr="00FE2263">
        <w:rPr>
          <w:rStyle w:val="affb"/>
          <w:u w:val="single"/>
          <w:lang w:val="en-US"/>
        </w:rPr>
        <w:instrText>declined</w:instrText>
      </w:r>
      <w:r w:rsidR="0004027B" w:rsidRPr="00FE2263">
        <w:rPr>
          <w:rStyle w:val="affb"/>
          <w:u w:val="single"/>
        </w:rPr>
        <w:instrText xml:space="preserve"> </w:instrText>
      </w:r>
      <w:r w:rsidR="0004027B" w:rsidRPr="00FE2263">
        <w:rPr>
          <w:rStyle w:val="affb"/>
          <w:u w:val="single"/>
          <w:lang w:val="en-US"/>
        </w:rPr>
        <w:instrText>from</w:instrText>
      </w:r>
      <w:r w:rsidR="0004027B" w:rsidRPr="00FE2263">
        <w:rPr>
          <w:rStyle w:val="affb"/>
          <w:u w:val="single"/>
        </w:rPr>
        <w:instrText xml:space="preserve"> 4,830 </w:instrText>
      </w:r>
      <w:r w:rsidR="0004027B" w:rsidRPr="00FE2263">
        <w:rPr>
          <w:rStyle w:val="affb"/>
          <w:u w:val="single"/>
          <w:lang w:val="en-US"/>
        </w:rPr>
        <w:instrText>to</w:instrText>
      </w:r>
      <w:r w:rsidR="0004027B" w:rsidRPr="00FE2263">
        <w:rPr>
          <w:rStyle w:val="affb"/>
          <w:u w:val="single"/>
        </w:rPr>
        <w:instrText xml:space="preserve"> 1,115 </w:instrText>
      </w:r>
      <w:r w:rsidR="0004027B" w:rsidRPr="00FE2263">
        <w:rPr>
          <w:rStyle w:val="affb"/>
          <w:u w:val="single"/>
          <w:lang w:val="en-US"/>
        </w:rPr>
        <w:instrText>mg</w:instrText>
      </w:r>
      <w:r w:rsidR="0004027B" w:rsidRPr="00FE2263">
        <w:rPr>
          <w:rStyle w:val="affb"/>
          <w:u w:val="single"/>
        </w:rPr>
        <w:instrText>/</w:instrText>
      </w:r>
      <w:r w:rsidR="0004027B" w:rsidRPr="00FE2263">
        <w:rPr>
          <w:rStyle w:val="affb"/>
          <w:u w:val="single"/>
          <w:lang w:val="en-US"/>
        </w:rPr>
        <w:instrText>dL</w:instrText>
      </w:r>
      <w:r w:rsidR="0004027B" w:rsidRPr="00FE2263">
        <w:rPr>
          <w:rStyle w:val="affb"/>
          <w:u w:val="single"/>
        </w:rPr>
        <w:instrText xml:space="preserve"> (</w:instrText>
      </w:r>
      <w:r w:rsidR="0004027B" w:rsidRPr="00FE2263">
        <w:rPr>
          <w:rStyle w:val="affb"/>
          <w:u w:val="single"/>
          <w:lang w:val="en-US"/>
        </w:rPr>
        <w:instrText>P</w:instrText>
      </w:r>
      <w:r w:rsidR="0004027B" w:rsidRPr="00FE2263">
        <w:rPr>
          <w:rStyle w:val="affb"/>
          <w:u w:val="single"/>
        </w:rPr>
        <w:instrText xml:space="preserve"> = .0001),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hematocrit</w:instrText>
      </w:r>
      <w:r w:rsidR="0004027B" w:rsidRPr="00FE2263">
        <w:rPr>
          <w:rStyle w:val="affb"/>
          <w:u w:val="single"/>
        </w:rPr>
        <w:instrText xml:space="preserve"> </w:instrText>
      </w:r>
      <w:r w:rsidR="0004027B" w:rsidRPr="00FE2263">
        <w:rPr>
          <w:rStyle w:val="affb"/>
          <w:u w:val="single"/>
          <w:lang w:val="en-US"/>
        </w:rPr>
        <w:instrText>increased</w:instrText>
      </w:r>
      <w:r w:rsidR="0004027B" w:rsidRPr="00FE2263">
        <w:rPr>
          <w:rStyle w:val="affb"/>
          <w:u w:val="single"/>
        </w:rPr>
        <w:instrText xml:space="preserve"> </w:instrText>
      </w:r>
      <w:r w:rsidR="0004027B" w:rsidRPr="00FE2263">
        <w:rPr>
          <w:rStyle w:val="affb"/>
          <w:u w:val="single"/>
          <w:lang w:val="en-US"/>
        </w:rPr>
        <w:instrText>from</w:instrText>
      </w:r>
      <w:r w:rsidR="0004027B" w:rsidRPr="00FE2263">
        <w:rPr>
          <w:rStyle w:val="affb"/>
          <w:u w:val="single"/>
        </w:rPr>
        <w:instrText xml:space="preserve"> 29.8% </w:instrText>
      </w:r>
      <w:r w:rsidR="0004027B" w:rsidRPr="00FE2263">
        <w:rPr>
          <w:rStyle w:val="affb"/>
          <w:u w:val="single"/>
          <w:lang w:val="en-US"/>
        </w:rPr>
        <w:instrText>to</w:instrText>
      </w:r>
      <w:r w:rsidR="0004027B" w:rsidRPr="00FE2263">
        <w:rPr>
          <w:rStyle w:val="affb"/>
          <w:u w:val="single"/>
        </w:rPr>
        <w:instrText xml:space="preserve"> 38.2% (</w:instrText>
      </w:r>
      <w:r w:rsidR="0004027B" w:rsidRPr="00FE2263">
        <w:rPr>
          <w:rStyle w:val="affb"/>
          <w:u w:val="single"/>
          <w:lang w:val="en-US"/>
        </w:rPr>
        <w:instrText>P</w:instrText>
      </w:r>
      <w:r w:rsidR="0004027B" w:rsidRPr="00FE2263">
        <w:rPr>
          <w:rStyle w:val="affb"/>
          <w:u w:val="single"/>
        </w:rPr>
        <w:instrText xml:space="preserve"> = .0002) </w:instrText>
      </w:r>
      <w:r w:rsidR="0004027B" w:rsidRPr="00FE2263">
        <w:rPr>
          <w:rStyle w:val="affb"/>
          <w:u w:val="single"/>
          <w:lang w:val="en-US"/>
        </w:rPr>
        <w:instrText>at</w:instrText>
      </w:r>
      <w:r w:rsidR="0004027B" w:rsidRPr="00FE2263">
        <w:rPr>
          <w:rStyle w:val="affb"/>
          <w:u w:val="single"/>
        </w:rPr>
        <w:instrText xml:space="preserve"> </w:instrText>
      </w:r>
      <w:r w:rsidR="0004027B" w:rsidRPr="00FE2263">
        <w:rPr>
          <w:rStyle w:val="affb"/>
          <w:u w:val="single"/>
          <w:lang w:val="en-US"/>
        </w:rPr>
        <w:instrText>best</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overall</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rates</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major</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rates</w:instrText>
      </w:r>
      <w:r w:rsidR="0004027B" w:rsidRPr="00FE2263">
        <w:rPr>
          <w:rStyle w:val="affb"/>
          <w:u w:val="single"/>
        </w:rPr>
        <w:instrText xml:space="preserve"> </w:instrText>
      </w:r>
      <w:r w:rsidR="0004027B" w:rsidRPr="00FE2263">
        <w:rPr>
          <w:rStyle w:val="affb"/>
          <w:u w:val="single"/>
          <w:lang w:val="en-US"/>
        </w:rPr>
        <w:instrText>were</w:instrText>
      </w:r>
      <w:r w:rsidR="0004027B" w:rsidRPr="00FE2263">
        <w:rPr>
          <w:rStyle w:val="affb"/>
          <w:u w:val="single"/>
        </w:rPr>
        <w:instrText xml:space="preserve"> 96% </w:instrText>
      </w:r>
      <w:r w:rsidR="0004027B" w:rsidRPr="00FE2263">
        <w:rPr>
          <w:rStyle w:val="affb"/>
          <w:u w:val="single"/>
          <w:lang w:val="en-US"/>
        </w:rPr>
        <w:instrText>and</w:instrText>
      </w:r>
      <w:r w:rsidR="0004027B" w:rsidRPr="00FE2263">
        <w:rPr>
          <w:rStyle w:val="affb"/>
          <w:u w:val="single"/>
        </w:rPr>
        <w:instrText xml:space="preserve"> 83% </w:instrText>
      </w:r>
      <w:r w:rsidR="0004027B" w:rsidRPr="00FE2263">
        <w:rPr>
          <w:rStyle w:val="affb"/>
          <w:u w:val="single"/>
          <w:lang w:val="en-US"/>
        </w:rPr>
        <w:instrText>with</w:instrText>
      </w:r>
      <w:r w:rsidR="0004027B" w:rsidRPr="00FE2263">
        <w:rPr>
          <w:rStyle w:val="affb"/>
          <w:u w:val="single"/>
        </w:rPr>
        <w:instrText xml:space="preserve"> </w:instrText>
      </w:r>
      <w:r w:rsidR="0004027B" w:rsidRPr="00FE2263">
        <w:rPr>
          <w:rStyle w:val="affb"/>
          <w:u w:val="single"/>
          <w:lang w:val="en-US"/>
        </w:rPr>
        <w:instrText>three</w:instrText>
      </w:r>
      <w:r w:rsidR="0004027B" w:rsidRPr="00FE2263">
        <w:rPr>
          <w:rStyle w:val="affb"/>
          <w:u w:val="single"/>
        </w:rPr>
        <w:instrText xml:space="preserve"> </w:instrText>
      </w:r>
      <w:r w:rsidR="0004027B" w:rsidRPr="00FE2263">
        <w:rPr>
          <w:rStyle w:val="affb"/>
          <w:u w:val="single"/>
          <w:lang w:val="en-US"/>
        </w:rPr>
        <w:instrText>complete</w:instrText>
      </w:r>
      <w:r w:rsidR="0004027B" w:rsidRPr="00FE2263">
        <w:rPr>
          <w:rStyle w:val="affb"/>
          <w:u w:val="single"/>
        </w:rPr>
        <w:instrText xml:space="preserve"> </w:instrText>
      </w:r>
      <w:r w:rsidR="0004027B" w:rsidRPr="00FE2263">
        <w:rPr>
          <w:rStyle w:val="affb"/>
          <w:u w:val="single"/>
          <w:lang w:val="en-US"/>
        </w:rPr>
        <w:instrText>responses</w:instrText>
      </w:r>
      <w:r w:rsidR="0004027B" w:rsidRPr="00FE2263">
        <w:rPr>
          <w:rStyle w:val="affb"/>
          <w:u w:val="single"/>
        </w:rPr>
        <w:instrText xml:space="preserve">, </w:instrText>
      </w:r>
      <w:r w:rsidR="0004027B" w:rsidRPr="00FE2263">
        <w:rPr>
          <w:rStyle w:val="affb"/>
          <w:u w:val="single"/>
          <w:lang w:val="en-US"/>
        </w:rPr>
        <w:instrText>two</w:instrText>
      </w:r>
      <w:r w:rsidR="0004027B" w:rsidRPr="00FE2263">
        <w:rPr>
          <w:rStyle w:val="affb"/>
          <w:u w:val="single"/>
        </w:rPr>
        <w:instrText xml:space="preserve"> </w:instrText>
      </w:r>
      <w:r w:rsidR="0004027B" w:rsidRPr="00FE2263">
        <w:rPr>
          <w:rStyle w:val="affb"/>
          <w:u w:val="single"/>
          <w:lang w:val="en-US"/>
        </w:rPr>
        <w:instrText>near</w:instrText>
      </w:r>
      <w:r w:rsidR="0004027B" w:rsidRPr="00FE2263">
        <w:rPr>
          <w:rStyle w:val="affb"/>
          <w:u w:val="single"/>
        </w:rPr>
        <w:instrText xml:space="preserve"> </w:instrText>
      </w:r>
      <w:r w:rsidR="0004027B" w:rsidRPr="00FE2263">
        <w:rPr>
          <w:rStyle w:val="affb"/>
          <w:u w:val="single"/>
          <w:lang w:val="en-US"/>
        </w:rPr>
        <w:instrText>complete</w:instrText>
      </w:r>
      <w:r w:rsidR="0004027B" w:rsidRPr="00FE2263">
        <w:rPr>
          <w:rStyle w:val="affb"/>
          <w:u w:val="single"/>
        </w:rPr>
        <w:instrText xml:space="preserve"> </w:instrText>
      </w:r>
      <w:r w:rsidR="0004027B" w:rsidRPr="00FE2263">
        <w:rPr>
          <w:rStyle w:val="affb"/>
          <w:u w:val="single"/>
          <w:lang w:val="en-US"/>
        </w:rPr>
        <w:instrText>responses</w:instrText>
      </w:r>
      <w:r w:rsidR="0004027B" w:rsidRPr="00FE2263">
        <w:rPr>
          <w:rStyle w:val="affb"/>
          <w:u w:val="single"/>
        </w:rPr>
        <w:instrText xml:space="preserve">, </w:instrText>
      </w:r>
      <w:r w:rsidR="0004027B" w:rsidRPr="00FE2263">
        <w:rPr>
          <w:rStyle w:val="affb"/>
          <w:u w:val="single"/>
          <w:lang w:val="en-US"/>
        </w:rPr>
        <w:instrText>three</w:instrText>
      </w:r>
      <w:r w:rsidR="0004027B" w:rsidRPr="00FE2263">
        <w:rPr>
          <w:rStyle w:val="affb"/>
          <w:u w:val="single"/>
        </w:rPr>
        <w:instrText xml:space="preserve"> </w:instrText>
      </w:r>
      <w:r w:rsidR="0004027B" w:rsidRPr="00FE2263">
        <w:rPr>
          <w:rStyle w:val="affb"/>
          <w:u w:val="single"/>
          <w:lang w:val="en-US"/>
        </w:rPr>
        <w:instrText>very</w:instrText>
      </w:r>
      <w:r w:rsidR="0004027B" w:rsidRPr="00FE2263">
        <w:rPr>
          <w:rStyle w:val="affb"/>
          <w:u w:val="single"/>
        </w:rPr>
        <w:instrText xml:space="preserve"> </w:instrText>
      </w:r>
      <w:r w:rsidR="0004027B" w:rsidRPr="00FE2263">
        <w:rPr>
          <w:rStyle w:val="affb"/>
          <w:u w:val="single"/>
          <w:lang w:val="en-US"/>
        </w:rPr>
        <w:instrText>good</w:instrText>
      </w:r>
      <w:r w:rsidR="0004027B" w:rsidRPr="00FE2263">
        <w:rPr>
          <w:rStyle w:val="affb"/>
          <w:u w:val="single"/>
        </w:rPr>
        <w:instrText xml:space="preserve"> </w:instrText>
      </w:r>
      <w:r w:rsidR="0004027B" w:rsidRPr="00FE2263">
        <w:rPr>
          <w:rStyle w:val="affb"/>
          <w:u w:val="single"/>
          <w:lang w:val="en-US"/>
        </w:rPr>
        <w:instrText>partial</w:instrText>
      </w:r>
      <w:r w:rsidR="0004027B" w:rsidRPr="00FE2263">
        <w:rPr>
          <w:rStyle w:val="affb"/>
          <w:u w:val="single"/>
        </w:rPr>
        <w:instrText xml:space="preserve"> </w:instrText>
      </w:r>
      <w:r w:rsidR="0004027B" w:rsidRPr="00FE2263">
        <w:rPr>
          <w:rStyle w:val="affb"/>
          <w:u w:val="single"/>
          <w:lang w:val="en-US"/>
        </w:rPr>
        <w:instrText>responses</w:instrText>
      </w:r>
      <w:r w:rsidR="0004027B" w:rsidRPr="00FE2263">
        <w:rPr>
          <w:rStyle w:val="affb"/>
          <w:u w:val="single"/>
        </w:rPr>
        <w:instrText xml:space="preserve">, 11 </w:instrText>
      </w:r>
      <w:r w:rsidR="0004027B" w:rsidRPr="00FE2263">
        <w:rPr>
          <w:rStyle w:val="affb"/>
          <w:u w:val="single"/>
          <w:lang w:val="en-US"/>
        </w:rPr>
        <w:instrText>partial</w:instrText>
      </w:r>
      <w:r w:rsidR="0004027B" w:rsidRPr="00FE2263">
        <w:rPr>
          <w:rStyle w:val="affb"/>
          <w:u w:val="single"/>
        </w:rPr>
        <w:instrText xml:space="preserve"> </w:instrText>
      </w:r>
      <w:r w:rsidR="0004027B" w:rsidRPr="00FE2263">
        <w:rPr>
          <w:rStyle w:val="affb"/>
          <w:u w:val="single"/>
          <w:lang w:val="en-US"/>
        </w:rPr>
        <w:instrText>responses</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three</w:instrText>
      </w:r>
      <w:r w:rsidR="0004027B" w:rsidRPr="00FE2263">
        <w:rPr>
          <w:rStyle w:val="affb"/>
          <w:u w:val="single"/>
        </w:rPr>
        <w:instrText xml:space="preserve"> </w:instrText>
      </w:r>
      <w:r w:rsidR="0004027B" w:rsidRPr="00FE2263">
        <w:rPr>
          <w:rStyle w:val="affb"/>
          <w:u w:val="single"/>
          <w:lang w:val="en-US"/>
        </w:rPr>
        <w:instrText>minor</w:instrText>
      </w:r>
      <w:r w:rsidR="0004027B" w:rsidRPr="00FE2263">
        <w:rPr>
          <w:rStyle w:val="affb"/>
          <w:u w:val="single"/>
        </w:rPr>
        <w:instrText xml:space="preserve"> </w:instrText>
      </w:r>
      <w:r w:rsidR="0004027B" w:rsidRPr="00FE2263">
        <w:rPr>
          <w:rStyle w:val="affb"/>
          <w:u w:val="single"/>
          <w:lang w:val="en-US"/>
        </w:rPr>
        <w:instrText>responses</w:instrText>
      </w:r>
      <w:r w:rsidR="0004027B" w:rsidRPr="00FE2263">
        <w:rPr>
          <w:rStyle w:val="affb"/>
          <w:u w:val="single"/>
        </w:rPr>
        <w:instrText xml:space="preserve">. </w:instrText>
      </w:r>
      <w:r w:rsidR="0004027B" w:rsidRPr="00FE2263">
        <w:rPr>
          <w:rStyle w:val="affb"/>
          <w:u w:val="single"/>
          <w:lang w:val="en-US"/>
        </w:rPr>
        <w:instrText>Responses</w:instrText>
      </w:r>
      <w:r w:rsidR="0004027B" w:rsidRPr="00FE2263">
        <w:rPr>
          <w:rStyle w:val="affb"/>
          <w:u w:val="single"/>
        </w:rPr>
        <w:instrText xml:space="preserve"> </w:instrText>
      </w:r>
      <w:r w:rsidR="0004027B" w:rsidRPr="00FE2263">
        <w:rPr>
          <w:rStyle w:val="affb"/>
          <w:u w:val="single"/>
          <w:lang w:val="en-US"/>
        </w:rPr>
        <w:instrText>occurred</w:instrText>
      </w:r>
      <w:r w:rsidR="0004027B" w:rsidRPr="00FE2263">
        <w:rPr>
          <w:rStyle w:val="affb"/>
          <w:u w:val="single"/>
        </w:rPr>
        <w:instrText xml:space="preserve"> </w:instrText>
      </w:r>
      <w:r w:rsidR="0004027B" w:rsidRPr="00FE2263">
        <w:rPr>
          <w:rStyle w:val="affb"/>
          <w:u w:val="single"/>
          <w:lang w:val="en-US"/>
        </w:rPr>
        <w:instrText>at</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median</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1.4 </w:instrText>
      </w:r>
      <w:r w:rsidR="0004027B" w:rsidRPr="00FE2263">
        <w:rPr>
          <w:rStyle w:val="affb"/>
          <w:u w:val="single"/>
          <w:lang w:val="en-US"/>
        </w:rPr>
        <w:instrText>months</w:instrText>
      </w:r>
      <w:r w:rsidR="0004027B" w:rsidRPr="00FE2263">
        <w:rPr>
          <w:rStyle w:val="affb"/>
          <w:u w:val="single"/>
        </w:rPr>
        <w:instrText xml:space="preserve">. </w:instrText>
      </w:r>
      <w:r w:rsidR="0004027B" w:rsidRPr="00FE2263">
        <w:rPr>
          <w:rStyle w:val="affb"/>
          <w:u w:val="single"/>
          <w:lang w:val="en-US"/>
        </w:rPr>
        <w:instrText>With</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median</w:instrText>
      </w:r>
      <w:r w:rsidR="0004027B" w:rsidRPr="00FE2263">
        <w:rPr>
          <w:rStyle w:val="affb"/>
          <w:u w:val="single"/>
        </w:rPr>
        <w:instrText xml:space="preserve"> </w:instrText>
      </w:r>
      <w:r w:rsidR="0004027B" w:rsidRPr="00FE2263">
        <w:rPr>
          <w:rStyle w:val="affb"/>
          <w:u w:val="single"/>
          <w:lang w:val="en-US"/>
        </w:rPr>
        <w:instrText>follow</w:instrText>
      </w:r>
      <w:r w:rsidR="0004027B" w:rsidRPr="00FE2263">
        <w:rPr>
          <w:rStyle w:val="affb"/>
          <w:u w:val="single"/>
        </w:rPr>
        <w:instrText>-</w:instrText>
      </w:r>
      <w:r w:rsidR="0004027B" w:rsidRPr="00FE2263">
        <w:rPr>
          <w:rStyle w:val="affb"/>
          <w:u w:val="single"/>
          <w:lang w:val="en-US"/>
        </w:rPr>
        <w:instrText>up</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22.8 </w:instrText>
      </w:r>
      <w:r w:rsidR="0004027B" w:rsidRPr="00FE2263">
        <w:rPr>
          <w:rStyle w:val="affb"/>
          <w:u w:val="single"/>
          <w:lang w:val="en-US"/>
        </w:rPr>
        <w:instrText>months</w:instrText>
      </w:r>
      <w:r w:rsidR="0004027B" w:rsidRPr="00FE2263">
        <w:rPr>
          <w:rStyle w:val="affb"/>
          <w:u w:val="single"/>
        </w:rPr>
        <w:instrText xml:space="preserve">, 18 </w:instrText>
      </w:r>
      <w:r w:rsidR="0004027B" w:rsidRPr="00FE2263">
        <w:rPr>
          <w:rStyle w:val="affb"/>
          <w:u w:val="single"/>
          <w:lang w:val="en-US"/>
        </w:rPr>
        <w:instrText>of</w:instrText>
      </w:r>
      <w:r w:rsidR="0004027B" w:rsidRPr="00FE2263">
        <w:rPr>
          <w:rStyle w:val="affb"/>
          <w:u w:val="single"/>
        </w:rPr>
        <w:instrText xml:space="preserve"> 23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remained</w:instrText>
      </w:r>
      <w:r w:rsidR="0004027B" w:rsidRPr="00FE2263">
        <w:rPr>
          <w:rStyle w:val="affb"/>
          <w:u w:val="single"/>
        </w:rPr>
        <w:instrText xml:space="preserve"> </w:instrText>
      </w:r>
      <w:r w:rsidR="0004027B" w:rsidRPr="00FE2263">
        <w:rPr>
          <w:rStyle w:val="affb"/>
          <w:u w:val="single"/>
          <w:lang w:val="en-US"/>
        </w:rPr>
        <w:instrText>free</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disease</w:instrText>
      </w:r>
      <w:r w:rsidR="0004027B" w:rsidRPr="00FE2263">
        <w:rPr>
          <w:rStyle w:val="affb"/>
          <w:u w:val="single"/>
        </w:rPr>
        <w:instrText xml:space="preserve"> </w:instrText>
      </w:r>
      <w:r w:rsidR="0004027B" w:rsidRPr="00FE2263">
        <w:rPr>
          <w:rStyle w:val="affb"/>
          <w:u w:val="single"/>
          <w:lang w:val="en-US"/>
        </w:rPr>
        <w:instrText>progression</w:instrText>
      </w:r>
      <w:r w:rsidR="0004027B" w:rsidRPr="00FE2263">
        <w:rPr>
          <w:rStyle w:val="affb"/>
          <w:u w:val="single"/>
        </w:rPr>
        <w:instrText xml:space="preserve">. </w:instrText>
      </w:r>
      <w:r w:rsidR="0004027B" w:rsidRPr="00FE2263">
        <w:rPr>
          <w:rStyle w:val="affb"/>
          <w:u w:val="single"/>
          <w:lang w:val="en-US"/>
        </w:rPr>
        <w:instrText>Peripheral</w:instrText>
      </w:r>
      <w:r w:rsidR="0004027B" w:rsidRPr="00FE2263">
        <w:rPr>
          <w:rStyle w:val="affb"/>
          <w:u w:val="single"/>
        </w:rPr>
        <w:instrText xml:space="preserve"> </w:instrText>
      </w:r>
      <w:r w:rsidR="0004027B" w:rsidRPr="00FE2263">
        <w:rPr>
          <w:rStyle w:val="affb"/>
          <w:u w:val="single"/>
          <w:lang w:val="en-US"/>
        </w:rPr>
        <w:instrText>neuropathy</w:instrText>
      </w:r>
      <w:r w:rsidR="0004027B" w:rsidRPr="00FE2263">
        <w:rPr>
          <w:rStyle w:val="affb"/>
          <w:u w:val="single"/>
        </w:rPr>
        <w:instrText xml:space="preserve"> </w:instrText>
      </w:r>
      <w:r w:rsidR="0004027B" w:rsidRPr="00FE2263">
        <w:rPr>
          <w:rStyle w:val="affb"/>
          <w:u w:val="single"/>
          <w:lang w:val="en-US"/>
        </w:rPr>
        <w:instrText>was</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most</w:instrText>
      </w:r>
      <w:r w:rsidR="0004027B" w:rsidRPr="00FE2263">
        <w:rPr>
          <w:rStyle w:val="affb"/>
          <w:u w:val="single"/>
        </w:rPr>
        <w:instrText xml:space="preserve"> </w:instrText>
      </w:r>
      <w:r w:rsidR="0004027B" w:rsidRPr="00FE2263">
        <w:rPr>
          <w:rStyle w:val="affb"/>
          <w:u w:val="single"/>
          <w:lang w:val="en-US"/>
        </w:rPr>
        <w:instrText>common</w:instrText>
      </w:r>
      <w:r w:rsidR="0004027B" w:rsidRPr="00FE2263">
        <w:rPr>
          <w:rStyle w:val="affb"/>
          <w:u w:val="single"/>
        </w:rPr>
        <w:instrText xml:space="preserve"> </w:instrText>
      </w:r>
      <w:r w:rsidR="0004027B" w:rsidRPr="00FE2263">
        <w:rPr>
          <w:rStyle w:val="affb"/>
          <w:u w:val="single"/>
          <w:lang w:val="en-US"/>
        </w:rPr>
        <w:instrText>toxicity</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it</w:instrText>
      </w:r>
      <w:r w:rsidR="0004027B" w:rsidRPr="00FE2263">
        <w:rPr>
          <w:rStyle w:val="affb"/>
          <w:u w:val="single"/>
        </w:rPr>
        <w:instrText xml:space="preserve"> </w:instrText>
      </w:r>
      <w:r w:rsidR="0004027B" w:rsidRPr="00FE2263">
        <w:rPr>
          <w:rStyle w:val="affb"/>
          <w:u w:val="single"/>
          <w:lang w:val="en-US"/>
        </w:rPr>
        <w:instrText>resolved to grade ≤ 1 in 13 of 16 patients at a median of 6.0 months. Four of the first seven treated patients developed herpes zoster, resulting in the institution of prophylactic antiviral therapy. Conclusion: The results demonstrate that BDR produces rapid and durable responses, along with high rates of response and complete remissions in WM. Herpes zoster prophylaxis is necessary with BDR, and reversible peripheral neuropathy was the most common toxicity leading to premature discontinuation of bortezomib in 61% of patients. Exploration of alternative schedules for bortezomib administration that includes weekly dosing should be pursued. © 2009 by American Society of Clinical Oncology.","author":[{"dropping-particle":"","family":"Treon","given":"Steven P.","non-dropping-particle":"","parse-names":false,"suffix":""},{"dropping-particle":"","family":"Ioakimidis","given":"Leukothea","non-dropping-particle":"","parse-names":false,"suffix":""},{"dropping-particle":"","family":"Soumerai","given":"Jacob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Sheehy","given":"Patricia","non-dropping-particle":"","parse-names":false,"suffix":""},{"dropping-particle":"","family":"Nelson","given":"Marybeth","non-dropping-particle":"","parse-names":false,"suffix":""},{"dropping-particle":"","family":"Willen","given":"Michael","non-dropping-particle":"","parse-names":false,"suffix":""},{"dropping-particle":"","family":"Matous","given":"Jeffrey","non-dropping-particle":"","parse-names":false,"suffix":""},{"dropping-particle":"","family":"Mattern","given":"John","non-dropping-particle":"","parse-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Diener</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Jakow</w:instrText>
      </w:r>
      <w:r w:rsidR="0004027B" w:rsidRPr="00FE2263">
        <w:rPr>
          <w:rStyle w:val="affb"/>
          <w:u w:val="single"/>
        </w:rPr>
        <w:instrText xml:space="preserve"> </w:instrText>
      </w:r>
      <w:r w:rsidR="0004027B" w:rsidRPr="00FE2263">
        <w:rPr>
          <w:rStyle w:val="affb"/>
          <w:u w:val="single"/>
          <w:lang w:val="en-US"/>
        </w:rPr>
        <w:instrText>G</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Keogh</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George</w:instrText>
      </w:r>
      <w:r w:rsidR="0004027B" w:rsidRPr="00FE2263">
        <w:rPr>
          <w:rStyle w:val="affb"/>
          <w:u w:val="single"/>
        </w:rPr>
        <w:instrText xml:space="preserve"> </w:instrText>
      </w:r>
      <w:r w:rsidR="0004027B" w:rsidRPr="00FE2263">
        <w:rPr>
          <w:rStyle w:val="affb"/>
          <w:u w:val="single"/>
          <w:lang w:val="en-US"/>
        </w:rPr>
        <w:instrText>P</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Myers</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Thomas</w:instrText>
      </w:r>
      <w:r w:rsidR="0004027B" w:rsidRPr="00FE2263">
        <w:rPr>
          <w:rStyle w:val="affb"/>
          <w:u w:val="single"/>
        </w:rPr>
        <w:instrText xml:space="preserve"> </w:instrText>
      </w:r>
      <w:r w:rsidR="0004027B" w:rsidRPr="00FE2263">
        <w:rPr>
          <w:rStyle w:val="affb"/>
          <w:u w:val="single"/>
          <w:lang w:val="en-US"/>
        </w:rPr>
        <w:instrText>J</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Boral</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Andy</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Birner</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Ann</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Esseltine</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Dixie</w:instrText>
      </w:r>
      <w:r w:rsidR="0004027B" w:rsidRPr="00FE2263">
        <w:rPr>
          <w:rStyle w:val="affb"/>
          <w:u w:val="single"/>
        </w:rPr>
        <w:instrText xml:space="preserve"> </w:instrText>
      </w:r>
      <w:r w:rsidR="0004027B" w:rsidRPr="00FE2263">
        <w:rPr>
          <w:rStyle w:val="affb"/>
          <w:u w:val="single"/>
          <w:lang w:val="en-US"/>
        </w:rPr>
        <w:instrText>L</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Ghobrial</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Irene</w:instrText>
      </w:r>
      <w:r w:rsidR="0004027B" w:rsidRPr="00FE2263">
        <w:rPr>
          <w:rStyle w:val="affb"/>
          <w:u w:val="single"/>
        </w:rPr>
        <w:instrText xml:space="preserve"> </w:instrText>
      </w:r>
      <w:r w:rsidR="0004027B" w:rsidRPr="00FE2263">
        <w:rPr>
          <w:rStyle w:val="affb"/>
          <w:u w:val="single"/>
          <w:lang w:val="en-US"/>
        </w:rPr>
        <w:instrText>M</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container</w:instrText>
      </w:r>
      <w:r w:rsidR="0004027B" w:rsidRPr="00FE2263">
        <w:rPr>
          <w:rStyle w:val="affb"/>
          <w:u w:val="single"/>
        </w:rPr>
        <w:instrText>-</w:instrText>
      </w:r>
      <w:r w:rsidR="0004027B" w:rsidRPr="00FE2263">
        <w:rPr>
          <w:rStyle w:val="affb"/>
          <w:u w:val="single"/>
          <w:lang w:val="en-US"/>
        </w:rPr>
        <w:instrText>title</w:instrText>
      </w:r>
      <w:r w:rsidR="0004027B" w:rsidRPr="00FE2263">
        <w:rPr>
          <w:rStyle w:val="affb"/>
          <w:u w:val="single"/>
        </w:rPr>
        <w:instrText>":"</w:instrText>
      </w:r>
      <w:r w:rsidR="0004027B" w:rsidRPr="00FE2263">
        <w:rPr>
          <w:rStyle w:val="affb"/>
          <w:u w:val="single"/>
          <w:lang w:val="en-US"/>
        </w:rPr>
        <w:instrText>Journal</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Clinical</w:instrText>
      </w:r>
      <w:r w:rsidR="0004027B" w:rsidRPr="00FE2263">
        <w:rPr>
          <w:rStyle w:val="affb"/>
          <w:u w:val="single"/>
        </w:rPr>
        <w:instrText xml:space="preserve"> </w:instrText>
      </w:r>
      <w:r w:rsidR="0004027B" w:rsidRPr="00FE2263">
        <w:rPr>
          <w:rStyle w:val="affb"/>
          <w:u w:val="single"/>
          <w:lang w:val="en-US"/>
        </w:rPr>
        <w:instrText>Oncology</w:instrText>
      </w:r>
      <w:r w:rsidR="0004027B" w:rsidRPr="00FE2263">
        <w:rPr>
          <w:rStyle w:val="affb"/>
          <w:u w:val="single"/>
        </w:rPr>
        <w:instrText>","</w:instrText>
      </w:r>
      <w:r w:rsidR="0004027B" w:rsidRPr="00FE2263">
        <w:rPr>
          <w:rStyle w:val="affb"/>
          <w:u w:val="single"/>
          <w:lang w:val="en-US"/>
        </w:rPr>
        <w:instrText>id</w:instrText>
      </w:r>
      <w:r w:rsidR="0004027B" w:rsidRPr="00FE2263">
        <w:rPr>
          <w:rStyle w:val="affb"/>
          <w:u w:val="single"/>
        </w:rPr>
        <w:instrText>":"</w:instrText>
      </w:r>
      <w:r w:rsidR="0004027B" w:rsidRPr="00FE2263">
        <w:rPr>
          <w:rStyle w:val="affb"/>
          <w:u w:val="single"/>
          <w:lang w:val="en-US"/>
        </w:rPr>
        <w:instrText>ITEM</w:instrText>
      </w:r>
      <w:r w:rsidR="0004027B" w:rsidRPr="00FE2263">
        <w:rPr>
          <w:rStyle w:val="affb"/>
          <w:u w:val="single"/>
        </w:rPr>
        <w:instrText>-1","</w:instrText>
      </w:r>
      <w:r w:rsidR="0004027B" w:rsidRPr="00FE2263">
        <w:rPr>
          <w:rStyle w:val="affb"/>
          <w:u w:val="single"/>
          <w:lang w:val="en-US"/>
        </w:rPr>
        <w:instrText>issue</w:instrText>
      </w:r>
      <w:r w:rsidR="0004027B" w:rsidRPr="00FE2263">
        <w:rPr>
          <w:rStyle w:val="affb"/>
          <w:u w:val="single"/>
        </w:rPr>
        <w:instrText>":"23","</w:instrText>
      </w:r>
      <w:r w:rsidR="0004027B" w:rsidRPr="00FE2263">
        <w:rPr>
          <w:rStyle w:val="affb"/>
          <w:u w:val="single"/>
          <w:lang w:val="en-US"/>
        </w:rPr>
        <w:instrText>issued</w:instrText>
      </w:r>
      <w:r w:rsidR="0004027B" w:rsidRPr="00FE2263">
        <w:rPr>
          <w:rStyle w:val="affb"/>
          <w:u w:val="single"/>
        </w:rPr>
        <w:instrText>":{"</w:instrText>
      </w:r>
      <w:r w:rsidR="0004027B" w:rsidRPr="00FE2263">
        <w:rPr>
          <w:rStyle w:val="affb"/>
          <w:u w:val="single"/>
          <w:lang w:val="en-US"/>
        </w:rPr>
        <w:instrText>date</w:instrText>
      </w:r>
      <w:r w:rsidR="0004027B" w:rsidRPr="00FE2263">
        <w:rPr>
          <w:rStyle w:val="affb"/>
          <w:u w:val="single"/>
        </w:rPr>
        <w:instrText>-</w:instrText>
      </w:r>
      <w:r w:rsidR="0004027B" w:rsidRPr="00FE2263">
        <w:rPr>
          <w:rStyle w:val="affb"/>
          <w:u w:val="single"/>
          <w:lang w:val="en-US"/>
        </w:rPr>
        <w:instrText>parts</w:instrText>
      </w:r>
      <w:r w:rsidR="0004027B" w:rsidRPr="00FE2263">
        <w:rPr>
          <w:rStyle w:val="affb"/>
          <w:u w:val="single"/>
        </w:rPr>
        <w:instrText>":[["2009","8","10"]]},"</w:instrText>
      </w:r>
      <w:r w:rsidR="0004027B" w:rsidRPr="00FE2263">
        <w:rPr>
          <w:rStyle w:val="affb"/>
          <w:u w:val="single"/>
          <w:lang w:val="en-US"/>
        </w:rPr>
        <w:instrText>page</w:instrText>
      </w:r>
      <w:r w:rsidR="0004027B" w:rsidRPr="00FE2263">
        <w:rPr>
          <w:rStyle w:val="affb"/>
          <w:u w:val="single"/>
        </w:rPr>
        <w:instrText>":"3830-3835","</w:instrText>
      </w:r>
      <w:r w:rsidR="0004027B" w:rsidRPr="00FE2263">
        <w:rPr>
          <w:rStyle w:val="affb"/>
          <w:u w:val="single"/>
          <w:lang w:val="en-US"/>
        </w:rPr>
        <w:instrText>title</w:instrText>
      </w:r>
      <w:r w:rsidR="0004027B" w:rsidRPr="00FE2263">
        <w:rPr>
          <w:rStyle w:val="affb"/>
          <w:u w:val="single"/>
        </w:rPr>
        <w:instrText>":"</w:instrText>
      </w:r>
      <w:r w:rsidR="0004027B" w:rsidRPr="00FE2263">
        <w:rPr>
          <w:rStyle w:val="affb"/>
          <w:u w:val="single"/>
          <w:lang w:val="en-US"/>
        </w:rPr>
        <w:instrText>Primary</w:instrText>
      </w:r>
      <w:r w:rsidR="0004027B" w:rsidRPr="00FE2263">
        <w:rPr>
          <w:rStyle w:val="affb"/>
          <w:u w:val="single"/>
        </w:rPr>
        <w:instrText xml:space="preserve"> </w:instrText>
      </w:r>
      <w:r w:rsidR="0004027B" w:rsidRPr="00FE2263">
        <w:rPr>
          <w:rStyle w:val="affb"/>
          <w:u w:val="single"/>
          <w:lang w:val="en-US"/>
        </w:rPr>
        <w:instrText>therapy</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Waldenstr</w:instrText>
      </w:r>
      <w:r w:rsidR="0004027B" w:rsidRPr="00FE2263">
        <w:rPr>
          <w:rStyle w:val="affb"/>
          <w:u w:val="single"/>
        </w:rPr>
        <w:instrText>ö</w:instrText>
      </w:r>
      <w:r w:rsidR="0004027B" w:rsidRPr="00FE2263">
        <w:rPr>
          <w:rStyle w:val="affb"/>
          <w:u w:val="single"/>
          <w:lang w:val="en-US"/>
        </w:rPr>
        <w:instrText>m</w:instrText>
      </w:r>
      <w:r w:rsidR="0004027B" w:rsidRPr="00FE2263">
        <w:rPr>
          <w:rStyle w:val="affb"/>
          <w:u w:val="single"/>
        </w:rPr>
        <w:instrText xml:space="preserve"> </w:instrText>
      </w:r>
      <w:r w:rsidR="0004027B" w:rsidRPr="00FE2263">
        <w:rPr>
          <w:rStyle w:val="affb"/>
          <w:u w:val="single"/>
          <w:lang w:val="en-US"/>
        </w:rPr>
        <w:instrText>macroglobulinemia</w:instrText>
      </w:r>
      <w:r w:rsidR="0004027B" w:rsidRPr="00FE2263">
        <w:rPr>
          <w:rStyle w:val="affb"/>
          <w:u w:val="single"/>
        </w:rPr>
        <w:instrText xml:space="preserve"> </w:instrText>
      </w:r>
      <w:r w:rsidR="0004027B" w:rsidRPr="00FE2263">
        <w:rPr>
          <w:rStyle w:val="affb"/>
          <w:u w:val="single"/>
          <w:lang w:val="en-US"/>
        </w:rPr>
        <w:instrText>with</w:instrText>
      </w:r>
      <w:r w:rsidR="0004027B" w:rsidRPr="00FE2263">
        <w:rPr>
          <w:rStyle w:val="affb"/>
          <w:u w:val="single"/>
        </w:rPr>
        <w:instrText xml:space="preserve"> </w:instrText>
      </w:r>
      <w:r w:rsidR="0004027B" w:rsidRPr="00FE2263">
        <w:rPr>
          <w:rStyle w:val="affb"/>
          <w:u w:val="single"/>
          <w:lang w:val="en-US"/>
        </w:rPr>
        <w:instrText>bortezomib</w:instrText>
      </w:r>
      <w:r w:rsidR="0004027B" w:rsidRPr="00FE2263">
        <w:rPr>
          <w:rStyle w:val="affb"/>
          <w:u w:val="single"/>
        </w:rPr>
        <w:instrText xml:space="preserve">, </w:instrText>
      </w:r>
      <w:r w:rsidR="0004027B" w:rsidRPr="00FE2263">
        <w:rPr>
          <w:rStyle w:val="affb"/>
          <w:u w:val="single"/>
          <w:lang w:val="en-US"/>
        </w:rPr>
        <w:instrText>dexamethasone</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w:instrText>
      </w:r>
      <w:r w:rsidR="0004027B" w:rsidRPr="00FE2263">
        <w:rPr>
          <w:rStyle w:val="affb"/>
          <w:u w:val="single"/>
          <w:lang w:val="en-US"/>
        </w:rPr>
        <w:instrText>WMCTG</w:instrText>
      </w:r>
      <w:r w:rsidR="0004027B" w:rsidRPr="00FE2263">
        <w:rPr>
          <w:rStyle w:val="affb"/>
          <w:u w:val="single"/>
        </w:rPr>
        <w:instrText xml:space="preserve"> </w:instrText>
      </w:r>
      <w:r w:rsidR="0004027B" w:rsidRPr="00FE2263">
        <w:rPr>
          <w:rStyle w:val="affb"/>
          <w:u w:val="single"/>
          <w:lang w:val="en-US"/>
        </w:rPr>
        <w:instrText>clinical</w:instrText>
      </w:r>
      <w:r w:rsidR="0004027B" w:rsidRPr="00FE2263">
        <w:rPr>
          <w:rStyle w:val="affb"/>
          <w:u w:val="single"/>
        </w:rPr>
        <w:instrText xml:space="preserve"> </w:instrText>
      </w:r>
      <w:r w:rsidR="0004027B" w:rsidRPr="00FE2263">
        <w:rPr>
          <w:rStyle w:val="affb"/>
          <w:u w:val="single"/>
          <w:lang w:val="en-US"/>
        </w:rPr>
        <w:instrText>trial</w:instrText>
      </w:r>
      <w:r w:rsidR="0004027B" w:rsidRPr="00FE2263">
        <w:rPr>
          <w:rStyle w:val="affb"/>
          <w:u w:val="single"/>
        </w:rPr>
        <w:instrText xml:space="preserve"> 05-180","</w:instrText>
      </w:r>
      <w:r w:rsidR="0004027B" w:rsidRPr="00FE2263">
        <w:rPr>
          <w:rStyle w:val="affb"/>
          <w:u w:val="single"/>
          <w:lang w:val="en-US"/>
        </w:rPr>
        <w:instrText>type</w:instrText>
      </w:r>
      <w:r w:rsidR="0004027B" w:rsidRPr="00FE2263">
        <w:rPr>
          <w:rStyle w:val="affb"/>
          <w:u w:val="single"/>
        </w:rPr>
        <w:instrText>":"</w:instrText>
      </w:r>
      <w:r w:rsidR="0004027B" w:rsidRPr="00FE2263">
        <w:rPr>
          <w:rStyle w:val="affb"/>
          <w:u w:val="single"/>
          <w:lang w:val="en-US"/>
        </w:rPr>
        <w:instrText>article</w:instrText>
      </w:r>
      <w:r w:rsidR="0004027B" w:rsidRPr="00FE2263">
        <w:rPr>
          <w:rStyle w:val="affb"/>
          <w:u w:val="single"/>
        </w:rPr>
        <w:instrText>-</w:instrText>
      </w:r>
      <w:r w:rsidR="0004027B" w:rsidRPr="00FE2263">
        <w:rPr>
          <w:rStyle w:val="affb"/>
          <w:u w:val="single"/>
          <w:lang w:val="en-US"/>
        </w:rPr>
        <w:instrText>journal</w:instrText>
      </w:r>
      <w:r w:rsidR="0004027B" w:rsidRPr="00FE2263">
        <w:rPr>
          <w:rStyle w:val="affb"/>
          <w:u w:val="single"/>
        </w:rPr>
        <w:instrText>","</w:instrText>
      </w:r>
      <w:r w:rsidR="0004027B" w:rsidRPr="00FE2263">
        <w:rPr>
          <w:rStyle w:val="affb"/>
          <w:u w:val="single"/>
          <w:lang w:val="en-US"/>
        </w:rPr>
        <w:instrText>volume</w:instrText>
      </w:r>
      <w:r w:rsidR="0004027B" w:rsidRPr="00FE2263">
        <w:rPr>
          <w:rStyle w:val="affb"/>
          <w:u w:val="single"/>
        </w:rPr>
        <w:instrText>":"27"},"</w:instrText>
      </w:r>
      <w:r w:rsidR="0004027B" w:rsidRPr="00FE2263">
        <w:rPr>
          <w:rStyle w:val="affb"/>
          <w:u w:val="single"/>
          <w:lang w:val="en-US"/>
        </w:rPr>
        <w:instrText>uris</w:instrText>
      </w:r>
      <w:r w:rsidR="0004027B" w:rsidRPr="00FE2263">
        <w:rPr>
          <w:rStyle w:val="affb"/>
          <w:u w:val="single"/>
        </w:rPr>
        <w:instrText>":["</w:instrText>
      </w:r>
      <w:r w:rsidR="0004027B" w:rsidRPr="00FE2263">
        <w:rPr>
          <w:rStyle w:val="affb"/>
          <w:u w:val="single"/>
          <w:lang w:val="en-US"/>
        </w:rPr>
        <w:instrText>http</w:instrText>
      </w:r>
      <w:r w:rsidR="0004027B" w:rsidRPr="00FE2263">
        <w:rPr>
          <w:rStyle w:val="affb"/>
          <w:u w:val="single"/>
        </w:rPr>
        <w:instrText>://</w:instrText>
      </w:r>
      <w:r w:rsidR="0004027B" w:rsidRPr="00FE2263">
        <w:rPr>
          <w:rStyle w:val="affb"/>
          <w:u w:val="single"/>
          <w:lang w:val="en-US"/>
        </w:rPr>
        <w:instrText>www</w:instrText>
      </w:r>
      <w:r w:rsidR="0004027B" w:rsidRPr="00FE2263">
        <w:rPr>
          <w:rStyle w:val="affb"/>
          <w:u w:val="single"/>
        </w:rPr>
        <w:instrText>.</w:instrText>
      </w:r>
      <w:r w:rsidR="0004027B" w:rsidRPr="00FE2263">
        <w:rPr>
          <w:rStyle w:val="affb"/>
          <w:u w:val="single"/>
          <w:lang w:val="en-US"/>
        </w:rPr>
        <w:instrText>mendeley</w:instrText>
      </w:r>
      <w:r w:rsidR="0004027B" w:rsidRPr="00FE2263">
        <w:rPr>
          <w:rStyle w:val="affb"/>
          <w:u w:val="single"/>
        </w:rPr>
        <w:instrText>.</w:instrText>
      </w:r>
      <w:r w:rsidR="0004027B" w:rsidRPr="00FE2263">
        <w:rPr>
          <w:rStyle w:val="affb"/>
          <w:u w:val="single"/>
          <w:lang w:val="en-US"/>
        </w:rPr>
        <w:instrText>com</w:instrText>
      </w:r>
      <w:r w:rsidR="0004027B" w:rsidRPr="00FE2263">
        <w:rPr>
          <w:rStyle w:val="affb"/>
          <w:u w:val="single"/>
        </w:rPr>
        <w:instrText>/</w:instrText>
      </w:r>
      <w:r w:rsidR="0004027B" w:rsidRPr="00FE2263">
        <w:rPr>
          <w:rStyle w:val="affb"/>
          <w:u w:val="single"/>
          <w:lang w:val="en-US"/>
        </w:rPr>
        <w:instrText>documents</w:instrText>
      </w:r>
      <w:r w:rsidR="0004027B" w:rsidRPr="00FE2263">
        <w:rPr>
          <w:rStyle w:val="affb"/>
          <w:u w:val="single"/>
        </w:rPr>
        <w:instrText>/?</w:instrText>
      </w:r>
      <w:r w:rsidR="0004027B" w:rsidRPr="00FE2263">
        <w:rPr>
          <w:rStyle w:val="affb"/>
          <w:u w:val="single"/>
          <w:lang w:val="en-US"/>
        </w:rPr>
        <w:instrText>uuid</w:instrText>
      </w:r>
      <w:r w:rsidR="0004027B" w:rsidRPr="00FE2263">
        <w:rPr>
          <w:rStyle w:val="affb"/>
          <w:u w:val="single"/>
        </w:rPr>
        <w:instrText>=50</w:instrText>
      </w:r>
      <w:r w:rsidR="0004027B" w:rsidRPr="00FE2263">
        <w:rPr>
          <w:rStyle w:val="affb"/>
          <w:u w:val="single"/>
          <w:lang w:val="en-US"/>
        </w:rPr>
        <w:instrText>a</w:instrText>
      </w:r>
      <w:r w:rsidR="0004027B" w:rsidRPr="00FE2263">
        <w:rPr>
          <w:rStyle w:val="affb"/>
          <w:u w:val="single"/>
        </w:rPr>
        <w:instrText>2</w:instrText>
      </w:r>
      <w:r w:rsidR="0004027B" w:rsidRPr="00FE2263">
        <w:rPr>
          <w:rStyle w:val="affb"/>
          <w:u w:val="single"/>
          <w:lang w:val="en-US"/>
        </w:rPr>
        <w:instrText>ce</w:instrText>
      </w:r>
      <w:r w:rsidR="0004027B" w:rsidRPr="00FE2263">
        <w:rPr>
          <w:rStyle w:val="affb"/>
          <w:u w:val="single"/>
        </w:rPr>
        <w:instrText>48-</w:instrText>
      </w:r>
      <w:r w:rsidR="0004027B" w:rsidRPr="00FE2263">
        <w:rPr>
          <w:rStyle w:val="affb"/>
          <w:u w:val="single"/>
          <w:lang w:val="en-US"/>
        </w:rPr>
        <w:instrText>f</w:instrText>
      </w:r>
      <w:r w:rsidR="0004027B" w:rsidRPr="00FE2263">
        <w:rPr>
          <w:rStyle w:val="affb"/>
          <w:u w:val="single"/>
        </w:rPr>
        <w:instrText>9</w:instrText>
      </w:r>
      <w:r w:rsidR="0004027B" w:rsidRPr="00FE2263">
        <w:rPr>
          <w:rStyle w:val="affb"/>
          <w:u w:val="single"/>
          <w:lang w:val="en-US"/>
        </w:rPr>
        <w:instrText>bf</w:instrText>
      </w:r>
      <w:r w:rsidR="0004027B" w:rsidRPr="00FE2263">
        <w:rPr>
          <w:rStyle w:val="affb"/>
          <w:u w:val="single"/>
        </w:rPr>
        <w:instrText>-36</w:instrText>
      </w:r>
      <w:r w:rsidR="0004027B" w:rsidRPr="00FE2263">
        <w:rPr>
          <w:rStyle w:val="affb"/>
          <w:u w:val="single"/>
          <w:lang w:val="en-US"/>
        </w:rPr>
        <w:instrText>fc</w:instrText>
      </w:r>
      <w:r w:rsidR="0004027B" w:rsidRPr="00FE2263">
        <w:rPr>
          <w:rStyle w:val="affb"/>
          <w:u w:val="single"/>
        </w:rPr>
        <w:instrText>-</w:instrText>
      </w:r>
      <w:r w:rsidR="0004027B" w:rsidRPr="00FE2263">
        <w:rPr>
          <w:rStyle w:val="affb"/>
          <w:u w:val="single"/>
          <w:lang w:val="en-US"/>
        </w:rPr>
        <w:instrText>a</w:instrText>
      </w:r>
      <w:r w:rsidR="0004027B" w:rsidRPr="00FE2263">
        <w:rPr>
          <w:rStyle w:val="affb"/>
          <w:u w:val="single"/>
        </w:rPr>
        <w:instrText>5</w:instrText>
      </w:r>
      <w:r w:rsidR="0004027B" w:rsidRPr="00FE2263">
        <w:rPr>
          <w:rStyle w:val="affb"/>
          <w:u w:val="single"/>
          <w:lang w:val="en-US"/>
        </w:rPr>
        <w:instrText>ec</w:instrText>
      </w:r>
      <w:r w:rsidR="0004027B" w:rsidRPr="00FE2263">
        <w:rPr>
          <w:rStyle w:val="affb"/>
          <w:u w:val="single"/>
        </w:rPr>
        <w:instrText>-34724</w:instrText>
      </w:r>
      <w:r w:rsidR="0004027B" w:rsidRPr="00FE2263">
        <w:rPr>
          <w:rStyle w:val="affb"/>
          <w:u w:val="single"/>
          <w:lang w:val="en-US"/>
        </w:rPr>
        <w:instrText>b</w:instrText>
      </w:r>
      <w:r w:rsidR="0004027B" w:rsidRPr="00FE2263">
        <w:rPr>
          <w:rStyle w:val="affb"/>
          <w:u w:val="single"/>
        </w:rPr>
        <w:instrText>6</w:instrText>
      </w:r>
      <w:r w:rsidR="0004027B" w:rsidRPr="00FE2263">
        <w:rPr>
          <w:rStyle w:val="affb"/>
          <w:u w:val="single"/>
          <w:lang w:val="en-US"/>
        </w:rPr>
        <w:instrText>fbca</w:instrText>
      </w:r>
      <w:r w:rsidR="0004027B" w:rsidRPr="00FE2263">
        <w:rPr>
          <w:rStyle w:val="affb"/>
          <w:u w:val="single"/>
        </w:rPr>
        <w:instrText>5"]}],"</w:instrText>
      </w:r>
      <w:r w:rsidR="0004027B" w:rsidRPr="00FE2263">
        <w:rPr>
          <w:rStyle w:val="affb"/>
          <w:u w:val="single"/>
          <w:lang w:val="en-US"/>
        </w:rPr>
        <w:instrText>mendeley</w:instrText>
      </w:r>
      <w:r w:rsidR="0004027B" w:rsidRPr="00FE2263">
        <w:rPr>
          <w:rStyle w:val="affb"/>
          <w:u w:val="single"/>
        </w:rPr>
        <w:instrText>":{"</w:instrText>
      </w:r>
      <w:r w:rsidR="0004027B" w:rsidRPr="00FE2263">
        <w:rPr>
          <w:rStyle w:val="affb"/>
          <w:u w:val="single"/>
          <w:lang w:val="en-US"/>
        </w:rPr>
        <w:instrText>formattedCitation</w:instrText>
      </w:r>
      <w:r w:rsidR="0004027B" w:rsidRPr="00FE2263">
        <w:rPr>
          <w:rStyle w:val="affb"/>
          <w:u w:val="single"/>
        </w:rPr>
        <w:instrText>":"[19]","</w:instrText>
      </w:r>
      <w:r w:rsidR="0004027B" w:rsidRPr="00FE2263">
        <w:rPr>
          <w:rStyle w:val="affb"/>
          <w:u w:val="single"/>
          <w:lang w:val="en-US"/>
        </w:rPr>
        <w:instrText>plainTextFormattedCitation</w:instrText>
      </w:r>
      <w:r w:rsidR="0004027B" w:rsidRPr="00FE2263">
        <w:rPr>
          <w:rStyle w:val="affb"/>
          <w:u w:val="single"/>
        </w:rPr>
        <w:instrText>":"[19]","</w:instrText>
      </w:r>
      <w:r w:rsidR="0004027B" w:rsidRPr="00FE2263">
        <w:rPr>
          <w:rStyle w:val="affb"/>
          <w:u w:val="single"/>
          <w:lang w:val="en-US"/>
        </w:rPr>
        <w:instrText>previouslyFormattedCitation</w:instrText>
      </w:r>
      <w:r w:rsidR="0004027B" w:rsidRPr="00FE2263">
        <w:rPr>
          <w:rStyle w:val="affb"/>
          <w:u w:val="single"/>
        </w:rPr>
        <w:instrText>":"[19]"},"</w:instrText>
      </w:r>
      <w:r w:rsidR="0004027B" w:rsidRPr="00FE2263">
        <w:rPr>
          <w:rStyle w:val="affb"/>
          <w:u w:val="single"/>
          <w:lang w:val="en-US"/>
        </w:rPr>
        <w:instrText>properties</w:instrText>
      </w:r>
      <w:r w:rsidR="0004027B" w:rsidRPr="00FE2263">
        <w:rPr>
          <w:rStyle w:val="affb"/>
          <w:u w:val="single"/>
        </w:rPr>
        <w:instrText>":{"</w:instrText>
      </w:r>
      <w:r w:rsidR="0004027B" w:rsidRPr="00FE2263">
        <w:rPr>
          <w:rStyle w:val="affb"/>
          <w:u w:val="single"/>
          <w:lang w:val="en-US"/>
        </w:rPr>
        <w:instrText>noteIndex</w:instrText>
      </w:r>
      <w:r w:rsidR="0004027B" w:rsidRPr="00FE2263">
        <w:rPr>
          <w:rStyle w:val="affb"/>
          <w:u w:val="single"/>
        </w:rPr>
        <w:instrText>":0},"</w:instrText>
      </w:r>
      <w:r w:rsidR="0004027B" w:rsidRPr="00FE2263">
        <w:rPr>
          <w:rStyle w:val="affb"/>
          <w:u w:val="single"/>
          <w:lang w:val="en-US"/>
        </w:rPr>
        <w:instrText>schema</w:instrText>
      </w:r>
      <w:r w:rsidR="0004027B" w:rsidRPr="00FE2263">
        <w:rPr>
          <w:rStyle w:val="affb"/>
          <w:u w:val="single"/>
        </w:rPr>
        <w:instrText>":"</w:instrText>
      </w:r>
      <w:r w:rsidR="0004027B" w:rsidRPr="00FE2263">
        <w:rPr>
          <w:rStyle w:val="affb"/>
          <w:u w:val="single"/>
          <w:lang w:val="en-US"/>
        </w:rPr>
        <w:instrText>https</w:instrText>
      </w:r>
      <w:r w:rsidR="0004027B" w:rsidRPr="00FE2263">
        <w:rPr>
          <w:rStyle w:val="affb"/>
          <w:u w:val="single"/>
        </w:rPr>
        <w:instrText>://</w:instrText>
      </w:r>
      <w:r w:rsidR="0004027B" w:rsidRPr="00FE2263">
        <w:rPr>
          <w:rStyle w:val="affb"/>
          <w:u w:val="single"/>
          <w:lang w:val="en-US"/>
        </w:rPr>
        <w:instrText>github</w:instrText>
      </w:r>
      <w:r w:rsidR="0004027B" w:rsidRPr="00FE2263">
        <w:rPr>
          <w:rStyle w:val="affb"/>
          <w:u w:val="single"/>
        </w:rPr>
        <w:instrText>.</w:instrText>
      </w:r>
      <w:r w:rsidR="0004027B" w:rsidRPr="00FE2263">
        <w:rPr>
          <w:rStyle w:val="affb"/>
          <w:u w:val="single"/>
          <w:lang w:val="en-US"/>
        </w:rPr>
        <w:instrText>com</w:instrText>
      </w:r>
      <w:r w:rsidR="0004027B" w:rsidRPr="00FE2263">
        <w:rPr>
          <w:rStyle w:val="affb"/>
          <w:u w:val="single"/>
        </w:rPr>
        <w:instrText>/</w:instrText>
      </w:r>
      <w:r w:rsidR="0004027B" w:rsidRPr="00FE2263">
        <w:rPr>
          <w:rStyle w:val="affb"/>
          <w:u w:val="single"/>
          <w:lang w:val="en-US"/>
        </w:rPr>
        <w:instrText>citation</w:instrText>
      </w:r>
      <w:r w:rsidR="0004027B" w:rsidRPr="00FE2263">
        <w:rPr>
          <w:rStyle w:val="affb"/>
          <w:u w:val="single"/>
        </w:rPr>
        <w:instrText>-</w:instrText>
      </w:r>
      <w:r w:rsidR="0004027B" w:rsidRPr="00FE2263">
        <w:rPr>
          <w:rStyle w:val="affb"/>
          <w:u w:val="single"/>
          <w:lang w:val="en-US"/>
        </w:rPr>
        <w:instrText>style</w:instrText>
      </w:r>
      <w:r w:rsidR="0004027B" w:rsidRPr="00FE2263">
        <w:rPr>
          <w:rStyle w:val="affb"/>
          <w:u w:val="single"/>
        </w:rPr>
        <w:instrText>-</w:instrText>
      </w:r>
      <w:r w:rsidR="0004027B" w:rsidRPr="00FE2263">
        <w:rPr>
          <w:rStyle w:val="affb"/>
          <w:u w:val="single"/>
          <w:lang w:val="en-US"/>
        </w:rPr>
        <w:instrText>language</w:instrText>
      </w:r>
      <w:r w:rsidR="0004027B" w:rsidRPr="00FE2263">
        <w:rPr>
          <w:rStyle w:val="affb"/>
          <w:u w:val="single"/>
        </w:rPr>
        <w:instrText>/</w:instrText>
      </w:r>
      <w:r w:rsidR="0004027B" w:rsidRPr="00FE2263">
        <w:rPr>
          <w:rStyle w:val="affb"/>
          <w:u w:val="single"/>
          <w:lang w:val="en-US"/>
        </w:rPr>
        <w:instrText>schema</w:instrText>
      </w:r>
      <w:r w:rsidR="0004027B" w:rsidRPr="00FE2263">
        <w:rPr>
          <w:rStyle w:val="affb"/>
          <w:u w:val="single"/>
        </w:rPr>
        <w:instrText>/</w:instrText>
      </w:r>
      <w:r w:rsidR="0004027B" w:rsidRPr="00FE2263">
        <w:rPr>
          <w:rStyle w:val="affb"/>
          <w:u w:val="single"/>
          <w:lang w:val="en-US"/>
        </w:rPr>
        <w:instrText>raw</w:instrText>
      </w:r>
      <w:r w:rsidR="0004027B" w:rsidRPr="00FE2263">
        <w:rPr>
          <w:rStyle w:val="affb"/>
          <w:u w:val="single"/>
        </w:rPr>
        <w:instrText>/</w:instrText>
      </w:r>
      <w:r w:rsidR="0004027B" w:rsidRPr="00FE2263">
        <w:rPr>
          <w:rStyle w:val="affb"/>
          <w:u w:val="single"/>
          <w:lang w:val="en-US"/>
        </w:rPr>
        <w:instrText>master</w:instrText>
      </w:r>
      <w:r w:rsidR="0004027B" w:rsidRPr="00FE2263">
        <w:rPr>
          <w:rStyle w:val="affb"/>
          <w:u w:val="single"/>
        </w:rPr>
        <w:instrText>/</w:instrText>
      </w:r>
      <w:r w:rsidR="0004027B" w:rsidRPr="00FE2263">
        <w:rPr>
          <w:rStyle w:val="affb"/>
          <w:u w:val="single"/>
          <w:lang w:val="en-US"/>
        </w:rPr>
        <w:instrText>csl</w:instrText>
      </w:r>
      <w:r w:rsidR="0004027B" w:rsidRPr="00FE2263">
        <w:rPr>
          <w:rStyle w:val="affb"/>
          <w:u w:val="single"/>
        </w:rPr>
        <w:instrText>-</w:instrText>
      </w:r>
      <w:r w:rsidR="0004027B" w:rsidRPr="00FE2263">
        <w:rPr>
          <w:rStyle w:val="affb"/>
          <w:u w:val="single"/>
          <w:lang w:val="en-US"/>
        </w:rPr>
        <w:instrText>citation</w:instrText>
      </w:r>
      <w:r w:rsidR="0004027B" w:rsidRPr="00FE2263">
        <w:rPr>
          <w:rStyle w:val="affb"/>
          <w:u w:val="single"/>
        </w:rPr>
        <w:instrText>.</w:instrText>
      </w:r>
      <w:r w:rsidR="0004027B" w:rsidRPr="00FE2263">
        <w:rPr>
          <w:rStyle w:val="affb"/>
          <w:u w:val="single"/>
          <w:lang w:val="en-US"/>
        </w:rPr>
        <w:instrText>json</w:instrText>
      </w:r>
      <w:r w:rsidR="0004027B" w:rsidRPr="00FE2263">
        <w:rPr>
          <w:rStyle w:val="affb"/>
          <w:u w:val="single"/>
        </w:rPr>
        <w:instrText>"}</w:instrText>
      </w:r>
      <w:r w:rsidR="00FA741B" w:rsidRPr="00FE2263">
        <w:rPr>
          <w:rStyle w:val="affb"/>
          <w:u w:val="single"/>
          <w:lang w:val="en-US"/>
        </w:rPr>
        <w:fldChar w:fldCharType="separate"/>
      </w:r>
      <w:r w:rsidR="00FA741B" w:rsidRPr="00FE2263">
        <w:rPr>
          <w:rStyle w:val="affb"/>
          <w:b w:val="0"/>
          <w:noProof/>
        </w:rPr>
        <w:t>[19]</w:t>
      </w:r>
      <w:r w:rsidR="00FA741B" w:rsidRPr="00FE2263">
        <w:rPr>
          <w:rStyle w:val="affb"/>
          <w:u w:val="single"/>
          <w:lang w:val="en-US"/>
        </w:rPr>
        <w:fldChar w:fldCharType="end"/>
      </w:r>
    </w:p>
    <w:p w14:paraId="3A68F5E9" w14:textId="77777777" w:rsidR="00B16138" w:rsidRPr="00FE2263" w:rsidRDefault="00B16138" w:rsidP="0070759B">
      <w:pPr>
        <w:pStyle w:val="afd"/>
        <w:spacing w:beforeAutospacing="0" w:afterAutospacing="0" w:line="360" w:lineRule="auto"/>
      </w:pPr>
      <w:r w:rsidRPr="00FE2263">
        <w:t>Бортезомиб** – 1,3 мг/м</w:t>
      </w:r>
      <w:r w:rsidRPr="00FE2263">
        <w:rPr>
          <w:vertAlign w:val="superscript"/>
        </w:rPr>
        <w:t>2</w:t>
      </w:r>
      <w:r w:rsidRPr="00FE2263">
        <w:t xml:space="preserve"> в/в или п/к, дни 1, 4, 8, 11</w:t>
      </w:r>
    </w:p>
    <w:p w14:paraId="67AEC5EE" w14:textId="77777777" w:rsidR="00B16138" w:rsidRPr="00FE2263" w:rsidRDefault="00B16138" w:rsidP="0070759B">
      <w:pPr>
        <w:pStyle w:val="afd"/>
        <w:spacing w:beforeAutospacing="0" w:afterAutospacing="0" w:line="360" w:lineRule="auto"/>
      </w:pPr>
      <w:r w:rsidRPr="00FE2263">
        <w:t>Дексаметазон** – 40 мг в/в, дни 1, 4, 8, 11</w:t>
      </w:r>
    </w:p>
    <w:p w14:paraId="36EC36F2" w14:textId="77777777" w:rsidR="00B16138" w:rsidRPr="00FE2263" w:rsidRDefault="00B16138" w:rsidP="0070759B">
      <w:pPr>
        <w:pStyle w:val="afd"/>
        <w:spacing w:beforeAutospacing="0" w:afterAutospacing="0" w:line="360" w:lineRule="auto"/>
      </w:pPr>
      <w:r w:rsidRPr="00FE2263">
        <w:t>Ритуксимаб** – 375 мг/м</w:t>
      </w:r>
      <w:r w:rsidRPr="00FE2263">
        <w:rPr>
          <w:vertAlign w:val="superscript"/>
        </w:rPr>
        <w:t>2</w:t>
      </w:r>
      <w:r w:rsidRPr="00FE2263">
        <w:t xml:space="preserve"> в/в, день 11</w:t>
      </w:r>
    </w:p>
    <w:p w14:paraId="1F04A294" w14:textId="77777777" w:rsidR="00B16138" w:rsidRPr="00FE2263" w:rsidRDefault="00B16138" w:rsidP="00C46D62">
      <w:pPr>
        <w:pStyle w:val="afd"/>
        <w:spacing w:beforeAutospacing="0" w:afterAutospacing="0" w:line="360" w:lineRule="auto"/>
      </w:pPr>
      <w:r w:rsidRPr="00FE2263">
        <w:t>Лечение возобновляется на 22-й день (первые 4 курса), далее проводится 1 раз в 12 нед. (дополнительно 4 курса)</w:t>
      </w:r>
    </w:p>
    <w:p w14:paraId="0FDDD83E" w14:textId="466457E8" w:rsidR="00B16138" w:rsidRPr="00FE2263" w:rsidRDefault="00B16138" w:rsidP="0010608C">
      <w:pPr>
        <w:pStyle w:val="afd"/>
        <w:numPr>
          <w:ilvl w:val="0"/>
          <w:numId w:val="14"/>
        </w:numPr>
        <w:spacing w:beforeAutospacing="0" w:afterAutospacing="0" w:line="360" w:lineRule="auto"/>
        <w:jc w:val="left"/>
      </w:pPr>
      <w:r w:rsidRPr="00FE2263">
        <w:rPr>
          <w:rStyle w:val="affb"/>
          <w:u w:val="single"/>
        </w:rPr>
        <w:t>RCD</w:t>
      </w:r>
      <w:r w:rsidR="0004027B" w:rsidRPr="00FE2263">
        <w:rPr>
          <w:rStyle w:val="affb"/>
          <w:u w:val="single"/>
        </w:rPr>
        <w:t xml:space="preserve"> </w:t>
      </w:r>
      <w:r w:rsidR="0004027B" w:rsidRPr="00FE2263">
        <w:rPr>
          <w:rStyle w:val="affb"/>
          <w:u w:val="single"/>
          <w:lang w:val="en-US"/>
        </w:rPr>
        <w:fldChar w:fldCharType="begin" w:fldLock="1"/>
      </w:r>
      <w:r w:rsidR="0004027B" w:rsidRPr="00FE2263">
        <w:rPr>
          <w:rStyle w:val="affb"/>
          <w:u w:val="single"/>
          <w:lang w:val="en-US"/>
        </w:rPr>
        <w:instrText>ADDIN</w:instrText>
      </w:r>
      <w:r w:rsidR="0004027B" w:rsidRPr="00FE2263">
        <w:rPr>
          <w:rStyle w:val="affb"/>
          <w:u w:val="single"/>
        </w:rPr>
        <w:instrText xml:space="preserve"> </w:instrText>
      </w:r>
      <w:r w:rsidR="0004027B" w:rsidRPr="00FE2263">
        <w:rPr>
          <w:rStyle w:val="affb"/>
          <w:u w:val="single"/>
          <w:lang w:val="en-US"/>
        </w:rPr>
        <w:instrText>CSL</w:instrText>
      </w:r>
      <w:r w:rsidR="0004027B" w:rsidRPr="00FE2263">
        <w:rPr>
          <w:rStyle w:val="affb"/>
          <w:u w:val="single"/>
        </w:rPr>
        <w:instrText>_</w:instrText>
      </w:r>
      <w:r w:rsidR="0004027B" w:rsidRPr="00FE2263">
        <w:rPr>
          <w:rStyle w:val="affb"/>
          <w:u w:val="single"/>
          <w:lang w:val="en-US"/>
        </w:rPr>
        <w:instrText>CITATION</w:instrText>
      </w:r>
      <w:r w:rsidR="0004027B" w:rsidRPr="00FE2263">
        <w:rPr>
          <w:rStyle w:val="affb"/>
          <w:u w:val="single"/>
        </w:rPr>
        <w:instrText xml:space="preserve"> {"</w:instrText>
      </w:r>
      <w:r w:rsidR="0004027B" w:rsidRPr="00FE2263">
        <w:rPr>
          <w:rStyle w:val="affb"/>
          <w:u w:val="single"/>
          <w:lang w:val="en-US"/>
        </w:rPr>
        <w:instrText>citationItems</w:instrText>
      </w:r>
      <w:r w:rsidR="0004027B" w:rsidRPr="00FE2263">
        <w:rPr>
          <w:rStyle w:val="affb"/>
          <w:u w:val="single"/>
        </w:rPr>
        <w:instrText>":[{"</w:instrText>
      </w:r>
      <w:r w:rsidR="0004027B" w:rsidRPr="00FE2263">
        <w:rPr>
          <w:rStyle w:val="affb"/>
          <w:u w:val="single"/>
          <w:lang w:val="en-US"/>
        </w:rPr>
        <w:instrText>id</w:instrText>
      </w:r>
      <w:r w:rsidR="0004027B" w:rsidRPr="00FE2263">
        <w:rPr>
          <w:rStyle w:val="affb"/>
          <w:u w:val="single"/>
        </w:rPr>
        <w:instrText>":"</w:instrText>
      </w:r>
      <w:r w:rsidR="0004027B" w:rsidRPr="00FE2263">
        <w:rPr>
          <w:rStyle w:val="affb"/>
          <w:u w:val="single"/>
          <w:lang w:val="en-US"/>
        </w:rPr>
        <w:instrText>ITEM</w:instrText>
      </w:r>
      <w:r w:rsidR="0004027B" w:rsidRPr="00FE2263">
        <w:rPr>
          <w:rStyle w:val="affb"/>
          <w:u w:val="single"/>
        </w:rPr>
        <w:instrText>-1","</w:instrText>
      </w:r>
      <w:r w:rsidR="0004027B" w:rsidRPr="00FE2263">
        <w:rPr>
          <w:rStyle w:val="affb"/>
          <w:u w:val="single"/>
          <w:lang w:val="en-US"/>
        </w:rPr>
        <w:instrText>itemData</w:instrText>
      </w:r>
      <w:r w:rsidR="0004027B" w:rsidRPr="00FE2263">
        <w:rPr>
          <w:rStyle w:val="affb"/>
          <w:u w:val="single"/>
        </w:rPr>
        <w:instrText>":{"</w:instrText>
      </w:r>
      <w:r w:rsidR="0004027B" w:rsidRPr="00FE2263">
        <w:rPr>
          <w:rStyle w:val="affb"/>
          <w:u w:val="single"/>
          <w:lang w:val="en-US"/>
        </w:rPr>
        <w:instrText>DOI</w:instrText>
      </w:r>
      <w:r w:rsidR="0004027B" w:rsidRPr="00FE2263">
        <w:rPr>
          <w:rStyle w:val="affb"/>
          <w:u w:val="single"/>
        </w:rPr>
        <w:instrText>":"10.1200/</w:instrText>
      </w:r>
      <w:r w:rsidR="0004027B" w:rsidRPr="00FE2263">
        <w:rPr>
          <w:rStyle w:val="affb"/>
          <w:u w:val="single"/>
          <w:lang w:val="en-US"/>
        </w:rPr>
        <w:instrText>JCO</w:instrText>
      </w:r>
      <w:r w:rsidR="0004027B" w:rsidRPr="00FE2263">
        <w:rPr>
          <w:rStyle w:val="affb"/>
          <w:u w:val="single"/>
        </w:rPr>
        <w:instrText>.2007.10.9926","</w:instrText>
      </w:r>
      <w:r w:rsidR="0004027B" w:rsidRPr="00FE2263">
        <w:rPr>
          <w:rStyle w:val="affb"/>
          <w:u w:val="single"/>
          <w:lang w:val="en-US"/>
        </w:rPr>
        <w:instrText>ISSN</w:instrText>
      </w:r>
      <w:r w:rsidR="0004027B" w:rsidRPr="00FE2263">
        <w:rPr>
          <w:rStyle w:val="affb"/>
          <w:u w:val="single"/>
        </w:rPr>
        <w:instrText>":"0732183</w:instrText>
      </w:r>
      <w:r w:rsidR="0004027B" w:rsidRPr="00FE2263">
        <w:rPr>
          <w:rStyle w:val="affb"/>
          <w:u w:val="single"/>
          <w:lang w:val="en-US"/>
        </w:rPr>
        <w:instrText>X</w:instrText>
      </w:r>
      <w:r w:rsidR="0004027B" w:rsidRPr="00FE2263">
        <w:rPr>
          <w:rStyle w:val="affb"/>
          <w:u w:val="single"/>
        </w:rPr>
        <w:instrText>","</w:instrText>
      </w:r>
      <w:r w:rsidR="0004027B" w:rsidRPr="00FE2263">
        <w:rPr>
          <w:rStyle w:val="affb"/>
          <w:u w:val="single"/>
          <w:lang w:val="en-US"/>
        </w:rPr>
        <w:instrText>abstract</w:instrText>
      </w:r>
      <w:r w:rsidR="0004027B" w:rsidRPr="00FE2263">
        <w:rPr>
          <w:rStyle w:val="affb"/>
          <w:u w:val="single"/>
        </w:rPr>
        <w:instrText>":"</w:instrText>
      </w:r>
      <w:r w:rsidR="0004027B" w:rsidRPr="00FE2263">
        <w:rPr>
          <w:rStyle w:val="affb"/>
          <w:u w:val="single"/>
          <w:lang w:val="en-US"/>
        </w:rPr>
        <w:instrText>Purpose</w:instrText>
      </w:r>
      <w:r w:rsidR="0004027B" w:rsidRPr="00FE2263">
        <w:rPr>
          <w:rStyle w:val="affb"/>
          <w:u w:val="single"/>
        </w:rPr>
        <w:instrText xml:space="preserve">: </w:instrText>
      </w:r>
      <w:r w:rsidR="0004027B" w:rsidRPr="00FE2263">
        <w:rPr>
          <w:rStyle w:val="affb"/>
          <w:u w:val="single"/>
          <w:lang w:val="en-US"/>
        </w:rPr>
        <w:instrText>Alkylating</w:instrText>
      </w:r>
      <w:r w:rsidR="0004027B" w:rsidRPr="00FE2263">
        <w:rPr>
          <w:rStyle w:val="affb"/>
          <w:u w:val="single"/>
        </w:rPr>
        <w:instrText xml:space="preserve"> </w:instrText>
      </w:r>
      <w:r w:rsidR="0004027B" w:rsidRPr="00FE2263">
        <w:rPr>
          <w:rStyle w:val="affb"/>
          <w:u w:val="single"/>
          <w:lang w:val="en-US"/>
        </w:rPr>
        <w:instrText>agents</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anti</w:instrText>
      </w:r>
      <w:r w:rsidR="0004027B" w:rsidRPr="00FE2263">
        <w:rPr>
          <w:rStyle w:val="affb"/>
          <w:u w:val="single"/>
        </w:rPr>
        <w:instrText>-</w:instrText>
      </w:r>
      <w:r w:rsidR="0004027B" w:rsidRPr="00FE2263">
        <w:rPr>
          <w:rStyle w:val="affb"/>
          <w:u w:val="single"/>
          <w:lang w:val="en-US"/>
        </w:rPr>
        <w:instrText>CD</w:instrText>
      </w:r>
      <w:r w:rsidR="0004027B" w:rsidRPr="00FE2263">
        <w:rPr>
          <w:rStyle w:val="affb"/>
          <w:u w:val="single"/>
        </w:rPr>
        <w:instrText xml:space="preserve">20 </w:instrText>
      </w:r>
      <w:r w:rsidR="0004027B" w:rsidRPr="00FE2263">
        <w:rPr>
          <w:rStyle w:val="affb"/>
          <w:u w:val="single"/>
          <w:lang w:val="en-US"/>
        </w:rPr>
        <w:instrText>monoclonal</w:instrText>
      </w:r>
      <w:r w:rsidR="0004027B" w:rsidRPr="00FE2263">
        <w:rPr>
          <w:rStyle w:val="affb"/>
          <w:u w:val="single"/>
        </w:rPr>
        <w:instrText xml:space="preserve"> </w:instrText>
      </w:r>
      <w:r w:rsidR="0004027B" w:rsidRPr="00FE2263">
        <w:rPr>
          <w:rStyle w:val="affb"/>
          <w:u w:val="single"/>
          <w:lang w:val="en-US"/>
        </w:rPr>
        <w:instrText>antibody</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w:instrText>
      </w:r>
      <w:r w:rsidR="0004027B" w:rsidRPr="00FE2263">
        <w:rPr>
          <w:rStyle w:val="affb"/>
          <w:u w:val="single"/>
          <w:lang w:val="en-US"/>
        </w:rPr>
        <w:instrText>are</w:instrText>
      </w:r>
      <w:r w:rsidR="0004027B" w:rsidRPr="00FE2263">
        <w:rPr>
          <w:rStyle w:val="affb"/>
          <w:u w:val="single"/>
        </w:rPr>
        <w:instrText xml:space="preserve"> </w:instrText>
      </w:r>
      <w:r w:rsidR="0004027B" w:rsidRPr="00FE2263">
        <w:rPr>
          <w:rStyle w:val="affb"/>
          <w:u w:val="single"/>
          <w:lang w:val="en-US"/>
        </w:rPr>
        <w:instrText>among</w:instrText>
      </w:r>
      <w:r w:rsidR="0004027B" w:rsidRPr="00FE2263">
        <w:rPr>
          <w:rStyle w:val="affb"/>
          <w:u w:val="single"/>
        </w:rPr>
        <w:instrText xml:space="preserve"> </w:instrText>
      </w:r>
      <w:r w:rsidR="0004027B" w:rsidRPr="00FE2263">
        <w:rPr>
          <w:rStyle w:val="affb"/>
          <w:u w:val="single"/>
          <w:lang w:val="en-US"/>
        </w:rPr>
        <w:instrText>appropriate</w:instrText>
      </w:r>
      <w:r w:rsidR="0004027B" w:rsidRPr="00FE2263">
        <w:rPr>
          <w:rStyle w:val="affb"/>
          <w:u w:val="single"/>
        </w:rPr>
        <w:instrText xml:space="preserve"> </w:instrText>
      </w:r>
      <w:r w:rsidR="0004027B" w:rsidRPr="00FE2263">
        <w:rPr>
          <w:rStyle w:val="affb"/>
          <w:u w:val="single"/>
          <w:lang w:val="en-US"/>
        </w:rPr>
        <w:instrText>choices</w:instrText>
      </w:r>
      <w:r w:rsidR="0004027B" w:rsidRPr="00FE2263">
        <w:rPr>
          <w:rStyle w:val="affb"/>
          <w:u w:val="single"/>
        </w:rPr>
        <w:instrText xml:space="preserve"> </w:instrText>
      </w:r>
      <w:r w:rsidR="0004027B" w:rsidRPr="00FE2263">
        <w:rPr>
          <w:rStyle w:val="affb"/>
          <w:u w:val="single"/>
          <w:lang w:val="en-US"/>
        </w:rPr>
        <w:instrText>for</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primary</w:instrText>
      </w:r>
      <w:r w:rsidR="0004027B" w:rsidRPr="00FE2263">
        <w:rPr>
          <w:rStyle w:val="affb"/>
          <w:u w:val="single"/>
        </w:rPr>
        <w:instrText xml:space="preserve"> </w:instrText>
      </w:r>
      <w:r w:rsidR="0004027B" w:rsidRPr="00FE2263">
        <w:rPr>
          <w:rStyle w:val="affb"/>
          <w:u w:val="single"/>
          <w:lang w:val="en-US"/>
        </w:rPr>
        <w:instrText>treatment</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symptomatic</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with</w:instrText>
      </w:r>
      <w:r w:rsidR="0004027B" w:rsidRPr="00FE2263">
        <w:rPr>
          <w:rStyle w:val="affb"/>
          <w:u w:val="single"/>
        </w:rPr>
        <w:instrText xml:space="preserve"> </w:instrText>
      </w:r>
      <w:r w:rsidR="0004027B" w:rsidRPr="00FE2263">
        <w:rPr>
          <w:rStyle w:val="affb"/>
          <w:u w:val="single"/>
          <w:lang w:val="en-US"/>
        </w:rPr>
        <w:instrText>Waldenstr</w:instrText>
      </w:r>
      <w:r w:rsidR="0004027B" w:rsidRPr="00FE2263">
        <w:rPr>
          <w:rStyle w:val="affb"/>
          <w:u w:val="single"/>
        </w:rPr>
        <w:instrText>ö</w:instrText>
      </w:r>
      <w:r w:rsidR="0004027B" w:rsidRPr="00FE2263">
        <w:rPr>
          <w:rStyle w:val="affb"/>
          <w:u w:val="single"/>
          <w:lang w:val="en-US"/>
        </w:rPr>
        <w:instrText>m</w:instrText>
      </w:r>
      <w:r w:rsidR="0004027B" w:rsidRPr="00FE2263">
        <w:rPr>
          <w:rStyle w:val="affb"/>
          <w:u w:val="single"/>
        </w:rPr>
        <w:instrText xml:space="preserve"> </w:instrText>
      </w:r>
      <w:r w:rsidR="0004027B" w:rsidRPr="00FE2263">
        <w:rPr>
          <w:rStyle w:val="affb"/>
          <w:u w:val="single"/>
          <w:lang w:val="en-US"/>
        </w:rPr>
        <w:instrText>macroglobulinemia</w:instrText>
      </w:r>
      <w:r w:rsidR="0004027B" w:rsidRPr="00FE2263">
        <w:rPr>
          <w:rStyle w:val="affb"/>
          <w:u w:val="single"/>
        </w:rPr>
        <w:instrText xml:space="preserve"> (</w:instrText>
      </w:r>
      <w:r w:rsidR="0004027B" w:rsidRPr="00FE2263">
        <w:rPr>
          <w:rStyle w:val="affb"/>
          <w:u w:val="single"/>
          <w:lang w:val="en-US"/>
        </w:rPr>
        <w:instrText>WM</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they</w:instrText>
      </w:r>
      <w:r w:rsidR="0004027B" w:rsidRPr="00FE2263">
        <w:rPr>
          <w:rStyle w:val="affb"/>
          <w:u w:val="single"/>
        </w:rPr>
        <w:instrText xml:space="preserve"> </w:instrText>
      </w:r>
      <w:r w:rsidR="0004027B" w:rsidRPr="00FE2263">
        <w:rPr>
          <w:rStyle w:val="affb"/>
          <w:u w:val="single"/>
          <w:lang w:val="en-US"/>
        </w:rPr>
        <w:instrText>induce</w:instrText>
      </w:r>
      <w:r w:rsidR="0004027B" w:rsidRPr="00FE2263">
        <w:rPr>
          <w:rStyle w:val="affb"/>
          <w:u w:val="single"/>
        </w:rPr>
        <w:instrText xml:space="preserve"> </w:instrText>
      </w:r>
      <w:r w:rsidR="0004027B" w:rsidRPr="00FE2263">
        <w:rPr>
          <w:rStyle w:val="affb"/>
          <w:u w:val="single"/>
          <w:lang w:val="en-US"/>
        </w:rPr>
        <w:instrText>at</w:instrText>
      </w:r>
      <w:r w:rsidR="0004027B" w:rsidRPr="00FE2263">
        <w:rPr>
          <w:rStyle w:val="affb"/>
          <w:u w:val="single"/>
        </w:rPr>
        <w:instrText xml:space="preserve"> </w:instrText>
      </w:r>
      <w:r w:rsidR="0004027B" w:rsidRPr="00FE2263">
        <w:rPr>
          <w:rStyle w:val="affb"/>
          <w:u w:val="single"/>
          <w:lang w:val="en-US"/>
        </w:rPr>
        <w:instrText>least</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partial</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in</w:instrText>
      </w:r>
      <w:r w:rsidR="0004027B" w:rsidRPr="00FE2263">
        <w:rPr>
          <w:rStyle w:val="affb"/>
          <w:u w:val="single"/>
        </w:rPr>
        <w:instrText xml:space="preserve"> 30% </w:instrText>
      </w:r>
      <w:r w:rsidR="0004027B" w:rsidRPr="00FE2263">
        <w:rPr>
          <w:rStyle w:val="affb"/>
          <w:u w:val="single"/>
          <w:lang w:val="en-US"/>
        </w:rPr>
        <w:instrText>to</w:instrText>
      </w:r>
      <w:r w:rsidR="0004027B" w:rsidRPr="00FE2263">
        <w:rPr>
          <w:rStyle w:val="affb"/>
          <w:u w:val="single"/>
        </w:rPr>
        <w:instrText xml:space="preserve"> 50%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To</w:instrText>
      </w:r>
      <w:r w:rsidR="0004027B" w:rsidRPr="00FE2263">
        <w:rPr>
          <w:rStyle w:val="affb"/>
          <w:u w:val="single"/>
        </w:rPr>
        <w:instrText xml:space="preserve"> </w:instrText>
      </w:r>
      <w:r w:rsidR="0004027B" w:rsidRPr="00FE2263">
        <w:rPr>
          <w:rStyle w:val="affb"/>
          <w:u w:val="single"/>
          <w:lang w:val="en-US"/>
        </w:rPr>
        <w:instrText>improve</w:instrText>
      </w:r>
      <w:r w:rsidR="0004027B" w:rsidRPr="00FE2263">
        <w:rPr>
          <w:rStyle w:val="affb"/>
          <w:u w:val="single"/>
        </w:rPr>
        <w:instrText xml:space="preserve"> </w:instrText>
      </w:r>
      <w:r w:rsidR="0004027B" w:rsidRPr="00FE2263">
        <w:rPr>
          <w:rStyle w:val="affb"/>
          <w:u w:val="single"/>
          <w:lang w:val="en-US"/>
        </w:rPr>
        <w:instrText>these</w:instrText>
      </w:r>
      <w:r w:rsidR="0004027B" w:rsidRPr="00FE2263">
        <w:rPr>
          <w:rStyle w:val="affb"/>
          <w:u w:val="single"/>
        </w:rPr>
        <w:instrText xml:space="preserve"> </w:instrText>
      </w:r>
      <w:r w:rsidR="0004027B" w:rsidRPr="00FE2263">
        <w:rPr>
          <w:rStyle w:val="affb"/>
          <w:u w:val="single"/>
          <w:lang w:val="en-US"/>
        </w:rPr>
        <w:instrText>results</w:instrText>
      </w:r>
      <w:r w:rsidR="0004027B" w:rsidRPr="00FE2263">
        <w:rPr>
          <w:rStyle w:val="affb"/>
          <w:u w:val="single"/>
        </w:rPr>
        <w:instrText xml:space="preserve">, </w:instrText>
      </w:r>
      <w:r w:rsidR="0004027B" w:rsidRPr="00FE2263">
        <w:rPr>
          <w:rStyle w:val="affb"/>
          <w:u w:val="single"/>
          <w:lang w:val="en-US"/>
        </w:rPr>
        <w:instrText>we</w:instrText>
      </w:r>
      <w:r w:rsidR="0004027B" w:rsidRPr="00FE2263">
        <w:rPr>
          <w:rStyle w:val="affb"/>
          <w:u w:val="single"/>
        </w:rPr>
        <w:instrText xml:space="preserve"> </w:instrText>
      </w:r>
      <w:r w:rsidR="0004027B" w:rsidRPr="00FE2263">
        <w:rPr>
          <w:rStyle w:val="affb"/>
          <w:u w:val="single"/>
          <w:lang w:val="en-US"/>
        </w:rPr>
        <w:instrText>designed</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phase</w:instrText>
      </w:r>
      <w:r w:rsidR="0004027B" w:rsidRPr="00FE2263">
        <w:rPr>
          <w:rStyle w:val="affb"/>
          <w:u w:val="single"/>
        </w:rPr>
        <w:instrText xml:space="preserve"> </w:instrText>
      </w:r>
      <w:r w:rsidR="0004027B" w:rsidRPr="00FE2263">
        <w:rPr>
          <w:rStyle w:val="affb"/>
          <w:u w:val="single"/>
          <w:lang w:val="en-US"/>
        </w:rPr>
        <w:instrText>II</w:instrText>
      </w:r>
      <w:r w:rsidR="0004027B" w:rsidRPr="00FE2263">
        <w:rPr>
          <w:rStyle w:val="affb"/>
          <w:u w:val="single"/>
        </w:rPr>
        <w:instrText xml:space="preserve"> </w:instrText>
      </w:r>
      <w:r w:rsidR="0004027B" w:rsidRPr="00FE2263">
        <w:rPr>
          <w:rStyle w:val="affb"/>
          <w:u w:val="single"/>
          <w:lang w:val="en-US"/>
        </w:rPr>
        <w:instrText>study</w:instrText>
      </w:r>
      <w:r w:rsidR="0004027B" w:rsidRPr="00FE2263">
        <w:rPr>
          <w:rStyle w:val="affb"/>
          <w:u w:val="single"/>
        </w:rPr>
        <w:instrText xml:space="preserve"> </w:instrText>
      </w:r>
      <w:r w:rsidR="0004027B" w:rsidRPr="00FE2263">
        <w:rPr>
          <w:rStyle w:val="affb"/>
          <w:u w:val="single"/>
          <w:lang w:val="en-US"/>
        </w:rPr>
        <w:instrText>that</w:instrText>
      </w:r>
      <w:r w:rsidR="0004027B" w:rsidRPr="00FE2263">
        <w:rPr>
          <w:rStyle w:val="affb"/>
          <w:u w:val="single"/>
        </w:rPr>
        <w:instrText xml:space="preserve"> </w:instrText>
      </w:r>
      <w:r w:rsidR="0004027B" w:rsidRPr="00FE2263">
        <w:rPr>
          <w:rStyle w:val="affb"/>
          <w:u w:val="single"/>
          <w:lang w:val="en-US"/>
        </w:rPr>
        <w:instrText>included</w:instrText>
      </w:r>
      <w:r w:rsidR="0004027B" w:rsidRPr="00FE2263">
        <w:rPr>
          <w:rStyle w:val="affb"/>
          <w:u w:val="single"/>
        </w:rPr>
        <w:instrText xml:space="preserve"> </w:instrText>
      </w:r>
      <w:r w:rsidR="0004027B" w:rsidRPr="00FE2263">
        <w:rPr>
          <w:rStyle w:val="affb"/>
          <w:u w:val="single"/>
          <w:lang w:val="en-US"/>
        </w:rPr>
        <w:instrText>previously</w:instrText>
      </w:r>
      <w:r w:rsidR="0004027B" w:rsidRPr="00FE2263">
        <w:rPr>
          <w:rStyle w:val="affb"/>
          <w:u w:val="single"/>
        </w:rPr>
        <w:instrText xml:space="preserve"> </w:instrText>
      </w:r>
      <w:r w:rsidR="0004027B" w:rsidRPr="00FE2263">
        <w:rPr>
          <w:rStyle w:val="affb"/>
          <w:u w:val="single"/>
          <w:lang w:val="en-US"/>
        </w:rPr>
        <w:instrText>untreated</w:instrText>
      </w:r>
      <w:r w:rsidR="0004027B" w:rsidRPr="00FE2263">
        <w:rPr>
          <w:rStyle w:val="affb"/>
          <w:u w:val="single"/>
        </w:rPr>
        <w:instrText xml:space="preserve"> </w:instrText>
      </w:r>
      <w:r w:rsidR="0004027B" w:rsidRPr="00FE2263">
        <w:rPr>
          <w:rStyle w:val="affb"/>
          <w:u w:val="single"/>
          <w:lang w:val="en-US"/>
        </w:rPr>
        <w:instrText>symptomatic</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with</w:instrText>
      </w:r>
      <w:r w:rsidR="0004027B" w:rsidRPr="00FE2263">
        <w:rPr>
          <w:rStyle w:val="affb"/>
          <w:u w:val="single"/>
        </w:rPr>
        <w:instrText xml:space="preserve"> </w:instrText>
      </w:r>
      <w:r w:rsidR="0004027B" w:rsidRPr="00FE2263">
        <w:rPr>
          <w:rStyle w:val="affb"/>
          <w:u w:val="single"/>
          <w:lang w:val="en-US"/>
        </w:rPr>
        <w:instrText>WM</w:instrText>
      </w:r>
      <w:r w:rsidR="0004027B" w:rsidRPr="00FE2263">
        <w:rPr>
          <w:rStyle w:val="affb"/>
          <w:u w:val="single"/>
        </w:rPr>
        <w:instrText xml:space="preserve"> </w:instrText>
      </w:r>
      <w:r w:rsidR="0004027B" w:rsidRPr="00FE2263">
        <w:rPr>
          <w:rStyle w:val="affb"/>
          <w:u w:val="single"/>
          <w:lang w:val="en-US"/>
        </w:rPr>
        <w:instrText>who</w:instrText>
      </w:r>
      <w:r w:rsidR="0004027B" w:rsidRPr="00FE2263">
        <w:rPr>
          <w:rStyle w:val="affb"/>
          <w:u w:val="single"/>
        </w:rPr>
        <w:instrText xml:space="preserve"> </w:instrText>
      </w:r>
      <w:r w:rsidR="0004027B" w:rsidRPr="00FE2263">
        <w:rPr>
          <w:rStyle w:val="affb"/>
          <w:u w:val="single"/>
          <w:lang w:val="en-US"/>
        </w:rPr>
        <w:instrText>received</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combination</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dexamethasone</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cyclophosphamide</w:instrText>
      </w:r>
      <w:r w:rsidR="0004027B" w:rsidRPr="00FE2263">
        <w:rPr>
          <w:rStyle w:val="affb"/>
          <w:u w:val="single"/>
        </w:rPr>
        <w:instrText xml:space="preserve"> (</w:instrText>
      </w:r>
      <w:r w:rsidR="0004027B" w:rsidRPr="00FE2263">
        <w:rPr>
          <w:rStyle w:val="affb"/>
          <w:u w:val="single"/>
          <w:lang w:val="en-US"/>
        </w:rPr>
        <w:instrText>DRC</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Methods</w:instrText>
      </w:r>
      <w:r w:rsidR="0004027B" w:rsidRPr="00FE2263">
        <w:rPr>
          <w:rStyle w:val="affb"/>
          <w:u w:val="single"/>
        </w:rPr>
        <w:instrText xml:space="preserve">: </w:instrText>
      </w:r>
      <w:r w:rsidR="0004027B" w:rsidRPr="00FE2263">
        <w:rPr>
          <w:rStyle w:val="affb"/>
          <w:u w:val="single"/>
          <w:lang w:val="en-US"/>
        </w:rPr>
        <w:instrText>Seventy</w:instrText>
      </w:r>
      <w:r w:rsidR="0004027B" w:rsidRPr="00FE2263">
        <w:rPr>
          <w:rStyle w:val="affb"/>
          <w:u w:val="single"/>
        </w:rPr>
        <w:instrText>-</w:instrText>
      </w:r>
      <w:r w:rsidR="0004027B" w:rsidRPr="00FE2263">
        <w:rPr>
          <w:rStyle w:val="affb"/>
          <w:u w:val="single"/>
          <w:lang w:val="en-US"/>
        </w:rPr>
        <w:instrText>two</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were</w:instrText>
      </w:r>
      <w:r w:rsidR="0004027B" w:rsidRPr="00FE2263">
        <w:rPr>
          <w:rStyle w:val="affb"/>
          <w:u w:val="single"/>
        </w:rPr>
        <w:instrText xml:space="preserve"> </w:instrText>
      </w:r>
      <w:r w:rsidR="0004027B" w:rsidRPr="00FE2263">
        <w:rPr>
          <w:rStyle w:val="affb"/>
          <w:u w:val="single"/>
          <w:lang w:val="en-US"/>
        </w:rPr>
        <w:instrText>treated</w:instrText>
      </w:r>
      <w:r w:rsidR="0004027B" w:rsidRPr="00FE2263">
        <w:rPr>
          <w:rStyle w:val="affb"/>
          <w:u w:val="single"/>
        </w:rPr>
        <w:instrText xml:space="preserve"> </w:instrText>
      </w:r>
      <w:r w:rsidR="0004027B" w:rsidRPr="00FE2263">
        <w:rPr>
          <w:rStyle w:val="affb"/>
          <w:u w:val="single"/>
          <w:lang w:val="en-US"/>
        </w:rPr>
        <w:instrText>with</w:instrText>
      </w:r>
      <w:r w:rsidR="0004027B" w:rsidRPr="00FE2263">
        <w:rPr>
          <w:rStyle w:val="affb"/>
          <w:u w:val="single"/>
        </w:rPr>
        <w:instrText xml:space="preserve"> </w:instrText>
      </w:r>
      <w:r w:rsidR="0004027B" w:rsidRPr="00FE2263">
        <w:rPr>
          <w:rStyle w:val="affb"/>
          <w:u w:val="single"/>
          <w:lang w:val="en-US"/>
        </w:rPr>
        <w:instrText>dexamethasone</w:instrText>
      </w:r>
      <w:r w:rsidR="0004027B" w:rsidRPr="00FE2263">
        <w:rPr>
          <w:rStyle w:val="affb"/>
          <w:u w:val="single"/>
        </w:rPr>
        <w:instrText xml:space="preserve"> 20 </w:instrText>
      </w:r>
      <w:r w:rsidR="0004027B" w:rsidRPr="00FE2263">
        <w:rPr>
          <w:rStyle w:val="affb"/>
          <w:u w:val="single"/>
          <w:lang w:val="en-US"/>
        </w:rPr>
        <w:instrText>mg</w:instrText>
      </w:r>
      <w:r w:rsidR="0004027B" w:rsidRPr="00FE2263">
        <w:rPr>
          <w:rStyle w:val="affb"/>
          <w:u w:val="single"/>
        </w:rPr>
        <w:instrText xml:space="preserve"> </w:instrText>
      </w:r>
      <w:r w:rsidR="0004027B" w:rsidRPr="00FE2263">
        <w:rPr>
          <w:rStyle w:val="affb"/>
          <w:u w:val="single"/>
          <w:lang w:val="en-US"/>
        </w:rPr>
        <w:instrText>intravenously</w:instrText>
      </w:r>
      <w:r w:rsidR="0004027B" w:rsidRPr="00FE2263">
        <w:rPr>
          <w:rStyle w:val="affb"/>
          <w:u w:val="single"/>
        </w:rPr>
        <w:instrText xml:space="preserve"> </w:instrText>
      </w:r>
      <w:r w:rsidR="0004027B" w:rsidRPr="00FE2263">
        <w:rPr>
          <w:rStyle w:val="affb"/>
          <w:u w:val="single"/>
          <w:lang w:val="en-US"/>
        </w:rPr>
        <w:instrText>followed</w:instrText>
      </w:r>
      <w:r w:rsidR="0004027B" w:rsidRPr="00FE2263">
        <w:rPr>
          <w:rStyle w:val="affb"/>
          <w:u w:val="single"/>
        </w:rPr>
        <w:instrText xml:space="preserve"> </w:instrText>
      </w:r>
      <w:r w:rsidR="0004027B" w:rsidRPr="00FE2263">
        <w:rPr>
          <w:rStyle w:val="affb"/>
          <w:u w:val="single"/>
          <w:lang w:val="en-US"/>
        </w:rPr>
        <w:instrText>by</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375 </w:instrText>
      </w:r>
      <w:r w:rsidR="0004027B" w:rsidRPr="00FE2263">
        <w:rPr>
          <w:rStyle w:val="affb"/>
          <w:u w:val="single"/>
          <w:lang w:val="en-US"/>
        </w:rPr>
        <w:instrText>mg</w:instrText>
      </w:r>
      <w:r w:rsidR="0004027B" w:rsidRPr="00FE2263">
        <w:rPr>
          <w:rStyle w:val="affb"/>
          <w:u w:val="single"/>
        </w:rPr>
        <w:instrText>/</w:instrText>
      </w:r>
      <w:r w:rsidR="0004027B" w:rsidRPr="00FE2263">
        <w:rPr>
          <w:rStyle w:val="affb"/>
          <w:u w:val="single"/>
          <w:lang w:val="en-US"/>
        </w:rPr>
        <w:instrText>m</w:instrText>
      </w:r>
      <w:r w:rsidR="0004027B" w:rsidRPr="00FE2263">
        <w:rPr>
          <w:rStyle w:val="affb"/>
          <w:u w:val="single"/>
        </w:rPr>
        <w:instrText xml:space="preserve">2 </w:instrText>
      </w:r>
      <w:r w:rsidR="0004027B" w:rsidRPr="00FE2263">
        <w:rPr>
          <w:rStyle w:val="affb"/>
          <w:u w:val="single"/>
          <w:lang w:val="en-US"/>
        </w:rPr>
        <w:instrText>intravenously</w:instrText>
      </w:r>
      <w:r w:rsidR="0004027B" w:rsidRPr="00FE2263">
        <w:rPr>
          <w:rStyle w:val="affb"/>
          <w:u w:val="single"/>
        </w:rPr>
        <w:instrText xml:space="preserve"> </w:instrText>
      </w:r>
      <w:r w:rsidR="0004027B" w:rsidRPr="00FE2263">
        <w:rPr>
          <w:rStyle w:val="affb"/>
          <w:u w:val="single"/>
          <w:lang w:val="en-US"/>
        </w:rPr>
        <w:instrText>on</w:instrText>
      </w:r>
      <w:r w:rsidR="0004027B" w:rsidRPr="00FE2263">
        <w:rPr>
          <w:rStyle w:val="affb"/>
          <w:u w:val="single"/>
        </w:rPr>
        <w:instrText xml:space="preserve"> </w:instrText>
      </w:r>
      <w:r w:rsidR="0004027B" w:rsidRPr="00FE2263">
        <w:rPr>
          <w:rStyle w:val="affb"/>
          <w:u w:val="single"/>
          <w:lang w:val="en-US"/>
        </w:rPr>
        <w:instrText>day</w:instrText>
      </w:r>
      <w:r w:rsidR="0004027B" w:rsidRPr="00FE2263">
        <w:rPr>
          <w:rStyle w:val="affb"/>
          <w:u w:val="single"/>
        </w:rPr>
        <w:instrText xml:space="preserve"> 1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cyclophosphamide</w:instrText>
      </w:r>
      <w:r w:rsidR="0004027B" w:rsidRPr="00FE2263">
        <w:rPr>
          <w:rStyle w:val="affb"/>
          <w:u w:val="single"/>
        </w:rPr>
        <w:instrText xml:space="preserve"> 100 </w:instrText>
      </w:r>
      <w:r w:rsidR="0004027B" w:rsidRPr="00FE2263">
        <w:rPr>
          <w:rStyle w:val="affb"/>
          <w:u w:val="single"/>
          <w:lang w:val="en-US"/>
        </w:rPr>
        <w:instrText>mg</w:instrText>
      </w:r>
      <w:r w:rsidR="0004027B" w:rsidRPr="00FE2263">
        <w:rPr>
          <w:rStyle w:val="affb"/>
          <w:u w:val="single"/>
        </w:rPr>
        <w:instrText>/</w:instrText>
      </w:r>
      <w:r w:rsidR="0004027B" w:rsidRPr="00FE2263">
        <w:rPr>
          <w:rStyle w:val="affb"/>
          <w:u w:val="single"/>
          <w:lang w:val="en-US"/>
        </w:rPr>
        <w:instrText>m</w:instrText>
      </w:r>
      <w:r w:rsidR="0004027B" w:rsidRPr="00FE2263">
        <w:rPr>
          <w:rStyle w:val="affb"/>
          <w:u w:val="single"/>
        </w:rPr>
        <w:instrText xml:space="preserve">2 </w:instrText>
      </w:r>
      <w:r w:rsidR="0004027B" w:rsidRPr="00FE2263">
        <w:rPr>
          <w:rStyle w:val="affb"/>
          <w:u w:val="single"/>
          <w:lang w:val="en-US"/>
        </w:rPr>
        <w:instrText>orally</w:instrText>
      </w:r>
      <w:r w:rsidR="0004027B" w:rsidRPr="00FE2263">
        <w:rPr>
          <w:rStyle w:val="affb"/>
          <w:u w:val="single"/>
        </w:rPr>
        <w:instrText xml:space="preserve"> </w:instrText>
      </w:r>
      <w:r w:rsidR="0004027B" w:rsidRPr="00FE2263">
        <w:rPr>
          <w:rStyle w:val="affb"/>
          <w:u w:val="single"/>
          <w:lang w:val="en-US"/>
        </w:rPr>
        <w:instrText>bid</w:instrText>
      </w:r>
      <w:r w:rsidR="0004027B" w:rsidRPr="00FE2263">
        <w:rPr>
          <w:rStyle w:val="affb"/>
          <w:u w:val="single"/>
        </w:rPr>
        <w:instrText xml:space="preserve"> </w:instrText>
      </w:r>
      <w:r w:rsidR="0004027B" w:rsidRPr="00FE2263">
        <w:rPr>
          <w:rStyle w:val="affb"/>
          <w:u w:val="single"/>
          <w:lang w:val="en-US"/>
        </w:rPr>
        <w:instrText>on</w:instrText>
      </w:r>
      <w:r w:rsidR="0004027B" w:rsidRPr="00FE2263">
        <w:rPr>
          <w:rStyle w:val="affb"/>
          <w:u w:val="single"/>
        </w:rPr>
        <w:instrText xml:space="preserve"> </w:instrText>
      </w:r>
      <w:r w:rsidR="0004027B" w:rsidRPr="00FE2263">
        <w:rPr>
          <w:rStyle w:val="affb"/>
          <w:u w:val="single"/>
          <w:lang w:val="en-US"/>
        </w:rPr>
        <w:instrText>days</w:instrText>
      </w:r>
      <w:r w:rsidR="0004027B" w:rsidRPr="00FE2263">
        <w:rPr>
          <w:rStyle w:val="affb"/>
          <w:u w:val="single"/>
        </w:rPr>
        <w:instrText xml:space="preserve"> 1 </w:instrText>
      </w:r>
      <w:r w:rsidR="0004027B" w:rsidRPr="00FE2263">
        <w:rPr>
          <w:rStyle w:val="affb"/>
          <w:u w:val="single"/>
          <w:lang w:val="en-US"/>
        </w:rPr>
        <w:instrText>to</w:instrText>
      </w:r>
      <w:r w:rsidR="0004027B" w:rsidRPr="00FE2263">
        <w:rPr>
          <w:rStyle w:val="affb"/>
          <w:u w:val="single"/>
        </w:rPr>
        <w:instrText xml:space="preserve"> 5 (</w:instrText>
      </w:r>
      <w:r w:rsidR="0004027B" w:rsidRPr="00FE2263">
        <w:rPr>
          <w:rStyle w:val="affb"/>
          <w:u w:val="single"/>
          <w:lang w:val="en-US"/>
        </w:rPr>
        <w:instrText>total</w:instrText>
      </w:r>
      <w:r w:rsidR="0004027B" w:rsidRPr="00FE2263">
        <w:rPr>
          <w:rStyle w:val="affb"/>
          <w:u w:val="single"/>
        </w:rPr>
        <w:instrText xml:space="preserve"> </w:instrText>
      </w:r>
      <w:r w:rsidR="0004027B" w:rsidRPr="00FE2263">
        <w:rPr>
          <w:rStyle w:val="affb"/>
          <w:u w:val="single"/>
          <w:lang w:val="en-US"/>
        </w:rPr>
        <w:instrText>dose</w:instrText>
      </w:r>
      <w:r w:rsidR="0004027B" w:rsidRPr="00FE2263">
        <w:rPr>
          <w:rStyle w:val="affb"/>
          <w:u w:val="single"/>
        </w:rPr>
        <w:instrText xml:space="preserve">, 1,000 </w:instrText>
      </w:r>
      <w:r w:rsidR="0004027B" w:rsidRPr="00FE2263">
        <w:rPr>
          <w:rStyle w:val="affb"/>
          <w:u w:val="single"/>
          <w:lang w:val="en-US"/>
        </w:rPr>
        <w:instrText>mg</w:instrText>
      </w:r>
      <w:r w:rsidR="0004027B" w:rsidRPr="00FE2263">
        <w:rPr>
          <w:rStyle w:val="affb"/>
          <w:u w:val="single"/>
        </w:rPr>
        <w:instrText>/</w:instrText>
      </w:r>
      <w:r w:rsidR="0004027B" w:rsidRPr="00FE2263">
        <w:rPr>
          <w:rStyle w:val="affb"/>
          <w:u w:val="single"/>
          <w:lang w:val="en-US"/>
        </w:rPr>
        <w:instrText>m</w:instrText>
      </w:r>
      <w:r w:rsidR="0004027B" w:rsidRPr="00FE2263">
        <w:rPr>
          <w:rStyle w:val="affb"/>
          <w:u w:val="single"/>
        </w:rPr>
        <w:instrText xml:space="preserve">2). </w:instrText>
      </w:r>
      <w:r w:rsidR="0004027B" w:rsidRPr="00FE2263">
        <w:rPr>
          <w:rStyle w:val="affb"/>
          <w:u w:val="single"/>
          <w:lang w:val="en-US"/>
        </w:rPr>
        <w:instrText>This</w:instrText>
      </w:r>
      <w:r w:rsidR="0004027B" w:rsidRPr="00FE2263">
        <w:rPr>
          <w:rStyle w:val="affb"/>
          <w:u w:val="single"/>
        </w:rPr>
        <w:instrText xml:space="preserve"> </w:instrText>
      </w:r>
      <w:r w:rsidR="0004027B" w:rsidRPr="00FE2263">
        <w:rPr>
          <w:rStyle w:val="affb"/>
          <w:u w:val="single"/>
          <w:lang w:val="en-US"/>
        </w:rPr>
        <w:instrText>regimen</w:instrText>
      </w:r>
      <w:r w:rsidR="0004027B" w:rsidRPr="00FE2263">
        <w:rPr>
          <w:rStyle w:val="affb"/>
          <w:u w:val="single"/>
        </w:rPr>
        <w:instrText xml:space="preserve"> </w:instrText>
      </w:r>
      <w:r w:rsidR="0004027B" w:rsidRPr="00FE2263">
        <w:rPr>
          <w:rStyle w:val="affb"/>
          <w:u w:val="single"/>
          <w:lang w:val="en-US"/>
        </w:rPr>
        <w:instrText>was</w:instrText>
      </w:r>
      <w:r w:rsidR="0004027B" w:rsidRPr="00FE2263">
        <w:rPr>
          <w:rStyle w:val="affb"/>
          <w:u w:val="single"/>
        </w:rPr>
        <w:instrText xml:space="preserve"> </w:instrText>
      </w:r>
      <w:r w:rsidR="0004027B" w:rsidRPr="00FE2263">
        <w:rPr>
          <w:rStyle w:val="affb"/>
          <w:u w:val="single"/>
          <w:lang w:val="en-US"/>
        </w:rPr>
        <w:instrText>repeated</w:instrText>
      </w:r>
      <w:r w:rsidR="0004027B" w:rsidRPr="00FE2263">
        <w:rPr>
          <w:rStyle w:val="affb"/>
          <w:u w:val="single"/>
        </w:rPr>
        <w:instrText xml:space="preserve"> </w:instrText>
      </w:r>
      <w:r w:rsidR="0004027B" w:rsidRPr="00FE2263">
        <w:rPr>
          <w:rStyle w:val="affb"/>
          <w:u w:val="single"/>
          <w:lang w:val="en-US"/>
        </w:rPr>
        <w:instrText>every</w:instrText>
      </w:r>
      <w:r w:rsidR="0004027B" w:rsidRPr="00FE2263">
        <w:rPr>
          <w:rStyle w:val="affb"/>
          <w:u w:val="single"/>
        </w:rPr>
        <w:instrText xml:space="preserve"> 21 </w:instrText>
      </w:r>
      <w:r w:rsidR="0004027B" w:rsidRPr="00FE2263">
        <w:rPr>
          <w:rStyle w:val="affb"/>
          <w:u w:val="single"/>
          <w:lang w:val="en-US"/>
        </w:rPr>
        <w:instrText>days</w:instrText>
      </w:r>
      <w:r w:rsidR="0004027B" w:rsidRPr="00FE2263">
        <w:rPr>
          <w:rStyle w:val="affb"/>
          <w:u w:val="single"/>
        </w:rPr>
        <w:instrText xml:space="preserve"> </w:instrText>
      </w:r>
      <w:r w:rsidR="0004027B" w:rsidRPr="00FE2263">
        <w:rPr>
          <w:rStyle w:val="affb"/>
          <w:u w:val="single"/>
          <w:lang w:val="en-US"/>
        </w:rPr>
        <w:instrText>for</w:instrText>
      </w:r>
      <w:r w:rsidR="0004027B" w:rsidRPr="00FE2263">
        <w:rPr>
          <w:rStyle w:val="affb"/>
          <w:u w:val="single"/>
        </w:rPr>
        <w:instrText xml:space="preserve"> 6 </w:instrText>
      </w:r>
      <w:r w:rsidR="0004027B" w:rsidRPr="00FE2263">
        <w:rPr>
          <w:rStyle w:val="affb"/>
          <w:u w:val="single"/>
          <w:lang w:val="en-US"/>
        </w:rPr>
        <w:instrText>months</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median</w:instrText>
      </w:r>
      <w:r w:rsidR="0004027B" w:rsidRPr="00FE2263">
        <w:rPr>
          <w:rStyle w:val="affb"/>
          <w:u w:val="single"/>
        </w:rPr>
        <w:instrText xml:space="preserve"> </w:instrText>
      </w:r>
      <w:r w:rsidR="0004027B" w:rsidRPr="00FE2263">
        <w:rPr>
          <w:rStyle w:val="affb"/>
          <w:u w:val="single"/>
          <w:lang w:val="en-US"/>
        </w:rPr>
        <w:instrText>age</w:instrText>
      </w:r>
      <w:r w:rsidR="0004027B" w:rsidRPr="00FE2263">
        <w:rPr>
          <w:rStyle w:val="affb"/>
          <w:u w:val="single"/>
        </w:rPr>
        <w:instrText xml:space="preserve"> </w:instrText>
      </w:r>
      <w:r w:rsidR="0004027B" w:rsidRPr="00FE2263">
        <w:rPr>
          <w:rStyle w:val="affb"/>
          <w:u w:val="single"/>
          <w:lang w:val="en-US"/>
        </w:rPr>
        <w:instrText>was</w:instrText>
      </w:r>
      <w:r w:rsidR="0004027B" w:rsidRPr="00FE2263">
        <w:rPr>
          <w:rStyle w:val="affb"/>
          <w:u w:val="single"/>
        </w:rPr>
        <w:instrText xml:space="preserve"> 69 </w:instrText>
      </w:r>
      <w:r w:rsidR="0004027B" w:rsidRPr="00FE2263">
        <w:rPr>
          <w:rStyle w:val="affb"/>
          <w:u w:val="single"/>
          <w:lang w:val="en-US"/>
        </w:rPr>
        <w:instrText>years</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many</w:instrText>
      </w:r>
      <w:r w:rsidR="0004027B" w:rsidRPr="00FE2263">
        <w:rPr>
          <w:rStyle w:val="affb"/>
          <w:u w:val="single"/>
        </w:rPr>
        <w:instrText xml:space="preserve"> </w:instrText>
      </w:r>
      <w:r w:rsidR="0004027B" w:rsidRPr="00FE2263">
        <w:rPr>
          <w:rStyle w:val="affb"/>
          <w:u w:val="single"/>
          <w:lang w:val="en-US"/>
        </w:rPr>
        <w:instrText>had</w:instrText>
      </w:r>
      <w:r w:rsidR="0004027B" w:rsidRPr="00FE2263">
        <w:rPr>
          <w:rStyle w:val="affb"/>
          <w:u w:val="single"/>
        </w:rPr>
        <w:instrText xml:space="preserve"> </w:instrText>
      </w:r>
      <w:r w:rsidR="0004027B" w:rsidRPr="00FE2263">
        <w:rPr>
          <w:rStyle w:val="affb"/>
          <w:u w:val="single"/>
          <w:lang w:val="en-US"/>
        </w:rPr>
        <w:instrText>features</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advanced</w:instrText>
      </w:r>
      <w:r w:rsidR="0004027B" w:rsidRPr="00FE2263">
        <w:rPr>
          <w:rStyle w:val="affb"/>
          <w:u w:val="single"/>
        </w:rPr>
        <w:instrText xml:space="preserve"> </w:instrText>
      </w:r>
      <w:r w:rsidR="0004027B" w:rsidRPr="00FE2263">
        <w:rPr>
          <w:rStyle w:val="affb"/>
          <w:u w:val="single"/>
          <w:lang w:val="en-US"/>
        </w:rPr>
        <w:instrText>disease</w:instrText>
      </w:r>
      <w:r w:rsidR="0004027B" w:rsidRPr="00FE2263">
        <w:rPr>
          <w:rStyle w:val="affb"/>
          <w:u w:val="single"/>
        </w:rPr>
        <w:instrText xml:space="preserve"> </w:instrText>
      </w:r>
      <w:r w:rsidR="0004027B" w:rsidRPr="00FE2263">
        <w:rPr>
          <w:rStyle w:val="affb"/>
          <w:u w:val="single"/>
          <w:lang w:val="en-US"/>
        </w:rPr>
        <w:instrText>such</w:instrText>
      </w:r>
      <w:r w:rsidR="0004027B" w:rsidRPr="00FE2263">
        <w:rPr>
          <w:rStyle w:val="affb"/>
          <w:u w:val="single"/>
        </w:rPr>
        <w:instrText xml:space="preserve"> </w:instrText>
      </w:r>
      <w:r w:rsidR="0004027B" w:rsidRPr="00FE2263">
        <w:rPr>
          <w:rStyle w:val="affb"/>
          <w:u w:val="single"/>
          <w:lang w:val="en-US"/>
        </w:rPr>
        <w:instrText>as</w:instrText>
      </w:r>
      <w:r w:rsidR="0004027B" w:rsidRPr="00FE2263">
        <w:rPr>
          <w:rStyle w:val="affb"/>
          <w:u w:val="single"/>
        </w:rPr>
        <w:instrText xml:space="preserve"> </w:instrText>
      </w:r>
      <w:r w:rsidR="0004027B" w:rsidRPr="00FE2263">
        <w:rPr>
          <w:rStyle w:val="affb"/>
          <w:u w:val="single"/>
          <w:lang w:val="en-US"/>
        </w:rPr>
        <w:instrText>anemia</w:instrText>
      </w:r>
      <w:r w:rsidR="0004027B" w:rsidRPr="00FE2263">
        <w:rPr>
          <w:rStyle w:val="affb"/>
          <w:u w:val="single"/>
        </w:rPr>
        <w:instrText xml:space="preserve"> (57%), </w:instrText>
      </w:r>
      <w:r w:rsidR="0004027B" w:rsidRPr="00FE2263">
        <w:rPr>
          <w:rStyle w:val="affb"/>
          <w:u w:val="single"/>
          <w:lang w:val="en-US"/>
        </w:rPr>
        <w:instrText>hypoalbuminemia</w:instrText>
      </w:r>
      <w:r w:rsidR="0004027B" w:rsidRPr="00FE2263">
        <w:rPr>
          <w:rStyle w:val="affb"/>
          <w:u w:val="single"/>
        </w:rPr>
        <w:instrText xml:space="preserve"> (40%),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elevated</w:instrText>
      </w:r>
      <w:r w:rsidR="0004027B" w:rsidRPr="00FE2263">
        <w:rPr>
          <w:rStyle w:val="affb"/>
          <w:u w:val="single"/>
        </w:rPr>
        <w:instrText xml:space="preserve"> </w:instrText>
      </w:r>
      <w:r w:rsidR="0004027B" w:rsidRPr="00FE2263">
        <w:rPr>
          <w:rStyle w:val="affb"/>
          <w:u w:val="single"/>
          <w:lang w:val="en-US"/>
        </w:rPr>
        <w:instrText>serum</w:instrText>
      </w:r>
      <w:r w:rsidR="0004027B" w:rsidRPr="00FE2263">
        <w:rPr>
          <w:rStyle w:val="affb"/>
          <w:u w:val="single"/>
        </w:rPr>
        <w:instrText xml:space="preserve"> </w:instrText>
      </w:r>
      <w:r w:rsidR="0004027B" w:rsidRPr="00FE2263">
        <w:rPr>
          <w:rStyle w:val="affb"/>
          <w:u w:val="single"/>
          <w:lang w:val="en-US"/>
        </w:rPr>
        <w:instrText>beta</w:instrText>
      </w:r>
      <w:r w:rsidR="0004027B" w:rsidRPr="00FE2263">
        <w:rPr>
          <w:rStyle w:val="affb"/>
          <w:u w:val="single"/>
        </w:rPr>
        <w:instrText>2-</w:instrText>
      </w:r>
      <w:r w:rsidR="0004027B" w:rsidRPr="00FE2263">
        <w:rPr>
          <w:rStyle w:val="affb"/>
          <w:u w:val="single"/>
          <w:lang w:val="en-US"/>
        </w:rPr>
        <w:instrText>microglobulin</w:instrText>
      </w:r>
      <w:r w:rsidR="0004027B" w:rsidRPr="00FE2263">
        <w:rPr>
          <w:rStyle w:val="affb"/>
          <w:u w:val="single"/>
        </w:rPr>
        <w:instrText xml:space="preserve"> (43%). </w:instrText>
      </w:r>
      <w:r w:rsidR="0004027B" w:rsidRPr="00FE2263">
        <w:rPr>
          <w:rStyle w:val="affb"/>
          <w:u w:val="single"/>
          <w:lang w:val="en-US"/>
        </w:rPr>
        <w:instrText>Results</w:instrText>
      </w:r>
      <w:r w:rsidR="0004027B" w:rsidRPr="00FE2263">
        <w:rPr>
          <w:rStyle w:val="affb"/>
          <w:u w:val="single"/>
        </w:rPr>
        <w:instrText xml:space="preserve">: </w:instrText>
      </w:r>
      <w:r w:rsidR="0004027B" w:rsidRPr="00FE2263">
        <w:rPr>
          <w:rStyle w:val="affb"/>
          <w:u w:val="single"/>
          <w:lang w:val="en-US"/>
        </w:rPr>
        <w:instrText>On</w:instrText>
      </w:r>
      <w:r w:rsidR="0004027B" w:rsidRPr="00FE2263">
        <w:rPr>
          <w:rStyle w:val="affb"/>
          <w:u w:val="single"/>
        </w:rPr>
        <w:instrText xml:space="preserve"> </w:instrText>
      </w:r>
      <w:r w:rsidR="0004027B" w:rsidRPr="00FE2263">
        <w:rPr>
          <w:rStyle w:val="affb"/>
          <w:u w:val="single"/>
          <w:lang w:val="en-US"/>
        </w:rPr>
        <w:instrText>an</w:instrText>
      </w:r>
      <w:r w:rsidR="0004027B" w:rsidRPr="00FE2263">
        <w:rPr>
          <w:rStyle w:val="affb"/>
          <w:u w:val="single"/>
        </w:rPr>
        <w:instrText xml:space="preserve"> </w:instrText>
      </w:r>
      <w:r w:rsidR="0004027B" w:rsidRPr="00FE2263">
        <w:rPr>
          <w:rStyle w:val="affb"/>
          <w:u w:val="single"/>
          <w:lang w:val="en-US"/>
        </w:rPr>
        <w:instrText>intent</w:instrText>
      </w:r>
      <w:r w:rsidR="0004027B" w:rsidRPr="00FE2263">
        <w:rPr>
          <w:rStyle w:val="affb"/>
          <w:u w:val="single"/>
        </w:rPr>
        <w:instrText>-</w:instrText>
      </w:r>
      <w:r w:rsidR="0004027B" w:rsidRPr="00FE2263">
        <w:rPr>
          <w:rStyle w:val="affb"/>
          <w:u w:val="single"/>
          <w:lang w:val="en-US"/>
        </w:rPr>
        <w:instrText>to</w:instrText>
      </w:r>
      <w:r w:rsidR="0004027B" w:rsidRPr="00FE2263">
        <w:rPr>
          <w:rStyle w:val="affb"/>
          <w:u w:val="single"/>
        </w:rPr>
        <w:instrText>-</w:instrText>
      </w:r>
      <w:r w:rsidR="0004027B" w:rsidRPr="00FE2263">
        <w:rPr>
          <w:rStyle w:val="affb"/>
          <w:u w:val="single"/>
          <w:lang w:val="en-US"/>
        </w:rPr>
        <w:instrText>treat</w:instrText>
      </w:r>
      <w:r w:rsidR="0004027B" w:rsidRPr="00FE2263">
        <w:rPr>
          <w:rStyle w:val="affb"/>
          <w:u w:val="single"/>
        </w:rPr>
        <w:instrText xml:space="preserve"> </w:instrText>
      </w:r>
      <w:r w:rsidR="0004027B" w:rsidRPr="00FE2263">
        <w:rPr>
          <w:rStyle w:val="affb"/>
          <w:u w:val="single"/>
          <w:lang w:val="en-US"/>
        </w:rPr>
        <w:instrText>basis</w:instrText>
      </w:r>
      <w:r w:rsidR="0004027B" w:rsidRPr="00FE2263">
        <w:rPr>
          <w:rStyle w:val="affb"/>
          <w:u w:val="single"/>
        </w:rPr>
        <w:instrText xml:space="preserve">, 83%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(95% </w:instrText>
      </w:r>
      <w:r w:rsidR="0004027B" w:rsidRPr="00FE2263">
        <w:rPr>
          <w:rStyle w:val="affb"/>
          <w:u w:val="single"/>
          <w:lang w:val="en-US"/>
        </w:rPr>
        <w:instrText>CI</w:instrText>
      </w:r>
      <w:r w:rsidR="0004027B" w:rsidRPr="00FE2263">
        <w:rPr>
          <w:rStyle w:val="affb"/>
          <w:u w:val="single"/>
        </w:rPr>
        <w:instrText xml:space="preserve">, 73% </w:instrText>
      </w:r>
      <w:r w:rsidR="0004027B" w:rsidRPr="00FE2263">
        <w:rPr>
          <w:rStyle w:val="affb"/>
          <w:u w:val="single"/>
          <w:lang w:val="en-US"/>
        </w:rPr>
        <w:instrText>to</w:instrText>
      </w:r>
      <w:r w:rsidR="0004027B" w:rsidRPr="00FE2263">
        <w:rPr>
          <w:rStyle w:val="affb"/>
          <w:u w:val="single"/>
        </w:rPr>
        <w:instrText xml:space="preserve"> 91 %) </w:instrText>
      </w:r>
      <w:r w:rsidR="0004027B" w:rsidRPr="00FE2263">
        <w:rPr>
          <w:rStyle w:val="affb"/>
          <w:u w:val="single"/>
          <w:lang w:val="en-US"/>
        </w:rPr>
        <w:instrText>achieved</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including</w:instrText>
      </w:r>
      <w:r w:rsidR="0004027B" w:rsidRPr="00FE2263">
        <w:rPr>
          <w:rStyle w:val="affb"/>
          <w:u w:val="single"/>
        </w:rPr>
        <w:instrText xml:space="preserve"> 7% </w:instrText>
      </w:r>
      <w:r w:rsidR="0004027B" w:rsidRPr="00FE2263">
        <w:rPr>
          <w:rStyle w:val="affb"/>
          <w:u w:val="single"/>
          <w:lang w:val="en-US"/>
        </w:rPr>
        <w:instrText>complete</w:instrText>
      </w:r>
      <w:r w:rsidR="0004027B" w:rsidRPr="00FE2263">
        <w:rPr>
          <w:rStyle w:val="affb"/>
          <w:u w:val="single"/>
        </w:rPr>
        <w:instrText xml:space="preserve">, 67% </w:instrText>
      </w:r>
      <w:r w:rsidR="0004027B" w:rsidRPr="00FE2263">
        <w:rPr>
          <w:rStyle w:val="affb"/>
          <w:u w:val="single"/>
          <w:lang w:val="en-US"/>
        </w:rPr>
        <w:instrText>partial</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9% </w:instrText>
      </w:r>
      <w:r w:rsidR="0004027B" w:rsidRPr="00FE2263">
        <w:rPr>
          <w:rStyle w:val="affb"/>
          <w:u w:val="single"/>
          <w:lang w:val="en-US"/>
        </w:rPr>
        <w:instrText>minor</w:instrText>
      </w:r>
      <w:r w:rsidR="0004027B" w:rsidRPr="00FE2263">
        <w:rPr>
          <w:rStyle w:val="affb"/>
          <w:u w:val="single"/>
        </w:rPr>
        <w:instrText xml:space="preserve"> </w:instrText>
      </w:r>
      <w:r w:rsidR="0004027B" w:rsidRPr="00FE2263">
        <w:rPr>
          <w:rStyle w:val="affb"/>
          <w:u w:val="single"/>
          <w:lang w:val="en-US"/>
        </w:rPr>
        <w:instrText>responses</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median</w:instrText>
      </w:r>
      <w:r w:rsidR="0004027B" w:rsidRPr="00FE2263">
        <w:rPr>
          <w:rStyle w:val="affb"/>
          <w:u w:val="single"/>
        </w:rPr>
        <w:instrText xml:space="preserve"> </w:instrText>
      </w:r>
      <w:r w:rsidR="0004027B" w:rsidRPr="00FE2263">
        <w:rPr>
          <w:rStyle w:val="affb"/>
          <w:u w:val="single"/>
          <w:lang w:val="en-US"/>
        </w:rPr>
        <w:instrText>time</w:instrText>
      </w:r>
      <w:r w:rsidR="0004027B" w:rsidRPr="00FE2263">
        <w:rPr>
          <w:rStyle w:val="affb"/>
          <w:u w:val="single"/>
        </w:rPr>
        <w:instrText xml:space="preserve"> </w:instrText>
      </w:r>
      <w:r w:rsidR="0004027B" w:rsidRPr="00FE2263">
        <w:rPr>
          <w:rStyle w:val="affb"/>
          <w:u w:val="single"/>
          <w:lang w:val="en-US"/>
        </w:rPr>
        <w:instrText>to</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was</w:instrText>
      </w:r>
      <w:r w:rsidR="0004027B" w:rsidRPr="00FE2263">
        <w:rPr>
          <w:rStyle w:val="affb"/>
          <w:u w:val="single"/>
        </w:rPr>
        <w:instrText xml:space="preserve"> 4</w:instrText>
      </w:r>
      <w:r w:rsidR="0004027B" w:rsidRPr="00FE2263">
        <w:rPr>
          <w:rStyle w:val="affb"/>
          <w:u w:val="single"/>
          <w:lang w:val="en-US"/>
        </w:rPr>
        <w:instrText>.1 months. The 2-year progression-free survival rate for all patients was 67%; for patients who responded to DRC, it was 80%. The 2-year disease-specific survival rate was 90%. Treatment with DRC was well tolerated, with 9% of patients experiencing grade 3 or 4 neutropenia and approximately 20% of patients experiencing some form of toxicity related to rituximab. Conclusion: Our large, multicenter trial showed that the non-stem-cell toxic DRC regimen is an active, well-tolerated treatment for symptomatic patients with WM. © 2007 by American Society of Clinical Oncology.","author":[{"dropping-particle":"","family":"Dimopoulos","given":"Meletios Athanasios","non-dropping-particle":"","parse-names":false,"suffix":""},{"dropping-particle":"","family":"Anagnostopoulos","given":"Athanasios","non-dropping-particle":"","parse-names":false,"suffix":""},{"dropping-particle":"","family":"Kyrtsonis","given":"Marie Christine","non-dropping-particle":"","parse-names":false,"suffix":""},{"dropping-particle":"","family":"Zervas","given":"Konstantinos","non-dropping-particle":"","parse-names":false,"suffix":""},{"dropping-particle":"","family":"Tsatalas","given":"Constantinos","non-dropping-particle":"","parse-names":false,"suffix":""},{"dropping-particle":"","family":"Kokkinis","given":"Garyfallia","non-dropping-particle":"","parse-names":false,"suffix":""},{"dropping-particle":"","family":"Repoussis","given":"Panagiotis","non-dropping-particle":"","parse-names":false,"suffix":""},{"dropping-particle":"","family":"Symeonidis","given":"Argyris","non-dropping-particle":"","parse-names":false,"suffix":""},{"dropping-particle":"","family":"Delimpasi","given":"Souzana","non-dropping-particle":"","parse-names":false,"suffix":""},{"dropping-particle":"","family":"Katodritou","given":"Eirini","non-dropping-particle":"","parse-names":false,"suffix":""},{"dropping-particle":"","family":"Vervessou","given":"Elina","non-dropping-particle":"","parse-names":false,"suffix":""},{"dropping-particle":"","family":"Michali","given":"Evridiki","non-dropping-particle":"","parse-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Pouli</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Anastasia</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Gika</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Dimitra</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Vassou</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Amalia</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Terpos</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Evangelos</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Anagnostopoulos</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Nikolaos</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Economopoulos</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Theophanis</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Pangalis</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Gerasimos</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container</w:instrText>
      </w:r>
      <w:r w:rsidR="0004027B" w:rsidRPr="00FE2263">
        <w:rPr>
          <w:rStyle w:val="affb"/>
          <w:u w:val="single"/>
        </w:rPr>
        <w:instrText>-</w:instrText>
      </w:r>
      <w:r w:rsidR="0004027B" w:rsidRPr="00FE2263">
        <w:rPr>
          <w:rStyle w:val="affb"/>
          <w:u w:val="single"/>
          <w:lang w:val="en-US"/>
        </w:rPr>
        <w:instrText>title</w:instrText>
      </w:r>
      <w:r w:rsidR="0004027B" w:rsidRPr="00FE2263">
        <w:rPr>
          <w:rStyle w:val="affb"/>
          <w:u w:val="single"/>
        </w:rPr>
        <w:instrText>":"</w:instrText>
      </w:r>
      <w:r w:rsidR="0004027B" w:rsidRPr="00FE2263">
        <w:rPr>
          <w:rStyle w:val="affb"/>
          <w:u w:val="single"/>
          <w:lang w:val="en-US"/>
        </w:rPr>
        <w:instrText>Journal</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Clinical</w:instrText>
      </w:r>
      <w:r w:rsidR="0004027B" w:rsidRPr="00FE2263">
        <w:rPr>
          <w:rStyle w:val="affb"/>
          <w:u w:val="single"/>
        </w:rPr>
        <w:instrText xml:space="preserve"> </w:instrText>
      </w:r>
      <w:r w:rsidR="0004027B" w:rsidRPr="00FE2263">
        <w:rPr>
          <w:rStyle w:val="affb"/>
          <w:u w:val="single"/>
          <w:lang w:val="en-US"/>
        </w:rPr>
        <w:instrText>Oncology</w:instrText>
      </w:r>
      <w:r w:rsidR="0004027B" w:rsidRPr="00FE2263">
        <w:rPr>
          <w:rStyle w:val="affb"/>
          <w:u w:val="single"/>
        </w:rPr>
        <w:instrText>","</w:instrText>
      </w:r>
      <w:r w:rsidR="0004027B" w:rsidRPr="00FE2263">
        <w:rPr>
          <w:rStyle w:val="affb"/>
          <w:u w:val="single"/>
          <w:lang w:val="en-US"/>
        </w:rPr>
        <w:instrText>id</w:instrText>
      </w:r>
      <w:r w:rsidR="0004027B" w:rsidRPr="00FE2263">
        <w:rPr>
          <w:rStyle w:val="affb"/>
          <w:u w:val="single"/>
        </w:rPr>
        <w:instrText>":"</w:instrText>
      </w:r>
      <w:r w:rsidR="0004027B" w:rsidRPr="00FE2263">
        <w:rPr>
          <w:rStyle w:val="affb"/>
          <w:u w:val="single"/>
          <w:lang w:val="en-US"/>
        </w:rPr>
        <w:instrText>ITEM</w:instrText>
      </w:r>
      <w:r w:rsidR="0004027B" w:rsidRPr="00FE2263">
        <w:rPr>
          <w:rStyle w:val="affb"/>
          <w:u w:val="single"/>
        </w:rPr>
        <w:instrText>-1","</w:instrText>
      </w:r>
      <w:r w:rsidR="0004027B" w:rsidRPr="00FE2263">
        <w:rPr>
          <w:rStyle w:val="affb"/>
          <w:u w:val="single"/>
          <w:lang w:val="en-US"/>
        </w:rPr>
        <w:instrText>issue</w:instrText>
      </w:r>
      <w:r w:rsidR="0004027B" w:rsidRPr="00FE2263">
        <w:rPr>
          <w:rStyle w:val="affb"/>
          <w:u w:val="single"/>
        </w:rPr>
        <w:instrText>":"22","</w:instrText>
      </w:r>
      <w:r w:rsidR="0004027B" w:rsidRPr="00FE2263">
        <w:rPr>
          <w:rStyle w:val="affb"/>
          <w:u w:val="single"/>
          <w:lang w:val="en-US"/>
        </w:rPr>
        <w:instrText>issued</w:instrText>
      </w:r>
      <w:r w:rsidR="0004027B" w:rsidRPr="00FE2263">
        <w:rPr>
          <w:rStyle w:val="affb"/>
          <w:u w:val="single"/>
        </w:rPr>
        <w:instrText>":{"</w:instrText>
      </w:r>
      <w:r w:rsidR="0004027B" w:rsidRPr="00FE2263">
        <w:rPr>
          <w:rStyle w:val="affb"/>
          <w:u w:val="single"/>
          <w:lang w:val="en-US"/>
        </w:rPr>
        <w:instrText>date</w:instrText>
      </w:r>
      <w:r w:rsidR="0004027B" w:rsidRPr="00FE2263">
        <w:rPr>
          <w:rStyle w:val="affb"/>
          <w:u w:val="single"/>
        </w:rPr>
        <w:instrText>-</w:instrText>
      </w:r>
      <w:r w:rsidR="0004027B" w:rsidRPr="00FE2263">
        <w:rPr>
          <w:rStyle w:val="affb"/>
          <w:u w:val="single"/>
          <w:lang w:val="en-US"/>
        </w:rPr>
        <w:instrText>parts</w:instrText>
      </w:r>
      <w:r w:rsidR="0004027B" w:rsidRPr="00FE2263">
        <w:rPr>
          <w:rStyle w:val="affb"/>
          <w:u w:val="single"/>
        </w:rPr>
        <w:instrText>":[["2007","8","1"]]},"</w:instrText>
      </w:r>
      <w:r w:rsidR="0004027B" w:rsidRPr="00FE2263">
        <w:rPr>
          <w:rStyle w:val="affb"/>
          <w:u w:val="single"/>
          <w:lang w:val="en-US"/>
        </w:rPr>
        <w:instrText>page</w:instrText>
      </w:r>
      <w:r w:rsidR="0004027B" w:rsidRPr="00FE2263">
        <w:rPr>
          <w:rStyle w:val="affb"/>
          <w:u w:val="single"/>
        </w:rPr>
        <w:instrText>":"3344-3349","</w:instrText>
      </w:r>
      <w:r w:rsidR="0004027B" w:rsidRPr="00FE2263">
        <w:rPr>
          <w:rStyle w:val="affb"/>
          <w:u w:val="single"/>
          <w:lang w:val="en-US"/>
        </w:rPr>
        <w:instrText>title</w:instrText>
      </w:r>
      <w:r w:rsidR="0004027B" w:rsidRPr="00FE2263">
        <w:rPr>
          <w:rStyle w:val="affb"/>
          <w:u w:val="single"/>
        </w:rPr>
        <w:instrText>":"</w:instrText>
      </w:r>
      <w:r w:rsidR="0004027B" w:rsidRPr="00FE2263">
        <w:rPr>
          <w:rStyle w:val="affb"/>
          <w:u w:val="single"/>
          <w:lang w:val="en-US"/>
        </w:rPr>
        <w:instrText>Primary</w:instrText>
      </w:r>
      <w:r w:rsidR="0004027B" w:rsidRPr="00FE2263">
        <w:rPr>
          <w:rStyle w:val="affb"/>
          <w:u w:val="single"/>
        </w:rPr>
        <w:instrText xml:space="preserve"> </w:instrText>
      </w:r>
      <w:r w:rsidR="0004027B" w:rsidRPr="00FE2263">
        <w:rPr>
          <w:rStyle w:val="affb"/>
          <w:u w:val="single"/>
          <w:lang w:val="en-US"/>
        </w:rPr>
        <w:instrText>treatment</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Waldenstr</w:instrText>
      </w:r>
      <w:r w:rsidR="0004027B" w:rsidRPr="00FE2263">
        <w:rPr>
          <w:rStyle w:val="affb"/>
          <w:u w:val="single"/>
        </w:rPr>
        <w:instrText>ö</w:instrText>
      </w:r>
      <w:r w:rsidR="0004027B" w:rsidRPr="00FE2263">
        <w:rPr>
          <w:rStyle w:val="affb"/>
          <w:u w:val="single"/>
          <w:lang w:val="en-US"/>
        </w:rPr>
        <w:instrText>m</w:instrText>
      </w:r>
      <w:r w:rsidR="0004027B" w:rsidRPr="00FE2263">
        <w:rPr>
          <w:rStyle w:val="affb"/>
          <w:u w:val="single"/>
        </w:rPr>
        <w:instrText xml:space="preserve"> </w:instrText>
      </w:r>
      <w:r w:rsidR="0004027B" w:rsidRPr="00FE2263">
        <w:rPr>
          <w:rStyle w:val="affb"/>
          <w:u w:val="single"/>
          <w:lang w:val="en-US"/>
        </w:rPr>
        <w:instrText>macroglobulinemia</w:instrText>
      </w:r>
      <w:r w:rsidR="0004027B" w:rsidRPr="00FE2263">
        <w:rPr>
          <w:rStyle w:val="affb"/>
          <w:u w:val="single"/>
        </w:rPr>
        <w:instrText xml:space="preserve"> </w:instrText>
      </w:r>
      <w:r w:rsidR="0004027B" w:rsidRPr="00FE2263">
        <w:rPr>
          <w:rStyle w:val="affb"/>
          <w:u w:val="single"/>
          <w:lang w:val="en-US"/>
        </w:rPr>
        <w:instrText>with</w:instrText>
      </w:r>
      <w:r w:rsidR="0004027B" w:rsidRPr="00FE2263">
        <w:rPr>
          <w:rStyle w:val="affb"/>
          <w:u w:val="single"/>
        </w:rPr>
        <w:instrText xml:space="preserve"> </w:instrText>
      </w:r>
      <w:r w:rsidR="0004027B" w:rsidRPr="00FE2263">
        <w:rPr>
          <w:rStyle w:val="affb"/>
          <w:u w:val="single"/>
          <w:lang w:val="en-US"/>
        </w:rPr>
        <w:instrText>dexamethasone</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cyclophosphamide</w:instrText>
      </w:r>
      <w:r w:rsidR="0004027B" w:rsidRPr="00FE2263">
        <w:rPr>
          <w:rStyle w:val="affb"/>
          <w:u w:val="single"/>
        </w:rPr>
        <w:instrText>","</w:instrText>
      </w:r>
      <w:r w:rsidR="0004027B" w:rsidRPr="00FE2263">
        <w:rPr>
          <w:rStyle w:val="affb"/>
          <w:u w:val="single"/>
          <w:lang w:val="en-US"/>
        </w:rPr>
        <w:instrText>type</w:instrText>
      </w:r>
      <w:r w:rsidR="0004027B" w:rsidRPr="00FE2263">
        <w:rPr>
          <w:rStyle w:val="affb"/>
          <w:u w:val="single"/>
        </w:rPr>
        <w:instrText>":"</w:instrText>
      </w:r>
      <w:r w:rsidR="0004027B" w:rsidRPr="00FE2263">
        <w:rPr>
          <w:rStyle w:val="affb"/>
          <w:u w:val="single"/>
          <w:lang w:val="en-US"/>
        </w:rPr>
        <w:instrText>article</w:instrText>
      </w:r>
      <w:r w:rsidR="0004027B" w:rsidRPr="00FE2263">
        <w:rPr>
          <w:rStyle w:val="affb"/>
          <w:u w:val="single"/>
        </w:rPr>
        <w:instrText>-</w:instrText>
      </w:r>
      <w:r w:rsidR="0004027B" w:rsidRPr="00FE2263">
        <w:rPr>
          <w:rStyle w:val="affb"/>
          <w:u w:val="single"/>
          <w:lang w:val="en-US"/>
        </w:rPr>
        <w:instrText>journal</w:instrText>
      </w:r>
      <w:r w:rsidR="0004027B" w:rsidRPr="00FE2263">
        <w:rPr>
          <w:rStyle w:val="affb"/>
          <w:u w:val="single"/>
        </w:rPr>
        <w:instrText>","</w:instrText>
      </w:r>
      <w:r w:rsidR="0004027B" w:rsidRPr="00FE2263">
        <w:rPr>
          <w:rStyle w:val="affb"/>
          <w:u w:val="single"/>
          <w:lang w:val="en-US"/>
        </w:rPr>
        <w:instrText>volume</w:instrText>
      </w:r>
      <w:r w:rsidR="0004027B" w:rsidRPr="00FE2263">
        <w:rPr>
          <w:rStyle w:val="affb"/>
          <w:u w:val="single"/>
        </w:rPr>
        <w:instrText>":"25"},"</w:instrText>
      </w:r>
      <w:r w:rsidR="0004027B" w:rsidRPr="00FE2263">
        <w:rPr>
          <w:rStyle w:val="affb"/>
          <w:u w:val="single"/>
          <w:lang w:val="en-US"/>
        </w:rPr>
        <w:instrText>uris</w:instrText>
      </w:r>
      <w:r w:rsidR="0004027B" w:rsidRPr="00FE2263">
        <w:rPr>
          <w:rStyle w:val="affb"/>
          <w:u w:val="single"/>
        </w:rPr>
        <w:instrText>":["</w:instrText>
      </w:r>
      <w:r w:rsidR="0004027B" w:rsidRPr="00FE2263">
        <w:rPr>
          <w:rStyle w:val="affb"/>
          <w:u w:val="single"/>
          <w:lang w:val="en-US"/>
        </w:rPr>
        <w:instrText>http</w:instrText>
      </w:r>
      <w:r w:rsidR="0004027B" w:rsidRPr="00FE2263">
        <w:rPr>
          <w:rStyle w:val="affb"/>
          <w:u w:val="single"/>
        </w:rPr>
        <w:instrText>://</w:instrText>
      </w:r>
      <w:r w:rsidR="0004027B" w:rsidRPr="00FE2263">
        <w:rPr>
          <w:rStyle w:val="affb"/>
          <w:u w:val="single"/>
          <w:lang w:val="en-US"/>
        </w:rPr>
        <w:instrText>www</w:instrText>
      </w:r>
      <w:r w:rsidR="0004027B" w:rsidRPr="00FE2263">
        <w:rPr>
          <w:rStyle w:val="affb"/>
          <w:u w:val="single"/>
        </w:rPr>
        <w:instrText>.</w:instrText>
      </w:r>
      <w:r w:rsidR="0004027B" w:rsidRPr="00FE2263">
        <w:rPr>
          <w:rStyle w:val="affb"/>
          <w:u w:val="single"/>
          <w:lang w:val="en-US"/>
        </w:rPr>
        <w:instrText>mendeley</w:instrText>
      </w:r>
      <w:r w:rsidR="0004027B" w:rsidRPr="00FE2263">
        <w:rPr>
          <w:rStyle w:val="affb"/>
          <w:u w:val="single"/>
        </w:rPr>
        <w:instrText>.</w:instrText>
      </w:r>
      <w:r w:rsidR="0004027B" w:rsidRPr="00FE2263">
        <w:rPr>
          <w:rStyle w:val="affb"/>
          <w:u w:val="single"/>
          <w:lang w:val="en-US"/>
        </w:rPr>
        <w:instrText>com</w:instrText>
      </w:r>
      <w:r w:rsidR="0004027B" w:rsidRPr="00FE2263">
        <w:rPr>
          <w:rStyle w:val="affb"/>
          <w:u w:val="single"/>
        </w:rPr>
        <w:instrText>/</w:instrText>
      </w:r>
      <w:r w:rsidR="0004027B" w:rsidRPr="00FE2263">
        <w:rPr>
          <w:rStyle w:val="affb"/>
          <w:u w:val="single"/>
          <w:lang w:val="en-US"/>
        </w:rPr>
        <w:instrText>documents</w:instrText>
      </w:r>
      <w:r w:rsidR="0004027B" w:rsidRPr="00FE2263">
        <w:rPr>
          <w:rStyle w:val="affb"/>
          <w:u w:val="single"/>
        </w:rPr>
        <w:instrText>/?</w:instrText>
      </w:r>
      <w:r w:rsidR="0004027B" w:rsidRPr="00FE2263">
        <w:rPr>
          <w:rStyle w:val="affb"/>
          <w:u w:val="single"/>
          <w:lang w:val="en-US"/>
        </w:rPr>
        <w:instrText>uuid</w:instrText>
      </w:r>
      <w:r w:rsidR="0004027B" w:rsidRPr="00FE2263">
        <w:rPr>
          <w:rStyle w:val="affb"/>
          <w:u w:val="single"/>
        </w:rPr>
        <w:instrText>=</w:instrText>
      </w:r>
      <w:r w:rsidR="0004027B" w:rsidRPr="00FE2263">
        <w:rPr>
          <w:rStyle w:val="affb"/>
          <w:u w:val="single"/>
          <w:lang w:val="en-US"/>
        </w:rPr>
        <w:instrText>a</w:instrText>
      </w:r>
      <w:r w:rsidR="0004027B" w:rsidRPr="00FE2263">
        <w:rPr>
          <w:rStyle w:val="affb"/>
          <w:u w:val="single"/>
        </w:rPr>
        <w:instrText>0794</w:instrText>
      </w:r>
      <w:r w:rsidR="0004027B" w:rsidRPr="00FE2263">
        <w:rPr>
          <w:rStyle w:val="affb"/>
          <w:u w:val="single"/>
          <w:lang w:val="en-US"/>
        </w:rPr>
        <w:instrText>f</w:instrText>
      </w:r>
      <w:r w:rsidR="0004027B" w:rsidRPr="00FE2263">
        <w:rPr>
          <w:rStyle w:val="affb"/>
          <w:u w:val="single"/>
        </w:rPr>
        <w:instrText>97-</w:instrText>
      </w:r>
      <w:r w:rsidR="0004027B" w:rsidRPr="00FE2263">
        <w:rPr>
          <w:rStyle w:val="affb"/>
          <w:u w:val="single"/>
          <w:lang w:val="en-US"/>
        </w:rPr>
        <w:instrText>fda</w:instrText>
      </w:r>
      <w:r w:rsidR="0004027B" w:rsidRPr="00FE2263">
        <w:rPr>
          <w:rStyle w:val="affb"/>
          <w:u w:val="single"/>
        </w:rPr>
        <w:instrText>7-3505-8347-</w:instrText>
      </w:r>
      <w:r w:rsidR="0004027B" w:rsidRPr="00FE2263">
        <w:rPr>
          <w:rStyle w:val="affb"/>
          <w:u w:val="single"/>
          <w:lang w:val="en-US"/>
        </w:rPr>
        <w:instrText>dee</w:instrText>
      </w:r>
      <w:r w:rsidR="0004027B" w:rsidRPr="00FE2263">
        <w:rPr>
          <w:rStyle w:val="affb"/>
          <w:u w:val="single"/>
        </w:rPr>
        <w:instrText>264</w:instrText>
      </w:r>
      <w:r w:rsidR="0004027B" w:rsidRPr="00FE2263">
        <w:rPr>
          <w:rStyle w:val="affb"/>
          <w:u w:val="single"/>
          <w:lang w:val="en-US"/>
        </w:rPr>
        <w:instrText>ca</w:instrText>
      </w:r>
      <w:r w:rsidR="0004027B" w:rsidRPr="00FE2263">
        <w:rPr>
          <w:rStyle w:val="affb"/>
          <w:u w:val="single"/>
        </w:rPr>
        <w:instrText>0</w:instrText>
      </w:r>
      <w:r w:rsidR="0004027B" w:rsidRPr="00FE2263">
        <w:rPr>
          <w:rStyle w:val="affb"/>
          <w:u w:val="single"/>
          <w:lang w:val="en-US"/>
        </w:rPr>
        <w:instrText>db</w:instrText>
      </w:r>
      <w:r w:rsidR="0004027B" w:rsidRPr="00FE2263">
        <w:rPr>
          <w:rStyle w:val="affb"/>
          <w:u w:val="single"/>
        </w:rPr>
        <w:instrText>0"]}],"</w:instrText>
      </w:r>
      <w:r w:rsidR="0004027B" w:rsidRPr="00FE2263">
        <w:rPr>
          <w:rStyle w:val="affb"/>
          <w:u w:val="single"/>
          <w:lang w:val="en-US"/>
        </w:rPr>
        <w:instrText>mendeley</w:instrText>
      </w:r>
      <w:r w:rsidR="0004027B" w:rsidRPr="00FE2263">
        <w:rPr>
          <w:rStyle w:val="affb"/>
          <w:u w:val="single"/>
        </w:rPr>
        <w:instrText>":{"</w:instrText>
      </w:r>
      <w:r w:rsidR="0004027B" w:rsidRPr="00FE2263">
        <w:rPr>
          <w:rStyle w:val="affb"/>
          <w:u w:val="single"/>
          <w:lang w:val="en-US"/>
        </w:rPr>
        <w:instrText>formattedCitation</w:instrText>
      </w:r>
      <w:r w:rsidR="0004027B" w:rsidRPr="00FE2263">
        <w:rPr>
          <w:rStyle w:val="affb"/>
          <w:u w:val="single"/>
        </w:rPr>
        <w:instrText>":"[21]","</w:instrText>
      </w:r>
      <w:r w:rsidR="0004027B" w:rsidRPr="00FE2263">
        <w:rPr>
          <w:rStyle w:val="affb"/>
          <w:u w:val="single"/>
          <w:lang w:val="en-US"/>
        </w:rPr>
        <w:instrText>plainTextFormattedCitation</w:instrText>
      </w:r>
      <w:r w:rsidR="0004027B" w:rsidRPr="00FE2263">
        <w:rPr>
          <w:rStyle w:val="affb"/>
          <w:u w:val="single"/>
        </w:rPr>
        <w:instrText>":"[21]","</w:instrText>
      </w:r>
      <w:r w:rsidR="0004027B" w:rsidRPr="00FE2263">
        <w:rPr>
          <w:rStyle w:val="affb"/>
          <w:u w:val="single"/>
          <w:lang w:val="en-US"/>
        </w:rPr>
        <w:instrText>previouslyFormattedCitation</w:instrText>
      </w:r>
      <w:r w:rsidR="0004027B" w:rsidRPr="00FE2263">
        <w:rPr>
          <w:rStyle w:val="affb"/>
          <w:u w:val="single"/>
        </w:rPr>
        <w:instrText>":"[21]"},"</w:instrText>
      </w:r>
      <w:r w:rsidR="0004027B" w:rsidRPr="00FE2263">
        <w:rPr>
          <w:rStyle w:val="affb"/>
          <w:u w:val="single"/>
          <w:lang w:val="en-US"/>
        </w:rPr>
        <w:instrText>properties</w:instrText>
      </w:r>
      <w:r w:rsidR="0004027B" w:rsidRPr="00FE2263">
        <w:rPr>
          <w:rStyle w:val="affb"/>
          <w:u w:val="single"/>
        </w:rPr>
        <w:instrText>":{"</w:instrText>
      </w:r>
      <w:r w:rsidR="0004027B" w:rsidRPr="00FE2263">
        <w:rPr>
          <w:rStyle w:val="affb"/>
          <w:u w:val="single"/>
          <w:lang w:val="en-US"/>
        </w:rPr>
        <w:instrText>noteIndex</w:instrText>
      </w:r>
      <w:r w:rsidR="0004027B" w:rsidRPr="00FE2263">
        <w:rPr>
          <w:rStyle w:val="affb"/>
          <w:u w:val="single"/>
        </w:rPr>
        <w:instrText>":0},"</w:instrText>
      </w:r>
      <w:r w:rsidR="0004027B" w:rsidRPr="00FE2263">
        <w:rPr>
          <w:rStyle w:val="affb"/>
          <w:u w:val="single"/>
          <w:lang w:val="en-US"/>
        </w:rPr>
        <w:instrText>schema</w:instrText>
      </w:r>
      <w:r w:rsidR="0004027B" w:rsidRPr="00FE2263">
        <w:rPr>
          <w:rStyle w:val="affb"/>
          <w:u w:val="single"/>
        </w:rPr>
        <w:instrText>":"</w:instrText>
      </w:r>
      <w:r w:rsidR="0004027B" w:rsidRPr="00FE2263">
        <w:rPr>
          <w:rStyle w:val="affb"/>
          <w:u w:val="single"/>
          <w:lang w:val="en-US"/>
        </w:rPr>
        <w:instrText>https</w:instrText>
      </w:r>
      <w:r w:rsidR="0004027B" w:rsidRPr="00FE2263">
        <w:rPr>
          <w:rStyle w:val="affb"/>
          <w:u w:val="single"/>
        </w:rPr>
        <w:instrText>://</w:instrText>
      </w:r>
      <w:r w:rsidR="0004027B" w:rsidRPr="00FE2263">
        <w:rPr>
          <w:rStyle w:val="affb"/>
          <w:u w:val="single"/>
          <w:lang w:val="en-US"/>
        </w:rPr>
        <w:instrText>github</w:instrText>
      </w:r>
      <w:r w:rsidR="0004027B" w:rsidRPr="00FE2263">
        <w:rPr>
          <w:rStyle w:val="affb"/>
          <w:u w:val="single"/>
        </w:rPr>
        <w:instrText>.</w:instrText>
      </w:r>
      <w:r w:rsidR="0004027B" w:rsidRPr="00FE2263">
        <w:rPr>
          <w:rStyle w:val="affb"/>
          <w:u w:val="single"/>
          <w:lang w:val="en-US"/>
        </w:rPr>
        <w:instrText>com</w:instrText>
      </w:r>
      <w:r w:rsidR="0004027B" w:rsidRPr="00FE2263">
        <w:rPr>
          <w:rStyle w:val="affb"/>
          <w:u w:val="single"/>
        </w:rPr>
        <w:instrText>/</w:instrText>
      </w:r>
      <w:r w:rsidR="0004027B" w:rsidRPr="00FE2263">
        <w:rPr>
          <w:rStyle w:val="affb"/>
          <w:u w:val="single"/>
          <w:lang w:val="en-US"/>
        </w:rPr>
        <w:instrText>citation</w:instrText>
      </w:r>
      <w:r w:rsidR="0004027B" w:rsidRPr="00FE2263">
        <w:rPr>
          <w:rStyle w:val="affb"/>
          <w:u w:val="single"/>
        </w:rPr>
        <w:instrText>-</w:instrText>
      </w:r>
      <w:r w:rsidR="0004027B" w:rsidRPr="00FE2263">
        <w:rPr>
          <w:rStyle w:val="affb"/>
          <w:u w:val="single"/>
          <w:lang w:val="en-US"/>
        </w:rPr>
        <w:instrText>style</w:instrText>
      </w:r>
      <w:r w:rsidR="0004027B" w:rsidRPr="00FE2263">
        <w:rPr>
          <w:rStyle w:val="affb"/>
          <w:u w:val="single"/>
        </w:rPr>
        <w:instrText>-</w:instrText>
      </w:r>
      <w:r w:rsidR="0004027B" w:rsidRPr="00FE2263">
        <w:rPr>
          <w:rStyle w:val="affb"/>
          <w:u w:val="single"/>
          <w:lang w:val="en-US"/>
        </w:rPr>
        <w:instrText>language</w:instrText>
      </w:r>
      <w:r w:rsidR="0004027B" w:rsidRPr="00FE2263">
        <w:rPr>
          <w:rStyle w:val="affb"/>
          <w:u w:val="single"/>
        </w:rPr>
        <w:instrText>/</w:instrText>
      </w:r>
      <w:r w:rsidR="0004027B" w:rsidRPr="00FE2263">
        <w:rPr>
          <w:rStyle w:val="affb"/>
          <w:u w:val="single"/>
          <w:lang w:val="en-US"/>
        </w:rPr>
        <w:instrText>schema</w:instrText>
      </w:r>
      <w:r w:rsidR="0004027B" w:rsidRPr="00FE2263">
        <w:rPr>
          <w:rStyle w:val="affb"/>
          <w:u w:val="single"/>
        </w:rPr>
        <w:instrText>/</w:instrText>
      </w:r>
      <w:r w:rsidR="0004027B" w:rsidRPr="00FE2263">
        <w:rPr>
          <w:rStyle w:val="affb"/>
          <w:u w:val="single"/>
          <w:lang w:val="en-US"/>
        </w:rPr>
        <w:instrText>raw</w:instrText>
      </w:r>
      <w:r w:rsidR="0004027B" w:rsidRPr="00FE2263">
        <w:rPr>
          <w:rStyle w:val="affb"/>
          <w:u w:val="single"/>
        </w:rPr>
        <w:instrText>/</w:instrText>
      </w:r>
      <w:r w:rsidR="0004027B" w:rsidRPr="00FE2263">
        <w:rPr>
          <w:rStyle w:val="affb"/>
          <w:u w:val="single"/>
          <w:lang w:val="en-US"/>
        </w:rPr>
        <w:instrText>master</w:instrText>
      </w:r>
      <w:r w:rsidR="0004027B" w:rsidRPr="00FE2263">
        <w:rPr>
          <w:rStyle w:val="affb"/>
          <w:u w:val="single"/>
        </w:rPr>
        <w:instrText>/</w:instrText>
      </w:r>
      <w:r w:rsidR="0004027B" w:rsidRPr="00FE2263">
        <w:rPr>
          <w:rStyle w:val="affb"/>
          <w:u w:val="single"/>
          <w:lang w:val="en-US"/>
        </w:rPr>
        <w:instrText>csl</w:instrText>
      </w:r>
      <w:r w:rsidR="0004027B" w:rsidRPr="00FE2263">
        <w:rPr>
          <w:rStyle w:val="affb"/>
          <w:u w:val="single"/>
        </w:rPr>
        <w:instrText>-</w:instrText>
      </w:r>
      <w:r w:rsidR="0004027B" w:rsidRPr="00FE2263">
        <w:rPr>
          <w:rStyle w:val="affb"/>
          <w:u w:val="single"/>
          <w:lang w:val="en-US"/>
        </w:rPr>
        <w:instrText>citation</w:instrText>
      </w:r>
      <w:r w:rsidR="0004027B" w:rsidRPr="00FE2263">
        <w:rPr>
          <w:rStyle w:val="affb"/>
          <w:u w:val="single"/>
        </w:rPr>
        <w:instrText>.</w:instrText>
      </w:r>
      <w:r w:rsidR="0004027B" w:rsidRPr="00FE2263">
        <w:rPr>
          <w:rStyle w:val="affb"/>
          <w:u w:val="single"/>
          <w:lang w:val="en-US"/>
        </w:rPr>
        <w:instrText>json</w:instrText>
      </w:r>
      <w:r w:rsidR="0004027B" w:rsidRPr="00FE2263">
        <w:rPr>
          <w:rStyle w:val="affb"/>
          <w:u w:val="single"/>
        </w:rPr>
        <w:instrText>"}</w:instrText>
      </w:r>
      <w:r w:rsidR="0004027B" w:rsidRPr="00FE2263">
        <w:rPr>
          <w:rStyle w:val="affb"/>
          <w:u w:val="single"/>
          <w:lang w:val="en-US"/>
        </w:rPr>
        <w:fldChar w:fldCharType="separate"/>
      </w:r>
      <w:r w:rsidR="0004027B" w:rsidRPr="00FE2263">
        <w:rPr>
          <w:rStyle w:val="affb"/>
          <w:b w:val="0"/>
          <w:noProof/>
        </w:rPr>
        <w:t>[21]</w:t>
      </w:r>
      <w:r w:rsidR="0004027B" w:rsidRPr="00FE2263">
        <w:rPr>
          <w:rStyle w:val="affb"/>
          <w:u w:val="single"/>
          <w:lang w:val="en-US"/>
        </w:rPr>
        <w:fldChar w:fldCharType="end"/>
      </w:r>
    </w:p>
    <w:p w14:paraId="4CBD7925" w14:textId="77777777" w:rsidR="00B16138" w:rsidRPr="00FE2263" w:rsidRDefault="00B16138" w:rsidP="00C46D62">
      <w:pPr>
        <w:pStyle w:val="afd"/>
        <w:spacing w:beforeAutospacing="0" w:afterAutospacing="0" w:line="360" w:lineRule="auto"/>
      </w:pPr>
      <w:r w:rsidRPr="00FE2263">
        <w:t>Ритуксимаб** – 375 мг/м</w:t>
      </w:r>
      <w:r w:rsidRPr="00FE2263">
        <w:rPr>
          <w:vertAlign w:val="superscript"/>
        </w:rPr>
        <w:t>2</w:t>
      </w:r>
      <w:r w:rsidRPr="00FE2263">
        <w:t xml:space="preserve"> в/в, день 1</w:t>
      </w:r>
    </w:p>
    <w:p w14:paraId="1BDD6A3E" w14:textId="77777777" w:rsidR="00B16138" w:rsidRPr="00FE2263" w:rsidRDefault="00B16138" w:rsidP="003D7932">
      <w:pPr>
        <w:pStyle w:val="afd"/>
        <w:spacing w:beforeAutospacing="0" w:afterAutospacing="0" w:line="360" w:lineRule="auto"/>
      </w:pPr>
      <w:r w:rsidRPr="00FE2263">
        <w:t>Циклофосфамид** – 100 мг/м2 внутрь 2 р/день, дни 1-5</w:t>
      </w:r>
    </w:p>
    <w:p w14:paraId="18419249" w14:textId="77777777" w:rsidR="00B16138" w:rsidRPr="00FE2263" w:rsidRDefault="00B16138" w:rsidP="003D7932">
      <w:pPr>
        <w:pStyle w:val="afd"/>
        <w:spacing w:beforeAutospacing="0" w:afterAutospacing="0" w:line="360" w:lineRule="auto"/>
      </w:pPr>
      <w:r w:rsidRPr="00FE2263">
        <w:t>Дексаметазон** – 20 мг в/в, день1</w:t>
      </w:r>
    </w:p>
    <w:p w14:paraId="2695B21E" w14:textId="77777777" w:rsidR="00B16138" w:rsidRPr="00FE2263" w:rsidRDefault="00B16138" w:rsidP="003D7932">
      <w:pPr>
        <w:pStyle w:val="afd"/>
        <w:spacing w:beforeAutospacing="0" w:afterAutospacing="0" w:line="360" w:lineRule="auto"/>
      </w:pPr>
      <w:r w:rsidRPr="00FE2263">
        <w:t>Лечение возобновляется на 22-й день. Проводят 6 курсов</w:t>
      </w:r>
    </w:p>
    <w:p w14:paraId="57DEFA32" w14:textId="24A726E7" w:rsidR="00B16138" w:rsidRPr="00FE2263" w:rsidRDefault="00B16138" w:rsidP="0010608C">
      <w:pPr>
        <w:pStyle w:val="afd"/>
        <w:numPr>
          <w:ilvl w:val="0"/>
          <w:numId w:val="15"/>
        </w:numPr>
        <w:spacing w:beforeAutospacing="0" w:afterAutospacing="0" w:line="360" w:lineRule="auto"/>
        <w:jc w:val="left"/>
      </w:pPr>
      <w:r w:rsidRPr="00FE2263">
        <w:rPr>
          <w:rStyle w:val="affb"/>
          <w:u w:val="single"/>
          <w:lang w:val="en-US"/>
        </w:rPr>
        <w:t>CPR</w:t>
      </w:r>
      <w:r w:rsidR="0004027B" w:rsidRPr="00FE2263">
        <w:rPr>
          <w:rStyle w:val="affb"/>
          <w:u w:val="single"/>
        </w:rPr>
        <w:t xml:space="preserve"> </w:t>
      </w:r>
      <w:r w:rsidR="0004027B" w:rsidRPr="00FE2263">
        <w:rPr>
          <w:rStyle w:val="affb"/>
          <w:u w:val="single"/>
          <w:lang w:val="en-US"/>
        </w:rPr>
        <w:fldChar w:fldCharType="begin" w:fldLock="1"/>
      </w:r>
      <w:r w:rsidR="009D41F9">
        <w:rPr>
          <w:rStyle w:val="affb"/>
          <w:u w:val="single"/>
          <w:lang w:val="en-US"/>
        </w:rPr>
        <w:instrText>ADDIN CSL_CITATION {"citationItems":[{"id":"ITEM-1","itemData":{"DOI":"10.3816/CLM.2009.n.016","ISSN":"15579190","abstract":"Since the adoption of rituximab, the importance of doxorubicin and vincristine as treatment components remains to be clarified in Waldenström's macroglobulinemia (WM). We therefore examined the outcomes of symptomatic patients with WM who received CHOP-R (cyclophosphamide/doxorubicin/ vincristine/prednisone plus rituximab; n = 23), CVP-R (cyclophosphamide/ vincristine/ prednisone plus rituximab; n = 16), or CP-R (cyclophosphamide/ prednisone plus rituximab; n = 19) at our institution. Baseline characteristics for all 3 cohorts were similar for age, previous therapies, bone marrow involvement, hematocrit, platelet count, and serum β&lt;sub&gt;2&lt;/ sub&gt;-microglobulin, though serum immunoglobulin M levels were higher in patients treated with CHOP-R (P .015). The overall response rates (ORR) and complete response (CR) rates to therapy were as follows: CHOP-R (ORR, 96%; CR, 17%); CVP-R (ORR 88%; CR 12%); CP-R (ORR, 95%; CR, 0%); P = not significant. Adverse events attributed to therapy showed a higher incidence for neutropenic fever and treatment-related neuropathy for CHOP-R and CVP-R versus CPR (P &lt; .03). The results of this study demonstrate comparable responses among patients with WM receiving CHOP-R, CVP-R, or CP-R, though a significantly higher incidence of treatment-related neuropathy and febrile neutropenia was observed among patients treated with CVP-R and CHOP-R versus CP-R. The use of CP-R might provide analogous treatment responses to more intense cyclophosphamide-based regimens while minimizing treatment-related complications in patients with WM.","author":[{"dropping-particle":"","family":"Ioakimidis","given":"Leukothea","non-dropping-particle":"","parse-names":false,"suffix":""},{"dropping-particle":"","family":"Patterson","given":"Christopher","non-dropping-particle":"","parse-names":false,"suffix":""},{"dropping-particle":"","family":"Hunter","given":"Zachary","non-dropping-particle":"","parse-names":false,"suffix":""},{"dropping-particle":"","family":"Soumerai","given":"Jacob","non-dropping-particle":"","parse-names":false,"suffix":""},{"dropping-particle":"","family":"Manning","given":"Robert","non-dropping-particle":"","parse-names":false,"suffix":""},{"dropping-particle":"","family":"Turnbull","given":"Barry","non-dropping-particle":"","parse-names":false,"suffix":""},{"dropping-particle":"","family":"Sheehy","given":"Patricia","non-dropping-particle":"","parse-names":false,"suffix":""},{"dropping-particle":"","family":"Treon","given":"Steven","non-dropping-particle":"","parse-names":false,"suffix":""}],"container-title":"Clinical Lymphoma and Myeloma","id":"ITEM-1","issue":"1","issued":{"date-parts":[["2009","3"]]},"page":"62-66","publisher":"Cancer Information Group, LP","title":"Comparative outcomes following CP-R, CVP-R, and CHOP-R in Waldenström's macroglobulinemia","type":"article-journal","volume":"9"},"uris":["http://www.mendeley.com/documents/?uuid=cdee16ce-557d-346c-add6-4fc42c938fb1"]}],"mendeley":{"formattedCitation":"[62]","plainTextFormattedCitation":"[62]","previouslyFormattedCitation":"[62]"},"properties":{"noteIndex":0},"schema":"https://github.com/citation-style-language/schema/raw/master/csl-citation.json"}</w:instrText>
      </w:r>
      <w:r w:rsidR="0004027B" w:rsidRPr="00FE2263">
        <w:rPr>
          <w:rStyle w:val="affb"/>
          <w:u w:val="single"/>
          <w:lang w:val="en-US"/>
        </w:rPr>
        <w:fldChar w:fldCharType="separate"/>
      </w:r>
      <w:r w:rsidR="004C3BA5" w:rsidRPr="004C3BA5">
        <w:rPr>
          <w:rStyle w:val="affb"/>
          <w:b w:val="0"/>
          <w:noProof/>
        </w:rPr>
        <w:t>[62]</w:t>
      </w:r>
      <w:r w:rsidR="0004027B" w:rsidRPr="00FE2263">
        <w:rPr>
          <w:rStyle w:val="affb"/>
          <w:u w:val="single"/>
          <w:lang w:val="en-US"/>
        </w:rPr>
        <w:fldChar w:fldCharType="end"/>
      </w:r>
    </w:p>
    <w:p w14:paraId="20312D14" w14:textId="77777777" w:rsidR="00B16138" w:rsidRPr="00FE2263" w:rsidRDefault="00B16138" w:rsidP="003D7932">
      <w:pPr>
        <w:pStyle w:val="afd"/>
        <w:spacing w:beforeAutospacing="0" w:afterAutospacing="0" w:line="360" w:lineRule="auto"/>
      </w:pPr>
      <w:r w:rsidRPr="00FE2263">
        <w:t>Ритуксимаб** – 375 мг/м</w:t>
      </w:r>
      <w:r w:rsidRPr="00FE2263">
        <w:rPr>
          <w:vertAlign w:val="superscript"/>
        </w:rPr>
        <w:t>2</w:t>
      </w:r>
      <w:r w:rsidRPr="00FE2263">
        <w:t xml:space="preserve"> в/в, день1</w:t>
      </w:r>
    </w:p>
    <w:p w14:paraId="199B14BC" w14:textId="77777777" w:rsidR="00B16138" w:rsidRPr="00FE2263" w:rsidRDefault="00B16138" w:rsidP="003D7932">
      <w:pPr>
        <w:pStyle w:val="afd"/>
        <w:spacing w:beforeAutospacing="0" w:afterAutospacing="0" w:line="360" w:lineRule="auto"/>
      </w:pPr>
      <w:r w:rsidRPr="00FE2263">
        <w:t>Циклофосфамид** – 1 г/м</w:t>
      </w:r>
      <w:r w:rsidRPr="00FE2263">
        <w:rPr>
          <w:vertAlign w:val="superscript"/>
        </w:rPr>
        <w:t>2</w:t>
      </w:r>
      <w:r w:rsidRPr="00FE2263">
        <w:t xml:space="preserve"> в/в, день1</w:t>
      </w:r>
    </w:p>
    <w:p w14:paraId="6D773A2C" w14:textId="77777777" w:rsidR="00B16138" w:rsidRPr="00FE2263" w:rsidRDefault="00B16138" w:rsidP="003D7932">
      <w:pPr>
        <w:pStyle w:val="afd"/>
        <w:spacing w:beforeAutospacing="0" w:afterAutospacing="0" w:line="360" w:lineRule="auto"/>
      </w:pPr>
      <w:r w:rsidRPr="00FE2263">
        <w:t>Преднизолон** – 100 мг внутрь, дни 1-5</w:t>
      </w:r>
    </w:p>
    <w:p w14:paraId="11FFADF0" w14:textId="77777777" w:rsidR="00B16138" w:rsidRPr="00FE2263" w:rsidRDefault="00B16138" w:rsidP="007E22FB">
      <w:pPr>
        <w:pStyle w:val="afd"/>
        <w:spacing w:beforeAutospacing="0" w:afterAutospacing="0" w:line="360" w:lineRule="auto"/>
      </w:pPr>
      <w:r w:rsidRPr="00FE2263">
        <w:t>Лечение возобновляется на 22-й день. Проводят 6-8 курсов.</w:t>
      </w:r>
    </w:p>
    <w:p w14:paraId="18C07EB8" w14:textId="75E4F32F" w:rsidR="00B16138" w:rsidRPr="00FE2263" w:rsidRDefault="00B16138" w:rsidP="0010608C">
      <w:pPr>
        <w:pStyle w:val="afd"/>
        <w:numPr>
          <w:ilvl w:val="0"/>
          <w:numId w:val="16"/>
        </w:numPr>
        <w:spacing w:beforeAutospacing="0" w:afterAutospacing="0" w:line="360" w:lineRule="auto"/>
        <w:jc w:val="left"/>
      </w:pPr>
      <w:r w:rsidRPr="00FE2263">
        <w:rPr>
          <w:rStyle w:val="affb"/>
          <w:u w:val="single"/>
        </w:rPr>
        <w:t>Монотерапия флударабином</w:t>
      </w:r>
      <w:r w:rsidRPr="00FE2263">
        <w:t>**</w:t>
      </w:r>
      <w:r w:rsidR="0004027B" w:rsidRPr="00FE2263">
        <w:t xml:space="preserve"> </w:t>
      </w:r>
      <w:r w:rsidR="0004027B" w:rsidRPr="00FE2263">
        <w:rPr>
          <w:lang w:val="en-US"/>
        </w:rPr>
        <w:fldChar w:fldCharType="begin" w:fldLock="1"/>
      </w:r>
      <w:r w:rsidR="009D41F9">
        <w:rPr>
          <w:lang w:val="en-US"/>
        </w:rPr>
        <w:instrText>ADDIN CSL_CITATION {"citationItems":[{"id":"ITEM-1","itemData":{"DOI":"10.1200/JCO.2012.44.7920","ISSN":"0732183X","abstract":"Purpose: Treatment options for patients with Waldenström macroglobulinemia (WM) and closely related disorders include alkylating agents, purine analogs, and monoclonal antibodies. No large randomized studies have yet been reported comparing any of these approaches. Patients and Methods: The randomized WM1 study (Trial Comparing Chlorambucil to Fludarabine in Patients With Advanced Waldenström Macroglobulinemia) was undertaken in 101 centers in five countries enrolling 414 eligible patients (339 with WM, 37 with non-mucosa-associated lymphoid tissue marginal zone lymphoma, and 38 with lymphoplasmacytic lymphoma) who were randomly assigned to receive chlorambucil or fludarabine. The primary end point was the overall response rate (ORR). Results: On the basis of intent-to-treat analysis, the ORR was 47.8% (95% CI, 40.9% to 54.8%) in the fludarabine arm versus 38.6% (95% CI, 32.0% to 45.7%) in the chlorambucil arm (P =.07). With a median follow-up of 36 months (interquartile range, 18 to 58 months), median progressionfree survival (PFS), and duration of response (DR) were significantly improved in the fludarabine arm compared with the chlorambucil arm: PFS, 36.3 versus 27.1 months (P =.012) and DR, 38.3 versus 19.9 months (P&lt;.001). In patients with WM, median overall survival (OS) was not reached in the fludarabine arm versus 69.8 months in the chlorambucil arm (95% CI, 61.6 to 79.8 months; P =.014). Grade 3 to 4 neutropenia was significantly higher among patients treated with fludarabine (36%) compared with patients treated with chlorambuci (17.8%; P&lt;.001). Second malignancies were significantly more frequent in the chlorambuci arm with 6-year cumulative incidence rate of 20.6% versus 3.7% in the fludarabine arm (P =.001). Conclusion: In the complete intent-to-treat study population, fludarabine significantly improved PFS compared with chlorambucil, and in patients with WM, it improved OS © 2012 by American Society of Clinical Oncology.","author":[{"dropping-particle":"","family":"Leblond","given":"Véronique","non-dropping-particle":"","parse-names":false,"suffix":""},{"dropping-particle":"","family":"Johnson","given":"Steve","non-dropping-particle":"","parse-names":false,"suffix":""},{"dropping-particle":"","family":"Chevret","given":"Sylvie","non-dropping-particle":"","parse-names":false,"suffix":""},{"dropping-particle":"","family":"Copplestone","given":"Adrian","non-dropping-particle":"","parse-names":false,"suffix":""},{"dropping-particle":"","family":"Rule","given":"Simon","non-dropping-particle":"","parse-names":false,"suffix":""},{"dropping-particle":"","family":"Tournilhac","given":"Olivier","non-dropping-particle":"","parse-names":false,"suffix":""},{"dropping-particle":"","family":"Seymour","given":"John Francis","non-dropping-particle":"","parse-names":false,"suffix":""},{"dropping-particle":"","family":"Patmore","given":"Russell D.","non-dropping-particle":"","parse-names":false,"suffix":""},{"dropping-particle":"","family":"Wright","given":"David","non-dropping-particle":"","parse-names":false,"suffix":""},{"dropping-particle":"","family":"Morel","given":"Pierre","non-dropping-particle":"","parse-names":false,"suffix":""},{"dropping-particle":"","family":"Dilhuydy","given":"Marie Sarah","non-dropping-particle":"","parse-names":false,"suffix":""},{"dropping-particle":"","family":"Willoughby","given":"Sara","non-dropping-particle":"","parse-names":false,"suffix":""},{"dropping-particle":"","family":"Dartigeas","given":"Caroline","non-dropping-particle":"","parse-names":false,"suffix":""},{"dropping-particle":"","family":"Malphettes","given":"Marion","non-dropping-particle":"","parse-names":false,"suffix":""},{"dropping-particle":"","family":"Royer","given":"Bruno","non-dropping-particle":"","parse-names":false,"suffix":""},{"dropping-particle":"","family":"Ewings","given":"Maeve","non-dropping-particle":"","parse-names":false,"suffix":""},{"dropping-particle":"","family":"Pratt","given":"Guy","non-dropping-particle":"","parse-names":false,"suffix":""},{"dropping-particle":"","family":"Lejeune","given":"Julie","non-dropping-particle":"","parse-names":false,"suffix":""},{"dropping-particle":"","family":"Nguyen-Khac","given":"Florence","non-dropping-particle":"","parse-names":false,"suffix":""},{"dropping-particle":"","family":"Choquet","given":"Sylvain","non-dropping-particle":"","parse-names":false,"suffix":""},{"dropping-particle":"","family":"Owen","given":"Roger G.","non-dropping-particle":"","parse-names":false,"suffix":""}],"container-title":"Journal of Clinical Oncology","id":"ITEM-1","issue":"3","issued":{"date-parts":[["2013","1","20"]]},"page":"301-307","title":"Results of a randomized Trial of Chlorambucil versus Fludarabine for patients with untreated Waldenström Macroglobulinemia, marginal zone lymphoma, or lymphoplasmacytic lymphoma","type":"article-journal","volume":"31"},"uris":["http://www.mendeley.com/documents/?uuid=7994b881-f5c9-37f7-a625-678dc212298e"]}],"mendeley":{"formattedCitation":"[63]","plainTextFormattedCitation":"[63]","previouslyFormattedCitation":"[63]"},"properties":{"noteIndex":0},"schema":"https://github.com/citation-style-language/schema/raw/master/csl-citation.json"}</w:instrText>
      </w:r>
      <w:r w:rsidR="0004027B" w:rsidRPr="00FE2263">
        <w:rPr>
          <w:lang w:val="en-US"/>
        </w:rPr>
        <w:fldChar w:fldCharType="separate"/>
      </w:r>
      <w:r w:rsidR="004C3BA5" w:rsidRPr="004C3BA5">
        <w:rPr>
          <w:noProof/>
        </w:rPr>
        <w:t>[63]</w:t>
      </w:r>
      <w:r w:rsidR="0004027B" w:rsidRPr="00FE2263">
        <w:rPr>
          <w:lang w:val="en-US"/>
        </w:rPr>
        <w:fldChar w:fldCharType="end"/>
      </w:r>
    </w:p>
    <w:p w14:paraId="2BCA2AF7" w14:textId="77777777" w:rsidR="00B16138" w:rsidRPr="00FE2263" w:rsidRDefault="00B16138" w:rsidP="007E22FB">
      <w:pPr>
        <w:pStyle w:val="afd"/>
        <w:spacing w:beforeAutospacing="0" w:afterAutospacing="0" w:line="360" w:lineRule="auto"/>
      </w:pPr>
      <w:r w:rsidRPr="00FE2263">
        <w:t>Флударабин** – 25 мг/м</w:t>
      </w:r>
      <w:r w:rsidRPr="00FE2263">
        <w:rPr>
          <w:vertAlign w:val="superscript"/>
        </w:rPr>
        <w:t>2</w:t>
      </w:r>
      <w:r w:rsidRPr="00FE2263">
        <w:t xml:space="preserve"> в/в, дни 1-5 (1-4)</w:t>
      </w:r>
    </w:p>
    <w:p w14:paraId="05DF2292" w14:textId="77777777" w:rsidR="00B16138" w:rsidRPr="00FE2263" w:rsidRDefault="00B16138" w:rsidP="007E22FB">
      <w:pPr>
        <w:pStyle w:val="afd"/>
        <w:spacing w:beforeAutospacing="0" w:afterAutospacing="0" w:line="360" w:lineRule="auto"/>
      </w:pPr>
      <w:r w:rsidRPr="00FE2263">
        <w:t>Лечение возобновляется на 29-й день. Проводят 4-6 курсов</w:t>
      </w:r>
    </w:p>
    <w:p w14:paraId="5C3DF089" w14:textId="087B5D64" w:rsidR="00B16138" w:rsidRPr="00FE2263" w:rsidRDefault="00B16138" w:rsidP="0010608C">
      <w:pPr>
        <w:pStyle w:val="afd"/>
        <w:numPr>
          <w:ilvl w:val="0"/>
          <w:numId w:val="17"/>
        </w:numPr>
        <w:spacing w:beforeAutospacing="0" w:afterAutospacing="0" w:line="360" w:lineRule="auto"/>
        <w:jc w:val="left"/>
      </w:pPr>
      <w:r w:rsidRPr="00FE2263">
        <w:rPr>
          <w:rStyle w:val="affb"/>
          <w:u w:val="single"/>
        </w:rPr>
        <w:t>FR</w:t>
      </w:r>
      <w:r w:rsidR="0004027B" w:rsidRPr="00FE2263">
        <w:rPr>
          <w:rStyle w:val="affb"/>
          <w:u w:val="single"/>
        </w:rPr>
        <w:t xml:space="preserve"> </w:t>
      </w:r>
      <w:r w:rsidR="0004027B" w:rsidRPr="00FE2263">
        <w:rPr>
          <w:rStyle w:val="affb"/>
          <w:u w:val="single"/>
          <w:lang w:val="en-US"/>
        </w:rPr>
        <w:fldChar w:fldCharType="begin" w:fldLock="1"/>
      </w:r>
      <w:r w:rsidR="0004027B" w:rsidRPr="00FE2263">
        <w:rPr>
          <w:rStyle w:val="affb"/>
          <w:u w:val="single"/>
          <w:lang w:val="en-US"/>
        </w:rPr>
        <w:instrText>ADDIN</w:instrText>
      </w:r>
      <w:r w:rsidR="0004027B" w:rsidRPr="00FE2263">
        <w:rPr>
          <w:rStyle w:val="affb"/>
          <w:u w:val="single"/>
        </w:rPr>
        <w:instrText xml:space="preserve"> </w:instrText>
      </w:r>
      <w:r w:rsidR="0004027B" w:rsidRPr="00FE2263">
        <w:rPr>
          <w:rStyle w:val="affb"/>
          <w:u w:val="single"/>
          <w:lang w:val="en-US"/>
        </w:rPr>
        <w:instrText>CSL</w:instrText>
      </w:r>
      <w:r w:rsidR="0004027B" w:rsidRPr="00FE2263">
        <w:rPr>
          <w:rStyle w:val="affb"/>
          <w:u w:val="single"/>
        </w:rPr>
        <w:instrText>_</w:instrText>
      </w:r>
      <w:r w:rsidR="0004027B" w:rsidRPr="00FE2263">
        <w:rPr>
          <w:rStyle w:val="affb"/>
          <w:u w:val="single"/>
          <w:lang w:val="en-US"/>
        </w:rPr>
        <w:instrText>CITATION</w:instrText>
      </w:r>
      <w:r w:rsidR="0004027B" w:rsidRPr="00FE2263">
        <w:rPr>
          <w:rStyle w:val="affb"/>
          <w:u w:val="single"/>
        </w:rPr>
        <w:instrText xml:space="preserve"> {"</w:instrText>
      </w:r>
      <w:r w:rsidR="0004027B" w:rsidRPr="00FE2263">
        <w:rPr>
          <w:rStyle w:val="affb"/>
          <w:u w:val="single"/>
          <w:lang w:val="en-US"/>
        </w:rPr>
        <w:instrText>citationItems</w:instrText>
      </w:r>
      <w:r w:rsidR="0004027B" w:rsidRPr="00FE2263">
        <w:rPr>
          <w:rStyle w:val="affb"/>
          <w:u w:val="single"/>
        </w:rPr>
        <w:instrText>":[{"</w:instrText>
      </w:r>
      <w:r w:rsidR="0004027B" w:rsidRPr="00FE2263">
        <w:rPr>
          <w:rStyle w:val="affb"/>
          <w:u w:val="single"/>
          <w:lang w:val="en-US"/>
        </w:rPr>
        <w:instrText>id</w:instrText>
      </w:r>
      <w:r w:rsidR="0004027B" w:rsidRPr="00FE2263">
        <w:rPr>
          <w:rStyle w:val="affb"/>
          <w:u w:val="single"/>
        </w:rPr>
        <w:instrText>":"</w:instrText>
      </w:r>
      <w:r w:rsidR="0004027B" w:rsidRPr="00FE2263">
        <w:rPr>
          <w:rStyle w:val="affb"/>
          <w:u w:val="single"/>
          <w:lang w:val="en-US"/>
        </w:rPr>
        <w:instrText>ITEM</w:instrText>
      </w:r>
      <w:r w:rsidR="0004027B" w:rsidRPr="00FE2263">
        <w:rPr>
          <w:rStyle w:val="affb"/>
          <w:u w:val="single"/>
        </w:rPr>
        <w:instrText>-1","</w:instrText>
      </w:r>
      <w:r w:rsidR="0004027B" w:rsidRPr="00FE2263">
        <w:rPr>
          <w:rStyle w:val="affb"/>
          <w:u w:val="single"/>
          <w:lang w:val="en-US"/>
        </w:rPr>
        <w:instrText>itemData</w:instrText>
      </w:r>
      <w:r w:rsidR="0004027B" w:rsidRPr="00FE2263">
        <w:rPr>
          <w:rStyle w:val="affb"/>
          <w:u w:val="single"/>
        </w:rPr>
        <w:instrText>":{"</w:instrText>
      </w:r>
      <w:r w:rsidR="0004027B" w:rsidRPr="00FE2263">
        <w:rPr>
          <w:rStyle w:val="affb"/>
          <w:u w:val="single"/>
          <w:lang w:val="en-US"/>
        </w:rPr>
        <w:instrText>DOI</w:instrText>
      </w:r>
      <w:r w:rsidR="0004027B" w:rsidRPr="00FE2263">
        <w:rPr>
          <w:rStyle w:val="affb"/>
          <w:u w:val="single"/>
        </w:rPr>
        <w:instrText>":"10.1182/</w:instrText>
      </w:r>
      <w:r w:rsidR="0004027B" w:rsidRPr="00FE2263">
        <w:rPr>
          <w:rStyle w:val="affb"/>
          <w:u w:val="single"/>
          <w:lang w:val="en-US"/>
        </w:rPr>
        <w:instrText>blood</w:instrText>
      </w:r>
      <w:r w:rsidR="0004027B" w:rsidRPr="00FE2263">
        <w:rPr>
          <w:rStyle w:val="affb"/>
          <w:u w:val="single"/>
        </w:rPr>
        <w:instrText>-2008-09-177329","</w:instrText>
      </w:r>
      <w:r w:rsidR="0004027B" w:rsidRPr="00FE2263">
        <w:rPr>
          <w:rStyle w:val="affb"/>
          <w:u w:val="single"/>
          <w:lang w:val="en-US"/>
        </w:rPr>
        <w:instrText>ISSN</w:instrText>
      </w:r>
      <w:r w:rsidR="0004027B" w:rsidRPr="00FE2263">
        <w:rPr>
          <w:rStyle w:val="affb"/>
          <w:u w:val="single"/>
        </w:rPr>
        <w:instrText>":"00064971","</w:instrText>
      </w:r>
      <w:r w:rsidR="0004027B" w:rsidRPr="00FE2263">
        <w:rPr>
          <w:rStyle w:val="affb"/>
          <w:u w:val="single"/>
          <w:lang w:val="en-US"/>
        </w:rPr>
        <w:instrText>abstract</w:instrText>
      </w:r>
      <w:r w:rsidR="0004027B" w:rsidRPr="00FE2263">
        <w:rPr>
          <w:rStyle w:val="affb"/>
          <w:u w:val="single"/>
        </w:rPr>
        <w:instrText>":"</w:instrText>
      </w:r>
      <w:r w:rsidR="0004027B" w:rsidRPr="00FE2263">
        <w:rPr>
          <w:rStyle w:val="affb"/>
          <w:u w:val="single"/>
          <w:lang w:val="en-US"/>
        </w:rPr>
        <w:instrText>We</w:instrText>
      </w:r>
      <w:r w:rsidR="0004027B" w:rsidRPr="00FE2263">
        <w:rPr>
          <w:rStyle w:val="affb"/>
          <w:u w:val="single"/>
        </w:rPr>
        <w:instrText xml:space="preserve"> </w:instrText>
      </w:r>
      <w:r w:rsidR="0004027B" w:rsidRPr="00FE2263">
        <w:rPr>
          <w:rStyle w:val="affb"/>
          <w:u w:val="single"/>
          <w:lang w:val="en-US"/>
        </w:rPr>
        <w:instrText>report</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long</w:instrText>
      </w:r>
      <w:r w:rsidR="0004027B" w:rsidRPr="00FE2263">
        <w:rPr>
          <w:rStyle w:val="affb"/>
          <w:u w:val="single"/>
        </w:rPr>
        <w:instrText>-</w:instrText>
      </w:r>
      <w:r w:rsidR="0004027B" w:rsidRPr="00FE2263">
        <w:rPr>
          <w:rStyle w:val="affb"/>
          <w:u w:val="single"/>
          <w:lang w:val="en-US"/>
        </w:rPr>
        <w:instrText>term</w:instrText>
      </w:r>
      <w:r w:rsidR="0004027B" w:rsidRPr="00FE2263">
        <w:rPr>
          <w:rStyle w:val="affb"/>
          <w:u w:val="single"/>
        </w:rPr>
        <w:instrText xml:space="preserve"> </w:instrText>
      </w:r>
      <w:r w:rsidR="0004027B" w:rsidRPr="00FE2263">
        <w:rPr>
          <w:rStyle w:val="affb"/>
          <w:u w:val="single"/>
          <w:lang w:val="en-US"/>
        </w:rPr>
        <w:instrText>outcome</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multicenter</w:instrText>
      </w:r>
      <w:r w:rsidR="0004027B" w:rsidRPr="00FE2263">
        <w:rPr>
          <w:rStyle w:val="affb"/>
          <w:u w:val="single"/>
        </w:rPr>
        <w:instrText xml:space="preserve">, </w:instrText>
      </w:r>
      <w:r w:rsidR="0004027B" w:rsidRPr="00FE2263">
        <w:rPr>
          <w:rStyle w:val="affb"/>
          <w:u w:val="single"/>
          <w:lang w:val="en-US"/>
        </w:rPr>
        <w:instrText>prospective</w:instrText>
      </w:r>
      <w:r w:rsidR="0004027B" w:rsidRPr="00FE2263">
        <w:rPr>
          <w:rStyle w:val="affb"/>
          <w:u w:val="single"/>
        </w:rPr>
        <w:instrText xml:space="preserve"> </w:instrText>
      </w:r>
      <w:r w:rsidR="0004027B" w:rsidRPr="00FE2263">
        <w:rPr>
          <w:rStyle w:val="affb"/>
          <w:u w:val="single"/>
          <w:lang w:val="en-US"/>
        </w:rPr>
        <w:instrText>study</w:instrText>
      </w:r>
      <w:r w:rsidR="0004027B" w:rsidRPr="00FE2263">
        <w:rPr>
          <w:rStyle w:val="affb"/>
          <w:u w:val="single"/>
        </w:rPr>
        <w:instrText xml:space="preserve"> </w:instrText>
      </w:r>
      <w:r w:rsidR="0004027B" w:rsidRPr="00FE2263">
        <w:rPr>
          <w:rStyle w:val="affb"/>
          <w:u w:val="single"/>
          <w:lang w:val="en-US"/>
        </w:rPr>
        <w:instrText>examining</w:instrText>
      </w:r>
      <w:r w:rsidR="0004027B" w:rsidRPr="00FE2263">
        <w:rPr>
          <w:rStyle w:val="affb"/>
          <w:u w:val="single"/>
        </w:rPr>
        <w:instrText xml:space="preserve"> </w:instrText>
      </w:r>
      <w:r w:rsidR="0004027B" w:rsidRPr="00FE2263">
        <w:rPr>
          <w:rStyle w:val="affb"/>
          <w:u w:val="single"/>
          <w:lang w:val="en-US"/>
        </w:rPr>
        <w:instrText>fludarabine</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w:instrText>
      </w:r>
      <w:r w:rsidR="0004027B" w:rsidRPr="00FE2263">
        <w:rPr>
          <w:rStyle w:val="affb"/>
          <w:u w:val="single"/>
          <w:lang w:val="en-US"/>
        </w:rPr>
        <w:instrText>in</w:instrText>
      </w:r>
      <w:r w:rsidR="0004027B" w:rsidRPr="00FE2263">
        <w:rPr>
          <w:rStyle w:val="affb"/>
          <w:u w:val="single"/>
        </w:rPr>
        <w:instrText xml:space="preserve"> </w:instrText>
      </w:r>
      <w:r w:rsidR="0004027B" w:rsidRPr="00FE2263">
        <w:rPr>
          <w:rStyle w:val="affb"/>
          <w:u w:val="single"/>
          <w:lang w:val="en-US"/>
        </w:rPr>
        <w:instrText>Waldenstr</w:instrText>
      </w:r>
      <w:r w:rsidR="0004027B" w:rsidRPr="00FE2263">
        <w:rPr>
          <w:rStyle w:val="affb"/>
          <w:u w:val="single"/>
        </w:rPr>
        <w:instrText>ö</w:instrText>
      </w:r>
      <w:r w:rsidR="0004027B" w:rsidRPr="00FE2263">
        <w:rPr>
          <w:rStyle w:val="affb"/>
          <w:u w:val="single"/>
          <w:lang w:val="en-US"/>
        </w:rPr>
        <w:instrText>m</w:instrText>
      </w:r>
      <w:r w:rsidR="0004027B" w:rsidRPr="00FE2263">
        <w:rPr>
          <w:rStyle w:val="affb"/>
          <w:u w:val="single"/>
        </w:rPr>
        <w:instrText xml:space="preserve"> </w:instrText>
      </w:r>
      <w:r w:rsidR="0004027B" w:rsidRPr="00FE2263">
        <w:rPr>
          <w:rStyle w:val="affb"/>
          <w:u w:val="single"/>
          <w:lang w:val="en-US"/>
        </w:rPr>
        <w:instrText>macroglobulinemia</w:instrText>
      </w:r>
      <w:r w:rsidR="0004027B" w:rsidRPr="00FE2263">
        <w:rPr>
          <w:rStyle w:val="affb"/>
          <w:u w:val="single"/>
        </w:rPr>
        <w:instrText xml:space="preserve"> (</w:instrText>
      </w:r>
      <w:r w:rsidR="0004027B" w:rsidRPr="00FE2263">
        <w:rPr>
          <w:rStyle w:val="affb"/>
          <w:u w:val="single"/>
          <w:lang w:val="en-US"/>
        </w:rPr>
        <w:instrText>WM</w:instrText>
      </w:r>
      <w:r w:rsidR="0004027B" w:rsidRPr="00FE2263">
        <w:rPr>
          <w:rStyle w:val="affb"/>
          <w:u w:val="single"/>
        </w:rPr>
        <w:instrText xml:space="preserve">). </w:instrText>
      </w:r>
      <w:r w:rsidR="0004027B" w:rsidRPr="00FE2263">
        <w:rPr>
          <w:rStyle w:val="affb"/>
          <w:u w:val="single"/>
          <w:lang w:val="en-US"/>
        </w:rPr>
        <w:instrText>WM</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with</w:instrText>
      </w:r>
      <w:r w:rsidR="0004027B" w:rsidRPr="00FE2263">
        <w:rPr>
          <w:rStyle w:val="affb"/>
          <w:u w:val="single"/>
        </w:rPr>
        <w:instrText xml:space="preserve"> </w:instrText>
      </w:r>
      <w:r w:rsidR="0004027B" w:rsidRPr="00FE2263">
        <w:rPr>
          <w:rStyle w:val="affb"/>
          <w:u w:val="single"/>
          <w:lang w:val="en-US"/>
        </w:rPr>
        <w:instrText>less</w:instrText>
      </w:r>
      <w:r w:rsidR="0004027B" w:rsidRPr="00FE2263">
        <w:rPr>
          <w:rStyle w:val="affb"/>
          <w:u w:val="single"/>
        </w:rPr>
        <w:instrText xml:space="preserve"> </w:instrText>
      </w:r>
      <w:r w:rsidR="0004027B" w:rsidRPr="00FE2263">
        <w:rPr>
          <w:rStyle w:val="affb"/>
          <w:u w:val="single"/>
          <w:lang w:val="en-US"/>
        </w:rPr>
        <w:instrText>than</w:instrText>
      </w:r>
      <w:r w:rsidR="0004027B" w:rsidRPr="00FE2263">
        <w:rPr>
          <w:rStyle w:val="affb"/>
          <w:u w:val="single"/>
        </w:rPr>
        <w:instrText xml:space="preserve"> 2 </w:instrText>
      </w:r>
      <w:r w:rsidR="0004027B" w:rsidRPr="00FE2263">
        <w:rPr>
          <w:rStyle w:val="affb"/>
          <w:u w:val="single"/>
          <w:lang w:val="en-US"/>
        </w:rPr>
        <w:instrText>prior</w:instrText>
      </w:r>
      <w:r w:rsidR="0004027B" w:rsidRPr="00FE2263">
        <w:rPr>
          <w:rStyle w:val="affb"/>
          <w:u w:val="single"/>
        </w:rPr>
        <w:instrText xml:space="preserve"> </w:instrText>
      </w:r>
      <w:r w:rsidR="0004027B" w:rsidRPr="00FE2263">
        <w:rPr>
          <w:rStyle w:val="affb"/>
          <w:u w:val="single"/>
          <w:lang w:val="en-US"/>
        </w:rPr>
        <w:instrText>therapies</w:instrText>
      </w:r>
      <w:r w:rsidR="0004027B" w:rsidRPr="00FE2263">
        <w:rPr>
          <w:rStyle w:val="affb"/>
          <w:u w:val="single"/>
        </w:rPr>
        <w:instrText xml:space="preserve"> </w:instrText>
      </w:r>
      <w:r w:rsidR="0004027B" w:rsidRPr="00FE2263">
        <w:rPr>
          <w:rStyle w:val="affb"/>
          <w:u w:val="single"/>
          <w:lang w:val="en-US"/>
        </w:rPr>
        <w:instrText>were</w:instrText>
      </w:r>
      <w:r w:rsidR="0004027B" w:rsidRPr="00FE2263">
        <w:rPr>
          <w:rStyle w:val="affb"/>
          <w:u w:val="single"/>
        </w:rPr>
        <w:instrText xml:space="preserve"> </w:instrText>
      </w:r>
      <w:r w:rsidR="0004027B" w:rsidRPr="00FE2263">
        <w:rPr>
          <w:rStyle w:val="affb"/>
          <w:u w:val="single"/>
          <w:lang w:val="en-US"/>
        </w:rPr>
        <w:instrText>eligible</w:instrText>
      </w:r>
      <w:r w:rsidR="0004027B" w:rsidRPr="00FE2263">
        <w:rPr>
          <w:rStyle w:val="affb"/>
          <w:u w:val="single"/>
        </w:rPr>
        <w:instrText xml:space="preserve">. </w:instrText>
      </w:r>
      <w:r w:rsidR="0004027B" w:rsidRPr="00FE2263">
        <w:rPr>
          <w:rStyle w:val="affb"/>
          <w:u w:val="single"/>
          <w:lang w:val="en-US"/>
        </w:rPr>
        <w:instrText>Intended</w:instrText>
      </w:r>
      <w:r w:rsidR="0004027B" w:rsidRPr="00FE2263">
        <w:rPr>
          <w:rStyle w:val="affb"/>
          <w:u w:val="single"/>
        </w:rPr>
        <w:instrText xml:space="preserve"> </w:instrText>
      </w:r>
      <w:r w:rsidR="0004027B" w:rsidRPr="00FE2263">
        <w:rPr>
          <w:rStyle w:val="affb"/>
          <w:u w:val="single"/>
          <w:lang w:val="en-US"/>
        </w:rPr>
        <w:instrText>therapy</w:instrText>
      </w:r>
      <w:r w:rsidR="0004027B" w:rsidRPr="00FE2263">
        <w:rPr>
          <w:rStyle w:val="affb"/>
          <w:u w:val="single"/>
        </w:rPr>
        <w:instrText xml:space="preserve"> </w:instrText>
      </w:r>
      <w:r w:rsidR="0004027B" w:rsidRPr="00FE2263">
        <w:rPr>
          <w:rStyle w:val="affb"/>
          <w:u w:val="single"/>
          <w:lang w:val="en-US"/>
        </w:rPr>
        <w:instrText>consisted</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6 </w:instrText>
      </w:r>
      <w:r w:rsidR="0004027B" w:rsidRPr="00FE2263">
        <w:rPr>
          <w:rStyle w:val="affb"/>
          <w:u w:val="single"/>
          <w:lang w:val="en-US"/>
        </w:rPr>
        <w:instrText>cycles</w:instrText>
      </w:r>
      <w:r w:rsidR="0004027B" w:rsidRPr="00FE2263">
        <w:rPr>
          <w:rStyle w:val="affb"/>
          <w:u w:val="single"/>
        </w:rPr>
        <w:instrText xml:space="preserve"> (25 </w:instrText>
      </w:r>
      <w:r w:rsidR="0004027B" w:rsidRPr="00FE2263">
        <w:rPr>
          <w:rStyle w:val="affb"/>
          <w:u w:val="single"/>
          <w:lang w:val="en-US"/>
        </w:rPr>
        <w:instrText>mg</w:instrText>
      </w:r>
      <w:r w:rsidR="0004027B" w:rsidRPr="00FE2263">
        <w:rPr>
          <w:rStyle w:val="affb"/>
          <w:u w:val="single"/>
        </w:rPr>
        <w:instrText>/</w:instrText>
      </w:r>
      <w:r w:rsidR="0004027B" w:rsidRPr="00FE2263">
        <w:rPr>
          <w:rStyle w:val="affb"/>
          <w:u w:val="single"/>
          <w:lang w:val="en-US"/>
        </w:rPr>
        <w:instrText>m</w:instrText>
      </w:r>
      <w:r w:rsidR="0004027B" w:rsidRPr="00FE2263">
        <w:rPr>
          <w:rStyle w:val="affb"/>
          <w:u w:val="single"/>
        </w:rPr>
        <w:instrText xml:space="preserve"> 2 </w:instrText>
      </w:r>
      <w:r w:rsidR="0004027B" w:rsidRPr="00FE2263">
        <w:rPr>
          <w:rStyle w:val="affb"/>
          <w:u w:val="single"/>
          <w:lang w:val="en-US"/>
        </w:rPr>
        <w:instrText>per</w:instrText>
      </w:r>
      <w:r w:rsidR="0004027B" w:rsidRPr="00FE2263">
        <w:rPr>
          <w:rStyle w:val="affb"/>
          <w:u w:val="single"/>
        </w:rPr>
        <w:instrText xml:space="preserve"> </w:instrText>
      </w:r>
      <w:r w:rsidR="0004027B" w:rsidRPr="00FE2263">
        <w:rPr>
          <w:rStyle w:val="affb"/>
          <w:u w:val="single"/>
          <w:lang w:val="en-US"/>
        </w:rPr>
        <w:instrText>day</w:instrText>
      </w:r>
      <w:r w:rsidR="0004027B" w:rsidRPr="00FE2263">
        <w:rPr>
          <w:rStyle w:val="affb"/>
          <w:u w:val="single"/>
        </w:rPr>
        <w:instrText xml:space="preserve"> </w:instrText>
      </w:r>
      <w:r w:rsidR="0004027B" w:rsidRPr="00FE2263">
        <w:rPr>
          <w:rStyle w:val="affb"/>
          <w:u w:val="single"/>
          <w:lang w:val="en-US"/>
        </w:rPr>
        <w:instrText>for</w:instrText>
      </w:r>
      <w:r w:rsidR="0004027B" w:rsidRPr="00FE2263">
        <w:rPr>
          <w:rStyle w:val="affb"/>
          <w:u w:val="single"/>
        </w:rPr>
        <w:instrText xml:space="preserve"> 5 </w:instrText>
      </w:r>
      <w:r w:rsidR="0004027B" w:rsidRPr="00FE2263">
        <w:rPr>
          <w:rStyle w:val="affb"/>
          <w:u w:val="single"/>
          <w:lang w:val="en-US"/>
        </w:rPr>
        <w:instrText>days</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fludarabine</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8 </w:instrText>
      </w:r>
      <w:r w:rsidR="0004027B" w:rsidRPr="00FE2263">
        <w:rPr>
          <w:rStyle w:val="affb"/>
          <w:u w:val="single"/>
          <w:lang w:val="en-US"/>
        </w:rPr>
        <w:instrText>infusions</w:instrText>
      </w:r>
      <w:r w:rsidR="0004027B" w:rsidRPr="00FE2263">
        <w:rPr>
          <w:rStyle w:val="affb"/>
          <w:u w:val="single"/>
        </w:rPr>
        <w:instrText xml:space="preserve"> (375 </w:instrText>
      </w:r>
      <w:r w:rsidR="0004027B" w:rsidRPr="00FE2263">
        <w:rPr>
          <w:rStyle w:val="affb"/>
          <w:u w:val="single"/>
          <w:lang w:val="en-US"/>
        </w:rPr>
        <w:instrText>mg</w:instrText>
      </w:r>
      <w:r w:rsidR="0004027B" w:rsidRPr="00FE2263">
        <w:rPr>
          <w:rStyle w:val="affb"/>
          <w:u w:val="single"/>
        </w:rPr>
        <w:instrText>/</w:instrText>
      </w:r>
      <w:r w:rsidR="0004027B" w:rsidRPr="00FE2263">
        <w:rPr>
          <w:rStyle w:val="affb"/>
          <w:u w:val="single"/>
          <w:lang w:val="en-US"/>
        </w:rPr>
        <w:instrText>m</w:instrText>
      </w:r>
      <w:r w:rsidR="0004027B" w:rsidRPr="00FE2263">
        <w:rPr>
          <w:rStyle w:val="affb"/>
          <w:u w:val="single"/>
        </w:rPr>
        <w:instrText xml:space="preserve"> 2 </w:instrText>
      </w:r>
      <w:r w:rsidR="0004027B" w:rsidRPr="00FE2263">
        <w:rPr>
          <w:rStyle w:val="affb"/>
          <w:u w:val="single"/>
          <w:lang w:val="en-US"/>
        </w:rPr>
        <w:instrText>per</w:instrText>
      </w:r>
      <w:r w:rsidR="0004027B" w:rsidRPr="00FE2263">
        <w:rPr>
          <w:rStyle w:val="affb"/>
          <w:u w:val="single"/>
        </w:rPr>
        <w:instrText xml:space="preserve"> </w:instrText>
      </w:r>
      <w:r w:rsidR="0004027B" w:rsidRPr="00FE2263">
        <w:rPr>
          <w:rStyle w:val="affb"/>
          <w:u w:val="single"/>
          <w:lang w:val="en-US"/>
        </w:rPr>
        <w:instrText>week</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w:instrText>
      </w:r>
      <w:r w:rsidR="0004027B" w:rsidRPr="00FE2263">
        <w:rPr>
          <w:rStyle w:val="affb"/>
          <w:u w:val="single"/>
          <w:lang w:val="en-US"/>
        </w:rPr>
        <w:instrText>Atotal</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43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were</w:instrText>
      </w:r>
      <w:r w:rsidR="0004027B" w:rsidRPr="00FE2263">
        <w:rPr>
          <w:rStyle w:val="affb"/>
          <w:u w:val="single"/>
        </w:rPr>
        <w:instrText xml:space="preserve"> </w:instrText>
      </w:r>
      <w:r w:rsidR="0004027B" w:rsidRPr="00FE2263">
        <w:rPr>
          <w:rStyle w:val="affb"/>
          <w:u w:val="single"/>
          <w:lang w:val="en-US"/>
        </w:rPr>
        <w:instrText>enrolled</w:instrText>
      </w:r>
      <w:r w:rsidR="0004027B" w:rsidRPr="00FE2263">
        <w:rPr>
          <w:rStyle w:val="affb"/>
          <w:u w:val="single"/>
        </w:rPr>
        <w:instrText xml:space="preserve">. </w:instrText>
      </w:r>
      <w:r w:rsidR="0004027B" w:rsidRPr="00FE2263">
        <w:rPr>
          <w:rStyle w:val="affb"/>
          <w:u w:val="single"/>
          <w:lang w:val="en-US"/>
        </w:rPr>
        <w:instrText>Responses</w:instrText>
      </w:r>
      <w:r w:rsidR="0004027B" w:rsidRPr="00FE2263">
        <w:rPr>
          <w:rStyle w:val="affb"/>
          <w:u w:val="single"/>
        </w:rPr>
        <w:instrText xml:space="preserve"> </w:instrText>
      </w:r>
      <w:r w:rsidR="0004027B" w:rsidRPr="00FE2263">
        <w:rPr>
          <w:rStyle w:val="affb"/>
          <w:u w:val="single"/>
          <w:lang w:val="en-US"/>
        </w:rPr>
        <w:instrText>were</w:instrText>
      </w:r>
      <w:r w:rsidR="0004027B" w:rsidRPr="00FE2263">
        <w:rPr>
          <w:rStyle w:val="affb"/>
          <w:u w:val="single"/>
        </w:rPr>
        <w:instrText xml:space="preserve">: </w:instrText>
      </w:r>
      <w:r w:rsidR="0004027B" w:rsidRPr="00FE2263">
        <w:rPr>
          <w:rStyle w:val="affb"/>
          <w:u w:val="single"/>
          <w:lang w:val="en-US"/>
        </w:rPr>
        <w:instrText>complete</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n</w:instrText>
      </w:r>
      <w:r w:rsidR="0004027B" w:rsidRPr="00FE2263">
        <w:rPr>
          <w:rStyle w:val="affb"/>
          <w:u w:val="single"/>
        </w:rPr>
        <w:instrText xml:space="preserve"> = 2), </w:instrText>
      </w:r>
      <w:r w:rsidR="0004027B" w:rsidRPr="00FE2263">
        <w:rPr>
          <w:rStyle w:val="affb"/>
          <w:u w:val="single"/>
          <w:lang w:val="en-US"/>
        </w:rPr>
        <w:instrText>very</w:instrText>
      </w:r>
      <w:r w:rsidR="0004027B" w:rsidRPr="00FE2263">
        <w:rPr>
          <w:rStyle w:val="affb"/>
          <w:u w:val="single"/>
        </w:rPr>
        <w:instrText xml:space="preserve"> </w:instrText>
      </w:r>
      <w:r w:rsidR="0004027B" w:rsidRPr="00FE2263">
        <w:rPr>
          <w:rStyle w:val="affb"/>
          <w:u w:val="single"/>
          <w:lang w:val="en-US"/>
        </w:rPr>
        <w:instrText>good</w:instrText>
      </w:r>
      <w:r w:rsidR="0004027B" w:rsidRPr="00FE2263">
        <w:rPr>
          <w:rStyle w:val="affb"/>
          <w:u w:val="single"/>
        </w:rPr>
        <w:instrText xml:space="preserve"> </w:instrText>
      </w:r>
      <w:r w:rsidR="0004027B" w:rsidRPr="00FE2263">
        <w:rPr>
          <w:rStyle w:val="affb"/>
          <w:u w:val="single"/>
          <w:lang w:val="en-US"/>
        </w:rPr>
        <w:instrText>partial</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n</w:instrText>
      </w:r>
      <w:r w:rsidR="0004027B" w:rsidRPr="00FE2263">
        <w:rPr>
          <w:rStyle w:val="affb"/>
          <w:u w:val="single"/>
        </w:rPr>
        <w:instrText xml:space="preserve"> = 14), </w:instrText>
      </w:r>
      <w:r w:rsidR="0004027B" w:rsidRPr="00FE2263">
        <w:rPr>
          <w:rStyle w:val="affb"/>
          <w:u w:val="single"/>
          <w:lang w:val="en-US"/>
        </w:rPr>
        <w:instrText>partial</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n</w:instrText>
      </w:r>
      <w:r w:rsidR="0004027B" w:rsidRPr="00FE2263">
        <w:rPr>
          <w:rStyle w:val="affb"/>
          <w:u w:val="single"/>
        </w:rPr>
        <w:instrText xml:space="preserve"> = 21),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minor</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n</w:instrText>
      </w:r>
      <w:r w:rsidR="0004027B" w:rsidRPr="00FE2263">
        <w:rPr>
          <w:rStyle w:val="affb"/>
          <w:u w:val="single"/>
        </w:rPr>
        <w:instrText xml:space="preserve"> = 4), </w:instrText>
      </w:r>
      <w:r w:rsidR="0004027B" w:rsidRPr="00FE2263">
        <w:rPr>
          <w:rStyle w:val="affb"/>
          <w:u w:val="single"/>
          <w:lang w:val="en-US"/>
        </w:rPr>
        <w:instrText>for</w:instrText>
      </w:r>
      <w:r w:rsidR="0004027B" w:rsidRPr="00FE2263">
        <w:rPr>
          <w:rStyle w:val="affb"/>
          <w:u w:val="single"/>
        </w:rPr>
        <w:instrText xml:space="preserve"> </w:instrText>
      </w:r>
      <w:r w:rsidR="0004027B" w:rsidRPr="00FE2263">
        <w:rPr>
          <w:rStyle w:val="affb"/>
          <w:u w:val="single"/>
          <w:lang w:val="en-US"/>
        </w:rPr>
        <w:instrText>overall</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major</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rates</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95.3% </w:instrText>
      </w:r>
      <w:r w:rsidR="0004027B" w:rsidRPr="00FE2263">
        <w:rPr>
          <w:rStyle w:val="affb"/>
          <w:u w:val="single"/>
          <w:lang w:val="en-US"/>
        </w:rPr>
        <w:instrText>and</w:instrText>
      </w:r>
      <w:r w:rsidR="0004027B" w:rsidRPr="00FE2263">
        <w:rPr>
          <w:rStyle w:val="affb"/>
          <w:u w:val="single"/>
        </w:rPr>
        <w:instrText xml:space="preserve"> 86.0%, </w:instrText>
      </w:r>
      <w:r w:rsidR="0004027B" w:rsidRPr="00FE2263">
        <w:rPr>
          <w:rStyle w:val="affb"/>
          <w:u w:val="single"/>
          <w:lang w:val="en-US"/>
        </w:rPr>
        <w:instrText>respectively</w:instrText>
      </w:r>
      <w:r w:rsidR="0004027B" w:rsidRPr="00FE2263">
        <w:rPr>
          <w:rStyle w:val="affb"/>
          <w:u w:val="single"/>
        </w:rPr>
        <w:instrText xml:space="preserve">. </w:instrText>
      </w:r>
      <w:r w:rsidR="0004027B" w:rsidRPr="00FE2263">
        <w:rPr>
          <w:rStyle w:val="affb"/>
          <w:u w:val="single"/>
          <w:lang w:val="en-US"/>
        </w:rPr>
        <w:instrText>Median</w:instrText>
      </w:r>
      <w:r w:rsidR="0004027B" w:rsidRPr="00FE2263">
        <w:rPr>
          <w:rStyle w:val="affb"/>
          <w:u w:val="single"/>
        </w:rPr>
        <w:instrText xml:space="preserve"> </w:instrText>
      </w:r>
      <w:r w:rsidR="0004027B" w:rsidRPr="00FE2263">
        <w:rPr>
          <w:rStyle w:val="affb"/>
          <w:u w:val="single"/>
          <w:lang w:val="en-US"/>
        </w:rPr>
        <w:instrText>time</w:instrText>
      </w:r>
      <w:r w:rsidR="0004027B" w:rsidRPr="00FE2263">
        <w:rPr>
          <w:rStyle w:val="affb"/>
          <w:u w:val="single"/>
        </w:rPr>
        <w:instrText xml:space="preserve"> </w:instrText>
      </w:r>
      <w:r w:rsidR="0004027B" w:rsidRPr="00FE2263">
        <w:rPr>
          <w:rStyle w:val="affb"/>
          <w:u w:val="single"/>
          <w:lang w:val="en-US"/>
        </w:rPr>
        <w:instrText>to</w:instrText>
      </w:r>
      <w:r w:rsidR="0004027B" w:rsidRPr="00FE2263">
        <w:rPr>
          <w:rStyle w:val="affb"/>
          <w:u w:val="single"/>
        </w:rPr>
        <w:instrText xml:space="preserve"> </w:instrText>
      </w:r>
      <w:r w:rsidR="0004027B" w:rsidRPr="00FE2263">
        <w:rPr>
          <w:rStyle w:val="affb"/>
          <w:u w:val="single"/>
          <w:lang w:val="en-US"/>
        </w:rPr>
        <w:instrText>progression</w:instrText>
      </w:r>
      <w:r w:rsidR="0004027B" w:rsidRPr="00FE2263">
        <w:rPr>
          <w:rStyle w:val="affb"/>
          <w:u w:val="single"/>
        </w:rPr>
        <w:instrText xml:space="preserve"> </w:instrText>
      </w:r>
      <w:r w:rsidR="0004027B" w:rsidRPr="00FE2263">
        <w:rPr>
          <w:rStyle w:val="affb"/>
          <w:u w:val="single"/>
          <w:lang w:val="en-US"/>
        </w:rPr>
        <w:instrText>for</w:instrText>
      </w:r>
      <w:r w:rsidR="0004027B" w:rsidRPr="00FE2263">
        <w:rPr>
          <w:rStyle w:val="affb"/>
          <w:u w:val="single"/>
        </w:rPr>
        <w:instrText xml:space="preserve"> </w:instrText>
      </w:r>
      <w:r w:rsidR="0004027B" w:rsidRPr="00FE2263">
        <w:rPr>
          <w:rStyle w:val="affb"/>
          <w:u w:val="single"/>
          <w:lang w:val="en-US"/>
        </w:rPr>
        <w:instrText>all</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was</w:instrText>
      </w:r>
      <w:r w:rsidR="0004027B" w:rsidRPr="00FE2263">
        <w:rPr>
          <w:rStyle w:val="affb"/>
          <w:u w:val="single"/>
        </w:rPr>
        <w:instrText xml:space="preserve"> 51.2 </w:instrText>
      </w:r>
      <w:r w:rsidR="0004027B" w:rsidRPr="00FE2263">
        <w:rPr>
          <w:rStyle w:val="affb"/>
          <w:u w:val="single"/>
          <w:lang w:val="en-US"/>
        </w:rPr>
        <w:instrText>months</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was</w:instrText>
      </w:r>
      <w:r w:rsidR="0004027B" w:rsidRPr="00FE2263">
        <w:rPr>
          <w:rStyle w:val="affb"/>
          <w:u w:val="single"/>
        </w:rPr>
        <w:instrText xml:space="preserve"> </w:instrText>
      </w:r>
      <w:r w:rsidR="0004027B" w:rsidRPr="00FE2263">
        <w:rPr>
          <w:rStyle w:val="affb"/>
          <w:u w:val="single"/>
          <w:lang w:val="en-US"/>
        </w:rPr>
        <w:instrText>longer</w:instrText>
      </w:r>
      <w:r w:rsidR="0004027B" w:rsidRPr="00FE2263">
        <w:rPr>
          <w:rStyle w:val="affb"/>
          <w:u w:val="single"/>
        </w:rPr>
        <w:instrText xml:space="preserve"> </w:instrText>
      </w:r>
      <w:r w:rsidR="0004027B" w:rsidRPr="00FE2263">
        <w:rPr>
          <w:rStyle w:val="affb"/>
          <w:u w:val="single"/>
          <w:lang w:val="en-US"/>
        </w:rPr>
        <w:instrText>for</w:instrText>
      </w:r>
      <w:r w:rsidR="0004027B" w:rsidRPr="00FE2263">
        <w:rPr>
          <w:rStyle w:val="affb"/>
          <w:u w:val="single"/>
        </w:rPr>
        <w:instrText xml:space="preserve"> </w:instrText>
      </w:r>
      <w:r w:rsidR="0004027B" w:rsidRPr="00FE2263">
        <w:rPr>
          <w:rStyle w:val="affb"/>
          <w:u w:val="single"/>
          <w:lang w:val="en-US"/>
        </w:rPr>
        <w:instrText>untreated</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P</w:instrText>
      </w:r>
      <w:r w:rsidR="0004027B" w:rsidRPr="00FE2263">
        <w:rPr>
          <w:rStyle w:val="affb"/>
          <w:u w:val="single"/>
        </w:rPr>
        <w:instrText xml:space="preserve"> = .017)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those</w:instrText>
      </w:r>
      <w:r w:rsidR="0004027B" w:rsidRPr="00FE2263">
        <w:rPr>
          <w:rStyle w:val="affb"/>
          <w:u w:val="single"/>
        </w:rPr>
        <w:instrText xml:space="preserve"> </w:instrText>
      </w:r>
      <w:r w:rsidR="0004027B" w:rsidRPr="00FE2263">
        <w:rPr>
          <w:rStyle w:val="affb"/>
          <w:u w:val="single"/>
          <w:lang w:val="en-US"/>
        </w:rPr>
        <w:instrText>achieving</w:instrText>
      </w:r>
      <w:r w:rsidR="0004027B" w:rsidRPr="00FE2263">
        <w:rPr>
          <w:rStyle w:val="affb"/>
          <w:u w:val="single"/>
        </w:rPr>
        <w:instrText xml:space="preserve"> </w:instrText>
      </w:r>
      <w:r w:rsidR="0004027B" w:rsidRPr="00FE2263">
        <w:rPr>
          <w:rStyle w:val="affb"/>
          <w:u w:val="single"/>
          <w:lang w:val="en-US"/>
        </w:rPr>
        <w:instrText>at</w:instrText>
      </w:r>
      <w:r w:rsidR="0004027B" w:rsidRPr="00FE2263">
        <w:rPr>
          <w:rStyle w:val="affb"/>
          <w:u w:val="single"/>
        </w:rPr>
        <w:instrText xml:space="preserve"> </w:instrText>
      </w:r>
      <w:r w:rsidR="0004027B" w:rsidRPr="00FE2263">
        <w:rPr>
          <w:rStyle w:val="affb"/>
          <w:u w:val="single"/>
          <w:lang w:val="en-US"/>
        </w:rPr>
        <w:instrText>least</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very</w:instrText>
      </w:r>
      <w:r w:rsidR="0004027B" w:rsidRPr="00FE2263">
        <w:rPr>
          <w:rStyle w:val="affb"/>
          <w:u w:val="single"/>
        </w:rPr>
        <w:instrText xml:space="preserve"> </w:instrText>
      </w:r>
      <w:r w:rsidR="0004027B" w:rsidRPr="00FE2263">
        <w:rPr>
          <w:rStyle w:val="affb"/>
          <w:u w:val="single"/>
          <w:lang w:val="en-US"/>
        </w:rPr>
        <w:instrText>good</w:instrText>
      </w:r>
      <w:r w:rsidR="0004027B" w:rsidRPr="00FE2263">
        <w:rPr>
          <w:rStyle w:val="affb"/>
          <w:u w:val="single"/>
        </w:rPr>
        <w:instrText xml:space="preserve"> </w:instrText>
      </w:r>
      <w:r w:rsidR="0004027B" w:rsidRPr="00FE2263">
        <w:rPr>
          <w:rStyle w:val="affb"/>
          <w:u w:val="single"/>
          <w:lang w:val="en-US"/>
        </w:rPr>
        <w:instrText>partial</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P</w:instrText>
      </w:r>
      <w:r w:rsidR="0004027B" w:rsidRPr="00FE2263">
        <w:rPr>
          <w:rStyle w:val="affb"/>
          <w:u w:val="single"/>
        </w:rPr>
        <w:instrText xml:space="preserve"> = .049). </w:instrText>
      </w:r>
      <w:r w:rsidR="0004027B" w:rsidRPr="00FE2263">
        <w:rPr>
          <w:rStyle w:val="affb"/>
          <w:u w:val="single"/>
          <w:lang w:val="en-US"/>
        </w:rPr>
        <w:instrText>Grade</w:instrText>
      </w:r>
      <w:r w:rsidR="0004027B" w:rsidRPr="00FE2263">
        <w:rPr>
          <w:rStyle w:val="affb"/>
          <w:u w:val="single"/>
        </w:rPr>
        <w:instrText xml:space="preserve"> 3 </w:instrText>
      </w:r>
      <w:r w:rsidR="0004027B" w:rsidRPr="00FE2263">
        <w:rPr>
          <w:rStyle w:val="affb"/>
          <w:u w:val="single"/>
          <w:lang w:val="en-US"/>
        </w:rPr>
        <w:instrText>or</w:instrText>
      </w:r>
      <w:r w:rsidR="0004027B" w:rsidRPr="00FE2263">
        <w:rPr>
          <w:rStyle w:val="affb"/>
          <w:u w:val="single"/>
        </w:rPr>
        <w:instrText xml:space="preserve"> </w:instrText>
      </w:r>
      <w:r w:rsidR="0004027B" w:rsidRPr="00FE2263">
        <w:rPr>
          <w:rStyle w:val="affb"/>
          <w:u w:val="single"/>
          <w:lang w:val="en-US"/>
        </w:rPr>
        <w:instrText>higher</w:instrText>
      </w:r>
      <w:r w:rsidR="0004027B" w:rsidRPr="00FE2263">
        <w:rPr>
          <w:rStyle w:val="affb"/>
          <w:u w:val="single"/>
        </w:rPr>
        <w:instrText xml:space="preserve"> </w:instrText>
      </w:r>
      <w:r w:rsidR="0004027B" w:rsidRPr="00FE2263">
        <w:rPr>
          <w:rStyle w:val="affb"/>
          <w:u w:val="single"/>
          <w:lang w:val="en-US"/>
        </w:rPr>
        <w:instrText>toxicities</w:instrText>
      </w:r>
      <w:r w:rsidR="0004027B" w:rsidRPr="00FE2263">
        <w:rPr>
          <w:rStyle w:val="affb"/>
          <w:u w:val="single"/>
        </w:rPr>
        <w:instrText xml:space="preserve"> </w:instrText>
      </w:r>
      <w:r w:rsidR="0004027B" w:rsidRPr="00FE2263">
        <w:rPr>
          <w:rStyle w:val="affb"/>
          <w:u w:val="single"/>
          <w:lang w:val="en-US"/>
        </w:rPr>
        <w:instrText>included</w:instrText>
      </w:r>
      <w:r w:rsidR="0004027B" w:rsidRPr="00FE2263">
        <w:rPr>
          <w:rStyle w:val="affb"/>
          <w:u w:val="single"/>
        </w:rPr>
        <w:instrText xml:space="preserve"> </w:instrText>
      </w:r>
      <w:r w:rsidR="0004027B" w:rsidRPr="00FE2263">
        <w:rPr>
          <w:rStyle w:val="affb"/>
          <w:u w:val="single"/>
          <w:lang w:val="en-US"/>
        </w:rPr>
        <w:instrText>neutropenia</w:instrText>
      </w:r>
      <w:r w:rsidR="0004027B" w:rsidRPr="00FE2263">
        <w:rPr>
          <w:rStyle w:val="affb"/>
          <w:u w:val="single"/>
        </w:rPr>
        <w:instrText xml:space="preserve"> (</w:instrText>
      </w:r>
      <w:r w:rsidR="0004027B" w:rsidRPr="00FE2263">
        <w:rPr>
          <w:rStyle w:val="affb"/>
          <w:u w:val="single"/>
          <w:lang w:val="en-US"/>
        </w:rPr>
        <w:instrText>n</w:instrText>
      </w:r>
      <w:r w:rsidR="0004027B" w:rsidRPr="00FE2263">
        <w:rPr>
          <w:rStyle w:val="affb"/>
          <w:u w:val="single"/>
        </w:rPr>
        <w:instrText xml:space="preserve"> = 27), </w:instrText>
      </w:r>
      <w:r w:rsidR="0004027B" w:rsidRPr="00FE2263">
        <w:rPr>
          <w:rStyle w:val="affb"/>
          <w:u w:val="single"/>
          <w:lang w:val="en-US"/>
        </w:rPr>
        <w:instrText>thrombocytopenia</w:instrText>
      </w:r>
      <w:r w:rsidR="0004027B" w:rsidRPr="00FE2263">
        <w:rPr>
          <w:rStyle w:val="affb"/>
          <w:u w:val="single"/>
        </w:rPr>
        <w:instrText xml:space="preserve"> (</w:instrText>
      </w:r>
      <w:r w:rsidR="0004027B" w:rsidRPr="00FE2263">
        <w:rPr>
          <w:rStyle w:val="affb"/>
          <w:u w:val="single"/>
          <w:lang w:val="en-US"/>
        </w:rPr>
        <w:instrText>n</w:instrText>
      </w:r>
      <w:r w:rsidR="0004027B" w:rsidRPr="00FE2263">
        <w:rPr>
          <w:rStyle w:val="affb"/>
          <w:u w:val="single"/>
        </w:rPr>
        <w:instrText xml:space="preserve"> = 7),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pneumonia</w:instrText>
      </w:r>
      <w:r w:rsidR="0004027B" w:rsidRPr="00FE2263">
        <w:rPr>
          <w:rStyle w:val="affb"/>
          <w:u w:val="single"/>
        </w:rPr>
        <w:instrText xml:space="preserve"> (</w:instrText>
      </w:r>
      <w:r w:rsidR="0004027B" w:rsidRPr="00FE2263">
        <w:rPr>
          <w:rStyle w:val="affb"/>
          <w:u w:val="single"/>
          <w:lang w:val="en-US"/>
        </w:rPr>
        <w:instrText>n</w:instrText>
      </w:r>
      <w:r w:rsidR="0004027B" w:rsidRPr="00FE2263">
        <w:rPr>
          <w:rStyle w:val="affb"/>
          <w:u w:val="single"/>
        </w:rPr>
        <w:instrText xml:space="preserve"> = 6), </w:instrText>
      </w:r>
      <w:r w:rsidR="0004027B" w:rsidRPr="00FE2263">
        <w:rPr>
          <w:rStyle w:val="affb"/>
          <w:u w:val="single"/>
          <w:lang w:val="en-US"/>
        </w:rPr>
        <w:instrText>including</w:instrText>
      </w:r>
      <w:r w:rsidR="0004027B" w:rsidRPr="00FE2263">
        <w:rPr>
          <w:rStyle w:val="affb"/>
          <w:u w:val="single"/>
        </w:rPr>
        <w:instrText xml:space="preserve"> 2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who</w:instrText>
      </w:r>
      <w:r w:rsidR="0004027B" w:rsidRPr="00FE2263">
        <w:rPr>
          <w:rStyle w:val="affb"/>
          <w:u w:val="single"/>
        </w:rPr>
        <w:instrText xml:space="preserve"> </w:instrText>
      </w:r>
      <w:r w:rsidR="0004027B" w:rsidRPr="00FE2263">
        <w:rPr>
          <w:rStyle w:val="affb"/>
          <w:u w:val="single"/>
          <w:lang w:val="en-US"/>
        </w:rPr>
        <w:instrText>died</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Pneumocystis</w:instrText>
      </w:r>
      <w:r w:rsidR="0004027B" w:rsidRPr="00FE2263">
        <w:rPr>
          <w:rStyle w:val="affb"/>
          <w:u w:val="single"/>
        </w:rPr>
        <w:instrText xml:space="preserve"> </w:instrText>
      </w:r>
      <w:r w:rsidR="0004027B" w:rsidRPr="00FE2263">
        <w:rPr>
          <w:rStyle w:val="affb"/>
          <w:u w:val="single"/>
          <w:lang w:val="en-US"/>
        </w:rPr>
        <w:instrText>carinii</w:instrText>
      </w:r>
      <w:r w:rsidR="0004027B" w:rsidRPr="00FE2263">
        <w:rPr>
          <w:rStyle w:val="affb"/>
          <w:u w:val="single"/>
        </w:rPr>
        <w:instrText xml:space="preserve"> </w:instrText>
      </w:r>
      <w:r w:rsidR="0004027B" w:rsidRPr="00FE2263">
        <w:rPr>
          <w:rStyle w:val="affb"/>
          <w:u w:val="single"/>
          <w:lang w:val="en-US"/>
        </w:rPr>
        <w:instrText>pneumonia</w:instrText>
      </w:r>
      <w:r w:rsidR="0004027B" w:rsidRPr="00FE2263">
        <w:rPr>
          <w:rStyle w:val="affb"/>
          <w:u w:val="single"/>
        </w:rPr>
        <w:instrText xml:space="preserve">. </w:instrText>
      </w:r>
      <w:r w:rsidR="0004027B" w:rsidRPr="00FE2263">
        <w:rPr>
          <w:rStyle w:val="affb"/>
          <w:u w:val="single"/>
          <w:lang w:val="en-US"/>
        </w:rPr>
        <w:instrText>With</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median</w:instrText>
      </w:r>
      <w:r w:rsidR="0004027B" w:rsidRPr="00FE2263">
        <w:rPr>
          <w:rStyle w:val="affb"/>
          <w:u w:val="single"/>
        </w:rPr>
        <w:instrText xml:space="preserve"> </w:instrText>
      </w:r>
      <w:r w:rsidR="0004027B" w:rsidRPr="00FE2263">
        <w:rPr>
          <w:rStyle w:val="affb"/>
          <w:u w:val="single"/>
          <w:lang w:val="en-US"/>
        </w:rPr>
        <w:instrText>follow</w:instrText>
      </w:r>
      <w:r w:rsidR="0004027B" w:rsidRPr="00FE2263">
        <w:rPr>
          <w:rStyle w:val="affb"/>
          <w:u w:val="single"/>
        </w:rPr>
        <w:instrText>-</w:instrText>
      </w:r>
      <w:r w:rsidR="0004027B" w:rsidRPr="00FE2263">
        <w:rPr>
          <w:rStyle w:val="affb"/>
          <w:u w:val="single"/>
          <w:lang w:val="en-US"/>
        </w:rPr>
        <w:instrText>up</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40.3 </w:instrText>
      </w:r>
      <w:r w:rsidR="0004027B" w:rsidRPr="00FE2263">
        <w:rPr>
          <w:rStyle w:val="affb"/>
          <w:u w:val="single"/>
          <w:lang w:val="en-US"/>
        </w:rPr>
        <w:instrText>months</w:instrText>
      </w:r>
      <w:r w:rsidR="0004027B" w:rsidRPr="00FE2263">
        <w:rPr>
          <w:rStyle w:val="affb"/>
          <w:u w:val="single"/>
        </w:rPr>
        <w:instrText xml:space="preserve">, </w:instrText>
      </w:r>
      <w:r w:rsidR="0004027B" w:rsidRPr="00FE2263">
        <w:rPr>
          <w:rStyle w:val="affb"/>
          <w:u w:val="single"/>
          <w:lang w:val="en-US"/>
        </w:rPr>
        <w:instrText>we</w:instrText>
      </w:r>
      <w:r w:rsidR="0004027B" w:rsidRPr="00FE2263">
        <w:rPr>
          <w:rStyle w:val="affb"/>
          <w:u w:val="single"/>
        </w:rPr>
        <w:instrText xml:space="preserve"> </w:instrText>
      </w:r>
      <w:r w:rsidR="0004027B" w:rsidRPr="00FE2263">
        <w:rPr>
          <w:rStyle w:val="affb"/>
          <w:u w:val="single"/>
          <w:lang w:val="en-US"/>
        </w:rPr>
        <w:instrText>observed</w:instrText>
      </w:r>
      <w:r w:rsidR="0004027B" w:rsidRPr="00FE2263">
        <w:rPr>
          <w:rStyle w:val="affb"/>
          <w:u w:val="single"/>
        </w:rPr>
        <w:instrText xml:space="preserve"> 3 </w:instrText>
      </w:r>
      <w:r w:rsidR="0004027B" w:rsidRPr="00FE2263">
        <w:rPr>
          <w:rStyle w:val="affb"/>
          <w:u w:val="single"/>
          <w:lang w:val="en-US"/>
        </w:rPr>
        <w:instrText>cases</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transformation</w:instrText>
      </w:r>
      <w:r w:rsidR="0004027B" w:rsidRPr="00FE2263">
        <w:rPr>
          <w:rStyle w:val="affb"/>
          <w:u w:val="single"/>
        </w:rPr>
        <w:instrText xml:space="preserve"> </w:instrText>
      </w:r>
      <w:r w:rsidR="0004027B" w:rsidRPr="00FE2263">
        <w:rPr>
          <w:rStyle w:val="affb"/>
          <w:u w:val="single"/>
          <w:lang w:val="en-US"/>
        </w:rPr>
        <w:instrText>to</w:instrText>
      </w:r>
      <w:r w:rsidR="0004027B" w:rsidRPr="00FE2263">
        <w:rPr>
          <w:rStyle w:val="affb"/>
          <w:u w:val="single"/>
        </w:rPr>
        <w:instrText xml:space="preserve"> </w:instrText>
      </w:r>
      <w:r w:rsidR="0004027B" w:rsidRPr="00FE2263">
        <w:rPr>
          <w:rStyle w:val="affb"/>
          <w:u w:val="single"/>
          <w:lang w:val="en-US"/>
        </w:rPr>
        <w:instrText>aggressive</w:instrText>
      </w:r>
      <w:r w:rsidR="0004027B" w:rsidRPr="00FE2263">
        <w:rPr>
          <w:rStyle w:val="affb"/>
          <w:u w:val="single"/>
        </w:rPr>
        <w:instrText xml:space="preserve"> </w:instrText>
      </w:r>
      <w:r w:rsidR="0004027B" w:rsidRPr="00FE2263">
        <w:rPr>
          <w:rStyle w:val="affb"/>
          <w:u w:val="single"/>
          <w:lang w:val="en-US"/>
        </w:rPr>
        <w:instrText>lymphoma</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3 </w:instrText>
      </w:r>
      <w:r w:rsidR="0004027B" w:rsidRPr="00FE2263">
        <w:rPr>
          <w:rStyle w:val="affb"/>
          <w:u w:val="single"/>
          <w:lang w:val="en-US"/>
        </w:rPr>
        <w:instrText>cases</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myelodysplastic</w:instrText>
      </w:r>
      <w:r w:rsidR="0004027B" w:rsidRPr="00FE2263">
        <w:rPr>
          <w:rStyle w:val="affb"/>
          <w:u w:val="single"/>
        </w:rPr>
        <w:instrText xml:space="preserve"> </w:instrText>
      </w:r>
      <w:r w:rsidR="0004027B" w:rsidRPr="00FE2263">
        <w:rPr>
          <w:rStyle w:val="affb"/>
          <w:u w:val="single"/>
          <w:lang w:val="en-US"/>
        </w:rPr>
        <w:instrText>syndrome</w:instrText>
      </w:r>
      <w:r w:rsidR="0004027B" w:rsidRPr="00FE2263">
        <w:rPr>
          <w:rStyle w:val="affb"/>
          <w:u w:val="single"/>
        </w:rPr>
        <w:instrText>/</w:instrText>
      </w:r>
      <w:r w:rsidR="0004027B" w:rsidRPr="00FE2263">
        <w:rPr>
          <w:rStyle w:val="affb"/>
          <w:u w:val="single"/>
          <w:lang w:val="en-US"/>
        </w:rPr>
        <w:instrText>acute</w:instrText>
      </w:r>
      <w:r w:rsidR="0004027B" w:rsidRPr="00FE2263">
        <w:rPr>
          <w:rStyle w:val="affb"/>
          <w:u w:val="single"/>
        </w:rPr>
        <w:instrText xml:space="preserve"> </w:instrText>
      </w:r>
      <w:r w:rsidR="0004027B" w:rsidRPr="00FE2263">
        <w:rPr>
          <w:rStyle w:val="affb"/>
          <w:u w:val="single"/>
          <w:lang w:val="en-US"/>
        </w:rPr>
        <w:instrText>myeloid</w:instrText>
      </w:r>
      <w:r w:rsidR="0004027B" w:rsidRPr="00FE2263">
        <w:rPr>
          <w:rStyle w:val="affb"/>
          <w:u w:val="single"/>
        </w:rPr>
        <w:instrText xml:space="preserve"> </w:instrText>
      </w:r>
      <w:r w:rsidR="0004027B" w:rsidRPr="00FE2263">
        <w:rPr>
          <w:rStyle w:val="affb"/>
          <w:u w:val="single"/>
          <w:lang w:val="en-US"/>
        </w:rPr>
        <w:instrText>leukemia</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results</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this</w:instrText>
      </w:r>
      <w:r w:rsidR="0004027B" w:rsidRPr="00FE2263">
        <w:rPr>
          <w:rStyle w:val="affb"/>
          <w:u w:val="single"/>
        </w:rPr>
        <w:instrText xml:space="preserve"> </w:instrText>
      </w:r>
      <w:r w:rsidR="0004027B" w:rsidRPr="00FE2263">
        <w:rPr>
          <w:rStyle w:val="affb"/>
          <w:u w:val="single"/>
          <w:lang w:val="en-US"/>
        </w:rPr>
        <w:instrText>study</w:instrText>
      </w:r>
      <w:r w:rsidR="0004027B" w:rsidRPr="00FE2263">
        <w:rPr>
          <w:rStyle w:val="affb"/>
          <w:u w:val="single"/>
        </w:rPr>
        <w:instrText xml:space="preserve"> </w:instrText>
      </w:r>
      <w:r w:rsidR="0004027B" w:rsidRPr="00FE2263">
        <w:rPr>
          <w:rStyle w:val="affb"/>
          <w:u w:val="single"/>
          <w:lang w:val="en-US"/>
        </w:rPr>
        <w:instrText>demonstrate</w:instrText>
      </w:r>
      <w:r w:rsidR="0004027B" w:rsidRPr="00FE2263">
        <w:rPr>
          <w:rStyle w:val="affb"/>
          <w:u w:val="single"/>
        </w:rPr>
        <w:instrText xml:space="preserve"> </w:instrText>
      </w:r>
      <w:r w:rsidR="0004027B" w:rsidRPr="00FE2263">
        <w:rPr>
          <w:rStyle w:val="affb"/>
          <w:u w:val="single"/>
          <w:lang w:val="en-US"/>
        </w:rPr>
        <w:instrText>that</w:instrText>
      </w:r>
      <w:r w:rsidR="0004027B" w:rsidRPr="00FE2263">
        <w:rPr>
          <w:rStyle w:val="affb"/>
          <w:u w:val="single"/>
        </w:rPr>
        <w:instrText xml:space="preserve"> </w:instrText>
      </w:r>
      <w:r w:rsidR="0004027B" w:rsidRPr="00FE2263">
        <w:rPr>
          <w:rStyle w:val="affb"/>
          <w:u w:val="single"/>
          <w:lang w:val="en-US"/>
        </w:rPr>
        <w:instrText>fludarabine</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w:instrText>
      </w:r>
      <w:r w:rsidR="0004027B" w:rsidRPr="00FE2263">
        <w:rPr>
          <w:rStyle w:val="affb"/>
          <w:u w:val="single"/>
          <w:lang w:val="en-US"/>
        </w:rPr>
        <w:instrText>are</w:instrText>
      </w:r>
      <w:r w:rsidR="0004027B" w:rsidRPr="00FE2263">
        <w:rPr>
          <w:rStyle w:val="affb"/>
          <w:u w:val="single"/>
        </w:rPr>
        <w:instrText xml:space="preserve"> </w:instrText>
      </w:r>
      <w:r w:rsidR="0004027B" w:rsidRPr="00FE2263">
        <w:rPr>
          <w:rStyle w:val="affb"/>
          <w:u w:val="single"/>
          <w:lang w:val="en-US"/>
        </w:rPr>
        <w:instrText>highly</w:instrText>
      </w:r>
      <w:r w:rsidR="0004027B" w:rsidRPr="00FE2263">
        <w:rPr>
          <w:rStyle w:val="affb"/>
          <w:u w:val="single"/>
        </w:rPr>
        <w:instrText xml:space="preserve"> </w:instrText>
      </w:r>
      <w:r w:rsidR="0004027B" w:rsidRPr="00FE2263">
        <w:rPr>
          <w:rStyle w:val="affb"/>
          <w:u w:val="single"/>
          <w:lang w:val="en-US"/>
        </w:rPr>
        <w:instrText>active</w:instrText>
      </w:r>
      <w:r w:rsidR="0004027B" w:rsidRPr="00FE2263">
        <w:rPr>
          <w:rStyle w:val="affb"/>
          <w:u w:val="single"/>
        </w:rPr>
        <w:instrText xml:space="preserve"> </w:instrText>
      </w:r>
      <w:r w:rsidR="0004027B" w:rsidRPr="00FE2263">
        <w:rPr>
          <w:rStyle w:val="affb"/>
          <w:u w:val="single"/>
          <w:lang w:val="en-US"/>
        </w:rPr>
        <w:instrText>in</w:instrText>
      </w:r>
      <w:r w:rsidR="0004027B" w:rsidRPr="00FE2263">
        <w:rPr>
          <w:rStyle w:val="affb"/>
          <w:u w:val="single"/>
        </w:rPr>
        <w:instrText xml:space="preserve"> </w:instrText>
      </w:r>
      <w:r w:rsidR="0004027B" w:rsidRPr="00FE2263">
        <w:rPr>
          <w:rStyle w:val="affb"/>
          <w:u w:val="single"/>
          <w:lang w:val="en-US"/>
        </w:rPr>
        <w:instrText>WM</w:instrText>
      </w:r>
      <w:r w:rsidR="0004027B" w:rsidRPr="00FE2263">
        <w:rPr>
          <w:rStyle w:val="affb"/>
          <w:u w:val="single"/>
        </w:rPr>
        <w:instrText xml:space="preserve">, </w:instrText>
      </w:r>
      <w:r w:rsidR="0004027B" w:rsidRPr="00FE2263">
        <w:rPr>
          <w:rStyle w:val="affb"/>
          <w:u w:val="single"/>
          <w:lang w:val="en-US"/>
        </w:rPr>
        <w:instrText>although</w:instrText>
      </w:r>
      <w:r w:rsidR="0004027B" w:rsidRPr="00FE2263">
        <w:rPr>
          <w:rStyle w:val="affb"/>
          <w:u w:val="single"/>
        </w:rPr>
        <w:instrText xml:space="preserve"> </w:instrText>
      </w:r>
      <w:r w:rsidR="0004027B" w:rsidRPr="00FE2263">
        <w:rPr>
          <w:rStyle w:val="affb"/>
          <w:u w:val="single"/>
          <w:lang w:val="en-US"/>
        </w:rPr>
        <w:instrText>short</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long</w:instrText>
      </w:r>
      <w:r w:rsidR="0004027B" w:rsidRPr="00FE2263">
        <w:rPr>
          <w:rStyle w:val="affb"/>
          <w:u w:val="single"/>
        </w:rPr>
        <w:instrText>-</w:instrText>
      </w:r>
      <w:r w:rsidR="0004027B" w:rsidRPr="00FE2263">
        <w:rPr>
          <w:rStyle w:val="affb"/>
          <w:u w:val="single"/>
          <w:lang w:val="en-US"/>
        </w:rPr>
        <w:instrText>term</w:instrText>
      </w:r>
      <w:r w:rsidR="0004027B" w:rsidRPr="00FE2263">
        <w:rPr>
          <w:rStyle w:val="affb"/>
          <w:u w:val="single"/>
        </w:rPr>
        <w:instrText xml:space="preserve"> </w:instrText>
      </w:r>
      <w:r w:rsidR="0004027B" w:rsidRPr="00FE2263">
        <w:rPr>
          <w:rStyle w:val="affb"/>
          <w:u w:val="single"/>
          <w:lang w:val="en-US"/>
        </w:rPr>
        <w:instrText>toxicities</w:instrText>
      </w:r>
      <w:r w:rsidR="0004027B" w:rsidRPr="00FE2263">
        <w:rPr>
          <w:rStyle w:val="affb"/>
          <w:u w:val="single"/>
        </w:rPr>
        <w:instrText xml:space="preserve"> </w:instrText>
      </w:r>
      <w:r w:rsidR="0004027B" w:rsidRPr="00FE2263">
        <w:rPr>
          <w:rStyle w:val="affb"/>
          <w:u w:val="single"/>
          <w:lang w:val="en-US"/>
        </w:rPr>
        <w:instrText>need</w:instrText>
      </w:r>
      <w:r w:rsidR="0004027B" w:rsidRPr="00FE2263">
        <w:rPr>
          <w:rStyle w:val="affb"/>
          <w:u w:val="single"/>
        </w:rPr>
        <w:instrText xml:space="preserve"> </w:instrText>
      </w:r>
      <w:r w:rsidR="0004027B" w:rsidRPr="00FE2263">
        <w:rPr>
          <w:rStyle w:val="affb"/>
          <w:u w:val="single"/>
          <w:lang w:val="en-US"/>
        </w:rPr>
        <w:instrText>to</w:instrText>
      </w:r>
      <w:r w:rsidR="0004027B" w:rsidRPr="00FE2263">
        <w:rPr>
          <w:rStyle w:val="affb"/>
          <w:u w:val="single"/>
        </w:rPr>
        <w:instrText xml:space="preserve"> </w:instrText>
      </w:r>
      <w:r w:rsidR="0004027B" w:rsidRPr="00FE2263">
        <w:rPr>
          <w:rStyle w:val="affb"/>
          <w:u w:val="single"/>
          <w:lang w:val="en-US"/>
        </w:rPr>
        <w:instrText>be</w:instrText>
      </w:r>
      <w:r w:rsidR="0004027B" w:rsidRPr="00FE2263">
        <w:rPr>
          <w:rStyle w:val="affb"/>
          <w:u w:val="single"/>
        </w:rPr>
        <w:instrText xml:space="preserve"> </w:instrText>
      </w:r>
      <w:r w:rsidR="0004027B" w:rsidRPr="00FE2263">
        <w:rPr>
          <w:rStyle w:val="affb"/>
          <w:u w:val="single"/>
          <w:lang w:val="en-US"/>
        </w:rPr>
        <w:instrText>carefully weighed against other available treatment options. This study is registered at clinicaltrials.gov as NCT00020800. © 2009 by The American Society of Hematology.","author":[{"dropping-particle":"","family":"Treon","given":"Steven P.","non-dropping-particle":"","parse-names":false,"suffix":""},{"dropping-particle":"","family":"Branagan","given":"Andrew R.","non-dropping-particle":"","parse-names":false,"suffix":""},{"dropping-particle":"","family":"Ioakimidis","given":"Leukothea","non-dropping-particle":"","parse-names":false,"suffix":""},{"dropping-particle":"","family":"Soumerai","given":"Jacob D.","non-dropping-particle":"","parse-names":false,"suffix":""},{"dropping-particle":"","family":"Patterson","given":"Christopher J.","non-dropping-particle":"","parse-names":false,"suffix":""},{"dropping-particle":"","family":"Turnbull","given":"Barry","non-dropping-particle":"","parse-names":false,"suffix":""},{"dropping-particle":"","family":"Wasi",</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Parveen</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Emmanouilides</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Christos</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Frankel</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Stanley</w:instrText>
      </w:r>
      <w:r w:rsidR="0004027B" w:rsidRPr="00FE2263">
        <w:rPr>
          <w:rStyle w:val="affb"/>
          <w:u w:val="single"/>
        </w:rPr>
        <w:instrText xml:space="preserve"> </w:instrText>
      </w:r>
      <w:r w:rsidR="0004027B" w:rsidRPr="00FE2263">
        <w:rPr>
          <w:rStyle w:val="affb"/>
          <w:u w:val="single"/>
          <w:lang w:val="en-US"/>
        </w:rPr>
        <w:instrText>R</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Lister</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Andrew</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Morel</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Pierre</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Matous</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Jeffrey</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Gregory</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Stephanie</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Kimby</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Eva</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container</w:instrText>
      </w:r>
      <w:r w:rsidR="0004027B" w:rsidRPr="00FE2263">
        <w:rPr>
          <w:rStyle w:val="affb"/>
          <w:u w:val="single"/>
        </w:rPr>
        <w:instrText>-</w:instrText>
      </w:r>
      <w:r w:rsidR="0004027B" w:rsidRPr="00FE2263">
        <w:rPr>
          <w:rStyle w:val="affb"/>
          <w:u w:val="single"/>
          <w:lang w:val="en-US"/>
        </w:rPr>
        <w:instrText>title</w:instrText>
      </w:r>
      <w:r w:rsidR="0004027B" w:rsidRPr="00FE2263">
        <w:rPr>
          <w:rStyle w:val="affb"/>
          <w:u w:val="single"/>
        </w:rPr>
        <w:instrText>":"</w:instrText>
      </w:r>
      <w:r w:rsidR="0004027B" w:rsidRPr="00FE2263">
        <w:rPr>
          <w:rStyle w:val="affb"/>
          <w:u w:val="single"/>
          <w:lang w:val="en-US"/>
        </w:rPr>
        <w:instrText>Blood</w:instrText>
      </w:r>
      <w:r w:rsidR="0004027B" w:rsidRPr="00FE2263">
        <w:rPr>
          <w:rStyle w:val="affb"/>
          <w:u w:val="single"/>
        </w:rPr>
        <w:instrText>","</w:instrText>
      </w:r>
      <w:r w:rsidR="0004027B" w:rsidRPr="00FE2263">
        <w:rPr>
          <w:rStyle w:val="affb"/>
          <w:u w:val="single"/>
          <w:lang w:val="en-US"/>
        </w:rPr>
        <w:instrText>id</w:instrText>
      </w:r>
      <w:r w:rsidR="0004027B" w:rsidRPr="00FE2263">
        <w:rPr>
          <w:rStyle w:val="affb"/>
          <w:u w:val="single"/>
        </w:rPr>
        <w:instrText>":"</w:instrText>
      </w:r>
      <w:r w:rsidR="0004027B" w:rsidRPr="00FE2263">
        <w:rPr>
          <w:rStyle w:val="affb"/>
          <w:u w:val="single"/>
          <w:lang w:val="en-US"/>
        </w:rPr>
        <w:instrText>ITEM</w:instrText>
      </w:r>
      <w:r w:rsidR="0004027B" w:rsidRPr="00FE2263">
        <w:rPr>
          <w:rStyle w:val="affb"/>
          <w:u w:val="single"/>
        </w:rPr>
        <w:instrText>-1","</w:instrText>
      </w:r>
      <w:r w:rsidR="0004027B" w:rsidRPr="00FE2263">
        <w:rPr>
          <w:rStyle w:val="affb"/>
          <w:u w:val="single"/>
          <w:lang w:val="en-US"/>
        </w:rPr>
        <w:instrText>issue</w:instrText>
      </w:r>
      <w:r w:rsidR="0004027B" w:rsidRPr="00FE2263">
        <w:rPr>
          <w:rStyle w:val="affb"/>
          <w:u w:val="single"/>
        </w:rPr>
        <w:instrText>":"16","</w:instrText>
      </w:r>
      <w:r w:rsidR="0004027B" w:rsidRPr="00FE2263">
        <w:rPr>
          <w:rStyle w:val="affb"/>
          <w:u w:val="single"/>
          <w:lang w:val="en-US"/>
        </w:rPr>
        <w:instrText>issued</w:instrText>
      </w:r>
      <w:r w:rsidR="0004027B" w:rsidRPr="00FE2263">
        <w:rPr>
          <w:rStyle w:val="affb"/>
          <w:u w:val="single"/>
        </w:rPr>
        <w:instrText>":{"</w:instrText>
      </w:r>
      <w:r w:rsidR="0004027B" w:rsidRPr="00FE2263">
        <w:rPr>
          <w:rStyle w:val="affb"/>
          <w:u w:val="single"/>
          <w:lang w:val="en-US"/>
        </w:rPr>
        <w:instrText>date</w:instrText>
      </w:r>
      <w:r w:rsidR="0004027B" w:rsidRPr="00FE2263">
        <w:rPr>
          <w:rStyle w:val="affb"/>
          <w:u w:val="single"/>
        </w:rPr>
        <w:instrText>-</w:instrText>
      </w:r>
      <w:r w:rsidR="0004027B" w:rsidRPr="00FE2263">
        <w:rPr>
          <w:rStyle w:val="affb"/>
          <w:u w:val="single"/>
          <w:lang w:val="en-US"/>
        </w:rPr>
        <w:instrText>parts</w:instrText>
      </w:r>
      <w:r w:rsidR="0004027B" w:rsidRPr="00FE2263">
        <w:rPr>
          <w:rStyle w:val="affb"/>
          <w:u w:val="single"/>
        </w:rPr>
        <w:instrText>":[["2009","4","16"]]},"</w:instrText>
      </w:r>
      <w:r w:rsidR="0004027B" w:rsidRPr="00FE2263">
        <w:rPr>
          <w:rStyle w:val="affb"/>
          <w:u w:val="single"/>
          <w:lang w:val="en-US"/>
        </w:rPr>
        <w:instrText>page</w:instrText>
      </w:r>
      <w:r w:rsidR="0004027B" w:rsidRPr="00FE2263">
        <w:rPr>
          <w:rStyle w:val="affb"/>
          <w:u w:val="single"/>
        </w:rPr>
        <w:instrText>":"3673-3678","</w:instrText>
      </w:r>
      <w:r w:rsidR="0004027B" w:rsidRPr="00FE2263">
        <w:rPr>
          <w:rStyle w:val="affb"/>
          <w:u w:val="single"/>
          <w:lang w:val="en-US"/>
        </w:rPr>
        <w:instrText>title</w:instrText>
      </w:r>
      <w:r w:rsidR="0004027B" w:rsidRPr="00FE2263">
        <w:rPr>
          <w:rStyle w:val="affb"/>
          <w:u w:val="single"/>
        </w:rPr>
        <w:instrText>":"</w:instrText>
      </w:r>
      <w:r w:rsidR="0004027B" w:rsidRPr="00FE2263">
        <w:rPr>
          <w:rStyle w:val="affb"/>
          <w:u w:val="single"/>
          <w:lang w:val="en-US"/>
        </w:rPr>
        <w:instrText>Long</w:instrText>
      </w:r>
      <w:r w:rsidR="0004027B" w:rsidRPr="00FE2263">
        <w:rPr>
          <w:rStyle w:val="affb"/>
          <w:u w:val="single"/>
        </w:rPr>
        <w:instrText>-</w:instrText>
      </w:r>
      <w:r w:rsidR="0004027B" w:rsidRPr="00FE2263">
        <w:rPr>
          <w:rStyle w:val="affb"/>
          <w:u w:val="single"/>
          <w:lang w:val="en-US"/>
        </w:rPr>
        <w:instrText>term</w:instrText>
      </w:r>
      <w:r w:rsidR="0004027B" w:rsidRPr="00FE2263">
        <w:rPr>
          <w:rStyle w:val="affb"/>
          <w:u w:val="single"/>
        </w:rPr>
        <w:instrText xml:space="preserve"> </w:instrText>
      </w:r>
      <w:r w:rsidR="0004027B" w:rsidRPr="00FE2263">
        <w:rPr>
          <w:rStyle w:val="affb"/>
          <w:u w:val="single"/>
          <w:lang w:val="en-US"/>
        </w:rPr>
        <w:instrText>outcomes</w:instrText>
      </w:r>
      <w:r w:rsidR="0004027B" w:rsidRPr="00FE2263">
        <w:rPr>
          <w:rStyle w:val="affb"/>
          <w:u w:val="single"/>
        </w:rPr>
        <w:instrText xml:space="preserve"> </w:instrText>
      </w:r>
      <w:r w:rsidR="0004027B" w:rsidRPr="00FE2263">
        <w:rPr>
          <w:rStyle w:val="affb"/>
          <w:u w:val="single"/>
          <w:lang w:val="en-US"/>
        </w:rPr>
        <w:instrText>to</w:instrText>
      </w:r>
      <w:r w:rsidR="0004027B" w:rsidRPr="00FE2263">
        <w:rPr>
          <w:rStyle w:val="affb"/>
          <w:u w:val="single"/>
        </w:rPr>
        <w:instrText xml:space="preserve"> </w:instrText>
      </w:r>
      <w:r w:rsidR="0004027B" w:rsidRPr="00FE2263">
        <w:rPr>
          <w:rStyle w:val="affb"/>
          <w:u w:val="single"/>
          <w:lang w:val="en-US"/>
        </w:rPr>
        <w:instrText>fludarabine</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w:instrText>
      </w:r>
      <w:r w:rsidR="0004027B" w:rsidRPr="00FE2263">
        <w:rPr>
          <w:rStyle w:val="affb"/>
          <w:u w:val="single"/>
          <w:lang w:val="en-US"/>
        </w:rPr>
        <w:instrText>in</w:instrText>
      </w:r>
      <w:r w:rsidR="0004027B" w:rsidRPr="00FE2263">
        <w:rPr>
          <w:rStyle w:val="affb"/>
          <w:u w:val="single"/>
        </w:rPr>
        <w:instrText xml:space="preserve"> </w:instrText>
      </w:r>
      <w:r w:rsidR="0004027B" w:rsidRPr="00FE2263">
        <w:rPr>
          <w:rStyle w:val="affb"/>
          <w:u w:val="single"/>
          <w:lang w:val="en-US"/>
        </w:rPr>
        <w:instrText>Waldenstr</w:instrText>
      </w:r>
      <w:r w:rsidR="0004027B" w:rsidRPr="00FE2263">
        <w:rPr>
          <w:rStyle w:val="affb"/>
          <w:u w:val="single"/>
        </w:rPr>
        <w:instrText>ö</w:instrText>
      </w:r>
      <w:r w:rsidR="0004027B" w:rsidRPr="00FE2263">
        <w:rPr>
          <w:rStyle w:val="affb"/>
          <w:u w:val="single"/>
          <w:lang w:val="en-US"/>
        </w:rPr>
        <w:instrText>m</w:instrText>
      </w:r>
      <w:r w:rsidR="0004027B" w:rsidRPr="00FE2263">
        <w:rPr>
          <w:rStyle w:val="affb"/>
          <w:u w:val="single"/>
        </w:rPr>
        <w:instrText xml:space="preserve"> </w:instrText>
      </w:r>
      <w:r w:rsidR="0004027B" w:rsidRPr="00FE2263">
        <w:rPr>
          <w:rStyle w:val="affb"/>
          <w:u w:val="single"/>
          <w:lang w:val="en-US"/>
        </w:rPr>
        <w:instrText>macroglobulinemia</w:instrText>
      </w:r>
      <w:r w:rsidR="0004027B" w:rsidRPr="00FE2263">
        <w:rPr>
          <w:rStyle w:val="affb"/>
          <w:u w:val="single"/>
        </w:rPr>
        <w:instrText>","</w:instrText>
      </w:r>
      <w:r w:rsidR="0004027B" w:rsidRPr="00FE2263">
        <w:rPr>
          <w:rStyle w:val="affb"/>
          <w:u w:val="single"/>
          <w:lang w:val="en-US"/>
        </w:rPr>
        <w:instrText>type</w:instrText>
      </w:r>
      <w:r w:rsidR="0004027B" w:rsidRPr="00FE2263">
        <w:rPr>
          <w:rStyle w:val="affb"/>
          <w:u w:val="single"/>
        </w:rPr>
        <w:instrText>":"</w:instrText>
      </w:r>
      <w:r w:rsidR="0004027B" w:rsidRPr="00FE2263">
        <w:rPr>
          <w:rStyle w:val="affb"/>
          <w:u w:val="single"/>
          <w:lang w:val="en-US"/>
        </w:rPr>
        <w:instrText>article</w:instrText>
      </w:r>
      <w:r w:rsidR="0004027B" w:rsidRPr="00FE2263">
        <w:rPr>
          <w:rStyle w:val="affb"/>
          <w:u w:val="single"/>
        </w:rPr>
        <w:instrText>-</w:instrText>
      </w:r>
      <w:r w:rsidR="0004027B" w:rsidRPr="00FE2263">
        <w:rPr>
          <w:rStyle w:val="affb"/>
          <w:u w:val="single"/>
          <w:lang w:val="en-US"/>
        </w:rPr>
        <w:instrText>journal</w:instrText>
      </w:r>
      <w:r w:rsidR="0004027B" w:rsidRPr="00FE2263">
        <w:rPr>
          <w:rStyle w:val="affb"/>
          <w:u w:val="single"/>
        </w:rPr>
        <w:instrText>","</w:instrText>
      </w:r>
      <w:r w:rsidR="0004027B" w:rsidRPr="00FE2263">
        <w:rPr>
          <w:rStyle w:val="affb"/>
          <w:u w:val="single"/>
          <w:lang w:val="en-US"/>
        </w:rPr>
        <w:instrText>volume</w:instrText>
      </w:r>
      <w:r w:rsidR="0004027B" w:rsidRPr="00FE2263">
        <w:rPr>
          <w:rStyle w:val="affb"/>
          <w:u w:val="single"/>
        </w:rPr>
        <w:instrText>":"113"},"</w:instrText>
      </w:r>
      <w:r w:rsidR="0004027B" w:rsidRPr="00FE2263">
        <w:rPr>
          <w:rStyle w:val="affb"/>
          <w:u w:val="single"/>
          <w:lang w:val="en-US"/>
        </w:rPr>
        <w:instrText>uris</w:instrText>
      </w:r>
      <w:r w:rsidR="0004027B" w:rsidRPr="00FE2263">
        <w:rPr>
          <w:rStyle w:val="affb"/>
          <w:u w:val="single"/>
        </w:rPr>
        <w:instrText>":["</w:instrText>
      </w:r>
      <w:r w:rsidR="0004027B" w:rsidRPr="00FE2263">
        <w:rPr>
          <w:rStyle w:val="affb"/>
          <w:u w:val="single"/>
          <w:lang w:val="en-US"/>
        </w:rPr>
        <w:instrText>http</w:instrText>
      </w:r>
      <w:r w:rsidR="0004027B" w:rsidRPr="00FE2263">
        <w:rPr>
          <w:rStyle w:val="affb"/>
          <w:u w:val="single"/>
        </w:rPr>
        <w:instrText>://</w:instrText>
      </w:r>
      <w:r w:rsidR="0004027B" w:rsidRPr="00FE2263">
        <w:rPr>
          <w:rStyle w:val="affb"/>
          <w:u w:val="single"/>
          <w:lang w:val="en-US"/>
        </w:rPr>
        <w:instrText>www</w:instrText>
      </w:r>
      <w:r w:rsidR="0004027B" w:rsidRPr="00FE2263">
        <w:rPr>
          <w:rStyle w:val="affb"/>
          <w:u w:val="single"/>
        </w:rPr>
        <w:instrText>.</w:instrText>
      </w:r>
      <w:r w:rsidR="0004027B" w:rsidRPr="00FE2263">
        <w:rPr>
          <w:rStyle w:val="affb"/>
          <w:u w:val="single"/>
          <w:lang w:val="en-US"/>
        </w:rPr>
        <w:instrText>mendeley</w:instrText>
      </w:r>
      <w:r w:rsidR="0004027B" w:rsidRPr="00FE2263">
        <w:rPr>
          <w:rStyle w:val="affb"/>
          <w:u w:val="single"/>
        </w:rPr>
        <w:instrText>.</w:instrText>
      </w:r>
      <w:r w:rsidR="0004027B" w:rsidRPr="00FE2263">
        <w:rPr>
          <w:rStyle w:val="affb"/>
          <w:u w:val="single"/>
          <w:lang w:val="en-US"/>
        </w:rPr>
        <w:instrText>com</w:instrText>
      </w:r>
      <w:r w:rsidR="0004027B" w:rsidRPr="00FE2263">
        <w:rPr>
          <w:rStyle w:val="affb"/>
          <w:u w:val="single"/>
        </w:rPr>
        <w:instrText>/</w:instrText>
      </w:r>
      <w:r w:rsidR="0004027B" w:rsidRPr="00FE2263">
        <w:rPr>
          <w:rStyle w:val="affb"/>
          <w:u w:val="single"/>
          <w:lang w:val="en-US"/>
        </w:rPr>
        <w:instrText>documents</w:instrText>
      </w:r>
      <w:r w:rsidR="0004027B" w:rsidRPr="00FE2263">
        <w:rPr>
          <w:rStyle w:val="affb"/>
          <w:u w:val="single"/>
        </w:rPr>
        <w:instrText>/?</w:instrText>
      </w:r>
      <w:r w:rsidR="0004027B" w:rsidRPr="00FE2263">
        <w:rPr>
          <w:rStyle w:val="affb"/>
          <w:u w:val="single"/>
          <w:lang w:val="en-US"/>
        </w:rPr>
        <w:instrText>uuid</w:instrText>
      </w:r>
      <w:r w:rsidR="0004027B" w:rsidRPr="00FE2263">
        <w:rPr>
          <w:rStyle w:val="affb"/>
          <w:u w:val="single"/>
        </w:rPr>
        <w:instrText>=</w:instrText>
      </w:r>
      <w:r w:rsidR="0004027B" w:rsidRPr="00FE2263">
        <w:rPr>
          <w:rStyle w:val="affb"/>
          <w:u w:val="single"/>
          <w:lang w:val="en-US"/>
        </w:rPr>
        <w:instrText>e</w:instrText>
      </w:r>
      <w:r w:rsidR="0004027B" w:rsidRPr="00FE2263">
        <w:rPr>
          <w:rStyle w:val="affb"/>
          <w:u w:val="single"/>
        </w:rPr>
        <w:instrText>11</w:instrText>
      </w:r>
      <w:r w:rsidR="0004027B" w:rsidRPr="00FE2263">
        <w:rPr>
          <w:rStyle w:val="affb"/>
          <w:u w:val="single"/>
          <w:lang w:val="en-US"/>
        </w:rPr>
        <w:instrText>adc</w:instrText>
      </w:r>
      <w:r w:rsidR="0004027B" w:rsidRPr="00FE2263">
        <w:rPr>
          <w:rStyle w:val="affb"/>
          <w:u w:val="single"/>
        </w:rPr>
        <w:instrText>5</w:instrText>
      </w:r>
      <w:r w:rsidR="0004027B" w:rsidRPr="00FE2263">
        <w:rPr>
          <w:rStyle w:val="affb"/>
          <w:u w:val="single"/>
          <w:lang w:val="en-US"/>
        </w:rPr>
        <w:instrText>e</w:instrText>
      </w:r>
      <w:r w:rsidR="0004027B" w:rsidRPr="00FE2263">
        <w:rPr>
          <w:rStyle w:val="affb"/>
          <w:u w:val="single"/>
        </w:rPr>
        <w:instrText>-</w:instrText>
      </w:r>
      <w:r w:rsidR="0004027B" w:rsidRPr="00FE2263">
        <w:rPr>
          <w:rStyle w:val="affb"/>
          <w:u w:val="single"/>
          <w:lang w:val="en-US"/>
        </w:rPr>
        <w:instrText>b</w:instrText>
      </w:r>
      <w:r w:rsidR="0004027B" w:rsidRPr="00FE2263">
        <w:rPr>
          <w:rStyle w:val="affb"/>
          <w:u w:val="single"/>
        </w:rPr>
        <w:instrText>6</w:instrText>
      </w:r>
      <w:r w:rsidR="0004027B" w:rsidRPr="00FE2263">
        <w:rPr>
          <w:rStyle w:val="affb"/>
          <w:u w:val="single"/>
          <w:lang w:val="en-US"/>
        </w:rPr>
        <w:instrText>bd</w:instrText>
      </w:r>
      <w:r w:rsidR="0004027B" w:rsidRPr="00FE2263">
        <w:rPr>
          <w:rStyle w:val="affb"/>
          <w:u w:val="single"/>
        </w:rPr>
        <w:instrText>-3284-816</w:instrText>
      </w:r>
      <w:r w:rsidR="0004027B" w:rsidRPr="00FE2263">
        <w:rPr>
          <w:rStyle w:val="affb"/>
          <w:u w:val="single"/>
          <w:lang w:val="en-US"/>
        </w:rPr>
        <w:instrText>e</w:instrText>
      </w:r>
      <w:r w:rsidR="0004027B" w:rsidRPr="00FE2263">
        <w:rPr>
          <w:rStyle w:val="affb"/>
          <w:u w:val="single"/>
        </w:rPr>
        <w:instrText>-2</w:instrText>
      </w:r>
      <w:r w:rsidR="0004027B" w:rsidRPr="00FE2263">
        <w:rPr>
          <w:rStyle w:val="affb"/>
          <w:u w:val="single"/>
          <w:lang w:val="en-US"/>
        </w:rPr>
        <w:instrText>de</w:instrText>
      </w:r>
      <w:r w:rsidR="0004027B" w:rsidRPr="00FE2263">
        <w:rPr>
          <w:rStyle w:val="affb"/>
          <w:u w:val="single"/>
        </w:rPr>
        <w:instrText>2267283</w:instrText>
      </w:r>
      <w:r w:rsidR="0004027B" w:rsidRPr="00FE2263">
        <w:rPr>
          <w:rStyle w:val="affb"/>
          <w:u w:val="single"/>
          <w:lang w:val="en-US"/>
        </w:rPr>
        <w:instrText>a</w:instrText>
      </w:r>
      <w:r w:rsidR="0004027B" w:rsidRPr="00FE2263">
        <w:rPr>
          <w:rStyle w:val="affb"/>
          <w:u w:val="single"/>
        </w:rPr>
        <w:instrText>6"]}],"</w:instrText>
      </w:r>
      <w:r w:rsidR="0004027B" w:rsidRPr="00FE2263">
        <w:rPr>
          <w:rStyle w:val="affb"/>
          <w:u w:val="single"/>
          <w:lang w:val="en-US"/>
        </w:rPr>
        <w:instrText>mendeley</w:instrText>
      </w:r>
      <w:r w:rsidR="0004027B" w:rsidRPr="00FE2263">
        <w:rPr>
          <w:rStyle w:val="affb"/>
          <w:u w:val="single"/>
        </w:rPr>
        <w:instrText>":{"</w:instrText>
      </w:r>
      <w:r w:rsidR="0004027B" w:rsidRPr="00FE2263">
        <w:rPr>
          <w:rStyle w:val="affb"/>
          <w:u w:val="single"/>
          <w:lang w:val="en-US"/>
        </w:rPr>
        <w:instrText>formattedCitation</w:instrText>
      </w:r>
      <w:r w:rsidR="0004027B" w:rsidRPr="00FE2263">
        <w:rPr>
          <w:rStyle w:val="affb"/>
          <w:u w:val="single"/>
        </w:rPr>
        <w:instrText>":"[26]","</w:instrText>
      </w:r>
      <w:r w:rsidR="0004027B" w:rsidRPr="00FE2263">
        <w:rPr>
          <w:rStyle w:val="affb"/>
          <w:u w:val="single"/>
          <w:lang w:val="en-US"/>
        </w:rPr>
        <w:instrText>plainTextFormattedCitation</w:instrText>
      </w:r>
      <w:r w:rsidR="0004027B" w:rsidRPr="00FE2263">
        <w:rPr>
          <w:rStyle w:val="affb"/>
          <w:u w:val="single"/>
        </w:rPr>
        <w:instrText>":"[26]","</w:instrText>
      </w:r>
      <w:r w:rsidR="0004027B" w:rsidRPr="00FE2263">
        <w:rPr>
          <w:rStyle w:val="affb"/>
          <w:u w:val="single"/>
          <w:lang w:val="en-US"/>
        </w:rPr>
        <w:instrText>previouslyFormattedCitation</w:instrText>
      </w:r>
      <w:r w:rsidR="0004027B" w:rsidRPr="00FE2263">
        <w:rPr>
          <w:rStyle w:val="affb"/>
          <w:u w:val="single"/>
        </w:rPr>
        <w:instrText>":"[26]"},"</w:instrText>
      </w:r>
      <w:r w:rsidR="0004027B" w:rsidRPr="00FE2263">
        <w:rPr>
          <w:rStyle w:val="affb"/>
          <w:u w:val="single"/>
          <w:lang w:val="en-US"/>
        </w:rPr>
        <w:instrText>properties</w:instrText>
      </w:r>
      <w:r w:rsidR="0004027B" w:rsidRPr="00FE2263">
        <w:rPr>
          <w:rStyle w:val="affb"/>
          <w:u w:val="single"/>
        </w:rPr>
        <w:instrText>":{"</w:instrText>
      </w:r>
      <w:r w:rsidR="0004027B" w:rsidRPr="00FE2263">
        <w:rPr>
          <w:rStyle w:val="affb"/>
          <w:u w:val="single"/>
          <w:lang w:val="en-US"/>
        </w:rPr>
        <w:instrText>noteIndex</w:instrText>
      </w:r>
      <w:r w:rsidR="0004027B" w:rsidRPr="00FE2263">
        <w:rPr>
          <w:rStyle w:val="affb"/>
          <w:u w:val="single"/>
        </w:rPr>
        <w:instrText>":0},"</w:instrText>
      </w:r>
      <w:r w:rsidR="0004027B" w:rsidRPr="00FE2263">
        <w:rPr>
          <w:rStyle w:val="affb"/>
          <w:u w:val="single"/>
          <w:lang w:val="en-US"/>
        </w:rPr>
        <w:instrText>schema</w:instrText>
      </w:r>
      <w:r w:rsidR="0004027B" w:rsidRPr="00FE2263">
        <w:rPr>
          <w:rStyle w:val="affb"/>
          <w:u w:val="single"/>
        </w:rPr>
        <w:instrText>":"</w:instrText>
      </w:r>
      <w:r w:rsidR="0004027B" w:rsidRPr="00FE2263">
        <w:rPr>
          <w:rStyle w:val="affb"/>
          <w:u w:val="single"/>
          <w:lang w:val="en-US"/>
        </w:rPr>
        <w:instrText>https</w:instrText>
      </w:r>
      <w:r w:rsidR="0004027B" w:rsidRPr="00FE2263">
        <w:rPr>
          <w:rStyle w:val="affb"/>
          <w:u w:val="single"/>
        </w:rPr>
        <w:instrText>://</w:instrText>
      </w:r>
      <w:r w:rsidR="0004027B" w:rsidRPr="00FE2263">
        <w:rPr>
          <w:rStyle w:val="affb"/>
          <w:u w:val="single"/>
          <w:lang w:val="en-US"/>
        </w:rPr>
        <w:instrText>github</w:instrText>
      </w:r>
      <w:r w:rsidR="0004027B" w:rsidRPr="00FE2263">
        <w:rPr>
          <w:rStyle w:val="affb"/>
          <w:u w:val="single"/>
        </w:rPr>
        <w:instrText>.</w:instrText>
      </w:r>
      <w:r w:rsidR="0004027B" w:rsidRPr="00FE2263">
        <w:rPr>
          <w:rStyle w:val="affb"/>
          <w:u w:val="single"/>
          <w:lang w:val="en-US"/>
        </w:rPr>
        <w:instrText>com</w:instrText>
      </w:r>
      <w:r w:rsidR="0004027B" w:rsidRPr="00FE2263">
        <w:rPr>
          <w:rStyle w:val="affb"/>
          <w:u w:val="single"/>
        </w:rPr>
        <w:instrText>/</w:instrText>
      </w:r>
      <w:r w:rsidR="0004027B" w:rsidRPr="00FE2263">
        <w:rPr>
          <w:rStyle w:val="affb"/>
          <w:u w:val="single"/>
          <w:lang w:val="en-US"/>
        </w:rPr>
        <w:instrText>citation</w:instrText>
      </w:r>
      <w:r w:rsidR="0004027B" w:rsidRPr="00FE2263">
        <w:rPr>
          <w:rStyle w:val="affb"/>
          <w:u w:val="single"/>
        </w:rPr>
        <w:instrText>-</w:instrText>
      </w:r>
      <w:r w:rsidR="0004027B" w:rsidRPr="00FE2263">
        <w:rPr>
          <w:rStyle w:val="affb"/>
          <w:u w:val="single"/>
          <w:lang w:val="en-US"/>
        </w:rPr>
        <w:instrText>style</w:instrText>
      </w:r>
      <w:r w:rsidR="0004027B" w:rsidRPr="00FE2263">
        <w:rPr>
          <w:rStyle w:val="affb"/>
          <w:u w:val="single"/>
        </w:rPr>
        <w:instrText>-</w:instrText>
      </w:r>
      <w:r w:rsidR="0004027B" w:rsidRPr="00FE2263">
        <w:rPr>
          <w:rStyle w:val="affb"/>
          <w:u w:val="single"/>
          <w:lang w:val="en-US"/>
        </w:rPr>
        <w:instrText>language</w:instrText>
      </w:r>
      <w:r w:rsidR="0004027B" w:rsidRPr="00FE2263">
        <w:rPr>
          <w:rStyle w:val="affb"/>
          <w:u w:val="single"/>
        </w:rPr>
        <w:instrText>/</w:instrText>
      </w:r>
      <w:r w:rsidR="0004027B" w:rsidRPr="00FE2263">
        <w:rPr>
          <w:rStyle w:val="affb"/>
          <w:u w:val="single"/>
          <w:lang w:val="en-US"/>
        </w:rPr>
        <w:instrText>schema</w:instrText>
      </w:r>
      <w:r w:rsidR="0004027B" w:rsidRPr="00FE2263">
        <w:rPr>
          <w:rStyle w:val="affb"/>
          <w:u w:val="single"/>
        </w:rPr>
        <w:instrText>/</w:instrText>
      </w:r>
      <w:r w:rsidR="0004027B" w:rsidRPr="00FE2263">
        <w:rPr>
          <w:rStyle w:val="affb"/>
          <w:u w:val="single"/>
          <w:lang w:val="en-US"/>
        </w:rPr>
        <w:instrText>raw</w:instrText>
      </w:r>
      <w:r w:rsidR="0004027B" w:rsidRPr="00FE2263">
        <w:rPr>
          <w:rStyle w:val="affb"/>
          <w:u w:val="single"/>
        </w:rPr>
        <w:instrText>/</w:instrText>
      </w:r>
      <w:r w:rsidR="0004027B" w:rsidRPr="00FE2263">
        <w:rPr>
          <w:rStyle w:val="affb"/>
          <w:u w:val="single"/>
          <w:lang w:val="en-US"/>
        </w:rPr>
        <w:instrText>master</w:instrText>
      </w:r>
      <w:r w:rsidR="0004027B" w:rsidRPr="00FE2263">
        <w:rPr>
          <w:rStyle w:val="affb"/>
          <w:u w:val="single"/>
        </w:rPr>
        <w:instrText>/</w:instrText>
      </w:r>
      <w:r w:rsidR="0004027B" w:rsidRPr="00FE2263">
        <w:rPr>
          <w:rStyle w:val="affb"/>
          <w:u w:val="single"/>
          <w:lang w:val="en-US"/>
        </w:rPr>
        <w:instrText>csl</w:instrText>
      </w:r>
      <w:r w:rsidR="0004027B" w:rsidRPr="00FE2263">
        <w:rPr>
          <w:rStyle w:val="affb"/>
          <w:u w:val="single"/>
        </w:rPr>
        <w:instrText>-</w:instrText>
      </w:r>
      <w:r w:rsidR="0004027B" w:rsidRPr="00FE2263">
        <w:rPr>
          <w:rStyle w:val="affb"/>
          <w:u w:val="single"/>
          <w:lang w:val="en-US"/>
        </w:rPr>
        <w:instrText>citation</w:instrText>
      </w:r>
      <w:r w:rsidR="0004027B" w:rsidRPr="00FE2263">
        <w:rPr>
          <w:rStyle w:val="affb"/>
          <w:u w:val="single"/>
        </w:rPr>
        <w:instrText>.</w:instrText>
      </w:r>
      <w:r w:rsidR="0004027B" w:rsidRPr="00FE2263">
        <w:rPr>
          <w:rStyle w:val="affb"/>
          <w:u w:val="single"/>
          <w:lang w:val="en-US"/>
        </w:rPr>
        <w:instrText>json</w:instrText>
      </w:r>
      <w:r w:rsidR="0004027B" w:rsidRPr="00FE2263">
        <w:rPr>
          <w:rStyle w:val="affb"/>
          <w:u w:val="single"/>
        </w:rPr>
        <w:instrText>"}</w:instrText>
      </w:r>
      <w:r w:rsidR="0004027B" w:rsidRPr="00FE2263">
        <w:rPr>
          <w:rStyle w:val="affb"/>
          <w:u w:val="single"/>
          <w:lang w:val="en-US"/>
        </w:rPr>
        <w:fldChar w:fldCharType="separate"/>
      </w:r>
      <w:r w:rsidR="0004027B" w:rsidRPr="00FE2263">
        <w:rPr>
          <w:rStyle w:val="affb"/>
          <w:b w:val="0"/>
          <w:noProof/>
        </w:rPr>
        <w:t>[26]</w:t>
      </w:r>
      <w:r w:rsidR="0004027B" w:rsidRPr="00FE2263">
        <w:rPr>
          <w:rStyle w:val="affb"/>
          <w:u w:val="single"/>
          <w:lang w:val="en-US"/>
        </w:rPr>
        <w:fldChar w:fldCharType="end"/>
      </w:r>
    </w:p>
    <w:p w14:paraId="4F41AC22" w14:textId="77777777" w:rsidR="00B16138" w:rsidRPr="00FE2263" w:rsidRDefault="00B16138" w:rsidP="007E22FB">
      <w:pPr>
        <w:pStyle w:val="afd"/>
        <w:spacing w:beforeAutospacing="0" w:afterAutospacing="0" w:line="360" w:lineRule="auto"/>
      </w:pPr>
      <w:r w:rsidRPr="00FE2263">
        <w:t>Ритуксимаб** – 375 мг/м</w:t>
      </w:r>
      <w:r w:rsidRPr="00FE2263">
        <w:rPr>
          <w:vertAlign w:val="superscript"/>
        </w:rPr>
        <w:t>2</w:t>
      </w:r>
      <w:r w:rsidRPr="00FE2263">
        <w:t xml:space="preserve"> в/в 1 раз в неделю, 8 введений</w:t>
      </w:r>
    </w:p>
    <w:p w14:paraId="25757190" w14:textId="77777777" w:rsidR="00B16138" w:rsidRPr="00FE2263" w:rsidRDefault="00B16138" w:rsidP="007E22FB">
      <w:pPr>
        <w:pStyle w:val="afd"/>
        <w:spacing w:beforeAutospacing="0" w:afterAutospacing="0" w:line="360" w:lineRule="auto"/>
      </w:pPr>
      <w:r w:rsidRPr="00FE2263">
        <w:t>Флударабин** – 25 мг/м</w:t>
      </w:r>
      <w:r w:rsidRPr="00FE2263">
        <w:rPr>
          <w:vertAlign w:val="superscript"/>
        </w:rPr>
        <w:t>2</w:t>
      </w:r>
      <w:r w:rsidRPr="00FE2263">
        <w:t xml:space="preserve"> в/в, дни 1-5 (1-4)</w:t>
      </w:r>
    </w:p>
    <w:p w14:paraId="259279A8" w14:textId="0A3B033C" w:rsidR="00B16138" w:rsidRPr="00FE2263" w:rsidRDefault="00B16138" w:rsidP="007E22FB">
      <w:pPr>
        <w:pStyle w:val="afd"/>
        <w:spacing w:beforeAutospacing="0" w:afterAutospacing="0" w:line="360" w:lineRule="auto"/>
      </w:pPr>
      <w:r w:rsidRPr="00FE2263">
        <w:t>Лечение возобновляется на 29-й день. Проводят 4-6 курсов</w:t>
      </w:r>
    </w:p>
    <w:p w14:paraId="6CBD8D73" w14:textId="5DC34CB3" w:rsidR="00D95255" w:rsidRPr="00FE2263" w:rsidRDefault="00D95255" w:rsidP="0010608C">
      <w:pPr>
        <w:pStyle w:val="afd"/>
        <w:numPr>
          <w:ilvl w:val="0"/>
          <w:numId w:val="17"/>
        </w:numPr>
        <w:spacing w:beforeAutospacing="0" w:afterAutospacing="0" w:line="360" w:lineRule="auto"/>
        <w:jc w:val="left"/>
      </w:pPr>
      <w:r w:rsidRPr="00FE2263">
        <w:rPr>
          <w:rStyle w:val="affb"/>
          <w:u w:val="single"/>
        </w:rPr>
        <w:t>F</w:t>
      </w:r>
      <w:r w:rsidRPr="00FE2263">
        <w:rPr>
          <w:rStyle w:val="affb"/>
          <w:u w:val="single"/>
          <w:lang w:val="en-US"/>
        </w:rPr>
        <w:t>C</w:t>
      </w:r>
      <w:r w:rsidRPr="00FE2263">
        <w:rPr>
          <w:rStyle w:val="affb"/>
          <w:u w:val="single"/>
        </w:rPr>
        <w:t>R</w:t>
      </w:r>
      <w:r w:rsidR="0004027B" w:rsidRPr="00FE2263">
        <w:rPr>
          <w:rStyle w:val="affb"/>
          <w:u w:val="single"/>
        </w:rPr>
        <w:t xml:space="preserve"> </w:t>
      </w:r>
      <w:r w:rsidR="0004027B" w:rsidRPr="00FE2263">
        <w:rPr>
          <w:rStyle w:val="affb"/>
          <w:u w:val="single"/>
          <w:lang w:val="en-US"/>
        </w:rPr>
        <w:fldChar w:fldCharType="begin" w:fldLock="1"/>
      </w:r>
      <w:r w:rsidR="0004027B" w:rsidRPr="00FE2263">
        <w:rPr>
          <w:rStyle w:val="affb"/>
          <w:u w:val="single"/>
          <w:lang w:val="en-US"/>
        </w:rPr>
        <w:instrText>ADDIN</w:instrText>
      </w:r>
      <w:r w:rsidR="0004027B" w:rsidRPr="00FE2263">
        <w:rPr>
          <w:rStyle w:val="affb"/>
          <w:u w:val="single"/>
        </w:rPr>
        <w:instrText xml:space="preserve"> </w:instrText>
      </w:r>
      <w:r w:rsidR="0004027B" w:rsidRPr="00FE2263">
        <w:rPr>
          <w:rStyle w:val="affb"/>
          <w:u w:val="single"/>
          <w:lang w:val="en-US"/>
        </w:rPr>
        <w:instrText>CSL</w:instrText>
      </w:r>
      <w:r w:rsidR="0004027B" w:rsidRPr="00FE2263">
        <w:rPr>
          <w:rStyle w:val="affb"/>
          <w:u w:val="single"/>
        </w:rPr>
        <w:instrText>_</w:instrText>
      </w:r>
      <w:r w:rsidR="0004027B" w:rsidRPr="00FE2263">
        <w:rPr>
          <w:rStyle w:val="affb"/>
          <w:u w:val="single"/>
          <w:lang w:val="en-US"/>
        </w:rPr>
        <w:instrText>CITATION</w:instrText>
      </w:r>
      <w:r w:rsidR="0004027B" w:rsidRPr="00FE2263">
        <w:rPr>
          <w:rStyle w:val="affb"/>
          <w:u w:val="single"/>
        </w:rPr>
        <w:instrText xml:space="preserve"> {"</w:instrText>
      </w:r>
      <w:r w:rsidR="0004027B" w:rsidRPr="00FE2263">
        <w:rPr>
          <w:rStyle w:val="affb"/>
          <w:u w:val="single"/>
          <w:lang w:val="en-US"/>
        </w:rPr>
        <w:instrText>citationItems</w:instrText>
      </w:r>
      <w:r w:rsidR="0004027B" w:rsidRPr="00FE2263">
        <w:rPr>
          <w:rStyle w:val="affb"/>
          <w:u w:val="single"/>
        </w:rPr>
        <w:instrText>":[{"</w:instrText>
      </w:r>
      <w:r w:rsidR="0004027B" w:rsidRPr="00FE2263">
        <w:rPr>
          <w:rStyle w:val="affb"/>
          <w:u w:val="single"/>
          <w:lang w:val="en-US"/>
        </w:rPr>
        <w:instrText>id</w:instrText>
      </w:r>
      <w:r w:rsidR="0004027B" w:rsidRPr="00FE2263">
        <w:rPr>
          <w:rStyle w:val="affb"/>
          <w:u w:val="single"/>
        </w:rPr>
        <w:instrText>":"</w:instrText>
      </w:r>
      <w:r w:rsidR="0004027B" w:rsidRPr="00FE2263">
        <w:rPr>
          <w:rStyle w:val="affb"/>
          <w:u w:val="single"/>
          <w:lang w:val="en-US"/>
        </w:rPr>
        <w:instrText>ITEM</w:instrText>
      </w:r>
      <w:r w:rsidR="0004027B" w:rsidRPr="00FE2263">
        <w:rPr>
          <w:rStyle w:val="affb"/>
          <w:u w:val="single"/>
        </w:rPr>
        <w:instrText>-1","</w:instrText>
      </w:r>
      <w:r w:rsidR="0004027B" w:rsidRPr="00FE2263">
        <w:rPr>
          <w:rStyle w:val="affb"/>
          <w:u w:val="single"/>
          <w:lang w:val="en-US"/>
        </w:rPr>
        <w:instrText>itemData</w:instrText>
      </w:r>
      <w:r w:rsidR="0004027B" w:rsidRPr="00FE2263">
        <w:rPr>
          <w:rStyle w:val="affb"/>
          <w:u w:val="single"/>
        </w:rPr>
        <w:instrText>":{"</w:instrText>
      </w:r>
      <w:r w:rsidR="0004027B" w:rsidRPr="00FE2263">
        <w:rPr>
          <w:rStyle w:val="affb"/>
          <w:u w:val="single"/>
          <w:lang w:val="en-US"/>
        </w:rPr>
        <w:instrText>DOI</w:instrText>
      </w:r>
      <w:r w:rsidR="0004027B" w:rsidRPr="00FE2263">
        <w:rPr>
          <w:rStyle w:val="affb"/>
          <w:u w:val="single"/>
        </w:rPr>
        <w:instrText>":"10.1002/</w:instrText>
      </w:r>
      <w:r w:rsidR="0004027B" w:rsidRPr="00FE2263">
        <w:rPr>
          <w:rStyle w:val="affb"/>
          <w:u w:val="single"/>
          <w:lang w:val="en-US"/>
        </w:rPr>
        <w:instrText>cncr</w:instrText>
      </w:r>
      <w:r w:rsidR="0004027B" w:rsidRPr="00FE2263">
        <w:rPr>
          <w:rStyle w:val="affb"/>
          <w:u w:val="single"/>
        </w:rPr>
        <w:instrText>.26303","</w:instrText>
      </w:r>
      <w:r w:rsidR="0004027B" w:rsidRPr="00FE2263">
        <w:rPr>
          <w:rStyle w:val="affb"/>
          <w:u w:val="single"/>
          <w:lang w:val="en-US"/>
        </w:rPr>
        <w:instrText>ISSN</w:instrText>
      </w:r>
      <w:r w:rsidR="0004027B" w:rsidRPr="00FE2263">
        <w:rPr>
          <w:rStyle w:val="affb"/>
          <w:u w:val="single"/>
        </w:rPr>
        <w:instrText>":"0008543</w:instrText>
      </w:r>
      <w:r w:rsidR="0004027B" w:rsidRPr="00FE2263">
        <w:rPr>
          <w:rStyle w:val="affb"/>
          <w:u w:val="single"/>
          <w:lang w:val="en-US"/>
        </w:rPr>
        <w:instrText>X</w:instrText>
      </w:r>
      <w:r w:rsidR="0004027B" w:rsidRPr="00FE2263">
        <w:rPr>
          <w:rStyle w:val="affb"/>
          <w:u w:val="single"/>
        </w:rPr>
        <w:instrText>","</w:instrText>
      </w:r>
      <w:r w:rsidR="0004027B" w:rsidRPr="00FE2263">
        <w:rPr>
          <w:rStyle w:val="affb"/>
          <w:u w:val="single"/>
          <w:lang w:val="en-US"/>
        </w:rPr>
        <w:instrText>abstract</w:instrText>
      </w:r>
      <w:r w:rsidR="0004027B" w:rsidRPr="00FE2263">
        <w:rPr>
          <w:rStyle w:val="affb"/>
          <w:u w:val="single"/>
        </w:rPr>
        <w:instrText>":"</w:instrText>
      </w:r>
      <w:r w:rsidR="0004027B" w:rsidRPr="00FE2263">
        <w:rPr>
          <w:rStyle w:val="affb"/>
          <w:u w:val="single"/>
          <w:lang w:val="en-US"/>
        </w:rPr>
        <w:instrText>BACKGROUND</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combination</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fludarabine</w:instrText>
      </w:r>
      <w:r w:rsidR="0004027B" w:rsidRPr="00FE2263">
        <w:rPr>
          <w:rStyle w:val="affb"/>
          <w:u w:val="single"/>
        </w:rPr>
        <w:instrText xml:space="preserve">, </w:instrText>
      </w:r>
      <w:r w:rsidR="0004027B" w:rsidRPr="00FE2263">
        <w:rPr>
          <w:rStyle w:val="affb"/>
          <w:u w:val="single"/>
          <w:lang w:val="en-US"/>
        </w:rPr>
        <w:instrText>cyclophosphamide</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w:instrText>
      </w:r>
      <w:r w:rsidR="0004027B" w:rsidRPr="00FE2263">
        <w:rPr>
          <w:rStyle w:val="affb"/>
          <w:u w:val="single"/>
          <w:lang w:val="en-US"/>
        </w:rPr>
        <w:instrText>FCR</w:instrText>
      </w:r>
      <w:r w:rsidR="0004027B" w:rsidRPr="00FE2263">
        <w:rPr>
          <w:rStyle w:val="affb"/>
          <w:u w:val="single"/>
        </w:rPr>
        <w:instrText xml:space="preserve">) </w:instrText>
      </w:r>
      <w:r w:rsidR="0004027B" w:rsidRPr="00FE2263">
        <w:rPr>
          <w:rStyle w:val="affb"/>
          <w:u w:val="single"/>
          <w:lang w:val="en-US"/>
        </w:rPr>
        <w:instrText>has</w:instrText>
      </w:r>
      <w:r w:rsidR="0004027B" w:rsidRPr="00FE2263">
        <w:rPr>
          <w:rStyle w:val="affb"/>
          <w:u w:val="single"/>
        </w:rPr>
        <w:instrText xml:space="preserve"> </w:instrText>
      </w:r>
      <w:r w:rsidR="0004027B" w:rsidRPr="00FE2263">
        <w:rPr>
          <w:rStyle w:val="affb"/>
          <w:u w:val="single"/>
          <w:lang w:val="en-US"/>
        </w:rPr>
        <w:instrText>produced</w:instrText>
      </w:r>
      <w:r w:rsidR="0004027B" w:rsidRPr="00FE2263">
        <w:rPr>
          <w:rStyle w:val="affb"/>
          <w:u w:val="single"/>
        </w:rPr>
        <w:instrText xml:space="preserve"> </w:instrText>
      </w:r>
      <w:r w:rsidR="0004027B" w:rsidRPr="00FE2263">
        <w:rPr>
          <w:rStyle w:val="affb"/>
          <w:u w:val="single"/>
          <w:lang w:val="en-US"/>
        </w:rPr>
        <w:instrText>promising</w:instrText>
      </w:r>
      <w:r w:rsidR="0004027B" w:rsidRPr="00FE2263">
        <w:rPr>
          <w:rStyle w:val="affb"/>
          <w:u w:val="single"/>
        </w:rPr>
        <w:instrText xml:space="preserve"> </w:instrText>
      </w:r>
      <w:r w:rsidR="0004027B" w:rsidRPr="00FE2263">
        <w:rPr>
          <w:rStyle w:val="affb"/>
          <w:u w:val="single"/>
          <w:lang w:val="en-US"/>
        </w:rPr>
        <w:instrText>results</w:instrText>
      </w:r>
      <w:r w:rsidR="0004027B" w:rsidRPr="00FE2263">
        <w:rPr>
          <w:rStyle w:val="affb"/>
          <w:u w:val="single"/>
        </w:rPr>
        <w:instrText xml:space="preserve"> </w:instrText>
      </w:r>
      <w:r w:rsidR="0004027B" w:rsidRPr="00FE2263">
        <w:rPr>
          <w:rStyle w:val="affb"/>
          <w:u w:val="single"/>
          <w:lang w:val="en-US"/>
        </w:rPr>
        <w:instrText>in</w:instrText>
      </w:r>
      <w:r w:rsidR="0004027B" w:rsidRPr="00FE2263">
        <w:rPr>
          <w:rStyle w:val="affb"/>
          <w:u w:val="single"/>
        </w:rPr>
        <w:instrText xml:space="preserve"> </w:instrText>
      </w:r>
      <w:r w:rsidR="0004027B" w:rsidRPr="00FE2263">
        <w:rPr>
          <w:rStyle w:val="affb"/>
          <w:u w:val="single"/>
          <w:lang w:val="en-US"/>
        </w:rPr>
        <w:instrText>chronic</w:instrText>
      </w:r>
      <w:r w:rsidR="0004027B" w:rsidRPr="00FE2263">
        <w:rPr>
          <w:rStyle w:val="affb"/>
          <w:u w:val="single"/>
        </w:rPr>
        <w:instrText xml:space="preserve"> </w:instrText>
      </w:r>
      <w:r w:rsidR="0004027B" w:rsidRPr="00FE2263">
        <w:rPr>
          <w:rStyle w:val="affb"/>
          <w:u w:val="single"/>
          <w:lang w:val="en-US"/>
        </w:rPr>
        <w:instrText>lymphocytic</w:instrText>
      </w:r>
      <w:r w:rsidR="0004027B" w:rsidRPr="00FE2263">
        <w:rPr>
          <w:rStyle w:val="affb"/>
          <w:u w:val="single"/>
        </w:rPr>
        <w:instrText xml:space="preserve"> </w:instrText>
      </w:r>
      <w:r w:rsidR="0004027B" w:rsidRPr="00FE2263">
        <w:rPr>
          <w:rStyle w:val="affb"/>
          <w:u w:val="single"/>
          <w:lang w:val="en-US"/>
        </w:rPr>
        <w:instrText>leukemia</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other</w:instrText>
      </w:r>
      <w:r w:rsidR="0004027B" w:rsidRPr="00FE2263">
        <w:rPr>
          <w:rStyle w:val="affb"/>
          <w:u w:val="single"/>
        </w:rPr>
        <w:instrText xml:space="preserve"> </w:instrText>
      </w:r>
      <w:r w:rsidR="0004027B" w:rsidRPr="00FE2263">
        <w:rPr>
          <w:rStyle w:val="affb"/>
          <w:u w:val="single"/>
          <w:lang w:val="en-US"/>
        </w:rPr>
        <w:instrText>lymphoproliferative</w:instrText>
      </w:r>
      <w:r w:rsidR="0004027B" w:rsidRPr="00FE2263">
        <w:rPr>
          <w:rStyle w:val="affb"/>
          <w:u w:val="single"/>
        </w:rPr>
        <w:instrText xml:space="preserve"> </w:instrText>
      </w:r>
      <w:r w:rsidR="0004027B" w:rsidRPr="00FE2263">
        <w:rPr>
          <w:rStyle w:val="affb"/>
          <w:u w:val="single"/>
          <w:lang w:val="en-US"/>
        </w:rPr>
        <w:instrText>disorders</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authors</w:instrText>
      </w:r>
      <w:r w:rsidR="0004027B" w:rsidRPr="00FE2263">
        <w:rPr>
          <w:rStyle w:val="affb"/>
          <w:u w:val="single"/>
        </w:rPr>
        <w:instrText xml:space="preserve"> </w:instrText>
      </w:r>
      <w:r w:rsidR="0004027B" w:rsidRPr="00FE2263">
        <w:rPr>
          <w:rStyle w:val="affb"/>
          <w:u w:val="single"/>
          <w:lang w:val="en-US"/>
        </w:rPr>
        <w:instrText>report</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final</w:instrText>
      </w:r>
      <w:r w:rsidR="0004027B" w:rsidRPr="00FE2263">
        <w:rPr>
          <w:rStyle w:val="affb"/>
          <w:u w:val="single"/>
        </w:rPr>
        <w:instrText xml:space="preserve"> </w:instrText>
      </w:r>
      <w:r w:rsidR="0004027B" w:rsidRPr="00FE2263">
        <w:rPr>
          <w:rStyle w:val="affb"/>
          <w:u w:val="single"/>
          <w:lang w:val="en-US"/>
        </w:rPr>
        <w:instrText>results</w:instrText>
      </w:r>
      <w:r w:rsidR="0004027B" w:rsidRPr="00FE2263">
        <w:rPr>
          <w:rStyle w:val="affb"/>
          <w:u w:val="single"/>
        </w:rPr>
        <w:instrText xml:space="preserve"> </w:instrText>
      </w:r>
      <w:r w:rsidR="0004027B" w:rsidRPr="00FE2263">
        <w:rPr>
          <w:rStyle w:val="affb"/>
          <w:u w:val="single"/>
          <w:lang w:val="en-US"/>
        </w:rPr>
        <w:instrText>from</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multicenter</w:instrText>
      </w:r>
      <w:r w:rsidR="0004027B" w:rsidRPr="00FE2263">
        <w:rPr>
          <w:rStyle w:val="affb"/>
          <w:u w:val="single"/>
        </w:rPr>
        <w:instrText xml:space="preserve">, </w:instrText>
      </w:r>
      <w:r w:rsidR="0004027B" w:rsidRPr="00FE2263">
        <w:rPr>
          <w:rStyle w:val="affb"/>
          <w:u w:val="single"/>
          <w:lang w:val="en-US"/>
        </w:rPr>
        <w:instrText>prospective</w:instrText>
      </w:r>
      <w:r w:rsidR="0004027B" w:rsidRPr="00FE2263">
        <w:rPr>
          <w:rStyle w:val="affb"/>
          <w:u w:val="single"/>
        </w:rPr>
        <w:instrText xml:space="preserve"> </w:instrText>
      </w:r>
      <w:r w:rsidR="0004027B" w:rsidRPr="00FE2263">
        <w:rPr>
          <w:rStyle w:val="affb"/>
          <w:u w:val="single"/>
          <w:lang w:val="en-US"/>
        </w:rPr>
        <w:instrText>study</w:instrText>
      </w:r>
      <w:r w:rsidR="0004027B" w:rsidRPr="00FE2263">
        <w:rPr>
          <w:rStyle w:val="affb"/>
          <w:u w:val="single"/>
        </w:rPr>
        <w:instrText xml:space="preserve"> </w:instrText>
      </w:r>
      <w:r w:rsidR="0004027B" w:rsidRPr="00FE2263">
        <w:rPr>
          <w:rStyle w:val="affb"/>
          <w:u w:val="single"/>
          <w:lang w:val="en-US"/>
        </w:rPr>
        <w:instrText>examining</w:instrText>
      </w:r>
      <w:r w:rsidR="0004027B" w:rsidRPr="00FE2263">
        <w:rPr>
          <w:rStyle w:val="affb"/>
          <w:u w:val="single"/>
        </w:rPr>
        <w:instrText xml:space="preserve"> </w:instrText>
      </w:r>
      <w:r w:rsidR="0004027B" w:rsidRPr="00FE2263">
        <w:rPr>
          <w:rStyle w:val="affb"/>
          <w:u w:val="single"/>
          <w:lang w:val="en-US"/>
        </w:rPr>
        <w:instrText>FCR</w:instrText>
      </w:r>
      <w:r w:rsidR="0004027B" w:rsidRPr="00FE2263">
        <w:rPr>
          <w:rStyle w:val="affb"/>
          <w:u w:val="single"/>
        </w:rPr>
        <w:instrText xml:space="preserve"> </w:instrText>
      </w:r>
      <w:r w:rsidR="0004027B" w:rsidRPr="00FE2263">
        <w:rPr>
          <w:rStyle w:val="affb"/>
          <w:u w:val="single"/>
          <w:lang w:val="en-US"/>
        </w:rPr>
        <w:instrText>in</w:instrText>
      </w:r>
      <w:r w:rsidR="0004027B" w:rsidRPr="00FE2263">
        <w:rPr>
          <w:rStyle w:val="affb"/>
          <w:u w:val="single"/>
        </w:rPr>
        <w:instrText xml:space="preserve"> </w:instrText>
      </w:r>
      <w:r w:rsidR="0004027B" w:rsidRPr="00FE2263">
        <w:rPr>
          <w:rStyle w:val="affb"/>
          <w:u w:val="single"/>
          <w:lang w:val="en-US"/>
        </w:rPr>
        <w:instrText>Waldenstrom</w:instrText>
      </w:r>
      <w:r w:rsidR="0004027B" w:rsidRPr="00FE2263">
        <w:rPr>
          <w:rStyle w:val="affb"/>
          <w:u w:val="single"/>
        </w:rPr>
        <w:instrText xml:space="preserve"> </w:instrText>
      </w:r>
      <w:r w:rsidR="0004027B" w:rsidRPr="00FE2263">
        <w:rPr>
          <w:rStyle w:val="affb"/>
          <w:u w:val="single"/>
          <w:lang w:val="en-US"/>
        </w:rPr>
        <w:instrText>macroglobulinemia</w:instrText>
      </w:r>
      <w:r w:rsidR="0004027B" w:rsidRPr="00FE2263">
        <w:rPr>
          <w:rStyle w:val="affb"/>
          <w:u w:val="single"/>
        </w:rPr>
        <w:instrText xml:space="preserve"> (</w:instrText>
      </w:r>
      <w:r w:rsidR="0004027B" w:rsidRPr="00FE2263">
        <w:rPr>
          <w:rStyle w:val="affb"/>
          <w:u w:val="single"/>
          <w:lang w:val="en-US"/>
        </w:rPr>
        <w:instrText>WM</w:instrText>
      </w:r>
      <w:r w:rsidR="0004027B" w:rsidRPr="00FE2263">
        <w:rPr>
          <w:rStyle w:val="affb"/>
          <w:u w:val="single"/>
        </w:rPr>
        <w:instrText xml:space="preserve">). </w:instrText>
      </w:r>
      <w:r w:rsidR="0004027B" w:rsidRPr="00FE2263">
        <w:rPr>
          <w:rStyle w:val="affb"/>
          <w:u w:val="single"/>
          <w:lang w:val="en-US"/>
        </w:rPr>
        <w:instrText>METHODS</w:instrText>
      </w:r>
      <w:r w:rsidR="0004027B" w:rsidRPr="00FE2263">
        <w:rPr>
          <w:rStyle w:val="affb"/>
          <w:u w:val="single"/>
        </w:rPr>
        <w:instrText xml:space="preserve">: </w:instrText>
      </w:r>
      <w:r w:rsidR="0004027B" w:rsidRPr="00FE2263">
        <w:rPr>
          <w:rStyle w:val="affb"/>
          <w:u w:val="single"/>
          <w:lang w:val="en-US"/>
        </w:rPr>
        <w:instrText>Forty</w:instrText>
      </w:r>
      <w:r w:rsidR="0004027B" w:rsidRPr="00FE2263">
        <w:rPr>
          <w:rStyle w:val="affb"/>
          <w:u w:val="single"/>
        </w:rPr>
        <w:instrText>-</w:instrText>
      </w:r>
      <w:r w:rsidR="0004027B" w:rsidRPr="00FE2263">
        <w:rPr>
          <w:rStyle w:val="affb"/>
          <w:u w:val="single"/>
          <w:lang w:val="en-US"/>
        </w:rPr>
        <w:instrText>three</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with</w:instrText>
      </w:r>
      <w:r w:rsidR="0004027B" w:rsidRPr="00FE2263">
        <w:rPr>
          <w:rStyle w:val="affb"/>
          <w:u w:val="single"/>
        </w:rPr>
        <w:instrText xml:space="preserve"> </w:instrText>
      </w:r>
      <w:r w:rsidR="0004027B" w:rsidRPr="00FE2263">
        <w:rPr>
          <w:rStyle w:val="affb"/>
          <w:u w:val="single"/>
          <w:lang w:val="en-US"/>
        </w:rPr>
        <w:instrText>symptomatic</w:instrText>
      </w:r>
      <w:r w:rsidR="0004027B" w:rsidRPr="00FE2263">
        <w:rPr>
          <w:rStyle w:val="affb"/>
          <w:u w:val="single"/>
        </w:rPr>
        <w:instrText xml:space="preserve"> </w:instrText>
      </w:r>
      <w:r w:rsidR="0004027B" w:rsidRPr="00FE2263">
        <w:rPr>
          <w:rStyle w:val="affb"/>
          <w:u w:val="single"/>
          <w:lang w:val="en-US"/>
        </w:rPr>
        <w:instrText>WM</w:instrText>
      </w:r>
      <w:r w:rsidR="0004027B" w:rsidRPr="00FE2263">
        <w:rPr>
          <w:rStyle w:val="affb"/>
          <w:u w:val="single"/>
        </w:rPr>
        <w:instrText xml:space="preserve"> </w:instrText>
      </w:r>
      <w:r w:rsidR="0004027B" w:rsidRPr="00FE2263">
        <w:rPr>
          <w:rStyle w:val="affb"/>
          <w:u w:val="single"/>
          <w:lang w:val="en-US"/>
        </w:rPr>
        <w:instrText>that</w:instrText>
      </w:r>
      <w:r w:rsidR="0004027B" w:rsidRPr="00FE2263">
        <w:rPr>
          <w:rStyle w:val="affb"/>
          <w:u w:val="single"/>
        </w:rPr>
        <w:instrText xml:space="preserve"> </w:instrText>
      </w:r>
      <w:r w:rsidR="0004027B" w:rsidRPr="00FE2263">
        <w:rPr>
          <w:rStyle w:val="affb"/>
          <w:u w:val="single"/>
          <w:lang w:val="en-US"/>
        </w:rPr>
        <w:instrText>was</w:instrText>
      </w:r>
      <w:r w:rsidR="0004027B" w:rsidRPr="00FE2263">
        <w:rPr>
          <w:rStyle w:val="affb"/>
          <w:u w:val="single"/>
        </w:rPr>
        <w:instrText xml:space="preserve"> </w:instrText>
      </w:r>
      <w:r w:rsidR="0004027B" w:rsidRPr="00FE2263">
        <w:rPr>
          <w:rStyle w:val="affb"/>
          <w:u w:val="single"/>
          <w:lang w:val="en-US"/>
        </w:rPr>
        <w:instrText>untreated</w:instrText>
      </w:r>
      <w:r w:rsidR="0004027B" w:rsidRPr="00FE2263">
        <w:rPr>
          <w:rStyle w:val="affb"/>
          <w:u w:val="single"/>
        </w:rPr>
        <w:instrText xml:space="preserve"> </w:instrText>
      </w:r>
      <w:r w:rsidR="0004027B" w:rsidRPr="00FE2263">
        <w:rPr>
          <w:rStyle w:val="affb"/>
          <w:u w:val="single"/>
          <w:lang w:val="en-US"/>
        </w:rPr>
        <w:instrText>or</w:instrText>
      </w:r>
      <w:r w:rsidR="0004027B" w:rsidRPr="00FE2263">
        <w:rPr>
          <w:rStyle w:val="affb"/>
          <w:u w:val="single"/>
        </w:rPr>
        <w:instrText xml:space="preserve"> </w:instrText>
      </w:r>
      <w:r w:rsidR="0004027B" w:rsidRPr="00FE2263">
        <w:rPr>
          <w:rStyle w:val="affb"/>
          <w:u w:val="single"/>
          <w:lang w:val="en-US"/>
        </w:rPr>
        <w:instrText>pretreated</w:instrText>
      </w:r>
      <w:r w:rsidR="0004027B" w:rsidRPr="00FE2263">
        <w:rPr>
          <w:rStyle w:val="affb"/>
          <w:u w:val="single"/>
        </w:rPr>
        <w:instrText xml:space="preserve"> </w:instrText>
      </w:r>
      <w:r w:rsidR="0004027B" w:rsidRPr="00FE2263">
        <w:rPr>
          <w:rStyle w:val="affb"/>
          <w:u w:val="single"/>
          <w:lang w:val="en-US"/>
        </w:rPr>
        <w:instrText>with</w:instrText>
      </w:r>
      <w:r w:rsidR="0004027B" w:rsidRPr="00FE2263">
        <w:rPr>
          <w:rStyle w:val="affb"/>
          <w:u w:val="single"/>
        </w:rPr>
        <w:instrText xml:space="preserve"> 1 </w:instrText>
      </w:r>
      <w:r w:rsidR="0004027B" w:rsidRPr="00FE2263">
        <w:rPr>
          <w:rStyle w:val="affb"/>
          <w:u w:val="single"/>
          <w:lang w:val="en-US"/>
        </w:rPr>
        <w:instrText>line</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chemotherapy</w:instrText>
      </w:r>
      <w:r w:rsidR="0004027B" w:rsidRPr="00FE2263">
        <w:rPr>
          <w:rStyle w:val="affb"/>
          <w:u w:val="single"/>
        </w:rPr>
        <w:instrText xml:space="preserve"> </w:instrText>
      </w:r>
      <w:r w:rsidR="0004027B" w:rsidRPr="00FE2263">
        <w:rPr>
          <w:rStyle w:val="affb"/>
          <w:u w:val="single"/>
          <w:lang w:val="en-US"/>
        </w:rPr>
        <w:instrText>received</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375 </w:instrText>
      </w:r>
      <w:r w:rsidR="0004027B" w:rsidRPr="00FE2263">
        <w:rPr>
          <w:rStyle w:val="affb"/>
          <w:u w:val="single"/>
          <w:lang w:val="en-US"/>
        </w:rPr>
        <w:instrText>mg</w:instrText>
      </w:r>
      <w:r w:rsidR="0004027B" w:rsidRPr="00FE2263">
        <w:rPr>
          <w:rStyle w:val="affb"/>
          <w:u w:val="single"/>
        </w:rPr>
        <w:instrText>/</w:instrText>
      </w:r>
      <w:r w:rsidR="0004027B" w:rsidRPr="00FE2263">
        <w:rPr>
          <w:rStyle w:val="affb"/>
          <w:u w:val="single"/>
          <w:lang w:val="en-US"/>
        </w:rPr>
        <w:instrText>m</w:instrText>
      </w:r>
      <w:r w:rsidR="0004027B" w:rsidRPr="00FE2263">
        <w:rPr>
          <w:rStyle w:val="affb"/>
          <w:u w:val="single"/>
        </w:rPr>
        <w:instrText xml:space="preserve"> 2 </w:instrText>
      </w:r>
      <w:r w:rsidR="0004027B" w:rsidRPr="00FE2263">
        <w:rPr>
          <w:rStyle w:val="affb"/>
          <w:u w:val="single"/>
          <w:lang w:val="en-US"/>
        </w:rPr>
        <w:instrText>intravenously</w:instrText>
      </w:r>
      <w:r w:rsidR="0004027B" w:rsidRPr="00FE2263">
        <w:rPr>
          <w:rStyle w:val="affb"/>
          <w:u w:val="single"/>
        </w:rPr>
        <w:instrText xml:space="preserve"> </w:instrText>
      </w:r>
      <w:r w:rsidR="0004027B" w:rsidRPr="00FE2263">
        <w:rPr>
          <w:rStyle w:val="affb"/>
          <w:u w:val="single"/>
          <w:lang w:val="en-US"/>
        </w:rPr>
        <w:instrText>on</w:instrText>
      </w:r>
      <w:r w:rsidR="0004027B" w:rsidRPr="00FE2263">
        <w:rPr>
          <w:rStyle w:val="affb"/>
          <w:u w:val="single"/>
        </w:rPr>
        <w:instrText xml:space="preserve"> </w:instrText>
      </w:r>
      <w:r w:rsidR="0004027B" w:rsidRPr="00FE2263">
        <w:rPr>
          <w:rStyle w:val="affb"/>
          <w:u w:val="single"/>
          <w:lang w:val="en-US"/>
        </w:rPr>
        <w:instrText>day</w:instrText>
      </w:r>
      <w:r w:rsidR="0004027B" w:rsidRPr="00FE2263">
        <w:rPr>
          <w:rStyle w:val="affb"/>
          <w:u w:val="single"/>
        </w:rPr>
        <w:instrText xml:space="preserve"> 1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fludarabine</w:instrText>
      </w:r>
      <w:r w:rsidR="0004027B" w:rsidRPr="00FE2263">
        <w:rPr>
          <w:rStyle w:val="affb"/>
          <w:u w:val="single"/>
        </w:rPr>
        <w:instrText xml:space="preserve"> 25 </w:instrText>
      </w:r>
      <w:r w:rsidR="0004027B" w:rsidRPr="00FE2263">
        <w:rPr>
          <w:rStyle w:val="affb"/>
          <w:u w:val="single"/>
          <w:lang w:val="en-US"/>
        </w:rPr>
        <w:instrText>mg</w:instrText>
      </w:r>
      <w:r w:rsidR="0004027B" w:rsidRPr="00FE2263">
        <w:rPr>
          <w:rStyle w:val="affb"/>
          <w:u w:val="single"/>
        </w:rPr>
        <w:instrText>/</w:instrText>
      </w:r>
      <w:r w:rsidR="0004027B" w:rsidRPr="00FE2263">
        <w:rPr>
          <w:rStyle w:val="affb"/>
          <w:u w:val="single"/>
          <w:lang w:val="en-US"/>
        </w:rPr>
        <w:instrText>m</w:instrText>
      </w:r>
      <w:r w:rsidR="0004027B" w:rsidRPr="00FE2263">
        <w:rPr>
          <w:rStyle w:val="affb"/>
          <w:u w:val="single"/>
        </w:rPr>
        <w:instrText xml:space="preserve"> 2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cyclophosphamide</w:instrText>
      </w:r>
      <w:r w:rsidR="0004027B" w:rsidRPr="00FE2263">
        <w:rPr>
          <w:rStyle w:val="affb"/>
          <w:u w:val="single"/>
        </w:rPr>
        <w:instrText xml:space="preserve"> 250 </w:instrText>
      </w:r>
      <w:r w:rsidR="0004027B" w:rsidRPr="00FE2263">
        <w:rPr>
          <w:rStyle w:val="affb"/>
          <w:u w:val="single"/>
          <w:lang w:val="en-US"/>
        </w:rPr>
        <w:instrText>mg</w:instrText>
      </w:r>
      <w:r w:rsidR="0004027B" w:rsidRPr="00FE2263">
        <w:rPr>
          <w:rStyle w:val="affb"/>
          <w:u w:val="single"/>
        </w:rPr>
        <w:instrText>/</w:instrText>
      </w:r>
      <w:r w:rsidR="0004027B" w:rsidRPr="00FE2263">
        <w:rPr>
          <w:rStyle w:val="affb"/>
          <w:u w:val="single"/>
          <w:lang w:val="en-US"/>
        </w:rPr>
        <w:instrText>m</w:instrText>
      </w:r>
      <w:r w:rsidR="0004027B" w:rsidRPr="00FE2263">
        <w:rPr>
          <w:rStyle w:val="affb"/>
          <w:u w:val="single"/>
        </w:rPr>
        <w:instrText xml:space="preserve"> 2 </w:instrText>
      </w:r>
      <w:r w:rsidR="0004027B" w:rsidRPr="00FE2263">
        <w:rPr>
          <w:rStyle w:val="affb"/>
          <w:u w:val="single"/>
          <w:lang w:val="en-US"/>
        </w:rPr>
        <w:instrText>intravenously</w:instrText>
      </w:r>
      <w:r w:rsidR="0004027B" w:rsidRPr="00FE2263">
        <w:rPr>
          <w:rStyle w:val="affb"/>
          <w:u w:val="single"/>
        </w:rPr>
        <w:instrText xml:space="preserve"> </w:instrText>
      </w:r>
      <w:r w:rsidR="0004027B" w:rsidRPr="00FE2263">
        <w:rPr>
          <w:rStyle w:val="affb"/>
          <w:u w:val="single"/>
          <w:lang w:val="en-US"/>
        </w:rPr>
        <w:instrText>on</w:instrText>
      </w:r>
      <w:r w:rsidR="0004027B" w:rsidRPr="00FE2263">
        <w:rPr>
          <w:rStyle w:val="affb"/>
          <w:u w:val="single"/>
        </w:rPr>
        <w:instrText xml:space="preserve"> </w:instrText>
      </w:r>
      <w:r w:rsidR="0004027B" w:rsidRPr="00FE2263">
        <w:rPr>
          <w:rStyle w:val="affb"/>
          <w:u w:val="single"/>
          <w:lang w:val="en-US"/>
        </w:rPr>
        <w:instrText>days</w:instrText>
      </w:r>
      <w:r w:rsidR="0004027B" w:rsidRPr="00FE2263">
        <w:rPr>
          <w:rStyle w:val="affb"/>
          <w:u w:val="single"/>
        </w:rPr>
        <w:instrText xml:space="preserve"> 2 </w:instrText>
      </w:r>
      <w:r w:rsidR="0004027B" w:rsidRPr="00FE2263">
        <w:rPr>
          <w:rStyle w:val="affb"/>
          <w:u w:val="single"/>
          <w:lang w:val="en-US"/>
        </w:rPr>
        <w:instrText>through</w:instrText>
      </w:r>
      <w:r w:rsidR="0004027B" w:rsidRPr="00FE2263">
        <w:rPr>
          <w:rStyle w:val="affb"/>
          <w:u w:val="single"/>
        </w:rPr>
        <w:instrText xml:space="preserve"> 4. </w:instrText>
      </w:r>
      <w:r w:rsidR="0004027B" w:rsidRPr="00FE2263">
        <w:rPr>
          <w:rStyle w:val="affb"/>
          <w:u w:val="single"/>
          <w:lang w:val="en-US"/>
        </w:rPr>
        <w:instrText>FCR</w:instrText>
      </w:r>
      <w:r w:rsidR="0004027B" w:rsidRPr="00FE2263">
        <w:rPr>
          <w:rStyle w:val="affb"/>
          <w:u w:val="single"/>
        </w:rPr>
        <w:instrText xml:space="preserve"> </w:instrText>
      </w:r>
      <w:r w:rsidR="0004027B" w:rsidRPr="00FE2263">
        <w:rPr>
          <w:rStyle w:val="affb"/>
          <w:u w:val="single"/>
          <w:lang w:val="en-US"/>
        </w:rPr>
        <w:instrText>was</w:instrText>
      </w:r>
      <w:r w:rsidR="0004027B" w:rsidRPr="00FE2263">
        <w:rPr>
          <w:rStyle w:val="affb"/>
          <w:u w:val="single"/>
        </w:rPr>
        <w:instrText xml:space="preserve"> </w:instrText>
      </w:r>
      <w:r w:rsidR="0004027B" w:rsidRPr="00FE2263">
        <w:rPr>
          <w:rStyle w:val="affb"/>
          <w:u w:val="single"/>
          <w:lang w:val="en-US"/>
        </w:rPr>
        <w:instrText>repeated</w:instrText>
      </w:r>
      <w:r w:rsidR="0004027B" w:rsidRPr="00FE2263">
        <w:rPr>
          <w:rStyle w:val="affb"/>
          <w:u w:val="single"/>
        </w:rPr>
        <w:instrText xml:space="preserve"> </w:instrText>
      </w:r>
      <w:r w:rsidR="0004027B" w:rsidRPr="00FE2263">
        <w:rPr>
          <w:rStyle w:val="affb"/>
          <w:u w:val="single"/>
          <w:lang w:val="en-US"/>
        </w:rPr>
        <w:instrText>every</w:instrText>
      </w:r>
      <w:r w:rsidR="0004027B" w:rsidRPr="00FE2263">
        <w:rPr>
          <w:rStyle w:val="affb"/>
          <w:u w:val="single"/>
        </w:rPr>
        <w:instrText xml:space="preserve"> 28 </w:instrText>
      </w:r>
      <w:r w:rsidR="0004027B" w:rsidRPr="00FE2263">
        <w:rPr>
          <w:rStyle w:val="affb"/>
          <w:u w:val="single"/>
          <w:lang w:val="en-US"/>
        </w:rPr>
        <w:instrText>days</w:instrText>
      </w:r>
      <w:r w:rsidR="0004027B" w:rsidRPr="00FE2263">
        <w:rPr>
          <w:rStyle w:val="affb"/>
          <w:u w:val="single"/>
        </w:rPr>
        <w:instrText xml:space="preserve"> </w:instrText>
      </w:r>
      <w:r w:rsidR="0004027B" w:rsidRPr="00FE2263">
        <w:rPr>
          <w:rStyle w:val="affb"/>
          <w:u w:val="single"/>
          <w:lang w:val="en-US"/>
        </w:rPr>
        <w:instrText>for</w:instrText>
      </w:r>
      <w:r w:rsidR="0004027B" w:rsidRPr="00FE2263">
        <w:rPr>
          <w:rStyle w:val="affb"/>
          <w:u w:val="single"/>
        </w:rPr>
        <w:instrText xml:space="preserve"> </w:instrText>
      </w:r>
      <w:r w:rsidR="0004027B" w:rsidRPr="00FE2263">
        <w:rPr>
          <w:rStyle w:val="affb"/>
          <w:u w:val="single"/>
          <w:lang w:val="en-US"/>
        </w:rPr>
        <w:instrText>up</w:instrText>
      </w:r>
      <w:r w:rsidR="0004027B" w:rsidRPr="00FE2263">
        <w:rPr>
          <w:rStyle w:val="affb"/>
          <w:u w:val="single"/>
        </w:rPr>
        <w:instrText xml:space="preserve"> </w:instrText>
      </w:r>
      <w:r w:rsidR="0004027B" w:rsidRPr="00FE2263">
        <w:rPr>
          <w:rStyle w:val="affb"/>
          <w:u w:val="single"/>
          <w:lang w:val="en-US"/>
        </w:rPr>
        <w:instrText>to</w:instrText>
      </w:r>
      <w:r w:rsidR="0004027B" w:rsidRPr="00FE2263">
        <w:rPr>
          <w:rStyle w:val="affb"/>
          <w:u w:val="single"/>
        </w:rPr>
        <w:instrText xml:space="preserve"> 6 </w:instrText>
      </w:r>
      <w:r w:rsidR="0004027B" w:rsidRPr="00FE2263">
        <w:rPr>
          <w:rStyle w:val="affb"/>
          <w:u w:val="single"/>
          <w:lang w:val="en-US"/>
        </w:rPr>
        <w:instrText>courses</w:instrText>
      </w:r>
      <w:r w:rsidR="0004027B" w:rsidRPr="00FE2263">
        <w:rPr>
          <w:rStyle w:val="affb"/>
          <w:u w:val="single"/>
        </w:rPr>
        <w:instrText xml:space="preserve">. </w:instrText>
      </w:r>
      <w:r w:rsidR="0004027B" w:rsidRPr="00FE2263">
        <w:rPr>
          <w:rStyle w:val="affb"/>
          <w:u w:val="single"/>
          <w:lang w:val="en-US"/>
        </w:rPr>
        <w:instrText>RESULTS</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overall</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rate</w:instrText>
      </w:r>
      <w:r w:rsidR="0004027B" w:rsidRPr="00FE2263">
        <w:rPr>
          <w:rStyle w:val="affb"/>
          <w:u w:val="single"/>
        </w:rPr>
        <w:instrText xml:space="preserve"> </w:instrText>
      </w:r>
      <w:r w:rsidR="0004027B" w:rsidRPr="00FE2263">
        <w:rPr>
          <w:rStyle w:val="affb"/>
          <w:u w:val="single"/>
          <w:lang w:val="en-US"/>
        </w:rPr>
        <w:instrText>was</w:instrText>
      </w:r>
      <w:r w:rsidR="0004027B" w:rsidRPr="00FE2263">
        <w:rPr>
          <w:rStyle w:val="affb"/>
          <w:u w:val="single"/>
        </w:rPr>
        <w:instrText xml:space="preserve"> 79%,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major</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rate</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74.4%, </w:instrText>
      </w:r>
      <w:r w:rsidR="0004027B" w:rsidRPr="00FE2263">
        <w:rPr>
          <w:rStyle w:val="affb"/>
          <w:u w:val="single"/>
          <w:lang w:val="en-US"/>
        </w:rPr>
        <w:instrText>including</w:instrText>
      </w:r>
      <w:r w:rsidR="0004027B" w:rsidRPr="00FE2263">
        <w:rPr>
          <w:rStyle w:val="affb"/>
          <w:u w:val="single"/>
        </w:rPr>
        <w:instrText xml:space="preserve"> 11.6% </w:instrText>
      </w:r>
      <w:r w:rsidR="0004027B" w:rsidRPr="00FE2263">
        <w:rPr>
          <w:rStyle w:val="affb"/>
          <w:u w:val="single"/>
          <w:lang w:val="en-US"/>
        </w:rPr>
        <w:instrText>complete</w:instrText>
      </w:r>
      <w:r w:rsidR="0004027B" w:rsidRPr="00FE2263">
        <w:rPr>
          <w:rStyle w:val="affb"/>
          <w:u w:val="single"/>
        </w:rPr>
        <w:instrText xml:space="preserve"> </w:instrText>
      </w:r>
      <w:r w:rsidR="0004027B" w:rsidRPr="00FE2263">
        <w:rPr>
          <w:rStyle w:val="affb"/>
          <w:u w:val="single"/>
          <w:lang w:val="en-US"/>
        </w:rPr>
        <w:instrText>remissions</w:instrText>
      </w:r>
      <w:r w:rsidR="0004027B" w:rsidRPr="00FE2263">
        <w:rPr>
          <w:rStyle w:val="affb"/>
          <w:u w:val="single"/>
        </w:rPr>
        <w:instrText xml:space="preserve"> (</w:instrText>
      </w:r>
      <w:r w:rsidR="0004027B" w:rsidRPr="00FE2263">
        <w:rPr>
          <w:rStyle w:val="affb"/>
          <w:u w:val="single"/>
          <w:lang w:val="en-US"/>
        </w:rPr>
        <w:instrText>CRs</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20.9% </w:instrText>
      </w:r>
      <w:r w:rsidR="0004027B" w:rsidRPr="00FE2263">
        <w:rPr>
          <w:rStyle w:val="affb"/>
          <w:u w:val="single"/>
          <w:lang w:val="en-US"/>
        </w:rPr>
        <w:instrText>very</w:instrText>
      </w:r>
      <w:r w:rsidR="0004027B" w:rsidRPr="00FE2263">
        <w:rPr>
          <w:rStyle w:val="affb"/>
          <w:u w:val="single"/>
        </w:rPr>
        <w:instrText xml:space="preserve"> </w:instrText>
      </w:r>
      <w:r w:rsidR="0004027B" w:rsidRPr="00FE2263">
        <w:rPr>
          <w:rStyle w:val="affb"/>
          <w:u w:val="single"/>
          <w:lang w:val="en-US"/>
        </w:rPr>
        <w:instrText>good</w:instrText>
      </w:r>
      <w:r w:rsidR="0004027B" w:rsidRPr="00FE2263">
        <w:rPr>
          <w:rStyle w:val="affb"/>
          <w:u w:val="single"/>
        </w:rPr>
        <w:instrText xml:space="preserve"> </w:instrText>
      </w:r>
      <w:r w:rsidR="0004027B" w:rsidRPr="00FE2263">
        <w:rPr>
          <w:rStyle w:val="affb"/>
          <w:u w:val="single"/>
          <w:lang w:val="en-US"/>
        </w:rPr>
        <w:instrText>partial</w:instrText>
      </w:r>
      <w:r w:rsidR="0004027B" w:rsidRPr="00FE2263">
        <w:rPr>
          <w:rStyle w:val="affb"/>
          <w:u w:val="single"/>
        </w:rPr>
        <w:instrText xml:space="preserve"> </w:instrText>
      </w:r>
      <w:r w:rsidR="0004027B" w:rsidRPr="00FE2263">
        <w:rPr>
          <w:rStyle w:val="affb"/>
          <w:u w:val="single"/>
          <w:lang w:val="en-US"/>
        </w:rPr>
        <w:instrText>remissions</w:instrText>
      </w:r>
      <w:r w:rsidR="0004027B" w:rsidRPr="00FE2263">
        <w:rPr>
          <w:rStyle w:val="affb"/>
          <w:u w:val="single"/>
        </w:rPr>
        <w:instrText xml:space="preserve">. </w:instrText>
      </w:r>
      <w:r w:rsidR="0004027B" w:rsidRPr="00FE2263">
        <w:rPr>
          <w:rStyle w:val="affb"/>
          <w:u w:val="single"/>
          <w:lang w:val="en-US"/>
        </w:rPr>
        <w:instrText>An</w:instrText>
      </w:r>
      <w:r w:rsidR="0004027B" w:rsidRPr="00FE2263">
        <w:rPr>
          <w:rStyle w:val="affb"/>
          <w:u w:val="single"/>
        </w:rPr>
        <w:instrText xml:space="preserve"> </w:instrText>
      </w:r>
      <w:r w:rsidR="0004027B" w:rsidRPr="00FE2263">
        <w:rPr>
          <w:rStyle w:val="affb"/>
          <w:u w:val="single"/>
          <w:lang w:val="en-US"/>
        </w:rPr>
        <w:instrText>amelioration</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quality</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responses</w:instrText>
      </w:r>
      <w:r w:rsidR="0004027B" w:rsidRPr="00FE2263">
        <w:rPr>
          <w:rStyle w:val="affb"/>
          <w:u w:val="single"/>
        </w:rPr>
        <w:instrText xml:space="preserve"> </w:instrText>
      </w:r>
      <w:r w:rsidR="0004027B" w:rsidRPr="00FE2263">
        <w:rPr>
          <w:rStyle w:val="affb"/>
          <w:u w:val="single"/>
          <w:lang w:val="en-US"/>
        </w:rPr>
        <w:instrText>was</w:instrText>
      </w:r>
      <w:r w:rsidR="0004027B" w:rsidRPr="00FE2263">
        <w:rPr>
          <w:rStyle w:val="affb"/>
          <w:u w:val="single"/>
        </w:rPr>
        <w:instrText xml:space="preserve"> </w:instrText>
      </w:r>
      <w:r w:rsidR="0004027B" w:rsidRPr="00FE2263">
        <w:rPr>
          <w:rStyle w:val="affb"/>
          <w:u w:val="single"/>
          <w:lang w:val="en-US"/>
        </w:rPr>
        <w:instrText>observed</w:instrText>
      </w:r>
      <w:r w:rsidR="0004027B" w:rsidRPr="00FE2263">
        <w:rPr>
          <w:rStyle w:val="affb"/>
          <w:u w:val="single"/>
        </w:rPr>
        <w:instrText xml:space="preserve"> </w:instrText>
      </w:r>
      <w:r w:rsidR="0004027B" w:rsidRPr="00FE2263">
        <w:rPr>
          <w:rStyle w:val="affb"/>
          <w:u w:val="single"/>
          <w:lang w:val="en-US"/>
        </w:rPr>
        <w:instrText>during</w:instrText>
      </w:r>
      <w:r w:rsidR="0004027B" w:rsidRPr="00FE2263">
        <w:rPr>
          <w:rStyle w:val="affb"/>
          <w:u w:val="single"/>
        </w:rPr>
        <w:instrText xml:space="preserve"> </w:instrText>
      </w:r>
      <w:r w:rsidR="0004027B" w:rsidRPr="00FE2263">
        <w:rPr>
          <w:rStyle w:val="affb"/>
          <w:u w:val="single"/>
          <w:lang w:val="en-US"/>
        </w:rPr>
        <w:instrText>follow</w:instrText>
      </w:r>
      <w:r w:rsidR="0004027B" w:rsidRPr="00FE2263">
        <w:rPr>
          <w:rStyle w:val="affb"/>
          <w:u w:val="single"/>
        </w:rPr>
        <w:instrText>-</w:instrText>
      </w:r>
      <w:r w:rsidR="0004027B" w:rsidRPr="00FE2263">
        <w:rPr>
          <w:rStyle w:val="affb"/>
          <w:u w:val="single"/>
          <w:lang w:val="en-US"/>
        </w:rPr>
        <w:instrText>up</w:instrText>
      </w:r>
      <w:r w:rsidR="0004027B" w:rsidRPr="00FE2263">
        <w:rPr>
          <w:rStyle w:val="affb"/>
          <w:u w:val="single"/>
        </w:rPr>
        <w:instrText xml:space="preserve">, </w:instrText>
      </w:r>
      <w:r w:rsidR="0004027B" w:rsidRPr="00FE2263">
        <w:rPr>
          <w:rStyle w:val="affb"/>
          <w:u w:val="single"/>
          <w:lang w:val="en-US"/>
        </w:rPr>
        <w:instrText>leading</w:instrText>
      </w:r>
      <w:r w:rsidR="0004027B" w:rsidRPr="00FE2263">
        <w:rPr>
          <w:rStyle w:val="affb"/>
          <w:u w:val="single"/>
        </w:rPr>
        <w:instrText xml:space="preserve"> </w:instrText>
      </w:r>
      <w:r w:rsidR="0004027B" w:rsidRPr="00FE2263">
        <w:rPr>
          <w:rStyle w:val="affb"/>
          <w:u w:val="single"/>
          <w:lang w:val="en-US"/>
        </w:rPr>
        <w:instrText>to</w:instrText>
      </w:r>
      <w:r w:rsidR="0004027B" w:rsidRPr="00FE2263">
        <w:rPr>
          <w:rStyle w:val="affb"/>
          <w:u w:val="single"/>
        </w:rPr>
        <w:instrText xml:space="preserve"> 18.6%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CRs</w:instrText>
      </w:r>
      <w:r w:rsidR="0004027B" w:rsidRPr="00FE2263">
        <w:rPr>
          <w:rStyle w:val="affb"/>
          <w:u w:val="single"/>
        </w:rPr>
        <w:instrText xml:space="preserve">. </w:instrText>
      </w:r>
      <w:r w:rsidR="0004027B" w:rsidRPr="00FE2263">
        <w:rPr>
          <w:rStyle w:val="affb"/>
          <w:u w:val="single"/>
          <w:lang w:val="en-US"/>
        </w:rPr>
        <w:instrText>No</w:instrText>
      </w:r>
      <w:r w:rsidR="0004027B" w:rsidRPr="00FE2263">
        <w:rPr>
          <w:rStyle w:val="affb"/>
          <w:u w:val="single"/>
        </w:rPr>
        <w:instrText xml:space="preserve"> </w:instrText>
      </w:r>
      <w:r w:rsidR="0004027B" w:rsidRPr="00FE2263">
        <w:rPr>
          <w:rStyle w:val="affb"/>
          <w:u w:val="single"/>
          <w:lang w:val="en-US"/>
        </w:rPr>
        <w:instrText>differences</w:instrText>
      </w:r>
      <w:r w:rsidR="0004027B" w:rsidRPr="00FE2263">
        <w:rPr>
          <w:rStyle w:val="affb"/>
          <w:u w:val="single"/>
        </w:rPr>
        <w:instrText xml:space="preserve"> </w:instrText>
      </w:r>
      <w:r w:rsidR="0004027B" w:rsidRPr="00FE2263">
        <w:rPr>
          <w:rStyle w:val="affb"/>
          <w:u w:val="single"/>
          <w:lang w:val="en-US"/>
        </w:rPr>
        <w:instrText>in</w:instrText>
      </w:r>
      <w:r w:rsidR="0004027B" w:rsidRPr="00FE2263">
        <w:rPr>
          <w:rStyle w:val="affb"/>
          <w:u w:val="single"/>
        </w:rPr>
        <w:instrText xml:space="preserve"> </w:instrText>
      </w:r>
      <w:r w:rsidR="0004027B" w:rsidRPr="00FE2263">
        <w:rPr>
          <w:rStyle w:val="affb"/>
          <w:u w:val="single"/>
          <w:lang w:val="en-US"/>
        </w:rPr>
        <w:instrText>terms</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responses</w:instrText>
      </w:r>
      <w:r w:rsidR="0004027B" w:rsidRPr="00FE2263">
        <w:rPr>
          <w:rStyle w:val="affb"/>
          <w:u w:val="single"/>
        </w:rPr>
        <w:instrText xml:space="preserve"> </w:instrText>
      </w:r>
      <w:r w:rsidR="0004027B" w:rsidRPr="00FE2263">
        <w:rPr>
          <w:rStyle w:val="affb"/>
          <w:u w:val="single"/>
          <w:lang w:val="en-US"/>
        </w:rPr>
        <w:instrText>were</w:instrText>
      </w:r>
      <w:r w:rsidR="0004027B" w:rsidRPr="00FE2263">
        <w:rPr>
          <w:rStyle w:val="affb"/>
          <w:u w:val="single"/>
        </w:rPr>
        <w:instrText xml:space="preserve"> </w:instrText>
      </w:r>
      <w:r w:rsidR="0004027B" w:rsidRPr="00FE2263">
        <w:rPr>
          <w:rStyle w:val="affb"/>
          <w:u w:val="single"/>
          <w:lang w:val="en-US"/>
        </w:rPr>
        <w:instrText>observed</w:instrText>
      </w:r>
      <w:r w:rsidR="0004027B" w:rsidRPr="00FE2263">
        <w:rPr>
          <w:rStyle w:val="affb"/>
          <w:u w:val="single"/>
        </w:rPr>
        <w:instrText xml:space="preserve"> </w:instrText>
      </w:r>
      <w:r w:rsidR="0004027B" w:rsidRPr="00FE2263">
        <w:rPr>
          <w:rStyle w:val="affb"/>
          <w:u w:val="single"/>
          <w:lang w:val="en-US"/>
        </w:rPr>
        <w:instrText>among</w:instrText>
      </w:r>
      <w:r w:rsidR="0004027B" w:rsidRPr="00FE2263">
        <w:rPr>
          <w:rStyle w:val="affb"/>
          <w:u w:val="single"/>
        </w:rPr>
        <w:instrText xml:space="preserve"> </w:instrText>
      </w:r>
      <w:r w:rsidR="0004027B" w:rsidRPr="00FE2263">
        <w:rPr>
          <w:rStyle w:val="affb"/>
          <w:u w:val="single"/>
          <w:lang w:val="en-US"/>
        </w:rPr>
        <w:instrText>previously</w:instrText>
      </w:r>
      <w:r w:rsidR="0004027B" w:rsidRPr="00FE2263">
        <w:rPr>
          <w:rStyle w:val="affb"/>
          <w:u w:val="single"/>
        </w:rPr>
        <w:instrText xml:space="preserve"> </w:instrText>
      </w:r>
      <w:r w:rsidR="0004027B" w:rsidRPr="00FE2263">
        <w:rPr>
          <w:rStyle w:val="affb"/>
          <w:u w:val="single"/>
          <w:lang w:val="en-US"/>
        </w:rPr>
        <w:instrText>treated</w:instrText>
      </w:r>
      <w:r w:rsidR="0004027B" w:rsidRPr="00FE2263">
        <w:rPr>
          <w:rStyle w:val="affb"/>
          <w:u w:val="single"/>
        </w:rPr>
        <w:instrText xml:space="preserve"> </w:instrText>
      </w:r>
      <w:r w:rsidR="0004027B" w:rsidRPr="00FE2263">
        <w:rPr>
          <w:rStyle w:val="affb"/>
          <w:u w:val="single"/>
          <w:lang w:val="en-US"/>
        </w:rPr>
        <w:instrText>or</w:instrText>
      </w:r>
      <w:r w:rsidR="0004027B" w:rsidRPr="00FE2263">
        <w:rPr>
          <w:rStyle w:val="affb"/>
          <w:u w:val="single"/>
        </w:rPr>
        <w:instrText xml:space="preserve"> </w:instrText>
      </w:r>
      <w:r w:rsidR="0004027B" w:rsidRPr="00FE2263">
        <w:rPr>
          <w:rStyle w:val="affb"/>
          <w:u w:val="single"/>
          <w:lang w:val="en-US"/>
        </w:rPr>
        <w:instrText>untreated</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Among</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clinical</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laboratory</w:instrText>
      </w:r>
      <w:r w:rsidR="0004027B" w:rsidRPr="00FE2263">
        <w:rPr>
          <w:rStyle w:val="affb"/>
          <w:u w:val="single"/>
        </w:rPr>
        <w:instrText xml:space="preserve"> </w:instrText>
      </w:r>
      <w:r w:rsidR="0004027B" w:rsidRPr="00FE2263">
        <w:rPr>
          <w:rStyle w:val="affb"/>
          <w:u w:val="single"/>
          <w:lang w:val="en-US"/>
        </w:rPr>
        <w:instrText>features</w:instrText>
      </w:r>
      <w:r w:rsidR="0004027B" w:rsidRPr="00FE2263">
        <w:rPr>
          <w:rStyle w:val="affb"/>
          <w:u w:val="single"/>
        </w:rPr>
        <w:instrText xml:space="preserve"> </w:instrText>
      </w:r>
      <w:r w:rsidR="0004027B" w:rsidRPr="00FE2263">
        <w:rPr>
          <w:rStyle w:val="affb"/>
          <w:u w:val="single"/>
          <w:lang w:val="en-US"/>
        </w:rPr>
        <w:instrText>that</w:instrText>
      </w:r>
      <w:r w:rsidR="0004027B" w:rsidRPr="00FE2263">
        <w:rPr>
          <w:rStyle w:val="affb"/>
          <w:u w:val="single"/>
        </w:rPr>
        <w:instrText xml:space="preserve"> </w:instrText>
      </w:r>
      <w:r w:rsidR="0004027B" w:rsidRPr="00FE2263">
        <w:rPr>
          <w:rStyle w:val="affb"/>
          <w:u w:val="single"/>
          <w:lang w:val="en-US"/>
        </w:rPr>
        <w:instrText>were</w:instrText>
      </w:r>
      <w:r w:rsidR="0004027B" w:rsidRPr="00FE2263">
        <w:rPr>
          <w:rStyle w:val="affb"/>
          <w:u w:val="single"/>
        </w:rPr>
        <w:instrText xml:space="preserve"> </w:instrText>
      </w:r>
      <w:r w:rsidR="0004027B" w:rsidRPr="00FE2263">
        <w:rPr>
          <w:rStyle w:val="affb"/>
          <w:u w:val="single"/>
          <w:lang w:val="en-US"/>
        </w:rPr>
        <w:instrText>considered</w:instrText>
      </w:r>
      <w:r w:rsidR="0004027B" w:rsidRPr="00FE2263">
        <w:rPr>
          <w:rStyle w:val="affb"/>
          <w:u w:val="single"/>
        </w:rPr>
        <w:instrText xml:space="preserve">, </w:instrText>
      </w:r>
      <w:r w:rsidR="0004027B" w:rsidRPr="00FE2263">
        <w:rPr>
          <w:rStyle w:val="affb"/>
          <w:u w:val="single"/>
          <w:lang w:val="en-US"/>
        </w:rPr>
        <w:instrText>only</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β</w:instrText>
      </w:r>
      <w:r w:rsidR="0004027B" w:rsidRPr="00FE2263">
        <w:rPr>
          <w:rStyle w:val="affb"/>
          <w:u w:val="single"/>
        </w:rPr>
        <w:instrText>2-</w:instrText>
      </w:r>
      <w:r w:rsidR="0004027B" w:rsidRPr="00FE2263">
        <w:rPr>
          <w:rStyle w:val="affb"/>
          <w:u w:val="single"/>
          <w:lang w:val="en-US"/>
        </w:rPr>
        <w:instrText>microglobulin</w:instrText>
      </w:r>
      <w:r w:rsidR="0004027B" w:rsidRPr="00FE2263">
        <w:rPr>
          <w:rStyle w:val="affb"/>
          <w:u w:val="single"/>
        </w:rPr>
        <w:instrText xml:space="preserve"> </w:instrText>
      </w:r>
      <w:r w:rsidR="0004027B" w:rsidRPr="00FE2263">
        <w:rPr>
          <w:rStyle w:val="affb"/>
          <w:u w:val="single"/>
          <w:lang w:val="en-US"/>
        </w:rPr>
        <w:instrText>level</w:instrText>
      </w:r>
      <w:r w:rsidR="0004027B" w:rsidRPr="00FE2263">
        <w:rPr>
          <w:rStyle w:val="affb"/>
          <w:u w:val="single"/>
        </w:rPr>
        <w:instrText xml:space="preserve"> </w:instrText>
      </w:r>
      <w:r w:rsidR="0004027B" w:rsidRPr="00FE2263">
        <w:rPr>
          <w:rStyle w:val="affb"/>
          <w:u w:val="single"/>
          <w:lang w:val="en-US"/>
        </w:rPr>
        <w:instrText>had</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significant</w:instrText>
      </w:r>
      <w:r w:rsidR="0004027B" w:rsidRPr="00FE2263">
        <w:rPr>
          <w:rStyle w:val="affb"/>
          <w:u w:val="single"/>
        </w:rPr>
        <w:instrText xml:space="preserve"> </w:instrText>
      </w:r>
      <w:r w:rsidR="0004027B" w:rsidRPr="00FE2263">
        <w:rPr>
          <w:rStyle w:val="affb"/>
          <w:u w:val="single"/>
          <w:lang w:val="en-US"/>
        </w:rPr>
        <w:instrText>impact</w:instrText>
      </w:r>
      <w:r w:rsidR="0004027B" w:rsidRPr="00FE2263">
        <w:rPr>
          <w:rStyle w:val="affb"/>
          <w:u w:val="single"/>
        </w:rPr>
        <w:instrText xml:space="preserve"> </w:instrText>
      </w:r>
      <w:r w:rsidR="0004027B" w:rsidRPr="00FE2263">
        <w:rPr>
          <w:rStyle w:val="affb"/>
          <w:u w:val="single"/>
          <w:lang w:val="en-US"/>
        </w:rPr>
        <w:instrText>in</w:instrText>
      </w:r>
      <w:r w:rsidR="0004027B" w:rsidRPr="00FE2263">
        <w:rPr>
          <w:rStyle w:val="affb"/>
          <w:u w:val="single"/>
        </w:rPr>
        <w:instrText xml:space="preserve"> </w:instrText>
      </w:r>
      <w:r w:rsidR="0004027B" w:rsidRPr="00FE2263">
        <w:rPr>
          <w:rStyle w:val="affb"/>
          <w:u w:val="single"/>
          <w:lang w:val="en-US"/>
        </w:rPr>
        <w:instrText>terms</w:instrText>
      </w:r>
      <w:r w:rsidR="0004027B" w:rsidRPr="00FE2263">
        <w:rPr>
          <w:rStyle w:val="affb"/>
          <w:u w:val="single"/>
        </w:rPr>
        <w:instrText xml:space="preserve"> </w:instrText>
      </w:r>
      <w:r w:rsidR="0004027B" w:rsidRPr="00FE2263">
        <w:rPr>
          <w:rStyle w:val="affb"/>
          <w:u w:val="single"/>
          <w:lang w:val="en-US"/>
        </w:rPr>
        <w:instrText>of</w:instrText>
      </w:r>
      <w:r w:rsidR="0004027B" w:rsidRPr="00FE2263">
        <w:rPr>
          <w:rStyle w:val="affb"/>
          <w:u w:val="single"/>
        </w:rPr>
        <w:instrText xml:space="preserve"> </w:instrText>
      </w:r>
      <w:r w:rsidR="0004027B" w:rsidRPr="00FE2263">
        <w:rPr>
          <w:rStyle w:val="affb"/>
          <w:u w:val="single"/>
          <w:lang w:val="en-US"/>
        </w:rPr>
        <w:instrText>achieving</w:instrText>
      </w:r>
      <w:r w:rsidR="0004027B" w:rsidRPr="00FE2263">
        <w:rPr>
          <w:rStyle w:val="affb"/>
          <w:u w:val="single"/>
        </w:rPr>
        <w:instrText xml:space="preserve"> </w:instrText>
      </w:r>
      <w:r w:rsidR="0004027B" w:rsidRPr="00FE2263">
        <w:rPr>
          <w:rStyle w:val="affb"/>
          <w:u w:val="single"/>
          <w:lang w:val="en-US"/>
        </w:rPr>
        <w:instrText>a</w:instrText>
      </w:r>
      <w:r w:rsidR="0004027B" w:rsidRPr="00FE2263">
        <w:rPr>
          <w:rStyle w:val="affb"/>
          <w:u w:val="single"/>
        </w:rPr>
        <w:instrText xml:space="preserve"> </w:instrText>
      </w:r>
      <w:r w:rsidR="0004027B" w:rsidRPr="00FE2263">
        <w:rPr>
          <w:rStyle w:val="affb"/>
          <w:u w:val="single"/>
          <w:lang w:val="en-US"/>
        </w:rPr>
        <w:instrText>major</w:instrText>
      </w:r>
      <w:r w:rsidR="0004027B" w:rsidRPr="00FE2263">
        <w:rPr>
          <w:rStyle w:val="affb"/>
          <w:u w:val="single"/>
        </w:rPr>
        <w:instrText xml:space="preserve"> </w:instrText>
      </w:r>
      <w:r w:rsidR="0004027B" w:rsidRPr="00FE2263">
        <w:rPr>
          <w:rStyle w:val="affb"/>
          <w:u w:val="single"/>
          <w:lang w:val="en-US"/>
        </w:rPr>
        <w:instrText>response</w:instrText>
      </w:r>
      <w:r w:rsidR="0004027B" w:rsidRPr="00FE2263">
        <w:rPr>
          <w:rStyle w:val="affb"/>
          <w:u w:val="single"/>
        </w:rPr>
        <w:instrText xml:space="preserve">. </w:instrText>
      </w:r>
      <w:r w:rsidR="0004027B" w:rsidRPr="00FE2263">
        <w:rPr>
          <w:rStyle w:val="affb"/>
          <w:u w:val="single"/>
          <w:lang w:val="en-US"/>
        </w:rPr>
        <w:instrText>The</w:instrText>
      </w:r>
      <w:r w:rsidR="0004027B" w:rsidRPr="00FE2263">
        <w:rPr>
          <w:rStyle w:val="affb"/>
          <w:u w:val="single"/>
        </w:rPr>
        <w:instrText xml:space="preserve"> </w:instrText>
      </w:r>
      <w:r w:rsidR="0004027B" w:rsidRPr="00FE2263">
        <w:rPr>
          <w:rStyle w:val="affb"/>
          <w:u w:val="single"/>
          <w:lang w:val="en-US"/>
        </w:rPr>
        <w:instrText>major</w:instrText>
      </w:r>
      <w:r w:rsidR="0004027B" w:rsidRPr="00FE2263">
        <w:rPr>
          <w:rStyle w:val="affb"/>
          <w:u w:val="single"/>
        </w:rPr>
        <w:instrText xml:space="preserve"> </w:instrText>
      </w:r>
      <w:r w:rsidR="0004027B" w:rsidRPr="00FE2263">
        <w:rPr>
          <w:rStyle w:val="affb"/>
          <w:u w:val="single"/>
          <w:lang w:val="en-US"/>
        </w:rPr>
        <w:instrText>toxicity</w:instrText>
      </w:r>
      <w:r w:rsidR="0004027B" w:rsidRPr="00FE2263">
        <w:rPr>
          <w:rStyle w:val="affb"/>
          <w:u w:val="single"/>
        </w:rPr>
        <w:instrText xml:space="preserve"> </w:instrText>
      </w:r>
      <w:r w:rsidR="0004027B" w:rsidRPr="00FE2263">
        <w:rPr>
          <w:rStyle w:val="affb"/>
          <w:u w:val="single"/>
          <w:lang w:val="en-US"/>
        </w:rPr>
        <w:instrText>reported</w:instrText>
      </w:r>
      <w:r w:rsidR="0004027B" w:rsidRPr="00FE2263">
        <w:rPr>
          <w:rStyle w:val="affb"/>
          <w:u w:val="single"/>
        </w:rPr>
        <w:instrText xml:space="preserve"> </w:instrText>
      </w:r>
      <w:r w:rsidR="0004027B" w:rsidRPr="00FE2263">
        <w:rPr>
          <w:rStyle w:val="affb"/>
          <w:u w:val="single"/>
          <w:lang w:val="en-US"/>
        </w:rPr>
        <w:instrText>was</w:instrText>
      </w:r>
      <w:r w:rsidR="0004027B" w:rsidRPr="00FE2263">
        <w:rPr>
          <w:rStyle w:val="affb"/>
          <w:u w:val="single"/>
        </w:rPr>
        <w:instrText xml:space="preserve"> </w:instrText>
      </w:r>
      <w:r w:rsidR="0004027B" w:rsidRPr="00FE2263">
        <w:rPr>
          <w:rStyle w:val="affb"/>
          <w:u w:val="single"/>
          <w:lang w:val="en-US"/>
        </w:rPr>
        <w:instrText>grade</w:instrText>
      </w:r>
      <w:r w:rsidR="0004027B" w:rsidRPr="00FE2263">
        <w:rPr>
          <w:rStyle w:val="affb"/>
          <w:u w:val="single"/>
        </w:rPr>
        <w:instrText xml:space="preserve"> 3/4 </w:instrText>
      </w:r>
      <w:r w:rsidR="0004027B" w:rsidRPr="00FE2263">
        <w:rPr>
          <w:rStyle w:val="affb"/>
          <w:u w:val="single"/>
          <w:lang w:val="en-US"/>
        </w:rPr>
        <w:instrText>neutropenia</w:instrText>
      </w:r>
      <w:r w:rsidR="0004027B" w:rsidRPr="00FE2263">
        <w:rPr>
          <w:rStyle w:val="affb"/>
          <w:u w:val="single"/>
        </w:rPr>
        <w:instrText xml:space="preserve">, </w:instrText>
      </w:r>
      <w:r w:rsidR="0004027B" w:rsidRPr="00FE2263">
        <w:rPr>
          <w:rStyle w:val="affb"/>
          <w:u w:val="single"/>
          <w:lang w:val="en-US"/>
        </w:rPr>
        <w:instrText>which</w:instrText>
      </w:r>
      <w:r w:rsidR="0004027B" w:rsidRPr="00FE2263">
        <w:rPr>
          <w:rStyle w:val="affb"/>
          <w:u w:val="single"/>
        </w:rPr>
        <w:instrText xml:space="preserve"> </w:instrText>
      </w:r>
      <w:r w:rsidR="0004027B" w:rsidRPr="00FE2263">
        <w:rPr>
          <w:rStyle w:val="affb"/>
          <w:u w:val="single"/>
          <w:lang w:val="en-US"/>
        </w:rPr>
        <w:instrText>occurred in 45% of courses and was the main reason for treatment discontinuation. After the end of treatment, 19 patients (44%) had long-lasting episodes of neutropenia. Three patients developed myelodysplastic syndrome during follow-up. CONCLUSIONS: The FCR regimen was capable of neutralizing adverse prognostic factors and proved to be active in patients with WM, leading to rapid disease control and good-quality responses. Because myelosuppression was the main concern, further studies are warranted to optimize dosages and treatment duration. © 2011 American Cancer Society.","author":[{"dropping-particle":"","family":"Tedeschi","given":"Alessandra","non-dropping-particle":"","parse-names":false,"suffix":""},{"dropping-particle":"","family":"Benevolo","given":"Giulia","non-dropping-particle":"","parse-names":false,"suffix":""},{"dropping-particle":"","family":"Varettoni","given":"Marzia","non-dropping-particle":"","parse-names":false,"suffix":""},{"dropping-particle":"","family":"Battista","given":"Marta L.","non-dropping-particle":"","parse-names":false,"suffix":""},{"dropping-particle":"","family":"Zinzani","given":"Pier L.","non-dropping-particle":"","parse-names":false,"suffix":""},{"dropping-particle":"","family":"Visco","given":"Carlo","non-dropping-particle":"","parse-names":false,"suffix":""},{"dropping-particle":"","family":"Meneghini","given":"Vittorio","non-dropping-particle":"","parse-names":false,"suffix":""},{"dropping-particle":"","family":"Pioltelli","given":"Pietro","non-dropping-particle":"","parse-names":false,"suffix":""},{"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Sacchi</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Stefano</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Ricci</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Francesca</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Nichelatti</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Michele</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Zaja</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Francesco</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Lazzarino</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Mario</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Vitolo</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Umbero</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family</w:instrText>
      </w:r>
      <w:r w:rsidR="0004027B" w:rsidRPr="00FE2263">
        <w:rPr>
          <w:rStyle w:val="affb"/>
          <w:u w:val="single"/>
        </w:rPr>
        <w:instrText>":"</w:instrText>
      </w:r>
      <w:r w:rsidR="0004027B" w:rsidRPr="00FE2263">
        <w:rPr>
          <w:rStyle w:val="affb"/>
          <w:u w:val="single"/>
          <w:lang w:val="en-US"/>
        </w:rPr>
        <w:instrText>Morra</w:instrText>
      </w:r>
      <w:r w:rsidR="0004027B" w:rsidRPr="00FE2263">
        <w:rPr>
          <w:rStyle w:val="affb"/>
          <w:u w:val="single"/>
        </w:rPr>
        <w:instrText>","</w:instrText>
      </w:r>
      <w:r w:rsidR="0004027B" w:rsidRPr="00FE2263">
        <w:rPr>
          <w:rStyle w:val="affb"/>
          <w:u w:val="single"/>
          <w:lang w:val="en-US"/>
        </w:rPr>
        <w:instrText>given</w:instrText>
      </w:r>
      <w:r w:rsidR="0004027B" w:rsidRPr="00FE2263">
        <w:rPr>
          <w:rStyle w:val="affb"/>
          <w:u w:val="single"/>
        </w:rPr>
        <w:instrText>":"</w:instrText>
      </w:r>
      <w:r w:rsidR="0004027B" w:rsidRPr="00FE2263">
        <w:rPr>
          <w:rStyle w:val="affb"/>
          <w:u w:val="single"/>
          <w:lang w:val="en-US"/>
        </w:rPr>
        <w:instrText>Enrica</w:instrText>
      </w:r>
      <w:r w:rsidR="0004027B" w:rsidRPr="00FE2263">
        <w:rPr>
          <w:rStyle w:val="affb"/>
          <w:u w:val="single"/>
        </w:rPr>
        <w:instrText>","</w:instrText>
      </w:r>
      <w:r w:rsidR="0004027B" w:rsidRPr="00FE2263">
        <w:rPr>
          <w:rStyle w:val="affb"/>
          <w:u w:val="single"/>
          <w:lang w:val="en-US"/>
        </w:rPr>
        <w:instrText>non</w:instrText>
      </w:r>
      <w:r w:rsidR="0004027B" w:rsidRPr="00FE2263">
        <w:rPr>
          <w:rStyle w:val="affb"/>
          <w:u w:val="single"/>
        </w:rPr>
        <w:instrText>-</w:instrText>
      </w:r>
      <w:r w:rsidR="0004027B" w:rsidRPr="00FE2263">
        <w:rPr>
          <w:rStyle w:val="affb"/>
          <w:u w:val="single"/>
          <w:lang w:val="en-US"/>
        </w:rPr>
        <w:instrText>dropping</w:instrText>
      </w:r>
      <w:r w:rsidR="0004027B" w:rsidRPr="00FE2263">
        <w:rPr>
          <w:rStyle w:val="affb"/>
          <w:u w:val="single"/>
        </w:rPr>
        <w:instrText>-</w:instrText>
      </w:r>
      <w:r w:rsidR="0004027B" w:rsidRPr="00FE2263">
        <w:rPr>
          <w:rStyle w:val="affb"/>
          <w:u w:val="single"/>
          <w:lang w:val="en-US"/>
        </w:rPr>
        <w:instrText>particle</w:instrText>
      </w:r>
      <w:r w:rsidR="0004027B" w:rsidRPr="00FE2263">
        <w:rPr>
          <w:rStyle w:val="affb"/>
          <w:u w:val="single"/>
        </w:rPr>
        <w:instrText>":"","</w:instrText>
      </w:r>
      <w:r w:rsidR="0004027B" w:rsidRPr="00FE2263">
        <w:rPr>
          <w:rStyle w:val="affb"/>
          <w:u w:val="single"/>
          <w:lang w:val="en-US"/>
        </w:rPr>
        <w:instrText>parse</w:instrText>
      </w:r>
      <w:r w:rsidR="0004027B" w:rsidRPr="00FE2263">
        <w:rPr>
          <w:rStyle w:val="affb"/>
          <w:u w:val="single"/>
        </w:rPr>
        <w:instrText>-</w:instrText>
      </w:r>
      <w:r w:rsidR="0004027B" w:rsidRPr="00FE2263">
        <w:rPr>
          <w:rStyle w:val="affb"/>
          <w:u w:val="single"/>
          <w:lang w:val="en-US"/>
        </w:rPr>
        <w:instrText>names</w:instrText>
      </w:r>
      <w:r w:rsidR="0004027B" w:rsidRPr="00FE2263">
        <w:rPr>
          <w:rStyle w:val="affb"/>
          <w:u w:val="single"/>
        </w:rPr>
        <w:instrText>":</w:instrText>
      </w:r>
      <w:r w:rsidR="0004027B" w:rsidRPr="00FE2263">
        <w:rPr>
          <w:rStyle w:val="affb"/>
          <w:u w:val="single"/>
          <w:lang w:val="en-US"/>
        </w:rPr>
        <w:instrText>false</w:instrText>
      </w:r>
      <w:r w:rsidR="0004027B" w:rsidRPr="00FE2263">
        <w:rPr>
          <w:rStyle w:val="affb"/>
          <w:u w:val="single"/>
        </w:rPr>
        <w:instrText>,"</w:instrText>
      </w:r>
      <w:r w:rsidR="0004027B" w:rsidRPr="00FE2263">
        <w:rPr>
          <w:rStyle w:val="affb"/>
          <w:u w:val="single"/>
          <w:lang w:val="en-US"/>
        </w:rPr>
        <w:instrText>suffix</w:instrText>
      </w:r>
      <w:r w:rsidR="0004027B" w:rsidRPr="00FE2263">
        <w:rPr>
          <w:rStyle w:val="affb"/>
          <w:u w:val="single"/>
        </w:rPr>
        <w:instrText>":""}],"</w:instrText>
      </w:r>
      <w:r w:rsidR="0004027B" w:rsidRPr="00FE2263">
        <w:rPr>
          <w:rStyle w:val="affb"/>
          <w:u w:val="single"/>
          <w:lang w:val="en-US"/>
        </w:rPr>
        <w:instrText>container</w:instrText>
      </w:r>
      <w:r w:rsidR="0004027B" w:rsidRPr="00FE2263">
        <w:rPr>
          <w:rStyle w:val="affb"/>
          <w:u w:val="single"/>
        </w:rPr>
        <w:instrText>-</w:instrText>
      </w:r>
      <w:r w:rsidR="0004027B" w:rsidRPr="00FE2263">
        <w:rPr>
          <w:rStyle w:val="affb"/>
          <w:u w:val="single"/>
          <w:lang w:val="en-US"/>
        </w:rPr>
        <w:instrText>title</w:instrText>
      </w:r>
      <w:r w:rsidR="0004027B" w:rsidRPr="00FE2263">
        <w:rPr>
          <w:rStyle w:val="affb"/>
          <w:u w:val="single"/>
        </w:rPr>
        <w:instrText>":"</w:instrText>
      </w:r>
      <w:r w:rsidR="0004027B" w:rsidRPr="00FE2263">
        <w:rPr>
          <w:rStyle w:val="affb"/>
          <w:u w:val="single"/>
          <w:lang w:val="en-US"/>
        </w:rPr>
        <w:instrText>Cancer</w:instrText>
      </w:r>
      <w:r w:rsidR="0004027B" w:rsidRPr="00FE2263">
        <w:rPr>
          <w:rStyle w:val="affb"/>
          <w:u w:val="single"/>
        </w:rPr>
        <w:instrText>","</w:instrText>
      </w:r>
      <w:r w:rsidR="0004027B" w:rsidRPr="00FE2263">
        <w:rPr>
          <w:rStyle w:val="affb"/>
          <w:u w:val="single"/>
          <w:lang w:val="en-US"/>
        </w:rPr>
        <w:instrText>id</w:instrText>
      </w:r>
      <w:r w:rsidR="0004027B" w:rsidRPr="00FE2263">
        <w:rPr>
          <w:rStyle w:val="affb"/>
          <w:u w:val="single"/>
        </w:rPr>
        <w:instrText>":"</w:instrText>
      </w:r>
      <w:r w:rsidR="0004027B" w:rsidRPr="00FE2263">
        <w:rPr>
          <w:rStyle w:val="affb"/>
          <w:u w:val="single"/>
          <w:lang w:val="en-US"/>
        </w:rPr>
        <w:instrText>ITEM</w:instrText>
      </w:r>
      <w:r w:rsidR="0004027B" w:rsidRPr="00FE2263">
        <w:rPr>
          <w:rStyle w:val="affb"/>
          <w:u w:val="single"/>
        </w:rPr>
        <w:instrText>-1","</w:instrText>
      </w:r>
      <w:r w:rsidR="0004027B" w:rsidRPr="00FE2263">
        <w:rPr>
          <w:rStyle w:val="affb"/>
          <w:u w:val="single"/>
          <w:lang w:val="en-US"/>
        </w:rPr>
        <w:instrText>issue</w:instrText>
      </w:r>
      <w:r w:rsidR="0004027B" w:rsidRPr="00FE2263">
        <w:rPr>
          <w:rStyle w:val="affb"/>
          <w:u w:val="single"/>
        </w:rPr>
        <w:instrText>":"2","</w:instrText>
      </w:r>
      <w:r w:rsidR="0004027B" w:rsidRPr="00FE2263">
        <w:rPr>
          <w:rStyle w:val="affb"/>
          <w:u w:val="single"/>
          <w:lang w:val="en-US"/>
        </w:rPr>
        <w:instrText>issued</w:instrText>
      </w:r>
      <w:r w:rsidR="0004027B" w:rsidRPr="00FE2263">
        <w:rPr>
          <w:rStyle w:val="affb"/>
          <w:u w:val="single"/>
        </w:rPr>
        <w:instrText>":{"</w:instrText>
      </w:r>
      <w:r w:rsidR="0004027B" w:rsidRPr="00FE2263">
        <w:rPr>
          <w:rStyle w:val="affb"/>
          <w:u w:val="single"/>
          <w:lang w:val="en-US"/>
        </w:rPr>
        <w:instrText>date</w:instrText>
      </w:r>
      <w:r w:rsidR="0004027B" w:rsidRPr="00FE2263">
        <w:rPr>
          <w:rStyle w:val="affb"/>
          <w:u w:val="single"/>
        </w:rPr>
        <w:instrText>-</w:instrText>
      </w:r>
      <w:r w:rsidR="0004027B" w:rsidRPr="00FE2263">
        <w:rPr>
          <w:rStyle w:val="affb"/>
          <w:u w:val="single"/>
          <w:lang w:val="en-US"/>
        </w:rPr>
        <w:instrText>parts</w:instrText>
      </w:r>
      <w:r w:rsidR="0004027B" w:rsidRPr="00FE2263">
        <w:rPr>
          <w:rStyle w:val="affb"/>
          <w:u w:val="single"/>
        </w:rPr>
        <w:instrText>":[["2012","1","15"]]},"</w:instrText>
      </w:r>
      <w:r w:rsidR="0004027B" w:rsidRPr="00FE2263">
        <w:rPr>
          <w:rStyle w:val="affb"/>
          <w:u w:val="single"/>
          <w:lang w:val="en-US"/>
        </w:rPr>
        <w:instrText>page</w:instrText>
      </w:r>
      <w:r w:rsidR="0004027B" w:rsidRPr="00FE2263">
        <w:rPr>
          <w:rStyle w:val="affb"/>
          <w:u w:val="single"/>
        </w:rPr>
        <w:instrText>":"434-443","</w:instrText>
      </w:r>
      <w:r w:rsidR="0004027B" w:rsidRPr="00FE2263">
        <w:rPr>
          <w:rStyle w:val="affb"/>
          <w:u w:val="single"/>
          <w:lang w:val="en-US"/>
        </w:rPr>
        <w:instrText>title</w:instrText>
      </w:r>
      <w:r w:rsidR="0004027B" w:rsidRPr="00FE2263">
        <w:rPr>
          <w:rStyle w:val="affb"/>
          <w:u w:val="single"/>
        </w:rPr>
        <w:instrText>":"</w:instrText>
      </w:r>
      <w:r w:rsidR="0004027B" w:rsidRPr="00FE2263">
        <w:rPr>
          <w:rStyle w:val="affb"/>
          <w:u w:val="single"/>
          <w:lang w:val="en-US"/>
        </w:rPr>
        <w:instrText>Fludarabine</w:instrText>
      </w:r>
      <w:r w:rsidR="0004027B" w:rsidRPr="00FE2263">
        <w:rPr>
          <w:rStyle w:val="affb"/>
          <w:u w:val="single"/>
        </w:rPr>
        <w:instrText xml:space="preserve"> </w:instrText>
      </w:r>
      <w:r w:rsidR="0004027B" w:rsidRPr="00FE2263">
        <w:rPr>
          <w:rStyle w:val="affb"/>
          <w:u w:val="single"/>
          <w:lang w:val="en-US"/>
        </w:rPr>
        <w:instrText>plus</w:instrText>
      </w:r>
      <w:r w:rsidR="0004027B" w:rsidRPr="00FE2263">
        <w:rPr>
          <w:rStyle w:val="affb"/>
          <w:u w:val="single"/>
        </w:rPr>
        <w:instrText xml:space="preserve"> </w:instrText>
      </w:r>
      <w:r w:rsidR="0004027B" w:rsidRPr="00FE2263">
        <w:rPr>
          <w:rStyle w:val="affb"/>
          <w:u w:val="single"/>
          <w:lang w:val="en-US"/>
        </w:rPr>
        <w:instrText>cyclophosphamide</w:instrText>
      </w:r>
      <w:r w:rsidR="0004027B" w:rsidRPr="00FE2263">
        <w:rPr>
          <w:rStyle w:val="affb"/>
          <w:u w:val="single"/>
        </w:rPr>
        <w:instrText xml:space="preserve"> </w:instrText>
      </w:r>
      <w:r w:rsidR="0004027B" w:rsidRPr="00FE2263">
        <w:rPr>
          <w:rStyle w:val="affb"/>
          <w:u w:val="single"/>
          <w:lang w:val="en-US"/>
        </w:rPr>
        <w:instrText>and</w:instrText>
      </w:r>
      <w:r w:rsidR="0004027B" w:rsidRPr="00FE2263">
        <w:rPr>
          <w:rStyle w:val="affb"/>
          <w:u w:val="single"/>
        </w:rPr>
        <w:instrText xml:space="preserve"> </w:instrText>
      </w:r>
      <w:r w:rsidR="0004027B" w:rsidRPr="00FE2263">
        <w:rPr>
          <w:rStyle w:val="affb"/>
          <w:u w:val="single"/>
          <w:lang w:val="en-US"/>
        </w:rPr>
        <w:instrText>rituximab</w:instrText>
      </w:r>
      <w:r w:rsidR="0004027B" w:rsidRPr="00FE2263">
        <w:rPr>
          <w:rStyle w:val="affb"/>
          <w:u w:val="single"/>
        </w:rPr>
        <w:instrText xml:space="preserve"> </w:instrText>
      </w:r>
      <w:r w:rsidR="0004027B" w:rsidRPr="00FE2263">
        <w:rPr>
          <w:rStyle w:val="affb"/>
          <w:u w:val="single"/>
          <w:lang w:val="en-US"/>
        </w:rPr>
        <w:instrText>in</w:instrText>
      </w:r>
      <w:r w:rsidR="0004027B" w:rsidRPr="00FE2263">
        <w:rPr>
          <w:rStyle w:val="affb"/>
          <w:u w:val="single"/>
        </w:rPr>
        <w:instrText xml:space="preserve"> </w:instrText>
      </w:r>
      <w:r w:rsidR="0004027B" w:rsidRPr="00FE2263">
        <w:rPr>
          <w:rStyle w:val="affb"/>
          <w:u w:val="single"/>
          <w:lang w:val="en-US"/>
        </w:rPr>
        <w:instrText>waldenstrom</w:instrText>
      </w:r>
      <w:r w:rsidR="0004027B" w:rsidRPr="00FE2263">
        <w:rPr>
          <w:rStyle w:val="affb"/>
          <w:u w:val="single"/>
        </w:rPr>
        <w:instrText xml:space="preserve"> </w:instrText>
      </w:r>
      <w:r w:rsidR="0004027B" w:rsidRPr="00FE2263">
        <w:rPr>
          <w:rStyle w:val="affb"/>
          <w:u w:val="single"/>
          <w:lang w:val="en-US"/>
        </w:rPr>
        <w:instrText>macroglobulinemia</w:instrText>
      </w:r>
      <w:r w:rsidR="0004027B" w:rsidRPr="00FE2263">
        <w:rPr>
          <w:rStyle w:val="affb"/>
          <w:u w:val="single"/>
        </w:rPr>
        <w:instrText xml:space="preserve">: </w:instrText>
      </w:r>
      <w:r w:rsidR="0004027B" w:rsidRPr="00FE2263">
        <w:rPr>
          <w:rStyle w:val="affb"/>
          <w:u w:val="single"/>
          <w:lang w:val="en-US"/>
        </w:rPr>
        <w:instrText>An</w:instrText>
      </w:r>
      <w:r w:rsidR="0004027B" w:rsidRPr="00FE2263">
        <w:rPr>
          <w:rStyle w:val="affb"/>
          <w:u w:val="single"/>
        </w:rPr>
        <w:instrText xml:space="preserve"> </w:instrText>
      </w:r>
      <w:r w:rsidR="0004027B" w:rsidRPr="00FE2263">
        <w:rPr>
          <w:rStyle w:val="affb"/>
          <w:u w:val="single"/>
          <w:lang w:val="en-US"/>
        </w:rPr>
        <w:instrText>effective</w:instrText>
      </w:r>
      <w:r w:rsidR="0004027B" w:rsidRPr="00FE2263">
        <w:rPr>
          <w:rStyle w:val="affb"/>
          <w:u w:val="single"/>
        </w:rPr>
        <w:instrText xml:space="preserve"> </w:instrText>
      </w:r>
      <w:r w:rsidR="0004027B" w:rsidRPr="00FE2263">
        <w:rPr>
          <w:rStyle w:val="affb"/>
          <w:u w:val="single"/>
          <w:lang w:val="en-US"/>
        </w:rPr>
        <w:instrText>but</w:instrText>
      </w:r>
      <w:r w:rsidR="0004027B" w:rsidRPr="00FE2263">
        <w:rPr>
          <w:rStyle w:val="affb"/>
          <w:u w:val="single"/>
        </w:rPr>
        <w:instrText xml:space="preserve"> </w:instrText>
      </w:r>
      <w:r w:rsidR="0004027B" w:rsidRPr="00FE2263">
        <w:rPr>
          <w:rStyle w:val="affb"/>
          <w:u w:val="single"/>
          <w:lang w:val="en-US"/>
        </w:rPr>
        <w:instrText>myelosuppressive</w:instrText>
      </w:r>
      <w:r w:rsidR="0004027B" w:rsidRPr="00FE2263">
        <w:rPr>
          <w:rStyle w:val="affb"/>
          <w:u w:val="single"/>
        </w:rPr>
        <w:instrText xml:space="preserve"> </w:instrText>
      </w:r>
      <w:r w:rsidR="0004027B" w:rsidRPr="00FE2263">
        <w:rPr>
          <w:rStyle w:val="affb"/>
          <w:u w:val="single"/>
          <w:lang w:val="en-US"/>
        </w:rPr>
        <w:instrText>regimen</w:instrText>
      </w:r>
      <w:r w:rsidR="0004027B" w:rsidRPr="00FE2263">
        <w:rPr>
          <w:rStyle w:val="affb"/>
          <w:u w:val="single"/>
        </w:rPr>
        <w:instrText xml:space="preserve"> </w:instrText>
      </w:r>
      <w:r w:rsidR="0004027B" w:rsidRPr="00FE2263">
        <w:rPr>
          <w:rStyle w:val="affb"/>
          <w:u w:val="single"/>
          <w:lang w:val="en-US"/>
        </w:rPr>
        <w:instrText>to</w:instrText>
      </w:r>
      <w:r w:rsidR="0004027B" w:rsidRPr="00FE2263">
        <w:rPr>
          <w:rStyle w:val="affb"/>
          <w:u w:val="single"/>
        </w:rPr>
        <w:instrText xml:space="preserve"> </w:instrText>
      </w:r>
      <w:r w:rsidR="0004027B" w:rsidRPr="00FE2263">
        <w:rPr>
          <w:rStyle w:val="affb"/>
          <w:u w:val="single"/>
          <w:lang w:val="en-US"/>
        </w:rPr>
        <w:instrText>be</w:instrText>
      </w:r>
      <w:r w:rsidR="0004027B" w:rsidRPr="00FE2263">
        <w:rPr>
          <w:rStyle w:val="affb"/>
          <w:u w:val="single"/>
        </w:rPr>
        <w:instrText xml:space="preserve"> </w:instrText>
      </w:r>
      <w:r w:rsidR="0004027B" w:rsidRPr="00FE2263">
        <w:rPr>
          <w:rStyle w:val="affb"/>
          <w:u w:val="single"/>
          <w:lang w:val="en-US"/>
        </w:rPr>
        <w:instrText>offered</w:instrText>
      </w:r>
      <w:r w:rsidR="0004027B" w:rsidRPr="00FE2263">
        <w:rPr>
          <w:rStyle w:val="affb"/>
          <w:u w:val="single"/>
        </w:rPr>
        <w:instrText xml:space="preserve"> </w:instrText>
      </w:r>
      <w:r w:rsidR="0004027B" w:rsidRPr="00FE2263">
        <w:rPr>
          <w:rStyle w:val="affb"/>
          <w:u w:val="single"/>
          <w:lang w:val="en-US"/>
        </w:rPr>
        <w:instrText>to</w:instrText>
      </w:r>
      <w:r w:rsidR="0004027B" w:rsidRPr="00FE2263">
        <w:rPr>
          <w:rStyle w:val="affb"/>
          <w:u w:val="single"/>
        </w:rPr>
        <w:instrText xml:space="preserve"> </w:instrText>
      </w:r>
      <w:r w:rsidR="0004027B" w:rsidRPr="00FE2263">
        <w:rPr>
          <w:rStyle w:val="affb"/>
          <w:u w:val="single"/>
          <w:lang w:val="en-US"/>
        </w:rPr>
        <w:instrText>patients</w:instrText>
      </w:r>
      <w:r w:rsidR="0004027B" w:rsidRPr="00FE2263">
        <w:rPr>
          <w:rStyle w:val="affb"/>
          <w:u w:val="single"/>
        </w:rPr>
        <w:instrText xml:space="preserve"> </w:instrText>
      </w:r>
      <w:r w:rsidR="0004027B" w:rsidRPr="00FE2263">
        <w:rPr>
          <w:rStyle w:val="affb"/>
          <w:u w:val="single"/>
          <w:lang w:val="en-US"/>
        </w:rPr>
        <w:instrText>with</w:instrText>
      </w:r>
      <w:r w:rsidR="0004027B" w:rsidRPr="00FE2263">
        <w:rPr>
          <w:rStyle w:val="affb"/>
          <w:u w:val="single"/>
        </w:rPr>
        <w:instrText xml:space="preserve"> </w:instrText>
      </w:r>
      <w:r w:rsidR="0004027B" w:rsidRPr="00FE2263">
        <w:rPr>
          <w:rStyle w:val="affb"/>
          <w:u w:val="single"/>
          <w:lang w:val="en-US"/>
        </w:rPr>
        <w:instrText>advanced</w:instrText>
      </w:r>
      <w:r w:rsidR="0004027B" w:rsidRPr="00FE2263">
        <w:rPr>
          <w:rStyle w:val="affb"/>
          <w:u w:val="single"/>
        </w:rPr>
        <w:instrText xml:space="preserve"> </w:instrText>
      </w:r>
      <w:r w:rsidR="0004027B" w:rsidRPr="00FE2263">
        <w:rPr>
          <w:rStyle w:val="affb"/>
          <w:u w:val="single"/>
          <w:lang w:val="en-US"/>
        </w:rPr>
        <w:instrText>disease</w:instrText>
      </w:r>
      <w:r w:rsidR="0004027B" w:rsidRPr="00FE2263">
        <w:rPr>
          <w:rStyle w:val="affb"/>
          <w:u w:val="single"/>
        </w:rPr>
        <w:instrText>","</w:instrText>
      </w:r>
      <w:r w:rsidR="0004027B" w:rsidRPr="00FE2263">
        <w:rPr>
          <w:rStyle w:val="affb"/>
          <w:u w:val="single"/>
          <w:lang w:val="en-US"/>
        </w:rPr>
        <w:instrText>type</w:instrText>
      </w:r>
      <w:r w:rsidR="0004027B" w:rsidRPr="00FE2263">
        <w:rPr>
          <w:rStyle w:val="affb"/>
          <w:u w:val="single"/>
        </w:rPr>
        <w:instrText>":"</w:instrText>
      </w:r>
      <w:r w:rsidR="0004027B" w:rsidRPr="00FE2263">
        <w:rPr>
          <w:rStyle w:val="affb"/>
          <w:u w:val="single"/>
          <w:lang w:val="en-US"/>
        </w:rPr>
        <w:instrText>article</w:instrText>
      </w:r>
      <w:r w:rsidR="0004027B" w:rsidRPr="00FE2263">
        <w:rPr>
          <w:rStyle w:val="affb"/>
          <w:u w:val="single"/>
        </w:rPr>
        <w:instrText>-</w:instrText>
      </w:r>
      <w:r w:rsidR="0004027B" w:rsidRPr="00FE2263">
        <w:rPr>
          <w:rStyle w:val="affb"/>
          <w:u w:val="single"/>
          <w:lang w:val="en-US"/>
        </w:rPr>
        <w:instrText>journal</w:instrText>
      </w:r>
      <w:r w:rsidR="0004027B" w:rsidRPr="00FE2263">
        <w:rPr>
          <w:rStyle w:val="affb"/>
          <w:u w:val="single"/>
        </w:rPr>
        <w:instrText>","</w:instrText>
      </w:r>
      <w:r w:rsidR="0004027B" w:rsidRPr="00FE2263">
        <w:rPr>
          <w:rStyle w:val="affb"/>
          <w:u w:val="single"/>
          <w:lang w:val="en-US"/>
        </w:rPr>
        <w:instrText>volume</w:instrText>
      </w:r>
      <w:r w:rsidR="0004027B" w:rsidRPr="00FE2263">
        <w:rPr>
          <w:rStyle w:val="affb"/>
          <w:u w:val="single"/>
        </w:rPr>
        <w:instrText>":"118"},"</w:instrText>
      </w:r>
      <w:r w:rsidR="0004027B" w:rsidRPr="00FE2263">
        <w:rPr>
          <w:rStyle w:val="affb"/>
          <w:u w:val="single"/>
          <w:lang w:val="en-US"/>
        </w:rPr>
        <w:instrText>uris</w:instrText>
      </w:r>
      <w:r w:rsidR="0004027B" w:rsidRPr="00FE2263">
        <w:rPr>
          <w:rStyle w:val="affb"/>
          <w:u w:val="single"/>
        </w:rPr>
        <w:instrText>":["</w:instrText>
      </w:r>
      <w:r w:rsidR="0004027B" w:rsidRPr="00FE2263">
        <w:rPr>
          <w:rStyle w:val="affb"/>
          <w:u w:val="single"/>
          <w:lang w:val="en-US"/>
        </w:rPr>
        <w:instrText>http</w:instrText>
      </w:r>
      <w:r w:rsidR="0004027B" w:rsidRPr="00FE2263">
        <w:rPr>
          <w:rStyle w:val="affb"/>
          <w:u w:val="single"/>
        </w:rPr>
        <w:instrText>://</w:instrText>
      </w:r>
      <w:r w:rsidR="0004027B" w:rsidRPr="00FE2263">
        <w:rPr>
          <w:rStyle w:val="affb"/>
          <w:u w:val="single"/>
          <w:lang w:val="en-US"/>
        </w:rPr>
        <w:instrText>www</w:instrText>
      </w:r>
      <w:r w:rsidR="0004027B" w:rsidRPr="00FE2263">
        <w:rPr>
          <w:rStyle w:val="affb"/>
          <w:u w:val="single"/>
        </w:rPr>
        <w:instrText>.</w:instrText>
      </w:r>
      <w:r w:rsidR="0004027B" w:rsidRPr="00FE2263">
        <w:rPr>
          <w:rStyle w:val="affb"/>
          <w:u w:val="single"/>
          <w:lang w:val="en-US"/>
        </w:rPr>
        <w:instrText>mendeley</w:instrText>
      </w:r>
      <w:r w:rsidR="0004027B" w:rsidRPr="00FE2263">
        <w:rPr>
          <w:rStyle w:val="affb"/>
          <w:u w:val="single"/>
        </w:rPr>
        <w:instrText>.</w:instrText>
      </w:r>
      <w:r w:rsidR="0004027B" w:rsidRPr="00FE2263">
        <w:rPr>
          <w:rStyle w:val="affb"/>
          <w:u w:val="single"/>
          <w:lang w:val="en-US"/>
        </w:rPr>
        <w:instrText>com</w:instrText>
      </w:r>
      <w:r w:rsidR="0004027B" w:rsidRPr="00FE2263">
        <w:rPr>
          <w:rStyle w:val="affb"/>
          <w:u w:val="single"/>
        </w:rPr>
        <w:instrText>/</w:instrText>
      </w:r>
      <w:r w:rsidR="0004027B" w:rsidRPr="00FE2263">
        <w:rPr>
          <w:rStyle w:val="affb"/>
          <w:u w:val="single"/>
          <w:lang w:val="en-US"/>
        </w:rPr>
        <w:instrText>documents</w:instrText>
      </w:r>
      <w:r w:rsidR="0004027B" w:rsidRPr="00FE2263">
        <w:rPr>
          <w:rStyle w:val="affb"/>
          <w:u w:val="single"/>
        </w:rPr>
        <w:instrText>/?</w:instrText>
      </w:r>
      <w:r w:rsidR="0004027B" w:rsidRPr="00FE2263">
        <w:rPr>
          <w:rStyle w:val="affb"/>
          <w:u w:val="single"/>
          <w:lang w:val="en-US"/>
        </w:rPr>
        <w:instrText>uuid</w:instrText>
      </w:r>
      <w:r w:rsidR="0004027B" w:rsidRPr="00FE2263">
        <w:rPr>
          <w:rStyle w:val="affb"/>
          <w:u w:val="single"/>
        </w:rPr>
        <w:instrText>=20</w:instrText>
      </w:r>
      <w:r w:rsidR="0004027B" w:rsidRPr="00FE2263">
        <w:rPr>
          <w:rStyle w:val="affb"/>
          <w:u w:val="single"/>
          <w:lang w:val="en-US"/>
        </w:rPr>
        <w:instrText>d</w:instrText>
      </w:r>
      <w:r w:rsidR="0004027B" w:rsidRPr="00FE2263">
        <w:rPr>
          <w:rStyle w:val="affb"/>
          <w:u w:val="single"/>
        </w:rPr>
        <w:instrText>56568-</w:instrText>
      </w:r>
      <w:r w:rsidR="0004027B" w:rsidRPr="00FE2263">
        <w:rPr>
          <w:rStyle w:val="affb"/>
          <w:u w:val="single"/>
          <w:lang w:val="en-US"/>
        </w:rPr>
        <w:instrText>be</w:instrText>
      </w:r>
      <w:r w:rsidR="0004027B" w:rsidRPr="00FE2263">
        <w:rPr>
          <w:rStyle w:val="affb"/>
          <w:u w:val="single"/>
        </w:rPr>
        <w:instrText>22-3</w:instrText>
      </w:r>
      <w:r w:rsidR="0004027B" w:rsidRPr="00FE2263">
        <w:rPr>
          <w:rStyle w:val="affb"/>
          <w:u w:val="single"/>
          <w:lang w:val="en-US"/>
        </w:rPr>
        <w:instrText>c</w:instrText>
      </w:r>
      <w:r w:rsidR="0004027B" w:rsidRPr="00FE2263">
        <w:rPr>
          <w:rStyle w:val="affb"/>
          <w:u w:val="single"/>
        </w:rPr>
        <w:instrText>2</w:instrText>
      </w:r>
      <w:r w:rsidR="0004027B" w:rsidRPr="00FE2263">
        <w:rPr>
          <w:rStyle w:val="affb"/>
          <w:u w:val="single"/>
          <w:lang w:val="en-US"/>
        </w:rPr>
        <w:instrText>e</w:instrText>
      </w:r>
      <w:r w:rsidR="0004027B" w:rsidRPr="00FE2263">
        <w:rPr>
          <w:rStyle w:val="affb"/>
          <w:u w:val="single"/>
        </w:rPr>
        <w:instrText>-</w:instrText>
      </w:r>
      <w:r w:rsidR="0004027B" w:rsidRPr="00FE2263">
        <w:rPr>
          <w:rStyle w:val="affb"/>
          <w:u w:val="single"/>
          <w:lang w:val="en-US"/>
        </w:rPr>
        <w:instrText>b</w:instrText>
      </w:r>
      <w:r w:rsidR="0004027B" w:rsidRPr="00FE2263">
        <w:rPr>
          <w:rStyle w:val="affb"/>
          <w:u w:val="single"/>
        </w:rPr>
        <w:instrText>4</w:instrText>
      </w:r>
      <w:r w:rsidR="0004027B" w:rsidRPr="00FE2263">
        <w:rPr>
          <w:rStyle w:val="affb"/>
          <w:u w:val="single"/>
          <w:lang w:val="en-US"/>
        </w:rPr>
        <w:instrText>a</w:instrText>
      </w:r>
      <w:r w:rsidR="0004027B" w:rsidRPr="00FE2263">
        <w:rPr>
          <w:rStyle w:val="affb"/>
          <w:u w:val="single"/>
        </w:rPr>
        <w:instrText>7-52</w:instrText>
      </w:r>
      <w:r w:rsidR="0004027B" w:rsidRPr="00FE2263">
        <w:rPr>
          <w:rStyle w:val="affb"/>
          <w:u w:val="single"/>
          <w:lang w:val="en-US"/>
        </w:rPr>
        <w:instrText>a</w:instrText>
      </w:r>
      <w:r w:rsidR="0004027B" w:rsidRPr="00FE2263">
        <w:rPr>
          <w:rStyle w:val="affb"/>
          <w:u w:val="single"/>
        </w:rPr>
        <w:instrText>9</w:instrText>
      </w:r>
      <w:r w:rsidR="0004027B" w:rsidRPr="00FE2263">
        <w:rPr>
          <w:rStyle w:val="affb"/>
          <w:u w:val="single"/>
          <w:lang w:val="en-US"/>
        </w:rPr>
        <w:instrText>dc</w:instrText>
      </w:r>
      <w:r w:rsidR="0004027B" w:rsidRPr="00FE2263">
        <w:rPr>
          <w:rStyle w:val="affb"/>
          <w:u w:val="single"/>
        </w:rPr>
        <w:instrText>1</w:instrText>
      </w:r>
      <w:r w:rsidR="0004027B" w:rsidRPr="00FE2263">
        <w:rPr>
          <w:rStyle w:val="affb"/>
          <w:u w:val="single"/>
          <w:lang w:val="en-US"/>
        </w:rPr>
        <w:instrText>dd</w:instrText>
      </w:r>
      <w:r w:rsidR="0004027B" w:rsidRPr="00FE2263">
        <w:rPr>
          <w:rStyle w:val="affb"/>
          <w:u w:val="single"/>
        </w:rPr>
        <w:instrText>73</w:instrText>
      </w:r>
      <w:r w:rsidR="0004027B" w:rsidRPr="00FE2263">
        <w:rPr>
          <w:rStyle w:val="affb"/>
          <w:u w:val="single"/>
          <w:lang w:val="en-US"/>
        </w:rPr>
        <w:instrText>f</w:instrText>
      </w:r>
      <w:r w:rsidR="0004027B" w:rsidRPr="00FE2263">
        <w:rPr>
          <w:rStyle w:val="affb"/>
          <w:u w:val="single"/>
        </w:rPr>
        <w:instrText>"]}],"</w:instrText>
      </w:r>
      <w:r w:rsidR="0004027B" w:rsidRPr="00FE2263">
        <w:rPr>
          <w:rStyle w:val="affb"/>
          <w:u w:val="single"/>
          <w:lang w:val="en-US"/>
        </w:rPr>
        <w:instrText>mendeley</w:instrText>
      </w:r>
      <w:r w:rsidR="0004027B" w:rsidRPr="00FE2263">
        <w:rPr>
          <w:rStyle w:val="affb"/>
          <w:u w:val="single"/>
        </w:rPr>
        <w:instrText>":{"</w:instrText>
      </w:r>
      <w:r w:rsidR="0004027B" w:rsidRPr="00FE2263">
        <w:rPr>
          <w:rStyle w:val="affb"/>
          <w:u w:val="single"/>
          <w:lang w:val="en-US"/>
        </w:rPr>
        <w:instrText>formattedCitation</w:instrText>
      </w:r>
      <w:r w:rsidR="0004027B" w:rsidRPr="00FE2263">
        <w:rPr>
          <w:rStyle w:val="affb"/>
          <w:u w:val="single"/>
        </w:rPr>
        <w:instrText>":"[28]","</w:instrText>
      </w:r>
      <w:r w:rsidR="0004027B" w:rsidRPr="00FE2263">
        <w:rPr>
          <w:rStyle w:val="affb"/>
          <w:u w:val="single"/>
          <w:lang w:val="en-US"/>
        </w:rPr>
        <w:instrText>plainTextFormattedCitation</w:instrText>
      </w:r>
      <w:r w:rsidR="0004027B" w:rsidRPr="00FE2263">
        <w:rPr>
          <w:rStyle w:val="affb"/>
          <w:u w:val="single"/>
        </w:rPr>
        <w:instrText>":"[28]","</w:instrText>
      </w:r>
      <w:r w:rsidR="0004027B" w:rsidRPr="00FE2263">
        <w:rPr>
          <w:rStyle w:val="affb"/>
          <w:u w:val="single"/>
          <w:lang w:val="en-US"/>
        </w:rPr>
        <w:instrText>previouslyFormattedCitation</w:instrText>
      </w:r>
      <w:r w:rsidR="0004027B" w:rsidRPr="00FE2263">
        <w:rPr>
          <w:rStyle w:val="affb"/>
          <w:u w:val="single"/>
        </w:rPr>
        <w:instrText>":"[28]"},"</w:instrText>
      </w:r>
      <w:r w:rsidR="0004027B" w:rsidRPr="00FE2263">
        <w:rPr>
          <w:rStyle w:val="affb"/>
          <w:u w:val="single"/>
          <w:lang w:val="en-US"/>
        </w:rPr>
        <w:instrText>properties</w:instrText>
      </w:r>
      <w:r w:rsidR="0004027B" w:rsidRPr="00FE2263">
        <w:rPr>
          <w:rStyle w:val="affb"/>
          <w:u w:val="single"/>
        </w:rPr>
        <w:instrText>":{"</w:instrText>
      </w:r>
      <w:r w:rsidR="0004027B" w:rsidRPr="00FE2263">
        <w:rPr>
          <w:rStyle w:val="affb"/>
          <w:u w:val="single"/>
          <w:lang w:val="en-US"/>
        </w:rPr>
        <w:instrText>noteIndex</w:instrText>
      </w:r>
      <w:r w:rsidR="0004027B" w:rsidRPr="00FE2263">
        <w:rPr>
          <w:rStyle w:val="affb"/>
          <w:u w:val="single"/>
        </w:rPr>
        <w:instrText>":0},"</w:instrText>
      </w:r>
      <w:r w:rsidR="0004027B" w:rsidRPr="00FE2263">
        <w:rPr>
          <w:rStyle w:val="affb"/>
          <w:u w:val="single"/>
          <w:lang w:val="en-US"/>
        </w:rPr>
        <w:instrText>schema</w:instrText>
      </w:r>
      <w:r w:rsidR="0004027B" w:rsidRPr="00FE2263">
        <w:rPr>
          <w:rStyle w:val="affb"/>
          <w:u w:val="single"/>
        </w:rPr>
        <w:instrText>":"</w:instrText>
      </w:r>
      <w:r w:rsidR="0004027B" w:rsidRPr="00FE2263">
        <w:rPr>
          <w:rStyle w:val="affb"/>
          <w:u w:val="single"/>
          <w:lang w:val="en-US"/>
        </w:rPr>
        <w:instrText>https</w:instrText>
      </w:r>
      <w:r w:rsidR="0004027B" w:rsidRPr="00FE2263">
        <w:rPr>
          <w:rStyle w:val="affb"/>
          <w:u w:val="single"/>
        </w:rPr>
        <w:instrText>://</w:instrText>
      </w:r>
      <w:r w:rsidR="0004027B" w:rsidRPr="00FE2263">
        <w:rPr>
          <w:rStyle w:val="affb"/>
          <w:u w:val="single"/>
          <w:lang w:val="en-US"/>
        </w:rPr>
        <w:instrText>github</w:instrText>
      </w:r>
      <w:r w:rsidR="0004027B" w:rsidRPr="00FE2263">
        <w:rPr>
          <w:rStyle w:val="affb"/>
          <w:u w:val="single"/>
        </w:rPr>
        <w:instrText>.</w:instrText>
      </w:r>
      <w:r w:rsidR="0004027B" w:rsidRPr="00FE2263">
        <w:rPr>
          <w:rStyle w:val="affb"/>
          <w:u w:val="single"/>
          <w:lang w:val="en-US"/>
        </w:rPr>
        <w:instrText>com</w:instrText>
      </w:r>
      <w:r w:rsidR="0004027B" w:rsidRPr="00FE2263">
        <w:rPr>
          <w:rStyle w:val="affb"/>
          <w:u w:val="single"/>
        </w:rPr>
        <w:instrText>/</w:instrText>
      </w:r>
      <w:r w:rsidR="0004027B" w:rsidRPr="00FE2263">
        <w:rPr>
          <w:rStyle w:val="affb"/>
          <w:u w:val="single"/>
          <w:lang w:val="en-US"/>
        </w:rPr>
        <w:instrText>citation</w:instrText>
      </w:r>
      <w:r w:rsidR="0004027B" w:rsidRPr="00FE2263">
        <w:rPr>
          <w:rStyle w:val="affb"/>
          <w:u w:val="single"/>
        </w:rPr>
        <w:instrText>-</w:instrText>
      </w:r>
      <w:r w:rsidR="0004027B" w:rsidRPr="00FE2263">
        <w:rPr>
          <w:rStyle w:val="affb"/>
          <w:u w:val="single"/>
          <w:lang w:val="en-US"/>
        </w:rPr>
        <w:instrText>style</w:instrText>
      </w:r>
      <w:r w:rsidR="0004027B" w:rsidRPr="00FE2263">
        <w:rPr>
          <w:rStyle w:val="affb"/>
          <w:u w:val="single"/>
        </w:rPr>
        <w:instrText>-</w:instrText>
      </w:r>
      <w:r w:rsidR="0004027B" w:rsidRPr="00FE2263">
        <w:rPr>
          <w:rStyle w:val="affb"/>
          <w:u w:val="single"/>
          <w:lang w:val="en-US"/>
        </w:rPr>
        <w:instrText>language</w:instrText>
      </w:r>
      <w:r w:rsidR="0004027B" w:rsidRPr="00FE2263">
        <w:rPr>
          <w:rStyle w:val="affb"/>
          <w:u w:val="single"/>
        </w:rPr>
        <w:instrText>/</w:instrText>
      </w:r>
      <w:r w:rsidR="0004027B" w:rsidRPr="00FE2263">
        <w:rPr>
          <w:rStyle w:val="affb"/>
          <w:u w:val="single"/>
          <w:lang w:val="en-US"/>
        </w:rPr>
        <w:instrText>schema</w:instrText>
      </w:r>
      <w:r w:rsidR="0004027B" w:rsidRPr="00FE2263">
        <w:rPr>
          <w:rStyle w:val="affb"/>
          <w:u w:val="single"/>
        </w:rPr>
        <w:instrText>/</w:instrText>
      </w:r>
      <w:r w:rsidR="0004027B" w:rsidRPr="00FE2263">
        <w:rPr>
          <w:rStyle w:val="affb"/>
          <w:u w:val="single"/>
          <w:lang w:val="en-US"/>
        </w:rPr>
        <w:instrText>raw</w:instrText>
      </w:r>
      <w:r w:rsidR="0004027B" w:rsidRPr="00FE2263">
        <w:rPr>
          <w:rStyle w:val="affb"/>
          <w:u w:val="single"/>
        </w:rPr>
        <w:instrText>/</w:instrText>
      </w:r>
      <w:r w:rsidR="0004027B" w:rsidRPr="00FE2263">
        <w:rPr>
          <w:rStyle w:val="affb"/>
          <w:u w:val="single"/>
          <w:lang w:val="en-US"/>
        </w:rPr>
        <w:instrText>master</w:instrText>
      </w:r>
      <w:r w:rsidR="0004027B" w:rsidRPr="00FE2263">
        <w:rPr>
          <w:rStyle w:val="affb"/>
          <w:u w:val="single"/>
        </w:rPr>
        <w:instrText>/</w:instrText>
      </w:r>
      <w:r w:rsidR="0004027B" w:rsidRPr="00FE2263">
        <w:rPr>
          <w:rStyle w:val="affb"/>
          <w:u w:val="single"/>
          <w:lang w:val="en-US"/>
        </w:rPr>
        <w:instrText>csl</w:instrText>
      </w:r>
      <w:r w:rsidR="0004027B" w:rsidRPr="00FE2263">
        <w:rPr>
          <w:rStyle w:val="affb"/>
          <w:u w:val="single"/>
        </w:rPr>
        <w:instrText>-</w:instrText>
      </w:r>
      <w:r w:rsidR="0004027B" w:rsidRPr="00FE2263">
        <w:rPr>
          <w:rStyle w:val="affb"/>
          <w:u w:val="single"/>
          <w:lang w:val="en-US"/>
        </w:rPr>
        <w:instrText>citation</w:instrText>
      </w:r>
      <w:r w:rsidR="0004027B" w:rsidRPr="00FE2263">
        <w:rPr>
          <w:rStyle w:val="affb"/>
          <w:u w:val="single"/>
        </w:rPr>
        <w:instrText>.</w:instrText>
      </w:r>
      <w:r w:rsidR="0004027B" w:rsidRPr="00FE2263">
        <w:rPr>
          <w:rStyle w:val="affb"/>
          <w:u w:val="single"/>
          <w:lang w:val="en-US"/>
        </w:rPr>
        <w:instrText>json</w:instrText>
      </w:r>
      <w:r w:rsidR="0004027B" w:rsidRPr="00FE2263">
        <w:rPr>
          <w:rStyle w:val="affb"/>
          <w:u w:val="single"/>
        </w:rPr>
        <w:instrText>"}</w:instrText>
      </w:r>
      <w:r w:rsidR="0004027B" w:rsidRPr="00FE2263">
        <w:rPr>
          <w:rStyle w:val="affb"/>
          <w:u w:val="single"/>
          <w:lang w:val="en-US"/>
        </w:rPr>
        <w:fldChar w:fldCharType="separate"/>
      </w:r>
      <w:r w:rsidR="0004027B" w:rsidRPr="00FE2263">
        <w:rPr>
          <w:rStyle w:val="affb"/>
          <w:b w:val="0"/>
          <w:noProof/>
        </w:rPr>
        <w:t>[28]</w:t>
      </w:r>
      <w:r w:rsidR="0004027B" w:rsidRPr="00FE2263">
        <w:rPr>
          <w:rStyle w:val="affb"/>
          <w:u w:val="single"/>
          <w:lang w:val="en-US"/>
        </w:rPr>
        <w:fldChar w:fldCharType="end"/>
      </w:r>
    </w:p>
    <w:p w14:paraId="3EE867A5" w14:textId="19057514" w:rsidR="00D95255" w:rsidRPr="00FE2263" w:rsidRDefault="00D95255" w:rsidP="00D95255">
      <w:pPr>
        <w:pStyle w:val="afd"/>
        <w:spacing w:beforeAutospacing="0" w:afterAutospacing="0" w:line="360" w:lineRule="auto"/>
      </w:pPr>
      <w:r w:rsidRPr="00FE2263">
        <w:t>Ритуксимаб** – 375 мг/м</w:t>
      </w:r>
      <w:r w:rsidRPr="00FE2263">
        <w:rPr>
          <w:vertAlign w:val="superscript"/>
        </w:rPr>
        <w:t>2</w:t>
      </w:r>
      <w:r w:rsidRPr="00FE2263">
        <w:t xml:space="preserve"> в/в 1 раз в неделю, день 1</w:t>
      </w:r>
    </w:p>
    <w:p w14:paraId="74DD00E0" w14:textId="16CC6B9B" w:rsidR="00D95255" w:rsidRPr="00FE2263" w:rsidRDefault="00D95255" w:rsidP="00D95255">
      <w:pPr>
        <w:pStyle w:val="afd"/>
        <w:spacing w:beforeAutospacing="0" w:afterAutospacing="0" w:line="360" w:lineRule="auto"/>
      </w:pPr>
      <w:r w:rsidRPr="00FE2263">
        <w:t>Флударабин** – 25 мг/м</w:t>
      </w:r>
      <w:r w:rsidRPr="00FE2263">
        <w:rPr>
          <w:vertAlign w:val="superscript"/>
        </w:rPr>
        <w:t>2</w:t>
      </w:r>
      <w:r w:rsidRPr="00FE2263">
        <w:t xml:space="preserve"> в/в, дни 2-4 </w:t>
      </w:r>
    </w:p>
    <w:p w14:paraId="3B48D746" w14:textId="43F92810" w:rsidR="00D95255" w:rsidRPr="00FE2263" w:rsidRDefault="00D95255" w:rsidP="00D95255">
      <w:pPr>
        <w:pStyle w:val="afd"/>
        <w:spacing w:beforeAutospacing="0" w:afterAutospacing="0" w:line="360" w:lineRule="auto"/>
      </w:pPr>
      <w:r w:rsidRPr="00FE2263">
        <w:t>Циклофосфамид** – 250 мг/м</w:t>
      </w:r>
      <w:r w:rsidRPr="00FE2263">
        <w:rPr>
          <w:vertAlign w:val="superscript"/>
        </w:rPr>
        <w:t>2</w:t>
      </w:r>
      <w:r w:rsidRPr="00FE2263">
        <w:t xml:space="preserve"> в/в, дни 2-4</w:t>
      </w:r>
    </w:p>
    <w:p w14:paraId="14F7D803" w14:textId="5DCD3D41" w:rsidR="00D95255" w:rsidRPr="00FE2263" w:rsidRDefault="00D95255" w:rsidP="00D95255">
      <w:pPr>
        <w:pStyle w:val="afd"/>
        <w:spacing w:beforeAutospacing="0" w:afterAutospacing="0" w:line="360" w:lineRule="auto"/>
      </w:pPr>
      <w:r w:rsidRPr="00FE2263">
        <w:t>Лечение возобновляется на 29-й день. Проводят 6 курсов</w:t>
      </w:r>
    </w:p>
    <w:p w14:paraId="7F51DB6C" w14:textId="3DDB9AE5" w:rsidR="00B16138" w:rsidRPr="00FE2263" w:rsidRDefault="00B16138" w:rsidP="0010608C">
      <w:pPr>
        <w:pStyle w:val="afd"/>
        <w:numPr>
          <w:ilvl w:val="0"/>
          <w:numId w:val="18"/>
        </w:numPr>
        <w:spacing w:beforeAutospacing="0" w:afterAutospacing="0" w:line="360" w:lineRule="auto"/>
        <w:jc w:val="left"/>
      </w:pPr>
      <w:r w:rsidRPr="00FE2263">
        <w:rPr>
          <w:rStyle w:val="affb"/>
          <w:u w:val="single"/>
        </w:rPr>
        <w:t xml:space="preserve">Монотерапия </w:t>
      </w:r>
      <w:r w:rsidR="00277C09" w:rsidRPr="00FE2263">
        <w:rPr>
          <w:rStyle w:val="affb"/>
          <w:u w:val="single"/>
        </w:rPr>
        <w:t>#</w:t>
      </w:r>
      <w:r w:rsidRPr="00FE2263">
        <w:rPr>
          <w:rStyle w:val="affb"/>
          <w:u w:val="single"/>
        </w:rPr>
        <w:t>кладрибином</w:t>
      </w:r>
      <w:r w:rsidRPr="00FE2263">
        <w:t>**</w:t>
      </w:r>
      <w:r w:rsidR="0004027B" w:rsidRPr="00FE2263">
        <w:t xml:space="preserve"> </w:t>
      </w:r>
      <w:r w:rsidR="0004027B" w:rsidRPr="00FE2263">
        <w:rPr>
          <w:lang w:val="en-US"/>
        </w:rPr>
        <w:fldChar w:fldCharType="begin" w:fldLock="1"/>
      </w:r>
      <w:r w:rsidR="009D41F9">
        <w:rPr>
          <w:lang w:val="en-US"/>
        </w:rPr>
        <w:instrText>ADDIN CSL_CITATION {"citationItems":[{"id":"ITEM-1","itemData":{"DOI":"10.7326/0003-4819-118-3-199302010-00007","ISSN":"00034819","abstract":"Objective: To evaluate the activity of 2-chlorodeoxyadenosine (2CdA) in the treatment of patients with Waldenstrom macroglobulinemia. ■ Design: Uncontrolled phase II trial. ■ Setting: Tertiary, referral cancer center. ■ Patients: Twenty-nine consecutive, symptomatic patients with Waldenstrom macroglobulinemia, of whom 9 were previously untreated. ■ Intervention: 2-Chlorodeoxyadenosine was administered as a continuous intravenous infusion at a dose of 0.1 mg/kg body weight per day for 7 days. Only two courses of 2CdA were given and responding patients were then followed without further treatment. ■ Measurements and Main Results: A total of 17 (59%) patients responded, including all of those who were newly diagnosed and 40% of those who had failed previous therapies. Treatment was well tolerated except for one death in a patient who had presented with severe pancytopenia. With a median follow-up of 7 months, only one responding patient has relapsed. ■ Conclusion: 2-Chlorodeoxyadenosine is a nucleoside analog that was effective in most patients with Waldenstrom macroglobulinemia and was associated with little toxicity.","author":[{"dropping-particle":"","family":"Dimopoulos","given":"Meletios A.","non-dropping-particle":"","parse-names":false,"suffix":""},{"dropping-particle":"","family":"Kantarjian","given":"Hagop","non-dropping-particle":"","parse-names":false,"suffix":""},{"dropping-particle":"","family":"Estey","given":"Elihu","non-dropping-particle":"","parse-names":false,"suffix":""},{"dropping-particle":"","family":"O'Brien","given":"Susan","non-dropping-particle":"","parse-names":false,"suffix":""},{"dropping-particle":"","family":"Delasalle","given":"Kay","non-dropping-particle":"","parse-names":false,"suffix":""},{"dropping-particle":"","family":"Keating","given":"Michael J.","non-dropping-particle":"","parse-names":false,"suffix":""},{"dropping-particle":"","family":"Freireich","given":"Emil J.","non-dropping-particle":"","parse-names":false,"suffix":""},{"dropping-particle":"","family":"Alexanian","given":"Raymond","non-dropping-particle":"","parse-names":false,"suffix":""}],"container-title":"Annals of Internal Medicine","id":"ITEM-1","issue":"3","issued":{"date-parts":[["1993","2","1"]]},"page":"195-198","publisher":"American College of Physicians","title":"Treatment of waldenstrom macroglobulinemia with 2-chlorodeoxyadenosine","type":"article-journal","volume":"118"},"uris":["http://www.mendeley.com/documents/?uuid=63e6fba0-6d9f-3c60-8c2a-ba758aaadbad"]},{"id":"ITEM-2","itemData":{"DOI":"10.1093/oxfordjournals.annonc.a059040","ISSN":"09237534","abstract":"Background: Few effective treatments are available for patients with Waldenstrom's macroglobulinemia that is resistant to standard therapies. We assessed the activity of 2-chlorodeoxyadenosine (2CdA) in patients with resistant macroglobulinemia in order to identify those most likely to benefit. Patients and methods: 2-chlorodeoxyadenosine was given to 46 consecutive patients with Waldenstrom's macroglobulinemia resistant to a combination of an alkylating agent and a glucocorticoid. Two courses were administered to outpatients at a dose of 0.1 mg/kg body weight per day for a 7-day continuous infusion using a portable pump through a central venous catheter. Responding patients were followed without further therapy. Results: Twenty of 46 patients responded to 2CdA therapy (43%; 95 CI; 29 to 60%) with a significantly higher frequency of benefit among patients with disease relapsing off therapy (78%) or with primary resistant disease within the first year (57%) than in those with later phases of disease (22%). The median survival after treatment was 28 months and the median progression-free survival of responding patients was 12 months. The longest survival was measured in patients with primary refractory disease (projected median 36 months) and the shortest in those with disease in refractory relapse (median 13 months). Conclusion: 2-Chlorodeoxyadenosine is active against macroglobulinemic lymphoma resistant to standard regimens and most effective in patients with disease relapsing off treatment or during the first year of primary refractory disease. Little benefit was observed among patients with later phases of resistant disease who should receive alternative treatments. © 1995 Kluwer Academic Publishers.","author":[{"dropping-particle":"","family":"Dimopoulos","given":"M. A.","non-dropping-particle":"","parse-names":false,"suffix":""},{"dropping-particle":"","family":"Weber","given":"D.","non-dropping-particle":"","parse-names":false,"suffix":""},{"dropping-particle":"","family":"Delasalle","given":"K. B.","non-dropping-particle":"","parse-names":false,"suffix":""},{"dropping-particle":"","family":"Keating","given":"M.","non-dropping-particle":"","parse-names":false,"suffix":""},{"dropping-particle":"","family":"Alexanian","given":"R.","non-dropping-particle":"","parse-names":false,"suffix":""}],"container-title":"Annals of Oncology","id":"ITEM-2","issue":"1","issued":{"date-parts":[["1995","1"]]},"page":"49-52","title":"Treatment of Waldenstrom's macroglobulinemia resistant to standard therapy with 2-chlorodeoxyadenosine: Identification of prognostic factors","type":"article-journal","volume":"6"},"uris":["http://www.mendeley.com/documents/?uuid=c9e22fe4-7d14-3e6d-b7bb-c5b00ac305e7"]}],"mendeley":{"formattedCitation":"[64,65]","plainTextFormattedCitation":"[64,65]","previouslyFormattedCitation":"[64,65]"},"properties":{"noteIndex":0},"schema":"https://github.com/citation-style-language/schema/raw/master/csl-citation.json"}</w:instrText>
      </w:r>
      <w:r w:rsidR="0004027B" w:rsidRPr="00FE2263">
        <w:rPr>
          <w:lang w:val="en-US"/>
        </w:rPr>
        <w:fldChar w:fldCharType="separate"/>
      </w:r>
      <w:r w:rsidR="004C3BA5" w:rsidRPr="004C3BA5">
        <w:rPr>
          <w:noProof/>
        </w:rPr>
        <w:t>[64,65]</w:t>
      </w:r>
      <w:r w:rsidR="0004027B" w:rsidRPr="00FE2263">
        <w:rPr>
          <w:lang w:val="en-US"/>
        </w:rPr>
        <w:fldChar w:fldCharType="end"/>
      </w:r>
    </w:p>
    <w:p w14:paraId="025BC3B0" w14:textId="1712F106" w:rsidR="00B16138" w:rsidRPr="00FE2263" w:rsidRDefault="00FB4B80" w:rsidP="007E22FB">
      <w:pPr>
        <w:pStyle w:val="afd"/>
        <w:spacing w:beforeAutospacing="0" w:afterAutospacing="0" w:line="360" w:lineRule="auto"/>
      </w:pPr>
      <w:r w:rsidRPr="00FE2263">
        <w:t>#</w:t>
      </w:r>
      <w:r w:rsidR="00B16138" w:rsidRPr="00FE2263">
        <w:t>Кладрибин** – 0,1 мг/кг в/в, дни 1-7</w:t>
      </w:r>
    </w:p>
    <w:p w14:paraId="156ED762" w14:textId="77777777" w:rsidR="00B16138" w:rsidRPr="00FE2263" w:rsidRDefault="00B16138" w:rsidP="007E22FB">
      <w:pPr>
        <w:pStyle w:val="afd"/>
        <w:spacing w:beforeAutospacing="0" w:afterAutospacing="0" w:line="360" w:lineRule="auto"/>
      </w:pPr>
      <w:r w:rsidRPr="00FE2263">
        <w:t>Лечение возобновляется на 29-й день. Проводят 2 курса</w:t>
      </w:r>
    </w:p>
    <w:p w14:paraId="58499708" w14:textId="0A4150A6" w:rsidR="00B16138" w:rsidRPr="00FE2263" w:rsidRDefault="00FB4B80" w:rsidP="0010608C">
      <w:pPr>
        <w:pStyle w:val="afd"/>
        <w:numPr>
          <w:ilvl w:val="0"/>
          <w:numId w:val="19"/>
        </w:numPr>
        <w:spacing w:beforeAutospacing="0" w:afterAutospacing="0" w:line="360" w:lineRule="auto"/>
        <w:jc w:val="left"/>
      </w:pPr>
      <w:r w:rsidRPr="00FE2263">
        <w:rPr>
          <w:rStyle w:val="affb"/>
          <w:u w:val="single"/>
        </w:rPr>
        <w:t>#</w:t>
      </w:r>
      <w:r w:rsidR="00B16138" w:rsidRPr="00FE2263">
        <w:rPr>
          <w:rStyle w:val="affb"/>
          <w:u w:val="single"/>
        </w:rPr>
        <w:t>Кладрибин</w:t>
      </w:r>
      <w:r w:rsidR="00B16138" w:rsidRPr="00FE2263">
        <w:t>**</w:t>
      </w:r>
      <w:r w:rsidR="00B16138" w:rsidRPr="00FE2263">
        <w:rPr>
          <w:rStyle w:val="affb"/>
          <w:u w:val="single"/>
        </w:rPr>
        <w:t xml:space="preserve"> + ритуксимаб</w:t>
      </w:r>
      <w:r w:rsidR="00B16138" w:rsidRPr="00FE2263">
        <w:t>**</w:t>
      </w:r>
      <w:r w:rsidR="0004027B" w:rsidRPr="00FE2263">
        <w:t xml:space="preserve"> </w:t>
      </w:r>
      <w:r w:rsidR="0004027B" w:rsidRPr="00FE2263">
        <w:rPr>
          <w:lang w:val="en-US"/>
        </w:rPr>
        <w:fldChar w:fldCharType="begin" w:fldLock="1"/>
      </w:r>
      <w:r w:rsidR="0004027B" w:rsidRPr="00FE2263">
        <w:rPr>
          <w:lang w:val="en-US"/>
        </w:rPr>
        <w:instrText>ADDIN</w:instrText>
      </w:r>
      <w:r w:rsidR="0004027B" w:rsidRPr="00FE2263">
        <w:instrText xml:space="preserve"> </w:instrText>
      </w:r>
      <w:r w:rsidR="0004027B" w:rsidRPr="00FE2263">
        <w:rPr>
          <w:lang w:val="en-US"/>
        </w:rPr>
        <w:instrText>CSL</w:instrText>
      </w:r>
      <w:r w:rsidR="0004027B" w:rsidRPr="00FE2263">
        <w:instrText>_</w:instrText>
      </w:r>
      <w:r w:rsidR="0004027B" w:rsidRPr="00FE2263">
        <w:rPr>
          <w:lang w:val="en-US"/>
        </w:rPr>
        <w:instrText>CITATION</w:instrText>
      </w:r>
      <w:r w:rsidR="0004027B" w:rsidRPr="00FE2263">
        <w:instrText xml:space="preserve"> {"</w:instrText>
      </w:r>
      <w:r w:rsidR="0004027B" w:rsidRPr="00FE2263">
        <w:rPr>
          <w:lang w:val="en-US"/>
        </w:rPr>
        <w:instrText>citationItems</w:instrText>
      </w:r>
      <w:r w:rsidR="0004027B" w:rsidRPr="00FE2263">
        <w:instrText>":[{"</w:instrText>
      </w:r>
      <w:r w:rsidR="0004027B" w:rsidRPr="00FE2263">
        <w:rPr>
          <w:lang w:val="en-US"/>
        </w:rPr>
        <w:instrText>id</w:instrText>
      </w:r>
      <w:r w:rsidR="0004027B" w:rsidRPr="00FE2263">
        <w:instrText>":"</w:instrText>
      </w:r>
      <w:r w:rsidR="0004027B" w:rsidRPr="00FE2263">
        <w:rPr>
          <w:lang w:val="en-US"/>
        </w:rPr>
        <w:instrText>ITEM</w:instrText>
      </w:r>
      <w:r w:rsidR="0004027B" w:rsidRPr="00FE2263">
        <w:instrText>-1","</w:instrText>
      </w:r>
      <w:r w:rsidR="0004027B" w:rsidRPr="00FE2263">
        <w:rPr>
          <w:lang w:val="en-US"/>
        </w:rPr>
        <w:instrText>itemData</w:instrText>
      </w:r>
      <w:r w:rsidR="0004027B" w:rsidRPr="00FE2263">
        <w:instrText>":{"</w:instrText>
      </w:r>
      <w:r w:rsidR="0004027B" w:rsidRPr="00FE2263">
        <w:rPr>
          <w:lang w:val="en-US"/>
        </w:rPr>
        <w:instrText>DOI</w:instrText>
      </w:r>
      <w:r w:rsidR="0004027B" w:rsidRPr="00FE2263">
        <w:instrText>":"10.3816/</w:instrText>
      </w:r>
      <w:r w:rsidR="0004027B" w:rsidRPr="00FE2263">
        <w:rPr>
          <w:lang w:val="en-US"/>
        </w:rPr>
        <w:instrText>CLML</w:instrText>
      </w:r>
      <w:r w:rsidR="0004027B" w:rsidRPr="00FE2263">
        <w:instrText>.2011.</w:instrText>
      </w:r>
      <w:r w:rsidR="0004027B" w:rsidRPr="00FE2263">
        <w:rPr>
          <w:lang w:val="en-US"/>
        </w:rPr>
        <w:instrText>n</w:instrText>
      </w:r>
      <w:r w:rsidR="0004027B" w:rsidRPr="00FE2263">
        <w:instrText>.029","</w:instrText>
      </w:r>
      <w:r w:rsidR="0004027B" w:rsidRPr="00FE2263">
        <w:rPr>
          <w:lang w:val="en-US"/>
        </w:rPr>
        <w:instrText>ISSN</w:instrText>
      </w:r>
      <w:r w:rsidR="0004027B" w:rsidRPr="00FE2263">
        <w:instrText>":"21522650","</w:instrText>
      </w:r>
      <w:r w:rsidR="0004027B" w:rsidRPr="00FE2263">
        <w:rPr>
          <w:lang w:val="en-US"/>
        </w:rPr>
        <w:instrText>abstract</w:instrText>
      </w:r>
      <w:r w:rsidR="0004027B" w:rsidRPr="00FE2263">
        <w:instrText>":"</w:instrText>
      </w:r>
      <w:r w:rsidR="0004027B" w:rsidRPr="00FE2263">
        <w:rPr>
          <w:lang w:val="en-US"/>
        </w:rPr>
        <w:instrText>With</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aim</w:instrText>
      </w:r>
      <w:r w:rsidR="0004027B" w:rsidRPr="00FE2263">
        <w:instrText xml:space="preserve"> </w:instrText>
      </w:r>
      <w:r w:rsidR="0004027B" w:rsidRPr="00FE2263">
        <w:rPr>
          <w:lang w:val="en-US"/>
        </w:rPr>
        <w:instrText>to</w:instrText>
      </w:r>
      <w:r w:rsidR="0004027B" w:rsidRPr="00FE2263">
        <w:instrText xml:space="preserve"> </w:instrText>
      </w:r>
      <w:r w:rsidR="0004027B" w:rsidRPr="00FE2263">
        <w:rPr>
          <w:lang w:val="en-US"/>
        </w:rPr>
        <w:instrText>assess</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efficacy</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subcutaneous</w:instrText>
      </w:r>
      <w:r w:rsidR="0004027B" w:rsidRPr="00FE2263">
        <w:instrText xml:space="preserve"> </w:instrText>
      </w:r>
      <w:r w:rsidR="0004027B" w:rsidRPr="00FE2263">
        <w:rPr>
          <w:lang w:val="en-US"/>
        </w:rPr>
        <w:instrText>cladribine</w:instrText>
      </w:r>
      <w:r w:rsidR="0004027B" w:rsidRPr="00FE2263">
        <w:instrText xml:space="preserve"> </w:instrText>
      </w:r>
      <w:r w:rsidR="0004027B" w:rsidRPr="00FE2263">
        <w:rPr>
          <w:lang w:val="en-US"/>
        </w:rPr>
        <w:instrText>in</w:instrText>
      </w:r>
      <w:r w:rsidR="0004027B" w:rsidRPr="00FE2263">
        <w:instrText xml:space="preserve"> </w:instrText>
      </w:r>
      <w:r w:rsidR="0004027B" w:rsidRPr="00FE2263">
        <w:rPr>
          <w:lang w:val="en-US"/>
        </w:rPr>
        <w:instrText>combination</w:instrText>
      </w:r>
      <w:r w:rsidR="0004027B" w:rsidRPr="00FE2263">
        <w:instrText xml:space="preserve"> </w:instrText>
      </w:r>
      <w:r w:rsidR="0004027B" w:rsidRPr="00FE2263">
        <w:rPr>
          <w:lang w:val="en-US"/>
        </w:rPr>
        <w:instrText>with</w:instrText>
      </w:r>
      <w:r w:rsidR="0004027B" w:rsidRPr="00FE2263">
        <w:instrText xml:space="preserve"> </w:instrText>
      </w:r>
      <w:r w:rsidR="0004027B" w:rsidRPr="00FE2263">
        <w:rPr>
          <w:lang w:val="en-US"/>
        </w:rPr>
        <w:instrText>rituximab</w:instrText>
      </w:r>
      <w:r w:rsidR="0004027B" w:rsidRPr="00FE2263">
        <w:instrText xml:space="preserve">, 29 </w:instrText>
      </w:r>
      <w:r w:rsidR="0004027B" w:rsidRPr="00FE2263">
        <w:rPr>
          <w:lang w:val="en-US"/>
        </w:rPr>
        <w:instrText>newly</w:instrText>
      </w:r>
      <w:r w:rsidR="0004027B" w:rsidRPr="00FE2263">
        <w:instrText xml:space="preserve"> </w:instrText>
      </w:r>
      <w:r w:rsidR="0004027B" w:rsidRPr="00FE2263">
        <w:rPr>
          <w:lang w:val="en-US"/>
        </w:rPr>
        <w:instrText>diagnosed</w:instrText>
      </w:r>
      <w:r w:rsidR="0004027B" w:rsidRPr="00FE2263">
        <w:instrText>/</w:instrText>
      </w:r>
      <w:r w:rsidR="0004027B" w:rsidRPr="00FE2263">
        <w:rPr>
          <w:lang w:val="en-US"/>
        </w:rPr>
        <w:instrText>pretreated</w:instrText>
      </w:r>
      <w:r w:rsidR="0004027B" w:rsidRPr="00FE2263">
        <w:instrText xml:space="preserve"> </w:instrText>
      </w:r>
      <w:r w:rsidR="0004027B" w:rsidRPr="00FE2263">
        <w:rPr>
          <w:lang w:val="en-US"/>
        </w:rPr>
        <w:instrText>WM</w:instrText>
      </w:r>
      <w:r w:rsidR="0004027B" w:rsidRPr="00FE2263">
        <w:instrText xml:space="preserve"> </w:instrText>
      </w:r>
      <w:r w:rsidR="0004027B" w:rsidRPr="00FE2263">
        <w:rPr>
          <w:lang w:val="en-US"/>
        </w:rPr>
        <w:instrText>patients</w:instrText>
      </w:r>
      <w:r w:rsidR="0004027B" w:rsidRPr="00FE2263">
        <w:instrText xml:space="preserve"> </w:instrText>
      </w:r>
      <w:r w:rsidR="0004027B" w:rsidRPr="00FE2263">
        <w:rPr>
          <w:lang w:val="en-US"/>
        </w:rPr>
        <w:instrText>were</w:instrText>
      </w:r>
      <w:r w:rsidR="0004027B" w:rsidRPr="00FE2263">
        <w:instrText xml:space="preserve"> </w:instrText>
      </w:r>
      <w:r w:rsidR="0004027B" w:rsidRPr="00FE2263">
        <w:rPr>
          <w:lang w:val="en-US"/>
        </w:rPr>
        <w:instrText>enrolled</w:instrText>
      </w:r>
      <w:r w:rsidR="0004027B" w:rsidRPr="00FE2263">
        <w:instrText xml:space="preserve"> </w:instrText>
      </w:r>
      <w:r w:rsidR="0004027B" w:rsidRPr="00FE2263">
        <w:rPr>
          <w:lang w:val="en-US"/>
        </w:rPr>
        <w:instrText>in</w:instrText>
      </w:r>
      <w:r w:rsidR="0004027B" w:rsidRPr="00FE2263">
        <w:instrText xml:space="preserve"> </w:instrText>
      </w:r>
      <w:r w:rsidR="0004027B" w:rsidRPr="00FE2263">
        <w:rPr>
          <w:lang w:val="en-US"/>
        </w:rPr>
        <w:instrText>a</w:instrText>
      </w:r>
      <w:r w:rsidR="0004027B" w:rsidRPr="00FE2263">
        <w:instrText xml:space="preserve"> </w:instrText>
      </w:r>
      <w:r w:rsidR="0004027B" w:rsidRPr="00FE2263">
        <w:rPr>
          <w:lang w:val="en-US"/>
        </w:rPr>
        <w:instrText>multicenter</w:instrText>
      </w:r>
      <w:r w:rsidR="0004027B" w:rsidRPr="00FE2263">
        <w:instrText xml:space="preserve"> </w:instrText>
      </w:r>
      <w:r w:rsidR="0004027B" w:rsidRPr="00FE2263">
        <w:rPr>
          <w:lang w:val="en-US"/>
        </w:rPr>
        <w:instrText>phase</w:instrText>
      </w:r>
      <w:r w:rsidR="0004027B" w:rsidRPr="00FE2263">
        <w:instrText xml:space="preserve"> </w:instrText>
      </w:r>
      <w:r w:rsidR="0004027B" w:rsidRPr="00FE2263">
        <w:rPr>
          <w:lang w:val="en-US"/>
        </w:rPr>
        <w:instrText>II</w:instrText>
      </w:r>
      <w:r w:rsidR="0004027B" w:rsidRPr="00FE2263">
        <w:instrText xml:space="preserve"> </w:instrText>
      </w:r>
      <w:r w:rsidR="0004027B" w:rsidRPr="00FE2263">
        <w:rPr>
          <w:lang w:val="en-US"/>
        </w:rPr>
        <w:instrText>trial</w:instrText>
      </w:r>
      <w:r w:rsidR="0004027B" w:rsidRPr="00FE2263">
        <w:instrText xml:space="preserve">. </w:instrText>
      </w:r>
      <w:r w:rsidR="0004027B" w:rsidRPr="00FE2263">
        <w:rPr>
          <w:lang w:val="en-US"/>
        </w:rPr>
        <w:instrText>Intended</w:instrText>
      </w:r>
      <w:r w:rsidR="0004027B" w:rsidRPr="00FE2263">
        <w:instrText xml:space="preserve"> </w:instrText>
      </w:r>
      <w:r w:rsidR="0004027B" w:rsidRPr="00FE2263">
        <w:rPr>
          <w:lang w:val="en-US"/>
        </w:rPr>
        <w:instrText>therapy</w:instrText>
      </w:r>
      <w:r w:rsidR="0004027B" w:rsidRPr="00FE2263">
        <w:instrText xml:space="preserve"> </w:instrText>
      </w:r>
      <w:r w:rsidR="0004027B" w:rsidRPr="00FE2263">
        <w:rPr>
          <w:lang w:val="en-US"/>
        </w:rPr>
        <w:instrText>consisted</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rituximab</w:instrText>
      </w:r>
      <w:r w:rsidR="0004027B" w:rsidRPr="00FE2263">
        <w:instrText xml:space="preserve"> </w:instrText>
      </w:r>
      <w:r w:rsidR="0004027B" w:rsidRPr="00FE2263">
        <w:rPr>
          <w:lang w:val="en-US"/>
        </w:rPr>
        <w:instrText>on</w:instrText>
      </w:r>
      <w:r w:rsidR="0004027B" w:rsidRPr="00FE2263">
        <w:instrText xml:space="preserve"> </w:instrText>
      </w:r>
      <w:r w:rsidR="0004027B" w:rsidRPr="00FE2263">
        <w:rPr>
          <w:lang w:val="en-US"/>
        </w:rPr>
        <w:instrText>day</w:instrText>
      </w:r>
      <w:r w:rsidR="0004027B" w:rsidRPr="00FE2263">
        <w:instrText xml:space="preserve"> 1 </w:instrText>
      </w:r>
      <w:r w:rsidR="0004027B" w:rsidRPr="00FE2263">
        <w:rPr>
          <w:lang w:val="en-US"/>
        </w:rPr>
        <w:instrText>followed</w:instrText>
      </w:r>
      <w:r w:rsidR="0004027B" w:rsidRPr="00FE2263">
        <w:instrText xml:space="preserve"> </w:instrText>
      </w:r>
      <w:r w:rsidR="0004027B" w:rsidRPr="00FE2263">
        <w:rPr>
          <w:lang w:val="en-US"/>
        </w:rPr>
        <w:instrText>by</w:instrText>
      </w:r>
      <w:r w:rsidR="0004027B" w:rsidRPr="00FE2263">
        <w:instrText xml:space="preserve"> </w:instrText>
      </w:r>
      <w:r w:rsidR="0004027B" w:rsidRPr="00FE2263">
        <w:rPr>
          <w:lang w:val="en-US"/>
        </w:rPr>
        <w:instrText>s</w:instrText>
      </w:r>
      <w:r w:rsidR="0004027B" w:rsidRPr="00FE2263">
        <w:instrText>.</w:instrText>
      </w:r>
      <w:r w:rsidR="0004027B" w:rsidRPr="00FE2263">
        <w:rPr>
          <w:lang w:val="en-US"/>
        </w:rPr>
        <w:instrText>c</w:instrText>
      </w:r>
      <w:r w:rsidR="0004027B" w:rsidRPr="00FE2263">
        <w:instrText xml:space="preserve">. </w:instrText>
      </w:r>
      <w:r w:rsidR="0004027B" w:rsidRPr="00FE2263">
        <w:rPr>
          <w:lang w:val="en-US"/>
        </w:rPr>
        <w:instrText>cladribine</w:instrText>
      </w:r>
      <w:r w:rsidR="0004027B" w:rsidRPr="00FE2263">
        <w:instrText xml:space="preserve"> 0.1 </w:instrText>
      </w:r>
      <w:r w:rsidR="0004027B" w:rsidRPr="00FE2263">
        <w:rPr>
          <w:lang w:val="en-US"/>
        </w:rPr>
        <w:instrText>mg</w:instrText>
      </w:r>
      <w:r w:rsidR="0004027B" w:rsidRPr="00FE2263">
        <w:instrText>/</w:instrText>
      </w:r>
      <w:r w:rsidR="0004027B" w:rsidRPr="00FE2263">
        <w:rPr>
          <w:lang w:val="en-US"/>
        </w:rPr>
        <w:instrText>kg</w:instrText>
      </w:r>
      <w:r w:rsidR="0004027B" w:rsidRPr="00FE2263">
        <w:instrText xml:space="preserve"> </w:instrText>
      </w:r>
      <w:r w:rsidR="0004027B" w:rsidRPr="00FE2263">
        <w:rPr>
          <w:lang w:val="en-US"/>
        </w:rPr>
        <w:instrText>for</w:instrText>
      </w:r>
      <w:r w:rsidR="0004027B" w:rsidRPr="00FE2263">
        <w:instrText xml:space="preserve"> 5 </w:instrText>
      </w:r>
      <w:r w:rsidR="0004027B" w:rsidRPr="00FE2263">
        <w:rPr>
          <w:lang w:val="en-US"/>
        </w:rPr>
        <w:instrText>consecutive</w:instrText>
      </w:r>
      <w:r w:rsidR="0004027B" w:rsidRPr="00FE2263">
        <w:instrText xml:space="preserve"> </w:instrText>
      </w:r>
      <w:r w:rsidR="0004027B" w:rsidRPr="00FE2263">
        <w:rPr>
          <w:lang w:val="en-US"/>
        </w:rPr>
        <w:instrText>days</w:instrText>
      </w:r>
      <w:r w:rsidR="0004027B" w:rsidRPr="00FE2263">
        <w:instrText xml:space="preserve">, </w:instrText>
      </w:r>
      <w:r w:rsidR="0004027B" w:rsidRPr="00FE2263">
        <w:rPr>
          <w:lang w:val="en-US"/>
        </w:rPr>
        <w:instrText>administered</w:instrText>
      </w:r>
      <w:r w:rsidR="0004027B" w:rsidRPr="00FE2263">
        <w:instrText xml:space="preserve"> </w:instrText>
      </w:r>
      <w:r w:rsidR="0004027B" w:rsidRPr="00FE2263">
        <w:rPr>
          <w:lang w:val="en-US"/>
        </w:rPr>
        <w:instrText>monthly</w:instrText>
      </w:r>
      <w:r w:rsidR="0004027B" w:rsidRPr="00FE2263">
        <w:instrText xml:space="preserve"> </w:instrText>
      </w:r>
      <w:r w:rsidR="0004027B" w:rsidRPr="00FE2263">
        <w:rPr>
          <w:lang w:val="en-US"/>
        </w:rPr>
        <w:instrText>for</w:instrText>
      </w:r>
      <w:r w:rsidR="0004027B" w:rsidRPr="00FE2263">
        <w:instrText xml:space="preserve"> 4 </w:instrText>
      </w:r>
      <w:r w:rsidR="0004027B" w:rsidRPr="00FE2263">
        <w:rPr>
          <w:lang w:val="en-US"/>
        </w:rPr>
        <w:instrText>cycles</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expression</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genes</w:instrText>
      </w:r>
      <w:r w:rsidR="0004027B" w:rsidRPr="00FE2263">
        <w:instrText xml:space="preserve"> </w:instrText>
      </w:r>
      <w:r w:rsidR="0004027B" w:rsidRPr="00FE2263">
        <w:rPr>
          <w:lang w:val="en-US"/>
        </w:rPr>
        <w:instrText>involved</w:instrText>
      </w:r>
      <w:r w:rsidR="0004027B" w:rsidRPr="00FE2263">
        <w:instrText xml:space="preserve"> </w:instrText>
      </w:r>
      <w:r w:rsidR="0004027B" w:rsidRPr="00FE2263">
        <w:rPr>
          <w:lang w:val="en-US"/>
        </w:rPr>
        <w:instrText>in</w:instrText>
      </w:r>
      <w:r w:rsidR="0004027B" w:rsidRPr="00FE2263">
        <w:instrText xml:space="preserve"> </w:instrText>
      </w:r>
      <w:r w:rsidR="0004027B" w:rsidRPr="00FE2263">
        <w:rPr>
          <w:lang w:val="en-US"/>
        </w:rPr>
        <w:instrText>cladribine</w:instrText>
      </w:r>
      <w:r w:rsidR="0004027B" w:rsidRPr="00FE2263">
        <w:instrText xml:space="preserve"> </w:instrText>
      </w:r>
      <w:r w:rsidR="0004027B" w:rsidRPr="00FE2263">
        <w:rPr>
          <w:lang w:val="en-US"/>
        </w:rPr>
        <w:instrText>metabolism</w:instrText>
      </w:r>
      <w:r w:rsidR="0004027B" w:rsidRPr="00FE2263">
        <w:instrText xml:space="preserve"> </w:instrText>
      </w:r>
      <w:r w:rsidR="0004027B" w:rsidRPr="00FE2263">
        <w:rPr>
          <w:lang w:val="en-US"/>
        </w:rPr>
        <w:instrText>was</w:instrText>
      </w:r>
      <w:r w:rsidR="0004027B" w:rsidRPr="00FE2263">
        <w:instrText xml:space="preserve"> </w:instrText>
      </w:r>
      <w:r w:rsidR="0004027B" w:rsidRPr="00FE2263">
        <w:rPr>
          <w:lang w:val="en-US"/>
        </w:rPr>
        <w:instrText>evaluated</w:instrText>
      </w:r>
      <w:r w:rsidR="0004027B" w:rsidRPr="00FE2263">
        <w:instrText xml:space="preserve">. </w:instrText>
      </w:r>
      <w:r w:rsidR="0004027B" w:rsidRPr="00FE2263">
        <w:rPr>
          <w:lang w:val="en-US"/>
        </w:rPr>
        <w:instrText>With</w:instrText>
      </w:r>
      <w:r w:rsidR="0004027B" w:rsidRPr="00FE2263">
        <w:instrText xml:space="preserve"> </w:instrText>
      </w:r>
      <w:r w:rsidR="0004027B" w:rsidRPr="00FE2263">
        <w:rPr>
          <w:lang w:val="en-US"/>
        </w:rPr>
        <w:instrText>a</w:instrText>
      </w:r>
      <w:r w:rsidR="0004027B" w:rsidRPr="00FE2263">
        <w:instrText xml:space="preserve"> </w:instrText>
      </w:r>
      <w:r w:rsidR="0004027B" w:rsidRPr="00FE2263">
        <w:rPr>
          <w:lang w:val="en-US"/>
        </w:rPr>
        <w:instrText>median</w:instrText>
      </w:r>
      <w:r w:rsidR="0004027B" w:rsidRPr="00FE2263">
        <w:instrText xml:space="preserve"> </w:instrText>
      </w:r>
      <w:r w:rsidR="0004027B" w:rsidRPr="00FE2263">
        <w:rPr>
          <w:lang w:val="en-US"/>
        </w:rPr>
        <w:instrText>follow</w:instrText>
      </w:r>
      <w:r w:rsidR="0004027B" w:rsidRPr="00FE2263">
        <w:instrText>-</w:instrText>
      </w:r>
      <w:r w:rsidR="0004027B" w:rsidRPr="00FE2263">
        <w:rPr>
          <w:lang w:val="en-US"/>
        </w:rPr>
        <w:instrText>up</w:instrText>
      </w:r>
      <w:r w:rsidR="0004027B" w:rsidRPr="00FE2263">
        <w:instrText xml:space="preserve"> </w:instrText>
      </w:r>
      <w:r w:rsidR="0004027B" w:rsidRPr="00FE2263">
        <w:rPr>
          <w:lang w:val="en-US"/>
        </w:rPr>
        <w:instrText>of</w:instrText>
      </w:r>
      <w:r w:rsidR="0004027B" w:rsidRPr="00FE2263">
        <w:instrText xml:space="preserve"> 50 </w:instrText>
      </w:r>
      <w:r w:rsidR="0004027B" w:rsidRPr="00FE2263">
        <w:rPr>
          <w:lang w:val="en-US"/>
        </w:rPr>
        <w:instrText>months</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ORR</w:instrText>
      </w:r>
      <w:r w:rsidR="0004027B" w:rsidRPr="00FE2263">
        <w:instrText xml:space="preserve"> </w:instrText>
      </w:r>
      <w:r w:rsidR="0004027B" w:rsidRPr="00FE2263">
        <w:rPr>
          <w:lang w:val="en-US"/>
        </w:rPr>
        <w:instrText>rate</w:instrText>
      </w:r>
      <w:r w:rsidR="0004027B" w:rsidRPr="00FE2263">
        <w:instrText xml:space="preserve"> </w:instrText>
      </w:r>
      <w:r w:rsidR="0004027B" w:rsidRPr="00FE2263">
        <w:rPr>
          <w:lang w:val="en-US"/>
        </w:rPr>
        <w:instrText>observed</w:instrText>
      </w:r>
      <w:r w:rsidR="0004027B" w:rsidRPr="00FE2263">
        <w:instrText xml:space="preserve"> </w:instrText>
      </w:r>
      <w:r w:rsidR="0004027B" w:rsidRPr="00FE2263">
        <w:rPr>
          <w:lang w:val="en-US"/>
        </w:rPr>
        <w:instrText>was</w:instrText>
      </w:r>
      <w:r w:rsidR="0004027B" w:rsidRPr="00FE2263">
        <w:instrText xml:space="preserve"> 89.6% </w:instrText>
      </w:r>
      <w:r w:rsidR="0004027B" w:rsidRPr="00FE2263">
        <w:rPr>
          <w:lang w:val="en-US"/>
        </w:rPr>
        <w:instrText>without</w:instrText>
      </w:r>
      <w:r w:rsidR="0004027B" w:rsidRPr="00FE2263">
        <w:instrText xml:space="preserve"> </w:instrText>
      </w:r>
      <w:r w:rsidR="0004027B" w:rsidRPr="00FE2263">
        <w:rPr>
          <w:lang w:val="en-US"/>
        </w:rPr>
        <w:instrText>any</w:instrText>
      </w:r>
      <w:r w:rsidR="0004027B" w:rsidRPr="00FE2263">
        <w:instrText xml:space="preserve"> </w:instrText>
      </w:r>
      <w:r w:rsidR="0004027B" w:rsidRPr="00FE2263">
        <w:rPr>
          <w:lang w:val="en-US"/>
        </w:rPr>
        <w:instrText>difference</w:instrText>
      </w:r>
      <w:r w:rsidR="0004027B" w:rsidRPr="00FE2263">
        <w:instrText xml:space="preserve"> </w:instrText>
      </w:r>
      <w:r w:rsidR="0004027B" w:rsidRPr="00FE2263">
        <w:rPr>
          <w:lang w:val="en-US"/>
        </w:rPr>
        <w:instrText>between</w:instrText>
      </w:r>
      <w:r w:rsidR="0004027B" w:rsidRPr="00FE2263">
        <w:instrText xml:space="preserve"> </w:instrText>
      </w:r>
      <w:r w:rsidR="0004027B" w:rsidRPr="00FE2263">
        <w:rPr>
          <w:lang w:val="en-US"/>
        </w:rPr>
        <w:instrText>newly</w:instrText>
      </w:r>
      <w:r w:rsidR="0004027B" w:rsidRPr="00FE2263">
        <w:instrText xml:space="preserve"> </w:instrText>
      </w:r>
      <w:r w:rsidR="0004027B" w:rsidRPr="00FE2263">
        <w:rPr>
          <w:lang w:val="en-US"/>
        </w:rPr>
        <w:instrText>or</w:instrText>
      </w:r>
      <w:r w:rsidR="0004027B" w:rsidRPr="00FE2263">
        <w:instrText xml:space="preserve"> </w:instrText>
      </w:r>
      <w:r w:rsidR="0004027B" w:rsidRPr="00FE2263">
        <w:rPr>
          <w:lang w:val="en-US"/>
        </w:rPr>
        <w:instrText>pretreated</w:instrText>
      </w:r>
      <w:r w:rsidR="0004027B" w:rsidRPr="00FE2263">
        <w:instrText xml:space="preserve"> </w:instrText>
      </w:r>
      <w:r w:rsidR="0004027B" w:rsidRPr="00FE2263">
        <w:rPr>
          <w:lang w:val="en-US"/>
        </w:rPr>
        <w:instrText>patients</w:instrText>
      </w:r>
      <w:r w:rsidR="0004027B" w:rsidRPr="00FE2263">
        <w:instrText xml:space="preserve"> (</w:instrText>
      </w:r>
      <w:r w:rsidR="0004027B" w:rsidRPr="00FE2263">
        <w:rPr>
          <w:lang w:val="en-US"/>
        </w:rPr>
        <w:instrText>P</w:instrText>
      </w:r>
      <w:r w:rsidR="0004027B" w:rsidRPr="00FE2263">
        <w:instrText xml:space="preserve"> = .522). </w:instrText>
      </w:r>
      <w:r w:rsidR="0004027B" w:rsidRPr="00FE2263">
        <w:rPr>
          <w:lang w:val="en-US"/>
        </w:rPr>
        <w:instrText>The</w:instrText>
      </w:r>
      <w:r w:rsidR="0004027B" w:rsidRPr="00FE2263">
        <w:instrText xml:space="preserve"> </w:instrText>
      </w:r>
      <w:r w:rsidR="0004027B" w:rsidRPr="00FE2263">
        <w:rPr>
          <w:lang w:val="en-US"/>
        </w:rPr>
        <w:instrText>therapy</w:instrText>
      </w:r>
      <w:r w:rsidR="0004027B" w:rsidRPr="00FE2263">
        <w:instrText xml:space="preserve"> </w:instrText>
      </w:r>
      <w:r w:rsidR="0004027B" w:rsidRPr="00FE2263">
        <w:rPr>
          <w:lang w:val="en-US"/>
        </w:rPr>
        <w:instrText>was</w:instrText>
      </w:r>
      <w:r w:rsidR="0004027B" w:rsidRPr="00FE2263">
        <w:instrText xml:space="preserve"> </w:instrText>
      </w:r>
      <w:r w:rsidR="0004027B" w:rsidRPr="00FE2263">
        <w:rPr>
          <w:lang w:val="en-US"/>
        </w:rPr>
        <w:instrText>well</w:instrText>
      </w:r>
      <w:r w:rsidR="0004027B" w:rsidRPr="00FE2263">
        <w:instrText xml:space="preserve"> </w:instrText>
      </w:r>
      <w:r w:rsidR="0004027B" w:rsidRPr="00FE2263">
        <w:rPr>
          <w:lang w:val="en-US"/>
        </w:rPr>
        <w:instrText>tolerated</w:instrText>
      </w:r>
      <w:r w:rsidR="0004027B" w:rsidRPr="00FE2263">
        <w:instrText xml:space="preserve">; </w:instrText>
      </w:r>
      <w:r w:rsidR="0004027B" w:rsidRPr="00FE2263">
        <w:rPr>
          <w:lang w:val="en-US"/>
        </w:rPr>
        <w:instrText>no</w:instrText>
      </w:r>
      <w:r w:rsidR="0004027B" w:rsidRPr="00FE2263">
        <w:instrText xml:space="preserve"> </w:instrText>
      </w:r>
      <w:r w:rsidR="0004027B" w:rsidRPr="00FE2263">
        <w:rPr>
          <w:lang w:val="en-US"/>
        </w:rPr>
        <w:instrText>major</w:instrText>
      </w:r>
      <w:r w:rsidR="0004027B" w:rsidRPr="00FE2263">
        <w:instrText xml:space="preserve"> </w:instrText>
      </w:r>
      <w:r w:rsidR="0004027B" w:rsidRPr="00FE2263">
        <w:rPr>
          <w:lang w:val="en-US"/>
        </w:rPr>
        <w:instrText>infections</w:instrText>
      </w:r>
      <w:r w:rsidR="0004027B" w:rsidRPr="00FE2263">
        <w:instrText xml:space="preserve"> </w:instrText>
      </w:r>
      <w:r w:rsidR="0004027B" w:rsidRPr="00FE2263">
        <w:rPr>
          <w:lang w:val="en-US"/>
        </w:rPr>
        <w:instrText>were</w:instrText>
      </w:r>
      <w:r w:rsidR="0004027B" w:rsidRPr="00FE2263">
        <w:instrText xml:space="preserve"> </w:instrText>
      </w:r>
      <w:r w:rsidR="0004027B" w:rsidRPr="00FE2263">
        <w:rPr>
          <w:lang w:val="en-US"/>
        </w:rPr>
        <w:instrText>observed</w:instrText>
      </w:r>
      <w:r w:rsidR="0004027B" w:rsidRPr="00FE2263">
        <w:instrText xml:space="preserve">, </w:instrText>
      </w:r>
      <w:r w:rsidR="0004027B" w:rsidRPr="00FE2263">
        <w:rPr>
          <w:lang w:val="en-US"/>
        </w:rPr>
        <w:instrText>no</w:instrText>
      </w:r>
      <w:r w:rsidR="0004027B" w:rsidRPr="00FE2263">
        <w:instrText xml:space="preserve"> </w:instrText>
      </w:r>
      <w:r w:rsidR="0004027B" w:rsidRPr="00FE2263">
        <w:rPr>
          <w:lang w:val="en-US"/>
        </w:rPr>
        <w:instrText>patients</w:instrText>
      </w:r>
      <w:r w:rsidR="0004027B" w:rsidRPr="00FE2263">
        <w:instrText xml:space="preserve"> </w:instrText>
      </w:r>
      <w:r w:rsidR="0004027B" w:rsidRPr="00FE2263">
        <w:rPr>
          <w:lang w:val="en-US"/>
        </w:rPr>
        <w:instrText>developed</w:instrText>
      </w:r>
      <w:r w:rsidR="0004027B" w:rsidRPr="00FE2263">
        <w:instrText xml:space="preserve"> </w:instrText>
      </w:r>
      <w:r w:rsidR="0004027B" w:rsidRPr="00FE2263">
        <w:rPr>
          <w:lang w:val="en-US"/>
        </w:rPr>
        <w:instrText>transformation</w:instrText>
      </w:r>
      <w:r w:rsidR="0004027B" w:rsidRPr="00FE2263">
        <w:instrText xml:space="preserve"> </w:instrText>
      </w:r>
      <w:r w:rsidR="0004027B" w:rsidRPr="00FE2263">
        <w:rPr>
          <w:lang w:val="en-US"/>
        </w:rPr>
        <w:instrText>to</w:instrText>
      </w:r>
      <w:r w:rsidR="0004027B" w:rsidRPr="00FE2263">
        <w:instrText xml:space="preserve"> </w:instrText>
      </w:r>
      <w:r w:rsidR="0004027B" w:rsidRPr="00FE2263">
        <w:rPr>
          <w:lang w:val="en-US"/>
        </w:rPr>
        <w:instrText>high</w:instrText>
      </w:r>
      <w:r w:rsidR="0004027B" w:rsidRPr="00FE2263">
        <w:instrText>-</w:instrText>
      </w:r>
      <w:r w:rsidR="0004027B" w:rsidRPr="00FE2263">
        <w:rPr>
          <w:lang w:val="en-US"/>
        </w:rPr>
        <w:instrText>grade</w:instrText>
      </w:r>
      <w:r w:rsidR="0004027B" w:rsidRPr="00FE2263">
        <w:instrText xml:space="preserve"> </w:instrText>
      </w:r>
      <w:r w:rsidR="0004027B" w:rsidRPr="00FE2263">
        <w:rPr>
          <w:lang w:val="en-US"/>
        </w:rPr>
        <w:instrText>NHL</w:instrText>
      </w:r>
      <w:r w:rsidR="0004027B" w:rsidRPr="00FE2263">
        <w:instrText xml:space="preserve"> </w:instrText>
      </w:r>
      <w:r w:rsidR="0004027B" w:rsidRPr="00FE2263">
        <w:rPr>
          <w:lang w:val="en-US"/>
        </w:rPr>
        <w:instrText>nor</w:instrText>
      </w:r>
      <w:r w:rsidR="0004027B" w:rsidRPr="00FE2263">
        <w:instrText xml:space="preserve"> </w:instrText>
      </w:r>
      <w:r w:rsidR="0004027B" w:rsidRPr="00FE2263">
        <w:rPr>
          <w:lang w:val="en-US"/>
        </w:rPr>
        <w:instrText>myelodysplasia</w:instrText>
      </w:r>
      <w:r w:rsidR="0004027B" w:rsidRPr="00FE2263">
        <w:instrText xml:space="preserve">. </w:instrText>
      </w:r>
      <w:r w:rsidR="0004027B" w:rsidRPr="00FE2263">
        <w:rPr>
          <w:lang w:val="en-US"/>
        </w:rPr>
        <w:instrText>Low</w:instrText>
      </w:r>
      <w:r w:rsidR="0004027B" w:rsidRPr="00FE2263">
        <w:instrText xml:space="preserve"> </w:instrText>
      </w:r>
      <w:r w:rsidR="0004027B" w:rsidRPr="00FE2263">
        <w:rPr>
          <w:lang w:val="en-US"/>
        </w:rPr>
        <w:instrText>expression</w:instrText>
      </w:r>
      <w:r w:rsidR="0004027B" w:rsidRPr="00FE2263">
        <w:instrText xml:space="preserve"> </w:instrText>
      </w:r>
      <w:r w:rsidR="0004027B" w:rsidRPr="00FE2263">
        <w:rPr>
          <w:lang w:val="en-US"/>
        </w:rPr>
        <w:instrText>levels</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hCNT</w:instrText>
      </w:r>
      <w:r w:rsidR="0004027B" w:rsidRPr="00FE2263">
        <w:instrText xml:space="preserve">1 </w:instrText>
      </w:r>
      <w:r w:rsidR="0004027B" w:rsidRPr="00FE2263">
        <w:rPr>
          <w:lang w:val="en-US"/>
        </w:rPr>
        <w:instrText>correlated</w:instrText>
      </w:r>
      <w:r w:rsidR="0004027B" w:rsidRPr="00FE2263">
        <w:instrText xml:space="preserve"> </w:instrText>
      </w:r>
      <w:r w:rsidR="0004027B" w:rsidRPr="00FE2263">
        <w:rPr>
          <w:lang w:val="en-US"/>
        </w:rPr>
        <w:instrText>with</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failure</w:instrText>
      </w:r>
      <w:r w:rsidR="0004027B" w:rsidRPr="00FE2263">
        <w:instrText xml:space="preserve"> </w:instrText>
      </w:r>
      <w:r w:rsidR="0004027B" w:rsidRPr="00FE2263">
        <w:rPr>
          <w:lang w:val="en-US"/>
        </w:rPr>
        <w:instrText>to</w:instrText>
      </w:r>
      <w:r w:rsidR="0004027B" w:rsidRPr="00FE2263">
        <w:instrText xml:space="preserve"> </w:instrText>
      </w:r>
      <w:r w:rsidR="0004027B" w:rsidRPr="00FE2263">
        <w:rPr>
          <w:lang w:val="en-US"/>
        </w:rPr>
        <w:instrText>achieve</w:instrText>
      </w:r>
      <w:r w:rsidR="0004027B" w:rsidRPr="00FE2263">
        <w:instrText xml:space="preserve"> </w:instrText>
      </w:r>
      <w:r w:rsidR="0004027B" w:rsidRPr="00FE2263">
        <w:rPr>
          <w:lang w:val="en-US"/>
        </w:rPr>
        <w:instrText>a</w:instrText>
      </w:r>
      <w:r w:rsidR="0004027B" w:rsidRPr="00FE2263">
        <w:instrText xml:space="preserve"> </w:instrText>
      </w:r>
      <w:r w:rsidR="0004027B" w:rsidRPr="00FE2263">
        <w:rPr>
          <w:lang w:val="en-US"/>
        </w:rPr>
        <w:instrText>CR</w:instrText>
      </w:r>
      <w:r w:rsidR="0004027B" w:rsidRPr="00FE2263">
        <w:instrText xml:space="preserve"> (</w:instrText>
      </w:r>
      <w:r w:rsidR="0004027B" w:rsidRPr="00FE2263">
        <w:rPr>
          <w:lang w:val="en-US"/>
        </w:rPr>
        <w:instrText>P</w:instrText>
      </w:r>
      <w:r w:rsidR="0004027B" w:rsidRPr="00FE2263">
        <w:instrText xml:space="preserve"> = .024). </w:instrText>
      </w:r>
      <w:r w:rsidR="0004027B" w:rsidRPr="00FE2263">
        <w:rPr>
          <w:lang w:val="en-US"/>
        </w:rPr>
        <w:instrText>The</w:instrText>
      </w:r>
      <w:r w:rsidR="0004027B" w:rsidRPr="00FE2263">
        <w:instrText xml:space="preserve"> </w:instrText>
      </w:r>
      <w:r w:rsidR="0004027B" w:rsidRPr="00FE2263">
        <w:rPr>
          <w:lang w:val="en-US"/>
        </w:rPr>
        <w:instrText>combination</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rituximab</w:instrText>
      </w:r>
      <w:r w:rsidR="0004027B" w:rsidRPr="00FE2263">
        <w:instrText>/</w:instrText>
      </w:r>
      <w:r w:rsidR="0004027B" w:rsidRPr="00FE2263">
        <w:rPr>
          <w:lang w:val="en-US"/>
        </w:rPr>
        <w:instrText>cladribine</w:instrText>
      </w:r>
      <w:r w:rsidR="0004027B" w:rsidRPr="00FE2263">
        <w:instrText xml:space="preserve"> </w:instrText>
      </w:r>
      <w:r w:rsidR="0004027B" w:rsidRPr="00FE2263">
        <w:rPr>
          <w:lang w:val="en-US"/>
        </w:rPr>
        <w:instrText>is</w:instrText>
      </w:r>
      <w:r w:rsidR="0004027B" w:rsidRPr="00FE2263">
        <w:instrText xml:space="preserve"> </w:instrText>
      </w:r>
      <w:r w:rsidR="0004027B" w:rsidRPr="00FE2263">
        <w:rPr>
          <w:lang w:val="en-US"/>
        </w:rPr>
        <w:instrText>safe</w:instrText>
      </w:r>
      <w:r w:rsidR="0004027B" w:rsidRPr="00FE2263">
        <w:instrText xml:space="preserve"> </w:instrText>
      </w:r>
      <w:r w:rsidR="0004027B" w:rsidRPr="00FE2263">
        <w:rPr>
          <w:lang w:val="en-US"/>
        </w:rPr>
        <w:instrText>and</w:instrText>
      </w:r>
      <w:r w:rsidR="0004027B" w:rsidRPr="00FE2263">
        <w:instrText xml:space="preserve"> </w:instrText>
      </w:r>
      <w:r w:rsidR="0004027B" w:rsidRPr="00FE2263">
        <w:rPr>
          <w:lang w:val="en-US"/>
        </w:rPr>
        <w:instrText>effective</w:instrText>
      </w:r>
      <w:r w:rsidR="0004027B" w:rsidRPr="00FE2263">
        <w:instrText xml:space="preserve"> </w:instrText>
      </w:r>
      <w:r w:rsidR="0004027B" w:rsidRPr="00FE2263">
        <w:rPr>
          <w:lang w:val="en-US"/>
        </w:rPr>
        <w:instrText>in</w:instrText>
      </w:r>
      <w:r w:rsidR="0004027B" w:rsidRPr="00FE2263">
        <w:instrText xml:space="preserve"> </w:instrText>
      </w:r>
      <w:r w:rsidR="0004027B" w:rsidRPr="00FE2263">
        <w:rPr>
          <w:lang w:val="en-US"/>
        </w:rPr>
        <w:instrText>WM</w:instrText>
      </w:r>
      <w:r w:rsidR="0004027B" w:rsidRPr="00FE2263">
        <w:instrText xml:space="preserve"> </w:instrText>
      </w:r>
      <w:r w:rsidR="0004027B" w:rsidRPr="00FE2263">
        <w:rPr>
          <w:lang w:val="en-US"/>
        </w:rPr>
        <w:instrText>patients</w:instrText>
      </w:r>
      <w:r w:rsidR="0004027B" w:rsidRPr="00FE2263">
        <w:instrText xml:space="preserve"> </w:instrText>
      </w:r>
      <w:r w:rsidR="0004027B" w:rsidRPr="00FE2263">
        <w:rPr>
          <w:lang w:val="en-US"/>
        </w:rPr>
        <w:instrText>requiring</w:instrText>
      </w:r>
      <w:r w:rsidR="0004027B" w:rsidRPr="00FE2263">
        <w:instrText xml:space="preserve"> </w:instrText>
      </w:r>
      <w:r w:rsidR="0004027B" w:rsidRPr="00FE2263">
        <w:rPr>
          <w:lang w:val="en-US"/>
        </w:rPr>
        <w:instrText>treatment</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pharmacogenomic</w:instrText>
      </w:r>
      <w:r w:rsidR="0004027B" w:rsidRPr="00FE2263">
        <w:instrText xml:space="preserve"> </w:instrText>
      </w:r>
      <w:r w:rsidR="0004027B" w:rsidRPr="00FE2263">
        <w:rPr>
          <w:lang w:val="en-US"/>
        </w:rPr>
        <w:instrText>analysis</w:instrText>
      </w:r>
      <w:r w:rsidR="0004027B" w:rsidRPr="00FE2263">
        <w:instrText xml:space="preserve"> </w:instrText>
      </w:r>
      <w:r w:rsidR="0004027B" w:rsidRPr="00FE2263">
        <w:rPr>
          <w:lang w:val="en-US"/>
        </w:rPr>
        <w:instrText>suggests</w:instrText>
      </w:r>
      <w:r w:rsidR="0004027B" w:rsidRPr="00FE2263">
        <w:instrText xml:space="preserve"> </w:instrText>
      </w:r>
      <w:r w:rsidR="0004027B" w:rsidRPr="00FE2263">
        <w:rPr>
          <w:lang w:val="en-US"/>
        </w:rPr>
        <w:instrText>that</w:instrText>
      </w:r>
      <w:r w:rsidR="0004027B" w:rsidRPr="00FE2263">
        <w:instrText xml:space="preserve"> </w:instrText>
      </w:r>
      <w:r w:rsidR="0004027B" w:rsidRPr="00FE2263">
        <w:rPr>
          <w:lang w:val="en-US"/>
        </w:rPr>
        <w:instrText>hCNT</w:instrText>
      </w:r>
      <w:r w:rsidR="0004027B" w:rsidRPr="00FE2263">
        <w:instrText xml:space="preserve">1 </w:instrText>
      </w:r>
      <w:r w:rsidR="0004027B" w:rsidRPr="00FE2263">
        <w:rPr>
          <w:lang w:val="en-US"/>
        </w:rPr>
        <w:instrText>might</w:instrText>
      </w:r>
      <w:r w:rsidR="0004027B" w:rsidRPr="00FE2263">
        <w:instrText xml:space="preserve"> </w:instrText>
      </w:r>
      <w:r w:rsidR="0004027B" w:rsidRPr="00FE2263">
        <w:rPr>
          <w:lang w:val="en-US"/>
        </w:rPr>
        <w:instrText>be</w:instrText>
      </w:r>
      <w:r w:rsidR="0004027B" w:rsidRPr="00FE2263">
        <w:instrText xml:space="preserve"> </w:instrText>
      </w:r>
      <w:r w:rsidR="0004027B" w:rsidRPr="00FE2263">
        <w:rPr>
          <w:lang w:val="en-US"/>
        </w:rPr>
        <w:instrText>beneficial</w:instrText>
      </w:r>
      <w:r w:rsidR="0004027B" w:rsidRPr="00FE2263">
        <w:instrText xml:space="preserve"> </w:instrText>
      </w:r>
      <w:r w:rsidR="0004027B" w:rsidRPr="00FE2263">
        <w:rPr>
          <w:lang w:val="en-US"/>
        </w:rPr>
        <w:instrText>in</w:instrText>
      </w:r>
      <w:r w:rsidR="0004027B" w:rsidRPr="00FE2263">
        <w:instrText xml:space="preserve"> </w:instrText>
      </w:r>
      <w:r w:rsidR="0004027B" w:rsidRPr="00FE2263">
        <w:rPr>
          <w:lang w:val="en-US"/>
        </w:rPr>
        <w:instrText>predicting</w:instrText>
      </w:r>
      <w:r w:rsidR="0004027B" w:rsidRPr="00FE2263">
        <w:instrText xml:space="preserve"> </w:instrText>
      </w:r>
      <w:r w:rsidR="0004027B" w:rsidRPr="00FE2263">
        <w:rPr>
          <w:lang w:val="en-US"/>
        </w:rPr>
        <w:instrText>clinical</w:instrText>
      </w:r>
      <w:r w:rsidR="0004027B" w:rsidRPr="00FE2263">
        <w:instrText xml:space="preserve"> </w:instrText>
      </w:r>
      <w:r w:rsidR="0004027B" w:rsidRPr="00FE2263">
        <w:rPr>
          <w:lang w:val="en-US"/>
        </w:rPr>
        <w:instrText>response</w:instrText>
      </w:r>
      <w:r w:rsidR="0004027B" w:rsidRPr="00FE2263">
        <w:instrText xml:space="preserve"> </w:instrText>
      </w:r>
      <w:r w:rsidR="0004027B" w:rsidRPr="00FE2263">
        <w:rPr>
          <w:lang w:val="en-US"/>
        </w:rPr>
        <w:instrText>to</w:instrText>
      </w:r>
      <w:r w:rsidR="0004027B" w:rsidRPr="00FE2263">
        <w:instrText xml:space="preserve"> </w:instrText>
      </w:r>
      <w:r w:rsidR="0004027B" w:rsidRPr="00FE2263">
        <w:rPr>
          <w:lang w:val="en-US"/>
        </w:rPr>
        <w:instrText>such</w:instrText>
      </w:r>
      <w:r w:rsidR="0004027B" w:rsidRPr="00FE2263">
        <w:instrText xml:space="preserve"> </w:instrText>
      </w:r>
      <w:r w:rsidR="0004027B" w:rsidRPr="00FE2263">
        <w:rPr>
          <w:lang w:val="en-US"/>
        </w:rPr>
        <w:instrText>a</w:instrText>
      </w:r>
      <w:r w:rsidR="0004027B" w:rsidRPr="00FE2263">
        <w:instrText xml:space="preserve"> </w:instrText>
      </w:r>
      <w:r w:rsidR="0004027B" w:rsidRPr="00FE2263">
        <w:rPr>
          <w:lang w:val="en-US"/>
        </w:rPr>
        <w:instrText>combination</w:instrText>
      </w:r>
      <w:r w:rsidR="0004027B" w:rsidRPr="00FE2263">
        <w:instrText xml:space="preserve"> </w:instrText>
      </w:r>
      <w:r w:rsidR="0004027B" w:rsidRPr="00FE2263">
        <w:rPr>
          <w:lang w:val="en-US"/>
        </w:rPr>
        <w:instrText>treatment</w:instrText>
      </w:r>
      <w:r w:rsidR="0004027B" w:rsidRPr="00FE2263">
        <w:instrText xml:space="preserve">. © 2011 </w:instrText>
      </w:r>
      <w:r w:rsidR="0004027B" w:rsidRPr="00FE2263">
        <w:rPr>
          <w:lang w:val="en-US"/>
        </w:rPr>
        <w:instrText>Elsevier</w:instrText>
      </w:r>
      <w:r w:rsidR="0004027B" w:rsidRPr="00FE2263">
        <w:instrText xml:space="preserve"> </w:instrText>
      </w:r>
      <w:r w:rsidR="0004027B" w:rsidRPr="00FE2263">
        <w:rPr>
          <w:lang w:val="en-US"/>
        </w:rPr>
        <w:instrText>Inc</w:instrText>
      </w:r>
      <w:r w:rsidR="0004027B" w:rsidRPr="00FE2263">
        <w:instrText xml:space="preserve">. </w:instrText>
      </w:r>
      <w:r w:rsidR="0004027B" w:rsidRPr="00FE2263">
        <w:rPr>
          <w:lang w:val="en-US"/>
        </w:rPr>
        <w:instrText>All</w:instrText>
      </w:r>
      <w:r w:rsidR="0004027B" w:rsidRPr="00FE2263">
        <w:instrText xml:space="preserve"> </w:instrText>
      </w:r>
      <w:r w:rsidR="0004027B" w:rsidRPr="00FE2263">
        <w:rPr>
          <w:lang w:val="en-US"/>
        </w:rPr>
        <w:instrText>rights</w:instrText>
      </w:r>
      <w:r w:rsidR="0004027B" w:rsidRPr="00FE2263">
        <w:instrText xml:space="preserve"> </w:instrText>
      </w:r>
      <w:r w:rsidR="0004027B" w:rsidRPr="00FE2263">
        <w:rPr>
          <w:lang w:val="en-US"/>
        </w:rPr>
        <w:instrText>reserved</w:instrText>
      </w:r>
      <w:r w:rsidR="0004027B" w:rsidRPr="00FE2263">
        <w:instrText>.","</w:instrText>
      </w:r>
      <w:r w:rsidR="0004027B" w:rsidRPr="00FE2263">
        <w:rPr>
          <w:lang w:val="en-US"/>
        </w:rPr>
        <w:instrText>author</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Laszlo</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D</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Andreola</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G</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parse-names":false,"suffix":""},{"dropping-particle":"","family":"Rigacci","given":"L.","non-dropping-particle":"","parse-names":false,"suffix":""},{"dropping-particle":"","family":"Fabbri","given":"A.","non-dropping-particle":"","parse-names":false,"suffix":""},{"dropping-particle":"","family":"Rabascio","given":"C.","non-dropping-particle":"","parse-names":false,"suffix":""},{"dropping-particle":"","family":"Pinto","given":"A.","non-dropping-particle":"","parse-names":false,"suffix":""},{"dropping-particle":"","family":"Negri","given":"M.","non-dropping-particle":"","parse-names":false,"suffix":""},{"dropping-particle":"","family":"Martinelli","given":"G.","non-dropping-particle":"","parse-names":false,"suffix":""}],"container-title":"Clinical Lymphoma, Myeloma and Leukemia","id":"ITEM-1","issue":"1","issued":{"date-parts":[["2011","2","1"]]},"page":"130-132","title":"Rituximab and subcutaneous 2-chloro-2'-deoxyadenosine as therapy in untreated and relapsed Waldenström's macroglobulinemia","type":"paper-conference","volume":"11"},"uris":["http://www.mendeley.com/documents/?uuid=d8d7ac45-ef5e-3788-a997-476678a0077f"]}],"mendeley":{"formattedCitation":"[27]","plainTextFormattedCitation":"[27]","previouslyFormattedCitation":"[27]"},"properties":{"noteIndex":0},"schema":"https://github.com/citation-style-language/schema/raw/master/csl-citation.json"}</w:instrText>
      </w:r>
      <w:r w:rsidR="0004027B" w:rsidRPr="00FE2263">
        <w:rPr>
          <w:lang w:val="en-US"/>
        </w:rPr>
        <w:fldChar w:fldCharType="separate"/>
      </w:r>
      <w:r w:rsidR="0004027B" w:rsidRPr="00FE2263">
        <w:rPr>
          <w:noProof/>
          <w:lang w:val="en-US"/>
        </w:rPr>
        <w:t>[27]</w:t>
      </w:r>
      <w:r w:rsidR="0004027B" w:rsidRPr="00FE2263">
        <w:rPr>
          <w:lang w:val="en-US"/>
        </w:rPr>
        <w:fldChar w:fldCharType="end"/>
      </w:r>
    </w:p>
    <w:p w14:paraId="1A33E2E1" w14:textId="4CB52FB9" w:rsidR="00B16138" w:rsidRPr="00FE2263" w:rsidRDefault="00FB4B80" w:rsidP="007E22FB">
      <w:pPr>
        <w:pStyle w:val="afd"/>
        <w:spacing w:beforeAutospacing="0" w:afterAutospacing="0" w:line="360" w:lineRule="auto"/>
      </w:pPr>
      <w:r w:rsidRPr="00FE2263">
        <w:t>#</w:t>
      </w:r>
      <w:r w:rsidR="00B16138" w:rsidRPr="00FE2263">
        <w:t>Кладрибин** – 0,1 мг/кг в/в, дни 1-5</w:t>
      </w:r>
    </w:p>
    <w:p w14:paraId="53938477" w14:textId="77777777" w:rsidR="00B16138" w:rsidRPr="00FE2263" w:rsidRDefault="00B16138" w:rsidP="007E22FB">
      <w:pPr>
        <w:pStyle w:val="afd"/>
        <w:spacing w:beforeAutospacing="0" w:afterAutospacing="0" w:line="360" w:lineRule="auto"/>
      </w:pPr>
      <w:r w:rsidRPr="00FE2263">
        <w:t>Ритуксимаб** – 375 мг/м</w:t>
      </w:r>
      <w:r w:rsidRPr="00FE2263">
        <w:rPr>
          <w:vertAlign w:val="superscript"/>
        </w:rPr>
        <w:t>2</w:t>
      </w:r>
      <w:r w:rsidRPr="00FE2263">
        <w:t xml:space="preserve"> в/в кап, день 1</w:t>
      </w:r>
    </w:p>
    <w:p w14:paraId="5D4DA1F2" w14:textId="72E862C1" w:rsidR="00B16138" w:rsidRPr="00FE2263" w:rsidRDefault="00FB4B80" w:rsidP="007E22FB">
      <w:pPr>
        <w:pStyle w:val="afd"/>
        <w:spacing w:beforeAutospacing="0" w:afterAutospacing="0" w:line="360" w:lineRule="auto"/>
      </w:pPr>
      <w:r w:rsidRPr="00FE2263">
        <w:t>#</w:t>
      </w:r>
      <w:r w:rsidR="00B16138" w:rsidRPr="00FE2263">
        <w:t>Лечение возобновляется на 29-й день. Проводят 4 курса</w:t>
      </w:r>
    </w:p>
    <w:p w14:paraId="064A9D28" w14:textId="72FAA9E2" w:rsidR="00B16138" w:rsidRPr="00FE2263" w:rsidRDefault="00B16138" w:rsidP="0010608C">
      <w:pPr>
        <w:pStyle w:val="afd"/>
        <w:numPr>
          <w:ilvl w:val="0"/>
          <w:numId w:val="20"/>
        </w:numPr>
        <w:spacing w:beforeAutospacing="0" w:afterAutospacing="0" w:line="360" w:lineRule="auto"/>
        <w:jc w:val="left"/>
      </w:pPr>
      <w:r w:rsidRPr="00277C09">
        <w:rPr>
          <w:rStyle w:val="affb"/>
          <w:u w:val="single"/>
        </w:rPr>
        <w:t>Бендамустин</w:t>
      </w:r>
      <w:r w:rsidRPr="00277C09">
        <w:rPr>
          <w:u w:val="single"/>
        </w:rPr>
        <w:t>**</w:t>
      </w:r>
      <w:r w:rsidRPr="00277C09">
        <w:rPr>
          <w:rStyle w:val="affb"/>
          <w:u w:val="single"/>
        </w:rPr>
        <w:t xml:space="preserve"> + ритуксимаб</w:t>
      </w:r>
      <w:r w:rsidRPr="00277C09">
        <w:rPr>
          <w:u w:val="single"/>
        </w:rPr>
        <w:t>**</w:t>
      </w:r>
      <w:r w:rsidR="0004027B" w:rsidRPr="00FE2263">
        <w:rPr>
          <w:lang w:val="en-US"/>
        </w:rPr>
        <w:t xml:space="preserve"> </w:t>
      </w:r>
      <w:r w:rsidR="0004027B" w:rsidRPr="00FE2263">
        <w:rPr>
          <w:lang w:val="en-US"/>
        </w:rPr>
        <w:fldChar w:fldCharType="begin" w:fldLock="1"/>
      </w:r>
      <w:r w:rsidR="0004027B" w:rsidRPr="00FE2263">
        <w:rPr>
          <w:lang w:val="en-US"/>
        </w:rPr>
        <w:instrText>ADDIN CSL_CITATION {"citationItems":[{"id":"ITEM-1","itemData":{"DOI":"10.1007/s00277-018-3311-z","ISSN":"14320584","abstract":"The treatment approaches for Waldenstrom macroglobulinemia (WM) are largely based upon information from single-arm phase II trials, without comparative data. We compared the efficacy of two commonly used regimens in routine practice (bendamustine-rituximab (BR) and dexamethasone, rituximab plus cyclophosphamide (DRC)) and evaluated their activity with respect to the patients’ MYD88L265P mutation status. Of 160 consecutive patients, 60 received BR (43 with relapsed/refractory WM) and 100 received DRC (50 had relapsed/refractory WM). In the treatment-naïve setting, overall response rate (ORR) was 93% with BR versus 96% with DRC (p = 0.55). Two-year progression-free survival (PFS) with BR and DRC was 88 and 61%, respectively (p = 0.07). In salvage setting, ORR was 95% with BR versus 87% with DRC, p = 0.45; median PFS with BR was 58 versus 32 months with DRC (2-year PFS was 66 versus 53%; p = 0.08). Median disease-specific survival was not reached with BR versus 166 months with DRC (p = 0.51). The time-to-event endpoints and depth of response were independent of the MYD88 mutation status. Grade ≥ 3 adverse events of both regimens were comparable. A trend for longer PFS was observed with BR although the regimens have comparable toxicities. The activity of BR and DRC appears to be unaffected by patients’ MYD88 mutation status.","author":[{"dropping-particle":"","family":"Paludo","given":"Jonas","non-dropping-particle":"","parse-names":false,"suffix":""},{"dropping-particle":"","family":"Abeykoon","given":"Jithma P.","non-dropping-particle":"","parse-names":false,"suffix":""},{"dropping-particle":"","family":"Shreders","given":"Amanda","non-dropping-particle":"","parse-names":false,"suffix":""},{"dropping-particle":"","family":"Ansell","given":"Stephen M.","non-dropping-particle":"","parse-names":false,"suffix":""},{"dropping-particle":"","family":"Kumar","given":"Shaji","non-dropping-particle":"","parse-names":false,"suffix":""},{"dropping-particle":"","family":"Ailawadhi","given":"Sikander","non-dropping-particle":"","parse-names":false,"suffix":""},{"dropping-particle":"","family":"King","given":"Rebecca L.","non-dropping-particle":"","parse-names":false,"suffix":""},{"dropping-particle":"","family":"Koehler","given":"Amber B.","non-dropping-particle":"","parse-names":false,"suffix":""},{"dropping-particle":"","family":"Reeder","given":"Craig B.","non-dropping-particle":"","parse-names":false,"suffix":""},{"dropping-particle":"","family":"Buadi","given":"Francis K.","non-dropping-particle":"","parse-names":false,"suffix":""},{"dropping-particle":"","family":"Dispenzieri","given":"Angela","non-dropping-particle":"","parse-names":false,"suffix":""},{"dropping-particle":"","family":"Lacy","given":"Martha Q.","non-dropping-particle":"","parse-names":false,"suffix":""},{"dropping-particle":"","family":"Dingli","given":"David","non-dropping-particle":"","parse-names":false,"suffix":""},{"dropping-particle":"","family":"Witzig","given":"Thomas E.","non-dropping-particle":"","parse-names":false,"suffix":""},{"dropping-particle":"","family":"Go","given":"Ronald S.","non-dropping-particle":"","parse-names":false,"suffix":""},{"dropping-particle":"","family":"Gonsalves","given":"Wilson I.","non-dropping-particle":"","parse-names":false,"suffix":""},{"dropping-particle":"","family":"Kourelis","given":"Taxiarchis","non-dropping-particle":"","parse-names":false,"suffix":""},{"dropping-particle":"","family":"Warsame","given":"Rahma","non-dropping-particle":"","parse-names":false,"suffix":""},{"dropping-particle":"","family":"Leung","given":"Nelson","non-dropping-particle":"","parse-names":false,"suffix":""},{"dropping-particle":"","family":"Habermann","given":"Thomas M.","non-dropping-particle":"","parse-names":false,"suffix":""},{"dropping-particle":"","family":"Hayman","given":"Suzanne","non-dropping-particle":"","parse-names":false,"suffix":""},{"dropping-particle":"","family":"Lin","given":"Yi","non-dropping-particle":"","parse-names":false,"suffix":""},{"dropping-particle":"","family":"Kyle","given":"Robert A.","non-dropping-particle":"","parse-names":false,"suffix":""},{"dropping-particle":"","family":"Rajkumar","given":"S. Vincent","non-dropping-particle":"","parse-names":false,"suffix":""},{"dropping-particle":"","family":"Gertz","given":"Morie A.","non-dropping-particle":"","parse-names":false,"suffix":""},{"dropping-particle":"","family":"Kapoor","given":"Prashant","non-dropping-particle":"","parse-names":false,"suffix":""}],"container-title":"Annals of Hematology","id":"ITEM-1","issue":"8","issued":{"date-parts":[["2018","8","1"]]},"page":"1417-1425","publisher":"Springer Verlag","title":"Bendamustine and rituximab (BR) versus dexamethasone, rituximab, and cyclophosphamide (DRC) in patients with Waldenström macroglobulinemia","type":"article-journal","volume":"97"},"uris":["http://www.mendeley.com/documents/?uuid=5cce7a92-f5e1-3ef3-a35b-9cdb7f8b2649"]},{"id":"ITEM-2","itemData":{"DOI":"10.1016/S0140-6736(12)61763-2","ISSN":"1474547X","abstract":"Background: Rituximab plus chemotherapy, most often CHOP (cyclophosphamide, doxorubicin, vincristine, and prednisone), is the first-line standard of care for patients with advanced indolent lymphoma, and for elderly patients with mantle-cell lymphoma. Bendamustine plus rituximab is effective for relapsed or refractory disease. We compared bendamustine plus rituximab with CHOP plus rituximab (R-CHOP) as first-line treatment for patients with indolent and mantle-cell lymphomas. Methods: We did a prospective, multicentre, randomised, open-label, non-inferiority trial at 81 centres in Germany between Sept 1, 2003, and Aug 31, 2008. Patients aged 18 years or older with a WHO performance status of 2 or less were eligible if they had newly diagnosed stage III or IV indolent or mantle-cell lymphoma. Patients were stratified by histological lymphoma subtype, then randomly assigned according to a prespecified randomisation list to receive either intravenous bendamustine (90 mg/m2 on days 1 and 2 of a 4-week cycle) or CHOP (cycles every 3 weeks of cyclophosphamide 750 mg/m2, doxorubicin 50 mg/m2, and vincristine 1·4 mg/m2 on day 1, and prednisone 100 mg/day for 5 days) for a maximum of six cycles. Patients in both groups received rituximab 375 mg/m2 on day 1 of each cycle. Patients and treating physicians were not masked to treatment allocation. The primary endpoint was progression-free survival, with a non-inferiority margin of 10%. Analysis was per protocol. This study is registered with ClinicalTrials.gov, number NCT00991211, and the Federal Institute for Drugs and Medical Devices of Germany, BfArM 4021335. Findings: 274 patients were assigned to bendamustine plus rituximab (261 assessed) and 275 to R-CHOP (253 assessed). At median follow-up of 45 months (IQR 25-57), median progression-free survival was significantly longer in the bendamustine plus rituximab group than in the R-CHOP group (69·5 months [26·1 to not yet reached] vs 31·2 months [15·2-65·7]; hazard ratio 0·58, 95% CI 0·44-0·74; p&lt;0·0001). Bendamustine plus rituximab was better tolerated than R-CHOP, with lower rates of alopecia (0 patients vs 245 (100%) of 245 patients who recieved ≥3 cycles; p&lt;0·0001), haematological toxicity (77 [30%] vs 173 [68%]; p&lt;0·0001), infections (96 [37%] vs 127 [50%]); p=0·0025), peripheral neuropathy (18 [7%] vs 73 [29%]; p&lt;0·0001), and stomatitis (16 [6%] vs 47 [19%]; p&lt;0·0001). Erythematous skin reactions were more common in patients in the bendamustine plus rituximab…","author":[{"dropping-particle":"","family":"Rummel","given":"Mathias J.","non-dropping-particle":"","parse-names":false,"suffix":""},{"dropping-particle":"","family":"Niederle","given":"Norbert","non-dropping-particle":"","parse-names":false,"suffix":""},{"dropping-particle":"","family":"Maschmeyer","given":"Georg","non-dropping-particle":"","parse-names":false,"suffix":""},{"dropping-particle":"","family":"Banat","given":"G. Andre","non-dropping-particle":"","parse-names":false,"suffix":""},{"dropping-particle":"","family":"Grünhagen","given":"Ulrich","non-dropping-particle":"Von","parse-names":false,"suffix":""},{"dropping-particle":"","family":"Losem","given":"Christoph","non-dropping-particle":"","parse-names":false,"suffix":""},{"dropping-particle":"","family":"Kofahl-Krause","given":"Dorothea","non-dropping-particle":"","parse-names":false,"suffix":""},{"dropping-particle":"","family":"Heil","given":"Gerhard","non-dropping-particle":"","parse-names":false,"suffix":""},{"dropping-particle":"","family":"Welslau","given":"Manfred","non-dropping-particle":"","parse-names":false,"suffix":""},{"dropping-particle":"","family":"Balser","given":"Christina","non-dropping-particle":"","parse-names":false,"suffix":""},{"dropping-particle":"","family":"Kaiser","given":"Ulrich","non-dropping-particle":"","parse-names":false,"suffix":""},{"dropping-particle":"","family":"Weidmann","given":"Eckhart","non-dropping-particle":"","parse-names":false,"suffix":""},{"dropping-particle":"","family":"Dürk","given":"Heinz","non-dropping-particle":"","parse-names":false,"suffix":""},{"dropping-particle":"","family":"Ballo","given":"Harald","non-dropping-particle":"","parse-names":false,"suffix":""},{"dropping-particle":"","family":"Stauch","given":"Martina","non-dropping-particle":"","parse-names":false,"suffix":""},{"dropping-particle":"","family":"Roller","given":"Fritz","non-dropping-particle":"","parse-names":false,"suffix":""},{"dropping-particle":"","family":"Barth","given":"Juergen","non-dropping-particle":"","parse-names":false,"suffix":""},{"dropping-particle":"","family":"Hoelzer","given":"Dieter","non-dropping-particle":"","parse-names":false,"suffix":""},{"dropping-particle":"","family":"Hinke","given":"Axel","non-dropping-particle":"","parse-names":false,"suffix":""},{"dropping-particle":"","family":"Brugger","given":"Wolfram","non-dropping-particle":"","parse-names":false,"suffix":""}],"container-title":"The Lancet","id":"ITEM-2","issue":"9873","issued":{"date-parts":[["2013"]]},"page":"1203-1210","publisher":"Lancet Publishing Group","title":"Bendamustine plus rituximab versus CHOP plus rituximab as first-line treatment for patients with indolent and mantle-cell lymphomas: An open-label, multicentre, randomised, phase 3 non-inferiority trial","type":"article-journal","volume":"381"},"uris":["http://www.mendeley.com/documents/?uuid=f533b9ea-31f2-4af8-8f8f-7d497f5730cc"]},{"id":"ITEM-3","itemData":{"DOI":"10.3816/CLML.2011.n.030","ISSN":"21522650","abstract":"We report the treatment outcome for 30 relapsed/refractory Waldenström's macroglobulinemia (WM) patients following bendamustine-containing therapy. Treatment consisted of bendamustine (90 mg/m2 I.V. on days 1, 2) and rituximab (375 mg/m2 I.V. on either day 1 or 2) for 24 patients. Six rituximab-intolerant patients received bendamustine alone (n = 4) or with ofatumumab (1000 mg I.V. on day 1; n = 2). Each cycle was 4 weeks, and median number of treatment cycles was 5. At best response, median serum IgM declined from 3980 to 698 mg/dL (P &lt; .0001), and hematocrit rose from 31.9% to 36.6% (P = .0002). Overall response rate was 83.3%, with 5 VGPR and 20 PR. The median estimated progression-free survival for all patients was 13.2 months. Overall therapy was well tolerated. Prolonged myelosuppression was more common in patients who received prior nucleoside analogues. Bendamustine is active and produces durable responses in previously treated WM, both as monotherapy and with CD20-directed monoclonal antibodies. © 2011 Elsevier Inc. All rights reserved.","author"</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Treon</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Steven</w:instrText>
      </w:r>
      <w:r w:rsidR="0004027B" w:rsidRPr="00FE2263">
        <w:instrText xml:space="preserve"> </w:instrText>
      </w:r>
      <w:r w:rsidR="0004027B" w:rsidRPr="00FE2263">
        <w:rPr>
          <w:lang w:val="en-US"/>
        </w:rPr>
        <w:instrText>P</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Hanzis</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Christina</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Tripsas</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Christina</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Ioakimidis</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Leukothea</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Patterson</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Christopher</w:instrText>
      </w:r>
      <w:r w:rsidR="0004027B" w:rsidRPr="00FE2263">
        <w:instrText xml:space="preserve"> </w:instrText>
      </w:r>
      <w:r w:rsidR="0004027B" w:rsidRPr="00FE2263">
        <w:rPr>
          <w:lang w:val="en-US"/>
        </w:rPr>
        <w:instrText>J</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Manning</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Robert</w:instrText>
      </w:r>
      <w:r w:rsidR="0004027B" w:rsidRPr="00FE2263">
        <w:instrText xml:space="preserve"> </w:instrText>
      </w:r>
      <w:r w:rsidR="0004027B" w:rsidRPr="00FE2263">
        <w:rPr>
          <w:lang w:val="en-US"/>
        </w:rPr>
        <w:instrText>J</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Sheehy</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Patricia</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container</w:instrText>
      </w:r>
      <w:r w:rsidR="0004027B" w:rsidRPr="00FE2263">
        <w:instrText>-</w:instrText>
      </w:r>
      <w:r w:rsidR="0004027B" w:rsidRPr="00FE2263">
        <w:rPr>
          <w:lang w:val="en-US"/>
        </w:rPr>
        <w:instrText>title</w:instrText>
      </w:r>
      <w:r w:rsidR="0004027B" w:rsidRPr="00FE2263">
        <w:instrText>":"</w:instrText>
      </w:r>
      <w:r w:rsidR="0004027B" w:rsidRPr="00FE2263">
        <w:rPr>
          <w:lang w:val="en-US"/>
        </w:rPr>
        <w:instrText>Clinical</w:instrText>
      </w:r>
      <w:r w:rsidR="0004027B" w:rsidRPr="00FE2263">
        <w:instrText xml:space="preserve"> </w:instrText>
      </w:r>
      <w:r w:rsidR="0004027B" w:rsidRPr="00FE2263">
        <w:rPr>
          <w:lang w:val="en-US"/>
        </w:rPr>
        <w:instrText>Lymphoma</w:instrText>
      </w:r>
      <w:r w:rsidR="0004027B" w:rsidRPr="00FE2263">
        <w:instrText xml:space="preserve">, </w:instrText>
      </w:r>
      <w:r w:rsidR="0004027B" w:rsidRPr="00FE2263">
        <w:rPr>
          <w:lang w:val="en-US"/>
        </w:rPr>
        <w:instrText>Myeloma</w:instrText>
      </w:r>
      <w:r w:rsidR="0004027B" w:rsidRPr="00FE2263">
        <w:instrText xml:space="preserve"> </w:instrText>
      </w:r>
      <w:r w:rsidR="0004027B" w:rsidRPr="00FE2263">
        <w:rPr>
          <w:lang w:val="en-US"/>
        </w:rPr>
        <w:instrText>and</w:instrText>
      </w:r>
      <w:r w:rsidR="0004027B" w:rsidRPr="00FE2263">
        <w:instrText xml:space="preserve"> </w:instrText>
      </w:r>
      <w:r w:rsidR="0004027B" w:rsidRPr="00FE2263">
        <w:rPr>
          <w:lang w:val="en-US"/>
        </w:rPr>
        <w:instrText>Leukemia</w:instrText>
      </w:r>
      <w:r w:rsidR="0004027B" w:rsidRPr="00FE2263">
        <w:instrText>","</w:instrText>
      </w:r>
      <w:r w:rsidR="0004027B" w:rsidRPr="00FE2263">
        <w:rPr>
          <w:lang w:val="en-US"/>
        </w:rPr>
        <w:instrText>id</w:instrText>
      </w:r>
      <w:r w:rsidR="0004027B" w:rsidRPr="00FE2263">
        <w:instrText>":"</w:instrText>
      </w:r>
      <w:r w:rsidR="0004027B" w:rsidRPr="00FE2263">
        <w:rPr>
          <w:lang w:val="en-US"/>
        </w:rPr>
        <w:instrText>ITEM</w:instrText>
      </w:r>
      <w:r w:rsidR="0004027B" w:rsidRPr="00FE2263">
        <w:instrText>-3","</w:instrText>
      </w:r>
      <w:r w:rsidR="0004027B" w:rsidRPr="00FE2263">
        <w:rPr>
          <w:lang w:val="en-US"/>
        </w:rPr>
        <w:instrText>issue</w:instrText>
      </w:r>
      <w:r w:rsidR="0004027B" w:rsidRPr="00FE2263">
        <w:instrText>":"1","</w:instrText>
      </w:r>
      <w:r w:rsidR="0004027B" w:rsidRPr="00FE2263">
        <w:rPr>
          <w:lang w:val="en-US"/>
        </w:rPr>
        <w:instrText>issued</w:instrText>
      </w:r>
      <w:r w:rsidR="0004027B" w:rsidRPr="00FE2263">
        <w:instrText>":{"</w:instrText>
      </w:r>
      <w:r w:rsidR="0004027B" w:rsidRPr="00FE2263">
        <w:rPr>
          <w:lang w:val="en-US"/>
        </w:rPr>
        <w:instrText>date</w:instrText>
      </w:r>
      <w:r w:rsidR="0004027B" w:rsidRPr="00FE2263">
        <w:instrText>-</w:instrText>
      </w:r>
      <w:r w:rsidR="0004027B" w:rsidRPr="00FE2263">
        <w:rPr>
          <w:lang w:val="en-US"/>
        </w:rPr>
        <w:instrText>parts</w:instrText>
      </w:r>
      <w:r w:rsidR="0004027B" w:rsidRPr="00FE2263">
        <w:instrText>":[["2011","2","1"]]},"</w:instrText>
      </w:r>
      <w:r w:rsidR="0004027B" w:rsidRPr="00FE2263">
        <w:rPr>
          <w:lang w:val="en-US"/>
        </w:rPr>
        <w:instrText>page</w:instrText>
      </w:r>
      <w:r w:rsidR="0004027B" w:rsidRPr="00FE2263">
        <w:instrText>":"133-135","</w:instrText>
      </w:r>
      <w:r w:rsidR="0004027B" w:rsidRPr="00FE2263">
        <w:rPr>
          <w:lang w:val="en-US"/>
        </w:rPr>
        <w:instrText>title</w:instrText>
      </w:r>
      <w:r w:rsidR="0004027B" w:rsidRPr="00FE2263">
        <w:instrText>":"</w:instrText>
      </w:r>
      <w:r w:rsidR="0004027B" w:rsidRPr="00FE2263">
        <w:rPr>
          <w:lang w:val="en-US"/>
        </w:rPr>
        <w:instrText>Bendamustine</w:instrText>
      </w:r>
      <w:r w:rsidR="0004027B" w:rsidRPr="00FE2263">
        <w:instrText xml:space="preserve"> </w:instrText>
      </w:r>
      <w:r w:rsidR="0004027B" w:rsidRPr="00FE2263">
        <w:rPr>
          <w:lang w:val="en-US"/>
        </w:rPr>
        <w:instrText>therapy</w:instrText>
      </w:r>
      <w:r w:rsidR="0004027B" w:rsidRPr="00FE2263">
        <w:instrText xml:space="preserve"> </w:instrText>
      </w:r>
      <w:r w:rsidR="0004027B" w:rsidRPr="00FE2263">
        <w:rPr>
          <w:lang w:val="en-US"/>
        </w:rPr>
        <w:instrText>in</w:instrText>
      </w:r>
      <w:r w:rsidR="0004027B" w:rsidRPr="00FE2263">
        <w:instrText xml:space="preserve"> </w:instrText>
      </w:r>
      <w:r w:rsidR="0004027B" w:rsidRPr="00FE2263">
        <w:rPr>
          <w:lang w:val="en-US"/>
        </w:rPr>
        <w:instrText>patients</w:instrText>
      </w:r>
      <w:r w:rsidR="0004027B" w:rsidRPr="00FE2263">
        <w:instrText xml:space="preserve"> </w:instrText>
      </w:r>
      <w:r w:rsidR="0004027B" w:rsidRPr="00FE2263">
        <w:rPr>
          <w:lang w:val="en-US"/>
        </w:rPr>
        <w:instrText>with</w:instrText>
      </w:r>
      <w:r w:rsidR="0004027B" w:rsidRPr="00FE2263">
        <w:instrText xml:space="preserve"> </w:instrText>
      </w:r>
      <w:r w:rsidR="0004027B" w:rsidRPr="00FE2263">
        <w:rPr>
          <w:lang w:val="en-US"/>
        </w:rPr>
        <w:instrText>relapsed</w:instrText>
      </w:r>
      <w:r w:rsidR="0004027B" w:rsidRPr="00FE2263">
        <w:instrText xml:space="preserve"> </w:instrText>
      </w:r>
      <w:r w:rsidR="0004027B" w:rsidRPr="00FE2263">
        <w:rPr>
          <w:lang w:val="en-US"/>
        </w:rPr>
        <w:instrText>or</w:instrText>
      </w:r>
      <w:r w:rsidR="0004027B" w:rsidRPr="00FE2263">
        <w:instrText xml:space="preserve"> </w:instrText>
      </w:r>
      <w:r w:rsidR="0004027B" w:rsidRPr="00FE2263">
        <w:rPr>
          <w:lang w:val="en-US"/>
        </w:rPr>
        <w:instrText>refractory</w:instrText>
      </w:r>
      <w:r w:rsidR="0004027B" w:rsidRPr="00FE2263">
        <w:instrText xml:space="preserve"> </w:instrText>
      </w:r>
      <w:r w:rsidR="0004027B" w:rsidRPr="00FE2263">
        <w:rPr>
          <w:lang w:val="en-US"/>
        </w:rPr>
        <w:instrText>Waldenstr</w:instrText>
      </w:r>
      <w:r w:rsidR="0004027B" w:rsidRPr="00FE2263">
        <w:instrText>ö</w:instrText>
      </w:r>
      <w:r w:rsidR="0004027B" w:rsidRPr="00FE2263">
        <w:rPr>
          <w:lang w:val="en-US"/>
        </w:rPr>
        <w:instrText>m</w:instrText>
      </w:r>
      <w:r w:rsidR="0004027B" w:rsidRPr="00FE2263">
        <w:instrText>'</w:instrText>
      </w:r>
      <w:r w:rsidR="0004027B" w:rsidRPr="00FE2263">
        <w:rPr>
          <w:lang w:val="en-US"/>
        </w:rPr>
        <w:instrText>s</w:instrText>
      </w:r>
      <w:r w:rsidR="0004027B" w:rsidRPr="00FE2263">
        <w:instrText xml:space="preserve"> </w:instrText>
      </w:r>
      <w:r w:rsidR="0004027B" w:rsidRPr="00FE2263">
        <w:rPr>
          <w:lang w:val="en-US"/>
        </w:rPr>
        <w:instrText>macroglobulinemia</w:instrText>
      </w:r>
      <w:r w:rsidR="0004027B" w:rsidRPr="00FE2263">
        <w:instrText>","</w:instrText>
      </w:r>
      <w:r w:rsidR="0004027B" w:rsidRPr="00FE2263">
        <w:rPr>
          <w:lang w:val="en-US"/>
        </w:rPr>
        <w:instrText>type</w:instrText>
      </w:r>
      <w:r w:rsidR="0004027B" w:rsidRPr="00FE2263">
        <w:instrText>":"</w:instrText>
      </w:r>
      <w:r w:rsidR="0004027B" w:rsidRPr="00FE2263">
        <w:rPr>
          <w:lang w:val="en-US"/>
        </w:rPr>
        <w:instrText>paper</w:instrText>
      </w:r>
      <w:r w:rsidR="0004027B" w:rsidRPr="00FE2263">
        <w:instrText>-</w:instrText>
      </w:r>
      <w:r w:rsidR="0004027B" w:rsidRPr="00FE2263">
        <w:rPr>
          <w:lang w:val="en-US"/>
        </w:rPr>
        <w:instrText>conference</w:instrText>
      </w:r>
      <w:r w:rsidR="0004027B" w:rsidRPr="00FE2263">
        <w:instrText>","</w:instrText>
      </w:r>
      <w:r w:rsidR="0004027B" w:rsidRPr="00FE2263">
        <w:rPr>
          <w:lang w:val="en-US"/>
        </w:rPr>
        <w:instrText>volume</w:instrText>
      </w:r>
      <w:r w:rsidR="0004027B" w:rsidRPr="00FE2263">
        <w:instrText>":"11"},"</w:instrText>
      </w:r>
      <w:r w:rsidR="0004027B" w:rsidRPr="00FE2263">
        <w:rPr>
          <w:lang w:val="en-US"/>
        </w:rPr>
        <w:instrText>uris</w:instrText>
      </w:r>
      <w:r w:rsidR="0004027B" w:rsidRPr="00FE2263">
        <w:instrText>":["</w:instrText>
      </w:r>
      <w:r w:rsidR="0004027B" w:rsidRPr="00FE2263">
        <w:rPr>
          <w:lang w:val="en-US"/>
        </w:rPr>
        <w:instrText>http</w:instrText>
      </w:r>
      <w:r w:rsidR="0004027B" w:rsidRPr="00FE2263">
        <w:instrText>://</w:instrText>
      </w:r>
      <w:r w:rsidR="0004027B" w:rsidRPr="00FE2263">
        <w:rPr>
          <w:lang w:val="en-US"/>
        </w:rPr>
        <w:instrText>www</w:instrText>
      </w:r>
      <w:r w:rsidR="0004027B" w:rsidRPr="00FE2263">
        <w:instrText>.</w:instrText>
      </w:r>
      <w:r w:rsidR="0004027B" w:rsidRPr="00FE2263">
        <w:rPr>
          <w:lang w:val="en-US"/>
        </w:rPr>
        <w:instrText>mendeley</w:instrText>
      </w:r>
      <w:r w:rsidR="0004027B" w:rsidRPr="00FE2263">
        <w:instrText>.</w:instrText>
      </w:r>
      <w:r w:rsidR="0004027B" w:rsidRPr="00FE2263">
        <w:rPr>
          <w:lang w:val="en-US"/>
        </w:rPr>
        <w:instrText>com</w:instrText>
      </w:r>
      <w:r w:rsidR="0004027B" w:rsidRPr="00FE2263">
        <w:instrText>/</w:instrText>
      </w:r>
      <w:r w:rsidR="0004027B" w:rsidRPr="00FE2263">
        <w:rPr>
          <w:lang w:val="en-US"/>
        </w:rPr>
        <w:instrText>documents</w:instrText>
      </w:r>
      <w:r w:rsidR="0004027B" w:rsidRPr="00FE2263">
        <w:instrText>/?</w:instrText>
      </w:r>
      <w:r w:rsidR="0004027B" w:rsidRPr="00FE2263">
        <w:rPr>
          <w:lang w:val="en-US"/>
        </w:rPr>
        <w:instrText>uuid</w:instrText>
      </w:r>
      <w:r w:rsidR="0004027B" w:rsidRPr="00FE2263">
        <w:instrText>=3</w:instrText>
      </w:r>
      <w:r w:rsidR="0004027B" w:rsidRPr="00FE2263">
        <w:rPr>
          <w:lang w:val="en-US"/>
        </w:rPr>
        <w:instrText>d</w:instrText>
      </w:r>
      <w:r w:rsidR="0004027B" w:rsidRPr="00FE2263">
        <w:instrText>71</w:instrText>
      </w:r>
      <w:r w:rsidR="0004027B" w:rsidRPr="00FE2263">
        <w:rPr>
          <w:lang w:val="en-US"/>
        </w:rPr>
        <w:instrText>eec</w:instrText>
      </w:r>
      <w:r w:rsidR="0004027B" w:rsidRPr="00FE2263">
        <w:instrText>6-07</w:instrText>
      </w:r>
      <w:r w:rsidR="0004027B" w:rsidRPr="00FE2263">
        <w:rPr>
          <w:lang w:val="en-US"/>
        </w:rPr>
        <w:instrText>c</w:instrText>
      </w:r>
      <w:r w:rsidR="0004027B" w:rsidRPr="00FE2263">
        <w:instrText>1-3</w:instrText>
      </w:r>
      <w:r w:rsidR="0004027B" w:rsidRPr="00FE2263">
        <w:rPr>
          <w:lang w:val="en-US"/>
        </w:rPr>
        <w:instrText>e</w:instrText>
      </w:r>
      <w:r w:rsidR="0004027B" w:rsidRPr="00FE2263">
        <w:instrText>58-</w:instrText>
      </w:r>
      <w:r w:rsidR="0004027B" w:rsidRPr="00FE2263">
        <w:rPr>
          <w:lang w:val="en-US"/>
        </w:rPr>
        <w:instrText>b</w:instrText>
      </w:r>
      <w:r w:rsidR="0004027B" w:rsidRPr="00FE2263">
        <w:instrText>1</w:instrText>
      </w:r>
      <w:r w:rsidR="0004027B" w:rsidRPr="00FE2263">
        <w:rPr>
          <w:lang w:val="en-US"/>
        </w:rPr>
        <w:instrText>b</w:instrText>
      </w:r>
      <w:r w:rsidR="0004027B" w:rsidRPr="00FE2263">
        <w:instrText>7-</w:instrText>
      </w:r>
      <w:r w:rsidR="0004027B" w:rsidRPr="00FE2263">
        <w:rPr>
          <w:lang w:val="en-US"/>
        </w:rPr>
        <w:instrText>b</w:instrText>
      </w:r>
      <w:r w:rsidR="0004027B" w:rsidRPr="00FE2263">
        <w:instrText>5991</w:instrText>
      </w:r>
      <w:r w:rsidR="0004027B" w:rsidRPr="00FE2263">
        <w:rPr>
          <w:lang w:val="en-US"/>
        </w:rPr>
        <w:instrText>c</w:instrText>
      </w:r>
      <w:r w:rsidR="0004027B" w:rsidRPr="00FE2263">
        <w:instrText>073</w:instrText>
      </w:r>
      <w:r w:rsidR="0004027B" w:rsidRPr="00FE2263">
        <w:rPr>
          <w:lang w:val="en-US"/>
        </w:rPr>
        <w:instrText>f</w:instrText>
      </w:r>
      <w:r w:rsidR="0004027B" w:rsidRPr="00FE2263">
        <w:instrText>33"]}],"</w:instrText>
      </w:r>
      <w:r w:rsidR="0004027B" w:rsidRPr="00FE2263">
        <w:rPr>
          <w:lang w:val="en-US"/>
        </w:rPr>
        <w:instrText>mendeley</w:instrText>
      </w:r>
      <w:r w:rsidR="0004027B" w:rsidRPr="00FE2263">
        <w:instrText>":{"</w:instrText>
      </w:r>
      <w:r w:rsidR="0004027B" w:rsidRPr="00FE2263">
        <w:rPr>
          <w:lang w:val="en-US"/>
        </w:rPr>
        <w:instrText>formattedCitation</w:instrText>
      </w:r>
      <w:r w:rsidR="0004027B" w:rsidRPr="00FE2263">
        <w:instrText>":"[25,33,34]","</w:instrText>
      </w:r>
      <w:r w:rsidR="0004027B" w:rsidRPr="00FE2263">
        <w:rPr>
          <w:lang w:val="en-US"/>
        </w:rPr>
        <w:instrText>plainTextFormattedCitation</w:instrText>
      </w:r>
      <w:r w:rsidR="0004027B" w:rsidRPr="00FE2263">
        <w:instrText>":"[25,33,34]","</w:instrText>
      </w:r>
      <w:r w:rsidR="0004027B" w:rsidRPr="00FE2263">
        <w:rPr>
          <w:lang w:val="en-US"/>
        </w:rPr>
        <w:instrText>previouslyFormattedCitation</w:instrText>
      </w:r>
      <w:r w:rsidR="0004027B" w:rsidRPr="00FE2263">
        <w:instrText>":"[25,33,34]"},"</w:instrText>
      </w:r>
      <w:r w:rsidR="0004027B" w:rsidRPr="00FE2263">
        <w:rPr>
          <w:lang w:val="en-US"/>
        </w:rPr>
        <w:instrText>properties</w:instrText>
      </w:r>
      <w:r w:rsidR="0004027B" w:rsidRPr="00FE2263">
        <w:instrText>":{"</w:instrText>
      </w:r>
      <w:r w:rsidR="0004027B" w:rsidRPr="00FE2263">
        <w:rPr>
          <w:lang w:val="en-US"/>
        </w:rPr>
        <w:instrText>noteIndex</w:instrText>
      </w:r>
      <w:r w:rsidR="0004027B" w:rsidRPr="00FE2263">
        <w:instrText>":0},"</w:instrText>
      </w:r>
      <w:r w:rsidR="0004027B" w:rsidRPr="00FE2263">
        <w:rPr>
          <w:lang w:val="en-US"/>
        </w:rPr>
        <w:instrText>schema</w:instrText>
      </w:r>
      <w:r w:rsidR="0004027B" w:rsidRPr="00FE2263">
        <w:instrText>":"</w:instrText>
      </w:r>
      <w:r w:rsidR="0004027B" w:rsidRPr="00FE2263">
        <w:rPr>
          <w:lang w:val="en-US"/>
        </w:rPr>
        <w:instrText>https</w:instrText>
      </w:r>
      <w:r w:rsidR="0004027B" w:rsidRPr="00FE2263">
        <w:instrText>://</w:instrText>
      </w:r>
      <w:r w:rsidR="0004027B" w:rsidRPr="00FE2263">
        <w:rPr>
          <w:lang w:val="en-US"/>
        </w:rPr>
        <w:instrText>github</w:instrText>
      </w:r>
      <w:r w:rsidR="0004027B" w:rsidRPr="00FE2263">
        <w:instrText>.</w:instrText>
      </w:r>
      <w:r w:rsidR="0004027B" w:rsidRPr="00FE2263">
        <w:rPr>
          <w:lang w:val="en-US"/>
        </w:rPr>
        <w:instrText>com</w:instrText>
      </w:r>
      <w:r w:rsidR="0004027B" w:rsidRPr="00FE2263">
        <w:instrText>/</w:instrText>
      </w:r>
      <w:r w:rsidR="0004027B" w:rsidRPr="00FE2263">
        <w:rPr>
          <w:lang w:val="en-US"/>
        </w:rPr>
        <w:instrText>citation</w:instrText>
      </w:r>
      <w:r w:rsidR="0004027B" w:rsidRPr="00FE2263">
        <w:instrText>-</w:instrText>
      </w:r>
      <w:r w:rsidR="0004027B" w:rsidRPr="00FE2263">
        <w:rPr>
          <w:lang w:val="en-US"/>
        </w:rPr>
        <w:instrText>style</w:instrText>
      </w:r>
      <w:r w:rsidR="0004027B" w:rsidRPr="00FE2263">
        <w:instrText>-</w:instrText>
      </w:r>
      <w:r w:rsidR="0004027B" w:rsidRPr="00FE2263">
        <w:rPr>
          <w:lang w:val="en-US"/>
        </w:rPr>
        <w:instrText>language</w:instrText>
      </w:r>
      <w:r w:rsidR="0004027B" w:rsidRPr="00FE2263">
        <w:instrText>/</w:instrText>
      </w:r>
      <w:r w:rsidR="0004027B" w:rsidRPr="00FE2263">
        <w:rPr>
          <w:lang w:val="en-US"/>
        </w:rPr>
        <w:instrText>schema</w:instrText>
      </w:r>
      <w:r w:rsidR="0004027B" w:rsidRPr="00FE2263">
        <w:instrText>/</w:instrText>
      </w:r>
      <w:r w:rsidR="0004027B" w:rsidRPr="00FE2263">
        <w:rPr>
          <w:lang w:val="en-US"/>
        </w:rPr>
        <w:instrText>raw</w:instrText>
      </w:r>
      <w:r w:rsidR="0004027B" w:rsidRPr="00FE2263">
        <w:instrText>/</w:instrText>
      </w:r>
      <w:r w:rsidR="0004027B" w:rsidRPr="00FE2263">
        <w:rPr>
          <w:lang w:val="en-US"/>
        </w:rPr>
        <w:instrText>master</w:instrText>
      </w:r>
      <w:r w:rsidR="0004027B" w:rsidRPr="00FE2263">
        <w:instrText>/</w:instrText>
      </w:r>
      <w:r w:rsidR="0004027B" w:rsidRPr="00FE2263">
        <w:rPr>
          <w:lang w:val="en-US"/>
        </w:rPr>
        <w:instrText>csl</w:instrText>
      </w:r>
      <w:r w:rsidR="0004027B" w:rsidRPr="00FE2263">
        <w:instrText>-</w:instrText>
      </w:r>
      <w:r w:rsidR="0004027B" w:rsidRPr="00FE2263">
        <w:rPr>
          <w:lang w:val="en-US"/>
        </w:rPr>
        <w:instrText>citation</w:instrText>
      </w:r>
      <w:r w:rsidR="0004027B" w:rsidRPr="00FE2263">
        <w:instrText>.</w:instrText>
      </w:r>
      <w:r w:rsidR="0004027B" w:rsidRPr="00FE2263">
        <w:rPr>
          <w:lang w:val="en-US"/>
        </w:rPr>
        <w:instrText>json</w:instrText>
      </w:r>
      <w:r w:rsidR="0004027B" w:rsidRPr="00FE2263">
        <w:instrText>"}</w:instrText>
      </w:r>
      <w:r w:rsidR="0004027B" w:rsidRPr="00FE2263">
        <w:rPr>
          <w:lang w:val="en-US"/>
        </w:rPr>
        <w:fldChar w:fldCharType="separate"/>
      </w:r>
      <w:r w:rsidR="0004027B" w:rsidRPr="00FE2263">
        <w:rPr>
          <w:noProof/>
        </w:rPr>
        <w:t>[25,33,34]</w:t>
      </w:r>
      <w:r w:rsidR="0004027B" w:rsidRPr="00FE2263">
        <w:rPr>
          <w:lang w:val="en-US"/>
        </w:rPr>
        <w:fldChar w:fldCharType="end"/>
      </w:r>
    </w:p>
    <w:p w14:paraId="777BABA5" w14:textId="2774256B" w:rsidR="00B16138" w:rsidRPr="00FE2263" w:rsidRDefault="00FB4B80" w:rsidP="007E22FB">
      <w:pPr>
        <w:pStyle w:val="afd"/>
        <w:spacing w:beforeAutospacing="0" w:afterAutospacing="0" w:line="360" w:lineRule="auto"/>
      </w:pPr>
      <w:r w:rsidRPr="00FE2263">
        <w:t>#</w:t>
      </w:r>
      <w:r w:rsidR="00B16138" w:rsidRPr="00FE2263">
        <w:t>Бендамустин ** – 90 мг/м</w:t>
      </w:r>
      <w:r w:rsidR="00B16138" w:rsidRPr="00FE2263">
        <w:rPr>
          <w:vertAlign w:val="superscript"/>
        </w:rPr>
        <w:t>2</w:t>
      </w:r>
      <w:r w:rsidR="00B16138" w:rsidRPr="00FE2263">
        <w:t xml:space="preserve"> в/в, дни 1, 2</w:t>
      </w:r>
    </w:p>
    <w:p w14:paraId="5E74C7E9" w14:textId="77777777" w:rsidR="00B16138" w:rsidRPr="00FE2263" w:rsidRDefault="00B16138" w:rsidP="007E22FB">
      <w:pPr>
        <w:pStyle w:val="afd"/>
        <w:spacing w:beforeAutospacing="0" w:afterAutospacing="0" w:line="360" w:lineRule="auto"/>
      </w:pPr>
      <w:r w:rsidRPr="00FE2263">
        <w:t>Ритуксимаб** – 375 мг/м</w:t>
      </w:r>
      <w:r w:rsidRPr="00FE2263">
        <w:rPr>
          <w:vertAlign w:val="superscript"/>
        </w:rPr>
        <w:t>2</w:t>
      </w:r>
      <w:r w:rsidRPr="00FE2263">
        <w:t xml:space="preserve"> в/в кап., день 1</w:t>
      </w:r>
    </w:p>
    <w:p w14:paraId="41260FEF" w14:textId="77777777" w:rsidR="00B16138" w:rsidRPr="00FE2263" w:rsidRDefault="00B16138" w:rsidP="007E22FB">
      <w:pPr>
        <w:pStyle w:val="afd"/>
        <w:spacing w:beforeAutospacing="0" w:afterAutospacing="0" w:line="360" w:lineRule="auto"/>
      </w:pPr>
      <w:r w:rsidRPr="00FE2263">
        <w:t>Лечение возобновляется на 29-й день. Проводят 4-6 курсов</w:t>
      </w:r>
    </w:p>
    <w:p w14:paraId="6C3E18F1" w14:textId="1254CF6D" w:rsidR="00B16138" w:rsidRPr="00FE2263" w:rsidRDefault="00B16138" w:rsidP="0010608C">
      <w:pPr>
        <w:pStyle w:val="afd"/>
        <w:numPr>
          <w:ilvl w:val="0"/>
          <w:numId w:val="21"/>
        </w:numPr>
        <w:spacing w:beforeAutospacing="0" w:afterAutospacing="0" w:line="360" w:lineRule="auto"/>
        <w:jc w:val="left"/>
      </w:pPr>
      <w:bookmarkStart w:id="111" w:name="_Hlk33968122"/>
      <w:r w:rsidRPr="00FE2263">
        <w:rPr>
          <w:rStyle w:val="affb"/>
          <w:u w:val="single"/>
        </w:rPr>
        <w:t>Монотерапия хлорамбуцилом</w:t>
      </w:r>
      <w:r w:rsidRPr="00FE2263">
        <w:t>**</w:t>
      </w:r>
      <w:r w:rsidR="0004027B" w:rsidRPr="00FE2263">
        <w:t xml:space="preserve"> </w:t>
      </w:r>
      <w:r w:rsidR="0004027B" w:rsidRPr="00FE2263">
        <w:rPr>
          <w:lang w:val="en-US"/>
        </w:rPr>
        <w:fldChar w:fldCharType="begin" w:fldLock="1"/>
      </w:r>
      <w:r w:rsidR="0004027B" w:rsidRPr="00FE2263">
        <w:rPr>
          <w:lang w:val="en-US"/>
        </w:rPr>
        <w:instrText>ADDIN</w:instrText>
      </w:r>
      <w:r w:rsidR="0004027B" w:rsidRPr="00FE2263">
        <w:instrText xml:space="preserve"> </w:instrText>
      </w:r>
      <w:r w:rsidR="0004027B" w:rsidRPr="00FE2263">
        <w:rPr>
          <w:lang w:val="en-US"/>
        </w:rPr>
        <w:instrText>CSL</w:instrText>
      </w:r>
      <w:r w:rsidR="0004027B" w:rsidRPr="00FE2263">
        <w:instrText>_</w:instrText>
      </w:r>
      <w:r w:rsidR="0004027B" w:rsidRPr="00FE2263">
        <w:rPr>
          <w:lang w:val="en-US"/>
        </w:rPr>
        <w:instrText>CITATION</w:instrText>
      </w:r>
      <w:r w:rsidR="0004027B" w:rsidRPr="00FE2263">
        <w:instrText xml:space="preserve"> {"</w:instrText>
      </w:r>
      <w:r w:rsidR="0004027B" w:rsidRPr="00FE2263">
        <w:rPr>
          <w:lang w:val="en-US"/>
        </w:rPr>
        <w:instrText>citationItems</w:instrText>
      </w:r>
      <w:r w:rsidR="0004027B" w:rsidRPr="00FE2263">
        <w:instrText>":[{"</w:instrText>
      </w:r>
      <w:r w:rsidR="0004027B" w:rsidRPr="00FE2263">
        <w:rPr>
          <w:lang w:val="en-US"/>
        </w:rPr>
        <w:instrText>id</w:instrText>
      </w:r>
      <w:r w:rsidR="0004027B" w:rsidRPr="00FE2263">
        <w:instrText>":"</w:instrText>
      </w:r>
      <w:r w:rsidR="0004027B" w:rsidRPr="00FE2263">
        <w:rPr>
          <w:lang w:val="en-US"/>
        </w:rPr>
        <w:instrText>ITEM</w:instrText>
      </w:r>
      <w:r w:rsidR="0004027B" w:rsidRPr="00FE2263">
        <w:instrText>-1","</w:instrText>
      </w:r>
      <w:r w:rsidR="0004027B" w:rsidRPr="00FE2263">
        <w:rPr>
          <w:lang w:val="en-US"/>
        </w:rPr>
        <w:instrText>itemData</w:instrText>
      </w:r>
      <w:r w:rsidR="0004027B" w:rsidRPr="00FE2263">
        <w:instrText>":{"</w:instrText>
      </w:r>
      <w:r w:rsidR="0004027B" w:rsidRPr="00FE2263">
        <w:rPr>
          <w:lang w:val="en-US"/>
        </w:rPr>
        <w:instrText>DOI</w:instrText>
      </w:r>
      <w:r w:rsidR="0004027B" w:rsidRPr="00FE2263">
        <w:instrText>":"10.1046/</w:instrText>
      </w:r>
      <w:r w:rsidR="0004027B" w:rsidRPr="00FE2263">
        <w:rPr>
          <w:lang w:val="en-US"/>
        </w:rPr>
        <w:instrText>j</w:instrText>
      </w:r>
      <w:r w:rsidR="0004027B" w:rsidRPr="00FE2263">
        <w:instrText>.1365-2141.2000.01918.</w:instrText>
      </w:r>
      <w:r w:rsidR="0004027B" w:rsidRPr="00FE2263">
        <w:rPr>
          <w:lang w:val="en-US"/>
        </w:rPr>
        <w:instrText>x</w:instrText>
      </w:r>
      <w:r w:rsidR="0004027B" w:rsidRPr="00FE2263">
        <w:instrText>","</w:instrText>
      </w:r>
      <w:r w:rsidR="0004027B" w:rsidRPr="00FE2263">
        <w:rPr>
          <w:lang w:val="en-US"/>
        </w:rPr>
        <w:instrText>ISSN</w:instrText>
      </w:r>
      <w:r w:rsidR="0004027B" w:rsidRPr="00FE2263">
        <w:instrText>":"00071048","</w:instrText>
      </w:r>
      <w:r w:rsidR="0004027B" w:rsidRPr="00FE2263">
        <w:rPr>
          <w:lang w:val="en-US"/>
        </w:rPr>
        <w:instrText>abstract</w:instrText>
      </w:r>
      <w:r w:rsidR="0004027B" w:rsidRPr="00FE2263">
        <w:instrText>":"</w:instrText>
      </w:r>
      <w:r w:rsidR="0004027B" w:rsidRPr="00FE2263">
        <w:rPr>
          <w:lang w:val="en-US"/>
        </w:rPr>
        <w:instrText>This</w:instrText>
      </w:r>
      <w:r w:rsidR="0004027B" w:rsidRPr="00FE2263">
        <w:instrText xml:space="preserve"> </w:instrText>
      </w:r>
      <w:r w:rsidR="0004027B" w:rsidRPr="00FE2263">
        <w:rPr>
          <w:lang w:val="en-US"/>
        </w:rPr>
        <w:instrText>prospective</w:instrText>
      </w:r>
      <w:r w:rsidR="0004027B" w:rsidRPr="00FE2263">
        <w:instrText xml:space="preserve"> </w:instrText>
      </w:r>
      <w:r w:rsidR="0004027B" w:rsidRPr="00FE2263">
        <w:rPr>
          <w:lang w:val="en-US"/>
        </w:rPr>
        <w:instrText>study</w:instrText>
      </w:r>
      <w:r w:rsidR="0004027B" w:rsidRPr="00FE2263">
        <w:instrText xml:space="preserve"> </w:instrText>
      </w:r>
      <w:r w:rsidR="0004027B" w:rsidRPr="00FE2263">
        <w:rPr>
          <w:lang w:val="en-US"/>
        </w:rPr>
        <w:instrText>compared</w:instrText>
      </w:r>
      <w:r w:rsidR="0004027B" w:rsidRPr="00FE2263">
        <w:instrText xml:space="preserve"> </w:instrText>
      </w:r>
      <w:r w:rsidR="0004027B" w:rsidRPr="00FE2263">
        <w:rPr>
          <w:lang w:val="en-US"/>
        </w:rPr>
        <w:instrText>continuous</w:instrText>
      </w:r>
      <w:r w:rsidR="0004027B" w:rsidRPr="00FE2263">
        <w:instrText xml:space="preserve"> </w:instrText>
      </w:r>
      <w:r w:rsidR="0004027B" w:rsidRPr="00FE2263">
        <w:rPr>
          <w:lang w:val="en-US"/>
        </w:rPr>
        <w:instrText>and</w:instrText>
      </w:r>
      <w:r w:rsidR="0004027B" w:rsidRPr="00FE2263">
        <w:instrText xml:space="preserve"> </w:instrText>
      </w:r>
      <w:r w:rsidR="0004027B" w:rsidRPr="00FE2263">
        <w:rPr>
          <w:lang w:val="en-US"/>
        </w:rPr>
        <w:instrText>intermittent</w:instrText>
      </w:r>
      <w:r w:rsidR="0004027B" w:rsidRPr="00FE2263">
        <w:instrText xml:space="preserve"> </w:instrText>
      </w:r>
      <w:r w:rsidR="0004027B" w:rsidRPr="00FE2263">
        <w:rPr>
          <w:lang w:val="en-US"/>
        </w:rPr>
        <w:instrText>chlorambucil</w:instrText>
      </w:r>
      <w:r w:rsidR="0004027B" w:rsidRPr="00FE2263">
        <w:instrText xml:space="preserve"> </w:instrText>
      </w:r>
      <w:r w:rsidR="0004027B" w:rsidRPr="00FE2263">
        <w:rPr>
          <w:lang w:val="en-US"/>
        </w:rPr>
        <w:instrText>therapy</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untreated</w:instrText>
      </w:r>
      <w:r w:rsidR="0004027B" w:rsidRPr="00FE2263">
        <w:instrText xml:space="preserve"> </w:instrText>
      </w:r>
      <w:r w:rsidR="0004027B" w:rsidRPr="00FE2263">
        <w:rPr>
          <w:lang w:val="en-US"/>
        </w:rPr>
        <w:instrText>Waldenstrom</w:instrText>
      </w:r>
      <w:r w:rsidR="0004027B" w:rsidRPr="00FE2263">
        <w:instrText>'</w:instrText>
      </w:r>
      <w:r w:rsidR="0004027B" w:rsidRPr="00FE2263">
        <w:rPr>
          <w:lang w:val="en-US"/>
        </w:rPr>
        <w:instrText>s</w:instrText>
      </w:r>
      <w:r w:rsidR="0004027B" w:rsidRPr="00FE2263">
        <w:instrText xml:space="preserve"> </w:instrText>
      </w:r>
      <w:r w:rsidR="0004027B" w:rsidRPr="00FE2263">
        <w:rPr>
          <w:lang w:val="en-US"/>
        </w:rPr>
        <w:instrText>macroglobulinaemia</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diagnosis</w:instrText>
      </w:r>
      <w:r w:rsidR="0004027B" w:rsidRPr="00FE2263">
        <w:instrText xml:space="preserve"> </w:instrText>
      </w:r>
      <w:r w:rsidR="0004027B" w:rsidRPr="00FE2263">
        <w:rPr>
          <w:lang w:val="en-US"/>
        </w:rPr>
        <w:instrText>was</w:instrText>
      </w:r>
      <w:r w:rsidR="0004027B" w:rsidRPr="00FE2263">
        <w:instrText xml:space="preserve"> </w:instrText>
      </w:r>
      <w:r w:rsidR="0004027B" w:rsidRPr="00FE2263">
        <w:rPr>
          <w:lang w:val="en-US"/>
        </w:rPr>
        <w:instrText>established</w:instrText>
      </w:r>
      <w:r w:rsidR="0004027B" w:rsidRPr="00FE2263">
        <w:instrText xml:space="preserve"> </w:instrText>
      </w:r>
      <w:r w:rsidR="0004027B" w:rsidRPr="00FE2263">
        <w:rPr>
          <w:lang w:val="en-US"/>
        </w:rPr>
        <w:instrText>by</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presence</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an</w:instrText>
      </w:r>
      <w:r w:rsidR="0004027B" w:rsidRPr="00FE2263">
        <w:instrText xml:space="preserve"> </w:instrText>
      </w:r>
      <w:r w:rsidR="0004027B" w:rsidRPr="00FE2263">
        <w:rPr>
          <w:lang w:val="en-US"/>
        </w:rPr>
        <w:instrText>IsM</w:instrText>
      </w:r>
      <w:r w:rsidR="0004027B" w:rsidRPr="00FE2263">
        <w:instrText xml:space="preserve"> </w:instrText>
      </w:r>
      <w:r w:rsidR="0004027B" w:rsidRPr="00FE2263">
        <w:rPr>
          <w:lang w:val="en-US"/>
        </w:rPr>
        <w:instrText>monoclonal</w:instrText>
      </w:r>
      <w:r w:rsidR="0004027B" w:rsidRPr="00FE2263">
        <w:instrText xml:space="preserve"> (</w:instrText>
      </w:r>
      <w:r w:rsidR="0004027B" w:rsidRPr="00FE2263">
        <w:rPr>
          <w:lang w:val="en-US"/>
        </w:rPr>
        <w:instrText>M</w:instrText>
      </w:r>
      <w:r w:rsidR="0004027B" w:rsidRPr="00FE2263">
        <w:instrText xml:space="preserve">-) </w:instrText>
      </w:r>
      <w:r w:rsidR="0004027B" w:rsidRPr="00FE2263">
        <w:rPr>
          <w:lang w:val="en-US"/>
        </w:rPr>
        <w:instrText>protein</w:instrText>
      </w:r>
      <w:r w:rsidR="0004027B" w:rsidRPr="00FE2263">
        <w:instrText xml:space="preserve"> </w:instrText>
      </w:r>
      <w:r w:rsidR="0004027B" w:rsidRPr="00FE2263">
        <w:rPr>
          <w:lang w:val="en-US"/>
        </w:rPr>
        <w:instrText>in</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serum</w:instrText>
      </w:r>
      <w:r w:rsidR="0004027B" w:rsidRPr="00FE2263">
        <w:instrText xml:space="preserve">, </w:instrText>
      </w:r>
      <w:r w:rsidR="0004027B" w:rsidRPr="00FE2263">
        <w:rPr>
          <w:lang w:val="en-US"/>
        </w:rPr>
        <w:instrText>an</w:instrText>
      </w:r>
      <w:r w:rsidR="0004027B" w:rsidRPr="00FE2263">
        <w:instrText xml:space="preserve"> </w:instrText>
      </w:r>
      <w:r w:rsidR="0004027B" w:rsidRPr="00FE2263">
        <w:rPr>
          <w:lang w:val="en-US"/>
        </w:rPr>
        <w:instrText>infiltrate</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lymphocytes</w:instrText>
      </w:r>
      <w:r w:rsidR="0004027B" w:rsidRPr="00FE2263">
        <w:instrText xml:space="preserve"> </w:instrText>
      </w:r>
      <w:r w:rsidR="0004027B" w:rsidRPr="00FE2263">
        <w:rPr>
          <w:lang w:val="en-US"/>
        </w:rPr>
        <w:instrText>and</w:instrText>
      </w:r>
      <w:r w:rsidR="0004027B" w:rsidRPr="00FE2263">
        <w:instrText xml:space="preserve"> </w:instrText>
      </w:r>
      <w:r w:rsidR="0004027B" w:rsidRPr="00FE2263">
        <w:rPr>
          <w:lang w:val="en-US"/>
        </w:rPr>
        <w:instrText>plasma</w:instrText>
      </w:r>
      <w:r w:rsidR="0004027B" w:rsidRPr="00FE2263">
        <w:instrText xml:space="preserve"> </w:instrText>
      </w:r>
      <w:r w:rsidR="0004027B" w:rsidRPr="00FE2263">
        <w:rPr>
          <w:lang w:val="en-US"/>
        </w:rPr>
        <w:instrText>cells</w:instrText>
      </w:r>
      <w:r w:rsidR="0004027B" w:rsidRPr="00FE2263">
        <w:instrText xml:space="preserve"> </w:instrText>
      </w:r>
      <w:r w:rsidR="0004027B" w:rsidRPr="00FE2263">
        <w:rPr>
          <w:lang w:val="en-US"/>
        </w:rPr>
        <w:instrText>in</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bone</w:instrText>
      </w:r>
      <w:r w:rsidR="0004027B" w:rsidRPr="00FE2263">
        <w:instrText xml:space="preserve"> </w:instrText>
      </w:r>
      <w:r w:rsidR="0004027B" w:rsidRPr="00FE2263">
        <w:rPr>
          <w:lang w:val="en-US"/>
        </w:rPr>
        <w:instrText>marrow</w:instrText>
      </w:r>
      <w:r w:rsidR="0004027B" w:rsidRPr="00FE2263">
        <w:instrText xml:space="preserve">, </w:instrText>
      </w:r>
      <w:r w:rsidR="0004027B" w:rsidRPr="00FE2263">
        <w:rPr>
          <w:lang w:val="en-US"/>
        </w:rPr>
        <w:instrText>anaemia</w:instrText>
      </w:r>
      <w:r w:rsidR="0004027B" w:rsidRPr="00FE2263">
        <w:instrText xml:space="preserve"> </w:instrText>
      </w:r>
      <w:r w:rsidR="0004027B" w:rsidRPr="00FE2263">
        <w:rPr>
          <w:lang w:val="en-US"/>
        </w:rPr>
        <w:instrText>or</w:instrText>
      </w:r>
      <w:r w:rsidR="0004027B" w:rsidRPr="00FE2263">
        <w:instrText xml:space="preserve"> </w:instrText>
      </w:r>
      <w:r w:rsidR="0004027B" w:rsidRPr="00FE2263">
        <w:rPr>
          <w:lang w:val="en-US"/>
        </w:rPr>
        <w:instrText>other</w:instrText>
      </w:r>
      <w:r w:rsidR="0004027B" w:rsidRPr="00FE2263">
        <w:instrText xml:space="preserve"> </w:instrText>
      </w:r>
      <w:r w:rsidR="0004027B" w:rsidRPr="00FE2263">
        <w:rPr>
          <w:lang w:val="en-US"/>
        </w:rPr>
        <w:instrText>laboratory</w:instrText>
      </w:r>
      <w:r w:rsidR="0004027B" w:rsidRPr="00FE2263">
        <w:instrText xml:space="preserve"> </w:instrText>
      </w:r>
      <w:r w:rsidR="0004027B" w:rsidRPr="00FE2263">
        <w:rPr>
          <w:lang w:val="en-US"/>
        </w:rPr>
        <w:instrText>abnormalities</w:instrText>
      </w:r>
      <w:r w:rsidR="0004027B" w:rsidRPr="00FE2263">
        <w:instrText xml:space="preserve">, </w:instrText>
      </w:r>
      <w:r w:rsidR="0004027B" w:rsidRPr="00FE2263">
        <w:rPr>
          <w:lang w:val="en-US"/>
        </w:rPr>
        <w:instrText>physical</w:instrText>
      </w:r>
      <w:r w:rsidR="0004027B" w:rsidRPr="00FE2263">
        <w:instrText xml:space="preserve"> </w:instrText>
      </w:r>
      <w:r w:rsidR="0004027B" w:rsidRPr="00FE2263">
        <w:rPr>
          <w:lang w:val="en-US"/>
        </w:rPr>
        <w:instrText>findings</w:instrText>
      </w:r>
      <w:r w:rsidR="0004027B" w:rsidRPr="00FE2263">
        <w:instrText xml:space="preserve"> </w:instrText>
      </w:r>
      <w:r w:rsidR="0004027B" w:rsidRPr="00FE2263">
        <w:rPr>
          <w:lang w:val="en-US"/>
        </w:rPr>
        <w:instrText>or</w:instrText>
      </w:r>
      <w:r w:rsidR="0004027B" w:rsidRPr="00FE2263">
        <w:instrText xml:space="preserve"> </w:instrText>
      </w:r>
      <w:r w:rsidR="0004027B" w:rsidRPr="00FE2263">
        <w:rPr>
          <w:lang w:val="en-US"/>
        </w:rPr>
        <w:instrText>constitutional</w:instrText>
      </w:r>
      <w:r w:rsidR="0004027B" w:rsidRPr="00FE2263">
        <w:instrText xml:space="preserve"> </w:instrText>
      </w:r>
      <w:r w:rsidR="0004027B" w:rsidRPr="00FE2263">
        <w:rPr>
          <w:lang w:val="en-US"/>
        </w:rPr>
        <w:instrText>symptoms</w:instrText>
      </w:r>
      <w:r w:rsidR="0004027B" w:rsidRPr="00FE2263">
        <w:instrText xml:space="preserve">. </w:instrText>
      </w:r>
      <w:r w:rsidR="0004027B" w:rsidRPr="00FE2263">
        <w:rPr>
          <w:lang w:val="en-US"/>
        </w:rPr>
        <w:instrText>Patients</w:instrText>
      </w:r>
      <w:r w:rsidR="0004027B" w:rsidRPr="00FE2263">
        <w:instrText xml:space="preserve"> </w:instrText>
      </w:r>
      <w:r w:rsidR="0004027B" w:rsidRPr="00FE2263">
        <w:rPr>
          <w:lang w:val="en-US"/>
        </w:rPr>
        <w:instrText>were</w:instrText>
      </w:r>
      <w:r w:rsidR="0004027B" w:rsidRPr="00FE2263">
        <w:instrText xml:space="preserve"> </w:instrText>
      </w:r>
      <w:r w:rsidR="0004027B" w:rsidRPr="00FE2263">
        <w:rPr>
          <w:lang w:val="en-US"/>
        </w:rPr>
        <w:instrText>randomized</w:instrText>
      </w:r>
      <w:r w:rsidR="0004027B" w:rsidRPr="00FE2263">
        <w:instrText xml:space="preserve"> </w:instrText>
      </w:r>
      <w:r w:rsidR="0004027B" w:rsidRPr="00FE2263">
        <w:rPr>
          <w:lang w:val="en-US"/>
        </w:rPr>
        <w:instrText>to</w:instrText>
      </w:r>
      <w:r w:rsidR="0004027B" w:rsidRPr="00FE2263">
        <w:instrText xml:space="preserve"> </w:instrText>
      </w:r>
      <w:r w:rsidR="0004027B" w:rsidRPr="00FE2263">
        <w:rPr>
          <w:lang w:val="en-US"/>
        </w:rPr>
        <w:instrText>receive</w:instrText>
      </w:r>
      <w:r w:rsidR="0004027B" w:rsidRPr="00FE2263">
        <w:instrText xml:space="preserve"> </w:instrText>
      </w:r>
      <w:r w:rsidR="0004027B" w:rsidRPr="00FE2263">
        <w:rPr>
          <w:lang w:val="en-US"/>
        </w:rPr>
        <w:instrText>chlorambucil</w:instrText>
      </w:r>
      <w:r w:rsidR="0004027B" w:rsidRPr="00FE2263">
        <w:instrText xml:space="preserve"> 0.1 </w:instrText>
      </w:r>
      <w:r w:rsidR="0004027B" w:rsidRPr="00FE2263">
        <w:rPr>
          <w:lang w:val="en-US"/>
        </w:rPr>
        <w:instrText>mg</w:instrText>
      </w:r>
      <w:r w:rsidR="0004027B" w:rsidRPr="00FE2263">
        <w:instrText>/</w:instrText>
      </w:r>
      <w:r w:rsidR="0004027B" w:rsidRPr="00FE2263">
        <w:rPr>
          <w:lang w:val="en-US"/>
        </w:rPr>
        <w:instrText>kg</w:instrText>
      </w:r>
      <w:r w:rsidR="0004027B" w:rsidRPr="00FE2263">
        <w:instrText>/</w:instrText>
      </w:r>
      <w:r w:rsidR="0004027B" w:rsidRPr="00FE2263">
        <w:rPr>
          <w:lang w:val="en-US"/>
        </w:rPr>
        <w:instrText>d</w:instrText>
      </w:r>
      <w:r w:rsidR="0004027B" w:rsidRPr="00FE2263">
        <w:instrText xml:space="preserve"> </w:instrText>
      </w:r>
      <w:r w:rsidR="0004027B" w:rsidRPr="00FE2263">
        <w:rPr>
          <w:lang w:val="en-US"/>
        </w:rPr>
        <w:instrText>or</w:instrText>
      </w:r>
      <w:r w:rsidR="0004027B" w:rsidRPr="00FE2263">
        <w:instrText xml:space="preserve"> </w:instrText>
      </w:r>
      <w:r w:rsidR="0004027B" w:rsidRPr="00FE2263">
        <w:rPr>
          <w:lang w:val="en-US"/>
        </w:rPr>
        <w:instrText>chlorambucil</w:instrText>
      </w:r>
      <w:r w:rsidR="0004027B" w:rsidRPr="00FE2263">
        <w:instrText xml:space="preserve"> 0.3 </w:instrText>
      </w:r>
      <w:r w:rsidR="0004027B" w:rsidRPr="00FE2263">
        <w:rPr>
          <w:lang w:val="en-US"/>
        </w:rPr>
        <w:instrText>mg</w:instrText>
      </w:r>
      <w:r w:rsidR="0004027B" w:rsidRPr="00FE2263">
        <w:instrText>/</w:instrText>
      </w:r>
      <w:r w:rsidR="0004027B" w:rsidRPr="00FE2263">
        <w:rPr>
          <w:lang w:val="en-US"/>
        </w:rPr>
        <w:instrText>kg</w:instrText>
      </w:r>
      <w:r w:rsidR="0004027B" w:rsidRPr="00FE2263">
        <w:instrText>/</w:instrText>
      </w:r>
      <w:r w:rsidR="0004027B" w:rsidRPr="00FE2263">
        <w:rPr>
          <w:lang w:val="en-US"/>
        </w:rPr>
        <w:instrText>d</w:instrText>
      </w:r>
      <w:r w:rsidR="0004027B" w:rsidRPr="00FE2263">
        <w:instrText xml:space="preserve"> </w:instrText>
      </w:r>
      <w:r w:rsidR="0004027B" w:rsidRPr="00FE2263">
        <w:rPr>
          <w:lang w:val="en-US"/>
        </w:rPr>
        <w:instrText>orally</w:instrText>
      </w:r>
      <w:r w:rsidR="0004027B" w:rsidRPr="00FE2263">
        <w:instrText xml:space="preserve"> </w:instrText>
      </w:r>
      <w:r w:rsidR="0004027B" w:rsidRPr="00FE2263">
        <w:rPr>
          <w:lang w:val="en-US"/>
        </w:rPr>
        <w:instrText>for</w:instrText>
      </w:r>
      <w:r w:rsidR="0004027B" w:rsidRPr="00FE2263">
        <w:instrText xml:space="preserve"> 7 </w:instrText>
      </w:r>
      <w:r w:rsidR="0004027B" w:rsidRPr="00FE2263">
        <w:rPr>
          <w:lang w:val="en-US"/>
        </w:rPr>
        <w:instrText>d</w:instrText>
      </w:r>
      <w:r w:rsidR="0004027B" w:rsidRPr="00FE2263">
        <w:instrText xml:space="preserve">, </w:instrText>
      </w:r>
      <w:r w:rsidR="0004027B" w:rsidRPr="00FE2263">
        <w:rPr>
          <w:lang w:val="en-US"/>
        </w:rPr>
        <w:instrText>repeated</w:instrText>
      </w:r>
      <w:r w:rsidR="0004027B" w:rsidRPr="00FE2263">
        <w:instrText xml:space="preserve"> </w:instrText>
      </w:r>
      <w:r w:rsidR="0004027B" w:rsidRPr="00FE2263">
        <w:rPr>
          <w:lang w:val="en-US"/>
        </w:rPr>
        <w:instrText>every</w:instrText>
      </w:r>
      <w:r w:rsidR="0004027B" w:rsidRPr="00FE2263">
        <w:instrText xml:space="preserve"> 6 </w:instrText>
      </w:r>
      <w:r w:rsidR="0004027B" w:rsidRPr="00FE2263">
        <w:rPr>
          <w:lang w:val="en-US"/>
        </w:rPr>
        <w:instrText>weeks</w:instrText>
      </w:r>
      <w:r w:rsidR="0004027B" w:rsidRPr="00FE2263">
        <w:instrText xml:space="preserve">. </w:instrText>
      </w:r>
      <w:r w:rsidR="0004027B" w:rsidRPr="00FE2263">
        <w:rPr>
          <w:lang w:val="en-US"/>
        </w:rPr>
        <w:instrText>Criteria</w:instrText>
      </w:r>
      <w:r w:rsidR="0004027B" w:rsidRPr="00FE2263">
        <w:instrText xml:space="preserve"> </w:instrText>
      </w:r>
      <w:r w:rsidR="0004027B" w:rsidRPr="00FE2263">
        <w:rPr>
          <w:lang w:val="en-US"/>
        </w:rPr>
        <w:instrText>for</w:instrText>
      </w:r>
      <w:r w:rsidR="0004027B" w:rsidRPr="00FE2263">
        <w:instrText xml:space="preserve"> </w:instrText>
      </w:r>
      <w:r w:rsidR="0004027B" w:rsidRPr="00FE2263">
        <w:rPr>
          <w:lang w:val="en-US"/>
        </w:rPr>
        <w:instrText>response</w:instrText>
      </w:r>
      <w:r w:rsidR="0004027B" w:rsidRPr="00FE2263">
        <w:instrText xml:space="preserve"> </w:instrText>
      </w:r>
      <w:r w:rsidR="0004027B" w:rsidRPr="00FE2263">
        <w:rPr>
          <w:lang w:val="en-US"/>
        </w:rPr>
        <w:instrText>included</w:instrText>
      </w:r>
      <w:r w:rsidR="0004027B" w:rsidRPr="00FE2263">
        <w:instrText xml:space="preserve"> 50% </w:instrText>
      </w:r>
      <w:r w:rsidR="0004027B" w:rsidRPr="00FE2263">
        <w:rPr>
          <w:lang w:val="en-US"/>
        </w:rPr>
        <w:instrText>or</w:instrText>
      </w:r>
      <w:r w:rsidR="0004027B" w:rsidRPr="00FE2263">
        <w:instrText xml:space="preserve"> </w:instrText>
      </w:r>
      <w:r w:rsidR="0004027B" w:rsidRPr="00FE2263">
        <w:rPr>
          <w:lang w:val="en-US"/>
        </w:rPr>
        <w:instrText>more</w:instrText>
      </w:r>
      <w:r w:rsidR="0004027B" w:rsidRPr="00FE2263">
        <w:instrText xml:space="preserve"> </w:instrText>
      </w:r>
      <w:r w:rsidR="0004027B" w:rsidRPr="00FE2263">
        <w:rPr>
          <w:lang w:val="en-US"/>
        </w:rPr>
        <w:instrText>reduction</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serum</w:instrText>
      </w:r>
      <w:r w:rsidR="0004027B" w:rsidRPr="00FE2263">
        <w:instrText xml:space="preserve"> </w:instrText>
      </w:r>
      <w:r w:rsidR="0004027B" w:rsidRPr="00FE2263">
        <w:rPr>
          <w:lang w:val="en-US"/>
        </w:rPr>
        <w:instrText>M</w:instrText>
      </w:r>
      <w:r w:rsidR="0004027B" w:rsidRPr="00FE2263">
        <w:instrText>-</w:instrText>
      </w:r>
      <w:r w:rsidR="0004027B" w:rsidRPr="00FE2263">
        <w:rPr>
          <w:lang w:val="en-US"/>
        </w:rPr>
        <w:instrText>protein</w:instrText>
      </w:r>
      <w:r w:rsidR="0004027B" w:rsidRPr="00FE2263">
        <w:instrText xml:space="preserve">, </w:instrText>
      </w:r>
      <w:r w:rsidR="0004027B" w:rsidRPr="00FE2263">
        <w:rPr>
          <w:lang w:val="en-US"/>
        </w:rPr>
        <w:instrText>increase</w:instrText>
      </w:r>
      <w:r w:rsidR="0004027B" w:rsidRPr="00FE2263">
        <w:instrText xml:space="preserve"> </w:instrText>
      </w:r>
      <w:r w:rsidR="0004027B" w:rsidRPr="00FE2263">
        <w:rPr>
          <w:lang w:val="en-US"/>
        </w:rPr>
        <w:instrText>in</w:instrText>
      </w:r>
      <w:r w:rsidR="0004027B" w:rsidRPr="00FE2263">
        <w:instrText xml:space="preserve"> </w:instrText>
      </w:r>
      <w:r w:rsidR="0004027B" w:rsidRPr="00FE2263">
        <w:rPr>
          <w:lang w:val="en-US"/>
        </w:rPr>
        <w:instrText>haemoglobin</w:instrText>
      </w:r>
      <w:r w:rsidR="0004027B" w:rsidRPr="00FE2263">
        <w:instrText xml:space="preserve"> </w:instrText>
      </w:r>
      <w:r w:rsidR="0004027B" w:rsidRPr="00FE2263">
        <w:rPr>
          <w:lang w:val="en-US"/>
        </w:rPr>
        <w:instrText>level</w:instrText>
      </w:r>
      <w:r w:rsidR="0004027B" w:rsidRPr="00FE2263">
        <w:instrText xml:space="preserve"> </w:instrText>
      </w:r>
      <w:r w:rsidR="0004027B" w:rsidRPr="00FE2263">
        <w:rPr>
          <w:lang w:val="en-US"/>
        </w:rPr>
        <w:instrText>of</w:instrText>
      </w:r>
      <w:r w:rsidR="0004027B" w:rsidRPr="00FE2263">
        <w:instrText xml:space="preserve"> 2 </w:instrText>
      </w:r>
      <w:r w:rsidR="0004027B" w:rsidRPr="00FE2263">
        <w:rPr>
          <w:lang w:val="en-US"/>
        </w:rPr>
        <w:instrText>g</w:instrText>
      </w:r>
      <w:r w:rsidR="0004027B" w:rsidRPr="00FE2263">
        <w:instrText>/</w:instrText>
      </w:r>
      <w:r w:rsidR="0004027B" w:rsidRPr="00FE2263">
        <w:rPr>
          <w:lang w:val="en-US"/>
        </w:rPr>
        <w:instrText>dl</w:instrText>
      </w:r>
      <w:r w:rsidR="0004027B" w:rsidRPr="00FE2263">
        <w:instrText xml:space="preserve"> </w:instrText>
      </w:r>
      <w:r w:rsidR="0004027B" w:rsidRPr="00FE2263">
        <w:rPr>
          <w:lang w:val="en-US"/>
        </w:rPr>
        <w:instrText>without</w:instrText>
      </w:r>
      <w:r w:rsidR="0004027B" w:rsidRPr="00FE2263">
        <w:instrText xml:space="preserve"> </w:instrText>
      </w:r>
      <w:r w:rsidR="0004027B" w:rsidRPr="00FE2263">
        <w:rPr>
          <w:lang w:val="en-US"/>
        </w:rPr>
        <w:instrText>transfusion</w:instrText>
      </w:r>
      <w:r w:rsidR="0004027B" w:rsidRPr="00FE2263">
        <w:instrText xml:space="preserve">, ≥ 50% </w:instrText>
      </w:r>
      <w:r w:rsidR="0004027B" w:rsidRPr="00FE2263">
        <w:rPr>
          <w:lang w:val="en-US"/>
        </w:rPr>
        <w:instrText>decrease</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urine</w:instrText>
      </w:r>
      <w:r w:rsidR="0004027B" w:rsidRPr="00FE2263">
        <w:instrText xml:space="preserve"> </w:instrText>
      </w:r>
      <w:r w:rsidR="0004027B" w:rsidRPr="00FE2263">
        <w:rPr>
          <w:lang w:val="en-US"/>
        </w:rPr>
        <w:instrText>M</w:instrText>
      </w:r>
      <w:r w:rsidR="0004027B" w:rsidRPr="00FE2263">
        <w:instrText>-</w:instrText>
      </w:r>
      <w:r w:rsidR="0004027B" w:rsidRPr="00FE2263">
        <w:rPr>
          <w:lang w:val="en-US"/>
        </w:rPr>
        <w:instrText>protein</w:instrText>
      </w:r>
      <w:r w:rsidR="0004027B" w:rsidRPr="00FE2263">
        <w:instrText xml:space="preserve">, </w:instrText>
      </w:r>
      <w:r w:rsidR="0004027B" w:rsidRPr="00FE2263">
        <w:rPr>
          <w:lang w:val="en-US"/>
        </w:rPr>
        <w:instrText>or</w:instrText>
      </w:r>
      <w:r w:rsidR="0004027B" w:rsidRPr="00FE2263">
        <w:instrText xml:space="preserve"> </w:instrText>
      </w:r>
      <w:r w:rsidR="0004027B" w:rsidRPr="00FE2263">
        <w:rPr>
          <w:lang w:val="en-US"/>
        </w:rPr>
        <w:instrText>a</w:instrText>
      </w:r>
      <w:r w:rsidR="0004027B" w:rsidRPr="00FE2263">
        <w:instrText xml:space="preserve"> </w:instrText>
      </w:r>
      <w:r w:rsidR="0004027B" w:rsidRPr="00FE2263">
        <w:rPr>
          <w:lang w:val="en-US"/>
        </w:rPr>
        <w:instrText>reduction</w:instrText>
      </w:r>
      <w:r w:rsidR="0004027B" w:rsidRPr="00FE2263">
        <w:instrText xml:space="preserve"> </w:instrText>
      </w:r>
      <w:r w:rsidR="0004027B" w:rsidRPr="00FE2263">
        <w:rPr>
          <w:lang w:val="en-US"/>
        </w:rPr>
        <w:instrText>of</w:instrText>
      </w:r>
      <w:r w:rsidR="0004027B" w:rsidRPr="00FE2263">
        <w:instrText xml:space="preserve"> 2 </w:instrText>
      </w:r>
      <w:r w:rsidR="0004027B" w:rsidRPr="00FE2263">
        <w:rPr>
          <w:lang w:val="en-US"/>
        </w:rPr>
        <w:instrText>cm</w:instrText>
      </w:r>
      <w:r w:rsidR="0004027B" w:rsidRPr="00FE2263">
        <w:instrText xml:space="preserve"> </w:instrText>
      </w:r>
      <w:r w:rsidR="0004027B" w:rsidRPr="00FE2263">
        <w:rPr>
          <w:lang w:val="en-US"/>
        </w:rPr>
        <w:instrText>in</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size</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liver</w:instrText>
      </w:r>
      <w:r w:rsidR="0004027B" w:rsidRPr="00FE2263">
        <w:instrText xml:space="preserve">, </w:instrText>
      </w:r>
      <w:r w:rsidR="0004027B" w:rsidRPr="00FE2263">
        <w:rPr>
          <w:lang w:val="en-US"/>
        </w:rPr>
        <w:instrText>spleen</w:instrText>
      </w:r>
      <w:r w:rsidR="0004027B" w:rsidRPr="00FE2263">
        <w:instrText xml:space="preserve"> </w:instrText>
      </w:r>
      <w:r w:rsidR="0004027B" w:rsidRPr="00FE2263">
        <w:rPr>
          <w:lang w:val="en-US"/>
        </w:rPr>
        <w:instrText>or</w:instrText>
      </w:r>
      <w:r w:rsidR="0004027B" w:rsidRPr="00FE2263">
        <w:instrText xml:space="preserve"> </w:instrText>
      </w:r>
      <w:r w:rsidR="0004027B" w:rsidRPr="00FE2263">
        <w:rPr>
          <w:lang w:val="en-US"/>
        </w:rPr>
        <w:instrText>lymph</w:instrText>
      </w:r>
      <w:r w:rsidR="0004027B" w:rsidRPr="00FE2263">
        <w:instrText xml:space="preserve"> </w:instrText>
      </w:r>
      <w:r w:rsidR="0004027B" w:rsidRPr="00FE2263">
        <w:rPr>
          <w:lang w:val="en-US"/>
        </w:rPr>
        <w:instrText>nodes</w:instrText>
      </w:r>
      <w:r w:rsidR="0004027B" w:rsidRPr="00FE2263">
        <w:instrText xml:space="preserve">. </w:instrText>
      </w:r>
      <w:r w:rsidR="0004027B" w:rsidRPr="00FE2263">
        <w:rPr>
          <w:lang w:val="en-US"/>
        </w:rPr>
        <w:instrText>Forty</w:instrText>
      </w:r>
      <w:r w:rsidR="0004027B" w:rsidRPr="00FE2263">
        <w:instrText>-</w:instrText>
      </w:r>
      <w:r w:rsidR="0004027B" w:rsidRPr="00FE2263">
        <w:rPr>
          <w:lang w:val="en-US"/>
        </w:rPr>
        <w:instrText>six</w:instrText>
      </w:r>
      <w:r w:rsidR="0004027B" w:rsidRPr="00FE2263">
        <w:instrText xml:space="preserve"> </w:instrText>
      </w:r>
      <w:r w:rsidR="0004027B" w:rsidRPr="00FE2263">
        <w:rPr>
          <w:lang w:val="en-US"/>
        </w:rPr>
        <w:instrText>patients</w:instrText>
      </w:r>
      <w:r w:rsidR="0004027B" w:rsidRPr="00FE2263">
        <w:instrText xml:space="preserve"> </w:instrText>
      </w:r>
      <w:r w:rsidR="0004027B" w:rsidRPr="00FE2263">
        <w:rPr>
          <w:lang w:val="en-US"/>
        </w:rPr>
        <w:instrText>were</w:instrText>
      </w:r>
      <w:r w:rsidR="0004027B" w:rsidRPr="00FE2263">
        <w:instrText xml:space="preserve"> </w:instrText>
      </w:r>
      <w:r w:rsidR="0004027B" w:rsidRPr="00FE2263">
        <w:rPr>
          <w:lang w:val="en-US"/>
        </w:rPr>
        <w:instrText>randomized</w:instrText>
      </w:r>
      <w:r w:rsidR="0004027B" w:rsidRPr="00FE2263">
        <w:instrText xml:space="preserve"> </w:instrText>
      </w:r>
      <w:r w:rsidR="0004027B" w:rsidRPr="00FE2263">
        <w:rPr>
          <w:lang w:val="en-US"/>
        </w:rPr>
        <w:instrText>to</w:instrText>
      </w:r>
      <w:r w:rsidR="0004027B" w:rsidRPr="00FE2263">
        <w:instrText xml:space="preserve"> </w:instrText>
      </w:r>
      <w:r w:rsidR="0004027B" w:rsidRPr="00FE2263">
        <w:rPr>
          <w:lang w:val="en-US"/>
        </w:rPr>
        <w:instrText>continuous</w:instrText>
      </w:r>
      <w:r w:rsidR="0004027B" w:rsidRPr="00FE2263">
        <w:instrText xml:space="preserve"> </w:instrText>
      </w:r>
      <w:r w:rsidR="0004027B" w:rsidRPr="00FE2263">
        <w:rPr>
          <w:lang w:val="en-US"/>
        </w:rPr>
        <w:instrText>chlorambucil</w:instrText>
      </w:r>
      <w:r w:rsidR="0004027B" w:rsidRPr="00FE2263">
        <w:instrText xml:space="preserve"> (</w:instrText>
      </w:r>
      <w:r w:rsidR="0004027B" w:rsidRPr="00FE2263">
        <w:rPr>
          <w:lang w:val="en-US"/>
        </w:rPr>
        <w:instrText>n</w:instrText>
      </w:r>
      <w:r w:rsidR="0004027B" w:rsidRPr="00FE2263">
        <w:instrText xml:space="preserve"> = 24) </w:instrText>
      </w:r>
      <w:r w:rsidR="0004027B" w:rsidRPr="00FE2263">
        <w:rPr>
          <w:lang w:val="en-US"/>
        </w:rPr>
        <w:instrText>or</w:instrText>
      </w:r>
      <w:r w:rsidR="0004027B" w:rsidRPr="00FE2263">
        <w:instrText xml:space="preserve"> </w:instrText>
      </w:r>
      <w:r w:rsidR="0004027B" w:rsidRPr="00FE2263">
        <w:rPr>
          <w:lang w:val="en-US"/>
        </w:rPr>
        <w:instrText>to</w:instrText>
      </w:r>
      <w:r w:rsidR="0004027B" w:rsidRPr="00FE2263">
        <w:instrText xml:space="preserve"> </w:instrText>
      </w:r>
      <w:r w:rsidR="0004027B" w:rsidRPr="00FE2263">
        <w:rPr>
          <w:lang w:val="en-US"/>
        </w:rPr>
        <w:instrText>intermittent</w:instrText>
      </w:r>
      <w:r w:rsidR="0004027B" w:rsidRPr="00FE2263">
        <w:instrText xml:space="preserve"> </w:instrText>
      </w:r>
      <w:r w:rsidR="0004027B" w:rsidRPr="00FE2263">
        <w:rPr>
          <w:lang w:val="en-US"/>
        </w:rPr>
        <w:instrText>chlorambucil</w:instrText>
      </w:r>
      <w:r w:rsidR="0004027B" w:rsidRPr="00FE2263">
        <w:instrText xml:space="preserve"> (</w:instrText>
      </w:r>
      <w:r w:rsidR="0004027B" w:rsidRPr="00FE2263">
        <w:rPr>
          <w:lang w:val="en-US"/>
        </w:rPr>
        <w:instrText>n</w:instrText>
      </w:r>
      <w:r w:rsidR="0004027B" w:rsidRPr="00FE2263">
        <w:instrText xml:space="preserve"> = 22). </w:instrText>
      </w:r>
      <w:r w:rsidR="0004027B" w:rsidRPr="00FE2263">
        <w:rPr>
          <w:lang w:val="en-US"/>
        </w:rPr>
        <w:instrText>Nineteen</w:instrText>
      </w:r>
      <w:r w:rsidR="0004027B" w:rsidRPr="00FE2263">
        <w:instrText xml:space="preserve"> (79%) (95% </w:instrText>
      </w:r>
      <w:r w:rsidR="0004027B" w:rsidRPr="00FE2263">
        <w:rPr>
          <w:lang w:val="en-US"/>
        </w:rPr>
        <w:instrText>CI</w:instrText>
      </w:r>
      <w:r w:rsidR="0004027B" w:rsidRPr="00FE2263">
        <w:instrText xml:space="preserve"> = 58-93) </w:instrText>
      </w:r>
      <w:r w:rsidR="0004027B" w:rsidRPr="00FE2263">
        <w:rPr>
          <w:lang w:val="en-US"/>
        </w:rPr>
        <w:instrText>of</w:instrText>
      </w:r>
      <w:r w:rsidR="0004027B" w:rsidRPr="00FE2263">
        <w:instrText xml:space="preserve"> </w:instrText>
      </w:r>
      <w:r w:rsidR="0004027B" w:rsidRPr="00FE2263">
        <w:rPr>
          <w:lang w:val="en-US"/>
        </w:rPr>
        <w:instrText>the</w:instrText>
      </w:r>
      <w:r w:rsidR="0004027B" w:rsidRPr="00FE2263">
        <w:instrText xml:space="preserve"> 24 </w:instrText>
      </w:r>
      <w:r w:rsidR="0004027B" w:rsidRPr="00FE2263">
        <w:rPr>
          <w:lang w:val="en-US"/>
        </w:rPr>
        <w:instrText>patients</w:instrText>
      </w:r>
      <w:r w:rsidR="0004027B" w:rsidRPr="00FE2263">
        <w:instrText xml:space="preserve"> </w:instrText>
      </w:r>
      <w:r w:rsidR="0004027B" w:rsidRPr="00FE2263">
        <w:rPr>
          <w:lang w:val="en-US"/>
        </w:rPr>
        <w:instrText>given</w:instrText>
      </w:r>
      <w:r w:rsidR="0004027B" w:rsidRPr="00FE2263">
        <w:instrText xml:space="preserve"> </w:instrText>
      </w:r>
      <w:r w:rsidR="0004027B" w:rsidRPr="00FE2263">
        <w:rPr>
          <w:lang w:val="en-US"/>
        </w:rPr>
        <w:instrText>continuous</w:instrText>
      </w:r>
      <w:r w:rsidR="0004027B" w:rsidRPr="00FE2263">
        <w:instrText xml:space="preserve"> </w:instrText>
      </w:r>
      <w:r w:rsidR="0004027B" w:rsidRPr="00FE2263">
        <w:rPr>
          <w:lang w:val="en-US"/>
        </w:rPr>
        <w:instrText>therapy</w:instrText>
      </w:r>
      <w:r w:rsidR="0004027B" w:rsidRPr="00FE2263">
        <w:instrText xml:space="preserve"> </w:instrText>
      </w:r>
      <w:r w:rsidR="0004027B" w:rsidRPr="00FE2263">
        <w:rPr>
          <w:lang w:val="en-US"/>
        </w:rPr>
        <w:instrText>had</w:instrText>
      </w:r>
      <w:r w:rsidR="0004027B" w:rsidRPr="00FE2263">
        <w:instrText xml:space="preserve"> </w:instrText>
      </w:r>
      <w:r w:rsidR="0004027B" w:rsidRPr="00FE2263">
        <w:rPr>
          <w:lang w:val="en-US"/>
        </w:rPr>
        <w:instrText>an</w:instrText>
      </w:r>
      <w:r w:rsidR="0004027B" w:rsidRPr="00FE2263">
        <w:instrText xml:space="preserve"> </w:instrText>
      </w:r>
      <w:r w:rsidR="0004027B" w:rsidRPr="00FE2263">
        <w:rPr>
          <w:lang w:val="en-US"/>
        </w:rPr>
        <w:instrText>objective</w:instrText>
      </w:r>
      <w:r w:rsidR="0004027B" w:rsidRPr="00FE2263">
        <w:instrText xml:space="preserve"> </w:instrText>
      </w:r>
      <w:r w:rsidR="0004027B" w:rsidRPr="00FE2263">
        <w:rPr>
          <w:lang w:val="en-US"/>
        </w:rPr>
        <w:instrText>improvement</w:instrText>
      </w:r>
      <w:r w:rsidR="0004027B" w:rsidRPr="00FE2263">
        <w:instrText xml:space="preserve"> </w:instrText>
      </w:r>
      <w:r w:rsidR="0004027B" w:rsidRPr="00FE2263">
        <w:rPr>
          <w:lang w:val="en-US"/>
        </w:rPr>
        <w:instrText>by</w:instrText>
      </w:r>
      <w:r w:rsidR="0004027B" w:rsidRPr="00FE2263">
        <w:instrText xml:space="preserve"> </w:instrText>
      </w:r>
      <w:r w:rsidR="0004027B" w:rsidRPr="00FE2263">
        <w:rPr>
          <w:lang w:val="en-US"/>
        </w:rPr>
        <w:instrText>either</w:instrText>
      </w:r>
      <w:r w:rsidR="0004027B" w:rsidRPr="00FE2263">
        <w:instrText xml:space="preserve"> </w:instrText>
      </w:r>
      <w:r w:rsidR="0004027B" w:rsidRPr="00FE2263">
        <w:rPr>
          <w:lang w:val="en-US"/>
        </w:rPr>
        <w:instrText>reduction</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serum</w:instrText>
      </w:r>
      <w:r w:rsidR="0004027B" w:rsidRPr="00FE2263">
        <w:instrText xml:space="preserve"> </w:instrText>
      </w:r>
      <w:r w:rsidR="0004027B" w:rsidRPr="00FE2263">
        <w:rPr>
          <w:lang w:val="en-US"/>
        </w:rPr>
        <w:instrText>M</w:instrText>
      </w:r>
      <w:r w:rsidR="0004027B" w:rsidRPr="00FE2263">
        <w:instrText>-</w:instrText>
      </w:r>
      <w:r w:rsidR="0004027B" w:rsidRPr="00FE2263">
        <w:rPr>
          <w:lang w:val="en-US"/>
        </w:rPr>
        <w:instrText>protein</w:instrText>
      </w:r>
      <w:r w:rsidR="0004027B" w:rsidRPr="00FE2263">
        <w:instrText xml:space="preserve"> </w:instrText>
      </w:r>
      <w:r w:rsidR="0004027B" w:rsidRPr="00FE2263">
        <w:rPr>
          <w:lang w:val="en-US"/>
        </w:rPr>
        <w:instrText>or</w:instrText>
      </w:r>
      <w:r w:rsidR="0004027B" w:rsidRPr="00FE2263">
        <w:instrText xml:space="preserve"> </w:instrText>
      </w:r>
      <w:r w:rsidR="0004027B" w:rsidRPr="00FE2263">
        <w:rPr>
          <w:lang w:val="en-US"/>
        </w:rPr>
        <w:instrText>increase</w:instrText>
      </w:r>
      <w:r w:rsidR="0004027B" w:rsidRPr="00FE2263">
        <w:instrText xml:space="preserve"> </w:instrText>
      </w:r>
      <w:r w:rsidR="0004027B" w:rsidRPr="00FE2263">
        <w:rPr>
          <w:lang w:val="en-US"/>
        </w:rPr>
        <w:instrText>in</w:instrText>
      </w:r>
      <w:r w:rsidR="0004027B" w:rsidRPr="00FE2263">
        <w:instrText xml:space="preserve"> </w:instrText>
      </w:r>
      <w:r w:rsidR="0004027B" w:rsidRPr="00FE2263">
        <w:rPr>
          <w:lang w:val="en-US"/>
        </w:rPr>
        <w:instrText>haemoglobin</w:instrText>
      </w:r>
      <w:r w:rsidR="0004027B" w:rsidRPr="00FE2263">
        <w:instrText xml:space="preserve">. </w:instrText>
      </w:r>
      <w:r w:rsidR="0004027B" w:rsidRPr="00FE2263">
        <w:rPr>
          <w:lang w:val="en-US"/>
        </w:rPr>
        <w:instrText>Fifteen</w:instrText>
      </w:r>
      <w:r w:rsidR="0004027B" w:rsidRPr="00FE2263">
        <w:instrText xml:space="preserve"> (68%) (95% </w:instrText>
      </w:r>
      <w:r w:rsidR="0004027B" w:rsidRPr="00FE2263">
        <w:rPr>
          <w:lang w:val="en-US"/>
        </w:rPr>
        <w:instrText>CI</w:instrText>
      </w:r>
      <w:r w:rsidR="0004027B" w:rsidRPr="00FE2263">
        <w:instrText xml:space="preserve"> = 45-86) </w:instrText>
      </w:r>
      <w:r w:rsidR="0004027B" w:rsidRPr="00FE2263">
        <w:rPr>
          <w:lang w:val="en-US"/>
        </w:rPr>
        <w:instrText>of</w:instrText>
      </w:r>
      <w:r w:rsidR="0004027B" w:rsidRPr="00FE2263">
        <w:instrText xml:space="preserve"> </w:instrText>
      </w:r>
      <w:r w:rsidR="0004027B" w:rsidRPr="00FE2263">
        <w:rPr>
          <w:lang w:val="en-US"/>
        </w:rPr>
        <w:instrText>the</w:instrText>
      </w:r>
      <w:r w:rsidR="0004027B" w:rsidRPr="00FE2263">
        <w:instrText xml:space="preserve"> 22 </w:instrText>
      </w:r>
      <w:r w:rsidR="0004027B" w:rsidRPr="00FE2263">
        <w:rPr>
          <w:lang w:val="en-US"/>
        </w:rPr>
        <w:instrText>patients</w:instrText>
      </w:r>
      <w:r w:rsidR="0004027B" w:rsidRPr="00FE2263">
        <w:instrText xml:space="preserve"> </w:instrText>
      </w:r>
      <w:r w:rsidR="0004027B" w:rsidRPr="00FE2263">
        <w:rPr>
          <w:lang w:val="en-US"/>
        </w:rPr>
        <w:instrText>given</w:instrText>
      </w:r>
      <w:r w:rsidR="0004027B" w:rsidRPr="00FE2263">
        <w:instrText xml:space="preserve"> </w:instrText>
      </w:r>
      <w:r w:rsidR="0004027B" w:rsidRPr="00FE2263">
        <w:rPr>
          <w:lang w:val="en-US"/>
        </w:rPr>
        <w:instrText>chlorambucil</w:instrText>
      </w:r>
      <w:r w:rsidR="0004027B" w:rsidRPr="00FE2263">
        <w:instrText xml:space="preserve"> </w:instrText>
      </w:r>
      <w:r w:rsidR="0004027B" w:rsidRPr="00FE2263">
        <w:rPr>
          <w:lang w:val="en-US"/>
        </w:rPr>
        <w:instrText>intermittently</w:instrText>
      </w:r>
      <w:r w:rsidR="0004027B" w:rsidRPr="00FE2263">
        <w:instrText xml:space="preserve"> </w:instrText>
      </w:r>
      <w:r w:rsidR="0004027B" w:rsidRPr="00FE2263">
        <w:rPr>
          <w:lang w:val="en-US"/>
        </w:rPr>
        <w:instrText>had</w:instrText>
      </w:r>
      <w:r w:rsidR="0004027B" w:rsidRPr="00FE2263">
        <w:instrText xml:space="preserve"> </w:instrText>
      </w:r>
      <w:r w:rsidR="0004027B" w:rsidRPr="00FE2263">
        <w:rPr>
          <w:lang w:val="en-US"/>
        </w:rPr>
        <w:instrText>an</w:instrText>
      </w:r>
      <w:r w:rsidR="0004027B" w:rsidRPr="00FE2263">
        <w:instrText xml:space="preserve"> </w:instrText>
      </w:r>
      <w:r w:rsidR="0004027B" w:rsidRPr="00FE2263">
        <w:rPr>
          <w:lang w:val="en-US"/>
        </w:rPr>
        <w:instrText>objective</w:instrText>
      </w:r>
      <w:r w:rsidR="0004027B" w:rsidRPr="00FE2263">
        <w:instrText xml:space="preserve"> </w:instrText>
      </w:r>
      <w:r w:rsidR="0004027B" w:rsidRPr="00FE2263">
        <w:rPr>
          <w:lang w:val="en-US"/>
        </w:rPr>
        <w:instrText>response</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size</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the</w:instrText>
      </w:r>
      <w:r w:rsidR="0004027B" w:rsidRPr="00FE2263">
        <w:instrText xml:space="preserve"> </w:instrText>
      </w:r>
      <w:r w:rsidR="0004027B" w:rsidRPr="00FE2263">
        <w:rPr>
          <w:lang w:val="en-US"/>
        </w:rPr>
        <w:instrText>liver</w:instrText>
      </w:r>
      <w:r w:rsidR="0004027B" w:rsidRPr="00FE2263">
        <w:instrText xml:space="preserve"> </w:instrText>
      </w:r>
      <w:r w:rsidR="0004027B" w:rsidRPr="00FE2263">
        <w:rPr>
          <w:lang w:val="en-US"/>
        </w:rPr>
        <w:instrText>decreased</w:instrText>
      </w:r>
      <w:r w:rsidR="0004027B" w:rsidRPr="00FE2263">
        <w:instrText xml:space="preserve"> </w:instrText>
      </w:r>
      <w:r w:rsidR="0004027B" w:rsidRPr="00FE2263">
        <w:rPr>
          <w:lang w:val="en-US"/>
        </w:rPr>
        <w:instrText>by</w:instrText>
      </w:r>
      <w:r w:rsidR="0004027B" w:rsidRPr="00FE2263">
        <w:instrText xml:space="preserve"> ≥2 </w:instrText>
      </w:r>
      <w:r w:rsidR="0004027B" w:rsidRPr="00FE2263">
        <w:rPr>
          <w:lang w:val="en-US"/>
        </w:rPr>
        <w:instrText>cm</w:instrText>
      </w:r>
      <w:r w:rsidR="0004027B" w:rsidRPr="00FE2263">
        <w:instrText xml:space="preserve"> </w:instrText>
      </w:r>
      <w:r w:rsidR="0004027B" w:rsidRPr="00FE2263">
        <w:rPr>
          <w:lang w:val="en-US"/>
        </w:rPr>
        <w:instrText>in 55% of patients, and the size of the spleen decreased ≥2 cm in 67%. Lymphadenopathy decreased in 71%. Acute leukaemia or refractory anaemia developed in four patients. The median duration of survival was 5.4 years, and there was no difference between the regimens. Chlorambucil is effective for the treatment of Waldenstrom's macroglobulinaemia. Patients must be treated for at least 6 months before therapy is abandoned because response is slow. Chlorambucil is an effective agent and should be compared with purine analogues or rituxan (Rituximab</w:instrText>
      </w:r>
      <w:r w:rsidR="0004027B" w:rsidRPr="00FE2263">
        <w:instrText xml:space="preserve">) </w:instrText>
      </w:r>
      <w:r w:rsidR="0004027B" w:rsidRPr="00FE2263">
        <w:rPr>
          <w:lang w:val="en-US"/>
        </w:rPr>
        <w:instrText>in</w:instrText>
      </w:r>
      <w:r w:rsidR="0004027B" w:rsidRPr="00FE2263">
        <w:instrText xml:space="preserve"> </w:instrText>
      </w:r>
      <w:r w:rsidR="0004027B" w:rsidRPr="00FE2263">
        <w:rPr>
          <w:lang w:val="en-US"/>
        </w:rPr>
        <w:instrText>a</w:instrText>
      </w:r>
      <w:r w:rsidR="0004027B" w:rsidRPr="00FE2263">
        <w:instrText xml:space="preserve"> </w:instrText>
      </w:r>
      <w:r w:rsidR="0004027B" w:rsidRPr="00FE2263">
        <w:rPr>
          <w:lang w:val="en-US"/>
        </w:rPr>
        <w:instrText>prospective</w:instrText>
      </w:r>
      <w:r w:rsidR="0004027B" w:rsidRPr="00FE2263">
        <w:instrText xml:space="preserve"> </w:instrText>
      </w:r>
      <w:r w:rsidR="0004027B" w:rsidRPr="00FE2263">
        <w:rPr>
          <w:lang w:val="en-US"/>
        </w:rPr>
        <w:instrText>study</w:instrText>
      </w:r>
      <w:r w:rsidR="0004027B" w:rsidRPr="00FE2263">
        <w:instrText>.","</w:instrText>
      </w:r>
      <w:r w:rsidR="0004027B" w:rsidRPr="00FE2263">
        <w:rPr>
          <w:lang w:val="en-US"/>
        </w:rPr>
        <w:instrText>author</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Kyle</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Robert</w:instrText>
      </w:r>
      <w:r w:rsidR="0004027B" w:rsidRPr="00FE2263">
        <w:instrText xml:space="preserve"> </w:instrText>
      </w:r>
      <w:r w:rsidR="0004027B" w:rsidRPr="00FE2263">
        <w:rPr>
          <w:lang w:val="en-US"/>
        </w:rPr>
        <w:instrText>A</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Greipp</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Philip</w:instrText>
      </w:r>
      <w:r w:rsidR="0004027B" w:rsidRPr="00FE2263">
        <w:instrText xml:space="preserve"> </w:instrText>
      </w:r>
      <w:r w:rsidR="0004027B" w:rsidRPr="00FE2263">
        <w:rPr>
          <w:lang w:val="en-US"/>
        </w:rPr>
        <w:instrText>R</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Gertz</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Morie</w:instrText>
      </w:r>
      <w:r w:rsidR="0004027B" w:rsidRPr="00FE2263">
        <w:instrText xml:space="preserve"> </w:instrText>
      </w:r>
      <w:r w:rsidR="0004027B" w:rsidRPr="00FE2263">
        <w:rPr>
          <w:lang w:val="en-US"/>
        </w:rPr>
        <w:instrText>A</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Witzig</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Thomas</w:instrText>
      </w:r>
      <w:r w:rsidR="0004027B" w:rsidRPr="00FE2263">
        <w:instrText xml:space="preserve"> </w:instrText>
      </w:r>
      <w:r w:rsidR="0004027B" w:rsidRPr="00FE2263">
        <w:rPr>
          <w:lang w:val="en-US"/>
        </w:rPr>
        <w:instrText>E</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Lust</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John</w:instrText>
      </w:r>
      <w:r w:rsidR="0004027B" w:rsidRPr="00FE2263">
        <w:instrText xml:space="preserve"> </w:instrText>
      </w:r>
      <w:r w:rsidR="0004027B" w:rsidRPr="00FE2263">
        <w:rPr>
          <w:lang w:val="en-US"/>
        </w:rPr>
        <w:instrText>A</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Lacy</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Martha</w:instrText>
      </w:r>
      <w:r w:rsidR="0004027B" w:rsidRPr="00FE2263">
        <w:instrText xml:space="preserve"> </w:instrText>
      </w:r>
      <w:r w:rsidR="0004027B" w:rsidRPr="00FE2263">
        <w:rPr>
          <w:lang w:val="en-US"/>
        </w:rPr>
        <w:instrText>Q</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family</w:instrText>
      </w:r>
      <w:r w:rsidR="0004027B" w:rsidRPr="00FE2263">
        <w:instrText>":"</w:instrText>
      </w:r>
      <w:r w:rsidR="0004027B" w:rsidRPr="00FE2263">
        <w:rPr>
          <w:lang w:val="en-US"/>
        </w:rPr>
        <w:instrText>Therneau</w:instrText>
      </w:r>
      <w:r w:rsidR="0004027B" w:rsidRPr="00FE2263">
        <w:instrText>","</w:instrText>
      </w:r>
      <w:r w:rsidR="0004027B" w:rsidRPr="00FE2263">
        <w:rPr>
          <w:lang w:val="en-US"/>
        </w:rPr>
        <w:instrText>given</w:instrText>
      </w:r>
      <w:r w:rsidR="0004027B" w:rsidRPr="00FE2263">
        <w:instrText>":"</w:instrText>
      </w:r>
      <w:r w:rsidR="0004027B" w:rsidRPr="00FE2263">
        <w:rPr>
          <w:lang w:val="en-US"/>
        </w:rPr>
        <w:instrText>Terry</w:instrText>
      </w:r>
      <w:r w:rsidR="0004027B" w:rsidRPr="00FE2263">
        <w:instrText xml:space="preserve"> </w:instrText>
      </w:r>
      <w:r w:rsidR="0004027B" w:rsidRPr="00FE2263">
        <w:rPr>
          <w:lang w:val="en-US"/>
        </w:rPr>
        <w:instrText>M</w:instrText>
      </w:r>
      <w:r w:rsidR="0004027B" w:rsidRPr="00FE2263">
        <w:instrText>.","</w:instrText>
      </w:r>
      <w:r w:rsidR="0004027B" w:rsidRPr="00FE2263">
        <w:rPr>
          <w:lang w:val="en-US"/>
        </w:rPr>
        <w:instrText>non</w:instrText>
      </w:r>
      <w:r w:rsidR="0004027B" w:rsidRPr="00FE2263">
        <w:instrText>-</w:instrText>
      </w:r>
      <w:r w:rsidR="0004027B" w:rsidRPr="00FE2263">
        <w:rPr>
          <w:lang w:val="en-US"/>
        </w:rPr>
        <w:instrText>dropping</w:instrText>
      </w:r>
      <w:r w:rsidR="0004027B" w:rsidRPr="00FE2263">
        <w:instrText>-</w:instrText>
      </w:r>
      <w:r w:rsidR="0004027B" w:rsidRPr="00FE2263">
        <w:rPr>
          <w:lang w:val="en-US"/>
        </w:rPr>
        <w:instrText>particle</w:instrText>
      </w:r>
      <w:r w:rsidR="0004027B" w:rsidRPr="00FE2263">
        <w:instrText>":"","</w:instrText>
      </w:r>
      <w:r w:rsidR="0004027B" w:rsidRPr="00FE2263">
        <w:rPr>
          <w:lang w:val="en-US"/>
        </w:rPr>
        <w:instrText>parse</w:instrText>
      </w:r>
      <w:r w:rsidR="0004027B" w:rsidRPr="00FE2263">
        <w:instrText>-</w:instrText>
      </w:r>
      <w:r w:rsidR="0004027B" w:rsidRPr="00FE2263">
        <w:rPr>
          <w:lang w:val="en-US"/>
        </w:rPr>
        <w:instrText>names</w:instrText>
      </w:r>
      <w:r w:rsidR="0004027B" w:rsidRPr="00FE2263">
        <w:instrText>":</w:instrText>
      </w:r>
      <w:r w:rsidR="0004027B" w:rsidRPr="00FE2263">
        <w:rPr>
          <w:lang w:val="en-US"/>
        </w:rPr>
        <w:instrText>false</w:instrText>
      </w:r>
      <w:r w:rsidR="0004027B" w:rsidRPr="00FE2263">
        <w:instrText>,"</w:instrText>
      </w:r>
      <w:r w:rsidR="0004027B" w:rsidRPr="00FE2263">
        <w:rPr>
          <w:lang w:val="en-US"/>
        </w:rPr>
        <w:instrText>suffix</w:instrText>
      </w:r>
      <w:r w:rsidR="0004027B" w:rsidRPr="00FE2263">
        <w:instrText>":""}],"</w:instrText>
      </w:r>
      <w:r w:rsidR="0004027B" w:rsidRPr="00FE2263">
        <w:rPr>
          <w:lang w:val="en-US"/>
        </w:rPr>
        <w:instrText>container</w:instrText>
      </w:r>
      <w:r w:rsidR="0004027B" w:rsidRPr="00FE2263">
        <w:instrText>-</w:instrText>
      </w:r>
      <w:r w:rsidR="0004027B" w:rsidRPr="00FE2263">
        <w:rPr>
          <w:lang w:val="en-US"/>
        </w:rPr>
        <w:instrText>title</w:instrText>
      </w:r>
      <w:r w:rsidR="0004027B" w:rsidRPr="00FE2263">
        <w:instrText>":"</w:instrText>
      </w:r>
      <w:r w:rsidR="0004027B" w:rsidRPr="00FE2263">
        <w:rPr>
          <w:lang w:val="en-US"/>
        </w:rPr>
        <w:instrText>British</w:instrText>
      </w:r>
      <w:r w:rsidR="0004027B" w:rsidRPr="00FE2263">
        <w:instrText xml:space="preserve"> </w:instrText>
      </w:r>
      <w:r w:rsidR="0004027B" w:rsidRPr="00FE2263">
        <w:rPr>
          <w:lang w:val="en-US"/>
        </w:rPr>
        <w:instrText>Journal</w:instrText>
      </w:r>
      <w:r w:rsidR="0004027B" w:rsidRPr="00FE2263">
        <w:instrText xml:space="preserve"> </w:instrText>
      </w:r>
      <w:r w:rsidR="0004027B" w:rsidRPr="00FE2263">
        <w:rPr>
          <w:lang w:val="en-US"/>
        </w:rPr>
        <w:instrText>of</w:instrText>
      </w:r>
      <w:r w:rsidR="0004027B" w:rsidRPr="00FE2263">
        <w:instrText xml:space="preserve"> </w:instrText>
      </w:r>
      <w:r w:rsidR="0004027B" w:rsidRPr="00FE2263">
        <w:rPr>
          <w:lang w:val="en-US"/>
        </w:rPr>
        <w:instrText>Haematology</w:instrText>
      </w:r>
      <w:r w:rsidR="0004027B" w:rsidRPr="00FE2263">
        <w:instrText>","</w:instrText>
      </w:r>
      <w:r w:rsidR="0004027B" w:rsidRPr="00FE2263">
        <w:rPr>
          <w:lang w:val="en-US"/>
        </w:rPr>
        <w:instrText>id</w:instrText>
      </w:r>
      <w:r w:rsidR="0004027B" w:rsidRPr="00FE2263">
        <w:instrText>":"</w:instrText>
      </w:r>
      <w:r w:rsidR="0004027B" w:rsidRPr="00FE2263">
        <w:rPr>
          <w:lang w:val="en-US"/>
        </w:rPr>
        <w:instrText>ITEM</w:instrText>
      </w:r>
      <w:r w:rsidR="0004027B" w:rsidRPr="00FE2263">
        <w:instrText>-1","</w:instrText>
      </w:r>
      <w:r w:rsidR="0004027B" w:rsidRPr="00FE2263">
        <w:rPr>
          <w:lang w:val="en-US"/>
        </w:rPr>
        <w:instrText>issue</w:instrText>
      </w:r>
      <w:r w:rsidR="0004027B" w:rsidRPr="00FE2263">
        <w:instrText>":"4","</w:instrText>
      </w:r>
      <w:r w:rsidR="0004027B" w:rsidRPr="00FE2263">
        <w:rPr>
          <w:lang w:val="en-US"/>
        </w:rPr>
        <w:instrText>issued</w:instrText>
      </w:r>
      <w:r w:rsidR="0004027B" w:rsidRPr="00FE2263">
        <w:instrText>":{"</w:instrText>
      </w:r>
      <w:r w:rsidR="0004027B" w:rsidRPr="00FE2263">
        <w:rPr>
          <w:lang w:val="en-US"/>
        </w:rPr>
        <w:instrText>date</w:instrText>
      </w:r>
      <w:r w:rsidR="0004027B" w:rsidRPr="00FE2263">
        <w:instrText>-</w:instrText>
      </w:r>
      <w:r w:rsidR="0004027B" w:rsidRPr="00FE2263">
        <w:rPr>
          <w:lang w:val="en-US"/>
        </w:rPr>
        <w:instrText>parts</w:instrText>
      </w:r>
      <w:r w:rsidR="0004027B" w:rsidRPr="00FE2263">
        <w:instrText>":[["2000","3"]]},"</w:instrText>
      </w:r>
      <w:r w:rsidR="0004027B" w:rsidRPr="00FE2263">
        <w:rPr>
          <w:lang w:val="en-US"/>
        </w:rPr>
        <w:instrText>page</w:instrText>
      </w:r>
      <w:r w:rsidR="0004027B" w:rsidRPr="00FE2263">
        <w:instrText>":"737-742","</w:instrText>
      </w:r>
      <w:r w:rsidR="0004027B" w:rsidRPr="00FE2263">
        <w:rPr>
          <w:lang w:val="en-US"/>
        </w:rPr>
        <w:instrText>title</w:instrText>
      </w:r>
      <w:r w:rsidR="0004027B" w:rsidRPr="00FE2263">
        <w:instrText>":"</w:instrText>
      </w:r>
      <w:r w:rsidR="0004027B" w:rsidRPr="00FE2263">
        <w:rPr>
          <w:lang w:val="en-US"/>
        </w:rPr>
        <w:instrText>Waldenstrom</w:instrText>
      </w:r>
      <w:r w:rsidR="0004027B" w:rsidRPr="00FE2263">
        <w:instrText>'</w:instrText>
      </w:r>
      <w:r w:rsidR="0004027B" w:rsidRPr="00FE2263">
        <w:rPr>
          <w:lang w:val="en-US"/>
        </w:rPr>
        <w:instrText>s</w:instrText>
      </w:r>
      <w:r w:rsidR="0004027B" w:rsidRPr="00FE2263">
        <w:instrText xml:space="preserve"> </w:instrText>
      </w:r>
      <w:r w:rsidR="0004027B" w:rsidRPr="00FE2263">
        <w:rPr>
          <w:lang w:val="en-US"/>
        </w:rPr>
        <w:instrText>macroglobulinaemia</w:instrText>
      </w:r>
      <w:r w:rsidR="0004027B" w:rsidRPr="00FE2263">
        <w:instrText xml:space="preserve">: </w:instrText>
      </w:r>
      <w:r w:rsidR="0004027B" w:rsidRPr="00FE2263">
        <w:rPr>
          <w:lang w:val="en-US"/>
        </w:rPr>
        <w:instrText>A</w:instrText>
      </w:r>
      <w:r w:rsidR="0004027B" w:rsidRPr="00FE2263">
        <w:instrText xml:space="preserve"> </w:instrText>
      </w:r>
      <w:r w:rsidR="0004027B" w:rsidRPr="00FE2263">
        <w:rPr>
          <w:lang w:val="en-US"/>
        </w:rPr>
        <w:instrText>prospective</w:instrText>
      </w:r>
      <w:r w:rsidR="0004027B" w:rsidRPr="00FE2263">
        <w:instrText xml:space="preserve"> </w:instrText>
      </w:r>
      <w:r w:rsidR="0004027B" w:rsidRPr="00FE2263">
        <w:rPr>
          <w:lang w:val="en-US"/>
        </w:rPr>
        <w:instrText>study</w:instrText>
      </w:r>
      <w:r w:rsidR="0004027B" w:rsidRPr="00FE2263">
        <w:instrText xml:space="preserve"> </w:instrText>
      </w:r>
      <w:r w:rsidR="0004027B" w:rsidRPr="00FE2263">
        <w:rPr>
          <w:lang w:val="en-US"/>
        </w:rPr>
        <w:instrText>comparing</w:instrText>
      </w:r>
      <w:r w:rsidR="0004027B" w:rsidRPr="00FE2263">
        <w:instrText xml:space="preserve"> </w:instrText>
      </w:r>
      <w:r w:rsidR="0004027B" w:rsidRPr="00FE2263">
        <w:rPr>
          <w:lang w:val="en-US"/>
        </w:rPr>
        <w:instrText>daily</w:instrText>
      </w:r>
      <w:r w:rsidR="0004027B" w:rsidRPr="00FE2263">
        <w:instrText xml:space="preserve"> </w:instrText>
      </w:r>
      <w:r w:rsidR="0004027B" w:rsidRPr="00FE2263">
        <w:rPr>
          <w:lang w:val="en-US"/>
        </w:rPr>
        <w:instrText>intermittent</w:instrText>
      </w:r>
      <w:r w:rsidR="0004027B" w:rsidRPr="00FE2263">
        <w:instrText xml:space="preserve"> </w:instrText>
      </w:r>
      <w:r w:rsidR="0004027B" w:rsidRPr="00FE2263">
        <w:rPr>
          <w:lang w:val="en-US"/>
        </w:rPr>
        <w:instrText>oral</w:instrText>
      </w:r>
      <w:r w:rsidR="0004027B" w:rsidRPr="00FE2263">
        <w:instrText xml:space="preserve"> </w:instrText>
      </w:r>
      <w:r w:rsidR="0004027B" w:rsidRPr="00FE2263">
        <w:rPr>
          <w:lang w:val="en-US"/>
        </w:rPr>
        <w:instrText>chlorambucil</w:instrText>
      </w:r>
      <w:r w:rsidR="0004027B" w:rsidRPr="00FE2263">
        <w:instrText>","</w:instrText>
      </w:r>
      <w:r w:rsidR="0004027B" w:rsidRPr="00FE2263">
        <w:rPr>
          <w:lang w:val="en-US"/>
        </w:rPr>
        <w:instrText>type</w:instrText>
      </w:r>
      <w:r w:rsidR="0004027B" w:rsidRPr="00FE2263">
        <w:instrText>":"</w:instrText>
      </w:r>
      <w:r w:rsidR="0004027B" w:rsidRPr="00FE2263">
        <w:rPr>
          <w:lang w:val="en-US"/>
        </w:rPr>
        <w:instrText>article</w:instrText>
      </w:r>
      <w:r w:rsidR="0004027B" w:rsidRPr="00FE2263">
        <w:instrText>-</w:instrText>
      </w:r>
      <w:r w:rsidR="0004027B" w:rsidRPr="00FE2263">
        <w:rPr>
          <w:lang w:val="en-US"/>
        </w:rPr>
        <w:instrText>journal</w:instrText>
      </w:r>
      <w:r w:rsidR="0004027B" w:rsidRPr="00FE2263">
        <w:instrText>","</w:instrText>
      </w:r>
      <w:r w:rsidR="0004027B" w:rsidRPr="00FE2263">
        <w:rPr>
          <w:lang w:val="en-US"/>
        </w:rPr>
        <w:instrText>volume</w:instrText>
      </w:r>
      <w:r w:rsidR="0004027B" w:rsidRPr="00FE2263">
        <w:instrText>":"108"},"</w:instrText>
      </w:r>
      <w:r w:rsidR="0004027B" w:rsidRPr="00FE2263">
        <w:rPr>
          <w:lang w:val="en-US"/>
        </w:rPr>
        <w:instrText>uris</w:instrText>
      </w:r>
      <w:r w:rsidR="0004027B" w:rsidRPr="00FE2263">
        <w:instrText>":["</w:instrText>
      </w:r>
      <w:r w:rsidR="0004027B" w:rsidRPr="00FE2263">
        <w:rPr>
          <w:lang w:val="en-US"/>
        </w:rPr>
        <w:instrText>http</w:instrText>
      </w:r>
      <w:r w:rsidR="0004027B" w:rsidRPr="00FE2263">
        <w:instrText>://</w:instrText>
      </w:r>
      <w:r w:rsidR="0004027B" w:rsidRPr="00FE2263">
        <w:rPr>
          <w:lang w:val="en-US"/>
        </w:rPr>
        <w:instrText>www</w:instrText>
      </w:r>
      <w:r w:rsidR="0004027B" w:rsidRPr="00FE2263">
        <w:instrText>.</w:instrText>
      </w:r>
      <w:r w:rsidR="0004027B" w:rsidRPr="00FE2263">
        <w:rPr>
          <w:lang w:val="en-US"/>
        </w:rPr>
        <w:instrText>mendeley</w:instrText>
      </w:r>
      <w:r w:rsidR="0004027B" w:rsidRPr="00FE2263">
        <w:instrText>.</w:instrText>
      </w:r>
      <w:r w:rsidR="0004027B" w:rsidRPr="00FE2263">
        <w:rPr>
          <w:lang w:val="en-US"/>
        </w:rPr>
        <w:instrText>com</w:instrText>
      </w:r>
      <w:r w:rsidR="0004027B" w:rsidRPr="00FE2263">
        <w:instrText>/</w:instrText>
      </w:r>
      <w:r w:rsidR="0004027B" w:rsidRPr="00FE2263">
        <w:rPr>
          <w:lang w:val="en-US"/>
        </w:rPr>
        <w:instrText>documents</w:instrText>
      </w:r>
      <w:r w:rsidR="0004027B" w:rsidRPr="00FE2263">
        <w:instrText>/?</w:instrText>
      </w:r>
      <w:r w:rsidR="0004027B" w:rsidRPr="00FE2263">
        <w:rPr>
          <w:lang w:val="en-US"/>
        </w:rPr>
        <w:instrText>uuid</w:instrText>
      </w:r>
      <w:r w:rsidR="0004027B" w:rsidRPr="00FE2263">
        <w:instrText>=</w:instrText>
      </w:r>
      <w:r w:rsidR="0004027B" w:rsidRPr="00FE2263">
        <w:rPr>
          <w:lang w:val="en-US"/>
        </w:rPr>
        <w:instrText>d</w:instrText>
      </w:r>
      <w:r w:rsidR="0004027B" w:rsidRPr="00FE2263">
        <w:instrText>09</w:instrText>
      </w:r>
      <w:r w:rsidR="0004027B" w:rsidRPr="00FE2263">
        <w:rPr>
          <w:lang w:val="en-US"/>
        </w:rPr>
        <w:instrText>cbf</w:instrText>
      </w:r>
      <w:r w:rsidR="0004027B" w:rsidRPr="00FE2263">
        <w:instrText>44-</w:instrText>
      </w:r>
      <w:r w:rsidR="0004027B" w:rsidRPr="00FE2263">
        <w:rPr>
          <w:lang w:val="en-US"/>
        </w:rPr>
        <w:instrText>f</w:instrText>
      </w:r>
      <w:r w:rsidR="0004027B" w:rsidRPr="00FE2263">
        <w:instrText>48</w:instrText>
      </w:r>
      <w:r w:rsidR="0004027B" w:rsidRPr="00FE2263">
        <w:rPr>
          <w:lang w:val="en-US"/>
        </w:rPr>
        <w:instrText>a</w:instrText>
      </w:r>
      <w:r w:rsidR="0004027B" w:rsidRPr="00FE2263">
        <w:instrText>-39</w:instrText>
      </w:r>
      <w:r w:rsidR="0004027B" w:rsidRPr="00FE2263">
        <w:rPr>
          <w:lang w:val="en-US"/>
        </w:rPr>
        <w:instrText>ee</w:instrText>
      </w:r>
      <w:r w:rsidR="0004027B" w:rsidRPr="00FE2263">
        <w:instrText>-</w:instrText>
      </w:r>
      <w:r w:rsidR="0004027B" w:rsidRPr="00FE2263">
        <w:rPr>
          <w:lang w:val="en-US"/>
        </w:rPr>
        <w:instrText>a</w:instrText>
      </w:r>
      <w:r w:rsidR="0004027B" w:rsidRPr="00FE2263">
        <w:instrText>5</w:instrText>
      </w:r>
      <w:r w:rsidR="0004027B" w:rsidRPr="00FE2263">
        <w:rPr>
          <w:lang w:val="en-US"/>
        </w:rPr>
        <w:instrText>dd</w:instrText>
      </w:r>
      <w:r w:rsidR="0004027B" w:rsidRPr="00FE2263">
        <w:instrText>-86</w:instrText>
      </w:r>
      <w:r w:rsidR="0004027B" w:rsidRPr="00FE2263">
        <w:rPr>
          <w:lang w:val="en-US"/>
        </w:rPr>
        <w:instrText>aad</w:instrText>
      </w:r>
      <w:r w:rsidR="0004027B" w:rsidRPr="00FE2263">
        <w:instrText>6</w:instrText>
      </w:r>
      <w:r w:rsidR="0004027B" w:rsidRPr="00FE2263">
        <w:rPr>
          <w:lang w:val="en-US"/>
        </w:rPr>
        <w:instrText>fd</w:instrText>
      </w:r>
      <w:r w:rsidR="0004027B" w:rsidRPr="00FE2263">
        <w:instrText>5010"]}],"</w:instrText>
      </w:r>
      <w:r w:rsidR="0004027B" w:rsidRPr="00FE2263">
        <w:rPr>
          <w:lang w:val="en-US"/>
        </w:rPr>
        <w:instrText>mendeley</w:instrText>
      </w:r>
      <w:r w:rsidR="0004027B" w:rsidRPr="00FE2263">
        <w:instrText>":{"</w:instrText>
      </w:r>
      <w:r w:rsidR="0004027B" w:rsidRPr="00FE2263">
        <w:rPr>
          <w:lang w:val="en-US"/>
        </w:rPr>
        <w:instrText>formattedCitation</w:instrText>
      </w:r>
      <w:r w:rsidR="0004027B" w:rsidRPr="00FE2263">
        <w:instrText>":"[30]","</w:instrText>
      </w:r>
      <w:r w:rsidR="0004027B" w:rsidRPr="00FE2263">
        <w:rPr>
          <w:lang w:val="en-US"/>
        </w:rPr>
        <w:instrText>plainTextFormattedCitation</w:instrText>
      </w:r>
      <w:r w:rsidR="0004027B" w:rsidRPr="00FE2263">
        <w:instrText>":"[30]","</w:instrText>
      </w:r>
      <w:r w:rsidR="0004027B" w:rsidRPr="00FE2263">
        <w:rPr>
          <w:lang w:val="en-US"/>
        </w:rPr>
        <w:instrText>previouslyFormattedCitation</w:instrText>
      </w:r>
      <w:r w:rsidR="0004027B" w:rsidRPr="00FE2263">
        <w:instrText>":"[30]"},"</w:instrText>
      </w:r>
      <w:r w:rsidR="0004027B" w:rsidRPr="00FE2263">
        <w:rPr>
          <w:lang w:val="en-US"/>
        </w:rPr>
        <w:instrText>properties</w:instrText>
      </w:r>
      <w:r w:rsidR="0004027B" w:rsidRPr="00FE2263">
        <w:instrText>":{"</w:instrText>
      </w:r>
      <w:r w:rsidR="0004027B" w:rsidRPr="00FE2263">
        <w:rPr>
          <w:lang w:val="en-US"/>
        </w:rPr>
        <w:instrText>noteIndex</w:instrText>
      </w:r>
      <w:r w:rsidR="0004027B" w:rsidRPr="00FE2263">
        <w:instrText>":0},"</w:instrText>
      </w:r>
      <w:r w:rsidR="0004027B" w:rsidRPr="00FE2263">
        <w:rPr>
          <w:lang w:val="en-US"/>
        </w:rPr>
        <w:instrText>schema</w:instrText>
      </w:r>
      <w:r w:rsidR="0004027B" w:rsidRPr="00FE2263">
        <w:instrText>":"</w:instrText>
      </w:r>
      <w:r w:rsidR="0004027B" w:rsidRPr="00FE2263">
        <w:rPr>
          <w:lang w:val="en-US"/>
        </w:rPr>
        <w:instrText>https</w:instrText>
      </w:r>
      <w:r w:rsidR="0004027B" w:rsidRPr="00FE2263">
        <w:instrText>://</w:instrText>
      </w:r>
      <w:r w:rsidR="0004027B" w:rsidRPr="00FE2263">
        <w:rPr>
          <w:lang w:val="en-US"/>
        </w:rPr>
        <w:instrText>github</w:instrText>
      </w:r>
      <w:r w:rsidR="0004027B" w:rsidRPr="00FE2263">
        <w:instrText>.</w:instrText>
      </w:r>
      <w:r w:rsidR="0004027B" w:rsidRPr="00FE2263">
        <w:rPr>
          <w:lang w:val="en-US"/>
        </w:rPr>
        <w:instrText>com</w:instrText>
      </w:r>
      <w:r w:rsidR="0004027B" w:rsidRPr="00FE2263">
        <w:instrText>/</w:instrText>
      </w:r>
      <w:r w:rsidR="0004027B" w:rsidRPr="00FE2263">
        <w:rPr>
          <w:lang w:val="en-US"/>
        </w:rPr>
        <w:instrText>citation</w:instrText>
      </w:r>
      <w:r w:rsidR="0004027B" w:rsidRPr="00FE2263">
        <w:instrText>-</w:instrText>
      </w:r>
      <w:r w:rsidR="0004027B" w:rsidRPr="00FE2263">
        <w:rPr>
          <w:lang w:val="en-US"/>
        </w:rPr>
        <w:instrText>style</w:instrText>
      </w:r>
      <w:r w:rsidR="0004027B" w:rsidRPr="00FE2263">
        <w:instrText>-</w:instrText>
      </w:r>
      <w:r w:rsidR="0004027B" w:rsidRPr="00FE2263">
        <w:rPr>
          <w:lang w:val="en-US"/>
        </w:rPr>
        <w:instrText>language</w:instrText>
      </w:r>
      <w:r w:rsidR="0004027B" w:rsidRPr="00FE2263">
        <w:instrText>/</w:instrText>
      </w:r>
      <w:r w:rsidR="0004027B" w:rsidRPr="00FE2263">
        <w:rPr>
          <w:lang w:val="en-US"/>
        </w:rPr>
        <w:instrText>schema</w:instrText>
      </w:r>
      <w:r w:rsidR="0004027B" w:rsidRPr="00FE2263">
        <w:instrText>/</w:instrText>
      </w:r>
      <w:r w:rsidR="0004027B" w:rsidRPr="00FE2263">
        <w:rPr>
          <w:lang w:val="en-US"/>
        </w:rPr>
        <w:instrText>raw</w:instrText>
      </w:r>
      <w:r w:rsidR="0004027B" w:rsidRPr="00FE2263">
        <w:instrText>/</w:instrText>
      </w:r>
      <w:r w:rsidR="0004027B" w:rsidRPr="00FE2263">
        <w:rPr>
          <w:lang w:val="en-US"/>
        </w:rPr>
        <w:instrText>master</w:instrText>
      </w:r>
      <w:r w:rsidR="0004027B" w:rsidRPr="00FE2263">
        <w:instrText>/</w:instrText>
      </w:r>
      <w:r w:rsidR="0004027B" w:rsidRPr="00FE2263">
        <w:rPr>
          <w:lang w:val="en-US"/>
        </w:rPr>
        <w:instrText>csl</w:instrText>
      </w:r>
      <w:r w:rsidR="0004027B" w:rsidRPr="00FE2263">
        <w:instrText>-</w:instrText>
      </w:r>
      <w:r w:rsidR="0004027B" w:rsidRPr="00FE2263">
        <w:rPr>
          <w:lang w:val="en-US"/>
        </w:rPr>
        <w:instrText>citation</w:instrText>
      </w:r>
      <w:r w:rsidR="0004027B" w:rsidRPr="00FE2263">
        <w:instrText>.</w:instrText>
      </w:r>
      <w:r w:rsidR="0004027B" w:rsidRPr="00FE2263">
        <w:rPr>
          <w:lang w:val="en-US"/>
        </w:rPr>
        <w:instrText>json</w:instrText>
      </w:r>
      <w:r w:rsidR="0004027B" w:rsidRPr="00FE2263">
        <w:instrText>"}</w:instrText>
      </w:r>
      <w:r w:rsidR="0004027B" w:rsidRPr="00FE2263">
        <w:rPr>
          <w:lang w:val="en-US"/>
        </w:rPr>
        <w:fldChar w:fldCharType="separate"/>
      </w:r>
      <w:r w:rsidR="0004027B" w:rsidRPr="00FE2263">
        <w:rPr>
          <w:noProof/>
        </w:rPr>
        <w:t>[30]</w:t>
      </w:r>
      <w:r w:rsidR="0004027B" w:rsidRPr="00FE2263">
        <w:rPr>
          <w:lang w:val="en-US"/>
        </w:rPr>
        <w:fldChar w:fldCharType="end"/>
      </w:r>
    </w:p>
    <w:bookmarkEnd w:id="111"/>
    <w:p w14:paraId="254FBC94" w14:textId="6DF36139" w:rsidR="00B16138" w:rsidRPr="00FE2263" w:rsidRDefault="00FB4B80" w:rsidP="007E22FB">
      <w:pPr>
        <w:pStyle w:val="afd"/>
        <w:spacing w:beforeAutospacing="0" w:afterAutospacing="0" w:line="360" w:lineRule="auto"/>
      </w:pPr>
      <w:r w:rsidRPr="00FE2263">
        <w:t>#</w:t>
      </w:r>
      <w:r w:rsidR="00B16138" w:rsidRPr="00FE2263">
        <w:t>Хлорамбуцил** – 0,1 мг/кг внутрь длительно под контролем клинического анализа крови до фазы плато</w:t>
      </w:r>
    </w:p>
    <w:p w14:paraId="7F024A4F" w14:textId="5539F105" w:rsidR="00B16138" w:rsidRPr="00FE2263" w:rsidRDefault="00FB4B80" w:rsidP="0010608C">
      <w:pPr>
        <w:pStyle w:val="afd"/>
        <w:numPr>
          <w:ilvl w:val="0"/>
          <w:numId w:val="22"/>
        </w:numPr>
        <w:spacing w:beforeAutospacing="0" w:afterAutospacing="0" w:line="360" w:lineRule="auto"/>
        <w:jc w:val="left"/>
      </w:pPr>
      <w:r w:rsidRPr="00277C09">
        <w:rPr>
          <w:rStyle w:val="affb"/>
          <w:u w:val="single"/>
        </w:rPr>
        <w:t>#</w:t>
      </w:r>
      <w:r w:rsidR="00B16138" w:rsidRPr="00277C09">
        <w:rPr>
          <w:rStyle w:val="affb"/>
          <w:u w:val="single"/>
        </w:rPr>
        <w:t>Хлорамбуцил</w:t>
      </w:r>
      <w:r w:rsidR="00B16138" w:rsidRPr="00277C09">
        <w:rPr>
          <w:u w:val="single"/>
        </w:rPr>
        <w:t>**</w:t>
      </w:r>
      <w:r w:rsidR="00B16138" w:rsidRPr="00277C09">
        <w:rPr>
          <w:rStyle w:val="affb"/>
          <w:u w:val="single"/>
        </w:rPr>
        <w:t xml:space="preserve"> + преднизолон</w:t>
      </w:r>
      <w:r w:rsidR="00B16138" w:rsidRPr="00277C09">
        <w:rPr>
          <w:u w:val="single"/>
        </w:rPr>
        <w:t>**</w:t>
      </w:r>
      <w:r w:rsidR="0004027B" w:rsidRPr="00FE2263">
        <w:t xml:space="preserve"> </w:t>
      </w:r>
      <w:r w:rsidR="0004027B" w:rsidRPr="00FE2263">
        <w:fldChar w:fldCharType="begin" w:fldLock="1"/>
      </w:r>
      <w:r w:rsidR="0004027B" w:rsidRPr="00FE2263">
        <w:instrText>ADDIN CSL_CITATION {"citationItems":[{"id":"ITEM-1","itemData":{"DOI":"10.1046/j.1365-2141.2000.01918.x","ISSN":"00071048","abstract":"This prospective study compared continuous and intermittent chlorambucil therapy of untreated Waldenstrom's macroglobulinaemia. The diagnosis was established by the presence of an IsM monoclonal (M-) protein in the serum, an infiltrate of lymphocytes and plasma cells in the bone marrow, anaemia or other laboratory abnormalities, physical findings or constitutional symptoms. Patients were randomized to receive chlorambucil 0.1 mg/kg/d or chlorambucil 0.3 mg/kg/d orally for 7 d, repeated every 6 weeks. Criteria for response included 50% or more reduction of serum M-protein, increase in haemoglobin level of 2 g/dl without transfusion, ≥ 50% decrease of urine M-protein, or a reduction of 2 cm in the size of the liver, spleen or lymph nodes. Forty-six patients were randomized to continuous chlorambucil (n = 24) or to intermittent chlorambucil (n = 22). Nineteen (79%) (95% CI = 58-93) of the 24 patients given continuous therapy had an objective improvement by either reduction of serum M-protein or increase in haemoglobin. Fifteen (68%) (95% CI = 45-86) of the 22 patients given chlorambucil intermittently had an objective response. The size of the liver decreased by ≥2 cm in 55% of patients, and the size of the spleen decreased ≥2 cm in 67%. Lymphadenopathy decreased in 71%. Acute leukaemia or refractory anaemia developed in four patients. The median duration of survival was 5.4 years, and there was no difference between the regimens. Chlorambucil is effective for the treatment of Waldenstrom's macroglobulinaemia. Patients must be treated for at least 6 months before therapy is abandoned because response is slow. Chlorambucil is an effective agent and should be compared with purine analogues or rituxan (Rituximab) in a prospective study.","author":[{"dropping-particle":"","family":"Kyle","given":"Robert A.","non-dropping-particle":"","parse-names":false,"suffix":""},{"dropping-particle":"","family":"Greipp","given":"Philip R.","non-dropping-particle":"","parse-names":false,"suffix":""},{"dropping-particle":"","family":"Gertz","given":"Morie A.","non-dropping-particle":"","parse-names":false,"suffix":""},{"dropping-particle":"","family":"Witzig","given":"Thomas E.","non-dropping-particle":"","parse-names":false,"suffix":""},{"dropping-particle":"","family":"Lust","given":"John A.","non-dropping-particle":"","parse-names":false,"suffix":""},{"dropping-particle":"","family":"Lacy","given":"Martha Q.","non-dropping-particle":"","parse-names":false,"suffix":""},{"dropping-particle":"","family":"Therneau","given":"Terry M.","non-dropping-particle":"","parse-names":false,"suffix":""}],"container-title":"British Journal of Haematology","id":"ITEM-1","issue":"4","issued":{"date-parts":[["2000","3"]]},"page":"737-742","title":"Waldenstrom's macroglobulinaemia: A prospective study comparing daily intermittent oral chlorambucil","type":"article-journal","volume":"108"},"uris":["http://www.mendeley.com/documents/?uuid=d09cbf44-f48a-39ee-a5dd-86aad6fd5010"]}],"mendeley":{"formattedCitation":"[30]","plainTextFormattedCitation":"[30]","previouslyFormattedCitation":"[30]"},"properties":{"noteIndex":0},"schema":"https://github.com/citation-style-language/schema/raw/master/csl-citation.json"}</w:instrText>
      </w:r>
      <w:r w:rsidR="0004027B" w:rsidRPr="00FE2263">
        <w:fldChar w:fldCharType="separate"/>
      </w:r>
      <w:r w:rsidR="0004027B" w:rsidRPr="00FE2263">
        <w:rPr>
          <w:noProof/>
        </w:rPr>
        <w:t>[30]</w:t>
      </w:r>
      <w:r w:rsidR="0004027B" w:rsidRPr="00FE2263">
        <w:fldChar w:fldCharType="end"/>
      </w:r>
    </w:p>
    <w:p w14:paraId="15E9C305" w14:textId="2CE5B062" w:rsidR="00B16138" w:rsidRPr="00FE2263" w:rsidRDefault="00FB4B80" w:rsidP="007E22FB">
      <w:pPr>
        <w:pStyle w:val="afd"/>
        <w:spacing w:beforeAutospacing="0" w:afterAutospacing="0" w:line="360" w:lineRule="auto"/>
      </w:pPr>
      <w:r w:rsidRPr="00FE2263">
        <w:t>#</w:t>
      </w:r>
      <w:r w:rsidR="00B16138" w:rsidRPr="00FE2263">
        <w:t>Хлорамбуцил** – 6-8 мг внутрь, дни 1-7</w:t>
      </w:r>
    </w:p>
    <w:p w14:paraId="43EB5648" w14:textId="02AC7001" w:rsidR="00B16138" w:rsidRPr="00FE2263" w:rsidRDefault="00FB4B80" w:rsidP="007E22FB">
      <w:pPr>
        <w:pStyle w:val="afd"/>
        <w:spacing w:beforeAutospacing="0" w:afterAutospacing="0" w:line="360" w:lineRule="auto"/>
      </w:pPr>
      <w:r w:rsidRPr="00FE2263">
        <w:t>#</w:t>
      </w:r>
      <w:r w:rsidR="00B16138" w:rsidRPr="00FE2263">
        <w:t>Преднизолон** – 50 мг внутрь, дни 1-7</w:t>
      </w:r>
    </w:p>
    <w:p w14:paraId="3659DC3A" w14:textId="77777777" w:rsidR="00B16138" w:rsidRPr="00FE2263" w:rsidRDefault="00B16138" w:rsidP="007E22FB">
      <w:pPr>
        <w:pStyle w:val="afd"/>
        <w:spacing w:beforeAutospacing="0" w:afterAutospacing="0" w:line="360" w:lineRule="auto"/>
      </w:pPr>
      <w:r w:rsidRPr="00FE2263">
        <w:t>Лечение возобновляется на 29-43-й день</w:t>
      </w:r>
    </w:p>
    <w:p w14:paraId="30626F45" w14:textId="61188981" w:rsidR="00B16138" w:rsidRPr="00FE2263" w:rsidRDefault="00B16138" w:rsidP="0010608C">
      <w:pPr>
        <w:pStyle w:val="afd"/>
        <w:numPr>
          <w:ilvl w:val="0"/>
          <w:numId w:val="21"/>
        </w:numPr>
        <w:spacing w:beforeAutospacing="0" w:afterAutospacing="0" w:line="360" w:lineRule="auto"/>
        <w:jc w:val="left"/>
      </w:pPr>
      <w:r w:rsidRPr="00FE2263">
        <w:rPr>
          <w:rStyle w:val="affb"/>
          <w:u w:val="single"/>
        </w:rPr>
        <w:t>Монотерапия ибрутинибом</w:t>
      </w:r>
      <w:r w:rsidRPr="00277C09">
        <w:rPr>
          <w:u w:val="single"/>
        </w:rPr>
        <w:t>**</w:t>
      </w:r>
      <w:r w:rsidR="004B21E9" w:rsidRPr="00FE2263">
        <w:t xml:space="preserve"> (для пациентов 18 лет и старше)</w:t>
      </w:r>
      <w:r w:rsidR="0004027B" w:rsidRPr="00FE2263">
        <w:t xml:space="preserve"> </w:t>
      </w:r>
      <w:r w:rsidR="0004027B" w:rsidRPr="00FE2263">
        <w:fldChar w:fldCharType="begin" w:fldLock="1"/>
      </w:r>
      <w:r w:rsidR="003D2163" w:rsidRPr="00FE2263">
        <w:instrText>ADDIN CSL_CITATION {"citationItems":[{"id":"ITEM-1","itemData":{"ISBN":"0028-4793","ISSN":"0028-4793","PMID":"25853747","abstract":"BackgroundMYD88L265P and CXCR4WHIM mutations are highly prevalent in Waldenström’s macroglobulinemia. MYD88L265P triggers tumor-cell growth through Bruton’s tyrosine kinase, a target of ibrutinib. CXCR4WHIM mutations confer in vitro resistance to ibrutinib. MethodsWe performed a prospective study of ibrutinib in 63 symptomatic patients with Waldenström’s macroglobulinemia who had received at least one previous treatment, and we investigated the effect of MYD88 and CXCR4 mutations on outcomes. Ibrutinib at a daily dose of 420 mg was administered orally until disease progression or the development of unacceptable toxic effects. ResultsAfter the patients received ibrutinib, median serum IgM levels decreased from 3520 mg per deciliter to 880 mg per deciliter, median hemoglobin levels increased from 10.5 g per deciliter to 13.8 g per deciliter, and bone marrow involvement decreased from 60% to 25% (P&lt;0.01 for all comparisons). The median time to at least a minor response was 4 weeks. The overall response rate ...","author":[{"dropping-particle":"","family":"Treon","given":"Steven P.","non-dropping-particle":"","parse-names":false,"suffix":""},{"dropping-particle":"","family":"Tripsas","given":"Christina K.","non-dropping-particle":"","parse-names":false,"suffix":""},{"dropping-particle":"","family":"Meid","given":"Kirsten","non-dropping-particle":"","parse-names":false,"suffix":""},{"dropping-particle":"","family":"Warren","given":"Diane","non-dropping-particle":"","parse-names":false,"suffix":""},{"dropping-particle":"","family":"Varma","given":"Gaurav","non-dropping-particle":"","parse-names":false,"suffix":""},{"dropping-particle":"","family":"Green","given":"Rebecca","non-dropping-particle":"","parse-names":false,"suffix":""},{"dropping-particle":"V.","family":"Argyropoulos","given":"Kimon","non-dropping-particle":"","parse-names":false,"suffix":""},{"dropping-particle":"","family":"Yang","given":"Guang","non-dropping-particle":"","parse-names":false,"suffix":""},{"dropping-particle":"","family":"Cao","given":"Yang","non-dropping-particle":"","parse-names":false,"suffix":""},{"dropping-particle":"","family":"Xu","given":"Lian","non-dropping-particle":"","parse-names":false,"suffix":""},{"dropping-particle":"","family":"Patterson","given":"Christopher J.","non-dropping-particle":"","parse-names":false,"suffix":""},{"dropping-particle":"","family":"Rodig","given":"Scott","non-dropping-particle":"","parse-names":false,"suffix":""},{"dropping-particle":"","family":"Zehnder","given":"James L.","non-dropping-particle":"","parse-names":false,"suffix":""},{"dropping-particle":"","family":"Aster","given":"Jon C.","non-dropping-particle":"","parse-names":false,"suffix":""},{"dropping-particle":"","family":"Harris","given":"Nancy Lee","non-dropping-particle":"","parse-names":false,"suffix":""},{"dropping-particle":"","family":"Kanan","given":"Sandra","non-dropping-particle":"","parse-names":false,"suffix":""},{"dropping-particle":"","family":"Ghobrial","given":"Irene","non-dropping-particle":"","parse-names":false,"suffix":""},{"dropping-particle":"","family":"Castillo","given":"Jorge J.","non-dropping-particle":"","parse-names":false,"suffix":""},{"dropping-particle":"","family":"Laubach","given":"Jacob P.","non-dropping-particle":"","parse-names":false,"suffix":""},{"dropping-particle":"","family":"Hunter","given":"Zachary R.","non-dropping-particle":"","parse-names":false,"suffix":""},{"dropping-particle":"","family":"Salman","given":"Zeena","non-dropping-particle":"","parse-names":false,"suffix":""},{"dropping-particle":"","family":"Li","given":"Jianling","non-dropping-particle":"","parse-names":false,"suffix":""},{"dropping-particle":"","family":"Cheng","given":"Mei","non-dropping-particle":"","parse-names":false,"suffix":""},{"dropping-particle":"","family":"Clow","given":"Fong","non-dropping-particle":"","parse-names":false,"suffix":""},{"dropping-particle":"","family":"Graef","given":"Thorsten","non-dropping-particle":"","parse-names":false,"suffix":""},{"dropping-particle":"","family":"Palomba","given":"M. Lia","non-dropping-particle":"","parse-names":false,"suffix":""},{"dropping-particle":"","family":"Advani","given":"Ranjana H.","non-dropping-particle":"","parse-names":false,"suffix":""}],"container-title":"New England Journal of Medicine","id":"ITEM-1","issue":"15","issued":{"date-parts":[["2015"]]},"page":"1430-1440","title":"Ibrutinib in Previously Treated Waldenström’s Macroglobulinemia. Supplemental Appendix.","type":"article-journal","volume":"372"},"uris":["http://www.mendeley.com/documents/?uuid=454ad98e-da71-3be6-bb20-5af4b1625925"]},{"id":"ITEM-2","itemData":{"DOI":"10.1200/JCO.2018.78.6426","ISSN":"15277755","abstract":"Purpose Ibrutinib is active in previously treated Waldenström macroglobulinemia (WM). MYD88 mutations (MYD88 MUT) and CXCR4 mutations (CXCR4MUT) affect ibrutinib response. We report on a prospective study of ibrutinib monotherapy in symptomatic, untreated patients with WM, and the effect of CXCR4 MUT status on outcome. Patients and Methods Symptomatic, treatment-naïve patients with WM were eligible. Ibrutinib (420 mg) was administered daily until progressionorunacceptable toxicity. All tumors were genotyped for MYD88MUT and CXCR4 MUT. Results A total of 30 patients with WM received ibrutinib. All carried MYD88 MUT, and 14 (47%) carried a CXCR4 MUT. After ibrutinib treatment, median serum IgM levels declined from 4,370 to 1,513 mg/dL, bone marrow involvement declined from 65% to 20%, and hemoglobin level rose from 10.3 to 13.9 g/dL (P, .001 for all comparisons). Overall (minor or more than minor) and major (partial or greater than partial) responses for all patients were 100% and 83%, respectively. Rates of major (94% v 71%) and very good partial (31 v 7%) responses were higher and time to major responses more rapid (1.8 v 7.3 months; P = 0.01) in patients with wildtypeCXCR4versus those with CXCR4MUT, respectively. With a median follow-up of 14.6 months, disease in two patients (both with CXCR4MUT) progressed. The 18-month, estimated progression-free survival is 92% (95% CI, 73% to 98%). All patients are alive. Grade 2/3 treatment-related toxicities in . 5% of patients included arthralgia (7%), bruising (7%), neutropenia (7%), upper respiratory tract infection (7%), urinary tract infection (7%), atrial fibrillation (10%), and hypertension (13%). There were no grade 4 or unexpected toxicities. Conclusion Ibrutinib is highly active, produces durable responses, and is safe as primary therapy in patients with symptomatic WM. CXCR4 MUT status affects responses to ibrutinib.","author":[{"dropping-particle":"","family":"Treon","given":"Steven P.","non-dropping-particle":"","parse-names":false,"suffix":""},{"dropping-particle":"","family":"Gustine","given":"Joshua","non-dropping-particle":"","parse-names":false,"suffix":""},{"dropping-particle":"","family":"Meid","given":"Kirsten","non-dropping-particle":"","parse-names":false,"suffix":""},{"dropping-particle":"","family":"Yang","given":"Guang","non-dropping-particle":"","parse-names":false,"suffix":""},{"dropping-particle":"","family":"Xu","given":"Lian","non-dropping-particle":"","parse-names":false,"suffix":""},{"dropping-particle":"","family":"Liu","given":"Xia","non-dropping-particle":"","parse-names":false,"suffix":""},{"dropping-particle":"","family":"Demos","given":"Maria","non-dropping-particle":"","parse-names":false,"suffix":""},{"dropping-particle":"","family":"Kofides","given":"Amanda","non-dropping-particle":"","parse-names":false,"suffix":""},{"dropping-particle":"","family":"Tsakmaklis","given":"Nicholas","non-dropping-particle":"","parse-names":false,"suffix":""},{"dropping-particle":"","family":"Chen","given":"Jiaji G.","non-dropping-particle":"","parse-names":false,"suffix":""},{"dropping-particle":"","family":"Munshi","given":"Manit","non-dropping-particle":"","parse-names":false,"suffix":""},{"dropping-particle":"","family":"Chan","given":"Gloria","non-dropping-particle":"","parse-names":false,"suffix":""},{"dropping-particle":"","family":"Dubeau","given":"Toni","non-dropping-particle":"","parse-names":false,"suffix":""},{"dropping-particle":"","family":"Raje","given":"Noopur","non-dropping-particle":"","parse-names":false,"suffix":""},{"dropping-particle":"","family":"Yee","given":"Andrew","non-dropping-particle":"","parse-names":false,"suffix":""},{"dropping-particle":"","family":"O’Donnell","given":"Elizabeth","non-dropping-particle":"","parse-names":false,"suffix":""},{"dropping-particle":"","family":"Hunter","given":"Zachary R.","non-dropping-particle":"","parse-names":false,"suffix":""},{"dropping-particle":"","family":"Castillo","given":"Jorge J.","non-dropping-particle":"","parse-names":false,"suffix":""}],"container-title":"Journal of Clinical Oncology","id":"ITEM-2","issue":"27","issued":{"date-parts":[["2018","9","20"]]},"page":"2755-2761","publisher":"American Society of Clinical Oncology","title":"Ibrutinib monotherapy in symptomatic, treatment-naïve patients with waldenström macroglobulinemia","type":"article-journal","volume":"36"},"uris":["http://www.mendeley.com/documents/?uuid=bc17dd92-a90e-389d-b969-2cb744dd417f"]}],"mendeley":{"formattedCitation":"[31,35]","plainTextFormattedCitation":"[31,35]","previouslyFormattedCitation":"[31,35]"},"properties":{"noteIndex":0},"schema":"https://github.com/citation-style-language/schema/raw/master/csl-citation.json"}</w:instrText>
      </w:r>
      <w:r w:rsidR="0004027B" w:rsidRPr="00FE2263">
        <w:fldChar w:fldCharType="separate"/>
      </w:r>
      <w:r w:rsidR="0004027B" w:rsidRPr="00FE2263">
        <w:rPr>
          <w:noProof/>
        </w:rPr>
        <w:t>[31,35]</w:t>
      </w:r>
      <w:r w:rsidR="0004027B" w:rsidRPr="00FE2263">
        <w:fldChar w:fldCharType="end"/>
      </w:r>
    </w:p>
    <w:p w14:paraId="4B536782" w14:textId="6CD0BBCB" w:rsidR="00B16138" w:rsidRDefault="00B16138" w:rsidP="007E22FB">
      <w:pPr>
        <w:pStyle w:val="afd"/>
        <w:spacing w:beforeAutospacing="0" w:afterAutospacing="0" w:line="360" w:lineRule="auto"/>
      </w:pPr>
      <w:r w:rsidRPr="00FE2263">
        <w:t>Ибрутиниб</w:t>
      </w:r>
      <w:r w:rsidR="00277C09">
        <w:t>**</w:t>
      </w:r>
      <w:r w:rsidRPr="00FE2263">
        <w:t xml:space="preserve"> 420 мг внутрь, ежедневно, до прогрессирования или развития непереносимой токсичности</w:t>
      </w:r>
    </w:p>
    <w:p w14:paraId="1A42C1F5" w14:textId="3A6B2667" w:rsidR="00277C09" w:rsidRDefault="00277C09" w:rsidP="007E22FB">
      <w:pPr>
        <w:pStyle w:val="afd"/>
        <w:spacing w:beforeAutospacing="0" w:afterAutospacing="0" w:line="360" w:lineRule="auto"/>
      </w:pPr>
    </w:p>
    <w:p w14:paraId="78C70324" w14:textId="0B54A28C" w:rsidR="00277C09" w:rsidRPr="00A61729" w:rsidRDefault="00277C09" w:rsidP="00277C09">
      <w:pPr>
        <w:pStyle w:val="2"/>
        <w:spacing w:before="0"/>
      </w:pPr>
      <w:bookmarkStart w:id="112" w:name="_Toc66184341"/>
      <w:r w:rsidRPr="00FE2263">
        <w:t>Приложение А3.</w:t>
      </w:r>
      <w:r>
        <w:t xml:space="preserve">2. </w:t>
      </w:r>
      <w:r w:rsidR="00A61729">
        <w:t>Особенности введения ритуксимаба</w:t>
      </w:r>
      <w:r w:rsidR="00A61729" w:rsidRPr="00A61729">
        <w:t>**</w:t>
      </w:r>
      <w:bookmarkEnd w:id="112"/>
    </w:p>
    <w:p w14:paraId="6AAF7CF7" w14:textId="557E460C" w:rsidR="007F4DE8" w:rsidRPr="00A61729" w:rsidRDefault="00A61729" w:rsidP="00A61729">
      <w:pPr>
        <w:tabs>
          <w:tab w:val="left" w:pos="0"/>
        </w:tabs>
        <w:ind w:firstLine="0"/>
        <w:rPr>
          <w:rFonts w:cs="Times New Roman"/>
          <w:i/>
          <w:color w:val="000000" w:themeColor="text1"/>
          <w:lang w:eastAsia="ru-RU"/>
        </w:rPr>
      </w:pPr>
      <w:r>
        <w:rPr>
          <w:rFonts w:cs="Times New Roman"/>
          <w:i/>
          <w:color w:val="000000" w:themeColor="text1"/>
          <w:lang w:eastAsia="ru-RU"/>
        </w:rPr>
        <w:tab/>
      </w:r>
      <w:r w:rsidR="007F4DE8" w:rsidRPr="00F975FA">
        <w:rPr>
          <w:rFonts w:cs="Times New Roman"/>
          <w:i/>
          <w:color w:val="000000" w:themeColor="text1"/>
          <w:lang w:eastAsia="ru-RU"/>
        </w:rPr>
        <w:t>Внутривенное применение</w:t>
      </w:r>
      <w:r w:rsidRPr="00F975FA">
        <w:rPr>
          <w:rFonts w:cs="Times New Roman"/>
          <w:i/>
          <w:color w:val="000000" w:themeColor="text1"/>
          <w:lang w:eastAsia="ru-RU"/>
        </w:rPr>
        <w:t xml:space="preserve"> </w:t>
      </w:r>
      <w:r w:rsidRPr="00F975FA">
        <w:rPr>
          <w:rFonts w:cs="Times New Roman"/>
          <w:b/>
          <w:i/>
          <w:color w:val="000000" w:themeColor="text1"/>
          <w:u w:val="single"/>
          <w:lang w:val="en-US"/>
        </w:rPr>
        <w:fldChar w:fldCharType="begin" w:fldLock="1"/>
      </w:r>
      <w:r w:rsidR="009D41F9">
        <w:rPr>
          <w:rFonts w:cs="Times New Roman"/>
          <w:b/>
          <w:i/>
          <w:color w:val="000000" w:themeColor="text1"/>
          <w:u w:val="single"/>
          <w:lang w:val="en-US"/>
        </w:rPr>
        <w:instrText>ADDIN CSL_CITATION {"citationItems":[{"id":"ITEM-1","itemData":{"author":[{"dropping-particle":"","family":"Haanen","given":"J. B.A.G.","non-dropping-particle":"","parse-names":false,"suffix":""},{"dropping-particle":"","family":"Carbonnel","given":"F.","non-dropping-particle":"","parse-names":false,"suffix":""},{"dropping-particle":"","family":"Robert","given":"C.","non-dropping-particle":"","parse-names":false,"suffix":""},{"dropping-particle":"","family":"Kerr","given":"K. M.","non-dropping-particle":"","parse-names":false,"suffix":""},{"dropping-particle":"","family":"Peters","given":"S.","non-dropping-particle":"","parse-names":false,"suffix":""},{"dropping-particle":"","family":"Larkin","given":"J.","non-dropping-particle":"","parse-names":false,"suffix":""},{"dropping-particle":"","family":"Jordan","given":"K.","non-dropping-particle":"","parse-names":false,"suffix":""}],"container-title":"Annals of Oncology","id":"ITEM-1","issue":"Supp. 4","issued":{"date-parts":[["2018"]]},"page":"iv264-iv266","title":"Management of toxicities from immunotherapy: ESMO Clinical Practice Guidelines for diagnosis, treatment and follow-up","type":"article-journal","volume":"29"},"uris":["http://www.mendeley.com/documents/?uuid=891e60f6-27c0-495a-98e2-222a2574c98e"]},{"id":"ITEM-2","itemData":{"DOI":"10.1179/1973947815Y.0000000025","ISSN":"19739478","PMID":"25872413","abstract":"Purpose: Rituximab is a monoclonal antibody targetting the CD20 antigen with the ability to increase overall remission (OR) in B-cell non-Hodgkin’s lymphoma (B-NHL). A systematic review and meta-analysis were conducted to determine the risk of the most clinically relevant severe and fatal adverse events (AEs) associated with the use of rituximab in the treatment of B-NHL. Patients and methods: We included phase III clinical trials that used chemotherapy in combination with rituximab or chemotherapy alone as for B-NHL. Statistical analyses were conducted to calculate summary risk ratio (RR) of the relevant severe and fatal AEs related with rituximab. Results: Eight randomised controlled clinical trials were included in this meta-analysis. Summary RR obtained showed no statistically significant rituximab-associated increased risk in 13 severe adverse events (SAEs) (infection, fever, anaemia, thrombocytopaenia, granulocytopenia, liver toxicity, cardiac toxicity, neurologic toxicity, lung toxicity, mucositis, nausea/vomiting, diarrhoea, alopecia) except leukocytopenia (36.4% versus 31%; RR51.13; 95%CI, 1.01–1.27; P50.03). The incidences of fatal AEs showed noteworthy difference between rituximab group and control group (RR51.45; 95% CI, 1.04–2.02; P50.03). Conclusion: This meta-analysis indicates that there was no proof of statistically higher incidence of most SAEs in rituximab containing group compared with chemotherapy alone. However, fatal infections were more frequently observed in patients who received rituximab. Considering the low-incidence infectioninduced death during the treatment period, the effects of rituximab on infections need further investigation.","author":[{"dropping-particle":"","family":"Hua","given":"Qingling","non-dropping-particle":"","parse-names":false,"suffix":""},{"dropping-particle":"","family":"Zhu","given":"Yanzhe","non-dropping-particle":"","parse-names":false,"suffix":""},{"dropping-particle":"","family":"Liu","given":"Hu","non-dropping-particle":"","parse-names":false,"suffix":""}],"container-title":"Journal of Chemotherapy","id":"ITEM-2","issued":{"date-parts":[["2015"]]},"title":"Severe and fatal adverse events risk associated with rituximab addition to b-cell non-hodgkin’s lymphoma (B-NHL) chemotherapy: A meta-analysis","type":"article-journal"},"uris":["http://www.mendeley.com/documents/?uuid=a993da07-fb07-41c0-8d06-4d598ab3f684"]}],"mendeley":{"formattedCitation":"[66,67]","plainTextFormattedCitation":"[66,67]","previouslyFormattedCitation":"[66,67]"},"properties":{"noteIndex":0},"schema":"https://github.com/citation-style-language/schema/raw/master/csl-citation.json"}</w:instrText>
      </w:r>
      <w:r w:rsidRPr="00F975FA">
        <w:rPr>
          <w:rFonts w:cs="Times New Roman"/>
          <w:b/>
          <w:i/>
          <w:color w:val="000000" w:themeColor="text1"/>
          <w:u w:val="single"/>
          <w:lang w:val="en-US"/>
        </w:rPr>
        <w:fldChar w:fldCharType="separate"/>
      </w:r>
      <w:r w:rsidR="004C3BA5" w:rsidRPr="004C3BA5">
        <w:rPr>
          <w:rFonts w:cs="Times New Roman"/>
          <w:noProof/>
          <w:color w:val="000000" w:themeColor="text1"/>
        </w:rPr>
        <w:t>[66,67]</w:t>
      </w:r>
      <w:r w:rsidRPr="00F975FA">
        <w:rPr>
          <w:rFonts w:cs="Times New Roman"/>
          <w:b/>
          <w:i/>
          <w:color w:val="000000" w:themeColor="text1"/>
          <w:u w:val="single"/>
          <w:lang w:val="en-US"/>
        </w:rPr>
        <w:fldChar w:fldCharType="end"/>
      </w:r>
      <w:r w:rsidR="007F4DE8" w:rsidRPr="00F975FA">
        <w:rPr>
          <w:rFonts w:cs="Times New Roman"/>
          <w:i/>
          <w:color w:val="000000" w:themeColor="text1"/>
          <w:lang w:eastAsia="ru-RU"/>
        </w:rPr>
        <w:t>:</w:t>
      </w:r>
      <w:r w:rsidR="007F4DE8" w:rsidRPr="00A61729">
        <w:rPr>
          <w:rFonts w:cs="Times New Roman"/>
          <w:i/>
          <w:color w:val="000000" w:themeColor="text1"/>
          <w:lang w:eastAsia="ru-RU"/>
        </w:rPr>
        <w:t xml:space="preserve"> </w:t>
      </w:r>
    </w:p>
    <w:p w14:paraId="6959FD80" w14:textId="77777777" w:rsidR="007F4DE8" w:rsidRPr="00CB3251" w:rsidRDefault="007F4DE8" w:rsidP="007F4DE8">
      <w:pPr>
        <w:tabs>
          <w:tab w:val="left" w:pos="0"/>
        </w:tabs>
        <w:rPr>
          <w:rFonts w:cs="Times New Roman"/>
          <w:color w:val="000000" w:themeColor="text1"/>
          <w:lang w:eastAsia="ru-RU"/>
        </w:rPr>
      </w:pPr>
      <w:r w:rsidRPr="00CB3251">
        <w:rPr>
          <w:rFonts w:cs="Times New Roman"/>
          <w:color w:val="000000" w:themeColor="text1"/>
          <w:lang w:eastAsia="ru-RU"/>
        </w:rPr>
        <w:t>Стандартная дозировка препарата на разовое введение составляет 375 мг/м</w:t>
      </w:r>
      <w:r w:rsidRPr="00CB3251">
        <w:rPr>
          <w:rFonts w:cs="Times New Roman"/>
          <w:color w:val="000000" w:themeColor="text1"/>
          <w:vertAlign w:val="superscript"/>
          <w:lang w:eastAsia="ru-RU"/>
        </w:rPr>
        <w:t>2</w:t>
      </w:r>
      <w:r w:rsidRPr="00CB3251">
        <w:rPr>
          <w:rFonts w:cs="Times New Roman"/>
          <w:color w:val="000000" w:themeColor="text1"/>
          <w:lang w:eastAsia="ru-RU"/>
        </w:rPr>
        <w:t>. Необходимое количество препарата набирают в асептических условиях и разводят до расчетной концентрации (1–4 мг/мл) в инфузионном флаконе (пакете) с 0,9% раствором натрия хлорида для инъекции или 5% раствором декстрозы (растворы должны быть стерильными и апирогенными). Приготовленный инфузионный раствор стабилен в течение 12 ч при комнатной температуре или в течение не более 24 ч при температуре от 2 до 8 °C. Препарат вводят внутривенно, инфузионно (медленно), через отдельный катетер.   Препарат нельзя вводить в/в болюсно или в виде в/в инъекций.</w:t>
      </w:r>
    </w:p>
    <w:p w14:paraId="3C5EF550" w14:textId="77777777" w:rsidR="007F4DE8" w:rsidRPr="00CB3251" w:rsidRDefault="007F4DE8" w:rsidP="007F4DE8">
      <w:pPr>
        <w:tabs>
          <w:tab w:val="left" w:pos="0"/>
        </w:tabs>
        <w:rPr>
          <w:rFonts w:cs="Times New Roman"/>
          <w:color w:val="000000" w:themeColor="text1"/>
          <w:lang w:eastAsia="ru-RU"/>
        </w:rPr>
      </w:pPr>
      <w:r w:rsidRPr="00CB3251">
        <w:rPr>
          <w:rFonts w:cs="Times New Roman"/>
          <w:color w:val="000000" w:themeColor="text1"/>
          <w:lang w:eastAsia="ru-RU"/>
        </w:rPr>
        <w:t>Рекомендуемая начальная скорость первой инфузии — 50 мг/ч, в дальнейшем ее можно увеличивать на 50 мг/ч каждые 30 мин, доводя до максимальной скорости — 400 мг/ч. Последующие инфузии можно начинать со скорости 100 мг/ч и увеличивать ее на 100 мг/ч каждые 30 мин до максимальной скорости 400 мг/ч.</w:t>
      </w:r>
    </w:p>
    <w:p w14:paraId="21F5C16D" w14:textId="77777777" w:rsidR="007F4DE8" w:rsidRPr="00CB3251" w:rsidRDefault="007F4DE8" w:rsidP="007F4DE8">
      <w:pPr>
        <w:tabs>
          <w:tab w:val="left" w:pos="0"/>
        </w:tabs>
        <w:rPr>
          <w:rFonts w:cs="Times New Roman"/>
          <w:color w:val="000000" w:themeColor="text1"/>
          <w:szCs w:val="24"/>
        </w:rPr>
      </w:pPr>
      <w:r w:rsidRPr="00CB3251">
        <w:rPr>
          <w:rFonts w:cs="Times New Roman"/>
          <w:color w:val="000000" w:themeColor="text1"/>
          <w:lang w:eastAsia="ru-RU"/>
        </w:rPr>
        <w:t xml:space="preserve">Перед каждой инфузией ритуксимаба за 30-60 мин до введения необходимо проводить премедикацию (анальгетик/антипиретик, например парацетамол или </w:t>
      </w:r>
      <w:r w:rsidRPr="00CB3251">
        <w:rPr>
          <w:rFonts w:cs="Times New Roman"/>
          <w:color w:val="000000" w:themeColor="text1"/>
          <w:szCs w:val="24"/>
        </w:rPr>
        <w:t>кетопрофен</w:t>
      </w:r>
      <w:r w:rsidRPr="00CB3251">
        <w:rPr>
          <w:rFonts w:cs="Times New Roman"/>
          <w:color w:val="000000" w:themeColor="text1"/>
          <w:szCs w:val="24"/>
          <w:lang w:eastAsia="ru-RU"/>
        </w:rPr>
        <w:t>; антигистаминный препарат, например дифенгидрамин или клемастин;</w:t>
      </w:r>
      <w:r w:rsidRPr="00CB3251">
        <w:rPr>
          <w:rFonts w:cs="Times New Roman"/>
          <w:color w:val="000000" w:themeColor="text1"/>
          <w:lang w:eastAsia="ru-RU"/>
        </w:rPr>
        <w:t xml:space="preserve"> глюкокортикоид, например, дексаметазон).</w:t>
      </w:r>
      <w:r w:rsidRPr="00CB3251">
        <w:rPr>
          <w:color w:val="000000" w:themeColor="text1"/>
        </w:rPr>
        <w:t xml:space="preserve"> </w:t>
      </w:r>
      <w:r w:rsidRPr="00CB3251">
        <w:rPr>
          <w:rFonts w:cs="Times New Roman"/>
          <w:color w:val="000000" w:themeColor="text1"/>
          <w:szCs w:val="24"/>
        </w:rPr>
        <w:t xml:space="preserve">Стандартной премедикацией является введение кетопрофен 100 мг в/в капельно на 100 мл физ.раствора + </w:t>
      </w:r>
      <w:r w:rsidRPr="00CB3251">
        <w:rPr>
          <w:rFonts w:cs="Times New Roman"/>
          <w:color w:val="000000" w:themeColor="text1"/>
          <w:szCs w:val="24"/>
          <w:lang w:eastAsia="ru-RU"/>
        </w:rPr>
        <w:t>клемастин</w:t>
      </w:r>
      <w:r w:rsidRPr="00CB3251">
        <w:rPr>
          <w:rFonts w:cs="Times New Roman"/>
          <w:color w:val="000000" w:themeColor="text1"/>
          <w:szCs w:val="24"/>
        </w:rPr>
        <w:t xml:space="preserve"> 2 мг в/в капельно на 100 мл физ.раствора + дексаметазон 8 мг в/в капельно на 50 мл физ. раствора.</w:t>
      </w:r>
    </w:p>
    <w:p w14:paraId="6C0A3163" w14:textId="77777777" w:rsidR="007F4DE8" w:rsidRPr="00CB3251" w:rsidRDefault="007F4DE8" w:rsidP="007F4DE8">
      <w:pPr>
        <w:tabs>
          <w:tab w:val="left" w:pos="0"/>
        </w:tabs>
        <w:rPr>
          <w:rFonts w:cs="Times New Roman"/>
          <w:color w:val="000000" w:themeColor="text1"/>
          <w:szCs w:val="24"/>
        </w:rPr>
      </w:pPr>
      <w:r w:rsidRPr="00CB3251">
        <w:rPr>
          <w:rFonts w:cs="Times New Roman"/>
          <w:color w:val="000000" w:themeColor="text1"/>
          <w:szCs w:val="24"/>
        </w:rPr>
        <w:t>У большинства больных в ходе первой инфузии отмечается инфузионный симптомокомплекс от легкой до умеренной степени выраженности, заключающийся в появлении лихорадки и озноба/дрожи. Другими часто наблюдающимися инфузионными симптомами являются тошнота, зуд, ангионевротический отек, астения, гипотензия, головная боль, бронхоспазм, раздражение в горле, ринит, крапивница, сыпь, рвота, миалгия, головокружение, гипертензия. Как правило, эти реакции возникают в пределах 30–120 мин после начала первой инфузии и исчезают после замедления или прерывания введения препарата и проведения поддерживающих мероприятий (</w:t>
      </w:r>
      <w:r w:rsidRPr="00CB3251">
        <w:rPr>
          <w:rStyle w:val="sokr"/>
          <w:rFonts w:cs="Times New Roman"/>
          <w:color w:val="000000" w:themeColor="text1"/>
          <w:szCs w:val="24"/>
        </w:rPr>
        <w:t>в т.ч.</w:t>
      </w:r>
      <w:r w:rsidRPr="00CB3251">
        <w:rPr>
          <w:rFonts w:cs="Times New Roman"/>
          <w:color w:val="000000" w:themeColor="text1"/>
          <w:szCs w:val="24"/>
        </w:rPr>
        <w:t xml:space="preserve"> </w:t>
      </w:r>
      <w:r w:rsidRPr="00CB3251">
        <w:rPr>
          <w:rStyle w:val="sokr"/>
          <w:rFonts w:cs="Times New Roman"/>
          <w:color w:val="000000" w:themeColor="text1"/>
          <w:szCs w:val="24"/>
        </w:rPr>
        <w:t>в/в</w:t>
      </w:r>
      <w:r w:rsidRPr="00CB3251">
        <w:rPr>
          <w:rFonts w:cs="Times New Roman"/>
          <w:color w:val="000000" w:themeColor="text1"/>
          <w:szCs w:val="24"/>
        </w:rPr>
        <w:t xml:space="preserve"> введений физиологического раствора, клемастина/ дифенгидрамина, кетонала/парацетамола). Легкие или умеренно выраженные реакции могут быть устранены уменьшением скорости введения, которую можно вновь увеличить после исчезновения симптоматики. Пациентам, у которых развились инфузионные реакции 1-3 степени, следует снизить скорость введения при возобновлении инфузии. При развитии анафилактической реакции или жизнеугрожающей инфузионной реакции 4-й степени необходимо окончательно прекратить введение ритуксимаба и оказать необходимую экстренную помощь.</w:t>
      </w:r>
    </w:p>
    <w:p w14:paraId="5E15850B" w14:textId="77777777" w:rsidR="007F4DE8" w:rsidRPr="00CB3251" w:rsidRDefault="007F4DE8" w:rsidP="007F4DE8">
      <w:pPr>
        <w:tabs>
          <w:tab w:val="left" w:pos="0"/>
        </w:tabs>
        <w:rPr>
          <w:rFonts w:cs="Times New Roman"/>
          <w:color w:val="000000" w:themeColor="text1"/>
          <w:szCs w:val="24"/>
        </w:rPr>
      </w:pPr>
      <w:r w:rsidRPr="00CB3251">
        <w:rPr>
          <w:rFonts w:cs="Times New Roman"/>
          <w:color w:val="000000" w:themeColor="text1"/>
          <w:szCs w:val="24"/>
        </w:rPr>
        <w:t>В связи с опасностью развития гипотензии рекомендуется отмена антигипертензивных препаратов за 12 ч до начала и на протяжении всего времени инфузии ритуксимаба.</w:t>
      </w:r>
    </w:p>
    <w:p w14:paraId="6B4D7181" w14:textId="77777777" w:rsidR="00F975FA" w:rsidRDefault="00F975FA" w:rsidP="00F975FA">
      <w:pPr>
        <w:tabs>
          <w:tab w:val="left" w:pos="0"/>
        </w:tabs>
        <w:ind w:firstLine="0"/>
        <w:rPr>
          <w:rFonts w:cs="Times New Roman"/>
          <w:i/>
          <w:color w:val="000000" w:themeColor="text1"/>
          <w:lang w:eastAsia="ru-RU"/>
        </w:rPr>
      </w:pPr>
      <w:r>
        <w:rPr>
          <w:rFonts w:cs="Times New Roman"/>
          <w:i/>
          <w:color w:val="000000" w:themeColor="text1"/>
          <w:lang w:eastAsia="ru-RU"/>
        </w:rPr>
        <w:tab/>
      </w:r>
    </w:p>
    <w:p w14:paraId="7A9DEE5B" w14:textId="5723B447" w:rsidR="007F4DE8" w:rsidRPr="00F975FA" w:rsidRDefault="00F975FA" w:rsidP="00F975FA">
      <w:pPr>
        <w:tabs>
          <w:tab w:val="left" w:pos="0"/>
        </w:tabs>
        <w:ind w:firstLine="0"/>
        <w:rPr>
          <w:rFonts w:cs="Times New Roman"/>
          <w:i/>
          <w:color w:val="000000" w:themeColor="text1"/>
          <w:lang w:eastAsia="ru-RU"/>
        </w:rPr>
      </w:pPr>
      <w:r>
        <w:rPr>
          <w:rFonts w:cs="Times New Roman"/>
          <w:i/>
          <w:color w:val="000000" w:themeColor="text1"/>
          <w:lang w:eastAsia="ru-RU"/>
        </w:rPr>
        <w:tab/>
      </w:r>
      <w:r w:rsidR="007F4DE8" w:rsidRPr="00F975FA">
        <w:rPr>
          <w:rFonts w:cs="Times New Roman"/>
          <w:i/>
          <w:color w:val="000000" w:themeColor="text1"/>
          <w:lang w:eastAsia="ru-RU"/>
        </w:rPr>
        <w:t>Подкожное применение</w:t>
      </w:r>
      <w:r w:rsidR="00A61729" w:rsidRPr="00F975FA">
        <w:rPr>
          <w:rFonts w:cs="Times New Roman"/>
          <w:i/>
          <w:color w:val="000000" w:themeColor="text1"/>
          <w:lang w:eastAsia="ru-RU"/>
        </w:rPr>
        <w:t xml:space="preserve"> </w:t>
      </w:r>
      <w:r w:rsidR="00A61729" w:rsidRPr="00F975FA">
        <w:rPr>
          <w:rFonts w:cs="Times New Roman"/>
          <w:b/>
          <w:i/>
          <w:color w:val="000000" w:themeColor="text1"/>
          <w:u w:val="single"/>
          <w:lang w:val="en-US"/>
        </w:rPr>
        <w:fldChar w:fldCharType="begin" w:fldLock="1"/>
      </w:r>
      <w:r w:rsidR="009D41F9">
        <w:rPr>
          <w:rFonts w:cs="Times New Roman"/>
          <w:b/>
          <w:i/>
          <w:color w:val="000000" w:themeColor="text1"/>
          <w:u w:val="single"/>
          <w:lang w:val="en-US"/>
        </w:rPr>
        <w:instrText>ADDIN CSL_CITATION {"citationItems":[{"id":"ITEM-1","itemData":{"author":[{"dropping-particle":"","family":"Haanen","given":"J. B.A.G.","non-dropping-particle":"","parse-names":false,"suffix":""},{"dropping-particle":"","family":"Carbonnel","given":"F.","non-dropping-particle":"","parse-names":false,"suffix":""},{"dropping-particle":"","family":"Robert","given":"C.","non-dropping-particle":"","parse-names":false,"suffix":""},{"dropping-particle":"","family":"Kerr","given":"K. M.","non-dropping-particle":"","parse-names":false,"suffix":""},{"dropping-particle":"","family":"Peters","given":"S.","non-dropping-particle":"","parse-names":false,"suffix":""},{"dropping-particle":"","family":"Larkin","given":"J.","non-dropping-particle":"","parse-names":false,"suffix":""},{"dropping-particle":"","family":"Jordan","given":"K.","non-dropping-particle":"","parse-names":false,"suffix":""}],"container-title":"Annals of Oncology","id":"ITEM-1","issue":"Supp. 4","issued":{"date-parts":[["2018"]]},"page":"iv264-iv266","title":"Management of toxicities from immunotherapy: ESMO Clinical Practice Guidelines for diagnosis, treatment and follow-up","type":"article-journal","volume":"29"},"uris":["http://www.mendeley.com/documents/?uuid=891e60f6-27c0-495a-98e2-222a2574c98e"]},{"id":"ITEM-2","itemData":{"DOI":"10.1179/1973947815Y.0000000025","ISSN":"19739478","PMID":"25872413","abstract":"Purpose: Rituximab is a monoclonal antibody targetting the CD20 antigen with the ability to increase overall remission (OR) in B-cell non-Hodgkin’s lymphoma (B-NHL). A systematic review and meta-analysis were conducted to determine the risk of the most clinically relevant severe and fatal adverse events (AEs) associated with the use of rituximab in the treatment of B-NHL. Patients and methods: We included phase III clinical trials that used chemotherapy in combination with rituximab or chemotherapy alone as for B-NHL. Statistical analyses were conducted to calculate summary risk ratio (RR) of the relevant severe and fatal AEs related with rituximab. Results: Eight randomised controlled clinical trials were included in this meta-analysis. Summary RR obtained showed no statistically significant rituximab-associated increased risk in 13 severe adverse events (SAEs) (infection, fever, anaemia, thrombocytopaenia, granulocytopenia, liver toxicity, cardiac toxicity, neurologic toxicity, lung toxicity, mucositis, nausea/vomiting, diarrhoea, alopecia) except leukocytopenia (36.4% versus 31%; RR51.13; 95%CI, 1.01–1.27; P50.03). The incidences of fatal AEs showed noteworthy difference between rituximab group and control group (RR51.45; 95% CI, 1.04–2.02; P50.03). Conclusion: This meta-analysis indicates that there was no proof of statistically higher incidence of most SAEs in rituximab containing group compared with chemotherapy alone. However, fatal infections were more frequently observed in patients who received rituximab. Considering the low-incidence infectioninduced death during the treatment period, the effects of rituximab on infections need further investigation.","author":[{"dropping-particle":"","family":"Hua","given":"Qingling","non-dropping-particle":"","parse-names":false,"suffix":""},{"dropping-particle":"","family":"Zhu","given":"Yanzhe","non-dropping-particle":"","parse-names":false,"suffix":""},{"dropping-particle":"","family":"Liu","given":"Hu","non-dropping-particle":"","parse-names":false,"suffix":""}],"container-title":"Journal of Chemotherapy","id":"ITEM-2","issued":{"date-parts":[["2015"]]},"title":"Severe and fatal adverse events risk associated with rituximab addition to b-cell non-hodgkin’s lymphoma (B-NHL) chemotherapy: A meta-analysis","type":"article-journal"},"uris":["http://www.mendeley.com/documents/?uuid=a993da07-fb07-41c0-8d06-4d598ab3f684"]}],"mendeley":{"formattedCitation":"[66,67]","plainTextFormattedCitation":"[66,67]","previouslyFormattedCitation":"[66,67]"},"properties":{"noteIndex":0},"schema":"https://github.com/citation-style-language/schema/raw/master/csl-citation.json"}</w:instrText>
      </w:r>
      <w:r w:rsidR="00A61729" w:rsidRPr="00F975FA">
        <w:rPr>
          <w:rFonts w:cs="Times New Roman"/>
          <w:b/>
          <w:i/>
          <w:color w:val="000000" w:themeColor="text1"/>
          <w:u w:val="single"/>
          <w:lang w:val="en-US"/>
        </w:rPr>
        <w:fldChar w:fldCharType="separate"/>
      </w:r>
      <w:r w:rsidR="004C3BA5" w:rsidRPr="004C3BA5">
        <w:rPr>
          <w:rFonts w:cs="Times New Roman"/>
          <w:noProof/>
          <w:color w:val="000000" w:themeColor="text1"/>
        </w:rPr>
        <w:t>[66,67]</w:t>
      </w:r>
      <w:r w:rsidR="00A61729" w:rsidRPr="00F975FA">
        <w:rPr>
          <w:rFonts w:cs="Times New Roman"/>
          <w:b/>
          <w:i/>
          <w:color w:val="000000" w:themeColor="text1"/>
          <w:u w:val="single"/>
          <w:lang w:val="en-US"/>
        </w:rPr>
        <w:fldChar w:fldCharType="end"/>
      </w:r>
    </w:p>
    <w:p w14:paraId="17CE0076" w14:textId="77777777" w:rsidR="007F4DE8" w:rsidRPr="00CB3251" w:rsidRDefault="007F4DE8" w:rsidP="007F4DE8">
      <w:pPr>
        <w:tabs>
          <w:tab w:val="left" w:pos="0"/>
        </w:tabs>
        <w:rPr>
          <w:rFonts w:cs="Times New Roman"/>
          <w:color w:val="000000" w:themeColor="text1"/>
          <w:szCs w:val="24"/>
        </w:rPr>
      </w:pPr>
      <w:r w:rsidRPr="00CB3251">
        <w:rPr>
          <w:rFonts w:cs="Times New Roman"/>
          <w:color w:val="000000" w:themeColor="text1"/>
          <w:szCs w:val="24"/>
        </w:rPr>
        <w:t>Ритуксимаб в лекарственной форме «раствор для подкожного введения» в дозировке 1400мг может применяться после внутривенного ведения полной  первой дозы препараты, в том числе у пациентов с затрудненным венозным доступом. Игла для подкожного введения должна быть присоединена к шприцу непосредственно перед введением препарата для предотвращения возможной закупорки иглы. Препарат вводится в течение 5 минут подкожно в переднюю брюшную стенку, исключая места гематом, уплотнений, повышенной чувствительности, покраснений, родимые пятна, ткани рубцов. В случае прерывания инъекции ее можно возобновить в том же самом месте или, при необходимости, изменить место инъекции. Препарат в лекарственной форме «раствор для подкожного введения» и другие препараты, также предназначенные для п/к введения, по возможности, следует вводить в разные места. Перед каждым применением препарата необходимо проводить премедикацию (анальгетик/антипиретик, например, парацетамол/кетопрофен; антигистаминный препарат, например, дифенгидрамин/клемастин). Если препарат применяется не в комбинации с химиотерапией, содержащей глюкокортикостероиды, то в состав премедикации также входят глюкокортикостероиды.</w:t>
      </w:r>
    </w:p>
    <w:p w14:paraId="54F47BD1" w14:textId="2559DC85" w:rsidR="007F4DE8" w:rsidRDefault="007F4DE8" w:rsidP="007F4DE8">
      <w:pPr>
        <w:tabs>
          <w:tab w:val="left" w:pos="0"/>
        </w:tabs>
        <w:rPr>
          <w:rFonts w:cs="Times New Roman"/>
          <w:color w:val="000000" w:themeColor="text1"/>
          <w:szCs w:val="24"/>
          <w:lang w:eastAsia="ru-RU"/>
        </w:rPr>
      </w:pPr>
    </w:p>
    <w:p w14:paraId="24BD8EA5" w14:textId="1E4595E9" w:rsidR="006D53E9" w:rsidRDefault="00F975FA" w:rsidP="006D53E9">
      <w:pPr>
        <w:pStyle w:val="2"/>
        <w:spacing w:before="0"/>
      </w:pPr>
      <w:bookmarkStart w:id="113" w:name="_Toc66184342"/>
      <w:r w:rsidRPr="00FE2263">
        <w:t>Приложение А3.</w:t>
      </w:r>
      <w:r>
        <w:t xml:space="preserve">3. </w:t>
      </w:r>
      <w:bookmarkStart w:id="114" w:name="OLE_LINK1"/>
      <w:bookmarkStart w:id="115" w:name="OLE_LINK2"/>
      <w:r w:rsidR="006D53E9" w:rsidRPr="005E31D3">
        <w:rPr>
          <w:lang w:eastAsia="ru-RU"/>
        </w:rPr>
        <w:t>Профилактика и лечение тошноты и рвоты</w:t>
      </w:r>
      <w:bookmarkEnd w:id="113"/>
      <w:r w:rsidR="006D53E9" w:rsidRPr="009600FA">
        <w:rPr>
          <w:lang w:eastAsia="ru-RU"/>
        </w:rPr>
        <w:t xml:space="preserve"> </w:t>
      </w:r>
    </w:p>
    <w:p w14:paraId="482B30E1" w14:textId="5987E746" w:rsidR="006D53E9" w:rsidRPr="001957E3" w:rsidRDefault="006D53E9" w:rsidP="006D53E9">
      <w:r w:rsidRPr="001957E3">
        <w:t xml:space="preserve">Одним из частых клинически значимых побочных эффектов </w:t>
      </w:r>
      <w:r>
        <w:t>П</w:t>
      </w:r>
      <w:r w:rsidRPr="001957E3">
        <w:t>ХТ является тошнота и рвота. Эти побочные явления приводят не только к ухудшению самочувствия пациента, снижению качества жизни, но и препятствуют применению лекарственных препаратов в пероральной форме, а также приему пищи. Появление новых комбинаций противоопухолевых средств приводит к улучшению результатов терапии онкогематологических больных, однако выраженная тошнота и рвота могут ограничивать применение химиопрепаратов в полных дозах, отрицательно влиять на приверженность больных лечению. В связи с этим контроль тошноты и рвоты играет жизненно важную роль в сопроводительной терапии больных гемобластозами</w:t>
      </w:r>
      <w:r>
        <w:t xml:space="preserve"> </w:t>
      </w:r>
      <w:r>
        <w:fldChar w:fldCharType="begin" w:fldLock="1"/>
      </w:r>
      <w:r w:rsidR="009D41F9">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74]","plainTextFormattedCitation":"[68–74]","previouslyFormattedCitation":"[68–74]"},"properties":{"noteIndex":0},"schema":"https://github.com/citation-style-language/schema/raw/master/csl-citation.json"}</w:instrText>
      </w:r>
      <w:r>
        <w:fldChar w:fldCharType="separate"/>
      </w:r>
      <w:r w:rsidR="004C3BA5" w:rsidRPr="004C3BA5">
        <w:rPr>
          <w:noProof/>
        </w:rPr>
        <w:t>[68–74]</w:t>
      </w:r>
      <w:r>
        <w:fldChar w:fldCharType="end"/>
      </w:r>
      <w:r w:rsidRPr="001957E3">
        <w:t xml:space="preserve">. </w:t>
      </w:r>
    </w:p>
    <w:p w14:paraId="3BFF0C38" w14:textId="77777777" w:rsidR="006D53E9" w:rsidRPr="001957E3" w:rsidRDefault="006D53E9" w:rsidP="006D53E9">
      <w:r w:rsidRPr="001957E3">
        <w:t>Тошнота и рвота развиваются при возбуждении рвотного центра несколькими путями - при воздействии нейротрансмиттеров на его рецепторы, или при поступлении в него импульсов от хеморецепторов триггерной зоны. Химическими веществами, вызывающими активацию рвотного центра, являются дофамин, серотонин, гистамин, ацетилхолин и субстанция Р (нейрокинин-1 - NK-1). Противорвотные препараты избирательно блокируют какой-либо из перечисленных нейротрансмиттеров.</w:t>
      </w:r>
    </w:p>
    <w:p w14:paraId="42848A13" w14:textId="77777777" w:rsidR="006D53E9" w:rsidRDefault="006D53E9" w:rsidP="006D53E9">
      <w:pPr>
        <w:pStyle w:val="Normal11"/>
        <w:tabs>
          <w:tab w:val="left" w:pos="0"/>
        </w:tabs>
        <w:spacing w:line="360" w:lineRule="auto"/>
        <w:ind w:firstLine="699"/>
        <w:jc w:val="both"/>
        <w:rPr>
          <w:bCs/>
          <w:i/>
          <w:iCs/>
          <w:u w:val="single"/>
          <w:shd w:val="clear" w:color="auto" w:fill="FFFFFF"/>
        </w:rPr>
      </w:pPr>
    </w:p>
    <w:p w14:paraId="71B1CA8C" w14:textId="77777777" w:rsidR="006D53E9" w:rsidRPr="00733870" w:rsidRDefault="006D53E9" w:rsidP="006D53E9">
      <w:pPr>
        <w:pStyle w:val="Normal11"/>
        <w:tabs>
          <w:tab w:val="left" w:pos="0"/>
        </w:tabs>
        <w:spacing w:line="360" w:lineRule="auto"/>
        <w:ind w:firstLine="699"/>
        <w:jc w:val="both"/>
        <w:rPr>
          <w:bCs/>
          <w:i/>
          <w:iCs/>
          <w:u w:val="single"/>
          <w:shd w:val="clear" w:color="auto" w:fill="FFFFFF"/>
        </w:rPr>
      </w:pPr>
      <w:r w:rsidRPr="00733870">
        <w:rPr>
          <w:bCs/>
          <w:i/>
          <w:iCs/>
          <w:u w:val="single"/>
          <w:shd w:val="clear" w:color="auto" w:fill="FFFFFF"/>
        </w:rPr>
        <w:t>Типы тошноты и рвоты</w:t>
      </w:r>
    </w:p>
    <w:p w14:paraId="4CB46048" w14:textId="77777777" w:rsidR="006D53E9" w:rsidRPr="001957E3" w:rsidRDefault="006D53E9" w:rsidP="006D53E9">
      <w:pPr>
        <w:pStyle w:val="afe"/>
        <w:numPr>
          <w:ilvl w:val="0"/>
          <w:numId w:val="62"/>
        </w:numPr>
        <w:contextualSpacing w:val="0"/>
      </w:pPr>
      <w:r w:rsidRPr="001957E3">
        <w:t xml:space="preserve">Острая рвота – развивается в первые 24 ч после </w:t>
      </w:r>
      <w:r>
        <w:t>П</w:t>
      </w:r>
      <w:r w:rsidRPr="001957E3">
        <w:t>ХТ; отличается высокой интенсивностью; редко сопровождается тошнотой.</w:t>
      </w:r>
    </w:p>
    <w:p w14:paraId="3EDE9B13" w14:textId="77777777" w:rsidR="006D53E9" w:rsidRPr="001957E3" w:rsidRDefault="006D53E9" w:rsidP="006D53E9">
      <w:pPr>
        <w:pStyle w:val="afe"/>
        <w:numPr>
          <w:ilvl w:val="0"/>
          <w:numId w:val="62"/>
        </w:numPr>
        <w:contextualSpacing w:val="0"/>
      </w:pPr>
      <w:r w:rsidRPr="001957E3">
        <w:t xml:space="preserve">Отсроченная рвота – развивается на 2-5 сутки после начала </w:t>
      </w:r>
      <w:r>
        <w:t>П</w:t>
      </w:r>
      <w:r w:rsidRPr="001957E3">
        <w:t>ХТ; менее интенсивна, чем острая; часто сопровождается постоянной тошнотой.</w:t>
      </w:r>
    </w:p>
    <w:p w14:paraId="7CEFF779" w14:textId="77777777" w:rsidR="006D53E9" w:rsidRPr="001957E3" w:rsidRDefault="006D53E9" w:rsidP="006D53E9">
      <w:pPr>
        <w:pStyle w:val="afe"/>
        <w:numPr>
          <w:ilvl w:val="0"/>
          <w:numId w:val="62"/>
        </w:numPr>
        <w:contextualSpacing w:val="0"/>
      </w:pPr>
      <w:r w:rsidRPr="001957E3">
        <w:t xml:space="preserve">Условно-рефлекторная рвота – развивается как условный рефлекс на </w:t>
      </w:r>
      <w:r>
        <w:t>П</w:t>
      </w:r>
      <w:r w:rsidRPr="001957E3">
        <w:t xml:space="preserve">ХТ и/или сопутствующие ей манипуляции и окружающую обстановку; риск ее развития увеличивается с количеством курсов </w:t>
      </w:r>
      <w:r>
        <w:t>П</w:t>
      </w:r>
      <w:r w:rsidRPr="001957E3">
        <w:t xml:space="preserve">ХТ; может сохраняться в течение длительного времени после окончания </w:t>
      </w:r>
      <w:r>
        <w:t>П</w:t>
      </w:r>
      <w:r w:rsidRPr="001957E3">
        <w:t>ХТ.</w:t>
      </w:r>
    </w:p>
    <w:p w14:paraId="1CF5D96A" w14:textId="77777777" w:rsidR="006D53E9" w:rsidRPr="001957E3" w:rsidRDefault="006D53E9" w:rsidP="006D53E9">
      <w:pPr>
        <w:pStyle w:val="afe"/>
        <w:numPr>
          <w:ilvl w:val="0"/>
          <w:numId w:val="62"/>
        </w:numPr>
        <w:contextualSpacing w:val="0"/>
      </w:pPr>
      <w:r w:rsidRPr="001957E3">
        <w:t>Неконтролируемая тошнота и рвота – развивается на фоне адекватной антиэметической профилактики и требует дополнительной коррекции.</w:t>
      </w:r>
    </w:p>
    <w:p w14:paraId="1EA2861C" w14:textId="77777777" w:rsidR="006D53E9" w:rsidRPr="001957E3" w:rsidRDefault="006D53E9" w:rsidP="006D53E9">
      <w:pPr>
        <w:pStyle w:val="afe"/>
        <w:numPr>
          <w:ilvl w:val="0"/>
          <w:numId w:val="62"/>
        </w:numPr>
        <w:contextualSpacing w:val="0"/>
      </w:pPr>
      <w:r w:rsidRPr="001957E3">
        <w:t xml:space="preserve">Рефрактерная рвота – возникает на последующих курсах </w:t>
      </w:r>
      <w:r>
        <w:t>П</w:t>
      </w:r>
      <w:r w:rsidRPr="001957E3">
        <w:t>ХТ при неэффективности противорвотной профилактики и / или препаратов резерва на предыдущих курсах лечения.</w:t>
      </w:r>
    </w:p>
    <w:p w14:paraId="5BFFA867" w14:textId="77777777" w:rsidR="006D53E9" w:rsidRDefault="006D53E9" w:rsidP="006D53E9">
      <w:pPr>
        <w:pStyle w:val="Normal11"/>
        <w:tabs>
          <w:tab w:val="left" w:pos="0"/>
        </w:tabs>
        <w:spacing w:line="360" w:lineRule="auto"/>
        <w:ind w:left="0" w:firstLine="0"/>
        <w:jc w:val="both"/>
        <w:rPr>
          <w:b/>
          <w:shd w:val="clear" w:color="auto" w:fill="FFFFFF"/>
        </w:rPr>
      </w:pPr>
    </w:p>
    <w:p w14:paraId="79EC5526" w14:textId="77777777" w:rsidR="006D53E9" w:rsidRPr="00733870" w:rsidRDefault="006D53E9" w:rsidP="006D53E9">
      <w:pPr>
        <w:pStyle w:val="Normal11"/>
        <w:tabs>
          <w:tab w:val="left" w:pos="426"/>
        </w:tabs>
        <w:spacing w:line="360" w:lineRule="auto"/>
        <w:ind w:left="0" w:firstLine="426"/>
        <w:jc w:val="both"/>
        <w:rPr>
          <w:bCs/>
          <w:i/>
          <w:iCs/>
          <w:u w:val="single"/>
          <w:shd w:val="clear" w:color="auto" w:fill="FFFFFF"/>
        </w:rPr>
      </w:pPr>
      <w:r w:rsidRPr="00733870">
        <w:rPr>
          <w:bCs/>
          <w:i/>
          <w:iCs/>
          <w:u w:val="single"/>
          <w:shd w:val="clear" w:color="auto" w:fill="FFFFFF"/>
        </w:rPr>
        <w:t>Эметогенный потенциал противоопухолевых препаратов</w:t>
      </w:r>
    </w:p>
    <w:p w14:paraId="7A8B9BEC" w14:textId="33DAED48" w:rsidR="006D53E9" w:rsidRPr="001957E3" w:rsidRDefault="006D53E9" w:rsidP="006D53E9">
      <w:r w:rsidRPr="001957E3">
        <w:t>Эметогенность – это риск развития рвоты у больных, получающих противоопухолевый препарат (в монорежиме, без противорвотной терапии). Выделено 4 градации эметогенного потенциала</w:t>
      </w:r>
      <w:r>
        <w:t xml:space="preserve"> (см. таблицу 1) </w:t>
      </w:r>
      <w:r>
        <w:fldChar w:fldCharType="begin" w:fldLock="1"/>
      </w:r>
      <w:r w:rsidR="009D41F9">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74]","plainTextFormattedCitation":"[68–74]","previouslyFormattedCitation":"[68–74]"},"properties":{"noteIndex":0},"schema":"https://github.com/citation-style-language/schema/raw/master/csl-citation.json"}</w:instrText>
      </w:r>
      <w:r>
        <w:fldChar w:fldCharType="separate"/>
      </w:r>
      <w:r w:rsidR="004C3BA5" w:rsidRPr="004C3BA5">
        <w:rPr>
          <w:noProof/>
        </w:rPr>
        <w:t>[68–74]</w:t>
      </w:r>
      <w:r>
        <w:fldChar w:fldCharType="end"/>
      </w:r>
      <w:r w:rsidRPr="001957E3">
        <w:t>:</w:t>
      </w:r>
    </w:p>
    <w:p w14:paraId="58E99628" w14:textId="77777777" w:rsidR="006D53E9" w:rsidRPr="001957E3" w:rsidRDefault="006D53E9" w:rsidP="006D53E9">
      <w:pPr>
        <w:pStyle w:val="afe"/>
        <w:numPr>
          <w:ilvl w:val="0"/>
          <w:numId w:val="63"/>
        </w:numPr>
        <w:contextualSpacing w:val="0"/>
      </w:pPr>
      <w:r w:rsidRPr="001957E3">
        <w:t xml:space="preserve">минимальный </w:t>
      </w:r>
      <w:r>
        <w:t>–</w:t>
      </w:r>
      <w:r w:rsidRPr="001957E3">
        <w:t xml:space="preserve"> развитие рвоты менее чем у 10% </w:t>
      </w:r>
      <w:r>
        <w:t>пациентов</w:t>
      </w:r>
      <w:r w:rsidRPr="001957E3">
        <w:t>;</w:t>
      </w:r>
    </w:p>
    <w:p w14:paraId="14326C41" w14:textId="77777777" w:rsidR="006D53E9" w:rsidRPr="001957E3" w:rsidRDefault="006D53E9" w:rsidP="006D53E9">
      <w:pPr>
        <w:pStyle w:val="afe"/>
        <w:numPr>
          <w:ilvl w:val="0"/>
          <w:numId w:val="63"/>
        </w:numPr>
        <w:contextualSpacing w:val="0"/>
      </w:pPr>
      <w:r w:rsidRPr="001957E3">
        <w:t xml:space="preserve">низкий </w:t>
      </w:r>
      <w:r>
        <w:t>–</w:t>
      </w:r>
      <w:r w:rsidRPr="001957E3">
        <w:t xml:space="preserve"> развитие рвоты у 10 - 30% </w:t>
      </w:r>
      <w:r>
        <w:t>пациентов</w:t>
      </w:r>
      <w:r w:rsidRPr="001957E3">
        <w:t>;</w:t>
      </w:r>
    </w:p>
    <w:p w14:paraId="6D6FA66B" w14:textId="77777777" w:rsidR="006D53E9" w:rsidRPr="001957E3" w:rsidRDefault="006D53E9" w:rsidP="006D53E9">
      <w:pPr>
        <w:pStyle w:val="afe"/>
        <w:numPr>
          <w:ilvl w:val="0"/>
          <w:numId w:val="63"/>
        </w:numPr>
        <w:contextualSpacing w:val="0"/>
      </w:pPr>
      <w:r w:rsidRPr="001957E3">
        <w:t xml:space="preserve">средний </w:t>
      </w:r>
      <w:r>
        <w:t>–</w:t>
      </w:r>
      <w:r w:rsidRPr="001957E3">
        <w:t xml:space="preserve"> развитие рвоты у 30 - 90% </w:t>
      </w:r>
      <w:r>
        <w:t>пациентов</w:t>
      </w:r>
      <w:r w:rsidRPr="001957E3">
        <w:t>;</w:t>
      </w:r>
    </w:p>
    <w:p w14:paraId="6F504889" w14:textId="77777777" w:rsidR="006D53E9" w:rsidRDefault="006D53E9" w:rsidP="006D53E9">
      <w:pPr>
        <w:pStyle w:val="afe"/>
        <w:numPr>
          <w:ilvl w:val="0"/>
          <w:numId w:val="63"/>
        </w:numPr>
        <w:contextualSpacing w:val="0"/>
      </w:pPr>
      <w:r w:rsidRPr="001957E3">
        <w:t xml:space="preserve">высокий </w:t>
      </w:r>
      <w:r>
        <w:t>–</w:t>
      </w:r>
      <w:r w:rsidRPr="001957E3">
        <w:t xml:space="preserve"> развитие рвоты более чем у 90% </w:t>
      </w:r>
      <w:r>
        <w:t>пациентов</w:t>
      </w:r>
      <w:r w:rsidRPr="001957E3">
        <w:t>.</w:t>
      </w:r>
    </w:p>
    <w:p w14:paraId="75FB9EBC" w14:textId="77777777" w:rsidR="006D53E9" w:rsidRDefault="006D53E9" w:rsidP="006D53E9">
      <w:pPr>
        <w:ind w:firstLine="0"/>
      </w:pPr>
    </w:p>
    <w:p w14:paraId="510592F3" w14:textId="77777777" w:rsidR="006D53E9" w:rsidRPr="001957E3" w:rsidRDefault="006D53E9" w:rsidP="006D53E9">
      <w:pPr>
        <w:ind w:firstLine="0"/>
      </w:pPr>
      <w:r>
        <w:t>Таблица 1. Уровень эметогенности основных противоопухолевых препаратов</w:t>
      </w:r>
    </w:p>
    <w:tbl>
      <w:tblPr>
        <w:tblStyle w:val="aff9"/>
        <w:tblW w:w="0" w:type="auto"/>
        <w:tblInd w:w="10" w:type="dxa"/>
        <w:tblLook w:val="04A0" w:firstRow="1" w:lastRow="0" w:firstColumn="1" w:lastColumn="0" w:noHBand="0" w:noVBand="1"/>
      </w:tblPr>
      <w:tblGrid>
        <w:gridCol w:w="1837"/>
        <w:gridCol w:w="3746"/>
        <w:gridCol w:w="3746"/>
      </w:tblGrid>
      <w:tr w:rsidR="006D53E9" w14:paraId="3EE3C5B1" w14:textId="77777777" w:rsidTr="002D3EBF">
        <w:trPr>
          <w:trHeight w:val="692"/>
        </w:trPr>
        <w:tc>
          <w:tcPr>
            <w:tcW w:w="1837" w:type="dxa"/>
          </w:tcPr>
          <w:p w14:paraId="5DE34978" w14:textId="77777777" w:rsidR="006D53E9" w:rsidRPr="00DE20E4" w:rsidRDefault="006D53E9" w:rsidP="002D3EBF">
            <w:pPr>
              <w:pStyle w:val="Normal11"/>
              <w:shd w:val="clear" w:color="auto" w:fill="auto"/>
              <w:tabs>
                <w:tab w:val="left" w:pos="0"/>
              </w:tabs>
              <w:spacing w:line="360" w:lineRule="auto"/>
              <w:ind w:left="57" w:right="57" w:firstLine="0"/>
              <w:jc w:val="both"/>
              <w:rPr>
                <w:b/>
                <w:sz w:val="22"/>
                <w:szCs w:val="22"/>
                <w:shd w:val="clear" w:color="auto" w:fill="FFFFFF"/>
              </w:rPr>
            </w:pPr>
            <w:r w:rsidRPr="00DE20E4">
              <w:rPr>
                <w:b/>
                <w:sz w:val="22"/>
                <w:szCs w:val="22"/>
                <w:shd w:val="clear" w:color="auto" w:fill="FFFFFF"/>
              </w:rPr>
              <w:t>Уровень эметогенности</w:t>
            </w:r>
          </w:p>
        </w:tc>
        <w:tc>
          <w:tcPr>
            <w:tcW w:w="3746" w:type="dxa"/>
          </w:tcPr>
          <w:p w14:paraId="73866E96" w14:textId="77777777" w:rsidR="006D53E9" w:rsidRPr="00DE20E4" w:rsidRDefault="006D53E9" w:rsidP="002D3EBF">
            <w:pPr>
              <w:pStyle w:val="Normal11"/>
              <w:shd w:val="clear" w:color="auto" w:fill="auto"/>
              <w:tabs>
                <w:tab w:val="left" w:pos="0"/>
              </w:tabs>
              <w:spacing w:line="360" w:lineRule="auto"/>
              <w:ind w:left="57" w:right="57" w:firstLine="0"/>
              <w:rPr>
                <w:b/>
                <w:sz w:val="22"/>
                <w:szCs w:val="22"/>
                <w:shd w:val="clear" w:color="auto" w:fill="FFFFFF"/>
              </w:rPr>
            </w:pPr>
            <w:r w:rsidRPr="00DE20E4">
              <w:rPr>
                <w:b/>
                <w:sz w:val="22"/>
                <w:szCs w:val="22"/>
                <w:shd w:val="clear" w:color="auto" w:fill="FFFFFF"/>
              </w:rPr>
              <w:t>Противоопухолевые препараты для внутривенного введения</w:t>
            </w:r>
          </w:p>
        </w:tc>
        <w:tc>
          <w:tcPr>
            <w:tcW w:w="3746" w:type="dxa"/>
          </w:tcPr>
          <w:p w14:paraId="074D6336" w14:textId="77777777" w:rsidR="006D53E9" w:rsidRPr="00DE20E4" w:rsidRDefault="006D53E9" w:rsidP="002D3EBF">
            <w:pPr>
              <w:pStyle w:val="Normal11"/>
              <w:shd w:val="clear" w:color="auto" w:fill="auto"/>
              <w:tabs>
                <w:tab w:val="left" w:pos="0"/>
              </w:tabs>
              <w:spacing w:line="360" w:lineRule="auto"/>
              <w:ind w:left="57" w:right="57" w:firstLine="0"/>
              <w:rPr>
                <w:b/>
                <w:sz w:val="22"/>
                <w:szCs w:val="22"/>
                <w:shd w:val="clear" w:color="auto" w:fill="FFFFFF"/>
              </w:rPr>
            </w:pPr>
            <w:r w:rsidRPr="00DE20E4">
              <w:rPr>
                <w:b/>
                <w:sz w:val="22"/>
                <w:szCs w:val="22"/>
                <w:shd w:val="clear" w:color="auto" w:fill="FFFFFF"/>
              </w:rPr>
              <w:t xml:space="preserve">Противоопухолевые препараты для перорального приема </w:t>
            </w:r>
          </w:p>
        </w:tc>
      </w:tr>
      <w:tr w:rsidR="006D53E9" w14:paraId="23F5BF32" w14:textId="77777777" w:rsidTr="002D3EBF">
        <w:trPr>
          <w:trHeight w:val="692"/>
        </w:trPr>
        <w:tc>
          <w:tcPr>
            <w:tcW w:w="1837" w:type="dxa"/>
          </w:tcPr>
          <w:p w14:paraId="4323DE2F" w14:textId="77777777" w:rsidR="006D53E9" w:rsidRDefault="006D53E9" w:rsidP="002D3EBF">
            <w:pPr>
              <w:pStyle w:val="Normal11"/>
              <w:shd w:val="clear" w:color="auto" w:fill="auto"/>
              <w:tabs>
                <w:tab w:val="left" w:pos="0"/>
              </w:tabs>
              <w:spacing w:line="360" w:lineRule="auto"/>
              <w:ind w:left="57" w:right="57" w:firstLine="0"/>
              <w:jc w:val="both"/>
              <w:rPr>
                <w:sz w:val="22"/>
                <w:szCs w:val="22"/>
              </w:rPr>
            </w:pPr>
            <w:r w:rsidRPr="00DE20E4">
              <w:rPr>
                <w:sz w:val="22"/>
                <w:szCs w:val="22"/>
              </w:rPr>
              <w:t xml:space="preserve">Высокий </w:t>
            </w:r>
          </w:p>
          <w:p w14:paraId="520F8478" w14:textId="77777777" w:rsidR="006D53E9" w:rsidRPr="00DE20E4" w:rsidRDefault="006D53E9" w:rsidP="002D3EBF">
            <w:pPr>
              <w:pStyle w:val="Normal11"/>
              <w:shd w:val="clear" w:color="auto" w:fill="auto"/>
              <w:tabs>
                <w:tab w:val="left" w:pos="0"/>
              </w:tabs>
              <w:spacing w:line="360" w:lineRule="auto"/>
              <w:ind w:left="57" w:right="57" w:firstLine="0"/>
              <w:jc w:val="both"/>
              <w:rPr>
                <w:sz w:val="22"/>
                <w:szCs w:val="22"/>
                <w:shd w:val="clear" w:color="auto" w:fill="FFFFFF"/>
              </w:rPr>
            </w:pPr>
            <w:r w:rsidRPr="00DE20E4">
              <w:rPr>
                <w:sz w:val="22"/>
                <w:szCs w:val="22"/>
              </w:rPr>
              <w:t>(</w:t>
            </w:r>
            <w:r w:rsidRPr="00DE20E4">
              <w:rPr>
                <w:sz w:val="22"/>
                <w:szCs w:val="22"/>
                <w:shd w:val="clear" w:color="auto" w:fill="FFFFFF"/>
              </w:rPr>
              <w:t>&gt;</w:t>
            </w:r>
            <w:r>
              <w:rPr>
                <w:sz w:val="22"/>
                <w:szCs w:val="22"/>
              </w:rPr>
              <w:t>90 %</w:t>
            </w:r>
            <w:r w:rsidRPr="00DE20E4">
              <w:rPr>
                <w:sz w:val="22"/>
                <w:szCs w:val="22"/>
              </w:rPr>
              <w:t>)</w:t>
            </w:r>
          </w:p>
        </w:tc>
        <w:tc>
          <w:tcPr>
            <w:tcW w:w="3746" w:type="dxa"/>
          </w:tcPr>
          <w:p w14:paraId="3859CFCD" w14:textId="77777777" w:rsidR="006D53E9" w:rsidRPr="00DE20E4" w:rsidRDefault="006D53E9" w:rsidP="006D53E9">
            <w:pPr>
              <w:pStyle w:val="Normal11"/>
              <w:numPr>
                <w:ilvl w:val="0"/>
                <w:numId w:val="58"/>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 xml:space="preserve">комбинация антрациклин / циклофосфамид </w:t>
            </w:r>
          </w:p>
          <w:p w14:paraId="6885CE00" w14:textId="77777777" w:rsidR="006D53E9" w:rsidRPr="00DE20E4" w:rsidRDefault="006D53E9" w:rsidP="006D53E9">
            <w:pPr>
              <w:pStyle w:val="Normal11"/>
              <w:numPr>
                <w:ilvl w:val="0"/>
                <w:numId w:val="58"/>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дакарбазин</w:t>
            </w:r>
          </w:p>
          <w:p w14:paraId="703CD0BB" w14:textId="77777777" w:rsidR="006D53E9" w:rsidRPr="00DE20E4" w:rsidRDefault="006D53E9" w:rsidP="006D53E9">
            <w:pPr>
              <w:pStyle w:val="Normal11"/>
              <w:numPr>
                <w:ilvl w:val="0"/>
                <w:numId w:val="58"/>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кармустин</w:t>
            </w:r>
          </w:p>
          <w:p w14:paraId="68208400" w14:textId="77777777" w:rsidR="006D53E9" w:rsidRPr="00DE20E4" w:rsidRDefault="006D53E9" w:rsidP="006D53E9">
            <w:pPr>
              <w:pStyle w:val="Normal11"/>
              <w:numPr>
                <w:ilvl w:val="0"/>
                <w:numId w:val="58"/>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мехлорэтамин</w:t>
            </w:r>
          </w:p>
          <w:p w14:paraId="4274EDC2" w14:textId="77777777" w:rsidR="006D53E9" w:rsidRPr="00DE20E4" w:rsidRDefault="006D53E9" w:rsidP="006D53E9">
            <w:pPr>
              <w:pStyle w:val="Normal11"/>
              <w:numPr>
                <w:ilvl w:val="0"/>
                <w:numId w:val="58"/>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стрептозоцин</w:t>
            </w:r>
          </w:p>
          <w:p w14:paraId="1AD20BB0" w14:textId="77777777" w:rsidR="006D53E9" w:rsidRPr="00DE20E4" w:rsidRDefault="006D53E9" w:rsidP="006D53E9">
            <w:pPr>
              <w:pStyle w:val="Normal11"/>
              <w:numPr>
                <w:ilvl w:val="0"/>
                <w:numId w:val="58"/>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циклофосфамид ≥ 1500 мг / м</w:t>
            </w:r>
            <w:r w:rsidRPr="00046796">
              <w:rPr>
                <w:sz w:val="22"/>
                <w:szCs w:val="22"/>
                <w:shd w:val="clear" w:color="auto" w:fill="FFFFFF"/>
                <w:vertAlign w:val="superscript"/>
              </w:rPr>
              <w:t>2</w:t>
            </w:r>
          </w:p>
          <w:p w14:paraId="07171B1C" w14:textId="77777777" w:rsidR="006D53E9" w:rsidRPr="00DE20E4" w:rsidRDefault="006D53E9" w:rsidP="006D53E9">
            <w:pPr>
              <w:pStyle w:val="Normal11"/>
              <w:numPr>
                <w:ilvl w:val="0"/>
                <w:numId w:val="58"/>
              </w:numPr>
              <w:shd w:val="clear" w:color="auto" w:fill="auto"/>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цисплатин</w:t>
            </w:r>
          </w:p>
        </w:tc>
        <w:tc>
          <w:tcPr>
            <w:tcW w:w="3746" w:type="dxa"/>
          </w:tcPr>
          <w:p w14:paraId="1C77AF2E" w14:textId="77777777" w:rsidR="006D53E9" w:rsidRPr="00DE20E4" w:rsidRDefault="006D53E9" w:rsidP="006D53E9">
            <w:pPr>
              <w:pStyle w:val="Normal11"/>
              <w:numPr>
                <w:ilvl w:val="0"/>
                <w:numId w:val="58"/>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гексаметилмеламин</w:t>
            </w:r>
          </w:p>
          <w:p w14:paraId="36883F6B" w14:textId="77777777" w:rsidR="006D53E9" w:rsidRPr="00DE20E4" w:rsidRDefault="006D53E9" w:rsidP="006D53E9">
            <w:pPr>
              <w:pStyle w:val="Normal11"/>
              <w:numPr>
                <w:ilvl w:val="0"/>
                <w:numId w:val="58"/>
              </w:numPr>
              <w:shd w:val="clear" w:color="auto" w:fill="auto"/>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прокарбазин</w:t>
            </w:r>
          </w:p>
        </w:tc>
      </w:tr>
      <w:tr w:rsidR="006D53E9" w14:paraId="3D683D5B" w14:textId="77777777" w:rsidTr="002D3EBF">
        <w:trPr>
          <w:trHeight w:val="692"/>
        </w:trPr>
        <w:tc>
          <w:tcPr>
            <w:tcW w:w="1837" w:type="dxa"/>
          </w:tcPr>
          <w:p w14:paraId="25B4940B" w14:textId="77777777" w:rsidR="006D53E9" w:rsidRPr="00DE20E4" w:rsidRDefault="006D53E9" w:rsidP="002D3EBF">
            <w:pPr>
              <w:pStyle w:val="Normal11"/>
              <w:shd w:val="clear" w:color="auto" w:fill="auto"/>
              <w:tabs>
                <w:tab w:val="left" w:pos="0"/>
              </w:tabs>
              <w:spacing w:line="360" w:lineRule="auto"/>
              <w:ind w:left="57" w:right="57" w:firstLine="0"/>
              <w:jc w:val="both"/>
              <w:rPr>
                <w:sz w:val="22"/>
                <w:szCs w:val="22"/>
                <w:shd w:val="clear" w:color="auto" w:fill="FFFFFF"/>
              </w:rPr>
            </w:pPr>
            <w:r w:rsidRPr="00DE20E4">
              <w:rPr>
                <w:sz w:val="22"/>
                <w:szCs w:val="22"/>
              </w:rPr>
              <w:t>Умеренный (30–90 %)</w:t>
            </w:r>
          </w:p>
        </w:tc>
        <w:tc>
          <w:tcPr>
            <w:tcW w:w="3746" w:type="dxa"/>
          </w:tcPr>
          <w:p w14:paraId="1BA02A4A"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азацитидин</w:t>
            </w:r>
          </w:p>
          <w:p w14:paraId="6A830683"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алемтузумаб</w:t>
            </w:r>
          </w:p>
          <w:p w14:paraId="3F9DC12E"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бендамустин</w:t>
            </w:r>
          </w:p>
          <w:p w14:paraId="2208E9A3"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бусульфан</w:t>
            </w:r>
          </w:p>
          <w:p w14:paraId="4AF7E995"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даунорубицин</w:t>
            </w:r>
          </w:p>
          <w:p w14:paraId="23C8CB07"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доксорубицин</w:t>
            </w:r>
          </w:p>
          <w:p w14:paraId="69219379"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идарубицин</w:t>
            </w:r>
          </w:p>
          <w:p w14:paraId="4823712F"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иринотекан</w:t>
            </w:r>
          </w:p>
          <w:p w14:paraId="12B9E4F4" w14:textId="77777777" w:rsidR="006D53E9" w:rsidRPr="002C441B"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 xml:space="preserve">иринотекан </w:t>
            </w:r>
            <w:r w:rsidRPr="002C441B">
              <w:rPr>
                <w:sz w:val="22"/>
                <w:szCs w:val="22"/>
                <w:shd w:val="clear" w:color="auto" w:fill="FFFFFF"/>
              </w:rPr>
              <w:t>[</w:t>
            </w:r>
            <w:r w:rsidRPr="00DE20E4">
              <w:rPr>
                <w:sz w:val="22"/>
                <w:szCs w:val="22"/>
                <w:shd w:val="clear" w:color="auto" w:fill="FFFFFF"/>
              </w:rPr>
              <w:t>липосомальная форма</w:t>
            </w:r>
            <w:r w:rsidRPr="002C441B">
              <w:rPr>
                <w:sz w:val="22"/>
                <w:szCs w:val="22"/>
                <w:shd w:val="clear" w:color="auto" w:fill="FFFFFF"/>
              </w:rPr>
              <w:t>]</w:t>
            </w:r>
          </w:p>
          <w:p w14:paraId="0091260F"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ифосфамид</w:t>
            </w:r>
          </w:p>
          <w:p w14:paraId="5B6DB084"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карбоплатин</w:t>
            </w:r>
          </w:p>
          <w:p w14:paraId="1A199218"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клофарабин</w:t>
            </w:r>
          </w:p>
          <w:p w14:paraId="6206755D"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оксалиплатин</w:t>
            </w:r>
          </w:p>
          <w:p w14:paraId="2CD1580A"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 xml:space="preserve">ромидепсин </w:t>
            </w:r>
          </w:p>
          <w:p w14:paraId="762B36A5"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темозоломид</w:t>
            </w:r>
          </w:p>
          <w:p w14:paraId="72DC4EED"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тиотепа</w:t>
            </w:r>
          </w:p>
          <w:p w14:paraId="08CCC506"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трабектедин</w:t>
            </w:r>
          </w:p>
          <w:p w14:paraId="32AF3273"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циклофосфамид &lt;1500 мг / м</w:t>
            </w:r>
            <w:r w:rsidRPr="00046796">
              <w:rPr>
                <w:sz w:val="22"/>
                <w:szCs w:val="22"/>
                <w:shd w:val="clear" w:color="auto" w:fill="FFFFFF"/>
                <w:vertAlign w:val="superscript"/>
              </w:rPr>
              <w:t>2</w:t>
            </w:r>
          </w:p>
          <w:p w14:paraId="062F3342"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цитарабин</w:t>
            </w:r>
            <w:r>
              <w:rPr>
                <w:sz w:val="22"/>
                <w:szCs w:val="22"/>
                <w:shd w:val="clear" w:color="auto" w:fill="FFFFFF"/>
              </w:rPr>
              <w:t xml:space="preserve"> </w:t>
            </w:r>
            <w:r w:rsidRPr="00DE20E4">
              <w:rPr>
                <w:sz w:val="22"/>
                <w:szCs w:val="22"/>
                <w:shd w:val="clear" w:color="auto" w:fill="FFFFFF"/>
              </w:rPr>
              <w:t>&gt;1000 мг / м</w:t>
            </w:r>
            <w:r w:rsidRPr="00046796">
              <w:rPr>
                <w:sz w:val="22"/>
                <w:szCs w:val="22"/>
                <w:shd w:val="clear" w:color="auto" w:fill="FFFFFF"/>
                <w:vertAlign w:val="superscript"/>
              </w:rPr>
              <w:t>2</w:t>
            </w:r>
          </w:p>
          <w:p w14:paraId="5BCE1768" w14:textId="77777777" w:rsidR="006D53E9" w:rsidRPr="00DE20E4" w:rsidRDefault="006D53E9" w:rsidP="006D53E9">
            <w:pPr>
              <w:pStyle w:val="Normal11"/>
              <w:numPr>
                <w:ilvl w:val="0"/>
                <w:numId w:val="59"/>
              </w:numPr>
              <w:shd w:val="clear" w:color="auto" w:fill="auto"/>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эпирубицин</w:t>
            </w:r>
          </w:p>
        </w:tc>
        <w:tc>
          <w:tcPr>
            <w:tcW w:w="3746" w:type="dxa"/>
          </w:tcPr>
          <w:p w14:paraId="0C64E5F9"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Pr>
                <w:sz w:val="22"/>
                <w:szCs w:val="22"/>
                <w:shd w:val="clear" w:color="auto" w:fill="FFFFFF"/>
              </w:rPr>
              <w:t>б</w:t>
            </w:r>
            <w:r w:rsidRPr="00DE20E4">
              <w:rPr>
                <w:sz w:val="22"/>
                <w:szCs w:val="22"/>
                <w:shd w:val="clear" w:color="auto" w:fill="FFFFFF"/>
              </w:rPr>
              <w:t>осутиниб</w:t>
            </w:r>
          </w:p>
          <w:p w14:paraId="15D7383C"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винорельбин</w:t>
            </w:r>
          </w:p>
          <w:p w14:paraId="7C9500CD" w14:textId="77777777" w:rsidR="006D53E9" w:rsidRDefault="006D53E9" w:rsidP="006D53E9">
            <w:pPr>
              <w:pStyle w:val="Normal11"/>
              <w:numPr>
                <w:ilvl w:val="0"/>
                <w:numId w:val="59"/>
              </w:numPr>
              <w:shd w:val="clear" w:color="auto" w:fill="auto"/>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иматиниб</w:t>
            </w:r>
          </w:p>
          <w:p w14:paraId="7B4CC2B6" w14:textId="77777777" w:rsidR="006D53E9" w:rsidRPr="00DE20E4" w:rsidRDefault="006D53E9" w:rsidP="006D53E9">
            <w:pPr>
              <w:pStyle w:val="Normal11"/>
              <w:numPr>
                <w:ilvl w:val="0"/>
                <w:numId w:val="59"/>
              </w:numPr>
              <w:shd w:val="clear" w:color="auto" w:fill="auto"/>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кабозантиниб</w:t>
            </w:r>
          </w:p>
          <w:p w14:paraId="4AD6C544"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кризотиниб</w:t>
            </w:r>
          </w:p>
          <w:p w14:paraId="2C5A9300"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ленватиниб</w:t>
            </w:r>
          </w:p>
          <w:p w14:paraId="29C643EA" w14:textId="77777777" w:rsidR="006D53E9"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темозоломид</w:t>
            </w:r>
          </w:p>
          <w:p w14:paraId="3628247A"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Pr>
                <w:sz w:val="22"/>
                <w:szCs w:val="22"/>
                <w:shd w:val="clear" w:color="auto" w:fill="FFFFFF"/>
              </w:rPr>
              <w:t>трифлуридин-типирацил</w:t>
            </w:r>
          </w:p>
          <w:p w14:paraId="3D0C2633" w14:textId="77777777" w:rsidR="006D53E9" w:rsidRPr="00DE20E4" w:rsidRDefault="006D53E9" w:rsidP="006D53E9">
            <w:pPr>
              <w:pStyle w:val="Normal11"/>
              <w:numPr>
                <w:ilvl w:val="0"/>
                <w:numId w:val="59"/>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церитиниб</w:t>
            </w:r>
          </w:p>
          <w:p w14:paraId="1622501E" w14:textId="77777777" w:rsidR="006D53E9" w:rsidRPr="00DE20E4" w:rsidRDefault="006D53E9" w:rsidP="006D53E9">
            <w:pPr>
              <w:pStyle w:val="Normal11"/>
              <w:numPr>
                <w:ilvl w:val="0"/>
                <w:numId w:val="59"/>
              </w:numPr>
              <w:shd w:val="clear" w:color="auto" w:fill="auto"/>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циклофосфамид</w:t>
            </w:r>
          </w:p>
        </w:tc>
      </w:tr>
      <w:tr w:rsidR="006D53E9" w14:paraId="103AFE4B" w14:textId="77777777" w:rsidTr="002D3EBF">
        <w:trPr>
          <w:trHeight w:val="692"/>
        </w:trPr>
        <w:tc>
          <w:tcPr>
            <w:tcW w:w="1837" w:type="dxa"/>
          </w:tcPr>
          <w:p w14:paraId="63069736" w14:textId="77777777" w:rsidR="006D53E9" w:rsidRDefault="006D53E9" w:rsidP="002D3EBF">
            <w:pPr>
              <w:pStyle w:val="Normal11"/>
              <w:shd w:val="clear" w:color="auto" w:fill="auto"/>
              <w:tabs>
                <w:tab w:val="left" w:pos="0"/>
              </w:tabs>
              <w:spacing w:line="360" w:lineRule="auto"/>
              <w:ind w:left="57" w:right="57" w:firstLine="0"/>
              <w:jc w:val="both"/>
              <w:rPr>
                <w:sz w:val="22"/>
                <w:szCs w:val="22"/>
              </w:rPr>
            </w:pPr>
            <w:r w:rsidRPr="00DE20E4">
              <w:rPr>
                <w:sz w:val="22"/>
                <w:szCs w:val="22"/>
              </w:rPr>
              <w:t xml:space="preserve">Низкий </w:t>
            </w:r>
          </w:p>
          <w:p w14:paraId="0EE3D394" w14:textId="77777777" w:rsidR="006D53E9" w:rsidRPr="00DE20E4" w:rsidRDefault="006D53E9" w:rsidP="002D3EBF">
            <w:pPr>
              <w:pStyle w:val="Normal11"/>
              <w:shd w:val="clear" w:color="auto" w:fill="auto"/>
              <w:tabs>
                <w:tab w:val="left" w:pos="0"/>
              </w:tabs>
              <w:spacing w:line="360" w:lineRule="auto"/>
              <w:ind w:left="57" w:right="57" w:firstLine="0"/>
              <w:jc w:val="both"/>
              <w:rPr>
                <w:sz w:val="22"/>
                <w:szCs w:val="22"/>
                <w:shd w:val="clear" w:color="auto" w:fill="FFFFFF"/>
              </w:rPr>
            </w:pPr>
            <w:r w:rsidRPr="00DE20E4">
              <w:rPr>
                <w:sz w:val="22"/>
                <w:szCs w:val="22"/>
              </w:rPr>
              <w:t>(10–30 %)</w:t>
            </w:r>
          </w:p>
        </w:tc>
        <w:tc>
          <w:tcPr>
            <w:tcW w:w="3746" w:type="dxa"/>
          </w:tcPr>
          <w:p w14:paraId="553889E4"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Pr>
                <w:sz w:val="22"/>
                <w:szCs w:val="22"/>
                <w:shd w:val="clear" w:color="auto" w:fill="FFFFFF"/>
              </w:rPr>
              <w:t>а</w:t>
            </w:r>
            <w:r w:rsidRPr="00DE20E4">
              <w:rPr>
                <w:sz w:val="22"/>
                <w:szCs w:val="22"/>
                <w:shd w:val="clear" w:color="auto" w:fill="FFFFFF"/>
              </w:rPr>
              <w:t>тезолизумаб</w:t>
            </w:r>
          </w:p>
          <w:p w14:paraId="750EC159"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Pr>
                <w:sz w:val="22"/>
                <w:szCs w:val="22"/>
                <w:shd w:val="clear" w:color="auto" w:fill="FFFFFF"/>
              </w:rPr>
              <w:t>а</w:t>
            </w:r>
            <w:r w:rsidRPr="00DE20E4">
              <w:rPr>
                <w:sz w:val="22"/>
                <w:szCs w:val="22"/>
                <w:shd w:val="clear" w:color="auto" w:fill="FFFFFF"/>
              </w:rPr>
              <w:t>флиберцепт</w:t>
            </w:r>
          </w:p>
          <w:p w14:paraId="521C6526"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Pr>
                <w:sz w:val="22"/>
                <w:szCs w:val="22"/>
                <w:shd w:val="clear" w:color="auto" w:fill="FFFFFF"/>
              </w:rPr>
              <w:t>б</w:t>
            </w:r>
            <w:r w:rsidRPr="00DE20E4">
              <w:rPr>
                <w:sz w:val="22"/>
                <w:szCs w:val="22"/>
                <w:shd w:val="clear" w:color="auto" w:fill="FFFFFF"/>
              </w:rPr>
              <w:t>елиностат</w:t>
            </w:r>
          </w:p>
          <w:p w14:paraId="26613959"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блинатумомаб</w:t>
            </w:r>
          </w:p>
          <w:p w14:paraId="7AE1DD4D"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бортезомиб</w:t>
            </w:r>
          </w:p>
          <w:p w14:paraId="45F3C83C"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брентуксимаб</w:t>
            </w:r>
          </w:p>
          <w:p w14:paraId="345589FA"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винфлунин</w:t>
            </w:r>
          </w:p>
          <w:p w14:paraId="509B100A"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гемцитабин</w:t>
            </w:r>
          </w:p>
          <w:p w14:paraId="67C32FC4"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доксорубици</w:t>
            </w:r>
            <w:r>
              <w:rPr>
                <w:sz w:val="22"/>
                <w:szCs w:val="22"/>
                <w:shd w:val="clear" w:color="auto" w:fill="FFFFFF"/>
              </w:rPr>
              <w:t xml:space="preserve">н </w:t>
            </w:r>
            <w:r w:rsidRPr="00DE20E4">
              <w:rPr>
                <w:sz w:val="22"/>
                <w:szCs w:val="22"/>
                <w:shd w:val="clear" w:color="auto" w:fill="FFFFFF"/>
              </w:rPr>
              <w:t>пегилированный</w:t>
            </w:r>
            <w:r>
              <w:rPr>
                <w:sz w:val="22"/>
                <w:szCs w:val="22"/>
                <w:shd w:val="clear" w:color="auto" w:fill="FFFFFF"/>
              </w:rPr>
              <w:t xml:space="preserve"> </w:t>
            </w:r>
            <w:r w:rsidRPr="00DE20E4">
              <w:rPr>
                <w:sz w:val="22"/>
                <w:szCs w:val="22"/>
                <w:shd w:val="clear" w:color="auto" w:fill="FFFFFF"/>
              </w:rPr>
              <w:t>липосомальный</w:t>
            </w:r>
          </w:p>
          <w:p w14:paraId="460C4DC4"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доцетаксел</w:t>
            </w:r>
          </w:p>
          <w:p w14:paraId="611030B1"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иксабепилон</w:t>
            </w:r>
          </w:p>
          <w:p w14:paraId="4528E3FF"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ипилимумаб</w:t>
            </w:r>
          </w:p>
          <w:p w14:paraId="4CBF847A"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кабазитаксел</w:t>
            </w:r>
          </w:p>
          <w:p w14:paraId="6A4A2A2A"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карфилзомиб</w:t>
            </w:r>
          </w:p>
          <w:p w14:paraId="3A407209"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катумаксумаб</w:t>
            </w:r>
          </w:p>
          <w:p w14:paraId="5563A8DF"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метотрексат</w:t>
            </w:r>
          </w:p>
          <w:p w14:paraId="6B52588A"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митоксантрон</w:t>
            </w:r>
          </w:p>
          <w:p w14:paraId="511B84B1"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митомицин</w:t>
            </w:r>
          </w:p>
          <w:p w14:paraId="27BE5D22"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наб-паклитаксел</w:t>
            </w:r>
          </w:p>
          <w:p w14:paraId="4D07AB3B"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нецитумумаб</w:t>
            </w:r>
          </w:p>
          <w:p w14:paraId="3A40D405"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паклитаксел</w:t>
            </w:r>
          </w:p>
          <w:p w14:paraId="641298A2"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панитумумаб</w:t>
            </w:r>
          </w:p>
          <w:p w14:paraId="3876705E"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пеметрексед</w:t>
            </w:r>
          </w:p>
          <w:p w14:paraId="32C1A71B"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пертузумаб</w:t>
            </w:r>
          </w:p>
          <w:p w14:paraId="4A34924C"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темсиролимус</w:t>
            </w:r>
          </w:p>
          <w:p w14:paraId="5DDD3F21"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топотекан</w:t>
            </w:r>
          </w:p>
          <w:p w14:paraId="0BCBC6CF"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трастузумаб-эмтанзин</w:t>
            </w:r>
          </w:p>
          <w:p w14:paraId="2396A34E"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цетуксимаб</w:t>
            </w:r>
          </w:p>
          <w:p w14:paraId="6503B256"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цитарабин ≤ 1000 мг / м</w:t>
            </w:r>
            <w:r w:rsidRPr="00046796">
              <w:rPr>
                <w:sz w:val="22"/>
                <w:szCs w:val="22"/>
                <w:shd w:val="clear" w:color="auto" w:fill="FFFFFF"/>
                <w:vertAlign w:val="superscript"/>
              </w:rPr>
              <w:t>2</w:t>
            </w:r>
          </w:p>
          <w:p w14:paraId="59DD86A0"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элотузумаб</w:t>
            </w:r>
          </w:p>
          <w:p w14:paraId="22828BDB" w14:textId="77777777" w:rsidR="006D53E9" w:rsidRPr="00DE20E4" w:rsidRDefault="006D53E9" w:rsidP="006D53E9">
            <w:pPr>
              <w:pStyle w:val="Normal11"/>
              <w:numPr>
                <w:ilvl w:val="0"/>
                <w:numId w:val="60"/>
              </w:numPr>
              <w:tabs>
                <w:tab w:val="left" w:pos="0"/>
                <w:tab w:val="left" w:pos="1515"/>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эрибулин</w:t>
            </w:r>
            <w:r w:rsidRPr="00DE20E4">
              <w:rPr>
                <w:sz w:val="22"/>
                <w:szCs w:val="22"/>
                <w:shd w:val="clear" w:color="auto" w:fill="FFFFFF"/>
              </w:rPr>
              <w:tab/>
            </w:r>
          </w:p>
          <w:p w14:paraId="053C2156"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этопозид</w:t>
            </w:r>
          </w:p>
          <w:p w14:paraId="6ED78C5F" w14:textId="77777777" w:rsidR="006D53E9" w:rsidRPr="00DE20E4" w:rsidRDefault="006D53E9" w:rsidP="006D53E9">
            <w:pPr>
              <w:pStyle w:val="Normal11"/>
              <w:numPr>
                <w:ilvl w:val="0"/>
                <w:numId w:val="60"/>
              </w:numPr>
              <w:shd w:val="clear" w:color="auto" w:fill="auto"/>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5</w:t>
            </w:r>
            <w:r w:rsidRPr="00DE20E4">
              <w:rPr>
                <w:rFonts w:ascii="MS Mincho" w:eastAsia="MS Mincho" w:hAnsi="MS Mincho" w:cs="MS Mincho" w:hint="eastAsia"/>
                <w:sz w:val="22"/>
                <w:szCs w:val="22"/>
                <w:shd w:val="clear" w:color="auto" w:fill="FFFFFF"/>
              </w:rPr>
              <w:t>‑</w:t>
            </w:r>
            <w:r w:rsidRPr="00DE20E4">
              <w:rPr>
                <w:sz w:val="22"/>
                <w:szCs w:val="22"/>
                <w:shd w:val="clear" w:color="auto" w:fill="FFFFFF"/>
              </w:rPr>
              <w:t>фторурацил</w:t>
            </w:r>
          </w:p>
        </w:tc>
        <w:tc>
          <w:tcPr>
            <w:tcW w:w="3746" w:type="dxa"/>
          </w:tcPr>
          <w:p w14:paraId="5E311830"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Pr>
                <w:sz w:val="22"/>
                <w:szCs w:val="22"/>
                <w:shd w:val="clear" w:color="auto" w:fill="FFFFFF"/>
              </w:rPr>
              <w:t>а</w:t>
            </w:r>
            <w:r w:rsidRPr="00DE20E4">
              <w:rPr>
                <w:sz w:val="22"/>
                <w:szCs w:val="22"/>
                <w:shd w:val="clear" w:color="auto" w:fill="FFFFFF"/>
              </w:rPr>
              <w:t>ксатиниб</w:t>
            </w:r>
          </w:p>
          <w:p w14:paraId="1C79D70F"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Pr>
                <w:sz w:val="22"/>
                <w:szCs w:val="22"/>
                <w:shd w:val="clear" w:color="auto" w:fill="FFFFFF"/>
              </w:rPr>
              <w:t>а</w:t>
            </w:r>
            <w:r w:rsidRPr="00015EAB">
              <w:rPr>
                <w:sz w:val="22"/>
                <w:szCs w:val="22"/>
                <w:shd w:val="clear" w:color="auto" w:fill="FFFFFF"/>
              </w:rPr>
              <w:t xml:space="preserve">лектиниб </w:t>
            </w:r>
          </w:p>
          <w:p w14:paraId="093C2A54"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афатиниб</w:t>
            </w:r>
          </w:p>
          <w:p w14:paraId="64307DC1"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вандетаниб</w:t>
            </w:r>
          </w:p>
          <w:p w14:paraId="33553985"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венетоклакс</w:t>
            </w:r>
          </w:p>
          <w:p w14:paraId="678C6613"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вориностат</w:t>
            </w:r>
          </w:p>
          <w:p w14:paraId="1034E10A"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дабрафениб</w:t>
            </w:r>
          </w:p>
          <w:p w14:paraId="57A9F2F4"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дазатиниб</w:t>
            </w:r>
          </w:p>
          <w:p w14:paraId="2DDA6EEE"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ибрутиниб</w:t>
            </w:r>
          </w:p>
          <w:p w14:paraId="2FDE76B4"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 xml:space="preserve">иделалисиб </w:t>
            </w:r>
          </w:p>
          <w:p w14:paraId="047CB3DB"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иксазомиб</w:t>
            </w:r>
          </w:p>
          <w:p w14:paraId="3F0C9194"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капецитабин</w:t>
            </w:r>
          </w:p>
          <w:p w14:paraId="6039BD5F"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кобиметиниб</w:t>
            </w:r>
          </w:p>
          <w:p w14:paraId="2222C0DA"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лапатиниб</w:t>
            </w:r>
          </w:p>
          <w:p w14:paraId="2A4D2EC8"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леналидомид</w:t>
            </w:r>
          </w:p>
          <w:p w14:paraId="6E088259"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нилотиниб</w:t>
            </w:r>
          </w:p>
          <w:p w14:paraId="577D8C6A"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олапариб</w:t>
            </w:r>
          </w:p>
          <w:p w14:paraId="0680908F"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осимертиниб</w:t>
            </w:r>
          </w:p>
          <w:p w14:paraId="0D366D75"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пазопаниб</w:t>
            </w:r>
          </w:p>
          <w:p w14:paraId="7C11DB1F"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палбоциклиб</w:t>
            </w:r>
          </w:p>
          <w:p w14:paraId="54102840"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панобиностат</w:t>
            </w:r>
          </w:p>
          <w:p w14:paraId="0AE4FFFC"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понатиниб</w:t>
            </w:r>
          </w:p>
          <w:p w14:paraId="0E3D2D22"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регорафениб</w:t>
            </w:r>
          </w:p>
          <w:p w14:paraId="5BF928DF" w14:textId="77777777" w:rsidR="006D53E9" w:rsidRPr="00015EAB"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015EAB">
              <w:rPr>
                <w:sz w:val="22"/>
                <w:szCs w:val="22"/>
                <w:shd w:val="clear" w:color="auto" w:fill="FFFFFF"/>
              </w:rPr>
              <w:t>сонидегиб</w:t>
            </w:r>
          </w:p>
          <w:p w14:paraId="00A1E3B5"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сунитиниб</w:t>
            </w:r>
          </w:p>
          <w:p w14:paraId="5DA9516C"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талидомид</w:t>
            </w:r>
          </w:p>
          <w:p w14:paraId="43A57EB1"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тегафур-урацил</w:t>
            </w:r>
          </w:p>
          <w:p w14:paraId="3EFA252B"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траметиниб</w:t>
            </w:r>
          </w:p>
          <w:p w14:paraId="1D70A66F" w14:textId="77777777" w:rsidR="006D53E9" w:rsidRPr="00DE20E4" w:rsidRDefault="006D53E9" w:rsidP="006D53E9">
            <w:pPr>
              <w:pStyle w:val="Normal11"/>
              <w:numPr>
                <w:ilvl w:val="0"/>
                <w:numId w:val="60"/>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флударабин</w:t>
            </w:r>
          </w:p>
          <w:p w14:paraId="05ADB291" w14:textId="77777777" w:rsidR="006D53E9" w:rsidRPr="00DE20E4" w:rsidRDefault="006D53E9" w:rsidP="006D53E9">
            <w:pPr>
              <w:pStyle w:val="Normal11"/>
              <w:numPr>
                <w:ilvl w:val="0"/>
                <w:numId w:val="60"/>
              </w:numPr>
              <w:shd w:val="clear" w:color="auto" w:fill="auto"/>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эверолимус</w:t>
            </w:r>
          </w:p>
          <w:p w14:paraId="73A807AA" w14:textId="77777777" w:rsidR="006D53E9" w:rsidRPr="00DE20E4" w:rsidRDefault="006D53E9" w:rsidP="006D53E9">
            <w:pPr>
              <w:pStyle w:val="Normal11"/>
              <w:numPr>
                <w:ilvl w:val="0"/>
                <w:numId w:val="60"/>
              </w:numPr>
              <w:shd w:val="clear" w:color="auto" w:fill="auto"/>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 xml:space="preserve">этопозид </w:t>
            </w:r>
          </w:p>
        </w:tc>
      </w:tr>
      <w:tr w:rsidR="006D53E9" w14:paraId="3033191A" w14:textId="77777777" w:rsidTr="002D3EBF">
        <w:trPr>
          <w:trHeight w:val="692"/>
        </w:trPr>
        <w:tc>
          <w:tcPr>
            <w:tcW w:w="1837" w:type="dxa"/>
          </w:tcPr>
          <w:p w14:paraId="423A4EB3" w14:textId="77777777" w:rsidR="006D53E9" w:rsidRPr="00DE20E4" w:rsidRDefault="006D53E9" w:rsidP="002D3EBF">
            <w:pPr>
              <w:pStyle w:val="Normal11"/>
              <w:shd w:val="clear" w:color="auto" w:fill="auto"/>
              <w:tabs>
                <w:tab w:val="left" w:pos="0"/>
              </w:tabs>
              <w:spacing w:line="360" w:lineRule="auto"/>
              <w:ind w:left="57" w:right="57" w:firstLine="0"/>
              <w:jc w:val="both"/>
              <w:rPr>
                <w:sz w:val="22"/>
                <w:szCs w:val="22"/>
                <w:shd w:val="clear" w:color="auto" w:fill="FFFFFF"/>
              </w:rPr>
            </w:pPr>
            <w:r w:rsidRPr="00DE20E4">
              <w:rPr>
                <w:sz w:val="22"/>
                <w:szCs w:val="22"/>
              </w:rPr>
              <w:t>Минимальный (&lt;10 %)</w:t>
            </w:r>
          </w:p>
        </w:tc>
        <w:tc>
          <w:tcPr>
            <w:tcW w:w="3746" w:type="dxa"/>
          </w:tcPr>
          <w:p w14:paraId="51E9FF7E"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Pr>
                <w:sz w:val="22"/>
                <w:szCs w:val="22"/>
                <w:shd w:val="clear" w:color="auto" w:fill="FFFFFF"/>
              </w:rPr>
              <w:t>б</w:t>
            </w:r>
            <w:r w:rsidRPr="00DE20E4">
              <w:rPr>
                <w:sz w:val="22"/>
                <w:szCs w:val="22"/>
                <w:shd w:val="clear" w:color="auto" w:fill="FFFFFF"/>
              </w:rPr>
              <w:t>евацизумаб</w:t>
            </w:r>
          </w:p>
          <w:p w14:paraId="18FB7625"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блеомицин</w:t>
            </w:r>
          </w:p>
          <w:p w14:paraId="01F0161A"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винбластин</w:t>
            </w:r>
          </w:p>
          <w:p w14:paraId="728CA0CF"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винкристин</w:t>
            </w:r>
          </w:p>
          <w:p w14:paraId="18021C57"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винорельбин</w:t>
            </w:r>
          </w:p>
          <w:p w14:paraId="2405F8D1"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даратумумаб</w:t>
            </w:r>
          </w:p>
          <w:p w14:paraId="14274125"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кладрибин</w:t>
            </w:r>
          </w:p>
          <w:p w14:paraId="40FAEC67"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ниволумаб</w:t>
            </w:r>
          </w:p>
          <w:p w14:paraId="754BFB97"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обинутузумаб</w:t>
            </w:r>
          </w:p>
          <w:p w14:paraId="7EFFB754"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офатумумаб</w:t>
            </w:r>
          </w:p>
          <w:p w14:paraId="33290BE0"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пембролизумаб</w:t>
            </w:r>
          </w:p>
          <w:p w14:paraId="48B95BAD"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пиксантрон</w:t>
            </w:r>
          </w:p>
          <w:p w14:paraId="09FEEABF"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пралатрексат</w:t>
            </w:r>
          </w:p>
          <w:p w14:paraId="13804E46"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рамуцирумаб</w:t>
            </w:r>
          </w:p>
          <w:p w14:paraId="3C477F57" w14:textId="77777777" w:rsidR="006D53E9" w:rsidRPr="00FA793D"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FA793D">
              <w:rPr>
                <w:sz w:val="22"/>
                <w:szCs w:val="22"/>
                <w:shd w:val="clear" w:color="auto" w:fill="FFFFFF"/>
              </w:rPr>
              <w:t>ритуксимаб</w:t>
            </w:r>
          </w:p>
          <w:p w14:paraId="1DECF104" w14:textId="77777777" w:rsidR="006D53E9" w:rsidRPr="00FA793D"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FA793D">
              <w:rPr>
                <w:sz w:val="22"/>
                <w:szCs w:val="22"/>
                <w:shd w:val="clear" w:color="auto" w:fill="FFFFFF"/>
              </w:rPr>
              <w:t>трастузумаб</w:t>
            </w:r>
          </w:p>
          <w:p w14:paraId="25E6FA13" w14:textId="77777777" w:rsidR="006D53E9" w:rsidRPr="00FA793D" w:rsidRDefault="006D53E9" w:rsidP="006D53E9">
            <w:pPr>
              <w:pStyle w:val="Normal11"/>
              <w:numPr>
                <w:ilvl w:val="0"/>
                <w:numId w:val="61"/>
              </w:numPr>
              <w:shd w:val="clear" w:color="auto" w:fill="auto"/>
              <w:tabs>
                <w:tab w:val="left" w:pos="0"/>
              </w:tabs>
              <w:overflowPunct/>
              <w:autoSpaceDE/>
              <w:autoSpaceDN/>
              <w:adjustRightInd/>
              <w:spacing w:line="360" w:lineRule="auto"/>
              <w:ind w:left="57" w:right="57"/>
              <w:textAlignment w:val="auto"/>
              <w:rPr>
                <w:sz w:val="22"/>
                <w:szCs w:val="22"/>
                <w:shd w:val="clear" w:color="auto" w:fill="FFFFFF"/>
              </w:rPr>
            </w:pPr>
            <w:r w:rsidRPr="00FA793D">
              <w:rPr>
                <w:sz w:val="22"/>
                <w:szCs w:val="22"/>
                <w:shd w:val="clear" w:color="auto" w:fill="FFFFFF"/>
              </w:rPr>
              <w:t>флударабин</w:t>
            </w:r>
          </w:p>
          <w:p w14:paraId="291479A7" w14:textId="77777777" w:rsidR="006D53E9" w:rsidRPr="00DE20E4" w:rsidRDefault="006D53E9" w:rsidP="006D53E9">
            <w:pPr>
              <w:pStyle w:val="Normal11"/>
              <w:numPr>
                <w:ilvl w:val="0"/>
                <w:numId w:val="61"/>
              </w:numPr>
              <w:shd w:val="clear" w:color="auto" w:fill="auto"/>
              <w:tabs>
                <w:tab w:val="left" w:pos="0"/>
              </w:tabs>
              <w:overflowPunct/>
              <w:autoSpaceDE/>
              <w:autoSpaceDN/>
              <w:adjustRightInd/>
              <w:spacing w:line="360" w:lineRule="auto"/>
              <w:ind w:left="57" w:right="57"/>
              <w:textAlignment w:val="auto"/>
              <w:rPr>
                <w:sz w:val="22"/>
                <w:szCs w:val="22"/>
                <w:shd w:val="clear" w:color="auto" w:fill="FFFFFF"/>
              </w:rPr>
            </w:pPr>
            <w:r w:rsidRPr="00FA793D">
              <w:rPr>
                <w:sz w:val="22"/>
                <w:szCs w:val="22"/>
                <w:shd w:val="clear" w:color="auto" w:fill="FFFFFF"/>
              </w:rPr>
              <w:t>2-хлордеоксиаденозин</w:t>
            </w:r>
          </w:p>
        </w:tc>
        <w:tc>
          <w:tcPr>
            <w:tcW w:w="3746" w:type="dxa"/>
          </w:tcPr>
          <w:p w14:paraId="118BD1D7"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Pr>
                <w:sz w:val="22"/>
                <w:szCs w:val="22"/>
                <w:shd w:val="clear" w:color="auto" w:fill="FFFFFF"/>
              </w:rPr>
              <w:t>б</w:t>
            </w:r>
            <w:r w:rsidRPr="00DE20E4">
              <w:rPr>
                <w:sz w:val="22"/>
                <w:szCs w:val="22"/>
                <w:shd w:val="clear" w:color="auto" w:fill="FFFFFF"/>
              </w:rPr>
              <w:t>усульфан</w:t>
            </w:r>
          </w:p>
          <w:p w14:paraId="3BFDD43C"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Pr>
                <w:sz w:val="22"/>
                <w:szCs w:val="22"/>
                <w:shd w:val="clear" w:color="auto" w:fill="FFFFFF"/>
              </w:rPr>
              <w:t>в</w:t>
            </w:r>
            <w:r w:rsidRPr="00DE20E4">
              <w:rPr>
                <w:sz w:val="22"/>
                <w:szCs w:val="22"/>
                <w:shd w:val="clear" w:color="auto" w:fill="FFFFFF"/>
              </w:rPr>
              <w:t>емурафениб</w:t>
            </w:r>
          </w:p>
          <w:p w14:paraId="13C3E54E"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висмодегиб</w:t>
            </w:r>
          </w:p>
          <w:p w14:paraId="5D409D34"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гефитиниб</w:t>
            </w:r>
          </w:p>
          <w:p w14:paraId="12DBB2C1"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гидроксиуреа</w:t>
            </w:r>
          </w:p>
          <w:p w14:paraId="116547F2"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мелфалан</w:t>
            </w:r>
          </w:p>
          <w:p w14:paraId="7585BA5F"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метотрексат</w:t>
            </w:r>
          </w:p>
          <w:p w14:paraId="264BB5D7"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помалидомид</w:t>
            </w:r>
          </w:p>
          <w:p w14:paraId="418BBF2A"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руксолитиниб</w:t>
            </w:r>
          </w:p>
          <w:p w14:paraId="293181BB"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сорафениб</w:t>
            </w:r>
          </w:p>
          <w:p w14:paraId="6B4AA3BF"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хлорамбуцил</w:t>
            </w:r>
          </w:p>
          <w:p w14:paraId="2978B4CC"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эрлотиниб</w:t>
            </w:r>
          </w:p>
          <w:p w14:paraId="16BCCADB" w14:textId="77777777" w:rsidR="006D53E9" w:rsidRPr="00DE20E4" w:rsidRDefault="006D53E9" w:rsidP="006D53E9">
            <w:pPr>
              <w:pStyle w:val="Normal11"/>
              <w:numPr>
                <w:ilvl w:val="0"/>
                <w:numId w:val="61"/>
              </w:numPr>
              <w:tabs>
                <w:tab w:val="left" w:pos="0"/>
              </w:tabs>
              <w:overflowPunct/>
              <w:autoSpaceDE/>
              <w:autoSpaceDN/>
              <w:adjustRightInd/>
              <w:spacing w:line="360" w:lineRule="auto"/>
              <w:ind w:left="57" w:right="57"/>
              <w:textAlignment w:val="auto"/>
              <w:rPr>
                <w:sz w:val="22"/>
                <w:szCs w:val="22"/>
                <w:shd w:val="clear" w:color="auto" w:fill="FFFFFF"/>
              </w:rPr>
            </w:pPr>
            <w:r w:rsidRPr="00DE20E4">
              <w:rPr>
                <w:sz w:val="22"/>
                <w:szCs w:val="22"/>
                <w:shd w:val="clear" w:color="auto" w:fill="FFFFFF"/>
              </w:rPr>
              <w:t>6</w:t>
            </w:r>
            <w:r w:rsidRPr="00DE20E4">
              <w:rPr>
                <w:rFonts w:ascii="MS Mincho" w:eastAsia="MS Mincho" w:hAnsi="MS Mincho" w:cs="MS Mincho" w:hint="eastAsia"/>
                <w:sz w:val="22"/>
                <w:szCs w:val="22"/>
                <w:shd w:val="clear" w:color="auto" w:fill="FFFFFF"/>
              </w:rPr>
              <w:t>‑</w:t>
            </w:r>
            <w:r w:rsidRPr="00DE20E4">
              <w:rPr>
                <w:sz w:val="22"/>
                <w:szCs w:val="22"/>
                <w:shd w:val="clear" w:color="auto" w:fill="FFFFFF"/>
              </w:rPr>
              <w:t>тиогуанин</w:t>
            </w:r>
          </w:p>
          <w:p w14:paraId="63BEF7BE" w14:textId="77777777" w:rsidR="006D53E9" w:rsidRPr="00DE20E4" w:rsidRDefault="006D53E9" w:rsidP="002D3EBF">
            <w:pPr>
              <w:pStyle w:val="Normal11"/>
              <w:shd w:val="clear" w:color="auto" w:fill="auto"/>
              <w:tabs>
                <w:tab w:val="left" w:pos="0"/>
              </w:tabs>
              <w:spacing w:line="360" w:lineRule="auto"/>
              <w:ind w:left="57" w:right="57" w:firstLine="0"/>
              <w:rPr>
                <w:sz w:val="22"/>
                <w:szCs w:val="22"/>
                <w:shd w:val="clear" w:color="auto" w:fill="FFFFFF"/>
              </w:rPr>
            </w:pPr>
          </w:p>
        </w:tc>
      </w:tr>
    </w:tbl>
    <w:p w14:paraId="3356D58F" w14:textId="77777777" w:rsidR="006D53E9" w:rsidRDefault="006D53E9" w:rsidP="006D53E9"/>
    <w:p w14:paraId="254BA3FF" w14:textId="24CA838D" w:rsidR="006D53E9" w:rsidRDefault="006D53E9" w:rsidP="006D53E9">
      <w:r w:rsidRPr="001957E3">
        <w:t>Рекомендации экспертов по принципам противорвотного (антиэметогенного) лечения основываются на том, в какую категорию эметогенного потенциала входит цитостатик</w:t>
      </w:r>
      <w:r>
        <w:t xml:space="preserve"> </w:t>
      </w:r>
      <w:r>
        <w:fldChar w:fldCharType="begin" w:fldLock="1"/>
      </w:r>
      <w:r w:rsidR="009D41F9">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74]","plainTextFormattedCitation":"[68–74]","previouslyFormattedCitation":"[68–74]"},"properties":{"noteIndex":0},"schema":"https://github.com/citation-style-language/schema/raw/master/csl-citation.json"}</w:instrText>
      </w:r>
      <w:r>
        <w:fldChar w:fldCharType="separate"/>
      </w:r>
      <w:r w:rsidR="004C3BA5" w:rsidRPr="004C3BA5">
        <w:rPr>
          <w:noProof/>
        </w:rPr>
        <w:t>[68–74]</w:t>
      </w:r>
      <w:r>
        <w:fldChar w:fldCharType="end"/>
      </w:r>
      <w:r w:rsidRPr="001957E3">
        <w:t xml:space="preserve">. Эметогенный потенциал препаратов для внутривенного введения определяется, как правило, для режима однодневного введения, то есть определяется эметогенность разовой дозы. В основу эметогенной классификации таблетированных препаратов положен учет эметогенности полного курса лечения. Эметогенность комбинированного режима </w:t>
      </w:r>
      <w:r>
        <w:t>П</w:t>
      </w:r>
      <w:r w:rsidRPr="001957E3">
        <w:t>ХТ определяется, как правило, препаратом, обладающим наибольшим эметогенным потенциалом. Это положение является абсолютно верным для режимов, включающих высокоэметогенные цитостатики. Комбинация средне-эметогенных цитостатиков может повышать эметогенность режима в целом.</w:t>
      </w:r>
    </w:p>
    <w:p w14:paraId="61DF2754" w14:textId="77777777" w:rsidR="006D53E9" w:rsidRPr="001957E3" w:rsidRDefault="006D53E9" w:rsidP="006D53E9"/>
    <w:p w14:paraId="48F4BC79" w14:textId="77777777" w:rsidR="006D53E9" w:rsidRPr="00376A77" w:rsidRDefault="006D53E9" w:rsidP="006D53E9">
      <w:pPr>
        <w:pStyle w:val="Normal11"/>
        <w:tabs>
          <w:tab w:val="left" w:pos="0"/>
        </w:tabs>
        <w:spacing w:line="360" w:lineRule="auto"/>
        <w:ind w:firstLine="699"/>
        <w:jc w:val="both"/>
        <w:rPr>
          <w:bCs/>
          <w:i/>
          <w:iCs/>
          <w:u w:val="single"/>
          <w:shd w:val="clear" w:color="auto" w:fill="FFFFFF"/>
        </w:rPr>
      </w:pPr>
      <w:r w:rsidRPr="00376A77">
        <w:rPr>
          <w:bCs/>
          <w:i/>
          <w:iCs/>
          <w:u w:val="single"/>
          <w:shd w:val="clear" w:color="auto" w:fill="FFFFFF"/>
        </w:rPr>
        <w:t>Противорвотные препараты</w:t>
      </w:r>
    </w:p>
    <w:p w14:paraId="6FEF4A91" w14:textId="7BF28E5C" w:rsidR="006D53E9" w:rsidRPr="0030741F" w:rsidRDefault="006D53E9" w:rsidP="006D53E9">
      <w:r w:rsidRPr="0030741F">
        <w:t>Для клинического применения используется 5 групп препаратов, обладающих противорвотным действием</w:t>
      </w:r>
      <w:r>
        <w:t xml:space="preserve"> </w:t>
      </w:r>
      <w:r>
        <w:fldChar w:fldCharType="begin" w:fldLock="1"/>
      </w:r>
      <w:r w:rsidR="009D41F9">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74]","plainTextFormattedCitation":"[68–74]","previouslyFormattedCitation":"[68–74]"},"properties":{"noteIndex":0},"schema":"https://github.com/citation-style-language/schema/raw/master/csl-citation.json"}</w:instrText>
      </w:r>
      <w:r>
        <w:fldChar w:fldCharType="separate"/>
      </w:r>
      <w:r w:rsidR="004C3BA5" w:rsidRPr="004C3BA5">
        <w:rPr>
          <w:noProof/>
        </w:rPr>
        <w:t>[68–74]</w:t>
      </w:r>
      <w:r>
        <w:fldChar w:fldCharType="end"/>
      </w:r>
      <w:r w:rsidRPr="0030741F">
        <w:t>:</w:t>
      </w:r>
    </w:p>
    <w:p w14:paraId="4A0C89FF" w14:textId="77777777" w:rsidR="006D53E9" w:rsidRDefault="006D53E9" w:rsidP="006D53E9">
      <w:pPr>
        <w:pStyle w:val="afe"/>
        <w:numPr>
          <w:ilvl w:val="0"/>
          <w:numId w:val="64"/>
        </w:numPr>
        <w:contextualSpacing w:val="0"/>
      </w:pPr>
      <w:r w:rsidRPr="00340360">
        <w:rPr>
          <w:i/>
          <w:iCs/>
        </w:rPr>
        <w:t>Антагонисты 5-HT3-рецепторов (HT - гидрокситриптамин)</w:t>
      </w:r>
      <w:r>
        <w:t xml:space="preserve">. </w:t>
      </w:r>
      <w:r w:rsidRPr="00376A77">
        <w:t xml:space="preserve">Эта группа препаратов включает ондансетрон, гранисетрон, трописетрон, палоносетрон. Механизм действия препаратов обусловлен способностью селективно блокировать серотониновые 5-HT3-рецепторы, предупреждая возникновение рвотного рефлекса вследствие стимуляции афферентных волокон блуждающего нерва серотонином, выделяющимся из энтерохромаффинных клеток слизистой оболочки ЖКТ. Антагонисты 5-HT3-рецепторов также угнетают центральные звенья рвотного рефлекса, блокируя 5-HT3-рецепторы дна IV желудочка головного мозга. Препараты назначаются за 30-60 минут до ХТ. В таблице </w:t>
      </w:r>
      <w:r>
        <w:t>2</w:t>
      </w:r>
      <w:r w:rsidRPr="00376A77">
        <w:t xml:space="preserve"> указан режим дозирования антагонистов 5-HT3-рецепторов.</w:t>
      </w:r>
      <w:r>
        <w:t xml:space="preserve"> Необходим</w:t>
      </w:r>
      <w:r w:rsidRPr="00F4328A">
        <w:t xml:space="preserve"> мониторинг ЭКГ, электролитов у больных с признаками кардиальных нарушений. Антагонисты 5-HT3-рецепторов могут удлинять интервал QT, в связи с чем у пациентов с синдромом удлинения QT следует избегать применения 5-HT3-антагонистов, за исключением палоносетрона, который не оказывает влияния на интервал QT. Палоносетрон – высокоселективный антагонист серотониновых рецепторов, имеющий самый длительный период полувыведения (до 40 часов). Применяется однократно с 1-го дня 1-го цикла при однодневном курсе </w:t>
      </w:r>
      <w:r>
        <w:t>П</w:t>
      </w:r>
      <w:r w:rsidRPr="00F4328A">
        <w:t xml:space="preserve">ХТ и через день - при многодневном курсе </w:t>
      </w:r>
      <w:r>
        <w:t>П</w:t>
      </w:r>
      <w:r w:rsidRPr="00F4328A">
        <w:t>ХТ.</w:t>
      </w:r>
    </w:p>
    <w:p w14:paraId="5E16D613" w14:textId="77777777" w:rsidR="006D53E9" w:rsidRDefault="006D53E9" w:rsidP="006D53E9">
      <w:pPr>
        <w:pStyle w:val="Normal11"/>
        <w:tabs>
          <w:tab w:val="left" w:pos="0"/>
        </w:tabs>
        <w:spacing w:line="360" w:lineRule="auto"/>
        <w:jc w:val="both"/>
        <w:rPr>
          <w:bCs/>
        </w:rPr>
      </w:pPr>
    </w:p>
    <w:p w14:paraId="2D1F79F6" w14:textId="77777777" w:rsidR="006D53E9" w:rsidRPr="0070602A" w:rsidRDefault="006D53E9" w:rsidP="006D53E9">
      <w:pPr>
        <w:pStyle w:val="Normal11"/>
        <w:tabs>
          <w:tab w:val="left" w:pos="0"/>
        </w:tabs>
        <w:spacing w:line="360" w:lineRule="auto"/>
        <w:jc w:val="both"/>
        <w:rPr>
          <w:bCs/>
        </w:rPr>
      </w:pPr>
      <w:r w:rsidRPr="0070602A">
        <w:rPr>
          <w:bCs/>
        </w:rPr>
        <w:t xml:space="preserve">Таблица 2. Режим дозирования антагонистов 5-HT3-рецепторов </w:t>
      </w:r>
    </w:p>
    <w:tbl>
      <w:tblPr>
        <w:tblStyle w:val="aff9"/>
        <w:tblW w:w="0" w:type="auto"/>
        <w:jc w:val="center"/>
        <w:tblLook w:val="04A0" w:firstRow="1" w:lastRow="0" w:firstColumn="1" w:lastColumn="0" w:noHBand="0" w:noVBand="1"/>
      </w:tblPr>
      <w:tblGrid>
        <w:gridCol w:w="2220"/>
        <w:gridCol w:w="2756"/>
        <w:gridCol w:w="3557"/>
      </w:tblGrid>
      <w:tr w:rsidR="006D53E9" w:rsidRPr="0079248E" w14:paraId="13634634" w14:textId="77777777" w:rsidTr="002D3EBF">
        <w:trPr>
          <w:jc w:val="center"/>
        </w:trPr>
        <w:tc>
          <w:tcPr>
            <w:tcW w:w="2220" w:type="dxa"/>
          </w:tcPr>
          <w:p w14:paraId="2B968ACA" w14:textId="77777777" w:rsidR="006D53E9" w:rsidRPr="0079248E" w:rsidRDefault="006D53E9" w:rsidP="002D3EBF">
            <w:pPr>
              <w:tabs>
                <w:tab w:val="left" w:pos="0"/>
              </w:tabs>
              <w:ind w:left="57" w:right="57" w:firstLine="0"/>
              <w:jc w:val="center"/>
              <w:rPr>
                <w:szCs w:val="24"/>
                <w:lang w:eastAsia="ru-RU"/>
              </w:rPr>
            </w:pPr>
            <w:r w:rsidRPr="0079248E">
              <w:rPr>
                <w:szCs w:val="24"/>
                <w:lang w:eastAsia="ru-RU"/>
              </w:rPr>
              <w:t>Препарат</w:t>
            </w:r>
          </w:p>
        </w:tc>
        <w:tc>
          <w:tcPr>
            <w:tcW w:w="2756" w:type="dxa"/>
          </w:tcPr>
          <w:p w14:paraId="4957389B" w14:textId="77777777" w:rsidR="006D53E9" w:rsidRPr="0079248E" w:rsidRDefault="006D53E9" w:rsidP="002D3EBF">
            <w:pPr>
              <w:tabs>
                <w:tab w:val="left" w:pos="0"/>
              </w:tabs>
              <w:ind w:left="57" w:right="57" w:firstLine="0"/>
              <w:jc w:val="center"/>
              <w:rPr>
                <w:szCs w:val="24"/>
                <w:lang w:eastAsia="ru-RU"/>
              </w:rPr>
            </w:pPr>
            <w:r w:rsidRPr="0079248E">
              <w:rPr>
                <w:szCs w:val="24"/>
                <w:lang w:eastAsia="ru-RU"/>
              </w:rPr>
              <w:t>Разовая доза, мг</w:t>
            </w:r>
          </w:p>
        </w:tc>
        <w:tc>
          <w:tcPr>
            <w:tcW w:w="3557" w:type="dxa"/>
          </w:tcPr>
          <w:p w14:paraId="32236841" w14:textId="77777777" w:rsidR="006D53E9" w:rsidRPr="0079248E" w:rsidRDefault="006D53E9" w:rsidP="002D3EBF">
            <w:pPr>
              <w:tabs>
                <w:tab w:val="left" w:pos="0"/>
              </w:tabs>
              <w:ind w:left="57" w:right="57" w:firstLine="0"/>
              <w:jc w:val="center"/>
              <w:rPr>
                <w:szCs w:val="24"/>
                <w:lang w:eastAsia="ru-RU"/>
              </w:rPr>
            </w:pPr>
            <w:r w:rsidRPr="00835D9B">
              <w:rPr>
                <w:szCs w:val="24"/>
                <w:lang w:eastAsia="ru-RU"/>
              </w:rPr>
              <w:t>Способ применения</w:t>
            </w:r>
            <w:r>
              <w:rPr>
                <w:szCs w:val="24"/>
                <w:lang w:eastAsia="ru-RU"/>
              </w:rPr>
              <w:t xml:space="preserve"> </w:t>
            </w:r>
          </w:p>
        </w:tc>
      </w:tr>
      <w:tr w:rsidR="006D53E9" w:rsidRPr="0030741F" w14:paraId="211D2A83" w14:textId="77777777" w:rsidTr="002D3EBF">
        <w:trPr>
          <w:jc w:val="center"/>
        </w:trPr>
        <w:tc>
          <w:tcPr>
            <w:tcW w:w="2220" w:type="dxa"/>
          </w:tcPr>
          <w:p w14:paraId="62890265" w14:textId="77777777" w:rsidR="006D53E9" w:rsidRPr="0030741F" w:rsidRDefault="006D53E9" w:rsidP="002D3EBF">
            <w:pPr>
              <w:tabs>
                <w:tab w:val="left" w:pos="0"/>
              </w:tabs>
              <w:ind w:left="57" w:right="57" w:firstLine="0"/>
              <w:rPr>
                <w:szCs w:val="24"/>
                <w:lang w:eastAsia="ru-RU"/>
              </w:rPr>
            </w:pPr>
            <w:r w:rsidRPr="0030741F">
              <w:rPr>
                <w:szCs w:val="24"/>
                <w:lang w:eastAsia="ru-RU"/>
              </w:rPr>
              <w:t>Ондансетрон</w:t>
            </w:r>
          </w:p>
        </w:tc>
        <w:tc>
          <w:tcPr>
            <w:tcW w:w="2756" w:type="dxa"/>
          </w:tcPr>
          <w:p w14:paraId="3D2DBDCD" w14:textId="77777777" w:rsidR="006D53E9" w:rsidRPr="0030741F" w:rsidRDefault="006D53E9" w:rsidP="002D3EBF">
            <w:pPr>
              <w:tabs>
                <w:tab w:val="left" w:pos="0"/>
              </w:tabs>
              <w:ind w:left="57" w:right="57" w:firstLine="0"/>
              <w:rPr>
                <w:szCs w:val="24"/>
                <w:lang w:eastAsia="ru-RU"/>
              </w:rPr>
            </w:pPr>
            <w:r w:rsidRPr="0030741F">
              <w:rPr>
                <w:szCs w:val="24"/>
                <w:lang w:eastAsia="ru-RU"/>
              </w:rPr>
              <w:t>8</w:t>
            </w:r>
          </w:p>
          <w:p w14:paraId="1ED72489" w14:textId="77777777" w:rsidR="006D53E9" w:rsidRDefault="006D53E9" w:rsidP="002D3EBF">
            <w:pPr>
              <w:tabs>
                <w:tab w:val="left" w:pos="0"/>
              </w:tabs>
              <w:ind w:left="57" w:right="57" w:firstLine="0"/>
              <w:rPr>
                <w:szCs w:val="24"/>
                <w:lang w:eastAsia="ru-RU"/>
              </w:rPr>
            </w:pPr>
            <w:r w:rsidRPr="0030741F">
              <w:rPr>
                <w:szCs w:val="24"/>
                <w:lang w:eastAsia="ru-RU"/>
              </w:rPr>
              <w:t xml:space="preserve">16 </w:t>
            </w:r>
          </w:p>
          <w:p w14:paraId="3EA1650D" w14:textId="77777777" w:rsidR="006D53E9" w:rsidRPr="0030741F" w:rsidRDefault="006D53E9" w:rsidP="002D3EBF">
            <w:pPr>
              <w:tabs>
                <w:tab w:val="left" w:pos="0"/>
              </w:tabs>
              <w:ind w:left="57" w:right="57" w:firstLine="0"/>
              <w:rPr>
                <w:szCs w:val="24"/>
                <w:lang w:eastAsia="ru-RU"/>
              </w:rPr>
            </w:pPr>
            <w:r>
              <w:rPr>
                <w:szCs w:val="24"/>
                <w:lang w:eastAsia="ru-RU"/>
              </w:rPr>
              <w:t>8</w:t>
            </w:r>
          </w:p>
        </w:tc>
        <w:tc>
          <w:tcPr>
            <w:tcW w:w="3557" w:type="dxa"/>
          </w:tcPr>
          <w:p w14:paraId="50AE6FED" w14:textId="77777777" w:rsidR="006D53E9" w:rsidRPr="00C36F88" w:rsidRDefault="006D53E9" w:rsidP="002D3EBF">
            <w:pPr>
              <w:tabs>
                <w:tab w:val="left" w:pos="0"/>
              </w:tabs>
              <w:ind w:left="57" w:right="57" w:firstLine="0"/>
              <w:rPr>
                <w:szCs w:val="24"/>
                <w:lang w:eastAsia="ru-RU"/>
              </w:rPr>
            </w:pPr>
            <w:r w:rsidRPr="00C36F88">
              <w:rPr>
                <w:szCs w:val="24"/>
                <w:lang w:eastAsia="ru-RU"/>
              </w:rPr>
              <w:t xml:space="preserve">в/в </w:t>
            </w:r>
          </w:p>
          <w:p w14:paraId="4F08A685" w14:textId="77777777" w:rsidR="006D53E9" w:rsidRPr="00C36F88" w:rsidRDefault="006D53E9" w:rsidP="002D3EBF">
            <w:pPr>
              <w:tabs>
                <w:tab w:val="left" w:pos="0"/>
              </w:tabs>
              <w:ind w:left="57" w:right="57" w:firstLine="0"/>
              <w:rPr>
                <w:szCs w:val="24"/>
                <w:lang w:eastAsia="ru-RU"/>
              </w:rPr>
            </w:pPr>
            <w:r w:rsidRPr="00C36F88">
              <w:rPr>
                <w:szCs w:val="24"/>
                <w:lang w:eastAsia="ru-RU"/>
              </w:rPr>
              <w:t>внутрь</w:t>
            </w:r>
          </w:p>
          <w:p w14:paraId="19E92AD7" w14:textId="77777777" w:rsidR="006D53E9" w:rsidRPr="00C36F88" w:rsidRDefault="006D53E9" w:rsidP="002D3EBF">
            <w:pPr>
              <w:tabs>
                <w:tab w:val="left" w:pos="0"/>
              </w:tabs>
              <w:ind w:left="57" w:right="57" w:firstLine="0"/>
              <w:rPr>
                <w:szCs w:val="24"/>
                <w:lang w:eastAsia="ru-RU"/>
              </w:rPr>
            </w:pPr>
            <w:r w:rsidRPr="00C36F88">
              <w:rPr>
                <w:szCs w:val="24"/>
                <w:lang w:eastAsia="ru-RU"/>
              </w:rPr>
              <w:t>суппозитории ректальные</w:t>
            </w:r>
          </w:p>
        </w:tc>
      </w:tr>
      <w:tr w:rsidR="006D53E9" w:rsidRPr="0030741F" w14:paraId="50CBC577" w14:textId="77777777" w:rsidTr="002D3EBF">
        <w:trPr>
          <w:jc w:val="center"/>
        </w:trPr>
        <w:tc>
          <w:tcPr>
            <w:tcW w:w="2220" w:type="dxa"/>
          </w:tcPr>
          <w:p w14:paraId="76F4A41A" w14:textId="77777777" w:rsidR="006D53E9" w:rsidRPr="0030741F" w:rsidRDefault="006D53E9" w:rsidP="002D3EBF">
            <w:pPr>
              <w:tabs>
                <w:tab w:val="left" w:pos="0"/>
              </w:tabs>
              <w:ind w:left="57" w:right="57" w:firstLine="0"/>
              <w:rPr>
                <w:szCs w:val="24"/>
                <w:lang w:eastAsia="ru-RU"/>
              </w:rPr>
            </w:pPr>
            <w:r w:rsidRPr="0030741F">
              <w:rPr>
                <w:szCs w:val="24"/>
                <w:lang w:eastAsia="ru-RU"/>
              </w:rPr>
              <w:t>Гранисетрон</w:t>
            </w:r>
          </w:p>
        </w:tc>
        <w:tc>
          <w:tcPr>
            <w:tcW w:w="2756" w:type="dxa"/>
          </w:tcPr>
          <w:p w14:paraId="22486259" w14:textId="77777777" w:rsidR="006D53E9" w:rsidRPr="0030741F" w:rsidRDefault="006D53E9" w:rsidP="002D3EBF">
            <w:pPr>
              <w:tabs>
                <w:tab w:val="left" w:pos="0"/>
              </w:tabs>
              <w:ind w:left="57" w:right="57" w:firstLine="0"/>
              <w:rPr>
                <w:szCs w:val="24"/>
                <w:lang w:eastAsia="ru-RU"/>
              </w:rPr>
            </w:pPr>
            <w:r w:rsidRPr="0030741F">
              <w:rPr>
                <w:szCs w:val="24"/>
                <w:lang w:eastAsia="ru-RU"/>
              </w:rPr>
              <w:t>1-3</w:t>
            </w:r>
          </w:p>
          <w:p w14:paraId="4DF1AF32" w14:textId="77777777" w:rsidR="006D53E9" w:rsidRPr="0030741F" w:rsidRDefault="006D53E9" w:rsidP="002D3EBF">
            <w:pPr>
              <w:tabs>
                <w:tab w:val="left" w:pos="0"/>
              </w:tabs>
              <w:ind w:left="57" w:right="57" w:firstLine="0"/>
              <w:rPr>
                <w:szCs w:val="24"/>
                <w:lang w:eastAsia="ru-RU"/>
              </w:rPr>
            </w:pPr>
            <w:r w:rsidRPr="0030741F">
              <w:rPr>
                <w:szCs w:val="24"/>
                <w:lang w:eastAsia="ru-RU"/>
              </w:rPr>
              <w:t>2</w:t>
            </w:r>
          </w:p>
        </w:tc>
        <w:tc>
          <w:tcPr>
            <w:tcW w:w="3557" w:type="dxa"/>
          </w:tcPr>
          <w:p w14:paraId="4BDAFA37" w14:textId="77777777" w:rsidR="006D53E9" w:rsidRPr="0030741F" w:rsidRDefault="006D53E9" w:rsidP="002D3EBF">
            <w:pPr>
              <w:tabs>
                <w:tab w:val="left" w:pos="0"/>
              </w:tabs>
              <w:ind w:left="57" w:right="57" w:firstLine="0"/>
              <w:rPr>
                <w:szCs w:val="24"/>
                <w:lang w:eastAsia="ru-RU"/>
              </w:rPr>
            </w:pPr>
            <w:r w:rsidRPr="0030741F">
              <w:rPr>
                <w:szCs w:val="24"/>
                <w:lang w:eastAsia="ru-RU"/>
              </w:rPr>
              <w:t xml:space="preserve">в/в  </w:t>
            </w:r>
          </w:p>
          <w:p w14:paraId="2ABDDCC9" w14:textId="77777777" w:rsidR="006D53E9" w:rsidRPr="0030741F" w:rsidRDefault="006D53E9" w:rsidP="002D3EBF">
            <w:pPr>
              <w:ind w:left="57" w:right="57" w:firstLine="0"/>
              <w:rPr>
                <w:szCs w:val="24"/>
              </w:rPr>
            </w:pPr>
            <w:r w:rsidRPr="0030741F">
              <w:rPr>
                <w:szCs w:val="24"/>
                <w:lang w:eastAsia="ru-RU"/>
              </w:rPr>
              <w:t>внутрь</w:t>
            </w:r>
          </w:p>
        </w:tc>
      </w:tr>
      <w:tr w:rsidR="006D53E9" w:rsidRPr="0030741F" w14:paraId="701E2AB2" w14:textId="77777777" w:rsidTr="002D3EBF">
        <w:trPr>
          <w:jc w:val="center"/>
        </w:trPr>
        <w:tc>
          <w:tcPr>
            <w:tcW w:w="2220" w:type="dxa"/>
          </w:tcPr>
          <w:p w14:paraId="346333C8" w14:textId="77777777" w:rsidR="006D53E9" w:rsidRPr="0030741F" w:rsidRDefault="006D53E9" w:rsidP="002D3EBF">
            <w:pPr>
              <w:tabs>
                <w:tab w:val="left" w:pos="0"/>
              </w:tabs>
              <w:ind w:left="57" w:right="57" w:firstLine="0"/>
              <w:rPr>
                <w:szCs w:val="24"/>
                <w:lang w:eastAsia="ru-RU"/>
              </w:rPr>
            </w:pPr>
            <w:r w:rsidRPr="0030741F">
              <w:rPr>
                <w:szCs w:val="24"/>
                <w:lang w:eastAsia="ru-RU"/>
              </w:rPr>
              <w:t>Трописетрон</w:t>
            </w:r>
          </w:p>
        </w:tc>
        <w:tc>
          <w:tcPr>
            <w:tcW w:w="2756" w:type="dxa"/>
          </w:tcPr>
          <w:p w14:paraId="5CC6596B" w14:textId="77777777" w:rsidR="006D53E9" w:rsidRPr="0030741F" w:rsidRDefault="006D53E9" w:rsidP="002D3EBF">
            <w:pPr>
              <w:tabs>
                <w:tab w:val="left" w:pos="0"/>
              </w:tabs>
              <w:ind w:left="57" w:right="57" w:firstLine="0"/>
              <w:rPr>
                <w:szCs w:val="24"/>
                <w:lang w:eastAsia="ru-RU"/>
              </w:rPr>
            </w:pPr>
            <w:r w:rsidRPr="0030741F">
              <w:rPr>
                <w:szCs w:val="24"/>
                <w:lang w:eastAsia="ru-RU"/>
              </w:rPr>
              <w:t xml:space="preserve">5 </w:t>
            </w:r>
          </w:p>
        </w:tc>
        <w:tc>
          <w:tcPr>
            <w:tcW w:w="3557" w:type="dxa"/>
          </w:tcPr>
          <w:p w14:paraId="40614EF0" w14:textId="77777777" w:rsidR="006D53E9" w:rsidRPr="0030741F" w:rsidRDefault="006D53E9" w:rsidP="002D3EBF">
            <w:pPr>
              <w:ind w:left="57" w:right="57" w:firstLine="0"/>
              <w:rPr>
                <w:szCs w:val="24"/>
              </w:rPr>
            </w:pPr>
            <w:r w:rsidRPr="0030741F">
              <w:rPr>
                <w:szCs w:val="24"/>
                <w:lang w:eastAsia="ru-RU"/>
              </w:rPr>
              <w:t>в/в или внутрь</w:t>
            </w:r>
          </w:p>
        </w:tc>
      </w:tr>
      <w:tr w:rsidR="006D53E9" w:rsidRPr="0030741F" w14:paraId="0A159F8A" w14:textId="77777777" w:rsidTr="002D3EBF">
        <w:trPr>
          <w:jc w:val="center"/>
        </w:trPr>
        <w:tc>
          <w:tcPr>
            <w:tcW w:w="2220" w:type="dxa"/>
          </w:tcPr>
          <w:p w14:paraId="5058E2E1" w14:textId="77777777" w:rsidR="006D53E9" w:rsidRPr="0030741F" w:rsidRDefault="006D53E9" w:rsidP="002D3EBF">
            <w:pPr>
              <w:tabs>
                <w:tab w:val="left" w:pos="0"/>
              </w:tabs>
              <w:ind w:left="57" w:right="57" w:firstLine="0"/>
              <w:rPr>
                <w:szCs w:val="24"/>
                <w:lang w:eastAsia="ru-RU"/>
              </w:rPr>
            </w:pPr>
            <w:r w:rsidRPr="0030741F">
              <w:rPr>
                <w:szCs w:val="24"/>
              </w:rPr>
              <w:t>Палоносетрон</w:t>
            </w:r>
          </w:p>
        </w:tc>
        <w:tc>
          <w:tcPr>
            <w:tcW w:w="2756" w:type="dxa"/>
          </w:tcPr>
          <w:p w14:paraId="7D04A115" w14:textId="77777777" w:rsidR="006D53E9" w:rsidRPr="0030741F" w:rsidRDefault="006D53E9" w:rsidP="002D3EBF">
            <w:pPr>
              <w:tabs>
                <w:tab w:val="left" w:pos="0"/>
              </w:tabs>
              <w:ind w:left="57" w:right="57" w:firstLine="0"/>
              <w:rPr>
                <w:szCs w:val="24"/>
                <w:lang w:eastAsia="ru-RU"/>
              </w:rPr>
            </w:pPr>
            <w:r w:rsidRPr="0030741F">
              <w:rPr>
                <w:szCs w:val="24"/>
                <w:lang w:eastAsia="ru-RU"/>
              </w:rPr>
              <w:t>0,25</w:t>
            </w:r>
          </w:p>
        </w:tc>
        <w:tc>
          <w:tcPr>
            <w:tcW w:w="3557" w:type="dxa"/>
          </w:tcPr>
          <w:p w14:paraId="35A4B08B" w14:textId="77777777" w:rsidR="006D53E9" w:rsidRPr="0030741F" w:rsidRDefault="006D53E9" w:rsidP="002D3EBF">
            <w:pPr>
              <w:ind w:left="57" w:right="57" w:firstLine="0"/>
              <w:rPr>
                <w:szCs w:val="24"/>
              </w:rPr>
            </w:pPr>
            <w:r w:rsidRPr="0030741F">
              <w:rPr>
                <w:szCs w:val="24"/>
                <w:lang w:eastAsia="ru-RU"/>
              </w:rPr>
              <w:t>в/в</w:t>
            </w:r>
          </w:p>
        </w:tc>
      </w:tr>
    </w:tbl>
    <w:p w14:paraId="7A9618D7" w14:textId="77777777" w:rsidR="006D53E9" w:rsidRPr="0030741F" w:rsidRDefault="006D53E9" w:rsidP="006D53E9"/>
    <w:p w14:paraId="6B43FAA5" w14:textId="77777777" w:rsidR="006D53E9" w:rsidRPr="0030741F" w:rsidRDefault="006D53E9" w:rsidP="006D53E9">
      <w:pPr>
        <w:pStyle w:val="afe"/>
        <w:numPr>
          <w:ilvl w:val="0"/>
          <w:numId w:val="64"/>
        </w:numPr>
        <w:contextualSpacing w:val="0"/>
      </w:pPr>
      <w:r w:rsidRPr="00E04057">
        <w:rPr>
          <w:i/>
          <w:iCs/>
        </w:rPr>
        <w:t>Кортикостероиды</w:t>
      </w:r>
      <w:r>
        <w:t>.</w:t>
      </w:r>
      <w:r w:rsidRPr="00E04057">
        <w:t xml:space="preserve"> </w:t>
      </w:r>
      <w:r>
        <w:t>Если схема ХТ содержит кортикостероиды, дополнительного назначения дексаметазона с противорвотной целью не требуется. Добавление дексаметазона к антагонистам серотониновых рецепторов позволяет уменьшить риск появления острой тошноты и рвоты и предотвращает развитие отсроченной тошноты и рвоты. Кроме того, он обладает самостоятельной противорвотной активностью и может использоваться в монотерапии для профилактики острой рвоты после введения низкоэметогенных цитостатиков. Препарат назначается в дозе 12 мг внутривенно однократно за 30–60 минут до ХТ. В случае высокоэметогенной терапии в последующие дни назначается внутрь в дозе 8 мг два раза в сутки, продолжительностью до 5 дней.</w:t>
      </w:r>
    </w:p>
    <w:p w14:paraId="29F3869A" w14:textId="77777777" w:rsidR="006D53E9" w:rsidRDefault="006D53E9" w:rsidP="006D53E9">
      <w:pPr>
        <w:pStyle w:val="afe"/>
        <w:numPr>
          <w:ilvl w:val="0"/>
          <w:numId w:val="64"/>
        </w:numPr>
        <w:contextualSpacing w:val="0"/>
      </w:pPr>
      <w:r w:rsidRPr="00E04057">
        <w:rPr>
          <w:i/>
          <w:iCs/>
        </w:rPr>
        <w:t>Антагонисты рецепторов нейрокинина-1 (NK-1)</w:t>
      </w:r>
      <w:r>
        <w:t>. В эту группу препаратов входят апрепитант и фосапрепитант. Апрепитант – селективный высокоаффинный антагонист рецепторов NK-1 центрального механизма действия (за счет связывания с NK1-рецепторами головного мозга). Центральное действие апрепитанта обладает большой продолжительностью, причем он ингибирует как острую, так и отсроченную фазы рвоты, а также повышает противорвотную активность антагонистов 5-НТ3-рецепторов (например, ондансетрона) и глюкокортикостероидов (дексаметазона).  Антагонисты NK1-рецепторов являются умеренными ингибиторами CYP3A4, что необходимо учитывать при одновременном использовании препаратов, метаболизируемых этой же системой (так, апрепитант снижает эффективность гормональных контрацептивов, в связи с чем, необходимо использовать альтернативные методы контрацепции; апрепитант повышает концентрацию кортикостероидов, в связи с чем в комбинации с апрепитантом доза дексаметазона должна быть снижена приблизительно на 50%; у пациентов, поручающих варфарин, необходимо дополнительно контролировать уровень международного нормализованного отношения). Антагонисты NK1-рецепторов применяют в комбинации с кортикостероидами и антагонистами серотониновых 5-НТ3-рецепторов. Апрепитант принимается за час до ХТ, фосапрепитант вводится за 30 минут до ХТ в дозах, представленных в таблице 3.</w:t>
      </w:r>
    </w:p>
    <w:p w14:paraId="7E7F82C1" w14:textId="77777777" w:rsidR="006D53E9" w:rsidRDefault="006D53E9" w:rsidP="006D53E9">
      <w:pPr>
        <w:ind w:firstLine="0"/>
        <w:rPr>
          <w:bCs/>
          <w:szCs w:val="24"/>
        </w:rPr>
      </w:pPr>
    </w:p>
    <w:p w14:paraId="7CC82AE2" w14:textId="77777777" w:rsidR="006D53E9" w:rsidRPr="008578C0" w:rsidRDefault="006D53E9" w:rsidP="006D53E9">
      <w:pPr>
        <w:ind w:firstLine="0"/>
        <w:rPr>
          <w:bCs/>
          <w:szCs w:val="24"/>
          <w:lang w:eastAsia="ru-RU"/>
        </w:rPr>
      </w:pPr>
      <w:r w:rsidRPr="008578C0">
        <w:rPr>
          <w:bCs/>
          <w:szCs w:val="24"/>
        </w:rPr>
        <w:t xml:space="preserve">Таблица </w:t>
      </w:r>
      <w:r>
        <w:rPr>
          <w:bCs/>
          <w:szCs w:val="24"/>
        </w:rPr>
        <w:t>3</w:t>
      </w:r>
      <w:r w:rsidRPr="008578C0">
        <w:rPr>
          <w:bCs/>
          <w:szCs w:val="24"/>
        </w:rPr>
        <w:t xml:space="preserve">. Режим дозирования антагонистов </w:t>
      </w:r>
      <w:r w:rsidRPr="008578C0">
        <w:rPr>
          <w:bCs/>
          <w:szCs w:val="24"/>
          <w:lang w:eastAsia="ru-RU"/>
        </w:rPr>
        <w:t>NK1-рецепторов</w:t>
      </w:r>
    </w:p>
    <w:tbl>
      <w:tblPr>
        <w:tblStyle w:val="aff9"/>
        <w:tblW w:w="0" w:type="auto"/>
        <w:jc w:val="center"/>
        <w:tblLook w:val="04A0" w:firstRow="1" w:lastRow="0" w:firstColumn="1" w:lastColumn="0" w:noHBand="0" w:noVBand="1"/>
      </w:tblPr>
      <w:tblGrid>
        <w:gridCol w:w="2263"/>
        <w:gridCol w:w="2103"/>
        <w:gridCol w:w="4701"/>
      </w:tblGrid>
      <w:tr w:rsidR="006D53E9" w:rsidRPr="003F4776" w14:paraId="3E832B7D" w14:textId="77777777" w:rsidTr="002D3EBF">
        <w:trPr>
          <w:jc w:val="center"/>
        </w:trPr>
        <w:tc>
          <w:tcPr>
            <w:tcW w:w="2263" w:type="dxa"/>
          </w:tcPr>
          <w:p w14:paraId="26221B36" w14:textId="77777777" w:rsidR="006D53E9" w:rsidRPr="003F4776" w:rsidRDefault="006D53E9" w:rsidP="002D3EBF">
            <w:pPr>
              <w:tabs>
                <w:tab w:val="left" w:pos="0"/>
              </w:tabs>
              <w:ind w:left="57" w:right="57" w:firstLine="0"/>
              <w:rPr>
                <w:bCs/>
                <w:szCs w:val="24"/>
                <w:lang w:eastAsia="ru-RU"/>
              </w:rPr>
            </w:pPr>
            <w:r w:rsidRPr="003F4776">
              <w:rPr>
                <w:bCs/>
                <w:szCs w:val="24"/>
                <w:lang w:eastAsia="ru-RU"/>
              </w:rPr>
              <w:t>Препарат</w:t>
            </w:r>
          </w:p>
        </w:tc>
        <w:tc>
          <w:tcPr>
            <w:tcW w:w="2103" w:type="dxa"/>
          </w:tcPr>
          <w:p w14:paraId="057AAAE1" w14:textId="77777777" w:rsidR="006D53E9" w:rsidRPr="003F4776" w:rsidRDefault="006D53E9" w:rsidP="002D3EBF">
            <w:pPr>
              <w:tabs>
                <w:tab w:val="left" w:pos="0"/>
              </w:tabs>
              <w:ind w:left="57" w:right="57" w:firstLine="0"/>
              <w:rPr>
                <w:bCs/>
                <w:szCs w:val="24"/>
                <w:lang w:eastAsia="ru-RU"/>
              </w:rPr>
            </w:pPr>
            <w:r w:rsidRPr="003F4776">
              <w:rPr>
                <w:bCs/>
                <w:szCs w:val="24"/>
                <w:lang w:eastAsia="ru-RU"/>
              </w:rPr>
              <w:t>Разовая доза, мг</w:t>
            </w:r>
          </w:p>
        </w:tc>
        <w:tc>
          <w:tcPr>
            <w:tcW w:w="4701" w:type="dxa"/>
          </w:tcPr>
          <w:p w14:paraId="4DFA3F6C" w14:textId="77777777" w:rsidR="006D53E9" w:rsidRPr="003F4776" w:rsidRDefault="006D53E9" w:rsidP="002D3EBF">
            <w:pPr>
              <w:tabs>
                <w:tab w:val="left" w:pos="0"/>
              </w:tabs>
              <w:ind w:left="57" w:right="57" w:firstLine="0"/>
              <w:rPr>
                <w:bCs/>
                <w:szCs w:val="24"/>
                <w:lang w:eastAsia="ru-RU"/>
              </w:rPr>
            </w:pPr>
            <w:r w:rsidRPr="003F4776">
              <w:rPr>
                <w:bCs/>
                <w:szCs w:val="24"/>
                <w:lang w:eastAsia="ru-RU"/>
              </w:rPr>
              <w:t xml:space="preserve">Способ применения  / </w:t>
            </w:r>
          </w:p>
          <w:p w14:paraId="145FE93B" w14:textId="77777777" w:rsidR="006D53E9" w:rsidRPr="003F4776" w:rsidRDefault="006D53E9" w:rsidP="002D3EBF">
            <w:pPr>
              <w:tabs>
                <w:tab w:val="left" w:pos="0"/>
              </w:tabs>
              <w:ind w:left="57" w:right="57" w:firstLine="0"/>
              <w:rPr>
                <w:bCs/>
                <w:szCs w:val="24"/>
                <w:lang w:eastAsia="ru-RU"/>
              </w:rPr>
            </w:pPr>
            <w:r w:rsidRPr="003F4776">
              <w:rPr>
                <w:bCs/>
                <w:szCs w:val="24"/>
                <w:lang w:eastAsia="ru-RU"/>
              </w:rPr>
              <w:t>Режим дозирования</w:t>
            </w:r>
          </w:p>
        </w:tc>
      </w:tr>
      <w:tr w:rsidR="006D53E9" w:rsidRPr="0030741F" w14:paraId="0FD4BCE4" w14:textId="77777777" w:rsidTr="002D3EBF">
        <w:trPr>
          <w:jc w:val="center"/>
        </w:trPr>
        <w:tc>
          <w:tcPr>
            <w:tcW w:w="2263" w:type="dxa"/>
          </w:tcPr>
          <w:p w14:paraId="492836F2" w14:textId="77777777" w:rsidR="006D53E9" w:rsidRPr="0030741F" w:rsidRDefault="006D53E9" w:rsidP="002D3EBF">
            <w:pPr>
              <w:tabs>
                <w:tab w:val="left" w:pos="0"/>
              </w:tabs>
              <w:ind w:left="57" w:right="57" w:firstLine="0"/>
              <w:rPr>
                <w:szCs w:val="24"/>
                <w:lang w:eastAsia="ru-RU"/>
              </w:rPr>
            </w:pPr>
            <w:r w:rsidRPr="0030741F">
              <w:rPr>
                <w:szCs w:val="24"/>
                <w:lang w:eastAsia="ru-RU"/>
              </w:rPr>
              <w:t>Апрепитант</w:t>
            </w:r>
          </w:p>
        </w:tc>
        <w:tc>
          <w:tcPr>
            <w:tcW w:w="2103" w:type="dxa"/>
          </w:tcPr>
          <w:p w14:paraId="26D0C845" w14:textId="77777777" w:rsidR="006D53E9" w:rsidRPr="0030741F" w:rsidRDefault="006D53E9" w:rsidP="002D3EBF">
            <w:pPr>
              <w:tabs>
                <w:tab w:val="left" w:pos="0"/>
              </w:tabs>
              <w:ind w:left="57" w:right="57" w:firstLine="0"/>
              <w:rPr>
                <w:szCs w:val="24"/>
                <w:lang w:eastAsia="ru-RU"/>
              </w:rPr>
            </w:pPr>
            <w:r w:rsidRPr="0030741F">
              <w:rPr>
                <w:szCs w:val="24"/>
                <w:lang w:eastAsia="ru-RU"/>
              </w:rPr>
              <w:t xml:space="preserve">125  </w:t>
            </w:r>
          </w:p>
          <w:p w14:paraId="329FB730" w14:textId="77777777" w:rsidR="006D53E9" w:rsidRPr="0030741F" w:rsidRDefault="006D53E9" w:rsidP="002D3EBF">
            <w:pPr>
              <w:tabs>
                <w:tab w:val="left" w:pos="0"/>
              </w:tabs>
              <w:ind w:left="57" w:right="57" w:firstLine="0"/>
              <w:rPr>
                <w:szCs w:val="24"/>
                <w:lang w:eastAsia="ru-RU"/>
              </w:rPr>
            </w:pPr>
            <w:r w:rsidRPr="0030741F">
              <w:rPr>
                <w:szCs w:val="24"/>
                <w:lang w:eastAsia="ru-RU"/>
              </w:rPr>
              <w:t xml:space="preserve">80 </w:t>
            </w:r>
          </w:p>
        </w:tc>
        <w:tc>
          <w:tcPr>
            <w:tcW w:w="4701" w:type="dxa"/>
          </w:tcPr>
          <w:p w14:paraId="34438827" w14:textId="77777777" w:rsidR="006D53E9" w:rsidRPr="0030741F" w:rsidRDefault="006D53E9" w:rsidP="002D3EBF">
            <w:pPr>
              <w:tabs>
                <w:tab w:val="left" w:pos="0"/>
              </w:tabs>
              <w:ind w:left="57" w:right="57" w:firstLine="0"/>
              <w:rPr>
                <w:szCs w:val="24"/>
                <w:lang w:eastAsia="ru-RU"/>
              </w:rPr>
            </w:pPr>
            <w:r w:rsidRPr="0030741F">
              <w:rPr>
                <w:szCs w:val="24"/>
                <w:lang w:eastAsia="ru-RU"/>
              </w:rPr>
              <w:t>Внутрь в 1 день</w:t>
            </w:r>
          </w:p>
          <w:p w14:paraId="1DCB003C" w14:textId="77777777" w:rsidR="006D53E9" w:rsidRPr="0030741F" w:rsidRDefault="006D53E9" w:rsidP="002D3EBF">
            <w:pPr>
              <w:tabs>
                <w:tab w:val="left" w:pos="0"/>
              </w:tabs>
              <w:ind w:left="57" w:right="57" w:firstLine="0"/>
              <w:rPr>
                <w:szCs w:val="24"/>
                <w:lang w:eastAsia="ru-RU"/>
              </w:rPr>
            </w:pPr>
            <w:r w:rsidRPr="0030741F">
              <w:rPr>
                <w:szCs w:val="24"/>
                <w:lang w:eastAsia="ru-RU"/>
              </w:rPr>
              <w:t xml:space="preserve">Внутрь во 2 и </w:t>
            </w:r>
            <w:r>
              <w:rPr>
                <w:szCs w:val="24"/>
                <w:lang w:eastAsia="ru-RU"/>
              </w:rPr>
              <w:t>3</w:t>
            </w:r>
            <w:r w:rsidRPr="0030741F">
              <w:rPr>
                <w:szCs w:val="24"/>
                <w:lang w:eastAsia="ru-RU"/>
              </w:rPr>
              <w:t xml:space="preserve"> дни </w:t>
            </w:r>
            <w:r>
              <w:rPr>
                <w:szCs w:val="24"/>
                <w:lang w:eastAsia="ru-RU"/>
              </w:rPr>
              <w:t>П</w:t>
            </w:r>
            <w:r w:rsidRPr="0030741F">
              <w:rPr>
                <w:szCs w:val="24"/>
                <w:lang w:eastAsia="ru-RU"/>
              </w:rPr>
              <w:t>ХТ</w:t>
            </w:r>
          </w:p>
        </w:tc>
      </w:tr>
      <w:tr w:rsidR="006D53E9" w:rsidRPr="0030741F" w14:paraId="7F6E9909" w14:textId="77777777" w:rsidTr="002D3EBF">
        <w:trPr>
          <w:jc w:val="center"/>
        </w:trPr>
        <w:tc>
          <w:tcPr>
            <w:tcW w:w="2263" w:type="dxa"/>
          </w:tcPr>
          <w:p w14:paraId="6F5F280E" w14:textId="77777777" w:rsidR="006D53E9" w:rsidRPr="0030741F" w:rsidRDefault="006D53E9" w:rsidP="002D3EBF">
            <w:pPr>
              <w:tabs>
                <w:tab w:val="left" w:pos="0"/>
              </w:tabs>
              <w:ind w:left="57" w:right="57" w:firstLine="0"/>
              <w:rPr>
                <w:szCs w:val="24"/>
                <w:lang w:eastAsia="ru-RU"/>
              </w:rPr>
            </w:pPr>
            <w:r w:rsidRPr="0030741F">
              <w:rPr>
                <w:bCs/>
                <w:szCs w:val="24"/>
              </w:rPr>
              <w:t>Фосапрепитант</w:t>
            </w:r>
          </w:p>
        </w:tc>
        <w:tc>
          <w:tcPr>
            <w:tcW w:w="2103" w:type="dxa"/>
          </w:tcPr>
          <w:p w14:paraId="309087E4" w14:textId="77777777" w:rsidR="006D53E9" w:rsidRPr="0030741F" w:rsidRDefault="006D53E9" w:rsidP="002D3EBF">
            <w:pPr>
              <w:tabs>
                <w:tab w:val="left" w:pos="0"/>
              </w:tabs>
              <w:ind w:left="57" w:right="57" w:firstLine="0"/>
              <w:rPr>
                <w:szCs w:val="24"/>
                <w:lang w:eastAsia="ru-RU"/>
              </w:rPr>
            </w:pPr>
            <w:r w:rsidRPr="0030741F">
              <w:rPr>
                <w:szCs w:val="24"/>
                <w:lang w:eastAsia="ru-RU"/>
              </w:rPr>
              <w:t>150</w:t>
            </w:r>
          </w:p>
        </w:tc>
        <w:tc>
          <w:tcPr>
            <w:tcW w:w="4701" w:type="dxa"/>
          </w:tcPr>
          <w:p w14:paraId="33B9F166" w14:textId="77777777" w:rsidR="006D53E9" w:rsidRPr="0030741F" w:rsidRDefault="006D53E9" w:rsidP="002D3EBF">
            <w:pPr>
              <w:tabs>
                <w:tab w:val="left" w:pos="0"/>
              </w:tabs>
              <w:ind w:left="57" w:right="57" w:firstLine="0"/>
              <w:rPr>
                <w:szCs w:val="24"/>
              </w:rPr>
            </w:pPr>
            <w:r w:rsidRPr="0030741F">
              <w:rPr>
                <w:szCs w:val="24"/>
                <w:lang w:eastAsia="ru-RU"/>
              </w:rPr>
              <w:t>В/в однократно</w:t>
            </w:r>
          </w:p>
        </w:tc>
      </w:tr>
    </w:tbl>
    <w:p w14:paraId="50F1FD4F" w14:textId="77777777" w:rsidR="006D53E9" w:rsidRPr="0030741F" w:rsidRDefault="006D53E9" w:rsidP="006D53E9">
      <w:pPr>
        <w:pStyle w:val="afe"/>
        <w:ind w:left="1069" w:firstLine="0"/>
      </w:pPr>
    </w:p>
    <w:p w14:paraId="6E8F9018" w14:textId="77777777" w:rsidR="006D53E9" w:rsidRPr="0030741F" w:rsidRDefault="006D53E9" w:rsidP="006D53E9">
      <w:pPr>
        <w:pStyle w:val="afe"/>
        <w:numPr>
          <w:ilvl w:val="0"/>
          <w:numId w:val="64"/>
        </w:numPr>
        <w:contextualSpacing w:val="0"/>
      </w:pPr>
      <w:r w:rsidRPr="003F4776">
        <w:rPr>
          <w:i/>
          <w:iCs/>
        </w:rPr>
        <w:t>Блокаторы рецепторов допамина</w:t>
      </w:r>
      <w:r>
        <w:t>. В эту группу входят бензамиды (метоклопрамид, итоприд), фенотиазины (хлорпромазин или аминазин, прометазин, метопемазин), бутирофеноны (дроперидол, галоперидол), бензодиазепины (диазепам, лоразепам, альпрозолам). Препараты обладают седативными и анксиолитическими свойствами. Метоклопрамид, широко использовавшийся ранее в высоких дозах для профилактики острой тошноты и рвоты после высоко- и среднеэметогенной ПХТ, в настоящее время применяется реже, так как при сопоставимой эффективности с антагонистами серотониновых рецепторов имеет значительное количество выраженных побочных эффектов. Согласно международным рекомендациям, использование метоклопрамида допустимо в стандартных дозах для профилактики острой тошноты и рвоты после низкоэметогенной химиотерапии, для профилактики отсроченной рвоты в комбинации с дексаметазоном. Режим дозирования – 10 мг 1 - 4 раза в сутки внутривенно или внутрь. Добавление блокаторов рецепторов допамина к схеме противорвотной терапии проводится по показаниям на усмотрение лечащего врача.</w:t>
      </w:r>
    </w:p>
    <w:p w14:paraId="1497E51A" w14:textId="77777777" w:rsidR="006D53E9" w:rsidRDefault="006D53E9" w:rsidP="006D53E9">
      <w:pPr>
        <w:pStyle w:val="afe"/>
        <w:numPr>
          <w:ilvl w:val="0"/>
          <w:numId w:val="64"/>
        </w:numPr>
        <w:contextualSpacing w:val="0"/>
      </w:pPr>
      <w:r w:rsidRPr="000F06CA">
        <w:rPr>
          <w:i/>
          <w:iCs/>
        </w:rPr>
        <w:t>Нейролептики</w:t>
      </w:r>
      <w:r>
        <w:t xml:space="preserve">. </w:t>
      </w:r>
      <w:r w:rsidRPr="00B328AA">
        <w:t xml:space="preserve">Добавление нейролептиков к схеме противорвотной терапии проводится по показаниям на усмотрение лечащего врача (например, при возникновении неконтролируемой тошноты и рвоты – оланзапин 5–10 мг в сутки внутрь). </w:t>
      </w:r>
    </w:p>
    <w:p w14:paraId="223CDE01" w14:textId="77777777" w:rsidR="006D53E9" w:rsidRPr="00B328AA" w:rsidRDefault="006D53E9" w:rsidP="006D53E9"/>
    <w:p w14:paraId="141D91C0" w14:textId="77777777" w:rsidR="006D53E9" w:rsidRPr="00F10383" w:rsidRDefault="006D53E9" w:rsidP="006D53E9">
      <w:pPr>
        <w:pStyle w:val="Normal11"/>
        <w:tabs>
          <w:tab w:val="left" w:pos="0"/>
        </w:tabs>
        <w:spacing w:line="360" w:lineRule="auto"/>
        <w:ind w:firstLine="699"/>
        <w:jc w:val="both"/>
        <w:rPr>
          <w:bCs/>
          <w:i/>
          <w:iCs/>
          <w:u w:val="single"/>
          <w:shd w:val="clear" w:color="auto" w:fill="FFFFFF"/>
        </w:rPr>
      </w:pPr>
      <w:r w:rsidRPr="00F10383">
        <w:rPr>
          <w:bCs/>
          <w:i/>
          <w:iCs/>
          <w:u w:val="single"/>
          <w:shd w:val="clear" w:color="auto" w:fill="FFFFFF"/>
        </w:rPr>
        <w:t xml:space="preserve">Принципы профилактики и терапии тошноты и рвоты. </w:t>
      </w:r>
    </w:p>
    <w:p w14:paraId="4D6D2DDE" w14:textId="3EBBA1A6" w:rsidR="006D53E9" w:rsidRPr="00B328AA" w:rsidRDefault="006D53E9" w:rsidP="006D53E9">
      <w:r w:rsidRPr="00B328AA">
        <w:t>Эксперты Международной ассоциации по поддерживающему лечению в онкологии (MASCC) разработали принципы антиэметической терапии, согласно которым используются следующие алогритм и методы профилактики тошноты и рвоты</w:t>
      </w:r>
      <w:r>
        <w:t xml:space="preserve"> </w:t>
      </w:r>
      <w:r>
        <w:fldChar w:fldCharType="begin" w:fldLock="1"/>
      </w:r>
      <w:r w:rsidR="009D41F9">
        <w:instrText>ADDIN CSL_CITATION {"citationItems":[{"id":"ITEM-1","itemData":{"DOI":"10.1007/s00520-018-4464-y","ISSN":"14337339","PMID":"30284039","abstract":"Chemotherapy-induced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Cancer","id":"ITEM-1","issue":"1","issued":{"date-parts":[["2019","1","1"]]},"page":"87-95","publisher":"Springer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-2","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онкологии.","id":"ITEM-2","issued":{"date-parts":[["2018"]]},"page":"502-511","title":"Практические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[73,74]","plainTextFormattedCitation":"[73,74]","previouslyFormattedCitation":"[73,74]"},"properties":{"noteIndex":0},"schema":"https://github.com/citation-style-language/schema/raw/master/csl-citation.json"}</w:instrText>
      </w:r>
      <w:r>
        <w:fldChar w:fldCharType="separate"/>
      </w:r>
      <w:r w:rsidR="004C3BA5" w:rsidRPr="004C3BA5">
        <w:rPr>
          <w:noProof/>
        </w:rPr>
        <w:t>[73,74]</w:t>
      </w:r>
      <w:r>
        <w:fldChar w:fldCharType="end"/>
      </w:r>
      <w:r w:rsidRPr="00B328AA">
        <w:t xml:space="preserve">. </w:t>
      </w:r>
    </w:p>
    <w:p w14:paraId="7085838C" w14:textId="77777777" w:rsidR="006D53E9" w:rsidRPr="00FB3FAC" w:rsidRDefault="006D53E9" w:rsidP="006D53E9">
      <w:pPr>
        <w:tabs>
          <w:tab w:val="left" w:pos="0"/>
        </w:tabs>
        <w:rPr>
          <w:bCs/>
          <w:szCs w:val="24"/>
        </w:rPr>
      </w:pPr>
      <w:r w:rsidRPr="00FB3FAC">
        <w:rPr>
          <w:bCs/>
          <w:szCs w:val="24"/>
        </w:rPr>
        <w:t>Алгоритм профилактики и терапии тошноты и рвоты:</w:t>
      </w:r>
    </w:p>
    <w:p w14:paraId="4D149343" w14:textId="77777777" w:rsidR="006D53E9" w:rsidRPr="00B328AA" w:rsidRDefault="006D53E9" w:rsidP="006D53E9">
      <w:pPr>
        <w:pStyle w:val="afe"/>
        <w:numPr>
          <w:ilvl w:val="0"/>
          <w:numId w:val="64"/>
        </w:numPr>
        <w:contextualSpacing w:val="0"/>
      </w:pPr>
      <w:r w:rsidRPr="00B328AA">
        <w:t xml:space="preserve">Определить эметогенный потенциал назначенного режима ХТ </w:t>
      </w:r>
    </w:p>
    <w:p w14:paraId="29623F7E" w14:textId="77777777" w:rsidR="006D53E9" w:rsidRPr="00B328AA" w:rsidRDefault="006D53E9" w:rsidP="006D53E9">
      <w:pPr>
        <w:pStyle w:val="afe"/>
        <w:numPr>
          <w:ilvl w:val="0"/>
          <w:numId w:val="64"/>
        </w:numPr>
        <w:contextualSpacing w:val="0"/>
      </w:pPr>
      <w:r w:rsidRPr="00B328AA">
        <w:t>Назначить профилактическую терапию, исходя из эметогенности режима ХТ, начиная с первого курса</w:t>
      </w:r>
    </w:p>
    <w:p w14:paraId="392A898F" w14:textId="77777777" w:rsidR="006D53E9" w:rsidRPr="00B328AA" w:rsidRDefault="006D53E9" w:rsidP="006D53E9">
      <w:pPr>
        <w:pStyle w:val="afe"/>
        <w:numPr>
          <w:ilvl w:val="0"/>
          <w:numId w:val="64"/>
        </w:numPr>
        <w:contextualSpacing w:val="0"/>
      </w:pPr>
      <w:r w:rsidRPr="00B328AA">
        <w:t>Назначить лечение в случае развития тошноты и рвоты на фоне профилактической терапии</w:t>
      </w:r>
    </w:p>
    <w:p w14:paraId="2FEC030D" w14:textId="77777777" w:rsidR="006D53E9" w:rsidRPr="00B328AA" w:rsidRDefault="006D53E9" w:rsidP="006D53E9">
      <w:pPr>
        <w:pStyle w:val="afe"/>
        <w:numPr>
          <w:ilvl w:val="0"/>
          <w:numId w:val="64"/>
        </w:numPr>
        <w:contextualSpacing w:val="0"/>
      </w:pPr>
      <w:r w:rsidRPr="00B328AA">
        <w:t>В случае развития тошноты и рвоты внести изменения в профилактическую терапию на последующих циклах ХТ</w:t>
      </w:r>
    </w:p>
    <w:p w14:paraId="0C3DC3DF" w14:textId="77777777" w:rsidR="006D53E9" w:rsidRPr="00B328AA" w:rsidRDefault="006D53E9" w:rsidP="006D53E9">
      <w:pPr>
        <w:pStyle w:val="afe"/>
        <w:numPr>
          <w:ilvl w:val="0"/>
          <w:numId w:val="64"/>
        </w:numPr>
        <w:contextualSpacing w:val="0"/>
      </w:pPr>
      <w:r w:rsidRPr="00B328AA">
        <w:t>Критерием эффективности противорвотной терапии является полное отсутствие (полный контроль) рвоты и тошноты в течение 24 часов (период развития острой рвоты) с момента введения противоопухолевых препаратов.</w:t>
      </w:r>
    </w:p>
    <w:p w14:paraId="388FF3B1" w14:textId="77777777" w:rsidR="006D53E9" w:rsidRDefault="006D53E9" w:rsidP="006D53E9">
      <w:pPr>
        <w:tabs>
          <w:tab w:val="left" w:pos="0"/>
        </w:tabs>
        <w:rPr>
          <w:b/>
          <w:szCs w:val="24"/>
        </w:rPr>
      </w:pPr>
    </w:p>
    <w:p w14:paraId="05849131" w14:textId="77777777" w:rsidR="006D53E9" w:rsidRPr="00FB3FAC" w:rsidRDefault="006D53E9" w:rsidP="006D53E9">
      <w:pPr>
        <w:pStyle w:val="Normal11"/>
        <w:tabs>
          <w:tab w:val="left" w:pos="0"/>
        </w:tabs>
        <w:spacing w:line="360" w:lineRule="auto"/>
        <w:ind w:firstLine="699"/>
        <w:jc w:val="both"/>
        <w:rPr>
          <w:bCs/>
          <w:i/>
          <w:iCs/>
          <w:u w:val="single"/>
          <w:shd w:val="clear" w:color="auto" w:fill="FFFFFF"/>
        </w:rPr>
      </w:pPr>
      <w:r w:rsidRPr="00FB3FAC">
        <w:rPr>
          <w:bCs/>
          <w:i/>
          <w:iCs/>
          <w:u w:val="single"/>
          <w:shd w:val="clear" w:color="auto" w:fill="FFFFFF"/>
        </w:rPr>
        <w:t>Профилактика острой и отсроченной тошноты и рвоты при высоко-эметогенной ХТ</w:t>
      </w:r>
    </w:p>
    <w:p w14:paraId="49C2A7A4" w14:textId="35E68A40" w:rsidR="006D53E9" w:rsidRPr="00B328AA" w:rsidRDefault="006D53E9" w:rsidP="006D53E9">
      <w:r w:rsidRPr="00B328AA">
        <w:t>Профилактика тошноты и рвоты должна начинаться до начала ХТ и проводиться не менее 2-3 дней после ее окончания. Антиэметики назначают во все дни ХТ ежедневно (исключение: палоносетрон – через день) на основе эметогенного потенциала цитостатиков, вводимых в тот или иной день. Выбор противорвотной комбинации осуществляется на основе компонента ХТ, обладающего наибольшей эметогенностью. В настоящее время наиболее эффективной антиэметической комбинацией является комбинация противорвотных препаратов, включающая антагонист NK1-рецепторов + антагонист рецепторов серотонина (5-HT3) + дексаметазон (не добавляют при наличии дексаметазона в схеме ХТ). Дополнительно по показаниям на усмотрение лечащего врача могут применяться бензодиазепины, блокаторы H2-рецепторов гистамина, ингибиторы протонной помпы. Может быть назначен апрепитант в дозе 125 мг в 1 день и 80 мг в последующие дни</w:t>
      </w:r>
      <w:r>
        <w:t xml:space="preserve"> </w:t>
      </w:r>
      <w:r>
        <w:fldChar w:fldCharType="begin" w:fldLock="1"/>
      </w:r>
      <w:r w:rsidR="009D41F9">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74]","plainTextFormattedCitation":"[68–74]","previouslyFormattedCitation":"[68–74]"},"properties":{"noteIndex":0},"schema":"https://github.com/citation-style-language/schema/raw/master/csl-citation.json"}</w:instrText>
      </w:r>
      <w:r>
        <w:fldChar w:fldCharType="separate"/>
      </w:r>
      <w:r w:rsidR="004C3BA5" w:rsidRPr="004C3BA5">
        <w:rPr>
          <w:noProof/>
        </w:rPr>
        <w:t>[68–74]</w:t>
      </w:r>
      <w:r>
        <w:fldChar w:fldCharType="end"/>
      </w:r>
      <w:r w:rsidRPr="00B328AA">
        <w:t>.</w:t>
      </w:r>
    </w:p>
    <w:p w14:paraId="4BA62A2D" w14:textId="77777777" w:rsidR="006D53E9" w:rsidRPr="0030741F" w:rsidRDefault="006D53E9" w:rsidP="006D53E9">
      <w:pPr>
        <w:tabs>
          <w:tab w:val="left" w:pos="0"/>
        </w:tabs>
        <w:rPr>
          <w:szCs w:val="24"/>
        </w:rPr>
      </w:pPr>
    </w:p>
    <w:p w14:paraId="40ACD3E5" w14:textId="77777777" w:rsidR="006D53E9" w:rsidRPr="00FB3FAC" w:rsidRDefault="006D53E9" w:rsidP="006D53E9">
      <w:pPr>
        <w:pStyle w:val="Normal11"/>
        <w:tabs>
          <w:tab w:val="left" w:pos="0"/>
        </w:tabs>
        <w:spacing w:line="360" w:lineRule="auto"/>
        <w:ind w:firstLine="699"/>
        <w:jc w:val="both"/>
        <w:rPr>
          <w:bCs/>
          <w:i/>
          <w:iCs/>
          <w:u w:val="single"/>
          <w:shd w:val="clear" w:color="auto" w:fill="FFFFFF"/>
        </w:rPr>
      </w:pPr>
      <w:r w:rsidRPr="00FB3FAC">
        <w:rPr>
          <w:bCs/>
          <w:i/>
          <w:iCs/>
          <w:u w:val="single"/>
          <w:shd w:val="clear" w:color="auto" w:fill="FFFFFF"/>
        </w:rPr>
        <w:t>Профилактика острой и отсроченной тошноты и рвоты при умеренно-эметогенной ХТ</w:t>
      </w:r>
    </w:p>
    <w:p w14:paraId="4149BFF9" w14:textId="747B80BC" w:rsidR="006D53E9" w:rsidRPr="00B328AA" w:rsidRDefault="006D53E9" w:rsidP="006D53E9">
      <w:r w:rsidRPr="00B328AA">
        <w:t>Профилактика тошноты и рвоты должна начинаться до начала ХТ и проводиться при необходимости еще 2-3 дня после ее окончания. В настоящее время наиболее эффективной антиэметической комбинацией является комбинация противорвотных препаратов, включающая антагонист рецепторов серотонина (5-HT3) + дексаметазон. При некоторых умеренно-эметогенных режимах, включающих карбоплатин, рекомендовано назначение апрепитанта/фосапрепитанта в комбинации с 5-НТ3-антагонистом и дексаметазоном</w:t>
      </w:r>
      <w:r>
        <w:t xml:space="preserve"> </w:t>
      </w:r>
      <w:r>
        <w:fldChar w:fldCharType="begin" w:fldLock="1"/>
      </w:r>
      <w:r w:rsidR="009D41F9">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74]","plainTextFormattedCitation":"[68–74]","previouslyFormattedCitation":"[68–74]"},"properties":{"noteIndex":0},"schema":"https://github.com/citation-style-language/schema/raw/master/csl-citation.json"}</w:instrText>
      </w:r>
      <w:r>
        <w:fldChar w:fldCharType="separate"/>
      </w:r>
      <w:r w:rsidR="004C3BA5" w:rsidRPr="004C3BA5">
        <w:rPr>
          <w:noProof/>
        </w:rPr>
        <w:t>[68–74]</w:t>
      </w:r>
      <w:r>
        <w:fldChar w:fldCharType="end"/>
      </w:r>
      <w:r w:rsidRPr="00B328AA">
        <w:t>.</w:t>
      </w:r>
    </w:p>
    <w:p w14:paraId="45568DBF" w14:textId="77777777" w:rsidR="006D53E9" w:rsidRDefault="006D53E9" w:rsidP="006D53E9">
      <w:pPr>
        <w:pStyle w:val="Normal11"/>
        <w:tabs>
          <w:tab w:val="left" w:pos="0"/>
        </w:tabs>
        <w:spacing w:line="360" w:lineRule="auto"/>
        <w:ind w:firstLine="699"/>
        <w:jc w:val="both"/>
        <w:rPr>
          <w:bCs/>
          <w:i/>
          <w:iCs/>
          <w:u w:val="single"/>
          <w:shd w:val="clear" w:color="auto" w:fill="FFFFFF"/>
        </w:rPr>
      </w:pPr>
    </w:p>
    <w:p w14:paraId="2488AD82" w14:textId="77777777" w:rsidR="006D53E9" w:rsidRPr="00FB3FAC" w:rsidRDefault="006D53E9" w:rsidP="006D53E9">
      <w:pPr>
        <w:pStyle w:val="Normal11"/>
        <w:tabs>
          <w:tab w:val="left" w:pos="0"/>
        </w:tabs>
        <w:spacing w:line="360" w:lineRule="auto"/>
        <w:ind w:firstLine="699"/>
        <w:jc w:val="both"/>
        <w:rPr>
          <w:bCs/>
          <w:i/>
          <w:iCs/>
          <w:u w:val="single"/>
          <w:shd w:val="clear" w:color="auto" w:fill="FFFFFF"/>
        </w:rPr>
      </w:pPr>
      <w:r w:rsidRPr="00FB3FAC">
        <w:rPr>
          <w:bCs/>
          <w:i/>
          <w:iCs/>
          <w:u w:val="single"/>
          <w:shd w:val="clear" w:color="auto" w:fill="FFFFFF"/>
        </w:rPr>
        <w:t>Профилактика острой и отсроченной тошноты и рвоты при низко-эметогенной и минимально-эметогенной ХТ</w:t>
      </w:r>
    </w:p>
    <w:p w14:paraId="2A7514E4" w14:textId="4E572579" w:rsidR="006D53E9" w:rsidRPr="00B328AA" w:rsidRDefault="006D53E9" w:rsidP="006D53E9">
      <w:r w:rsidRPr="00B328AA">
        <w:t>Для профилактики тошноты и рвоты при химиотерапии с низкой эметогенностью следует использовать только один из препаратов: дексаметазон, антагонист 5-HT3-рецепторов или антагонист рецепторов допамина (например, метоклопрамид). При минимально-эметогенной ХТ профилактика тошноты и рвоты не требуется</w:t>
      </w:r>
      <w:r>
        <w:t xml:space="preserve"> </w:t>
      </w:r>
      <w:r>
        <w:fldChar w:fldCharType="begin" w:fldLock="1"/>
      </w:r>
      <w:r w:rsidR="009D41F9">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74]","plainTextFormattedCitation":"[68–74]","previouslyFormattedCitation":"[68–74]"},"properties":{"noteIndex":0},"schema":"https://github.com/citation-style-language/schema/raw/master/csl-citation.json"}</w:instrText>
      </w:r>
      <w:r>
        <w:fldChar w:fldCharType="separate"/>
      </w:r>
      <w:r w:rsidR="004C3BA5" w:rsidRPr="004C3BA5">
        <w:rPr>
          <w:noProof/>
        </w:rPr>
        <w:t>[68–74]</w:t>
      </w:r>
      <w:r>
        <w:fldChar w:fldCharType="end"/>
      </w:r>
      <w:r w:rsidRPr="00B328AA">
        <w:t>.</w:t>
      </w:r>
    </w:p>
    <w:p w14:paraId="68AF3F4D" w14:textId="77777777" w:rsidR="006D53E9" w:rsidRDefault="006D53E9" w:rsidP="006D53E9">
      <w:pPr>
        <w:pStyle w:val="Normal11"/>
        <w:tabs>
          <w:tab w:val="left" w:pos="0"/>
        </w:tabs>
        <w:spacing w:line="360" w:lineRule="auto"/>
        <w:ind w:firstLine="699"/>
        <w:jc w:val="both"/>
        <w:rPr>
          <w:bCs/>
          <w:i/>
          <w:iCs/>
          <w:u w:val="single"/>
          <w:shd w:val="clear" w:color="auto" w:fill="FFFFFF"/>
        </w:rPr>
      </w:pPr>
    </w:p>
    <w:p w14:paraId="261C49F6" w14:textId="77777777" w:rsidR="006D53E9" w:rsidRPr="00FB3FAC" w:rsidRDefault="006D53E9" w:rsidP="006D53E9">
      <w:pPr>
        <w:pStyle w:val="Normal11"/>
        <w:tabs>
          <w:tab w:val="left" w:pos="0"/>
        </w:tabs>
        <w:spacing w:line="360" w:lineRule="auto"/>
        <w:ind w:firstLine="699"/>
        <w:jc w:val="both"/>
        <w:rPr>
          <w:bCs/>
          <w:i/>
          <w:iCs/>
          <w:u w:val="single"/>
          <w:shd w:val="clear" w:color="auto" w:fill="FFFFFF"/>
        </w:rPr>
      </w:pPr>
      <w:r w:rsidRPr="00FB3FAC">
        <w:rPr>
          <w:bCs/>
          <w:i/>
          <w:iCs/>
          <w:u w:val="single"/>
          <w:shd w:val="clear" w:color="auto" w:fill="FFFFFF"/>
        </w:rPr>
        <w:t xml:space="preserve">Профилактика тошноты и рвоты при лучевой терапии </w:t>
      </w:r>
    </w:p>
    <w:p w14:paraId="264E25CE" w14:textId="6B6A052E" w:rsidR="006D53E9" w:rsidRPr="00B328AA" w:rsidRDefault="006D53E9" w:rsidP="006D53E9">
      <w:r w:rsidRPr="00B328AA">
        <w:t>При облучении верхней половины туловища и конечностей в большинстве случаев антиэметическая терапия не требуется. При необходимости назначения антиэметиков эметогенный потенциал определяется по максимально эметогенному воздействию (по зоне лучевой нагрузки или по лекарственному препарату, в случае сочетания лучевой терапии и ХТ) и с учетом зоны облучения. Антиэметики (в основном антагонисты 5-НТ3-рецепторов) чаще применяют неивазивным путем (перорально, ректально) за 30-60 мин до облучения. При недостаточной эффективности антагонистов 5-НТ3-рецепторов в монотерапии возможно присоединение глюкокортикоидов</w:t>
      </w:r>
      <w:r>
        <w:t xml:space="preserve"> </w:t>
      </w:r>
      <w:r>
        <w:fldChar w:fldCharType="begin" w:fldLock="1"/>
      </w:r>
      <w:r w:rsidR="009D41F9">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74]","plainTextFormattedCitation":"[68–74]","previouslyFormattedCitation":"[68–74]"},"properties":{"noteIndex":0},"schema":"https://github.com/citation-style-language/schema/raw/master/csl-citation.json"}</w:instrText>
      </w:r>
      <w:r>
        <w:fldChar w:fldCharType="separate"/>
      </w:r>
      <w:r w:rsidR="004C3BA5" w:rsidRPr="004C3BA5">
        <w:rPr>
          <w:noProof/>
        </w:rPr>
        <w:t>[68–74]</w:t>
      </w:r>
      <w:r>
        <w:fldChar w:fldCharType="end"/>
      </w:r>
      <w:r w:rsidRPr="00B328AA">
        <w:t>.</w:t>
      </w:r>
    </w:p>
    <w:p w14:paraId="1F0D1599" w14:textId="77777777" w:rsidR="006D53E9" w:rsidRDefault="006D53E9" w:rsidP="006D53E9">
      <w:pPr>
        <w:pStyle w:val="Normal11"/>
        <w:tabs>
          <w:tab w:val="left" w:pos="0"/>
        </w:tabs>
        <w:spacing w:line="360" w:lineRule="auto"/>
        <w:ind w:firstLine="699"/>
        <w:jc w:val="both"/>
        <w:rPr>
          <w:bCs/>
          <w:i/>
          <w:iCs/>
          <w:u w:val="single"/>
          <w:shd w:val="clear" w:color="auto" w:fill="FFFFFF"/>
        </w:rPr>
      </w:pPr>
    </w:p>
    <w:p w14:paraId="5402462E" w14:textId="77777777" w:rsidR="006D53E9" w:rsidRPr="00FB3FAC" w:rsidRDefault="006D53E9" w:rsidP="006D53E9">
      <w:pPr>
        <w:pStyle w:val="Normal11"/>
        <w:tabs>
          <w:tab w:val="left" w:pos="0"/>
        </w:tabs>
        <w:spacing w:line="360" w:lineRule="auto"/>
        <w:ind w:firstLine="699"/>
        <w:jc w:val="both"/>
        <w:rPr>
          <w:bCs/>
          <w:i/>
          <w:iCs/>
          <w:u w:val="single"/>
          <w:shd w:val="clear" w:color="auto" w:fill="FFFFFF"/>
        </w:rPr>
      </w:pPr>
      <w:r w:rsidRPr="00FB3FAC">
        <w:rPr>
          <w:bCs/>
          <w:i/>
          <w:iCs/>
          <w:u w:val="single"/>
          <w:shd w:val="clear" w:color="auto" w:fill="FFFFFF"/>
        </w:rPr>
        <w:t>Терапия неконтролируемой тошноты и рвоты</w:t>
      </w:r>
    </w:p>
    <w:p w14:paraId="764B2401" w14:textId="63FF489B" w:rsidR="006D53E9" w:rsidRPr="00B328AA" w:rsidRDefault="006D53E9" w:rsidP="006D53E9">
      <w:r w:rsidRPr="00B328AA">
        <w:t>При возникновении неконтролируемой тошноты и рвоты, несмотря на плановое назначение стандартной для эметогенности данного режима ХТ антиэметической схемы, необходимо исключить причины, не связанные с непосредственным назначением цитостатиков (патология ЖКТ, электролитные нарушения, гипергликемия, уремия, метастазы в головной мозг, побочное действие опиоидных анальгетиков, психофизиологические причины). В случае их исключения необходимо перевести пациента на схему профилактики с низко-эметогенного потенциала на умеренно-эметогенный и с умеренно-эметогенного на высоко-эметогенный. При возникновении неконтролируемой тошноты и рвоты на фоне стандартных противорвотных схем (без использования апрепитанта или фосапрепитанта) необходимо при последующих курсах ввести в противорвотный режим апрепитант или фосапрепитант</w:t>
      </w:r>
      <w:r>
        <w:t xml:space="preserve"> </w:t>
      </w:r>
      <w:r>
        <w:fldChar w:fldCharType="begin" w:fldLock="1"/>
      </w:r>
      <w:r w:rsidR="009D41F9">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74]","plainTextFormattedCitation":"[68–74]","previouslyFormattedCitation":"[68–74]"},"properties":{"noteIndex":0},"schema":"https://github.com/citation-style-language/schema/raw/master/csl-citation.json"}</w:instrText>
      </w:r>
      <w:r>
        <w:fldChar w:fldCharType="separate"/>
      </w:r>
      <w:r w:rsidR="004C3BA5" w:rsidRPr="004C3BA5">
        <w:rPr>
          <w:noProof/>
        </w:rPr>
        <w:t>[68–74]</w:t>
      </w:r>
      <w:r>
        <w:fldChar w:fldCharType="end"/>
      </w:r>
      <w:r w:rsidRPr="00B328AA">
        <w:t xml:space="preserve">. </w:t>
      </w:r>
    </w:p>
    <w:p w14:paraId="3BB13DA3" w14:textId="77777777" w:rsidR="006D53E9" w:rsidRPr="00B328AA" w:rsidRDefault="006D53E9" w:rsidP="006D53E9">
      <w:r w:rsidRPr="00B328AA">
        <w:t>Развитие неконтролируемой или рефрактерной рвоты может развиться у пациентов с так называемым сверхбыстрым метаболическим фенотипом (ускоренный метаболизм антагонистов 5-HT3-рецепторов в печени). В таком случае целесообразна смена 5-HT3-блокатора на другой антиэметик данного класса препаратов.</w:t>
      </w:r>
    </w:p>
    <w:p w14:paraId="1996790C" w14:textId="77777777" w:rsidR="006D53E9" w:rsidRPr="00B328AA" w:rsidRDefault="006D53E9" w:rsidP="006D53E9">
      <w:r w:rsidRPr="00B328AA">
        <w:t>Кроме того, следует выполнять ряд общих принципов профилактики и лечения тошноты и рвоты:</w:t>
      </w:r>
    </w:p>
    <w:p w14:paraId="3CAE8B3D" w14:textId="77777777" w:rsidR="006D53E9" w:rsidRPr="00B328AA" w:rsidRDefault="006D53E9" w:rsidP="006D53E9">
      <w:pPr>
        <w:pStyle w:val="afe"/>
        <w:numPr>
          <w:ilvl w:val="0"/>
          <w:numId w:val="64"/>
        </w:numPr>
        <w:contextualSpacing w:val="0"/>
      </w:pPr>
      <w:r w:rsidRPr="00B328AA">
        <w:t>Назначать антиэметики строго по часам, а не при появлении тошноты или рвоты.</w:t>
      </w:r>
    </w:p>
    <w:p w14:paraId="0F2080C0" w14:textId="77777777" w:rsidR="006D53E9" w:rsidRPr="00B328AA" w:rsidRDefault="006D53E9" w:rsidP="006D53E9">
      <w:pPr>
        <w:pStyle w:val="afe"/>
        <w:numPr>
          <w:ilvl w:val="0"/>
          <w:numId w:val="64"/>
        </w:numPr>
        <w:contextualSpacing w:val="0"/>
      </w:pPr>
      <w:r w:rsidRPr="00B328AA">
        <w:t xml:space="preserve">Оценивать предпочтительный путь введения препаратов (парентерально, в ректальных суппозиториях, или внутрь). </w:t>
      </w:r>
    </w:p>
    <w:p w14:paraId="6CF7F434" w14:textId="77777777" w:rsidR="006D53E9" w:rsidRPr="00B328AA" w:rsidRDefault="006D53E9" w:rsidP="006D53E9">
      <w:pPr>
        <w:pStyle w:val="afe"/>
        <w:numPr>
          <w:ilvl w:val="0"/>
          <w:numId w:val="64"/>
        </w:numPr>
        <w:contextualSpacing w:val="0"/>
      </w:pPr>
      <w:r w:rsidRPr="00B328AA">
        <w:t>Осуществлять адекватную гидратацию и коррекцию электролитов.</w:t>
      </w:r>
    </w:p>
    <w:p w14:paraId="7F606067" w14:textId="77777777" w:rsidR="006D53E9" w:rsidRPr="00B328AA" w:rsidRDefault="006D53E9" w:rsidP="006D53E9">
      <w:pPr>
        <w:pStyle w:val="afe"/>
        <w:numPr>
          <w:ilvl w:val="0"/>
          <w:numId w:val="64"/>
        </w:numPr>
        <w:contextualSpacing w:val="0"/>
      </w:pPr>
      <w:r w:rsidRPr="00B328AA">
        <w:t>Добавлять при диспепсии Н2-блокаторы или блокаторы протонной помпы.</w:t>
      </w:r>
    </w:p>
    <w:p w14:paraId="2F5F56D1" w14:textId="77777777" w:rsidR="006D53E9" w:rsidRPr="0006238A" w:rsidRDefault="006D53E9" w:rsidP="006D53E9">
      <w:pPr>
        <w:tabs>
          <w:tab w:val="left" w:pos="0"/>
        </w:tabs>
        <w:rPr>
          <w:rFonts w:eastAsia="GaramondC-Light"/>
          <w:color w:val="000000"/>
          <w:szCs w:val="24"/>
        </w:rPr>
      </w:pPr>
      <w:r w:rsidRPr="0006238A">
        <w:rPr>
          <w:rFonts w:eastAsia="GaramondC-Light"/>
          <w:color w:val="000000"/>
          <w:szCs w:val="24"/>
        </w:rPr>
        <w:t>При возникновении неконтролируемой тошноты и рвоты на фоне трехкомпонентной противорвотной схемы стандартного подхода нет</w:t>
      </w:r>
      <w:r>
        <w:rPr>
          <w:rFonts w:eastAsia="GaramondC-Light"/>
          <w:color w:val="000000"/>
          <w:szCs w:val="24"/>
        </w:rPr>
        <w:t>, с</w:t>
      </w:r>
      <w:r w:rsidRPr="0006238A">
        <w:rPr>
          <w:rFonts w:eastAsia="GaramondC-Light"/>
          <w:color w:val="000000"/>
          <w:szCs w:val="24"/>
        </w:rPr>
        <w:t xml:space="preserve">ледует рассмотреть добавление препаратов иного класса из </w:t>
      </w:r>
      <w:r>
        <w:rPr>
          <w:rFonts w:eastAsia="GaramondC-Light"/>
          <w:color w:val="000000"/>
          <w:szCs w:val="24"/>
        </w:rPr>
        <w:t xml:space="preserve">группы </w:t>
      </w:r>
      <w:r w:rsidRPr="0006238A">
        <w:rPr>
          <w:rFonts w:eastAsia="GaramondC-Light"/>
          <w:color w:val="000000"/>
          <w:szCs w:val="24"/>
        </w:rPr>
        <w:t>резерва:</w:t>
      </w:r>
      <w:r>
        <w:rPr>
          <w:rFonts w:eastAsia="GaramondC-Light"/>
          <w:color w:val="000000"/>
          <w:szCs w:val="24"/>
        </w:rPr>
        <w:t xml:space="preserve"> </w:t>
      </w:r>
    </w:p>
    <w:p w14:paraId="77924C17" w14:textId="77777777" w:rsidR="006D53E9" w:rsidRPr="00B328AA" w:rsidRDefault="006D53E9" w:rsidP="006D53E9">
      <w:pPr>
        <w:pStyle w:val="afe"/>
        <w:numPr>
          <w:ilvl w:val="0"/>
          <w:numId w:val="64"/>
        </w:numPr>
        <w:contextualSpacing w:val="0"/>
      </w:pPr>
      <w:r w:rsidRPr="00B328AA">
        <w:t>бензодиазепины (например, лоразепам по 0,5–2 мг каждые 4–6 ч);</w:t>
      </w:r>
    </w:p>
    <w:p w14:paraId="427E0917" w14:textId="77777777" w:rsidR="006D53E9" w:rsidRPr="00B328AA" w:rsidRDefault="006D53E9" w:rsidP="006D53E9">
      <w:pPr>
        <w:pStyle w:val="afe"/>
        <w:numPr>
          <w:ilvl w:val="0"/>
          <w:numId w:val="64"/>
        </w:numPr>
        <w:contextualSpacing w:val="0"/>
      </w:pPr>
      <w:r w:rsidRPr="00B328AA">
        <w:t>блокаторы рецепторов допамина (например, метоклопрамид по 20 мг каждые 6 ч);</w:t>
      </w:r>
    </w:p>
    <w:p w14:paraId="782F7F35" w14:textId="77777777" w:rsidR="006D53E9" w:rsidRPr="00B328AA" w:rsidRDefault="006D53E9" w:rsidP="006D53E9">
      <w:pPr>
        <w:pStyle w:val="afe"/>
        <w:numPr>
          <w:ilvl w:val="0"/>
          <w:numId w:val="64"/>
        </w:numPr>
        <w:contextualSpacing w:val="0"/>
      </w:pPr>
      <w:r w:rsidRPr="00B328AA">
        <w:t>фенотиазины (например, аминазин 25 мг 4 раза в сутки);</w:t>
      </w:r>
    </w:p>
    <w:p w14:paraId="51301BE0" w14:textId="77777777" w:rsidR="006D53E9" w:rsidRPr="00B328AA" w:rsidRDefault="006D53E9" w:rsidP="006D53E9">
      <w:pPr>
        <w:pStyle w:val="afe"/>
        <w:numPr>
          <w:ilvl w:val="0"/>
          <w:numId w:val="64"/>
        </w:numPr>
        <w:contextualSpacing w:val="0"/>
      </w:pPr>
      <w:r w:rsidRPr="00B328AA">
        <w:t>бутирофеноны (например, галоперидол 1–2 мг каждые 4–6 ч).</w:t>
      </w:r>
    </w:p>
    <w:p w14:paraId="3DAA3186" w14:textId="77777777" w:rsidR="006D53E9" w:rsidRPr="00B328AA" w:rsidRDefault="006D53E9" w:rsidP="006D53E9">
      <w:r w:rsidRPr="00B328AA">
        <w:t>Возможно также использование альтернативного варианта профилактики тошноты и рвоты:</w:t>
      </w:r>
    </w:p>
    <w:p w14:paraId="453AB0A7" w14:textId="77777777" w:rsidR="006D53E9" w:rsidRPr="00B53E48" w:rsidRDefault="006D53E9" w:rsidP="006D53E9">
      <w:pPr>
        <w:pStyle w:val="afe"/>
        <w:numPr>
          <w:ilvl w:val="0"/>
          <w:numId w:val="64"/>
        </w:numPr>
        <w:contextualSpacing w:val="0"/>
      </w:pPr>
      <w:r w:rsidRPr="00B53E48">
        <w:t>оланзапин 5–10 мг в сутки внутрь с 1 по 3 дни;</w:t>
      </w:r>
    </w:p>
    <w:p w14:paraId="7797E1BD" w14:textId="77777777" w:rsidR="006D53E9" w:rsidRPr="00B53E48" w:rsidRDefault="006D53E9" w:rsidP="006D53E9">
      <w:pPr>
        <w:pStyle w:val="afe"/>
        <w:numPr>
          <w:ilvl w:val="0"/>
          <w:numId w:val="64"/>
        </w:numPr>
        <w:contextualSpacing w:val="0"/>
      </w:pPr>
      <w:r w:rsidRPr="00B53E48">
        <w:t>палоносетрон 0,25 мг в/в за 60 минут до ХТ в 1 день однократно;</w:t>
      </w:r>
    </w:p>
    <w:p w14:paraId="18BBFF28" w14:textId="77777777" w:rsidR="006D53E9" w:rsidRPr="00B53E48" w:rsidRDefault="006D53E9" w:rsidP="006D53E9">
      <w:pPr>
        <w:pStyle w:val="afe"/>
        <w:numPr>
          <w:ilvl w:val="0"/>
          <w:numId w:val="64"/>
        </w:numPr>
        <w:contextualSpacing w:val="0"/>
      </w:pPr>
      <w:r w:rsidRPr="00B53E48">
        <w:t>дексаметазон 20 мг в/в за 30 минут до ХТ в 1 день.</w:t>
      </w:r>
    </w:p>
    <w:p w14:paraId="7F385FCB" w14:textId="77777777" w:rsidR="006D53E9" w:rsidRDefault="006D53E9" w:rsidP="006D53E9">
      <w:pPr>
        <w:pStyle w:val="Normal11"/>
        <w:tabs>
          <w:tab w:val="left" w:pos="0"/>
        </w:tabs>
        <w:spacing w:line="360" w:lineRule="auto"/>
        <w:ind w:firstLine="699"/>
        <w:jc w:val="both"/>
        <w:rPr>
          <w:bCs/>
          <w:i/>
          <w:iCs/>
          <w:u w:val="single"/>
          <w:shd w:val="clear" w:color="auto" w:fill="FFFFFF"/>
        </w:rPr>
      </w:pPr>
    </w:p>
    <w:p w14:paraId="30BFECC7" w14:textId="77777777" w:rsidR="006D53E9" w:rsidRPr="00FB3FAC" w:rsidRDefault="006D53E9" w:rsidP="006D53E9">
      <w:pPr>
        <w:pStyle w:val="Normal11"/>
        <w:tabs>
          <w:tab w:val="left" w:pos="0"/>
        </w:tabs>
        <w:spacing w:line="360" w:lineRule="auto"/>
        <w:ind w:firstLine="699"/>
        <w:jc w:val="both"/>
        <w:rPr>
          <w:bCs/>
          <w:i/>
          <w:iCs/>
          <w:u w:val="single"/>
          <w:shd w:val="clear" w:color="auto" w:fill="FFFFFF"/>
        </w:rPr>
      </w:pPr>
      <w:r w:rsidRPr="00FB3FAC">
        <w:rPr>
          <w:bCs/>
          <w:i/>
          <w:iCs/>
          <w:u w:val="single"/>
          <w:shd w:val="clear" w:color="auto" w:fill="FFFFFF"/>
        </w:rPr>
        <w:t>Профилактика и терапия условно-рефлекторной рвоты</w:t>
      </w:r>
    </w:p>
    <w:p w14:paraId="4DEB55D9" w14:textId="579A2F6E" w:rsidR="006D53E9" w:rsidRDefault="006D53E9" w:rsidP="006D53E9">
      <w:r w:rsidRPr="00B328AA">
        <w:t>Для профилактики и лечения условно-рефлекторной тошноты и рвоты, в первую очередь, важна оптимальная профилактика тошноты и рвоты в каждом цикле ХТ. Также, с учетом психогенного механизма, применяют бензодиазепины (например, лоразепам по 0,5-2 мг на ночь накануне и утром перед ХТ), и нефармакологические методы – психотерапия, гипноз, системная десенсибилизация</w:t>
      </w:r>
      <w:r>
        <w:t xml:space="preserve"> </w:t>
      </w:r>
      <w:r>
        <w:fldChar w:fldCharType="begin" w:fldLock="1"/>
      </w:r>
      <w:r w:rsidR="009D41F9">
        <w:instrText>ADDIN CSL_CITATION {"citationItems":[{"id":"ITEM-1","itemData":{"DOI":"10.1056/nejmra1515442","ISSN":"0028-4793","PMID":"27050207","abstract":"One of the most important changes in cancer treatment in recent decades has been the development of treatment regimens that greatly reduce the incidence and intensity of nausea and vomiting. The most effective regimens and how they work are reviewed.","author":[{"dropping-particle":"","family":"Navari","given":"Rudolph M.","non-dropping-particle":"","parse-names":false,"suffix":""},{"dropping-particle":"","family":"Aapro","given":"Matti","non-dropping-particle":"","parse-names":false,"suffix":""}],"container-title":"New England Journal of Medicine","id":"ITEM-1","issue":"14","issued":{"date-parts":[["2016","4","7"]]},"page":"1356-1367","publisher":"New England Journal of Medicine (NEJM/MMS)","title":"Antiemetic Prophylaxis for Chemotherapy-Induced Nausea and Vomiting","type":"article-journal","volume":"374"},"uris":["http://www.mendeley.com/documents/?uuid=29ca644e-1c2a-3fa9-8d3e-90c52d8c3c4f"]},{"id":"ITEM-2","itemData":{"author":[{"dropping-particle":"","family":"Ettinger","given":"D.S.","non-dropping-particle":"","parse-names":false,"suffix":""},{"dropping-particle":"","family":"Berger","given":"M.J.","non-dropping-particle":"","parse-names":false,"suffix":""},{"dropping-particle":"","family":"Anand","given":"S.","non-dropping-particle":"","parse-names":false,"suffix":""},{"dropping-particle":"","family":"Barbour","given":"S.","non-dropping-particle":"","parse-names":false,"suffix":""},{"dropping-particle":"","family":"Bergsbaker","given":"J.","non-dropping-particle":"","parse-names":false,"suffix":""},{"dropping-particle":"","family":"Wolf","given":"A.","non-dropping-particle":"","parse-names":false,"suffix":""}],"id":"ITEM-2","issued":{"date-parts":[["2020"]]},"title":"Antiemesis. NCCN Clinical Practice Guidelines in Oncology (NCCN Guidelines). Version 1.2021","type":"article"},"uris":["http://www.mendeley.com/documents/?uuid=c6e0fb7f-8131-4427-9af2-6326b428b2b0"]},{"id":"ITEM-3","itemData":{"DOI":"10.1093/annonc/mdj078","ISSN":"09237534","PMID":"16314401","abstract":"Background: In the late 1990s, several professional organizations convened antiemetic guideline groups and published the findings of these expert panels. Each of these documents was based on analyses of the available published trials and provided nearly similar recommendations. Nonetheless, small differences in emetic risk categories and treatment recommendations led to confusion in antiemetics selection. With the emergence of new findings and agents since the guidelines were initially published, many of the oncology professional societies have updated the antiemetic guidelines. Materials and methods: A literature review up to March 2004 was carried out using MEDLINE with evaluation of the evidence by an expert panel composed of 23 oncology professionals in clinical medicine, medical oncology, radiation oncology, oncology nursing, statistics, pharmacy, medical policy and decision making, and pharmacology. The experts represented nine oncology professional societies and came from 11 different countries on four continents. Results: Recommendations on antiemetic regimens to prevent emesis induced by high, moderate, low and minimal risk chemotherapy were suggested as well as management of anticipatory emesis. Furthermore, recommendations for refractory emesis, emesis induced by high-dose chemotherapy and radiotherapy and for antiemetics in children receiving chemotherapy were elaborated. Conclusions: Recommendations about antiemetic prophylaxis in patients receiving treatment with chemo- and radiotherapy have been updated by representatives of nine oncological organizations. © 2005 European Society for Medical Oncology.","author":[{"dropping-particle":"","family":"Roila","given":"Fausto","non-dropping-particle":"","parse-names":false,"suffix":""},{"dropping-particle":"","family":"Aapro","given":"Matti","non-dropping-particle":"","parse-names":false,"suffix":""},{"dropping-particle":"","family":"Ballatori","given":"Enzo","non-dropping-particle":"","parse-names":false,"suffix":""},{"dropping-particle":"","family":"Borjeson","given":"Sussanne","non-dropping-particle":"","parse-names":false,"suffix":""},{"dropping-particle":"","family":"Clark-Snow","given":"Rebecca A.","non-dropping-particle":"","parse-names":false,"suffix":""},{"dropping-particle":"","family":"Favero","given":"Albano","non-dropping-particle":"Del","parse-names":false,"suffix":""},{"dropping-particle":"","family":"Einhorn","given":"Lawrence H.","non-dropping-particle":"","parse-names":false,"suffix":""},{"dropping-particle":"","family":"Feyer","given":"Petra","non-dropping-particle":"","parse-names":false,"suffix":""},{"dropping-particle":"","family":"Gralla","given":"Richard J.","non-dropping-particle":"","parse-names":false,"suffix":""},{"dropping-particle":"","family":"Grunberg","given":"Steven M.","non-dropping-particle":"","parse-names":false,"suffix":""},{"dropping-particle":"","family":"Herrstedt","given":"Jorn","non-dropping-particle":"","parse-names":false,"suffix":""},{"dropping-particle":"","family":"Hesketh","given":"Paul J.","non-dropping-particle":"","parse-names":false,"suffix":""},{"dropping-particle":"","family":"Kaiser","given":"Rolf","non-dropping-particle":"","parse-names":false,"suffix":""},{"dropping-particle":"","family":"Koeller","given":"Jim","non-dropping-particle":"","parse-names":false,"suffix":""},{"dropping-particle":"","family":"Kris","given":"Mark G.","non-dropping-particle":"","parse-names":false,"suffix":""},{"dropping-particle":"","family":"Maranzano","given":"Ernesto","non-dropping-particle":"","parse-names":false,"suffix":""},{"dropping-particle":"","family":"Molassiotis","given":"Alexander","non-dropping-particle":"","parse-names":false,"suffix":""},{"dropping-particle":"","family":"Olver","given":"Ian","non-dropping-particle":"","parse-names":false,"suffix":""},{"dropping-particle":"","family":"Osoba","given":"David","non-dropping-particle":"","parse-names":false,"suffix":""},{"dropping-particle":"","family":"Rapoport","given":"Bernardo L.","non-dropping-particle":"","parse-names":false,"suffix":""},{"dropping-particle":"","family":"Rittenberg","given":"Cynthia","non-dropping-particle":"","parse-names":false,"suffix":""},{"dropping-particle":"","family":"Tonato","given":"Maurizio","non-dropping-particle":"","parse-names":false,"suffix":""},{"dropping-particle":"","family":"Warr","given":"David","non-dropping-particle":"","parse-names":false,"suffix":""}],"container-title":"Annals of Oncology","id":"ITEM-3","issue":"1","issued":{"date-parts":[["2006","1"]]},"page":"20-28","publisher":"Ann Oncol","title":"Prevention of chemotherapy- and radiotherapy-induced emesis: Results of the 2004 Perugia International Antiemetic Consensus Conference","type":"article","volume":"17"},"uris":["http://www.mendeley.com/documents/?uuid=825243f5-cc2f-3e21-94bf-f18023974a1d"]},{"id":"ITEM-4","itemData":{"DOI":"10.1200/JCO.2010.34.4614","ISSN":"0732183X","PMID":"21947834","abstract":"Purpose: To update the American Society of Clinical Oncology (ASCO) guideline for antiemetics in oncology. Methods: A systematic review of the medical literature was completed to inform this update. MEDLINE, the Cochrane Collaboration Library, and meeting materials from ASCO and the Multinational Association for Supportive Care in Cancer were all searched. Primary outcomes of interest were complete response and rates of any vomiting or nausea. Results: Thirty-seven trials met prespecified inclusion and exclusion criteria for this systematic review. Two systematic reviews from the Cochrane Collaboration were identified; one surveyed the pediatric literature. The other compared the relative efficacy of the 5-hydroxytryptamine-3 (5-HT 3) receptor antagonists. Recommendations: Combined anthracycline and cyclophosphamide regimens were reclassified as highly emetic. Patients who receive this combination or any highly emetic agents should receive a 5-HT 3 receptor antagonist, dexamethasone, and a neurokinin 1 (NK 1) receptor antagonist. A large trial validated the equivalency of fosaprepitant, a single-day intravenous formulation, with aprepitant; either therapy is appropriate. Preferential use of palonosetron is recommended for moderate emetic risk regimens, combined with dexamethasone. For low-risk agents, patients can be offered dexamethasone before the first dose of chemotherapy. Patients undergoing high emetic risk radiation therapy should receive a 5-HT 3 receptor antagonist before each fraction and for 24 hours after treatment and may receive a 5-day course of dexamethasone during fractions 1 to 5. The Update Committee noted the importance of continued symptom monitoring throughout therapy. Clinicians underestimate the incidence of nausea, which is not as well controlled as emesis. © 2011 by American Society of Clinical Oncology.","author":[{"dropping-particle":"","family":"Basch","given":"Ethan","non-dropping-particle":"","parse-names":false,"suffix":""},{"dropping-particle":"","family":"Prestrud","given":"Ann Alexis","non-dropping-particle":"","parse-names":false,"suffix":""},{"dropping-particle":"","family":"Hesketh","given":"Paul J.","non-dropping-particle":"","parse-names":false,"suffix":""},{"dropping-particle":"","family":"Kris","given":"Mark G.","non-dropping-particle":"","parse-names":false,"suffix":""},{"dropping-particle":"","family":"Feyer","given":"Petra C.","non-dropping-particle":"","parse-names":false,"suffix":""},{"dropping-particle":"","family":"Somerfield","given":"Mark R.","non-dropping-particle":"","parse-names":false,"suffix":""},{"dropping-particle":"","family":"Chesney","given":"Maurice","non-dropping-particle":"","parse-names":false,"suffix":""},{"dropping-particle":"","family":"Clark-Snow","given":"Rebecca Anne","non-dropping-particle":"","parse-names":false,"suffix":""},{"dropping-particle":"","family":"Flaherty","given":"Anne Marie","non-dropping-particle":"","parse-names":false,"suffix":""},{"dropping-particle":"","family":"Freundlich","given":"Barbara","non-dropping-particle":"","parse-names":false,"suffix":""},{"dropping-particle":"","family":"Morrow","given":"Gary","non-dropping-particle":"","parse-names":false,"suffix":""},{"dropping-particle":"V.","family":"Rao","given":"Kamakshi","non-dropping-particle":"","parse-names":false,"suffix":""},{"dropping-particle":"","family":"Schwartz","given":"Rowena N.","non-dropping-particle":"","parse-names":false,"suffix":""},{"dropping-particle":"","family":"Lyman","given":"Gary H.","non-dropping-particle":"","parse-names":false,"suffix":""}],"container-title":"Journal of Clinical Oncology","id":"ITEM-4","issue":"31","issued":{"date-parts":[["2011","11","1"]]},"page":"4189-4198","publisher":"J Clin Oncol","title":"Antiemetics: American Society of Clinical Oncology clinical practice guideline update","type":"article-journal","volume":"29"},"uris":["http://www.mendeley.com/documents/?uuid=41d2ee7c-8665-3f1c-9a47-c490f096b0df"]},{"id":"ITEM-5","itemData":{"DOI":"10.1200/JCO.2017.74.4789","ISSN":"15277755","PMID":"28759346","abstract":"Purpose: To update the ASCO guideline for antiemetics in oncology. Methods: ASCO convened an Expert Panel and conducted a systematic review of the medical literature for the period of November 2009 to June 2016. Results: Forty-one publications were included in this systematic review. A phase III randomized controlled trial demonstrated that adding olanzapine to antiemetic prophylaxis reduces the likelihood of nausea among adult patients who are treated with high emetic risk antineoplastic agents. Randomized controlled trials also support an expanded role for neurokinin 1 receptor antagonists in patients who are treated with chemotherapy. Recommendation: Key updates include the addition of olanzapine to antiemetic regimens for adults who receive high-emetic-risk antineoplastic agents or who experience breakthrough nausea and vomiting; a recommendation to administer dexamethasone on day 1 only for adults who receive anthracycline and cyclophosphamide chemotherapy; and the addition of a neurokinin 1 receptor antagonist for adults who receive carboplatin area under the curve ≥ 4 mg/mL per minute or high-dose chemotherapy, and for pediatric patients who receive high-emetic-risk antineoplastic agents. For radiation-induced nausea and vomiting, adjustments were made to anatomic regions, risk levels, and antiemetic administration schedules. Rescue therapy alone is now recommended for low-emetic-risk radiation therapy. The Expert Panel reiterated the importance of using the most effective antiemetic regimens that are appropriate for antineoplastic agents or radiotherapy being administered. Such regimens should be used with initial treatment, rather than first assessing the patient’s emetic response with less-effective treatment. Additional information is available at www.asco.org/supportive-care-guidelines and www.asco.org/guidelineswiki.","author":[{"dropping-particle":"","family":"Hesketh","given":"Paul J.","non-dropping-particle":"","parse-names":false,"suffix":""},{"dropping-particle":"","family":"Kris","given":"Mark G.","non-dropping-particle":"","parse-names":false,"suffix":""},{"dropping-particle":"","family":"Basch","given":"Ethan","non-dropping-particle":"","parse-names":false,"suffix":""},{"dropping-particle":"","family":"Bohlke","given":"Kari","non-dropping-particle":"","parse-names":false,"suffix":""},{"dropping-particle":"","family":"Barbour","given":"Sally Y.","non-dropping-particle":"","parse-names":false,"suffix":""},{"dropping-particle":"","family":"Clark-Snow","given":"Rebecca Anne","non-dropping-particle":"","parse-names":false,"suffix":""},{"dropping-particle":"","family":"Danso","given":"Michael A.","non-dropping-particle":"","parse-names":false,"suffix":""},{"dropping-particle":"","family":"Dennis","given":"Kristopher","non-dropping-particle":"","parse-names":false,"suffix":""},{"dropping-particle":"","family":"Dupuis","given":"L. Lee","non-dropping-particle":"","parse-names":false,"suffix":""},{"dropping-particle":"","family":"Dusetzina","given":"Stacie B.","non-dropping-particle":"","parse-names":false,"suffix":""},{"dropping-particle":"","family":"Eng","given":"Cathy","non-dropping-particle":"","parse-names":false,"suffix":""},{"dropping-particle":"","family":"Feyer","given":"Petra C.","non-dropping-particle":"","parse-names":false,"suffix":""},{"dropping-particle":"","family":"Jordan","given":"Karin","non-dropping-particle":"","parse-names":false,"suffix":""},{"dropping-particle":"","family":"Noonan","given":"Kimberly","non-dropping-particle":"","parse-names":false,"suffix":""},{"dropping-particle":"","family":"Sparacio","given":"Dee","non-dropping-particle":"","parse-names":false,"suffix":""},{"dropping-particle":"","family":"Somerfield","given":"Mark R.","non-dropping-particle":"","parse-names":false,"suffix":""},{"dropping-particle":"","family":"Lyman","given":"Gary H.","non-dropping-particle":"","parse-names":false,"suffix":""}],"container-title":"Journal of Clinical Oncology","id":"ITEM-5","issue":"28","issued":{"date-parts":[["2017","10","1"]]},"page":"3240-3261","publisher":"American Society of Clinical Oncology","title":"Antiemetics: American Society of Clinical Oncology clinical practice guideline update","type":"article","volume":"35"},"uris":["http://www.mendeley.com/documents/?uuid=8480470c-4e57-389e-bf26-55799547471b"]},{"id":"ITEM-6","itemData":{"DOI":"10.1007/s00520-018-4464-y","ISSN":"14337339","PMID":"30284039","abstract":"Chemotherapy-induced nausea and vomiting (CINV) is a common toxicity that may impair the quality of life of patients with a variety of early- and end-stage malignancies. In light of recent changes in the optimal management of CINV, we undertook this narrative review to compare the latest guidelines published by ASCO (2017), NCCN (2018), and MASCC/ESMO (2016). The processes undertaken by each organization to evaluate existing literature were also described. Although ASCO, NCCN, and MASCC/ESMO guidelines for the treatment and prevention of CINV share many fundamental similarities, literature surrounding low and minimal emetic risk regimens is lacking. Data regarding the use of complementary alternative medicine for CINV is particularly scarce and in need of further investigation.","author":[{"dropping-particle":"","family":"Razvi","given":"Yasmeen","non-dropping-particle":"","parse-names":false,"suffix":""},{"dropping-particle":"","family":"Chan","given":"Stephanie","non-dropping-particle":"","parse-names":false,"suffix":""},{"dropping-particle":"","family":"McFarlane","given":"Thomas","non-dropping-particle":"","parse-names":false,"suffix":""},{"dropping-particle":"","family":"McKenzie","given":"Erin","non-dropping-particle":"","parse-names":false,"suffix":""},{"dropping-particle":"","family":"Zaki","given":"Pearl","non-dropping-particle":"","parse-names":false,"suffix":""},{"dropping-particle":"","family":"DeAngelis","given":"Carlo","non-dropping-particle":"","parse-names":false,"suffix":""},{"dropping-particle":"","family":"Pidduck","given":"William","non-dropping-particle":"","parse-names":false,"suffix":""},{"dropping-particle":"","family":"Bushehri","given":"Ahmad","non-dropping-particle":"","parse-names":false,"suffix":""},{"dropping-particle":"","family":"Chow","given":"Edward","non-dropping-particle":"","parse-names":false,"suffix":""},{"dropping-particle":"","family":"Jerzak","given":"Katarzyna Joanna","non-dropping-particle":"","parse-names":false,"suffix":""}],"container-title":"Supportive Care in Cancer","id":"ITEM-6","issue":"1","issued":{"date-parts":[["2019","1","1"]]},"page":"87-95","publisher":"Springer Verlag","title":"ASCO, NCCN, MASCC/ESMO: a comparison of antiemetic guidelines for the treatment of chemotherapy-induced nausea and vomiting in adult patients","type":"article","volume":"27"},"uris":["http://www.mendeley.com/documents/?uuid=5d7f4221-79ce-3eb4-a9e6-9f0fde8ba3e3"]},{"id":"ITEM-7","itemData":{"author":[{"dropping-particle":"","family":"Владимирова","given":"Л.Ю.","non-dropping-particle":"","parse-names":false,"suffix":""},{"dropping-particle":"","family":"Гладков","given":"О.А.","non-dropping-particle":"","parse-names":false,"suffix":""},{"dropping-particle":"","family":"Когония","given":"Л.М.","non-dropping-particle":"","parse-names":false,"suffix":""},{"dropping-particle":"","family":"Королева","given":"И.А.","non-dropping-particle":"","parse-names":false,"suffix":""},{"dropping-particle":"","family":"Семиглазова","given":"Т.Ю.","non-dropping-particle":"","parse-names":false,"suffix":""}],"container-title":"Практические рекомендации Российского общества клинической онкологии. Лекарственное лечение злокачественных опухолей. Поддерживающая терапия в онкологии.","id":"ITEM-7","issued":{"date-parts":[["2018"]]},"page":"502-511","title":"Практические рекомендации по профилактике и лечению тошноты и рвоты у онкологических больных","type":"chapter"},"uris":["http://www.mendeley.com/documents/?uuid=78a86b9f-7e15-4d77-b54b-a16387fd5e97"]}],"mendeley":{"formattedCitation":"[68–74]","plainTextFormattedCitation":"[68–74]","previouslyFormattedCitation":"[68–74]"},"properties":{"noteIndex":0},"schema":"https://github.com/citation-style-language/schema/raw/master/csl-citation.json"}</w:instrText>
      </w:r>
      <w:r>
        <w:fldChar w:fldCharType="separate"/>
      </w:r>
      <w:r w:rsidR="004C3BA5" w:rsidRPr="004C3BA5">
        <w:rPr>
          <w:noProof/>
        </w:rPr>
        <w:t>[68–74]</w:t>
      </w:r>
      <w:r>
        <w:fldChar w:fldCharType="end"/>
      </w:r>
      <w:r w:rsidRPr="00B328AA">
        <w:t>.</w:t>
      </w:r>
    </w:p>
    <w:bookmarkEnd w:id="114"/>
    <w:bookmarkEnd w:id="115"/>
    <w:p w14:paraId="58495194" w14:textId="7520A51C" w:rsidR="006D53E9" w:rsidRDefault="006D53E9" w:rsidP="006D53E9">
      <w:pPr>
        <w:pStyle w:val="Normal11"/>
        <w:tabs>
          <w:tab w:val="left" w:pos="0"/>
        </w:tabs>
        <w:spacing w:line="360" w:lineRule="auto"/>
        <w:ind w:firstLine="699"/>
        <w:jc w:val="both"/>
        <w:rPr>
          <w:noProof/>
        </w:rPr>
      </w:pPr>
    </w:p>
    <w:p w14:paraId="21FF3617" w14:textId="5BF36F84" w:rsidR="009D41F9" w:rsidRPr="003C1AEB" w:rsidRDefault="00AC26B5" w:rsidP="009D41F9">
      <w:pPr>
        <w:pStyle w:val="2"/>
        <w:spacing w:before="0"/>
      </w:pPr>
      <w:bookmarkStart w:id="116" w:name="_Toc66184343"/>
      <w:r w:rsidRPr="00FE2263">
        <w:t>Приложение А3.</w:t>
      </w:r>
      <w:r w:rsidR="00551386">
        <w:t xml:space="preserve">4. </w:t>
      </w:r>
      <w:bookmarkStart w:id="117" w:name="_Toc64295967"/>
      <w:bookmarkStart w:id="118" w:name="_Toc64479399"/>
      <w:r w:rsidR="009D41F9" w:rsidRPr="003C1AEB">
        <w:rPr>
          <w:u w:color="000000"/>
          <w:lang w:eastAsia="ru-RU"/>
        </w:rPr>
        <w:t>Профилактика язвенной болезни желудка и 12-перстной кишки на фоне терапии глюкокортикостероидами</w:t>
      </w:r>
      <w:bookmarkEnd w:id="116"/>
      <w:bookmarkEnd w:id="117"/>
      <w:bookmarkEnd w:id="118"/>
    </w:p>
    <w:p w14:paraId="3E7F34C1" w14:textId="1AD7AF5A" w:rsidR="009D41F9" w:rsidRDefault="009D41F9" w:rsidP="009D41F9">
      <w:r w:rsidRPr="00C96416">
        <w:t xml:space="preserve">В абсолютное большинство протоколов противоопухолевого лечения </w:t>
      </w:r>
      <w:r>
        <w:t>онко</w:t>
      </w:r>
      <w:r w:rsidRPr="003A77F4">
        <w:t>гематологических заболеваний</w:t>
      </w:r>
      <w:r w:rsidRPr="00C96416">
        <w:t xml:space="preserve"> включены высокие дозы глюкокортикостероидов (ГКС). Язва желудка или двенадцатиперстной кишки является одним из серьёзных побочных эффектов терапии ГКС. Механизм ульцерогенного действия ГКС заключается в повышении секреции соляной кислоты в желудке, изменении качественного состава слизи, торможении регенерации поверхностного эпителия. При сочетанном применении </w:t>
      </w:r>
      <w:r>
        <w:t xml:space="preserve">ГКС с </w:t>
      </w:r>
      <w:r w:rsidRPr="00C96416">
        <w:t>нестероидны</w:t>
      </w:r>
      <w:r>
        <w:t>ми</w:t>
      </w:r>
      <w:r w:rsidRPr="00C96416">
        <w:t xml:space="preserve"> противовоспалительны</w:t>
      </w:r>
      <w:r>
        <w:t>ми</w:t>
      </w:r>
      <w:r w:rsidRPr="00C96416">
        <w:t xml:space="preserve"> средств</w:t>
      </w:r>
      <w:r>
        <w:t xml:space="preserve">ами и антикоагулянтами </w:t>
      </w:r>
      <w:r w:rsidRPr="00C96416">
        <w:t>риск развития стероидных язв возрастает.</w:t>
      </w:r>
      <w:r>
        <w:t xml:space="preserve"> В связи с ульцерогенностью, при использовании ГКС необходимо проводить антисекреторную терапию с целью профилактики стероидных язв </w:t>
      </w:r>
      <w:r>
        <w:fldChar w:fldCharType="begin" w:fldLock="1"/>
      </w:r>
      <w:r w:rsidR="00001BA0">
        <w:instrText>ADDIN CSL_CITATION {"citationItems":[{"id":"ITEM-1","itemData":{"DOI":"10.1136/bmjopen-2013-004587","ISSN":"20446055","PMID":"24833682","abstract":"Objective: To assess whether corticosteroids are associated with increased risk of gastrointestinal bleeding or perforation. Design: Systematic review and meta-analysis of randomised, double-blind, controlled trials comparing a corticosteroid to placebo for any medical condition or in healthy participants. Studies with steroids given either locally, as a single dose, or in crossover studies were excluded. Data sources: Literature search using MEDLINE, EMBASE and Cochrane Database of Systematic Reviews between 1983 and 22 May 2013. Outcome measure: Outcome measures were the occurrence of gastrointestinal bleeding or perforation. Predefined subgroup analyses were carried out for disease severity, use of non-steroidal anti-inflammatory drugs (NSAIDs) or gastroprotective drugs, and history of peptic ulcer. Results: 159 studies (N=33 253) were included. In total, 804 (2.4%) patients had a gastrointestinal bleeding or perforation (2.9% and 2.0% for corticosteroids and placebo). Corticosteroids increased the risk of gastrointestinal bleeding or perforation by 40% (OR 1.43, 95% CI 1.22 to 1.66). The risk was increased for hospitalised patients (OR 1.42, 95% CI 1.22 to 1.66). For patients in ambulatory care, the increased risk was not statistically significant (OR 1.63, 95% CI 0.42 to 6.34). Only 11 gastrointestinal bleeds or perforations occurred among 8651 patients in ambulatory care (0.13%). Increased risk was still present in subgroup analyses (studies with NSAID use excluded; OR 1.44, 95% CI 1.20 to 1.71, peptic ulcer as an exclusion criterion excluded; OR 1.47, 95% CI 1.21 to 1.78, and use of gastroprotective drugs excluded; OR 1.42, 95% CI 1.21 to 1.67). Conclusions: Corticosteroid use was associated with increased risk of gastrointestinal bleeding and perforation. The increased risk was statistically significant for hospitalised patients only. For patients in ambulatory care, the total occurrence of bleeding or perforation was very low, and the increased risk was not statistically significant.","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Open","id":"ITEM-1","issue":"5","issued":{"date-parts":[["2014"]]},"publisher":"BMJ Publishing Group","title":"Corticosteroids and risk of gastrointestinal bleeding: A systematic review and meta-analysis","type":"article-journal","volume":"4"},"uris":["http://www.mendeley.com/documents/?uuid=e701298a-dc65-3059-b1f1-21f394625ffe"]},{"id":"ITEM-2","itemData":{"DOI":"10.1111/j.1365-2796.1994.tb00855.x","ISSN":"0954-6820","PMID":"7989897","abstract":"OBJECTIVES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medicine","id":"ITEM-2","issue":"6","issued":{"date-parts":[["1994","12"]]},"page":"619-32","publisher":"J Intern Med","title":"Corticosteroids and peptic ulcer: meta-analysis of adverse events during steroid therapy.","type":"article-journal","volume":"236"},"uris":["http://www.mendeley.com/documents/?uuid=84af1729-7cf0-45a4-828e-6c0ee9132476"]}],"mendeley":{"formattedCitation":"[75,76]","plainTextFormattedCitation":"[75,76]","previouslyFormattedCitation":"[75,76]"},"properties":{"noteIndex":0},"schema":"https://github.com/citation-style-language/schema/raw/master/csl-citation.json"}</w:instrText>
      </w:r>
      <w:r>
        <w:fldChar w:fldCharType="separate"/>
      </w:r>
      <w:r w:rsidRPr="009D41F9">
        <w:rPr>
          <w:noProof/>
        </w:rPr>
        <w:t>[75,76]</w:t>
      </w:r>
      <w:r>
        <w:fldChar w:fldCharType="end"/>
      </w:r>
      <w:r>
        <w:t>.</w:t>
      </w:r>
    </w:p>
    <w:p w14:paraId="3117A9A7" w14:textId="77777777" w:rsidR="009D41F9" w:rsidRDefault="009D41F9" w:rsidP="009D41F9"/>
    <w:p w14:paraId="73D447D4" w14:textId="77777777" w:rsidR="009D41F9" w:rsidRPr="00A56C81" w:rsidRDefault="009D41F9" w:rsidP="009D41F9">
      <w:pPr>
        <w:pStyle w:val="Normal11"/>
        <w:tabs>
          <w:tab w:val="left" w:pos="0"/>
        </w:tabs>
        <w:spacing w:line="360" w:lineRule="auto"/>
        <w:ind w:firstLine="699"/>
        <w:jc w:val="both"/>
        <w:rPr>
          <w:bCs/>
          <w:i/>
          <w:iCs/>
          <w:u w:val="single"/>
          <w:shd w:val="clear" w:color="auto" w:fill="FFFFFF"/>
        </w:rPr>
      </w:pPr>
      <w:r w:rsidRPr="00A56C81">
        <w:rPr>
          <w:bCs/>
          <w:i/>
          <w:iCs/>
          <w:u w:val="single"/>
          <w:shd w:val="clear" w:color="auto" w:fill="FFFFFF"/>
        </w:rPr>
        <w:t>Диагностика язвенной болезни желудка и 12-перстной кишки при применении ГСК</w:t>
      </w:r>
    </w:p>
    <w:p w14:paraId="31D479E4" w14:textId="77777777" w:rsidR="009D41F9" w:rsidRDefault="009D41F9" w:rsidP="009D41F9">
      <w:r w:rsidRPr="00C96416">
        <w:t xml:space="preserve">Формирование язв </w:t>
      </w:r>
      <w:r>
        <w:t xml:space="preserve">ЖКТ </w:t>
      </w:r>
      <w:r w:rsidRPr="00C96416">
        <w:t xml:space="preserve">может проявляться диспепсическими явлениями и </w:t>
      </w:r>
      <w:r>
        <w:t xml:space="preserve">абдоминальными </w:t>
      </w:r>
      <w:r w:rsidRPr="00C96416">
        <w:t>болями, но нередко протекает и бессимптомно, манифестируя кровотечением или пер</w:t>
      </w:r>
      <w:r>
        <w:t xml:space="preserve">форацией. </w:t>
      </w:r>
    </w:p>
    <w:p w14:paraId="3F54ECA1" w14:textId="77777777" w:rsidR="009D41F9" w:rsidRPr="003A77F4" w:rsidRDefault="009D41F9" w:rsidP="009D41F9">
      <w:r>
        <w:t>Для диагностики язвенного поражения ЖКТ применяется э</w:t>
      </w:r>
      <w:r w:rsidRPr="006252FA">
        <w:t>зофагодуоденоскопия</w:t>
      </w:r>
      <w:r>
        <w:t xml:space="preserve">, при необходимости </w:t>
      </w:r>
      <w:r w:rsidRPr="003A77F4">
        <w:t xml:space="preserve">с биопсийным исследованием и тестом на наличие </w:t>
      </w:r>
      <w:r w:rsidRPr="003A77F4">
        <w:rPr>
          <w:lang w:val="en-US"/>
        </w:rPr>
        <w:t>H</w:t>
      </w:r>
      <w:r w:rsidRPr="003A77F4">
        <w:t xml:space="preserve">. </w:t>
      </w:r>
      <w:r w:rsidRPr="003A77F4">
        <w:rPr>
          <w:lang w:val="en-US"/>
        </w:rPr>
        <w:t>Pylori</w:t>
      </w:r>
      <w:r w:rsidRPr="003A77F4">
        <w:t>.</w:t>
      </w:r>
    </w:p>
    <w:p w14:paraId="3806BD4C" w14:textId="77777777" w:rsidR="009D41F9" w:rsidRDefault="009D41F9" w:rsidP="009D41F9">
      <w:pPr>
        <w:pStyle w:val="Normal11"/>
        <w:tabs>
          <w:tab w:val="left" w:pos="0"/>
        </w:tabs>
        <w:spacing w:line="360" w:lineRule="auto"/>
        <w:ind w:firstLine="699"/>
        <w:jc w:val="both"/>
        <w:rPr>
          <w:bCs/>
          <w:i/>
          <w:iCs/>
          <w:u w:val="single"/>
          <w:shd w:val="clear" w:color="auto" w:fill="FFFFFF"/>
        </w:rPr>
      </w:pPr>
    </w:p>
    <w:p w14:paraId="7598DA28" w14:textId="77777777" w:rsidR="009D41F9" w:rsidRPr="00A56C81" w:rsidRDefault="009D41F9" w:rsidP="009D41F9">
      <w:pPr>
        <w:pStyle w:val="Normal11"/>
        <w:tabs>
          <w:tab w:val="left" w:pos="0"/>
        </w:tabs>
        <w:spacing w:line="360" w:lineRule="auto"/>
        <w:ind w:firstLine="699"/>
        <w:jc w:val="both"/>
        <w:rPr>
          <w:bCs/>
          <w:i/>
          <w:iCs/>
          <w:u w:val="single"/>
          <w:shd w:val="clear" w:color="auto" w:fill="FFFFFF"/>
        </w:rPr>
      </w:pPr>
      <w:r w:rsidRPr="00A56C81">
        <w:rPr>
          <w:bCs/>
          <w:i/>
          <w:iCs/>
          <w:u w:val="single"/>
          <w:shd w:val="clear" w:color="auto" w:fill="FFFFFF"/>
        </w:rPr>
        <w:t>Профилактика язвенной болезни желудка и 12-перстной кишки при применении ГКС.</w:t>
      </w:r>
    </w:p>
    <w:p w14:paraId="03F630AA" w14:textId="5F3D427F" w:rsidR="009D41F9" w:rsidRDefault="009D41F9" w:rsidP="009D41F9">
      <w:r w:rsidRPr="00A56C81">
        <w:t xml:space="preserve">По результатам </w:t>
      </w:r>
      <w:r w:rsidRPr="00C96416">
        <w:t>мета</w:t>
      </w:r>
      <w:r>
        <w:t>-</w:t>
      </w:r>
      <w:r w:rsidRPr="00C96416">
        <w:t>анализа 300 работ</w:t>
      </w:r>
      <w:r>
        <w:fldChar w:fldCharType="begin" w:fldLock="1"/>
      </w:r>
      <w:r w:rsidR="00001BA0">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mendeley":{"formattedCitation":"[77]","plainTextFormattedCitation":"[77]","previouslyFormattedCitation":"[77]"},"properties":{"noteIndex":0},"schema":"https://github.com/citation-style-language/schema/raw/master/csl-citation.json"}</w:instrText>
      </w:r>
      <w:r>
        <w:fldChar w:fldCharType="separate"/>
      </w:r>
      <w:r w:rsidRPr="009D41F9">
        <w:rPr>
          <w:noProof/>
        </w:rPr>
        <w:t>[77]</w:t>
      </w:r>
      <w:r>
        <w:fldChar w:fldCharType="end"/>
      </w:r>
      <w:r>
        <w:t xml:space="preserve">, </w:t>
      </w:r>
      <w:r w:rsidRPr="00C96416">
        <w:t>язвы желудка и двенадцатиперстной кишки рубцуются практически во всех случаях, если рН внутрижелудочного содержимого поддерживается более 3</w:t>
      </w:r>
      <w:r>
        <w:t xml:space="preserve"> </w:t>
      </w:r>
      <w:r w:rsidRPr="00C96416">
        <w:t xml:space="preserve">в течение суток </w:t>
      </w:r>
      <w:r>
        <w:t>на протяжении</w:t>
      </w:r>
      <w:r w:rsidRPr="00C96416">
        <w:t xml:space="preserve"> 18 часо</w:t>
      </w:r>
      <w:r>
        <w:t>в</w:t>
      </w:r>
      <w:r w:rsidRPr="00C96416">
        <w:t xml:space="preserve">. С учетом указанного правила в качестве противоязвенной терапии в настоящее время могут рассматриваться антациды, блокаторы Н2-гистаминовых рецепторов и ингибиторы протонной помпы </w:t>
      </w:r>
      <w:r>
        <w:t>(</w:t>
      </w:r>
      <w:r w:rsidRPr="00C96416">
        <w:t>ИПП</w:t>
      </w:r>
      <w:r>
        <w:t>)</w:t>
      </w:r>
      <w:r w:rsidRPr="00C96416">
        <w:t>. Согласно одному из последних мета</w:t>
      </w:r>
      <w:r>
        <w:t>-</w:t>
      </w:r>
      <w:r w:rsidRPr="00C96416">
        <w:t xml:space="preserve">анализов, при использовании </w:t>
      </w:r>
      <w:r>
        <w:t xml:space="preserve">ИПП </w:t>
      </w:r>
      <w:r w:rsidRPr="00C96416">
        <w:t>и</w:t>
      </w:r>
      <w:r>
        <w:t>ли</w:t>
      </w:r>
      <w:r w:rsidRPr="00C96416">
        <w:t xml:space="preserve"> блокатор</w:t>
      </w:r>
      <w:r>
        <w:t>ов</w:t>
      </w:r>
      <w:r w:rsidRPr="00C96416">
        <w:t xml:space="preserve"> Н2-гистаминовых рецепторов достоверно эффективнее достигается рубцевание язвенного дефекта, а также снижается риск повторного крово</w:t>
      </w:r>
      <w:r>
        <w:t>течения</w:t>
      </w:r>
      <w:r w:rsidRPr="00C96416">
        <w:t xml:space="preserve">.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 </w:t>
      </w:r>
    </w:p>
    <w:p w14:paraId="16B58E40" w14:textId="03C19A11" w:rsidR="009D41F9" w:rsidRPr="00C96416" w:rsidRDefault="009D41F9" w:rsidP="009D41F9">
      <w:r w:rsidRPr="00A56C81">
        <w:t>В настоящее время с антисекреторной целью для п</w:t>
      </w:r>
      <w:r w:rsidRPr="00294C11">
        <w:t>рофилактик</w:t>
      </w:r>
      <w:r>
        <w:t xml:space="preserve">и </w:t>
      </w:r>
      <w:r w:rsidRPr="00294C11">
        <w:t>язвенной болезни желудка и двенадцатиперстной кишки, в том числе на фоне терапии глюкокортикостероидами</w:t>
      </w:r>
      <w:r>
        <w:t xml:space="preserve">, </w:t>
      </w:r>
      <w:r w:rsidRPr="00A56C81">
        <w:t>применяются два класса п</w:t>
      </w:r>
      <w:r w:rsidRPr="00C96416">
        <w:t>репаратов: ингибиторы протонной помпы и блокаторы Н2-гистаминовых рецепторов</w:t>
      </w:r>
      <w:r>
        <w:t xml:space="preserve"> </w:t>
      </w:r>
      <w:r>
        <w:fldChar w:fldCharType="begin" w:fldLock="1"/>
      </w:r>
      <w:r w:rsidR="00001BA0">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[78,79]","plainTextFormattedCitation":"[78,79]","previouslyFormattedCitation":"[78,79]"},"properties":{"noteIndex":0},"schema":"https://github.com/citation-style-language/schema/raw/master/csl-citation.json"}</w:instrText>
      </w:r>
      <w:r>
        <w:fldChar w:fldCharType="separate"/>
      </w:r>
      <w:r w:rsidRPr="009D41F9">
        <w:rPr>
          <w:noProof/>
        </w:rPr>
        <w:t>[78,79]</w:t>
      </w:r>
      <w:r>
        <w:fldChar w:fldCharType="end"/>
      </w:r>
      <w:r w:rsidRPr="00C96416">
        <w:t>.</w:t>
      </w:r>
    </w:p>
    <w:p w14:paraId="4E1EF255" w14:textId="77777777" w:rsidR="009D41F9" w:rsidRDefault="009D41F9" w:rsidP="009D41F9">
      <w:pPr>
        <w:pStyle w:val="Normal11"/>
        <w:tabs>
          <w:tab w:val="left" w:pos="0"/>
        </w:tabs>
        <w:spacing w:line="360" w:lineRule="auto"/>
        <w:ind w:firstLine="699"/>
        <w:jc w:val="both"/>
        <w:rPr>
          <w:bCs/>
          <w:i/>
          <w:iCs/>
          <w:u w:val="single"/>
          <w:shd w:val="clear" w:color="auto" w:fill="FFFFFF"/>
        </w:rPr>
      </w:pPr>
    </w:p>
    <w:p w14:paraId="144392DB" w14:textId="77777777" w:rsidR="009D41F9" w:rsidRPr="00A56C81" w:rsidRDefault="009D41F9" w:rsidP="009D41F9">
      <w:pPr>
        <w:pStyle w:val="Normal11"/>
        <w:tabs>
          <w:tab w:val="left" w:pos="0"/>
        </w:tabs>
        <w:spacing w:line="360" w:lineRule="auto"/>
        <w:ind w:firstLine="699"/>
        <w:jc w:val="both"/>
        <w:rPr>
          <w:bCs/>
          <w:i/>
          <w:iCs/>
          <w:u w:val="single"/>
          <w:shd w:val="clear" w:color="auto" w:fill="FFFFFF"/>
        </w:rPr>
      </w:pPr>
      <w:r w:rsidRPr="00A56C81">
        <w:rPr>
          <w:bCs/>
          <w:i/>
          <w:iCs/>
          <w:u w:val="single"/>
          <w:shd w:val="clear" w:color="auto" w:fill="FFFFFF"/>
        </w:rPr>
        <w:t>Ингибиторы протонной помпы (ИПП)</w:t>
      </w:r>
    </w:p>
    <w:p w14:paraId="7F658537" w14:textId="6B593FCD" w:rsidR="009D41F9" w:rsidRDefault="009D41F9" w:rsidP="009D41F9">
      <w:r w:rsidRPr="00C96416">
        <w:t xml:space="preserve">Ингибиторы протоновой помпы (ингибиторы протонового насоса, блокаторы протонного насоса, блокаторы Н+/К+-АТФазы, блокаторы водородной помпы) — антисекреторные лекарственные </w:t>
      </w:r>
      <w:r>
        <w:t xml:space="preserve">препараты, </w:t>
      </w:r>
      <w:r w:rsidRPr="00C96416">
        <w:t>блокир</w:t>
      </w:r>
      <w:r>
        <w:t>ующие Н+/К+-АТФазу</w:t>
      </w:r>
      <w:r w:rsidRPr="00C96416">
        <w:t xml:space="preserve"> обкладочных (париетальных) клеток слизистой оболочки желудка</w:t>
      </w:r>
      <w:r>
        <w:t xml:space="preserve"> и уменьшающие </w:t>
      </w:r>
      <w:r w:rsidRPr="00C96416">
        <w:t>секреци</w:t>
      </w:r>
      <w:r>
        <w:t>ю</w:t>
      </w:r>
      <w:r w:rsidRPr="00C96416">
        <w:t xml:space="preserve"> соляной кислоты</w:t>
      </w:r>
      <w:r>
        <w:t xml:space="preserve">, путем </w:t>
      </w:r>
      <w:r w:rsidRPr="00C96416">
        <w:t>проник</w:t>
      </w:r>
      <w:r>
        <w:t>новения</w:t>
      </w:r>
      <w:r w:rsidRPr="00C96416">
        <w:t xml:space="preserve"> в париетальные клетки слизистой оболочки желудка</w:t>
      </w:r>
      <w:r>
        <w:t xml:space="preserve">, </w:t>
      </w:r>
      <w:r w:rsidRPr="00C96416">
        <w:t>концентр</w:t>
      </w:r>
      <w:r>
        <w:t>ации</w:t>
      </w:r>
      <w:r w:rsidRPr="00C96416">
        <w:t xml:space="preserve"> в секреторных канальцах</w:t>
      </w:r>
      <w:r>
        <w:t>, и активации</w:t>
      </w:r>
      <w:r w:rsidRPr="00C96416">
        <w:t xml:space="preserve"> при кислом значении рН. </w:t>
      </w:r>
      <w:r>
        <w:t xml:space="preserve">При активации </w:t>
      </w:r>
      <w:r w:rsidRPr="00C96416">
        <w:t>ИПП образуют прочные ковалентные связи с меркаптогруппами цистеиновых остатков Н+/К+-АТФазы, блокиру</w:t>
      </w:r>
      <w:r>
        <w:t>я</w:t>
      </w:r>
      <w:r w:rsidRPr="00C96416">
        <w:t xml:space="preserve"> действие протонной помпы</w:t>
      </w:r>
      <w:r>
        <w:t xml:space="preserve"> так</w:t>
      </w:r>
      <w:r w:rsidRPr="00C96416">
        <w:t xml:space="preserve">, </w:t>
      </w:r>
      <w:r>
        <w:t xml:space="preserve">что </w:t>
      </w:r>
      <w:r w:rsidRPr="00C96416">
        <w:t xml:space="preserve">она </w:t>
      </w:r>
      <w:r>
        <w:t>необратимо исключается</w:t>
      </w:r>
      <w:r w:rsidRPr="00C96416">
        <w:t xml:space="preserve"> из процесса секреции соляной кислоты. Влияние ИПП на последнюю стадию процесса образования соляной кислоты в желудке является дозозависимым и обеспечивает высокоэффективное ингибирование базальной и стимулированной секреции</w:t>
      </w:r>
      <w:r>
        <w:t xml:space="preserve"> соляной кислоты независимо от</w:t>
      </w:r>
      <w:r w:rsidRPr="00C96416">
        <w:t xml:space="preserve"> фактора</w:t>
      </w:r>
      <w:r>
        <w:t xml:space="preserve"> его вызывающего</w:t>
      </w:r>
      <w:r w:rsidRPr="00C96416">
        <w:t>.</w:t>
      </w:r>
      <w:r>
        <w:t xml:space="preserve"> В группу препаратов ИПП входят о</w:t>
      </w:r>
      <w:r w:rsidRPr="00C96416">
        <w:t>мепразол</w:t>
      </w:r>
      <w:r>
        <w:t>, лансопразол, п</w:t>
      </w:r>
      <w:r w:rsidRPr="00C96416">
        <w:t>антопразол</w:t>
      </w:r>
      <w:r>
        <w:t xml:space="preserve">, рабепразол, </w:t>
      </w:r>
      <w:r w:rsidRPr="00C96416">
        <w:t>зомепразол</w:t>
      </w:r>
      <w:r>
        <w:t xml:space="preserve">, применяемые во время проведения курсов специфической противоопухолевой терапии, включающей системные ГКС, в указанных в таблице 1 дозах </w:t>
      </w:r>
      <w:r>
        <w:fldChar w:fldCharType="begin" w:fldLock="1"/>
      </w:r>
      <w:r w:rsidR="00001BA0">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trials","type":"article-journal","volume":"3"},"uris":["http://www.mendeley.com/documents/?uuid=f1962b3a-e3e6-3474-95a8-4fc5245efa04"]},{"id":"ITEM-3","itemData":{"DOI":"10.4103/1319-3767.199117","ISSN":"1319-3767","abstract":"Background/Aim: To compare the efficacy and tolerance of different proton pump inhibitors (PPIs) in different doses for patients with duodenal ulcers. Materials and Methods: An electronic database was searched to collect all randomized clinical trials (RCTs), and a pairwise and network meta-analysis were performed. Results: A total of 24 RCTs involving 6188 patients were included. The network meta-analysis showed that there were no significant differences for the 4-week healing rate of duodenal ulcer treated with different PPI regimens except pantoprazle 40 mg/d versus lansoprazole 15 mg/d [Relative risk (RR) = 3.57; 95% confidence interval (CI) = 1.36-10.31)] and lansoprazole 30 mg/d versus lansoprazole 15 mg/d (RR = 2.45; 95% CI = 1.01-6.14). In comparison with H2receptor antagonists (H2RA), pantoprazole 40 mg/d and lansoprazole 30 mg/d significantly increase the healing rate (RR = 2.96; 95% CI = 1.78-5.14 and RR = 2.04; 95% CI = 1.13-3.53, respectively). There was no significant difference for the rate of adverse events between different regimens, including H2RA for a duration of 4-week of follow up. Conclusion: There was no significant difference for the efficacy and tolerance between the ordinary doses of different PPIs with the exception of lansoprazle 15 mg/d.","author":[{"dropping-particle":"","family":"Hu","given":"Zhan-Hong","non-dropping-particle":"","parse-names":false,"suffix":""},{"dropping-particle":"","family":"Shi","given":"Ai-Ming","non-dropping-particle":"","parse-names":false,"suffix":""},{"dropping-particle":"","family":"Hu","given":"Duan-Min","non-dropping-particle":"","parse-names":false,"suffix":""},{"dropping-particle":"","family":"Bao","given":"Jun-Jie","non-dropping-particle":"","parse-names":false,"suffix":""}],"container-title":"Saudi Journal of Gastroenterology","id":"ITEM-3","issue":"1","issued":{"date-parts":[["2017","1","1"]]},"page":"11","publisher":"Medknow Publications","title":"Efficacy of proton pump inhibitors for patients with duodenal ulcers: A pairwise and network meta-analysis of randomized controlled trials","type":"article-journal","volume":"23"},"uris":["http://www.mendeley.com/documents/?uuid=d523d0fc-026a-365d-b2ac-773ed8aed036"]}],"mendeley":{"formattedCitation":"[78–80]","plainTextFormattedCitation":"[78–80]","previouslyFormattedCitation":"[78–80]"},"properties":{"noteIndex":0},"schema":"https://github.com/citation-style-language/schema/raw/master/csl-citation.json"}</w:instrText>
      </w:r>
      <w:r>
        <w:fldChar w:fldCharType="separate"/>
      </w:r>
      <w:r w:rsidRPr="009D41F9">
        <w:rPr>
          <w:noProof/>
        </w:rPr>
        <w:t>[78–80]</w:t>
      </w:r>
      <w:r>
        <w:fldChar w:fldCharType="end"/>
      </w:r>
      <w:r>
        <w:t xml:space="preserve">. </w:t>
      </w:r>
    </w:p>
    <w:p w14:paraId="74B48EE1" w14:textId="77777777" w:rsidR="009D41F9" w:rsidRDefault="009D41F9" w:rsidP="009D41F9">
      <w:pPr>
        <w:rPr>
          <w:b/>
        </w:rPr>
      </w:pPr>
    </w:p>
    <w:p w14:paraId="4DDA5056" w14:textId="77777777" w:rsidR="009D41F9" w:rsidRPr="005B1687" w:rsidRDefault="009D41F9" w:rsidP="009D41F9">
      <w:pPr>
        <w:rPr>
          <w:bCs/>
        </w:rPr>
      </w:pPr>
      <w:r w:rsidRPr="005B1687">
        <w:rPr>
          <w:bCs/>
        </w:rPr>
        <w:t>Таблица 1. Режим дозирования ИПП с целью профилактики язвенной болезни</w:t>
      </w:r>
    </w:p>
    <w:tbl>
      <w:tblPr>
        <w:tblStyle w:val="aff9"/>
        <w:tblW w:w="0" w:type="auto"/>
        <w:jc w:val="center"/>
        <w:tblLook w:val="04A0" w:firstRow="1" w:lastRow="0" w:firstColumn="1" w:lastColumn="0" w:noHBand="0" w:noVBand="1"/>
      </w:tblPr>
      <w:tblGrid>
        <w:gridCol w:w="2220"/>
        <w:gridCol w:w="2344"/>
        <w:gridCol w:w="3713"/>
      </w:tblGrid>
      <w:tr w:rsidR="009D41F9" w:rsidRPr="00C96416" w14:paraId="2AF12377" w14:textId="77777777" w:rsidTr="002D3EBF">
        <w:trPr>
          <w:jc w:val="center"/>
        </w:trPr>
        <w:tc>
          <w:tcPr>
            <w:tcW w:w="2220" w:type="dxa"/>
          </w:tcPr>
          <w:p w14:paraId="4B48E429" w14:textId="77777777" w:rsidR="009D41F9" w:rsidRPr="00C96416" w:rsidRDefault="009D41F9" w:rsidP="002D3EBF">
            <w:pPr>
              <w:tabs>
                <w:tab w:val="left" w:pos="0"/>
              </w:tabs>
              <w:ind w:left="57" w:right="57" w:firstLine="0"/>
              <w:rPr>
                <w:b/>
                <w:szCs w:val="24"/>
                <w:lang w:eastAsia="ru-RU"/>
              </w:rPr>
            </w:pPr>
            <w:r>
              <w:rPr>
                <w:b/>
                <w:szCs w:val="24"/>
                <w:lang w:eastAsia="ru-RU"/>
              </w:rPr>
              <w:t>Препарат</w:t>
            </w:r>
          </w:p>
        </w:tc>
        <w:tc>
          <w:tcPr>
            <w:tcW w:w="2344" w:type="dxa"/>
          </w:tcPr>
          <w:p w14:paraId="4665C878" w14:textId="77777777" w:rsidR="009D41F9" w:rsidRPr="00C96416" w:rsidRDefault="009D41F9" w:rsidP="002D3EBF">
            <w:pPr>
              <w:tabs>
                <w:tab w:val="left" w:pos="0"/>
              </w:tabs>
              <w:ind w:left="57" w:right="57" w:firstLine="0"/>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713" w:type="dxa"/>
          </w:tcPr>
          <w:p w14:paraId="49C879B0" w14:textId="77777777" w:rsidR="009D41F9" w:rsidRPr="00C96416" w:rsidRDefault="009D41F9" w:rsidP="002D3EBF">
            <w:pPr>
              <w:tabs>
                <w:tab w:val="left" w:pos="0"/>
              </w:tabs>
              <w:ind w:left="57" w:right="57" w:firstLine="0"/>
              <w:rPr>
                <w:b/>
                <w:szCs w:val="24"/>
                <w:lang w:eastAsia="ru-RU"/>
              </w:rPr>
            </w:pPr>
            <w:r>
              <w:rPr>
                <w:b/>
                <w:szCs w:val="24"/>
                <w:lang w:eastAsia="ru-RU"/>
              </w:rPr>
              <w:t>Способ применения и р</w:t>
            </w:r>
            <w:r w:rsidRPr="00C96416">
              <w:rPr>
                <w:b/>
                <w:szCs w:val="24"/>
                <w:lang w:eastAsia="ru-RU"/>
              </w:rPr>
              <w:t>ежим дозирования</w:t>
            </w:r>
          </w:p>
        </w:tc>
      </w:tr>
      <w:tr w:rsidR="009D41F9" w:rsidRPr="00C96416" w14:paraId="222092C4" w14:textId="77777777" w:rsidTr="002D3EBF">
        <w:trPr>
          <w:jc w:val="center"/>
        </w:trPr>
        <w:tc>
          <w:tcPr>
            <w:tcW w:w="2220" w:type="dxa"/>
          </w:tcPr>
          <w:p w14:paraId="7FEA4D7D" w14:textId="77777777" w:rsidR="009D41F9" w:rsidRPr="00C96416" w:rsidRDefault="009D41F9" w:rsidP="002D3EBF">
            <w:pPr>
              <w:tabs>
                <w:tab w:val="left" w:pos="0"/>
              </w:tabs>
              <w:ind w:left="57" w:right="57" w:firstLine="0"/>
              <w:rPr>
                <w:szCs w:val="24"/>
                <w:lang w:eastAsia="ru-RU"/>
              </w:rPr>
            </w:pPr>
            <w:r w:rsidRPr="00C96416">
              <w:rPr>
                <w:szCs w:val="24"/>
                <w:lang w:eastAsia="ru-RU"/>
              </w:rPr>
              <w:t>Омепразол</w:t>
            </w:r>
          </w:p>
        </w:tc>
        <w:tc>
          <w:tcPr>
            <w:tcW w:w="2344" w:type="dxa"/>
          </w:tcPr>
          <w:p w14:paraId="5AABBCA1" w14:textId="77777777" w:rsidR="009D41F9" w:rsidRDefault="009D41F9" w:rsidP="002D3EBF">
            <w:pPr>
              <w:tabs>
                <w:tab w:val="left" w:pos="0"/>
              </w:tabs>
              <w:ind w:left="57" w:right="57" w:firstLine="0"/>
              <w:rPr>
                <w:szCs w:val="24"/>
                <w:lang w:eastAsia="ru-RU"/>
              </w:rPr>
            </w:pPr>
            <w:r w:rsidRPr="00C96416">
              <w:rPr>
                <w:szCs w:val="24"/>
                <w:lang w:eastAsia="ru-RU"/>
              </w:rPr>
              <w:t>20</w:t>
            </w:r>
          </w:p>
          <w:p w14:paraId="09704F06" w14:textId="77777777" w:rsidR="009D41F9" w:rsidRPr="00C96416" w:rsidRDefault="009D41F9" w:rsidP="002D3EBF">
            <w:pPr>
              <w:tabs>
                <w:tab w:val="left" w:pos="0"/>
              </w:tabs>
              <w:ind w:left="57" w:right="57" w:firstLine="0"/>
              <w:rPr>
                <w:szCs w:val="24"/>
                <w:lang w:eastAsia="ru-RU"/>
              </w:rPr>
            </w:pPr>
            <w:r>
              <w:rPr>
                <w:szCs w:val="24"/>
                <w:lang w:eastAsia="ru-RU"/>
              </w:rPr>
              <w:t>40</w:t>
            </w:r>
          </w:p>
        </w:tc>
        <w:tc>
          <w:tcPr>
            <w:tcW w:w="3713" w:type="dxa"/>
          </w:tcPr>
          <w:p w14:paraId="34944730" w14:textId="77777777" w:rsidR="009D41F9" w:rsidRPr="00B56E4C" w:rsidRDefault="009D41F9" w:rsidP="002D3EBF">
            <w:pPr>
              <w:tabs>
                <w:tab w:val="left" w:pos="0"/>
              </w:tabs>
              <w:ind w:left="57" w:right="57" w:firstLine="0"/>
              <w:rPr>
                <w:szCs w:val="24"/>
                <w:lang w:eastAsia="ru-RU"/>
              </w:rPr>
            </w:pPr>
            <w:r>
              <w:rPr>
                <w:szCs w:val="24"/>
                <w:lang w:eastAsia="ru-RU"/>
              </w:rPr>
              <w:t>Внутрь, 1 раз в сутки;</w:t>
            </w:r>
          </w:p>
          <w:p w14:paraId="377BC425" w14:textId="77777777" w:rsidR="009D41F9" w:rsidRPr="00D221D8" w:rsidRDefault="009D41F9" w:rsidP="002D3EBF">
            <w:pPr>
              <w:tabs>
                <w:tab w:val="left" w:pos="0"/>
              </w:tabs>
              <w:ind w:left="57" w:right="57" w:firstLine="0"/>
              <w:rPr>
                <w:szCs w:val="24"/>
                <w:lang w:eastAsia="ru-RU"/>
              </w:rPr>
            </w:pPr>
            <w:r>
              <w:rPr>
                <w:szCs w:val="24"/>
                <w:lang w:eastAsia="ru-RU"/>
              </w:rPr>
              <w:t xml:space="preserve"> в/в, 1 раз в сутки</w:t>
            </w:r>
          </w:p>
        </w:tc>
      </w:tr>
      <w:tr w:rsidR="009D41F9" w:rsidRPr="00C96416" w14:paraId="66F43973" w14:textId="77777777" w:rsidTr="002D3EBF">
        <w:trPr>
          <w:jc w:val="center"/>
        </w:trPr>
        <w:tc>
          <w:tcPr>
            <w:tcW w:w="2220" w:type="dxa"/>
          </w:tcPr>
          <w:p w14:paraId="56AB1C14" w14:textId="77777777" w:rsidR="009D41F9" w:rsidRPr="00C96416" w:rsidRDefault="009D41F9" w:rsidP="002D3EBF">
            <w:pPr>
              <w:tabs>
                <w:tab w:val="left" w:pos="0"/>
              </w:tabs>
              <w:ind w:left="57" w:right="57" w:firstLine="0"/>
              <w:rPr>
                <w:szCs w:val="24"/>
                <w:lang w:eastAsia="ru-RU"/>
              </w:rPr>
            </w:pPr>
            <w:r w:rsidRPr="00C96416">
              <w:rPr>
                <w:szCs w:val="24"/>
                <w:lang w:eastAsia="ru-RU"/>
              </w:rPr>
              <w:t>Лансопразол</w:t>
            </w:r>
          </w:p>
        </w:tc>
        <w:tc>
          <w:tcPr>
            <w:tcW w:w="2344" w:type="dxa"/>
          </w:tcPr>
          <w:p w14:paraId="7D6111EA" w14:textId="77777777" w:rsidR="009D41F9" w:rsidRPr="00C96416" w:rsidRDefault="009D41F9" w:rsidP="002D3EBF">
            <w:pPr>
              <w:tabs>
                <w:tab w:val="left" w:pos="0"/>
              </w:tabs>
              <w:ind w:left="57" w:right="57" w:firstLine="0"/>
              <w:rPr>
                <w:szCs w:val="24"/>
                <w:lang w:eastAsia="ru-RU"/>
              </w:rPr>
            </w:pPr>
            <w:r w:rsidRPr="00C96416">
              <w:rPr>
                <w:szCs w:val="24"/>
                <w:lang w:eastAsia="ru-RU"/>
              </w:rPr>
              <w:t>30</w:t>
            </w:r>
          </w:p>
        </w:tc>
        <w:tc>
          <w:tcPr>
            <w:tcW w:w="3713" w:type="dxa"/>
          </w:tcPr>
          <w:p w14:paraId="0FF9385E" w14:textId="77777777" w:rsidR="009D41F9" w:rsidRDefault="009D41F9" w:rsidP="002D3EBF">
            <w:pPr>
              <w:ind w:left="57" w:right="57" w:firstLine="0"/>
            </w:pPr>
            <w:r w:rsidRPr="00826EC3">
              <w:rPr>
                <w:szCs w:val="24"/>
                <w:lang w:eastAsia="ru-RU"/>
              </w:rPr>
              <w:t>Внутрь, 1 раз в сутки</w:t>
            </w:r>
          </w:p>
        </w:tc>
      </w:tr>
      <w:tr w:rsidR="009D41F9" w:rsidRPr="00C96416" w14:paraId="26F6A9AA" w14:textId="77777777" w:rsidTr="002D3EBF">
        <w:trPr>
          <w:jc w:val="center"/>
        </w:trPr>
        <w:tc>
          <w:tcPr>
            <w:tcW w:w="2220" w:type="dxa"/>
          </w:tcPr>
          <w:p w14:paraId="424CDFAC" w14:textId="77777777" w:rsidR="009D41F9" w:rsidRPr="00C96416" w:rsidRDefault="009D41F9" w:rsidP="002D3EBF">
            <w:pPr>
              <w:tabs>
                <w:tab w:val="left" w:pos="0"/>
              </w:tabs>
              <w:ind w:left="57" w:right="57" w:firstLine="0"/>
              <w:rPr>
                <w:szCs w:val="24"/>
                <w:lang w:eastAsia="ru-RU"/>
              </w:rPr>
            </w:pPr>
            <w:r>
              <w:rPr>
                <w:szCs w:val="24"/>
                <w:lang w:eastAsia="ru-RU"/>
              </w:rPr>
              <w:t>П</w:t>
            </w:r>
            <w:r w:rsidRPr="00C96416">
              <w:rPr>
                <w:szCs w:val="24"/>
                <w:lang w:eastAsia="ru-RU"/>
              </w:rPr>
              <w:t>антопразол</w:t>
            </w:r>
          </w:p>
        </w:tc>
        <w:tc>
          <w:tcPr>
            <w:tcW w:w="2344" w:type="dxa"/>
          </w:tcPr>
          <w:p w14:paraId="1A2D9CBB" w14:textId="77777777" w:rsidR="009D41F9" w:rsidRPr="00C96416" w:rsidRDefault="009D41F9" w:rsidP="002D3EBF">
            <w:pPr>
              <w:tabs>
                <w:tab w:val="left" w:pos="0"/>
              </w:tabs>
              <w:ind w:left="57" w:right="57" w:firstLine="0"/>
              <w:rPr>
                <w:szCs w:val="24"/>
                <w:lang w:eastAsia="ru-RU"/>
              </w:rPr>
            </w:pPr>
            <w:r w:rsidRPr="00C96416">
              <w:rPr>
                <w:szCs w:val="24"/>
                <w:lang w:eastAsia="ru-RU"/>
              </w:rPr>
              <w:t>40</w:t>
            </w:r>
          </w:p>
        </w:tc>
        <w:tc>
          <w:tcPr>
            <w:tcW w:w="3713" w:type="dxa"/>
          </w:tcPr>
          <w:p w14:paraId="62E28434" w14:textId="77777777" w:rsidR="009D41F9" w:rsidRDefault="009D41F9" w:rsidP="002D3EBF">
            <w:pPr>
              <w:ind w:left="57" w:right="57" w:firstLine="0"/>
            </w:pPr>
            <w:r w:rsidRPr="00826EC3">
              <w:rPr>
                <w:szCs w:val="24"/>
                <w:lang w:eastAsia="ru-RU"/>
              </w:rPr>
              <w:t>Внутрь, 1 раз в сутки</w:t>
            </w:r>
          </w:p>
        </w:tc>
      </w:tr>
      <w:tr w:rsidR="009D41F9" w:rsidRPr="00C96416" w14:paraId="7DF85DE8" w14:textId="77777777" w:rsidTr="002D3EBF">
        <w:trPr>
          <w:jc w:val="center"/>
        </w:trPr>
        <w:tc>
          <w:tcPr>
            <w:tcW w:w="2220" w:type="dxa"/>
          </w:tcPr>
          <w:p w14:paraId="5FD7B260" w14:textId="77777777" w:rsidR="009D41F9" w:rsidRPr="00C96416" w:rsidRDefault="009D41F9" w:rsidP="002D3EBF">
            <w:pPr>
              <w:tabs>
                <w:tab w:val="left" w:pos="0"/>
              </w:tabs>
              <w:ind w:left="57" w:right="57" w:firstLine="0"/>
              <w:rPr>
                <w:szCs w:val="24"/>
                <w:lang w:eastAsia="ru-RU"/>
              </w:rPr>
            </w:pPr>
            <w:r>
              <w:rPr>
                <w:szCs w:val="24"/>
              </w:rPr>
              <w:t>Р</w:t>
            </w:r>
            <w:r w:rsidRPr="00C96416">
              <w:rPr>
                <w:szCs w:val="24"/>
              </w:rPr>
              <w:t>абепразол</w:t>
            </w:r>
          </w:p>
        </w:tc>
        <w:tc>
          <w:tcPr>
            <w:tcW w:w="2344" w:type="dxa"/>
          </w:tcPr>
          <w:p w14:paraId="70E301FC" w14:textId="77777777" w:rsidR="009D41F9" w:rsidRPr="00C96416" w:rsidRDefault="009D41F9" w:rsidP="002D3EBF">
            <w:pPr>
              <w:tabs>
                <w:tab w:val="left" w:pos="0"/>
              </w:tabs>
              <w:ind w:left="57" w:right="57" w:firstLine="0"/>
              <w:rPr>
                <w:szCs w:val="24"/>
                <w:lang w:eastAsia="ru-RU"/>
              </w:rPr>
            </w:pPr>
            <w:r w:rsidRPr="00C96416">
              <w:rPr>
                <w:szCs w:val="24"/>
                <w:lang w:eastAsia="ru-RU"/>
              </w:rPr>
              <w:t>20</w:t>
            </w:r>
          </w:p>
        </w:tc>
        <w:tc>
          <w:tcPr>
            <w:tcW w:w="3713" w:type="dxa"/>
          </w:tcPr>
          <w:p w14:paraId="4FD01D14" w14:textId="77777777" w:rsidR="009D41F9" w:rsidRDefault="009D41F9" w:rsidP="002D3EBF">
            <w:pPr>
              <w:ind w:left="57" w:right="57" w:firstLine="0"/>
            </w:pPr>
            <w:r w:rsidRPr="00826EC3">
              <w:rPr>
                <w:szCs w:val="24"/>
                <w:lang w:eastAsia="ru-RU"/>
              </w:rPr>
              <w:t>Внутрь, 1 раз в сутки</w:t>
            </w:r>
          </w:p>
        </w:tc>
      </w:tr>
      <w:tr w:rsidR="009D41F9" w:rsidRPr="00C96416" w14:paraId="29D2FADC" w14:textId="77777777" w:rsidTr="002D3EBF">
        <w:trPr>
          <w:jc w:val="center"/>
        </w:trPr>
        <w:tc>
          <w:tcPr>
            <w:tcW w:w="2220" w:type="dxa"/>
          </w:tcPr>
          <w:p w14:paraId="3C377EB9" w14:textId="77777777" w:rsidR="009D41F9" w:rsidRPr="00C96416" w:rsidRDefault="009D41F9" w:rsidP="002D3EBF">
            <w:pPr>
              <w:tabs>
                <w:tab w:val="left" w:pos="0"/>
              </w:tabs>
              <w:ind w:left="57" w:right="57" w:firstLine="0"/>
              <w:rPr>
                <w:szCs w:val="24"/>
              </w:rPr>
            </w:pPr>
            <w:r>
              <w:rPr>
                <w:szCs w:val="24"/>
              </w:rPr>
              <w:t>Э</w:t>
            </w:r>
            <w:r w:rsidRPr="00C96416">
              <w:rPr>
                <w:szCs w:val="24"/>
              </w:rPr>
              <w:t>зомепразол</w:t>
            </w:r>
          </w:p>
        </w:tc>
        <w:tc>
          <w:tcPr>
            <w:tcW w:w="2344" w:type="dxa"/>
          </w:tcPr>
          <w:p w14:paraId="38055959" w14:textId="77777777" w:rsidR="009D41F9" w:rsidRPr="00C96416" w:rsidRDefault="009D41F9" w:rsidP="002D3EBF">
            <w:pPr>
              <w:tabs>
                <w:tab w:val="left" w:pos="0"/>
              </w:tabs>
              <w:ind w:left="57" w:right="57" w:firstLine="0"/>
              <w:rPr>
                <w:szCs w:val="24"/>
                <w:lang w:eastAsia="ru-RU"/>
              </w:rPr>
            </w:pPr>
            <w:r w:rsidRPr="00C96416">
              <w:rPr>
                <w:szCs w:val="24"/>
                <w:lang w:eastAsia="ru-RU"/>
              </w:rPr>
              <w:t>20</w:t>
            </w:r>
          </w:p>
        </w:tc>
        <w:tc>
          <w:tcPr>
            <w:tcW w:w="3713" w:type="dxa"/>
          </w:tcPr>
          <w:p w14:paraId="40417284" w14:textId="77777777" w:rsidR="009D41F9" w:rsidRDefault="009D41F9" w:rsidP="002D3EBF">
            <w:pPr>
              <w:ind w:left="57" w:right="57" w:firstLine="0"/>
            </w:pPr>
            <w:r w:rsidRPr="00826EC3">
              <w:rPr>
                <w:szCs w:val="24"/>
                <w:lang w:eastAsia="ru-RU"/>
              </w:rPr>
              <w:t>Внутрь</w:t>
            </w:r>
            <w:r>
              <w:rPr>
                <w:szCs w:val="24"/>
                <w:lang w:eastAsia="ru-RU"/>
              </w:rPr>
              <w:t xml:space="preserve"> или в/в</w:t>
            </w:r>
            <w:r w:rsidRPr="00826EC3">
              <w:rPr>
                <w:szCs w:val="24"/>
                <w:lang w:eastAsia="ru-RU"/>
              </w:rPr>
              <w:t>, 1 раз в сутки</w:t>
            </w:r>
          </w:p>
        </w:tc>
      </w:tr>
    </w:tbl>
    <w:p w14:paraId="1DEE99A6" w14:textId="77777777" w:rsidR="009D41F9" w:rsidRDefault="009D41F9" w:rsidP="009D41F9">
      <w:pPr>
        <w:pStyle w:val="Normal11"/>
        <w:tabs>
          <w:tab w:val="left" w:pos="0"/>
        </w:tabs>
        <w:spacing w:line="360" w:lineRule="auto"/>
        <w:ind w:left="0" w:firstLine="0"/>
        <w:jc w:val="both"/>
      </w:pPr>
    </w:p>
    <w:p w14:paraId="658932F8" w14:textId="77777777" w:rsidR="009D41F9" w:rsidRPr="00C96416" w:rsidRDefault="009D41F9" w:rsidP="009D41F9">
      <w:r>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p>
    <w:p w14:paraId="5B7540BD" w14:textId="77777777" w:rsidR="009D41F9" w:rsidRDefault="009D41F9" w:rsidP="009D41F9">
      <w:pPr>
        <w:pStyle w:val="Normal11"/>
        <w:tabs>
          <w:tab w:val="left" w:pos="0"/>
        </w:tabs>
        <w:spacing w:line="360" w:lineRule="auto"/>
        <w:ind w:firstLine="699"/>
        <w:jc w:val="both"/>
        <w:rPr>
          <w:bCs/>
          <w:i/>
          <w:iCs/>
          <w:u w:val="single"/>
          <w:shd w:val="clear" w:color="auto" w:fill="FFFFFF"/>
        </w:rPr>
      </w:pPr>
    </w:p>
    <w:p w14:paraId="3C417B09" w14:textId="77777777" w:rsidR="009D41F9" w:rsidRPr="00A56C81" w:rsidRDefault="009D41F9" w:rsidP="009D41F9">
      <w:pPr>
        <w:pStyle w:val="Normal11"/>
        <w:tabs>
          <w:tab w:val="left" w:pos="0"/>
        </w:tabs>
        <w:spacing w:line="360" w:lineRule="auto"/>
        <w:ind w:firstLine="699"/>
        <w:jc w:val="both"/>
        <w:rPr>
          <w:bCs/>
          <w:i/>
          <w:iCs/>
          <w:u w:val="single"/>
          <w:shd w:val="clear" w:color="auto" w:fill="FFFFFF"/>
        </w:rPr>
      </w:pPr>
      <w:r w:rsidRPr="00A56C81">
        <w:rPr>
          <w:bCs/>
          <w:i/>
          <w:iCs/>
          <w:u w:val="single"/>
          <w:shd w:val="clear" w:color="auto" w:fill="FFFFFF"/>
        </w:rPr>
        <w:t xml:space="preserve">Блокаторы Н2-гистаминовых рецепторов </w:t>
      </w:r>
    </w:p>
    <w:p w14:paraId="3719E315" w14:textId="77777777" w:rsidR="009D41F9" w:rsidRPr="00A56C81" w:rsidRDefault="009D41F9" w:rsidP="009D41F9">
      <w:r w:rsidRPr="00A56C81">
        <w:t xml:space="preserve">Секреторные реакции желудка при действии экзогенного или эндогенного гистамина реализуются через Н2-гистаминорецепторы. Блокаторы гистаминовых Н2-рецепторов являются конкурентными антагонистами гистамина и подавляют вызванную различными раздражителями секрецию соляной кислоты за счет вытеснения гистамина из связи с Н2-рецепторами париетальных клеток. Препараты этой группы поддерживают показатели внутрижелудочного рН &gt; 3 на протяжении суток. Применение Н2-блокаторов в течение 1-1,5 месяца приводит к рубцеванию язвенного дефекта у 70–80 % пациентов с дуоденальными язвами и у 55–60 % пациентов с язвами желудка. Тем не менее, после внедрения ИПП в клиническую практику в качестве базисной антисекреторной терапии, Н2-блокаторы применяются реже, главным образом при невозможности применения ИПП. </w:t>
      </w:r>
    </w:p>
    <w:p w14:paraId="77297C29" w14:textId="6E8F7847" w:rsidR="009D41F9" w:rsidRDefault="009D41F9" w:rsidP="009D41F9">
      <w:r w:rsidRPr="00A56C81">
        <w:t xml:space="preserve">В группу препаратов – блокаторов Н2-гистаминовых рецепторов входят ранитидин, фамотидин, применяемые во время проведения курсов противоопухолевой терапии, включающей системные ГКС, в указанных в таблице </w:t>
      </w:r>
      <w:r>
        <w:t>А3.3.</w:t>
      </w:r>
      <w:r w:rsidRPr="00A56C81">
        <w:t>2 дозах</w:t>
      </w:r>
      <w:r w:rsidRPr="0016000A">
        <w:t xml:space="preserve"> </w:t>
      </w:r>
      <w:r>
        <w:t xml:space="preserve"> </w:t>
      </w:r>
      <w:r>
        <w:fldChar w:fldCharType="begin" w:fldLock="1"/>
      </w:r>
      <w:r w:rsidR="00001BA0">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общества).","type":"article-journal","volume":"30"},"uris":["http://www.mendeley.com/documents/?uuid=858a1835-2f3b-419a-91b4-8a8e3ef10cc9"]},{"id":"ITEM-2","itemData":{"DOI":"10.1016/S2468-1253(18)30037-2","ISSN":"24681253","PMID":"29475806","abstract":"Background: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Hepatology","id":"ITEM-2","issue":"4","issued":{"date-parts":[["2018","4","1"]]},"page":"231-241","publisher":"Elsevier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id":"ITEM-3","itemData":{"author":[{"dropping-particle":"","family":"Poynard","given":"T.","non-dropping-particle":"","parse-names":false,"suffix":""},{"dropping-particle":"","family":"Lemaire","given":"M.","non-dropping-particle":"","parse-names":false,"suffix":""},{"dropping-particle":"","family":"Agostini","given":"H.","non-dropping-particle":"","parse-names":false,"suffix":""}],"container-title":"European Journal of Gastroenterology and Hepatology","id":"ITEM-3","issue":"7","issued":{"date-parts":[["1995"]]},"page":"661-665","title":"Meta-analysis of randomized clinical trials comparing lansoprazole with ranitidine or famotidine in the treatment of acute duodenal ulcer","type":"article-journal","volume":"7"},"uris":["http://www.mendeley.com/documents/?uuid=5db0b11d-6521-4aed-b5ed-29192f1bbc07"]}],"mendeley":{"formattedCitation":"[78,79,81]","plainTextFormattedCitation":"[78,79,81]","previouslyFormattedCitation":"[78,79,81]"},"properties":{"noteIndex":0},"schema":"https://github.com/citation-style-language/schema/raw/master/csl-citation.json"}</w:instrText>
      </w:r>
      <w:r>
        <w:fldChar w:fldCharType="separate"/>
      </w:r>
      <w:r w:rsidRPr="009D41F9">
        <w:rPr>
          <w:noProof/>
        </w:rPr>
        <w:t>[78,79,81]</w:t>
      </w:r>
      <w:r>
        <w:fldChar w:fldCharType="end"/>
      </w:r>
      <w:r w:rsidRPr="00A56C81">
        <w:t>.</w:t>
      </w:r>
    </w:p>
    <w:p w14:paraId="0D8D2171" w14:textId="77777777" w:rsidR="009D41F9" w:rsidRDefault="009D41F9" w:rsidP="009D41F9">
      <w:pPr>
        <w:rPr>
          <w:b/>
          <w:szCs w:val="24"/>
        </w:rPr>
      </w:pPr>
    </w:p>
    <w:p w14:paraId="7A4898EE" w14:textId="77777777" w:rsidR="009D41F9" w:rsidRPr="00F76AD4" w:rsidRDefault="009D41F9" w:rsidP="009D41F9">
      <w:pPr>
        <w:rPr>
          <w:bCs/>
        </w:rPr>
      </w:pPr>
      <w:r w:rsidRPr="00F76AD4">
        <w:rPr>
          <w:bCs/>
          <w:szCs w:val="24"/>
        </w:rPr>
        <w:t xml:space="preserve">Таблица 2 . Режим дозирования блокаторов Н2-гистаминовых рецепторов </w:t>
      </w:r>
    </w:p>
    <w:tbl>
      <w:tblPr>
        <w:tblStyle w:val="aff9"/>
        <w:tblW w:w="0" w:type="auto"/>
        <w:jc w:val="center"/>
        <w:tblLook w:val="04A0" w:firstRow="1" w:lastRow="0" w:firstColumn="1" w:lastColumn="0" w:noHBand="0" w:noVBand="1"/>
      </w:tblPr>
      <w:tblGrid>
        <w:gridCol w:w="1942"/>
        <w:gridCol w:w="2268"/>
        <w:gridCol w:w="3358"/>
      </w:tblGrid>
      <w:tr w:rsidR="009D41F9" w:rsidRPr="00C96416" w14:paraId="1F70A83A" w14:textId="77777777" w:rsidTr="002D3EBF">
        <w:trPr>
          <w:jc w:val="center"/>
        </w:trPr>
        <w:tc>
          <w:tcPr>
            <w:tcW w:w="1942" w:type="dxa"/>
          </w:tcPr>
          <w:p w14:paraId="4E1FDB18" w14:textId="77777777" w:rsidR="009D41F9" w:rsidRPr="00C96416" w:rsidRDefault="009D41F9" w:rsidP="002D3EBF">
            <w:pPr>
              <w:tabs>
                <w:tab w:val="left" w:pos="0"/>
              </w:tabs>
              <w:ind w:firstLine="0"/>
              <w:rPr>
                <w:b/>
                <w:szCs w:val="24"/>
                <w:lang w:eastAsia="ru-RU"/>
              </w:rPr>
            </w:pPr>
            <w:r w:rsidRPr="00C96416">
              <w:rPr>
                <w:b/>
                <w:szCs w:val="24"/>
                <w:lang w:eastAsia="ru-RU"/>
              </w:rPr>
              <w:t>Препараты</w:t>
            </w:r>
          </w:p>
        </w:tc>
        <w:tc>
          <w:tcPr>
            <w:tcW w:w="2268" w:type="dxa"/>
          </w:tcPr>
          <w:p w14:paraId="372512A4" w14:textId="77777777" w:rsidR="009D41F9" w:rsidRPr="00C96416" w:rsidRDefault="009D41F9" w:rsidP="002D3EBF">
            <w:pPr>
              <w:tabs>
                <w:tab w:val="left" w:pos="0"/>
              </w:tabs>
              <w:ind w:firstLine="0"/>
              <w:rPr>
                <w:b/>
                <w:szCs w:val="24"/>
                <w:lang w:eastAsia="ru-RU"/>
              </w:rPr>
            </w:pPr>
            <w:r w:rsidRPr="00C96416">
              <w:rPr>
                <w:b/>
                <w:szCs w:val="24"/>
                <w:lang w:eastAsia="ru-RU"/>
              </w:rPr>
              <w:t xml:space="preserve">Суточная </w:t>
            </w:r>
            <w:r>
              <w:rPr>
                <w:b/>
                <w:szCs w:val="24"/>
                <w:lang w:eastAsia="ru-RU"/>
              </w:rPr>
              <w:t>д</w:t>
            </w:r>
            <w:r w:rsidRPr="00C96416">
              <w:rPr>
                <w:b/>
                <w:szCs w:val="24"/>
                <w:lang w:eastAsia="ru-RU"/>
              </w:rPr>
              <w:t>оза, мг</w:t>
            </w:r>
          </w:p>
        </w:tc>
        <w:tc>
          <w:tcPr>
            <w:tcW w:w="3358" w:type="dxa"/>
          </w:tcPr>
          <w:p w14:paraId="2448FF23" w14:textId="77777777" w:rsidR="009D41F9" w:rsidRPr="00C96416" w:rsidRDefault="009D41F9" w:rsidP="002D3EBF">
            <w:pPr>
              <w:tabs>
                <w:tab w:val="left" w:pos="0"/>
              </w:tabs>
              <w:ind w:firstLine="0"/>
              <w:rPr>
                <w:b/>
                <w:szCs w:val="24"/>
                <w:lang w:eastAsia="ru-RU"/>
              </w:rPr>
            </w:pPr>
            <w:r w:rsidRPr="00C96416">
              <w:rPr>
                <w:b/>
                <w:szCs w:val="24"/>
                <w:lang w:eastAsia="ru-RU"/>
              </w:rPr>
              <w:t>Режим дозирования</w:t>
            </w:r>
          </w:p>
        </w:tc>
      </w:tr>
      <w:tr w:rsidR="009D41F9" w:rsidRPr="00C96416" w14:paraId="017A826E" w14:textId="77777777" w:rsidTr="002D3EBF">
        <w:trPr>
          <w:jc w:val="center"/>
        </w:trPr>
        <w:tc>
          <w:tcPr>
            <w:tcW w:w="1942" w:type="dxa"/>
          </w:tcPr>
          <w:p w14:paraId="3FF269A0" w14:textId="77777777" w:rsidR="009D41F9" w:rsidRPr="00C96416" w:rsidRDefault="009D41F9" w:rsidP="002D3EBF">
            <w:pPr>
              <w:tabs>
                <w:tab w:val="left" w:pos="0"/>
              </w:tabs>
              <w:ind w:firstLine="0"/>
              <w:rPr>
                <w:szCs w:val="24"/>
                <w:lang w:eastAsia="ru-RU"/>
              </w:rPr>
            </w:pPr>
            <w:r>
              <w:rPr>
                <w:szCs w:val="24"/>
                <w:lang w:eastAsia="ru-RU"/>
              </w:rPr>
              <w:t>Ранитидин</w:t>
            </w:r>
          </w:p>
        </w:tc>
        <w:tc>
          <w:tcPr>
            <w:tcW w:w="2268" w:type="dxa"/>
          </w:tcPr>
          <w:p w14:paraId="51CAED93" w14:textId="77777777" w:rsidR="009D41F9" w:rsidRPr="00C96416" w:rsidRDefault="009D41F9" w:rsidP="002D3EBF">
            <w:pPr>
              <w:tabs>
                <w:tab w:val="left" w:pos="0"/>
              </w:tabs>
              <w:rPr>
                <w:szCs w:val="24"/>
                <w:lang w:eastAsia="ru-RU"/>
              </w:rPr>
            </w:pPr>
            <w:r>
              <w:rPr>
                <w:szCs w:val="24"/>
                <w:lang w:eastAsia="ru-RU"/>
              </w:rPr>
              <w:t>150</w:t>
            </w:r>
          </w:p>
        </w:tc>
        <w:tc>
          <w:tcPr>
            <w:tcW w:w="3358" w:type="dxa"/>
          </w:tcPr>
          <w:p w14:paraId="7109010F" w14:textId="77777777" w:rsidR="009D41F9" w:rsidRPr="00C96416" w:rsidRDefault="009D41F9" w:rsidP="002D3EBF">
            <w:pPr>
              <w:tabs>
                <w:tab w:val="left" w:pos="0"/>
              </w:tabs>
              <w:ind w:firstLine="0"/>
              <w:rPr>
                <w:szCs w:val="24"/>
                <w:lang w:eastAsia="ru-RU"/>
              </w:rPr>
            </w:pPr>
            <w:r>
              <w:rPr>
                <w:szCs w:val="24"/>
                <w:lang w:eastAsia="ru-RU"/>
              </w:rPr>
              <w:t>Внутрь, 1 раз в сутки, на ночь</w:t>
            </w:r>
          </w:p>
        </w:tc>
      </w:tr>
      <w:tr w:rsidR="009D41F9" w:rsidRPr="00C96416" w14:paraId="2FF30D4E" w14:textId="77777777" w:rsidTr="002D3EBF">
        <w:trPr>
          <w:jc w:val="center"/>
        </w:trPr>
        <w:tc>
          <w:tcPr>
            <w:tcW w:w="1942" w:type="dxa"/>
          </w:tcPr>
          <w:p w14:paraId="53EA71AE" w14:textId="77777777" w:rsidR="009D41F9" w:rsidRPr="00C96416" w:rsidRDefault="009D41F9" w:rsidP="002D3EBF">
            <w:pPr>
              <w:tabs>
                <w:tab w:val="left" w:pos="0"/>
              </w:tabs>
              <w:ind w:firstLine="0"/>
              <w:rPr>
                <w:szCs w:val="24"/>
                <w:lang w:eastAsia="ru-RU"/>
              </w:rPr>
            </w:pPr>
            <w:r>
              <w:rPr>
                <w:szCs w:val="24"/>
                <w:lang w:eastAsia="ru-RU"/>
              </w:rPr>
              <w:t>Фамотидин</w:t>
            </w:r>
          </w:p>
        </w:tc>
        <w:tc>
          <w:tcPr>
            <w:tcW w:w="2268" w:type="dxa"/>
          </w:tcPr>
          <w:p w14:paraId="6417F122" w14:textId="77777777" w:rsidR="009D41F9" w:rsidRPr="00C96416" w:rsidRDefault="009D41F9" w:rsidP="002D3EBF">
            <w:pPr>
              <w:tabs>
                <w:tab w:val="left" w:pos="0"/>
              </w:tabs>
              <w:rPr>
                <w:szCs w:val="24"/>
                <w:lang w:eastAsia="ru-RU"/>
              </w:rPr>
            </w:pPr>
            <w:r>
              <w:rPr>
                <w:szCs w:val="24"/>
                <w:lang w:eastAsia="ru-RU"/>
              </w:rPr>
              <w:t>2</w:t>
            </w:r>
            <w:r w:rsidRPr="00C96416">
              <w:rPr>
                <w:szCs w:val="24"/>
                <w:lang w:eastAsia="ru-RU"/>
              </w:rPr>
              <w:t xml:space="preserve">0 </w:t>
            </w:r>
          </w:p>
        </w:tc>
        <w:tc>
          <w:tcPr>
            <w:tcW w:w="3358" w:type="dxa"/>
          </w:tcPr>
          <w:p w14:paraId="058A9141" w14:textId="77777777" w:rsidR="009D41F9" w:rsidRDefault="009D41F9" w:rsidP="002D3EBF">
            <w:pPr>
              <w:ind w:firstLine="0"/>
            </w:pPr>
            <w:r w:rsidRPr="00826EC3">
              <w:rPr>
                <w:szCs w:val="24"/>
                <w:lang w:eastAsia="ru-RU"/>
              </w:rPr>
              <w:t>Внутрь, 1 раз в сутки</w:t>
            </w:r>
            <w:r>
              <w:rPr>
                <w:szCs w:val="24"/>
                <w:lang w:eastAsia="ru-RU"/>
              </w:rPr>
              <w:t>, на ночь</w:t>
            </w:r>
          </w:p>
        </w:tc>
      </w:tr>
    </w:tbl>
    <w:p w14:paraId="1A524700" w14:textId="77777777" w:rsidR="009D41F9" w:rsidRPr="007C2EE2" w:rsidRDefault="009D41F9" w:rsidP="009D41F9">
      <w:pPr>
        <w:pStyle w:val="afe"/>
        <w:tabs>
          <w:tab w:val="left" w:pos="0"/>
        </w:tabs>
        <w:ind w:left="0" w:firstLine="567"/>
        <w:rPr>
          <w:szCs w:val="24"/>
        </w:rPr>
      </w:pPr>
    </w:p>
    <w:p w14:paraId="5A582D32" w14:textId="4EADB71F" w:rsidR="00001BA0" w:rsidRPr="00001BA0" w:rsidRDefault="009D41F9" w:rsidP="00001BA0">
      <w:pPr>
        <w:pStyle w:val="2"/>
        <w:spacing w:before="0"/>
      </w:pPr>
      <w:r>
        <w:rPr>
          <w:lang w:eastAsia="ru-RU" w:bidi="ru-RU"/>
        </w:rPr>
        <w:br w:type="page"/>
      </w:r>
      <w:bookmarkStart w:id="119" w:name="_Toc66184344"/>
      <w:r w:rsidR="00750B12" w:rsidRPr="00FE2263">
        <w:t>Приложение А3.</w:t>
      </w:r>
      <w:r w:rsidR="00750B12">
        <w:t xml:space="preserve">5. </w:t>
      </w:r>
      <w:r w:rsidR="00001BA0" w:rsidRPr="00CC66C1">
        <w:t>Инфузионная терапия у гематологических пациентов</w:t>
      </w:r>
      <w:bookmarkEnd w:id="119"/>
    </w:p>
    <w:p w14:paraId="13961249" w14:textId="77777777" w:rsidR="00001BA0" w:rsidRPr="00CC66C1" w:rsidRDefault="00001BA0" w:rsidP="00001BA0">
      <w:pPr>
        <w:rPr>
          <w:rFonts w:cs="Times New Roman"/>
          <w:szCs w:val="24"/>
        </w:rPr>
      </w:pPr>
      <w:r w:rsidRPr="00CC66C1">
        <w:rPr>
          <w:rFonts w:cs="Times New Roman"/>
          <w:szCs w:val="24"/>
        </w:rPr>
        <w:t>Особое место в сопроводительной терапии пациентов с онкогематологическими заболеваниями занимает инфузионная терапия (ИТ). Она используется почти у всех пациентов, находящихся на стационарном лечении. Однако некорректное ее применение может приводить к тяжелым осложнениям. Инфузионные растворы должны рассматриваться как лекарственные препараты со своими показаниями и противопоказаниями. Необходим обоснованный выбор типа раствора, его количества и темпа введения. Несмотря на накопленный опыт использования ИТ (первое сообщение о применении внутривенной инфузии раствора солей у больных холерой появилось почти 200 лет назад), концепции и схемы ИТ продолжают развиваться.</w:t>
      </w:r>
    </w:p>
    <w:p w14:paraId="7F483DCD" w14:textId="77777777" w:rsidR="00001BA0" w:rsidRPr="00CC66C1" w:rsidRDefault="00001BA0" w:rsidP="00001BA0">
      <w:pPr>
        <w:rPr>
          <w:rFonts w:cs="Times New Roman"/>
          <w:szCs w:val="24"/>
        </w:rPr>
      </w:pPr>
      <w:r w:rsidRPr="00CC66C1">
        <w:rPr>
          <w:rFonts w:cs="Times New Roman"/>
          <w:szCs w:val="24"/>
        </w:rPr>
        <w:t>ИТ в гематологии используется для решения таких задач, как создание гемоделюции и форсированного диуреза для профилактики синдрома лизиса опухоли, возмещение жидкостных потерь в результате диареи, лихорадки, сепсиса, кровотечения, депонирования в полостях организма и коррекция электролитных расстройств.</w:t>
      </w:r>
    </w:p>
    <w:p w14:paraId="1177E606" w14:textId="77777777" w:rsidR="00001BA0" w:rsidRDefault="00001BA0" w:rsidP="00001BA0">
      <w:pPr>
        <w:rPr>
          <w:rFonts w:cs="Times New Roman"/>
          <w:i/>
          <w:szCs w:val="24"/>
        </w:rPr>
      </w:pPr>
    </w:p>
    <w:p w14:paraId="3FC03418" w14:textId="77777777" w:rsidR="00001BA0" w:rsidRPr="00CC66C1" w:rsidRDefault="00001BA0" w:rsidP="00001BA0">
      <w:pPr>
        <w:rPr>
          <w:rFonts w:cs="Times New Roman"/>
          <w:i/>
          <w:szCs w:val="24"/>
          <w:u w:val="single"/>
        </w:rPr>
      </w:pPr>
      <w:r w:rsidRPr="00CC66C1">
        <w:rPr>
          <w:rFonts w:cs="Times New Roman"/>
          <w:i/>
          <w:szCs w:val="24"/>
          <w:u w:val="single"/>
        </w:rPr>
        <w:t>Виды инфузионных растворов</w:t>
      </w:r>
    </w:p>
    <w:p w14:paraId="4B9B543C" w14:textId="77777777" w:rsidR="00001BA0" w:rsidRPr="00CC66C1" w:rsidRDefault="00001BA0" w:rsidP="00001BA0">
      <w:pPr>
        <w:rPr>
          <w:rFonts w:cs="Times New Roman"/>
          <w:szCs w:val="24"/>
        </w:rPr>
      </w:pPr>
      <w:r w:rsidRPr="00CC66C1">
        <w:rPr>
          <w:rFonts w:cs="Times New Roman"/>
          <w:szCs w:val="24"/>
        </w:rPr>
        <w:t xml:space="preserve">Кристаллоиды и коллоиды – два основных типа растворов, которые используются для ИТ в медицине. Кристаллоиды – это растворы солей и глюкозы, которые могут легко премещаться за пределы сосудистого русла посредством диффузии в отличие от коллоидов, представляющие собой растворы крупных молекул (гидроксиэтилкрахмала (ГЭК), альбумина), благодаря которым после инфузии преимущественно остаются в русле и увеличивают коллоидно-осмотическое давление, тем самым удерживая жидкость в просвете сосуда. Однако коллоидные растворы (в частности растворы ГЭК первого и второго поколения) обладают более широким спектром побочных эффектов: нефротоксичность, способность вызывать гипокоагуляцию. Поэтому высокая способность удерживать жидкость в сосудистом русле в сочетании с потенциальной опасностью у коллоидов против низкой коллоидно-осмотической способности и относительной безопасности кристаллоидов являются предметом спора в выборе наилучшего типа раствора для инфузии. Но коллоиды и кристаллоиды не являются взаимоисключающими растворами, а используются в различных клинических ситуациях. Преимущественно для поддерживающей ИТ и при коррекции </w:t>
      </w:r>
      <w:r w:rsidRPr="00CC66C1">
        <w:rPr>
          <w:rFonts w:cs="Times New Roman"/>
          <w:i/>
          <w:szCs w:val="24"/>
        </w:rPr>
        <w:t>дегидратации</w:t>
      </w:r>
      <w:r w:rsidRPr="00CC66C1">
        <w:rPr>
          <w:rFonts w:cs="Times New Roman"/>
          <w:szCs w:val="24"/>
        </w:rPr>
        <w:t xml:space="preserve"> в результате потери жидкости с перспирацией, лихорадкой, диареей, когда обезвоживаются все жидкостные пространства организма (сосудистое русло, интерстиций, внутриклеточная жидкость) используют сбалансированные кристаллоидные растворы. В экстренных ситуациях, например при массивном кровотечении (</w:t>
      </w:r>
      <w:r w:rsidRPr="00CC66C1">
        <w:rPr>
          <w:rFonts w:cs="Times New Roman"/>
          <w:i/>
          <w:szCs w:val="24"/>
        </w:rPr>
        <w:t>гиповолемия</w:t>
      </w:r>
      <w:r w:rsidRPr="00CC66C1">
        <w:rPr>
          <w:rFonts w:cs="Times New Roman"/>
          <w:szCs w:val="24"/>
        </w:rPr>
        <w:t>), когда требуется быстрое восполнение объема циркулирующей крови для поддержания гемодинамики и, соответственно, доставки кислорода тканям, используют комбинацию коллоидных и кристаллоидных растворов.</w:t>
      </w:r>
    </w:p>
    <w:p w14:paraId="20FB61A2" w14:textId="460C0ED4" w:rsidR="00001BA0" w:rsidRPr="00CC66C1" w:rsidRDefault="00001BA0" w:rsidP="00001BA0">
      <w:pPr>
        <w:rPr>
          <w:rFonts w:cs="Times New Roman"/>
          <w:szCs w:val="24"/>
        </w:rPr>
      </w:pPr>
      <w:r w:rsidRPr="00CC66C1">
        <w:rPr>
          <w:rFonts w:cs="Times New Roman"/>
          <w:i/>
          <w:szCs w:val="24"/>
        </w:rPr>
        <w:t xml:space="preserve">Изотонический 0,9% раствор натрия хлорида (0,9% </w:t>
      </w:r>
      <w:r w:rsidRPr="00CC66C1">
        <w:rPr>
          <w:rFonts w:cs="Times New Roman"/>
          <w:i/>
          <w:szCs w:val="24"/>
          <w:lang w:val="en-US"/>
        </w:rPr>
        <w:t>NaCl</w:t>
      </w:r>
      <w:r w:rsidRPr="00CC66C1">
        <w:rPr>
          <w:rFonts w:cs="Times New Roman"/>
          <w:i/>
          <w:szCs w:val="24"/>
        </w:rPr>
        <w:t>),</w:t>
      </w:r>
      <w:r w:rsidRPr="00CC66C1">
        <w:rPr>
          <w:rFonts w:cs="Times New Roman"/>
          <w:szCs w:val="24"/>
        </w:rPr>
        <w:t xml:space="preserve"> который исторически принято было называть физиологическим, таковым не является. Это связано с его высокой концентрацией ионов натрия 154 ммоль/л и хлорида 154 ммоль/л, что выше, чем в плазме здорового человека (см. таб. 1), и с отсутствием буфера. Поэтому инфузия изотонического раствора хлорида натрия может привести к гиперхлоремическому метаболическому ацидозу с развитием хлорид-индуцированного спазма почечных капилляров с последующей острой почечной недостаточностью</w:t>
      </w:r>
      <w:r w:rsidRPr="0048699E">
        <w:rPr>
          <w:rFonts w:cs="Times New Roman"/>
          <w:szCs w:val="24"/>
        </w:rPr>
        <w:t xml:space="preserve"> </w:t>
      </w:r>
      <w:r w:rsidRPr="00CC66C1">
        <w:rPr>
          <w:rFonts w:cs="Times New Roman"/>
          <w:szCs w:val="24"/>
        </w:rPr>
        <w:fldChar w:fldCharType="begin" w:fldLock="1"/>
      </w:r>
      <w:r w:rsidR="00947134">
        <w:rPr>
          <w:rFonts w:cs="Times New Roman"/>
          <w:szCs w:val="24"/>
        </w:rPr>
        <w:instrText>ADDIN CSL_CITATION {"citationItems":[{"id":"ITEM-1","itemData":{"DOI":"10.1001/jama.2015.12334","ISSN":"15383598","abstract":"IMPORTANCE: Saline (0.9% sodium chloride) is the most commonly administered intravenous fluid; however, its use may be associated with acute kidney injury (AKI) and increased mortality. OBJECTIVE: To determine the effect of a buffered crystalloid compared with saline on renal complications in patients admitted to the intensive care unit (ICU). DESIGN AND SETTING: Double-blind, cluster randomized, double-crossover trial conducted in 4 ICUs in New Zealand from April 2014 through October 2014. Three ICUs were general medical and surgical ICUs; 1ICU had a predominance of cardiothoracic and vascular surgical patients. PARTICIPANTS: All patients admitted to the ICU requiring crystalloid fluid therapy were eligible for inclusion. Patients with established AKI requiring renal replacement therapy (RRT) were excluded. All 2278 eligible patients were enrolled; 1152 of 1162 patients (99.1%) receiving buffered crystalloid and 1110 of 1116 patients (99.5%) receiving saline were analyzed. INTERVENTIONS: Participating ICUs were assigned a masked study fluid, either saline or a buffered crystalloid, for alternating 7-week treatment blocks. Two ICUs commenced using 1 fluid and the other 2 commenced using the alternative fluid. Two crossovers occurred so that each ICU used each fluid twice over the 28 weeks of the study. The treating clinician determined the rate and frequency of fluid administration. MAIN OUTCOMES AND MEASURES: The primary outcome was proportion of patients with AKI (defined as a rise in serum creatinine level of at least 2-fold or a serum creatinine level of ≥3.96 mg/dL with an increase of ≥0.5 mg/dL); main secondary outcomes were incidence of RRT use and in-hospital mortality. RESULTS: In the buffered crystalloid group, 102 of 1067 patients (9.6%) developed AKI within 90 days after enrollment compared with 94 of 1025 patients (9.2%) in the saline group (absolute difference, 0.4% [95% CI, -2.1% to 2.9%]; relative risk [RR], 1.04 [95% CI, 0.80 to 1.36]; P =.77). In the buffered crystalloid group, RRT was used in 38 of 1152 patients (3.3%) compared with 38 of 1110 patients (3.4%) in the saline group (absolute difference, -0.1% [95% CI, -1.6% to 1.4%]; RR, 0.96 [95% CI, 0.62 to 1.50]; P =.91). Overall, 87 of 1152 patients (7.6%) in the buffered crystalloid group and 95 of 1110 patients (8.6%) in the saline group died in the hospital (absolute difference, -1.0% [95% CI, -3.3% to 1.2%]; RR, 0.88 [95% CI, 0.67 to 1.17]; P=.40). CONCLUSIONS AND RELEVANCE: Amon…","author":[{"dropping-particle":"","family":"Young","given":"Paul","non-dropping-particle":"","parse-names":false,"suffix":""},{"dropping-particle":"","family":"Bailey","given":"Michael","non-dropping-particle":"","parse-names":false,"suffix":""},{"dropping-particle":"","family":"Beasley","given":"Richard","non-dropping-particle":"","parse-names":false,"suffix":""},{"dropping-particle":"","family":"Henderson","given":"Seton","non-dropping-particle":"","parse-names":false,"suffix":""},{"dropping-particle":"","family":"Mackle","given":"Diane","non-dropping-particle":"","parse-names":false,"suffix":""},{"dropping-particle":"","family":"McArthur","given":"Colin","non-dropping-particle":"","parse-names":false,"suffix":""},{"dropping-particle":"","family":"McGuinness","given":"Shay","non-dropping-particle":"","parse-names":false,"suffix":""},{"dropping-particle":"","family":"Mehrtens","given":"Jan","non-dropping-particle":"","parse-names":false,"suffix":""},{"dropping-particle":"","family":"Myburgh","given":"John","non-dropping-particle":"","parse-names":false,"suffix":""},{"dropping-particle":"","family":"Psirides","given":"Alex","non-dropping-particle":"","parse-names":false,"suffix":""},{"dropping-particle":"","family":"Reddy","given":"Sumeet","non-dropping-particle":"","parse-names":false,"suffix":""},{"dropping-particle":"","family":"Bellomo","given":"Rinaldo","non-dropping-particle":"","parse-names":false,"suffix":""},{"dropping-particle":"","family":"Hunt","given":"Anna","non-dropping-particle":"","parse-names":false,"suffix":""},{"dropping-particle":"","family":"Hurford","given":"Sally","non-dropping-particle":"","parse-names":false,"suffix":""},{"dropping-particle":"","family":"Navarra","given":"Leanlove","non-dropping-particle":"","parse-names":false,"suffix":""},{"dropping-particle":"","family":"Jason-Smith","given":"Adelaide","non-dropping-particle":"","parse-names":false,"suffix":""},{"dropping-particle":"","family":"Andrews","given":"Lynn","non-dropping-particle":"","parse-names":false,"suffix":""},{"dropping-particle":"","family":"Hitchings","given":"Louise","non-dropping-particle":"","parse-names":false,"suffix":""},{"dropping-particle":"","family":"Closey","given":"David","non-dropping-particle":"","parse-names":false,"suffix":""},{"dropping-particle":"","family":"Parker","given":"Kim","non-dropping-particle":"","parse-names":false,"suffix":""},{"dropping-particle":"","family":"Minto","given":"Emmeline","non-dropping-particle":"","parse-names":false,"suffix":""},{"dropping-particle":"","family":"Morris","given":"Anna","non-dropping-particle":"","parse-names":false,"suffix":""},{"dropping-particle":"","family":"McConnochie","given":"Rachael","non-dropping-particle":"","parse-names":false,"suffix":""},{"dropping-particle":"","family":"Chen","given":"Yan","non-dropping-particle":"","parse-names":false,"suffix":""},{"dropping-particle":"","family":"Newby","given":"Lynette","non-dropping-particle":"","parse-names":false,"suffix":""},{"dropping-particle":"","family":"Parke","given":"Rachael","non-dropping-particle":"","parse-names":false,"suffix":""},{"dropping-particle":"","family":"McCarthy","given":"Lianne","non-dropping-particle":"","parse-names":false,"suffix":""},{"dropping-particle":"","family":"Gilder","given":"Eileen","non-dropping-particle":"","parse-names":false,"suffix":""},{"dropping-particle":"","family":"Lammert","given":"Andrea","non-dropping-particle":"","parse-names":false,"suffix":""},{"dropping-particle":"","family":"Long","given":"Stephanie","non-dropping-particle":"","parse-names":false,"suffix":""},{"dropping-particle":"","family":"Cowdrey","given":"Keri Anne","non-dropping-particle":"","parse-names":false,"suffix":""},{"dropping-particle":"","family":"Perner","given":"Anders","non-dropping-particle":"","parse-names":false,"suffix":""},{"dropping-particle":"","family":"Morgan","given":"John","non-dropping-particle":"","parse-names":false,"suffix":""},{"dropping-particle":"","family":"Forbes","given":"Andrew","non-dropping-particle":"","parse-names":false,"suffix":""}],"container-title":"JAMA - Journal of the American Medical Association","id":"ITEM-1","issue":"16","issued":{"date-parts":[["2015","10"]]},"page":"1701-1710","publisher":"American Medical Association","title":"Effect of a buffered crystalloid solution vs saline on acute kidney injury among patients in the intensive care unit: The SPLIT randomized clinical trial","type":"article-journal","volume":"314"},"uris":["http://www.mendeley.com/documents/?uuid=2c88c5d9-bfcc-3520-b6bd-db50c835be5e","http://www.mendeley.com/documents/?uuid=14481e58-7f37-4980-972f-c16576e0318f"]}],"mendeley":{"formattedCitation":"[82]","plainTextFormattedCitation":"[82]","previouslyFormattedCitation":"[82]"},"properties":{"noteIndex":0},"schema":"https://github.com/citation-style-language/schema/raw/master/csl-citation.json"}</w:instrText>
      </w:r>
      <w:r w:rsidRPr="00CC66C1">
        <w:rPr>
          <w:rFonts w:cs="Times New Roman"/>
          <w:szCs w:val="24"/>
        </w:rPr>
        <w:fldChar w:fldCharType="end"/>
      </w:r>
      <w:r w:rsidR="004F29A0">
        <w:rPr>
          <w:rFonts w:cs="Times New Roman"/>
          <w:szCs w:val="24"/>
        </w:rPr>
        <w:t>[82][82][82]</w:t>
      </w:r>
      <w:r w:rsidR="003B39A6">
        <w:rPr>
          <w:rFonts w:cs="Times New Roman"/>
          <w:szCs w:val="24"/>
        </w:rPr>
        <w:t>[82][82]</w:t>
      </w:r>
      <w:r w:rsidR="00E83B26">
        <w:rPr>
          <w:rFonts w:cs="Times New Roman"/>
          <w:szCs w:val="24"/>
        </w:rPr>
        <w:t>[82]</w:t>
      </w:r>
      <w:r w:rsidR="00844875">
        <w:rPr>
          <w:rFonts w:cs="Times New Roman"/>
          <w:szCs w:val="24"/>
        </w:rPr>
        <w:t>[82]</w:t>
      </w:r>
      <w:r w:rsidR="00CE1363">
        <w:rPr>
          <w:rFonts w:cs="Times New Roman"/>
          <w:szCs w:val="24"/>
        </w:rPr>
        <w:t>[82]</w:t>
      </w:r>
      <w:r w:rsidR="00947134">
        <w:rPr>
          <w:rFonts w:cs="Times New Roman"/>
          <w:szCs w:val="24"/>
        </w:rPr>
        <w:t>[82]</w:t>
      </w:r>
      <w:r>
        <w:rPr>
          <w:rFonts w:cs="Times New Roman"/>
          <w:szCs w:val="24"/>
        </w:rPr>
        <w:t>[82][1]</w:t>
      </w:r>
      <w:r w:rsidRPr="00CC66C1">
        <w:rPr>
          <w:rFonts w:cs="Times New Roman"/>
          <w:szCs w:val="24"/>
        </w:rPr>
        <w:t xml:space="preserve">. </w:t>
      </w:r>
    </w:p>
    <w:p w14:paraId="66DD438A" w14:textId="77777777" w:rsidR="00001BA0" w:rsidRPr="00CC66C1" w:rsidRDefault="00001BA0" w:rsidP="00001BA0">
      <w:pPr>
        <w:rPr>
          <w:rFonts w:cs="Times New Roman"/>
          <w:szCs w:val="24"/>
        </w:rPr>
      </w:pPr>
      <w:r w:rsidRPr="00CC66C1">
        <w:rPr>
          <w:rFonts w:cs="Times New Roman"/>
          <w:szCs w:val="24"/>
        </w:rPr>
        <w:t xml:space="preserve">Введение 1000 мл 0,9% натрия хлорида увеличивает объем плазмы на 275 мл, а интерстициальной жидкости на 875 мл,  суммарно 1100 мл  (на 100 мл больше за счет диффузии воды из внутриклеточного пространства в интерстиций под действием концентрационного градиента, который создается ионами </w:t>
      </w:r>
      <w:r w:rsidRPr="00CC66C1">
        <w:rPr>
          <w:rFonts w:cs="Times New Roman"/>
          <w:szCs w:val="24"/>
          <w:lang w:val="en-US"/>
        </w:rPr>
        <w:t>Na</w:t>
      </w:r>
      <w:r w:rsidRPr="00CC66C1">
        <w:rPr>
          <w:rFonts w:cs="Times New Roman"/>
          <w:szCs w:val="24"/>
        </w:rPr>
        <w:t xml:space="preserve">).   Принимая во внимание побочные эффекты, следует избегать использования 0,9% </w:t>
      </w:r>
      <w:r w:rsidRPr="00CC66C1">
        <w:rPr>
          <w:rFonts w:cs="Times New Roman"/>
          <w:szCs w:val="24"/>
          <w:lang w:val="en-US"/>
        </w:rPr>
        <w:t>NaCl</w:t>
      </w:r>
      <w:r w:rsidRPr="00CC66C1">
        <w:rPr>
          <w:rFonts w:cs="Times New Roman"/>
          <w:szCs w:val="24"/>
        </w:rPr>
        <w:t xml:space="preserve"> для ИТ и применять его в качестве растворителя для фармакологических препаратов. </w:t>
      </w:r>
    </w:p>
    <w:p w14:paraId="5174EE1B" w14:textId="77777777" w:rsidR="00001BA0" w:rsidRPr="00CC66C1" w:rsidRDefault="00001BA0" w:rsidP="00001BA0">
      <w:pPr>
        <w:rPr>
          <w:rFonts w:cs="Times New Roman"/>
          <w:szCs w:val="24"/>
        </w:rPr>
      </w:pPr>
      <w:r w:rsidRPr="00CC66C1">
        <w:rPr>
          <w:rFonts w:cs="Times New Roman"/>
          <w:i/>
          <w:szCs w:val="24"/>
        </w:rPr>
        <w:t>Сбалансированные кристаллоидные растворы (Стерофундин, Плазмалит, Рингер-лактат (таб.1))</w:t>
      </w:r>
      <w:r w:rsidRPr="00CC66C1">
        <w:rPr>
          <w:rFonts w:cs="Times New Roman"/>
          <w:szCs w:val="24"/>
        </w:rPr>
        <w:t xml:space="preserve"> обладают меньшим количеством побочных эффектов за счет снижения концентрации ионов натрия и добавления буфера в раствор, что частично решает проблемы периферических отеков: низкая концентрация ионов натрия в растворе не создает градиент для диффузии воды из внутриклеточного пространства, как это происходит при использовании 0,9% натрия хлорида, а находящийся в растворе  буфер предотвращает развитие ацидоза. Однако раствор Рингер-лактата</w:t>
      </w:r>
      <w:r w:rsidRPr="00CC66C1">
        <w:rPr>
          <w:rFonts w:cs="Times New Roman"/>
          <w:i/>
          <w:szCs w:val="24"/>
        </w:rPr>
        <w:t xml:space="preserve"> </w:t>
      </w:r>
      <w:r w:rsidRPr="00CC66C1">
        <w:rPr>
          <w:rFonts w:cs="Times New Roman"/>
          <w:szCs w:val="24"/>
        </w:rPr>
        <w:t xml:space="preserve">является гипоосмолярным – 256 ммоль/л, что делает его непригодным для использования у пациентов с отеком головного мозга. В настоящее время раствор Рингер-лактата успешно применяется для коррекции гипернатриемии, инфузионной терапии во время лечения сепсиса, панкреатита и др. </w:t>
      </w:r>
    </w:p>
    <w:p w14:paraId="0DDF6E02" w14:textId="77777777" w:rsidR="00001BA0" w:rsidRPr="00CC66C1" w:rsidRDefault="00001BA0" w:rsidP="00001BA0">
      <w:pPr>
        <w:rPr>
          <w:rFonts w:cs="Times New Roman"/>
          <w:szCs w:val="24"/>
        </w:rPr>
      </w:pPr>
      <w:r w:rsidRPr="00CC66C1">
        <w:rPr>
          <w:rFonts w:cs="Times New Roman"/>
          <w:szCs w:val="24"/>
        </w:rPr>
        <w:t xml:space="preserve">Следует помнить, что у пациентов с циркуляторным шоком (тканевой гипоксией) и с заболеваниями печени лактат из раствора не будет метаболизироваться в анаэробных условиях до бикарбоната, что может приводить к гиперлактатаемии. Следует ограничивать проведение ИТ раствором Рингер-лактата у пациентов с циркуляторным шоком. Необходимо с осторожностью использовать раствор Рингер – Лактата для разведения эритроцитарной массы, так как находящийся в растворе кальций может связать цитрат (антикоагулянт для компонентов крови) и вызвать образование сгустков крови в пакете с компонентами крови.  </w:t>
      </w:r>
    </w:p>
    <w:p w14:paraId="4F8C014B" w14:textId="77777777" w:rsidR="00001BA0" w:rsidRPr="00CC66C1" w:rsidRDefault="00001BA0" w:rsidP="00001BA0">
      <w:pPr>
        <w:ind w:firstLine="708"/>
        <w:rPr>
          <w:rFonts w:cs="Times New Roman"/>
          <w:szCs w:val="24"/>
        </w:rPr>
      </w:pPr>
      <w:r w:rsidRPr="00CC66C1">
        <w:rPr>
          <w:rFonts w:cs="Times New Roman"/>
          <w:szCs w:val="24"/>
        </w:rPr>
        <w:t xml:space="preserve">Современные растворы, такие как </w:t>
      </w:r>
      <w:r w:rsidRPr="00CC66C1">
        <w:rPr>
          <w:rFonts w:cs="Times New Roman"/>
          <w:i/>
          <w:szCs w:val="24"/>
        </w:rPr>
        <w:t>Стерофундин, Плазмалит</w:t>
      </w:r>
      <w:r w:rsidRPr="00CC66C1">
        <w:rPr>
          <w:rFonts w:cs="Times New Roman"/>
          <w:szCs w:val="24"/>
        </w:rPr>
        <w:t xml:space="preserve"> и др.,  содержат в себе меньшую концентрацию кальция за счет добавления ионов магния, а в качестве буфера – ацетат. Таким образом, у этих растворов также имеется ряд преимуществ перед изотоническим раствором натрия и раствором Рингер-лактат: более низкая концентрация хлорида уменьшает риск развития гиперхлоремического ацидоза, а применение ацетата в качестве буфера дает возможность применять эти растворы у больных с печеночной недостаточностью и циркуляторным шоком без риска ятрогенной гиперлактатемии. Эти растворы также подходят для проведения регидратации при снижении объема жидкости при диареи, рвоте, лихорадке. </w:t>
      </w:r>
    </w:p>
    <w:p w14:paraId="491A676C" w14:textId="77777777" w:rsidR="00001BA0" w:rsidRPr="00CC66C1" w:rsidRDefault="00001BA0" w:rsidP="00001BA0">
      <w:pPr>
        <w:rPr>
          <w:rFonts w:cs="Times New Roman"/>
          <w:szCs w:val="24"/>
        </w:rPr>
      </w:pPr>
      <w:r w:rsidRPr="00CC66C1">
        <w:rPr>
          <w:rFonts w:cs="Times New Roman"/>
          <w:szCs w:val="24"/>
        </w:rPr>
        <w:t xml:space="preserve">Не рекомендуется использование изотонического раствора  натрия хлорида у пациентов с гиперкалиемией и почечной недостаточностью (например, при синдроме лизиса опухоли) вместо сбалансированных кристаллоидных растворов, несмотря на наличие в составе последних ионов калия, так как ацидоз, возникающий при использовании 0,9% раствора натрия хлорида, может усугубить гиперкалиемию за счет трансклеточного сдвига калия, который происходит для поддержания электронейтральности плазмы во время ацидоза. Введение же сбалансированного кристаллоидного инфузионного раствора с концентрацией калия 4 ммоль/л больному с гиперкалиемией будет уменьшать концентрацию калия в сторону значения концентрации калия в вводимом растворе.     </w:t>
      </w:r>
    </w:p>
    <w:p w14:paraId="14FE7786" w14:textId="77777777" w:rsidR="00001BA0" w:rsidRPr="00CC66C1" w:rsidRDefault="00001BA0" w:rsidP="00001BA0">
      <w:pPr>
        <w:rPr>
          <w:rFonts w:cs="Times New Roman"/>
          <w:szCs w:val="24"/>
        </w:rPr>
      </w:pPr>
      <w:r w:rsidRPr="00CC66C1">
        <w:rPr>
          <w:rFonts w:cs="Times New Roman"/>
          <w:szCs w:val="24"/>
        </w:rPr>
        <w:t xml:space="preserve">Растворы глюкозы в настоящее время для инфузионной терапии практически не применяются. Это связано как с побочными эффектами – гипергликемия  и повышение концентрации лактата крови, так и с низкой волемической активностью 5% раствора глюкозы: при инфузии 1000 мл 5% раствора глюкозы только 100 мл остается в сосудистом русле, объем жидкости в интерстициальном пространстве увеличивается на 250 мл, 650 мл раствора перемещается во внутриклеточное пространство. </w:t>
      </w:r>
    </w:p>
    <w:p w14:paraId="013C08A1" w14:textId="77777777" w:rsidR="00001BA0" w:rsidRDefault="00001BA0" w:rsidP="00001BA0">
      <w:pPr>
        <w:rPr>
          <w:rFonts w:cs="Times New Roman"/>
          <w:szCs w:val="24"/>
        </w:rPr>
      </w:pPr>
    </w:p>
    <w:p w14:paraId="7723BDC2" w14:textId="77777777" w:rsidR="00001BA0" w:rsidRPr="00CC66C1" w:rsidRDefault="00001BA0" w:rsidP="00001BA0">
      <w:pPr>
        <w:rPr>
          <w:rFonts w:cs="Times New Roman"/>
          <w:szCs w:val="24"/>
        </w:rPr>
      </w:pPr>
      <w:r w:rsidRPr="00CC66C1">
        <w:rPr>
          <w:rFonts w:cs="Times New Roman"/>
          <w:szCs w:val="24"/>
        </w:rPr>
        <w:t>Таблица 1. Кристаллоидные растворы</w:t>
      </w:r>
    </w:p>
    <w:tbl>
      <w:tblPr>
        <w:tblStyle w:val="aff9"/>
        <w:tblW w:w="0" w:type="auto"/>
        <w:tblLook w:val="04A0" w:firstRow="1" w:lastRow="0" w:firstColumn="1" w:lastColumn="0" w:noHBand="0" w:noVBand="1"/>
      </w:tblPr>
      <w:tblGrid>
        <w:gridCol w:w="1900"/>
        <w:gridCol w:w="1859"/>
        <w:gridCol w:w="1841"/>
        <w:gridCol w:w="1861"/>
        <w:gridCol w:w="1884"/>
      </w:tblGrid>
      <w:tr w:rsidR="00001BA0" w:rsidRPr="00CC66C1" w14:paraId="590FA5E6" w14:textId="77777777" w:rsidTr="002D3EBF">
        <w:tc>
          <w:tcPr>
            <w:tcW w:w="1914" w:type="dxa"/>
          </w:tcPr>
          <w:p w14:paraId="3133C14D" w14:textId="77777777" w:rsidR="00001BA0" w:rsidRPr="00CC66C1" w:rsidRDefault="00001BA0" w:rsidP="00151B04">
            <w:pPr>
              <w:ind w:firstLine="0"/>
              <w:jc w:val="center"/>
              <w:rPr>
                <w:rFonts w:cs="Times New Roman"/>
                <w:b/>
                <w:szCs w:val="24"/>
              </w:rPr>
            </w:pPr>
            <w:r w:rsidRPr="00CC66C1">
              <w:rPr>
                <w:rFonts w:cs="Times New Roman"/>
                <w:b/>
                <w:szCs w:val="24"/>
              </w:rPr>
              <w:t>Компоненты</w:t>
            </w:r>
          </w:p>
        </w:tc>
        <w:tc>
          <w:tcPr>
            <w:tcW w:w="1914" w:type="dxa"/>
          </w:tcPr>
          <w:p w14:paraId="298B75B9" w14:textId="77777777" w:rsidR="00001BA0" w:rsidRPr="00CC66C1" w:rsidRDefault="00001BA0" w:rsidP="00151B04">
            <w:pPr>
              <w:ind w:firstLine="0"/>
              <w:jc w:val="center"/>
              <w:rPr>
                <w:rFonts w:cs="Times New Roman"/>
                <w:b/>
                <w:szCs w:val="24"/>
              </w:rPr>
            </w:pPr>
            <w:r w:rsidRPr="00CC66C1">
              <w:rPr>
                <w:rFonts w:cs="Times New Roman"/>
                <w:b/>
                <w:szCs w:val="24"/>
              </w:rPr>
              <w:t>Плазма</w:t>
            </w:r>
          </w:p>
        </w:tc>
        <w:tc>
          <w:tcPr>
            <w:tcW w:w="1914" w:type="dxa"/>
          </w:tcPr>
          <w:p w14:paraId="6630105F" w14:textId="77777777" w:rsidR="00001BA0" w:rsidRPr="00CC66C1" w:rsidRDefault="00001BA0" w:rsidP="00151B04">
            <w:pPr>
              <w:ind w:firstLine="0"/>
              <w:jc w:val="center"/>
              <w:rPr>
                <w:rFonts w:cs="Times New Roman"/>
                <w:b/>
                <w:szCs w:val="24"/>
                <w:lang w:val="en-US"/>
              </w:rPr>
            </w:pPr>
            <w:r w:rsidRPr="00CC66C1">
              <w:rPr>
                <w:rFonts w:cs="Times New Roman"/>
                <w:b/>
                <w:szCs w:val="24"/>
              </w:rPr>
              <w:t xml:space="preserve">0,9% </w:t>
            </w:r>
            <w:r w:rsidRPr="00CC66C1">
              <w:rPr>
                <w:rFonts w:cs="Times New Roman"/>
                <w:b/>
                <w:szCs w:val="24"/>
                <w:lang w:val="en-US"/>
              </w:rPr>
              <w:t>NaCl</w:t>
            </w:r>
          </w:p>
        </w:tc>
        <w:tc>
          <w:tcPr>
            <w:tcW w:w="1914" w:type="dxa"/>
          </w:tcPr>
          <w:p w14:paraId="5CF1085E" w14:textId="77777777" w:rsidR="00001BA0" w:rsidRPr="00CC66C1" w:rsidRDefault="00001BA0" w:rsidP="00151B04">
            <w:pPr>
              <w:ind w:firstLine="0"/>
              <w:jc w:val="center"/>
              <w:rPr>
                <w:rFonts w:cs="Times New Roman"/>
                <w:b/>
                <w:szCs w:val="24"/>
              </w:rPr>
            </w:pPr>
            <w:r w:rsidRPr="00CC66C1">
              <w:rPr>
                <w:rFonts w:cs="Times New Roman"/>
                <w:b/>
                <w:szCs w:val="24"/>
              </w:rPr>
              <w:t>Рингер-лактат</w:t>
            </w:r>
          </w:p>
        </w:tc>
        <w:tc>
          <w:tcPr>
            <w:tcW w:w="1915" w:type="dxa"/>
          </w:tcPr>
          <w:p w14:paraId="25DAE1A8" w14:textId="77777777" w:rsidR="00001BA0" w:rsidRPr="00CC66C1" w:rsidRDefault="00001BA0" w:rsidP="00151B04">
            <w:pPr>
              <w:ind w:firstLine="0"/>
              <w:jc w:val="center"/>
              <w:rPr>
                <w:rFonts w:cs="Times New Roman"/>
                <w:b/>
                <w:szCs w:val="24"/>
              </w:rPr>
            </w:pPr>
            <w:r w:rsidRPr="00CC66C1">
              <w:rPr>
                <w:rFonts w:cs="Times New Roman"/>
                <w:b/>
                <w:szCs w:val="24"/>
              </w:rPr>
              <w:t>Плазмалит</w:t>
            </w:r>
          </w:p>
        </w:tc>
      </w:tr>
      <w:tr w:rsidR="00001BA0" w:rsidRPr="00CC66C1" w14:paraId="53F11B3D" w14:textId="77777777" w:rsidTr="002D3EBF">
        <w:tc>
          <w:tcPr>
            <w:tcW w:w="1914" w:type="dxa"/>
          </w:tcPr>
          <w:p w14:paraId="485C476A" w14:textId="77777777" w:rsidR="00001BA0" w:rsidRPr="00CC66C1" w:rsidRDefault="00001BA0" w:rsidP="00151B04">
            <w:pPr>
              <w:ind w:firstLine="0"/>
              <w:jc w:val="center"/>
              <w:rPr>
                <w:rFonts w:cs="Times New Roman"/>
                <w:szCs w:val="24"/>
              </w:rPr>
            </w:pPr>
            <w:r w:rsidRPr="00CC66C1">
              <w:rPr>
                <w:rFonts w:cs="Times New Roman"/>
                <w:szCs w:val="24"/>
              </w:rPr>
              <w:t>Натрий (ммоль/л)</w:t>
            </w:r>
          </w:p>
        </w:tc>
        <w:tc>
          <w:tcPr>
            <w:tcW w:w="1914" w:type="dxa"/>
          </w:tcPr>
          <w:p w14:paraId="172C85B4" w14:textId="77777777" w:rsidR="00001BA0" w:rsidRPr="00CC66C1" w:rsidRDefault="00001BA0" w:rsidP="00151B04">
            <w:pPr>
              <w:ind w:firstLine="0"/>
              <w:jc w:val="center"/>
              <w:rPr>
                <w:rFonts w:cs="Times New Roman"/>
                <w:szCs w:val="24"/>
              </w:rPr>
            </w:pPr>
            <w:r w:rsidRPr="00CC66C1">
              <w:rPr>
                <w:rFonts w:cs="Times New Roman"/>
                <w:szCs w:val="24"/>
              </w:rPr>
              <w:t>135-145</w:t>
            </w:r>
          </w:p>
        </w:tc>
        <w:tc>
          <w:tcPr>
            <w:tcW w:w="1914" w:type="dxa"/>
          </w:tcPr>
          <w:p w14:paraId="2211F5DA"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154</w:t>
            </w:r>
          </w:p>
        </w:tc>
        <w:tc>
          <w:tcPr>
            <w:tcW w:w="1914" w:type="dxa"/>
          </w:tcPr>
          <w:p w14:paraId="26116D29"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130</w:t>
            </w:r>
          </w:p>
        </w:tc>
        <w:tc>
          <w:tcPr>
            <w:tcW w:w="1915" w:type="dxa"/>
          </w:tcPr>
          <w:p w14:paraId="059583E2" w14:textId="77777777" w:rsidR="00001BA0" w:rsidRPr="00CC66C1" w:rsidRDefault="00001BA0" w:rsidP="00151B04">
            <w:pPr>
              <w:ind w:firstLine="0"/>
              <w:jc w:val="center"/>
              <w:rPr>
                <w:rFonts w:cs="Times New Roman"/>
                <w:szCs w:val="24"/>
              </w:rPr>
            </w:pPr>
            <w:r w:rsidRPr="00CC66C1">
              <w:rPr>
                <w:rFonts w:cs="Times New Roman"/>
                <w:szCs w:val="24"/>
              </w:rPr>
              <w:t>140</w:t>
            </w:r>
          </w:p>
        </w:tc>
      </w:tr>
      <w:tr w:rsidR="00001BA0" w:rsidRPr="00CC66C1" w14:paraId="3FD18314" w14:textId="77777777" w:rsidTr="002D3EBF">
        <w:tc>
          <w:tcPr>
            <w:tcW w:w="1914" w:type="dxa"/>
          </w:tcPr>
          <w:p w14:paraId="63AEDE75" w14:textId="77777777" w:rsidR="00001BA0" w:rsidRPr="00CC66C1" w:rsidRDefault="00001BA0" w:rsidP="00151B04">
            <w:pPr>
              <w:ind w:firstLine="0"/>
              <w:jc w:val="center"/>
              <w:rPr>
                <w:rFonts w:cs="Times New Roman"/>
                <w:szCs w:val="24"/>
              </w:rPr>
            </w:pPr>
            <w:r w:rsidRPr="00CC66C1">
              <w:rPr>
                <w:rFonts w:cs="Times New Roman"/>
                <w:szCs w:val="24"/>
              </w:rPr>
              <w:t>Хлорид (ммоль/л)</w:t>
            </w:r>
          </w:p>
        </w:tc>
        <w:tc>
          <w:tcPr>
            <w:tcW w:w="1914" w:type="dxa"/>
          </w:tcPr>
          <w:p w14:paraId="46990C8A" w14:textId="77777777" w:rsidR="00001BA0" w:rsidRPr="00CC66C1" w:rsidRDefault="00001BA0" w:rsidP="00151B04">
            <w:pPr>
              <w:ind w:firstLine="0"/>
              <w:jc w:val="center"/>
              <w:rPr>
                <w:rFonts w:cs="Times New Roman"/>
                <w:szCs w:val="24"/>
              </w:rPr>
            </w:pPr>
            <w:r w:rsidRPr="00CC66C1">
              <w:rPr>
                <w:rFonts w:cs="Times New Roman"/>
                <w:szCs w:val="24"/>
              </w:rPr>
              <w:t>98-106</w:t>
            </w:r>
          </w:p>
        </w:tc>
        <w:tc>
          <w:tcPr>
            <w:tcW w:w="1914" w:type="dxa"/>
          </w:tcPr>
          <w:p w14:paraId="7882E265"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154</w:t>
            </w:r>
          </w:p>
        </w:tc>
        <w:tc>
          <w:tcPr>
            <w:tcW w:w="1914" w:type="dxa"/>
          </w:tcPr>
          <w:p w14:paraId="50343BD8"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109</w:t>
            </w:r>
          </w:p>
        </w:tc>
        <w:tc>
          <w:tcPr>
            <w:tcW w:w="1915" w:type="dxa"/>
          </w:tcPr>
          <w:p w14:paraId="7EE8B0BF" w14:textId="77777777" w:rsidR="00001BA0" w:rsidRPr="00CC66C1" w:rsidRDefault="00001BA0" w:rsidP="00151B04">
            <w:pPr>
              <w:ind w:firstLine="0"/>
              <w:jc w:val="center"/>
              <w:rPr>
                <w:rFonts w:cs="Times New Roman"/>
                <w:szCs w:val="24"/>
              </w:rPr>
            </w:pPr>
            <w:r w:rsidRPr="00CC66C1">
              <w:rPr>
                <w:rFonts w:cs="Times New Roman"/>
                <w:szCs w:val="24"/>
              </w:rPr>
              <w:t>98</w:t>
            </w:r>
          </w:p>
        </w:tc>
      </w:tr>
      <w:tr w:rsidR="00001BA0" w:rsidRPr="00CC66C1" w14:paraId="4EDE6432" w14:textId="77777777" w:rsidTr="002D3EBF">
        <w:tc>
          <w:tcPr>
            <w:tcW w:w="1914" w:type="dxa"/>
          </w:tcPr>
          <w:p w14:paraId="639E5B1F" w14:textId="77777777" w:rsidR="00001BA0" w:rsidRPr="00CC66C1" w:rsidRDefault="00001BA0" w:rsidP="00151B04">
            <w:pPr>
              <w:ind w:firstLine="0"/>
              <w:jc w:val="center"/>
              <w:rPr>
                <w:rFonts w:cs="Times New Roman"/>
                <w:szCs w:val="24"/>
              </w:rPr>
            </w:pPr>
            <w:r w:rsidRPr="00CC66C1">
              <w:rPr>
                <w:rFonts w:cs="Times New Roman"/>
                <w:szCs w:val="24"/>
              </w:rPr>
              <w:t>Калий (ммоль/л)</w:t>
            </w:r>
          </w:p>
        </w:tc>
        <w:tc>
          <w:tcPr>
            <w:tcW w:w="1914" w:type="dxa"/>
          </w:tcPr>
          <w:p w14:paraId="4D1AB1B1" w14:textId="77777777" w:rsidR="00001BA0" w:rsidRPr="00CC66C1" w:rsidRDefault="00001BA0" w:rsidP="00151B04">
            <w:pPr>
              <w:ind w:firstLine="0"/>
              <w:jc w:val="center"/>
              <w:rPr>
                <w:rFonts w:cs="Times New Roman"/>
                <w:szCs w:val="24"/>
              </w:rPr>
            </w:pPr>
            <w:r w:rsidRPr="00CC66C1">
              <w:rPr>
                <w:rFonts w:cs="Times New Roman"/>
                <w:szCs w:val="24"/>
              </w:rPr>
              <w:t>3,5-5,0</w:t>
            </w:r>
          </w:p>
        </w:tc>
        <w:tc>
          <w:tcPr>
            <w:tcW w:w="1914" w:type="dxa"/>
          </w:tcPr>
          <w:p w14:paraId="141FAFB1"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w:t>
            </w:r>
          </w:p>
        </w:tc>
        <w:tc>
          <w:tcPr>
            <w:tcW w:w="1914" w:type="dxa"/>
          </w:tcPr>
          <w:p w14:paraId="1EA3CB5B"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4</w:t>
            </w:r>
          </w:p>
        </w:tc>
        <w:tc>
          <w:tcPr>
            <w:tcW w:w="1915" w:type="dxa"/>
          </w:tcPr>
          <w:p w14:paraId="0CBD226D" w14:textId="77777777" w:rsidR="00001BA0" w:rsidRPr="00CC66C1" w:rsidRDefault="00001BA0" w:rsidP="00151B04">
            <w:pPr>
              <w:ind w:firstLine="0"/>
              <w:jc w:val="center"/>
              <w:rPr>
                <w:rFonts w:cs="Times New Roman"/>
                <w:szCs w:val="24"/>
              </w:rPr>
            </w:pPr>
            <w:r w:rsidRPr="00CC66C1">
              <w:rPr>
                <w:rFonts w:cs="Times New Roman"/>
                <w:szCs w:val="24"/>
              </w:rPr>
              <w:t>5</w:t>
            </w:r>
          </w:p>
        </w:tc>
      </w:tr>
      <w:tr w:rsidR="00001BA0" w:rsidRPr="00CC66C1" w14:paraId="6320676B" w14:textId="77777777" w:rsidTr="002D3EBF">
        <w:tc>
          <w:tcPr>
            <w:tcW w:w="1914" w:type="dxa"/>
          </w:tcPr>
          <w:p w14:paraId="44B6BFA2" w14:textId="77777777" w:rsidR="00001BA0" w:rsidRPr="00CC66C1" w:rsidRDefault="00001BA0" w:rsidP="00151B04">
            <w:pPr>
              <w:ind w:firstLine="0"/>
              <w:jc w:val="center"/>
              <w:rPr>
                <w:rFonts w:cs="Times New Roman"/>
                <w:szCs w:val="24"/>
              </w:rPr>
            </w:pPr>
            <w:r w:rsidRPr="00CC66C1">
              <w:rPr>
                <w:rFonts w:cs="Times New Roman"/>
                <w:szCs w:val="24"/>
              </w:rPr>
              <w:t>Кальций (мг/дл)</w:t>
            </w:r>
          </w:p>
        </w:tc>
        <w:tc>
          <w:tcPr>
            <w:tcW w:w="1914" w:type="dxa"/>
          </w:tcPr>
          <w:p w14:paraId="31E29227" w14:textId="77777777" w:rsidR="00001BA0" w:rsidRPr="00CC66C1" w:rsidRDefault="00001BA0" w:rsidP="00151B04">
            <w:pPr>
              <w:ind w:firstLine="0"/>
              <w:jc w:val="center"/>
              <w:rPr>
                <w:rFonts w:cs="Times New Roman"/>
                <w:szCs w:val="24"/>
              </w:rPr>
            </w:pPr>
            <w:r w:rsidRPr="00CC66C1">
              <w:rPr>
                <w:rFonts w:cs="Times New Roman"/>
                <w:szCs w:val="24"/>
              </w:rPr>
              <w:t>3,0-4,5</w:t>
            </w:r>
          </w:p>
        </w:tc>
        <w:tc>
          <w:tcPr>
            <w:tcW w:w="1914" w:type="dxa"/>
          </w:tcPr>
          <w:p w14:paraId="5C0DB603"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w:t>
            </w:r>
          </w:p>
        </w:tc>
        <w:tc>
          <w:tcPr>
            <w:tcW w:w="1914" w:type="dxa"/>
          </w:tcPr>
          <w:p w14:paraId="150C74BF"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4</w:t>
            </w:r>
          </w:p>
        </w:tc>
        <w:tc>
          <w:tcPr>
            <w:tcW w:w="1915" w:type="dxa"/>
          </w:tcPr>
          <w:p w14:paraId="19E78D32" w14:textId="77777777" w:rsidR="00001BA0" w:rsidRPr="00CC66C1" w:rsidRDefault="00001BA0" w:rsidP="00151B04">
            <w:pPr>
              <w:ind w:firstLine="0"/>
              <w:jc w:val="center"/>
              <w:rPr>
                <w:rFonts w:cs="Times New Roman"/>
                <w:szCs w:val="24"/>
              </w:rPr>
            </w:pPr>
            <w:r w:rsidRPr="00CC66C1">
              <w:rPr>
                <w:rFonts w:cs="Times New Roman"/>
                <w:szCs w:val="24"/>
              </w:rPr>
              <w:t>-</w:t>
            </w:r>
          </w:p>
        </w:tc>
      </w:tr>
      <w:tr w:rsidR="00001BA0" w:rsidRPr="00CC66C1" w14:paraId="21F30C08" w14:textId="77777777" w:rsidTr="002D3EBF">
        <w:tc>
          <w:tcPr>
            <w:tcW w:w="1914" w:type="dxa"/>
          </w:tcPr>
          <w:p w14:paraId="6D2C4CCF" w14:textId="77777777" w:rsidR="00001BA0" w:rsidRPr="00CC66C1" w:rsidRDefault="00001BA0" w:rsidP="00151B04">
            <w:pPr>
              <w:ind w:firstLine="0"/>
              <w:jc w:val="center"/>
              <w:rPr>
                <w:rFonts w:cs="Times New Roman"/>
                <w:szCs w:val="24"/>
              </w:rPr>
            </w:pPr>
            <w:r w:rsidRPr="00CC66C1">
              <w:rPr>
                <w:rFonts w:cs="Times New Roman"/>
                <w:szCs w:val="24"/>
              </w:rPr>
              <w:t>Магний (ммоль/л)</w:t>
            </w:r>
          </w:p>
        </w:tc>
        <w:tc>
          <w:tcPr>
            <w:tcW w:w="1914" w:type="dxa"/>
          </w:tcPr>
          <w:p w14:paraId="578B9257" w14:textId="77777777" w:rsidR="00001BA0" w:rsidRPr="00CC66C1" w:rsidRDefault="00001BA0" w:rsidP="00151B04">
            <w:pPr>
              <w:ind w:firstLine="0"/>
              <w:jc w:val="center"/>
              <w:rPr>
                <w:rFonts w:cs="Times New Roman"/>
                <w:szCs w:val="24"/>
              </w:rPr>
            </w:pPr>
            <w:r w:rsidRPr="00CC66C1">
              <w:rPr>
                <w:rFonts w:cs="Times New Roman"/>
                <w:szCs w:val="24"/>
              </w:rPr>
              <w:t>0,7-1,2</w:t>
            </w:r>
          </w:p>
        </w:tc>
        <w:tc>
          <w:tcPr>
            <w:tcW w:w="1914" w:type="dxa"/>
          </w:tcPr>
          <w:p w14:paraId="2079F83D"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w:t>
            </w:r>
          </w:p>
        </w:tc>
        <w:tc>
          <w:tcPr>
            <w:tcW w:w="1914" w:type="dxa"/>
          </w:tcPr>
          <w:p w14:paraId="0234ED78"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w:t>
            </w:r>
          </w:p>
        </w:tc>
        <w:tc>
          <w:tcPr>
            <w:tcW w:w="1915" w:type="dxa"/>
          </w:tcPr>
          <w:p w14:paraId="4386B5A3" w14:textId="77777777" w:rsidR="00001BA0" w:rsidRPr="00CC66C1" w:rsidRDefault="00001BA0" w:rsidP="00151B04">
            <w:pPr>
              <w:ind w:firstLine="0"/>
              <w:jc w:val="center"/>
              <w:rPr>
                <w:rFonts w:cs="Times New Roman"/>
                <w:szCs w:val="24"/>
              </w:rPr>
            </w:pPr>
            <w:r w:rsidRPr="00CC66C1">
              <w:rPr>
                <w:rFonts w:cs="Times New Roman"/>
                <w:szCs w:val="24"/>
              </w:rPr>
              <w:t>3</w:t>
            </w:r>
          </w:p>
        </w:tc>
      </w:tr>
      <w:tr w:rsidR="00001BA0" w:rsidRPr="00CC66C1" w14:paraId="649497E8" w14:textId="77777777" w:rsidTr="002D3EBF">
        <w:tc>
          <w:tcPr>
            <w:tcW w:w="1914" w:type="dxa"/>
          </w:tcPr>
          <w:p w14:paraId="042142E9" w14:textId="77777777" w:rsidR="00001BA0" w:rsidRPr="00CC66C1" w:rsidRDefault="00001BA0" w:rsidP="00151B04">
            <w:pPr>
              <w:ind w:firstLine="0"/>
              <w:jc w:val="center"/>
              <w:rPr>
                <w:rFonts w:cs="Times New Roman"/>
                <w:szCs w:val="24"/>
              </w:rPr>
            </w:pPr>
            <w:r w:rsidRPr="00CC66C1">
              <w:rPr>
                <w:rFonts w:cs="Times New Roman"/>
                <w:szCs w:val="24"/>
              </w:rPr>
              <w:t>Буфер (ммоль/л)</w:t>
            </w:r>
          </w:p>
        </w:tc>
        <w:tc>
          <w:tcPr>
            <w:tcW w:w="1914" w:type="dxa"/>
          </w:tcPr>
          <w:p w14:paraId="0B109A5F" w14:textId="77777777" w:rsidR="00001BA0" w:rsidRPr="00CC66C1" w:rsidRDefault="00001BA0" w:rsidP="00151B04">
            <w:pPr>
              <w:ind w:firstLine="0"/>
              <w:jc w:val="center"/>
              <w:rPr>
                <w:rFonts w:cs="Times New Roman"/>
                <w:szCs w:val="24"/>
                <w:vertAlign w:val="subscript"/>
                <w:lang w:val="en-US"/>
              </w:rPr>
            </w:pPr>
            <w:r w:rsidRPr="00CC66C1">
              <w:rPr>
                <w:rFonts w:cs="Times New Roman"/>
                <w:szCs w:val="24"/>
                <w:lang w:val="en-US"/>
              </w:rPr>
              <w:t>HCO</w:t>
            </w:r>
            <w:r w:rsidRPr="00CC66C1">
              <w:rPr>
                <w:rFonts w:cs="Times New Roman"/>
                <w:szCs w:val="24"/>
                <w:vertAlign w:val="superscript"/>
                <w:lang w:val="en-US"/>
              </w:rPr>
              <w:t>-</w:t>
            </w:r>
            <w:r w:rsidRPr="00CC66C1">
              <w:rPr>
                <w:rFonts w:cs="Times New Roman"/>
                <w:szCs w:val="24"/>
                <w:vertAlign w:val="subscript"/>
                <w:lang w:val="en-US"/>
              </w:rPr>
              <w:t>3</w:t>
            </w:r>
          </w:p>
          <w:p w14:paraId="16FEEB0E"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(22-28)</w:t>
            </w:r>
          </w:p>
        </w:tc>
        <w:tc>
          <w:tcPr>
            <w:tcW w:w="1914" w:type="dxa"/>
          </w:tcPr>
          <w:p w14:paraId="4C8C48EF"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w:t>
            </w:r>
          </w:p>
        </w:tc>
        <w:tc>
          <w:tcPr>
            <w:tcW w:w="1914" w:type="dxa"/>
          </w:tcPr>
          <w:p w14:paraId="3CD6D24A" w14:textId="77777777" w:rsidR="00001BA0" w:rsidRPr="00CC66C1" w:rsidRDefault="00001BA0" w:rsidP="00151B04">
            <w:pPr>
              <w:ind w:firstLine="0"/>
              <w:jc w:val="center"/>
              <w:rPr>
                <w:rFonts w:cs="Times New Roman"/>
                <w:szCs w:val="24"/>
              </w:rPr>
            </w:pPr>
            <w:r w:rsidRPr="00CC66C1">
              <w:rPr>
                <w:rFonts w:cs="Times New Roman"/>
                <w:szCs w:val="24"/>
              </w:rPr>
              <w:t>Лактат (28)</w:t>
            </w:r>
          </w:p>
        </w:tc>
        <w:tc>
          <w:tcPr>
            <w:tcW w:w="1915" w:type="dxa"/>
          </w:tcPr>
          <w:p w14:paraId="184E3614" w14:textId="77777777" w:rsidR="00001BA0" w:rsidRPr="00CC66C1" w:rsidRDefault="00001BA0" w:rsidP="00151B04">
            <w:pPr>
              <w:ind w:firstLine="0"/>
              <w:jc w:val="center"/>
              <w:rPr>
                <w:rFonts w:cs="Times New Roman"/>
                <w:szCs w:val="24"/>
              </w:rPr>
            </w:pPr>
            <w:r w:rsidRPr="00CC66C1">
              <w:rPr>
                <w:rFonts w:cs="Times New Roman"/>
                <w:szCs w:val="24"/>
              </w:rPr>
              <w:t>Ацетат (27)</w:t>
            </w:r>
          </w:p>
          <w:p w14:paraId="0B7D64E7" w14:textId="77777777" w:rsidR="00001BA0" w:rsidRPr="00CC66C1" w:rsidRDefault="00001BA0" w:rsidP="00151B04">
            <w:pPr>
              <w:ind w:firstLine="0"/>
              <w:jc w:val="center"/>
              <w:rPr>
                <w:rFonts w:cs="Times New Roman"/>
                <w:szCs w:val="24"/>
              </w:rPr>
            </w:pPr>
            <w:r w:rsidRPr="00CC66C1">
              <w:rPr>
                <w:rFonts w:cs="Times New Roman"/>
                <w:szCs w:val="24"/>
              </w:rPr>
              <w:t>Глюканат (23)</w:t>
            </w:r>
          </w:p>
        </w:tc>
      </w:tr>
      <w:tr w:rsidR="00001BA0" w:rsidRPr="00CC66C1" w14:paraId="239B234F" w14:textId="77777777" w:rsidTr="002D3EBF">
        <w:tc>
          <w:tcPr>
            <w:tcW w:w="1914" w:type="dxa"/>
          </w:tcPr>
          <w:p w14:paraId="33947CA5" w14:textId="77777777" w:rsidR="00001BA0" w:rsidRPr="00CC66C1" w:rsidRDefault="00001BA0" w:rsidP="00151B04">
            <w:pPr>
              <w:ind w:firstLine="0"/>
              <w:jc w:val="center"/>
              <w:rPr>
                <w:rFonts w:cs="Times New Roman"/>
                <w:szCs w:val="24"/>
              </w:rPr>
            </w:pPr>
            <w:r w:rsidRPr="00CC66C1">
              <w:rPr>
                <w:rFonts w:cs="Times New Roman"/>
                <w:szCs w:val="24"/>
              </w:rPr>
              <w:t>Осмолярность  (мОсм/л)</w:t>
            </w:r>
          </w:p>
        </w:tc>
        <w:tc>
          <w:tcPr>
            <w:tcW w:w="1914" w:type="dxa"/>
          </w:tcPr>
          <w:p w14:paraId="627E85DA"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290</w:t>
            </w:r>
          </w:p>
        </w:tc>
        <w:tc>
          <w:tcPr>
            <w:tcW w:w="1914" w:type="dxa"/>
          </w:tcPr>
          <w:p w14:paraId="2AE1FA14" w14:textId="77777777" w:rsidR="00001BA0" w:rsidRPr="00CC66C1" w:rsidRDefault="00001BA0" w:rsidP="00151B04">
            <w:pPr>
              <w:ind w:firstLine="0"/>
              <w:jc w:val="center"/>
              <w:rPr>
                <w:rFonts w:cs="Times New Roman"/>
                <w:szCs w:val="24"/>
                <w:lang w:val="en-US"/>
              </w:rPr>
            </w:pPr>
            <w:r w:rsidRPr="00CC66C1">
              <w:rPr>
                <w:rFonts w:cs="Times New Roman"/>
                <w:szCs w:val="24"/>
                <w:lang w:val="en-US"/>
              </w:rPr>
              <w:t>308</w:t>
            </w:r>
          </w:p>
        </w:tc>
        <w:tc>
          <w:tcPr>
            <w:tcW w:w="1914" w:type="dxa"/>
          </w:tcPr>
          <w:p w14:paraId="3A438ABC" w14:textId="77777777" w:rsidR="00001BA0" w:rsidRPr="00CC66C1" w:rsidRDefault="00001BA0" w:rsidP="00151B04">
            <w:pPr>
              <w:ind w:firstLine="0"/>
              <w:jc w:val="center"/>
              <w:rPr>
                <w:rFonts w:cs="Times New Roman"/>
                <w:szCs w:val="24"/>
              </w:rPr>
            </w:pPr>
            <w:r w:rsidRPr="00CC66C1">
              <w:rPr>
                <w:rFonts w:cs="Times New Roman"/>
                <w:szCs w:val="24"/>
              </w:rPr>
              <w:t>273</w:t>
            </w:r>
          </w:p>
        </w:tc>
        <w:tc>
          <w:tcPr>
            <w:tcW w:w="1915" w:type="dxa"/>
          </w:tcPr>
          <w:p w14:paraId="4C2E3459" w14:textId="77777777" w:rsidR="00001BA0" w:rsidRPr="00CC66C1" w:rsidRDefault="00001BA0" w:rsidP="00151B04">
            <w:pPr>
              <w:ind w:firstLine="0"/>
              <w:jc w:val="center"/>
              <w:rPr>
                <w:rFonts w:cs="Times New Roman"/>
                <w:szCs w:val="24"/>
              </w:rPr>
            </w:pPr>
            <w:r w:rsidRPr="00CC66C1">
              <w:rPr>
                <w:rFonts w:cs="Times New Roman"/>
                <w:szCs w:val="24"/>
              </w:rPr>
              <w:t>295</w:t>
            </w:r>
          </w:p>
        </w:tc>
      </w:tr>
    </w:tbl>
    <w:p w14:paraId="11A65389" w14:textId="77777777" w:rsidR="00001BA0" w:rsidRPr="00CC66C1" w:rsidRDefault="00001BA0" w:rsidP="00001BA0">
      <w:pPr>
        <w:rPr>
          <w:rFonts w:cs="Times New Roman"/>
          <w:szCs w:val="24"/>
        </w:rPr>
      </w:pPr>
    </w:p>
    <w:p w14:paraId="34DF6D56" w14:textId="77777777" w:rsidR="00001BA0" w:rsidRPr="00CC66C1" w:rsidRDefault="00001BA0" w:rsidP="00001BA0">
      <w:pPr>
        <w:rPr>
          <w:rFonts w:cs="Times New Roman"/>
          <w:i/>
          <w:szCs w:val="24"/>
          <w:u w:val="single"/>
        </w:rPr>
      </w:pPr>
      <w:r w:rsidRPr="00CC66C1">
        <w:rPr>
          <w:rFonts w:cs="Times New Roman"/>
          <w:i/>
          <w:szCs w:val="24"/>
          <w:u w:val="single"/>
        </w:rPr>
        <w:t>Показания к проведению инфузионной терапии</w:t>
      </w:r>
    </w:p>
    <w:p w14:paraId="7A72496A" w14:textId="77777777" w:rsidR="00001BA0" w:rsidRPr="00CC66C1" w:rsidRDefault="00001BA0" w:rsidP="00001BA0">
      <w:pPr>
        <w:rPr>
          <w:rFonts w:cs="Times New Roman"/>
          <w:szCs w:val="24"/>
        </w:rPr>
      </w:pPr>
      <w:r w:rsidRPr="00CC66C1">
        <w:rPr>
          <w:rFonts w:cs="Times New Roman"/>
          <w:szCs w:val="24"/>
        </w:rPr>
        <w:t>Основными показаниями для инфузионной терапии у пацментов с онкогематологическими заболеваниями (лейкозы, лимфомы) являются:</w:t>
      </w:r>
    </w:p>
    <w:p w14:paraId="0D776B29" w14:textId="77777777" w:rsidR="00001BA0" w:rsidRPr="00CC66C1" w:rsidRDefault="00001BA0" w:rsidP="00001BA0">
      <w:pPr>
        <w:pStyle w:val="afe"/>
        <w:numPr>
          <w:ilvl w:val="0"/>
          <w:numId w:val="67"/>
        </w:numPr>
        <w:rPr>
          <w:rFonts w:cs="Times New Roman"/>
          <w:szCs w:val="24"/>
        </w:rPr>
      </w:pPr>
      <w:r w:rsidRPr="00CC66C1">
        <w:rPr>
          <w:rFonts w:cs="Times New Roman"/>
          <w:szCs w:val="24"/>
        </w:rPr>
        <w:t>Дегидратация,</w:t>
      </w:r>
      <w:r w:rsidRPr="00CC66C1">
        <w:rPr>
          <w:rFonts w:cs="Times New Roman"/>
          <w:i/>
          <w:szCs w:val="24"/>
        </w:rPr>
        <w:t xml:space="preserve"> </w:t>
      </w:r>
      <w:r w:rsidRPr="00CC66C1">
        <w:rPr>
          <w:rFonts w:cs="Times New Roman"/>
          <w:szCs w:val="24"/>
        </w:rPr>
        <w:t>причинами которой могут быть диарея, перспирация (вследствие лихорадки), рвота, алиментарная недостаточность.</w:t>
      </w:r>
    </w:p>
    <w:p w14:paraId="3956BCEA" w14:textId="77777777" w:rsidR="00001BA0" w:rsidRPr="00CC66C1" w:rsidRDefault="00001BA0" w:rsidP="00001BA0">
      <w:pPr>
        <w:pStyle w:val="afe"/>
        <w:numPr>
          <w:ilvl w:val="0"/>
          <w:numId w:val="67"/>
        </w:numPr>
        <w:rPr>
          <w:rFonts w:cs="Times New Roman"/>
          <w:szCs w:val="24"/>
        </w:rPr>
      </w:pPr>
      <w:r w:rsidRPr="00CC66C1">
        <w:rPr>
          <w:rFonts w:cs="Times New Roman"/>
          <w:szCs w:val="24"/>
        </w:rPr>
        <w:t>Гиповолемия или дефицит объема циркулирующей крови (например, при кровотечении у гематологических пациентов).</w:t>
      </w:r>
    </w:p>
    <w:p w14:paraId="4F9A3F9D" w14:textId="77777777" w:rsidR="00001BA0" w:rsidRPr="00CC66C1" w:rsidRDefault="00001BA0" w:rsidP="00001BA0">
      <w:pPr>
        <w:pStyle w:val="afe"/>
        <w:numPr>
          <w:ilvl w:val="0"/>
          <w:numId w:val="67"/>
        </w:numPr>
        <w:rPr>
          <w:rFonts w:cs="Times New Roman"/>
          <w:szCs w:val="24"/>
        </w:rPr>
      </w:pPr>
      <w:r w:rsidRPr="00CC66C1">
        <w:rPr>
          <w:rFonts w:cs="Times New Roman"/>
          <w:szCs w:val="24"/>
        </w:rPr>
        <w:t xml:space="preserve">Проведение форсированного диуреза для профилактики синдрома лизиса опухоли. </w:t>
      </w:r>
    </w:p>
    <w:p w14:paraId="6B87455F" w14:textId="77777777" w:rsidR="00001BA0" w:rsidRPr="00CC66C1" w:rsidRDefault="00001BA0" w:rsidP="00001BA0">
      <w:pPr>
        <w:pStyle w:val="afe"/>
        <w:numPr>
          <w:ilvl w:val="0"/>
          <w:numId w:val="67"/>
        </w:numPr>
        <w:rPr>
          <w:rFonts w:cs="Times New Roman"/>
          <w:szCs w:val="24"/>
        </w:rPr>
      </w:pPr>
      <w:r w:rsidRPr="00CC66C1">
        <w:rPr>
          <w:rFonts w:cs="Times New Roman"/>
          <w:szCs w:val="24"/>
        </w:rPr>
        <w:t xml:space="preserve">Проведение терапевтической гемоделюции (для лечения ишемических и тромботических осложнений). </w:t>
      </w:r>
    </w:p>
    <w:p w14:paraId="3F7D3776" w14:textId="77777777" w:rsidR="00001BA0" w:rsidRPr="00CC66C1" w:rsidRDefault="00001BA0" w:rsidP="00001BA0">
      <w:pPr>
        <w:pStyle w:val="afe"/>
        <w:numPr>
          <w:ilvl w:val="0"/>
          <w:numId w:val="67"/>
        </w:numPr>
        <w:rPr>
          <w:rFonts w:cs="Times New Roman"/>
          <w:szCs w:val="24"/>
        </w:rPr>
      </w:pPr>
      <w:r w:rsidRPr="00CC66C1">
        <w:rPr>
          <w:rFonts w:cs="Times New Roman"/>
          <w:szCs w:val="24"/>
        </w:rPr>
        <w:t xml:space="preserve">Коррекция электролитных нарушений. </w:t>
      </w:r>
    </w:p>
    <w:p w14:paraId="41C57DB6" w14:textId="77777777" w:rsidR="00001BA0" w:rsidRPr="00CC66C1" w:rsidRDefault="00001BA0" w:rsidP="00001BA0">
      <w:pPr>
        <w:pStyle w:val="afe"/>
        <w:numPr>
          <w:ilvl w:val="0"/>
          <w:numId w:val="67"/>
        </w:numPr>
        <w:rPr>
          <w:rFonts w:cs="Times New Roman"/>
          <w:szCs w:val="24"/>
        </w:rPr>
      </w:pPr>
      <w:r w:rsidRPr="00CC66C1">
        <w:rPr>
          <w:rFonts w:cs="Times New Roman"/>
          <w:szCs w:val="24"/>
        </w:rPr>
        <w:t xml:space="preserve">Дезинтоксикационная терапия. </w:t>
      </w:r>
    </w:p>
    <w:p w14:paraId="507492C5" w14:textId="77777777" w:rsidR="00001BA0" w:rsidRDefault="00001BA0" w:rsidP="00001BA0">
      <w:pPr>
        <w:rPr>
          <w:rFonts w:cs="Times New Roman"/>
          <w:b/>
          <w:szCs w:val="24"/>
        </w:rPr>
      </w:pPr>
    </w:p>
    <w:p w14:paraId="232F7FBC" w14:textId="6AD51ABA" w:rsidR="00001BA0" w:rsidRPr="0048699E" w:rsidRDefault="00001BA0" w:rsidP="00001BA0">
      <w:pPr>
        <w:rPr>
          <w:rFonts w:cs="Times New Roman"/>
          <w:i/>
          <w:szCs w:val="24"/>
          <w:u w:val="single"/>
          <w:lang w:val="en-US"/>
        </w:rPr>
      </w:pPr>
      <w:r w:rsidRPr="00CC66C1">
        <w:rPr>
          <w:rFonts w:cs="Times New Roman"/>
          <w:i/>
          <w:szCs w:val="24"/>
          <w:u w:val="single"/>
        </w:rPr>
        <w:t>Выбор инфузионных растворов</w:t>
      </w:r>
      <w:r>
        <w:rPr>
          <w:rFonts w:cs="Times New Roman"/>
          <w:i/>
          <w:szCs w:val="24"/>
          <w:u w:val="single"/>
        </w:rPr>
        <w:t xml:space="preserve"> </w:t>
      </w:r>
      <w:r>
        <w:rPr>
          <w:rFonts w:cs="Times New Roman"/>
          <w:i/>
          <w:szCs w:val="24"/>
          <w:u w:val="single"/>
        </w:rPr>
        <w:fldChar w:fldCharType="begin" w:fldLock="1"/>
      </w:r>
      <w:r w:rsidR="00947134">
        <w:rPr>
          <w:rFonts w:cs="Times New Roman"/>
          <w:i/>
          <w:szCs w:val="24"/>
          <w:u w:val="single"/>
        </w:rPr>
        <w:instrText>ADDIN CSL_CITATION {"citationItems":[{"id":"ITEM-1","itemData":{"DOI":"10.1007/s40620-016-0363-9","ISSN":"17246059","PMID":"27900717","abstract":"The topic of intravenous (IV) fluids may be regarded as “reverse nephrology”, because nephrologists usually treat to remove fluids rather than to infuse them. However, because nephrology is deeply rooted in fluid, electrolyte, and acid-base balance, IV fluids belong in the realm of our specialty. The field of IV fluid therapy is in motion due to the increasing use of balanced crystalloids, partly fueled by the advent of new solutions. This review aims to capture these recent developments by critically evaluating the current evidence base. It will review both indications and complications of IV fluid therapy, including the characteristics of the currently available solutions. It will also cover the use of IV fluids in specific settings such as kidney transplantation and pediatrics. Finally, this review will address the pathogenesis of saline-induced hyperchloremic acidosis, its potential effect on outcomes, and the question if this should lead to a definitive switch to balanced solutions.","author":[{"dropping-particle":"","family":"Hoorn","given":"Ewout J.","non-dropping-particle":"","parse-names":false,"suffix":""}],"container-title":"Journal of Nephrology","id":"ITEM-1","issue":"4","issued":{"date-parts":[["2017","8","1"]]},"page":"485-492","publisher":"Springer New York LLC","title":"Intravenous fluids: balancing solutions","type":"article","volume":"30"},"uris":["http://www.mendeley.com/documents/?uuid=5b8712a4-69fa-3f35-a7d0-5673405bd845"]}],"mendeley":{"formattedCitation":"[83]","plainTextFormattedCitation":"[83]","previouslyFormattedCitation":"[83]"},"properties":{"noteIndex":0},"schema":"https://github.com/citation-style-language/schema/raw/master/csl-citation.json"}</w:instrText>
      </w:r>
      <w:r>
        <w:rPr>
          <w:rFonts w:cs="Times New Roman"/>
          <w:i/>
          <w:szCs w:val="24"/>
          <w:u w:val="single"/>
        </w:rPr>
        <w:fldChar w:fldCharType="separate"/>
      </w:r>
      <w:r w:rsidRPr="00001BA0">
        <w:rPr>
          <w:rFonts w:cs="Times New Roman"/>
          <w:noProof/>
          <w:szCs w:val="24"/>
        </w:rPr>
        <w:t>[83]</w:t>
      </w:r>
      <w:r>
        <w:rPr>
          <w:rFonts w:cs="Times New Roman"/>
          <w:i/>
          <w:szCs w:val="24"/>
          <w:u w:val="single"/>
        </w:rPr>
        <w:fldChar w:fldCharType="end"/>
      </w:r>
    </w:p>
    <w:p w14:paraId="704425E9" w14:textId="77777777" w:rsidR="00001BA0" w:rsidRPr="00CC66C1" w:rsidRDefault="00001BA0" w:rsidP="00001BA0">
      <w:pPr>
        <w:rPr>
          <w:rFonts w:cs="Times New Roman"/>
          <w:szCs w:val="24"/>
        </w:rPr>
      </w:pPr>
      <w:r w:rsidRPr="00CC66C1">
        <w:rPr>
          <w:rFonts w:cs="Times New Roman"/>
          <w:szCs w:val="24"/>
        </w:rPr>
        <w:t>Сбалансированные полиэлектролитные растворы применяются для коррекции дегидратации, форсированного диуреза, терапевтической гемоделюции.</w:t>
      </w:r>
    </w:p>
    <w:p w14:paraId="016F5AF4" w14:textId="77777777" w:rsidR="00001BA0" w:rsidRPr="00CC66C1" w:rsidRDefault="00001BA0" w:rsidP="00001BA0">
      <w:pPr>
        <w:rPr>
          <w:rFonts w:cs="Times New Roman"/>
          <w:szCs w:val="24"/>
        </w:rPr>
      </w:pPr>
      <w:r w:rsidRPr="00CC66C1">
        <w:rPr>
          <w:rFonts w:cs="Times New Roman"/>
          <w:szCs w:val="24"/>
        </w:rPr>
        <w:t>Коллоидные растворы (такие как раствор альбумина), используются в сочетании с кристаллоидными для коррекции гиповолемии. Допустимо использовать только кристаллоидные растворы для коррекции гиповолемии легкой степени.</w:t>
      </w:r>
    </w:p>
    <w:p w14:paraId="2800E722" w14:textId="77777777" w:rsidR="00001BA0" w:rsidRPr="00CC66C1" w:rsidRDefault="00001BA0" w:rsidP="00001BA0">
      <w:pPr>
        <w:rPr>
          <w:rFonts w:cs="Times New Roman"/>
          <w:szCs w:val="24"/>
        </w:rPr>
      </w:pPr>
      <w:r w:rsidRPr="00CC66C1">
        <w:rPr>
          <w:rFonts w:cs="Times New Roman"/>
          <w:szCs w:val="24"/>
        </w:rPr>
        <w:t>Для разведения лекарственных препаратов используется 0,9% раствор натрия хлорида, что исключает выпадения солей кальция в приготовленном растворе.</w:t>
      </w:r>
    </w:p>
    <w:p w14:paraId="45AFC870" w14:textId="77777777" w:rsidR="00001BA0" w:rsidRPr="00CC66C1" w:rsidRDefault="00001BA0" w:rsidP="00001BA0">
      <w:pPr>
        <w:rPr>
          <w:rFonts w:cs="Times New Roman"/>
          <w:szCs w:val="24"/>
        </w:rPr>
      </w:pPr>
      <w:r w:rsidRPr="00CC66C1">
        <w:rPr>
          <w:rFonts w:cs="Times New Roman"/>
          <w:szCs w:val="24"/>
        </w:rPr>
        <w:t xml:space="preserve">Объем инфузионной терапии определяется клиническими показаниями. </w:t>
      </w:r>
    </w:p>
    <w:p w14:paraId="03A941CD" w14:textId="77777777" w:rsidR="00001BA0" w:rsidRDefault="00001BA0" w:rsidP="00001BA0">
      <w:pPr>
        <w:rPr>
          <w:rFonts w:cs="Times New Roman"/>
          <w:b/>
          <w:szCs w:val="24"/>
        </w:rPr>
      </w:pPr>
    </w:p>
    <w:p w14:paraId="0F4E0DD2" w14:textId="77777777" w:rsidR="00001BA0" w:rsidRPr="00CC66C1" w:rsidRDefault="00001BA0" w:rsidP="00001BA0">
      <w:pPr>
        <w:rPr>
          <w:rFonts w:cs="Times New Roman"/>
          <w:i/>
          <w:szCs w:val="24"/>
          <w:u w:val="single"/>
        </w:rPr>
      </w:pPr>
      <w:r w:rsidRPr="00CC66C1">
        <w:rPr>
          <w:rFonts w:cs="Times New Roman"/>
          <w:i/>
          <w:szCs w:val="24"/>
          <w:u w:val="single"/>
        </w:rPr>
        <w:t>Алгоритм действия врача</w:t>
      </w:r>
    </w:p>
    <w:p w14:paraId="4074FB8B" w14:textId="77777777" w:rsidR="00001BA0" w:rsidRPr="00CC66C1" w:rsidRDefault="00001BA0" w:rsidP="00001BA0">
      <w:pPr>
        <w:pStyle w:val="afe"/>
        <w:numPr>
          <w:ilvl w:val="0"/>
          <w:numId w:val="68"/>
        </w:numPr>
        <w:rPr>
          <w:rFonts w:cs="Times New Roman"/>
          <w:szCs w:val="24"/>
        </w:rPr>
      </w:pPr>
      <w:r w:rsidRPr="00CC66C1">
        <w:rPr>
          <w:rFonts w:cs="Times New Roman"/>
          <w:szCs w:val="24"/>
        </w:rPr>
        <w:t>Определение показаний для инфузионная терапии.</w:t>
      </w:r>
    </w:p>
    <w:p w14:paraId="62E2DD8F" w14:textId="77777777" w:rsidR="00001BA0" w:rsidRPr="00CC66C1" w:rsidRDefault="00001BA0" w:rsidP="00001BA0">
      <w:pPr>
        <w:pStyle w:val="afe"/>
        <w:numPr>
          <w:ilvl w:val="0"/>
          <w:numId w:val="68"/>
        </w:numPr>
        <w:rPr>
          <w:rFonts w:cs="Times New Roman"/>
          <w:szCs w:val="24"/>
        </w:rPr>
      </w:pPr>
      <w:r w:rsidRPr="00CC66C1">
        <w:rPr>
          <w:rFonts w:cs="Times New Roman"/>
          <w:szCs w:val="24"/>
        </w:rPr>
        <w:t>Выбор инфузионного раствора в зависимости от показаний.</w:t>
      </w:r>
    </w:p>
    <w:p w14:paraId="345A9D87" w14:textId="77777777" w:rsidR="00001BA0" w:rsidRPr="00CC66C1" w:rsidRDefault="00001BA0" w:rsidP="00001BA0">
      <w:pPr>
        <w:pStyle w:val="afe"/>
        <w:numPr>
          <w:ilvl w:val="0"/>
          <w:numId w:val="68"/>
        </w:numPr>
        <w:rPr>
          <w:rFonts w:cs="Times New Roman"/>
          <w:szCs w:val="24"/>
        </w:rPr>
      </w:pPr>
      <w:r w:rsidRPr="00CC66C1">
        <w:rPr>
          <w:rFonts w:cs="Times New Roman"/>
          <w:szCs w:val="24"/>
        </w:rPr>
        <w:t>Оценка волемического статуса пациента (оценка частоты сердечных сокращений, артериального давления, тургора кожи, влажности слизистых, темпа диуреза и др.). Центральное венозное давление (ЦВД) не является единственным показателем волемического статуса больного и часто может не отражать истинное состояние. Так, у больного с легочной гипертензией и гиповолемией ЦВД может превышать нормальные значения.</w:t>
      </w:r>
    </w:p>
    <w:p w14:paraId="135A1113" w14:textId="77777777" w:rsidR="00001BA0" w:rsidRPr="00CC66C1" w:rsidRDefault="00001BA0" w:rsidP="00001BA0">
      <w:pPr>
        <w:pStyle w:val="afe"/>
        <w:numPr>
          <w:ilvl w:val="0"/>
          <w:numId w:val="68"/>
        </w:numPr>
        <w:rPr>
          <w:rFonts w:cs="Times New Roman"/>
          <w:szCs w:val="24"/>
        </w:rPr>
      </w:pPr>
      <w:r w:rsidRPr="00CC66C1">
        <w:rPr>
          <w:rFonts w:cs="Times New Roman"/>
          <w:szCs w:val="24"/>
        </w:rPr>
        <w:t>Обеспечение сосудистого доступа. Проведение инфузионной терапии и оценка ее эффекта (частота сердечных сокращений, артериальное давление, тургор кожи, влажность слизистых, темп диуреза и др.).</w:t>
      </w:r>
    </w:p>
    <w:p w14:paraId="014DAEE4" w14:textId="7FD92889" w:rsidR="00001BA0" w:rsidRDefault="00001BA0" w:rsidP="00001BA0">
      <w:pPr>
        <w:widowControl w:val="0"/>
        <w:autoSpaceDE w:val="0"/>
        <w:autoSpaceDN w:val="0"/>
        <w:adjustRightInd w:val="0"/>
        <w:rPr>
          <w:rFonts w:cs="Times New Roman"/>
          <w:szCs w:val="24"/>
        </w:rPr>
      </w:pPr>
    </w:p>
    <w:p w14:paraId="76F5316A" w14:textId="34FC61EB" w:rsidR="00784084" w:rsidRDefault="00151B04" w:rsidP="00784084">
      <w:pPr>
        <w:pStyle w:val="2"/>
        <w:spacing w:before="0"/>
      </w:pPr>
      <w:bookmarkStart w:id="120" w:name="_Toc66184345"/>
      <w:r w:rsidRPr="00FE2263">
        <w:t>Приложение А3.</w:t>
      </w:r>
      <w:r>
        <w:t xml:space="preserve">6. </w:t>
      </w:r>
      <w:bookmarkStart w:id="121" w:name="_Toc64477951"/>
      <w:r w:rsidR="00784084">
        <w:t>Применение</w:t>
      </w:r>
      <w:r w:rsidR="00784084" w:rsidRPr="009848E0">
        <w:t xml:space="preserve"> компонентов донорской крови у </w:t>
      </w:r>
      <w:r w:rsidR="00784084">
        <w:t xml:space="preserve">гематологических </w:t>
      </w:r>
      <w:r w:rsidR="00784084" w:rsidRPr="009848E0">
        <w:t>пациентов</w:t>
      </w:r>
      <w:bookmarkEnd w:id="120"/>
      <w:bookmarkEnd w:id="121"/>
    </w:p>
    <w:p w14:paraId="390DC900" w14:textId="77777777" w:rsidR="00784084" w:rsidRPr="00106C1D" w:rsidRDefault="00784084" w:rsidP="00784084">
      <w:pPr>
        <w:ind w:firstLine="708"/>
        <w:contextualSpacing/>
        <w:rPr>
          <w:szCs w:val="24"/>
        </w:rPr>
      </w:pPr>
      <w:r w:rsidRPr="004C7AAC">
        <w:rPr>
          <w:szCs w:val="24"/>
        </w:rPr>
        <w:t xml:space="preserve">Основным </w:t>
      </w:r>
      <w:r w:rsidRPr="004C7AAC">
        <w:rPr>
          <w:szCs w:val="24"/>
          <w:lang w:eastAsia="ru-RU"/>
        </w:rPr>
        <w:t xml:space="preserve">медицинским </w:t>
      </w:r>
      <w:r w:rsidRPr="00E74023">
        <w:rPr>
          <w:szCs w:val="24"/>
          <w:lang w:eastAsia="ru-RU"/>
        </w:rPr>
        <w:t xml:space="preserve">показанием к </w:t>
      </w:r>
      <w:r w:rsidRPr="00E74023">
        <w:rPr>
          <w:szCs w:val="24"/>
        </w:rPr>
        <w:t xml:space="preserve">трансфузии эритроцитов у </w:t>
      </w:r>
      <w:r>
        <w:rPr>
          <w:szCs w:val="24"/>
        </w:rPr>
        <w:t xml:space="preserve">гематологических </w:t>
      </w:r>
      <w:r w:rsidRPr="00E74023">
        <w:rPr>
          <w:szCs w:val="24"/>
        </w:rPr>
        <w:t xml:space="preserve">пациентов является неадекватная оксигенация </w:t>
      </w:r>
      <w:r>
        <w:rPr>
          <w:szCs w:val="24"/>
        </w:rPr>
        <w:t xml:space="preserve">органов и тканей </w:t>
      </w:r>
      <w:r w:rsidRPr="00E74023">
        <w:rPr>
          <w:szCs w:val="24"/>
        </w:rPr>
        <w:t>и связанный с этим риск осложнений.</w:t>
      </w:r>
      <w:r>
        <w:rPr>
          <w:szCs w:val="24"/>
        </w:rPr>
        <w:t xml:space="preserve"> </w:t>
      </w:r>
      <w:r w:rsidRPr="00E74023">
        <w:rPr>
          <w:szCs w:val="24"/>
        </w:rPr>
        <w:t xml:space="preserve">Переливание донорских тромбоцитов гематологическим </w:t>
      </w:r>
      <w:r>
        <w:rPr>
          <w:szCs w:val="24"/>
        </w:rPr>
        <w:t>пациента</w:t>
      </w:r>
      <w:r w:rsidRPr="00E74023">
        <w:rPr>
          <w:szCs w:val="24"/>
        </w:rPr>
        <w:t xml:space="preserve">м проводят </w:t>
      </w:r>
      <w:r w:rsidRPr="00E74023">
        <w:rPr>
          <w:szCs w:val="24"/>
          <w:lang w:val="en-US"/>
        </w:rPr>
        <w:t>c</w:t>
      </w:r>
      <w:r w:rsidRPr="00E74023">
        <w:rPr>
          <w:szCs w:val="24"/>
        </w:rPr>
        <w:t xml:space="preserve"> целью профилактики спонтанных геморрагических осложнений на фоне глубокой тромбоцитопении, индуцированной проведением интенсивной химиотерапии, или с лечебной целью пациентам с уже имеющимися геморрагическими осложнениями.</w:t>
      </w:r>
      <w:r>
        <w:rPr>
          <w:szCs w:val="24"/>
        </w:rPr>
        <w:t xml:space="preserve"> При необходимости </w:t>
      </w:r>
      <w:r w:rsidRPr="00E74023">
        <w:rPr>
          <w:szCs w:val="24"/>
        </w:rPr>
        <w:t>восполнения дефицита факторов свертывания</w:t>
      </w:r>
      <w:r>
        <w:rPr>
          <w:szCs w:val="24"/>
        </w:rPr>
        <w:t xml:space="preserve"> </w:t>
      </w:r>
      <w:r w:rsidRPr="00E74023">
        <w:rPr>
          <w:szCs w:val="24"/>
        </w:rPr>
        <w:t>универсальным препаратом</w:t>
      </w:r>
      <w:r w:rsidRPr="009848E0">
        <w:rPr>
          <w:szCs w:val="24"/>
        </w:rPr>
        <w:t xml:space="preserve"> </w:t>
      </w:r>
      <w:r w:rsidRPr="00E74023">
        <w:rPr>
          <w:szCs w:val="24"/>
        </w:rPr>
        <w:t xml:space="preserve">на сегодняшний день является </w:t>
      </w:r>
      <w:r>
        <w:rPr>
          <w:szCs w:val="24"/>
        </w:rPr>
        <w:t>с</w:t>
      </w:r>
      <w:r w:rsidRPr="00E74023">
        <w:rPr>
          <w:szCs w:val="24"/>
        </w:rPr>
        <w:t>вежезамороженная плазма (СЗП</w:t>
      </w:r>
      <w:r>
        <w:rPr>
          <w:szCs w:val="24"/>
        </w:rPr>
        <w:t>)</w:t>
      </w:r>
      <w:r w:rsidRPr="00E74023">
        <w:rPr>
          <w:szCs w:val="24"/>
        </w:rPr>
        <w:t xml:space="preserve">. Показаниями для ее применения при острой кровопотере являются удлинение хронометрических показателей коагулограммы более чем в 1,8 раз; изолированное снижение уровня одного из факторов свертывания на 20% и более или комплекса факторов на 40% и более. Кроме СЗП для коррекции нарушений гемостаза при острой кровопотере применяются криопреципитат, очищенные или генноинженерные препараты факторов свертывания или их комплексов, ингибиторы протеаз, ингибиторы фибринолиза, десмопрессин. Трансфузии СЗП показаны </w:t>
      </w:r>
      <w:r>
        <w:rPr>
          <w:szCs w:val="24"/>
        </w:rPr>
        <w:t xml:space="preserve">также </w:t>
      </w:r>
      <w:r w:rsidRPr="00E74023">
        <w:rPr>
          <w:szCs w:val="24"/>
        </w:rPr>
        <w:t xml:space="preserve">для </w:t>
      </w:r>
      <w:r w:rsidRPr="00E74023">
        <w:rPr>
          <w:color w:val="000000"/>
          <w:szCs w:val="24"/>
        </w:rPr>
        <w:t>возмещения объема при проведении</w:t>
      </w:r>
      <w:r w:rsidRPr="004C7AAC">
        <w:rPr>
          <w:color w:val="000000"/>
          <w:szCs w:val="24"/>
        </w:rPr>
        <w:t xml:space="preserve"> </w:t>
      </w:r>
      <w:r w:rsidRPr="004C7AAC">
        <w:rPr>
          <w:szCs w:val="24"/>
        </w:rPr>
        <w:t xml:space="preserve">процедур плазмафереза при гиперлейкоцитозе, </w:t>
      </w:r>
      <w:r>
        <w:rPr>
          <w:szCs w:val="24"/>
        </w:rPr>
        <w:t>Выбор конкретного вида компонента крови для гемотрансфузии (тип э</w:t>
      </w:r>
      <w:r>
        <w:rPr>
          <w:szCs w:val="24"/>
          <w:lang w:eastAsia="ru-RU"/>
        </w:rPr>
        <w:t>ритроцитосодержащего компонента</w:t>
      </w:r>
      <w:r w:rsidRPr="003B52EE">
        <w:rPr>
          <w:szCs w:val="24"/>
          <w:lang w:eastAsia="ru-RU"/>
        </w:rPr>
        <w:t xml:space="preserve"> крови</w:t>
      </w:r>
      <w:r>
        <w:rPr>
          <w:szCs w:val="24"/>
          <w:lang w:eastAsia="ru-RU"/>
        </w:rPr>
        <w:t xml:space="preserve">, тип </w:t>
      </w:r>
      <w:r w:rsidRPr="003B52EE">
        <w:rPr>
          <w:bCs/>
          <w:iCs/>
          <w:szCs w:val="24"/>
          <w:lang w:eastAsia="ru-RU"/>
        </w:rPr>
        <w:t>концентрата тромбоцитов</w:t>
      </w:r>
      <w:r>
        <w:rPr>
          <w:bCs/>
          <w:iCs/>
          <w:szCs w:val="24"/>
          <w:lang w:eastAsia="ru-RU"/>
        </w:rPr>
        <w:t xml:space="preserve">, тип препарата </w:t>
      </w:r>
      <w:r w:rsidRPr="003B52EE">
        <w:rPr>
          <w:iCs/>
          <w:szCs w:val="24"/>
        </w:rPr>
        <w:t>плазмы</w:t>
      </w:r>
      <w:r>
        <w:rPr>
          <w:iCs/>
          <w:szCs w:val="24"/>
        </w:rPr>
        <w:t xml:space="preserve">) осуществляется лечащим врачом или врачом-трансфузиологом в соответствии с клинической ситуаций и на основании </w:t>
      </w:r>
      <w:r w:rsidRPr="00EE003B">
        <w:rPr>
          <w:szCs w:val="24"/>
        </w:rPr>
        <w:t>Приказа Минздрава России от 28.10.2020 N 1170н</w:t>
      </w:r>
      <w:r w:rsidRPr="00EE003B">
        <w:rPr>
          <w:szCs w:val="24"/>
        </w:rPr>
        <w:br/>
        <w:t xml:space="preserve">"Об утверждении порядка оказания медицинской помощи населению по профилю "трансфузиология", Приказа Минздрава России от 20.10.2020 </w:t>
      </w:r>
      <w:r w:rsidRPr="00EE003B">
        <w:rPr>
          <w:szCs w:val="24"/>
          <w:lang w:val="en-US"/>
        </w:rPr>
        <w:t>N</w:t>
      </w:r>
      <w:r w:rsidRPr="00EE003B">
        <w:rPr>
          <w:szCs w:val="24"/>
        </w:rPr>
        <w:t xml:space="preserve"> 1134н «О порядке медицинского обследования реципиента, проведения проб на индивидуальную совместимость, включая биологическую пробу, при трансфузии донорской крови и (или) ее компонентов»</w:t>
      </w:r>
      <w:r>
        <w:rPr>
          <w:szCs w:val="24"/>
        </w:rPr>
        <w:t>, рекомендациями «Клиническое использование эритроцитсодержащих компонентов крови»  (2018</w:t>
      </w:r>
      <w:r w:rsidRPr="00360841">
        <w:rPr>
          <w:szCs w:val="24"/>
        </w:rPr>
        <w:t xml:space="preserve"> </w:t>
      </w:r>
      <w:r>
        <w:rPr>
          <w:szCs w:val="24"/>
        </w:rPr>
        <w:t>г</w:t>
      </w:r>
      <w:r w:rsidRPr="00360841">
        <w:rPr>
          <w:szCs w:val="24"/>
        </w:rPr>
        <w:t>.</w:t>
      </w:r>
      <w:r>
        <w:rPr>
          <w:szCs w:val="24"/>
        </w:rPr>
        <w:t xml:space="preserve">), </w:t>
      </w:r>
      <w:r w:rsidRPr="00106C1D">
        <w:rPr>
          <w:szCs w:val="24"/>
        </w:rPr>
        <w:t xml:space="preserve">Постановления от 22.06.2019 г. </w:t>
      </w:r>
      <w:r w:rsidRPr="00106C1D">
        <w:rPr>
          <w:szCs w:val="24"/>
          <w:lang w:val="en-US"/>
        </w:rPr>
        <w:t>N</w:t>
      </w:r>
      <w:r w:rsidRPr="00106C1D">
        <w:rPr>
          <w:szCs w:val="24"/>
        </w:rPr>
        <w:t xml:space="preserve"> 797 «Об утверждении правил заготовки, хранения, транспортировки и клинического использования донорской крови и ее компонентов и о признании утратившими силу некоторых актов Правительства Российской Федерации»,  другими нормативными актами.</w:t>
      </w:r>
    </w:p>
    <w:p w14:paraId="60E4D4DF" w14:textId="77777777" w:rsidR="00784084" w:rsidRDefault="00784084" w:rsidP="00784084">
      <w:pPr>
        <w:contextualSpacing/>
        <w:rPr>
          <w:b/>
          <w:szCs w:val="24"/>
          <w:lang w:eastAsia="ru-RU"/>
        </w:rPr>
      </w:pPr>
    </w:p>
    <w:p w14:paraId="45C760FA" w14:textId="77777777" w:rsidR="00784084" w:rsidRPr="00360841" w:rsidRDefault="00784084" w:rsidP="00784084">
      <w:pPr>
        <w:contextualSpacing/>
        <w:rPr>
          <w:i/>
          <w:szCs w:val="24"/>
          <w:u w:val="single"/>
          <w:lang w:eastAsia="ru-RU"/>
        </w:rPr>
      </w:pPr>
      <w:r w:rsidRPr="00360841">
        <w:rPr>
          <w:i/>
          <w:szCs w:val="24"/>
          <w:u w:val="single"/>
          <w:lang w:eastAsia="ru-RU"/>
        </w:rPr>
        <w:t>Трансфузии эритроцитосодержащих компонентов крови (ЭСК)</w:t>
      </w:r>
    </w:p>
    <w:p w14:paraId="0CE03B3A" w14:textId="77777777" w:rsidR="00784084" w:rsidRPr="00FA3E28" w:rsidRDefault="00784084" w:rsidP="00784084">
      <w:pPr>
        <w:ind w:firstLine="708"/>
        <w:rPr>
          <w:rFonts w:eastAsia="Times New Roman"/>
          <w:szCs w:val="24"/>
          <w:u w:val="single"/>
        </w:rPr>
      </w:pPr>
      <w:r w:rsidRPr="00FA3E28">
        <w:rPr>
          <w:rFonts w:eastAsia="Times New Roman"/>
          <w:bCs/>
          <w:szCs w:val="24"/>
          <w:u w:val="single"/>
        </w:rPr>
        <w:t>Необходимые исследования до трансфузии</w:t>
      </w:r>
    </w:p>
    <w:p w14:paraId="114CE2D6" w14:textId="77777777" w:rsidR="00784084" w:rsidRDefault="00784084" w:rsidP="00784084">
      <w:pPr>
        <w:ind w:firstLine="708"/>
        <w:rPr>
          <w:rFonts w:eastAsia="Times New Roman"/>
          <w:szCs w:val="24"/>
        </w:rPr>
      </w:pPr>
      <w:r>
        <w:rPr>
          <w:rFonts w:eastAsia="Times New Roman"/>
          <w:szCs w:val="24"/>
        </w:rPr>
        <w:t xml:space="preserve">Всем гематологическим пациентам при поступлении в медицинскую организацию необходимо осуществить первичное определение группы крови в клиническом отделении по системе AB0 и резус-принадлежности с внесением результатов определения в медицинскую документацию. После первичного определения группы крови образец крови больного направляется в клинико-диагностическую лабораторию организации, осуществляющей клиническое использование донорской крови и ее компонентов, где проводят следующие подтверждающие исследования, c внесением в медицинскую документацию: </w:t>
      </w:r>
    </w:p>
    <w:p w14:paraId="4DA6D926" w14:textId="77777777" w:rsidR="00784084" w:rsidRPr="00360841" w:rsidRDefault="00784084" w:rsidP="0051317D">
      <w:pPr>
        <w:pStyle w:val="afe"/>
        <w:numPr>
          <w:ilvl w:val="0"/>
          <w:numId w:val="81"/>
        </w:numPr>
        <w:rPr>
          <w:szCs w:val="24"/>
        </w:rPr>
      </w:pPr>
      <w:r w:rsidRPr="00360841">
        <w:rPr>
          <w:rFonts w:eastAsia="Times New Roman"/>
          <w:szCs w:val="24"/>
        </w:rPr>
        <w:t>определение группы крови по системе AB0 и резус-принадлежности;</w:t>
      </w:r>
    </w:p>
    <w:p w14:paraId="14E5637E" w14:textId="77777777" w:rsidR="00784084" w:rsidRPr="00360841" w:rsidRDefault="00784084" w:rsidP="0051317D">
      <w:pPr>
        <w:pStyle w:val="afe"/>
        <w:numPr>
          <w:ilvl w:val="0"/>
          <w:numId w:val="81"/>
        </w:numPr>
        <w:rPr>
          <w:szCs w:val="24"/>
        </w:rPr>
      </w:pPr>
      <w:r w:rsidRPr="00360841">
        <w:rPr>
          <w:rFonts w:eastAsia="Times New Roman"/>
          <w:szCs w:val="24"/>
        </w:rPr>
        <w:t>определение антигена K;</w:t>
      </w:r>
    </w:p>
    <w:p w14:paraId="3F26A6B3" w14:textId="77777777" w:rsidR="00784084" w:rsidRPr="00360841" w:rsidRDefault="00784084" w:rsidP="0051317D">
      <w:pPr>
        <w:pStyle w:val="afe"/>
        <w:numPr>
          <w:ilvl w:val="0"/>
          <w:numId w:val="81"/>
        </w:numPr>
        <w:rPr>
          <w:szCs w:val="24"/>
        </w:rPr>
      </w:pPr>
      <w:r w:rsidRPr="00360841">
        <w:rPr>
          <w:rFonts w:eastAsia="Times New Roman"/>
          <w:szCs w:val="24"/>
        </w:rPr>
        <w:t>скрининг аллоиммунных антител с использованием не менее 3 образцов тест-эритроцитов;</w:t>
      </w:r>
    </w:p>
    <w:p w14:paraId="48D5F745" w14:textId="4EB7ACE9" w:rsidR="00784084" w:rsidRPr="00360841" w:rsidRDefault="00784084" w:rsidP="0051317D">
      <w:pPr>
        <w:pStyle w:val="afe"/>
        <w:numPr>
          <w:ilvl w:val="0"/>
          <w:numId w:val="81"/>
        </w:numPr>
        <w:rPr>
          <w:szCs w:val="24"/>
        </w:rPr>
      </w:pPr>
      <w:r w:rsidRPr="00360841">
        <w:rPr>
          <w:rFonts w:eastAsia="Times New Roman"/>
          <w:szCs w:val="24"/>
        </w:rPr>
        <w:t>определение антигенов эритроцитов C, c, E, e. При совпадении результатов определения антигенов эритроцитов C, c, E, e, K, проведенных дважды в организации, осуществляющей клиническое использование донорской крови и ее компонентов, антигены эритроцитов C, c, E, e, K считаются установленными и в дальнейшем не определяются.</w:t>
      </w:r>
    </w:p>
    <w:p w14:paraId="537BEE87" w14:textId="77777777" w:rsidR="00784084" w:rsidRDefault="00784084" w:rsidP="00784084">
      <w:pPr>
        <w:ind w:firstLine="708"/>
        <w:rPr>
          <w:szCs w:val="24"/>
        </w:rPr>
      </w:pPr>
      <w:r>
        <w:rPr>
          <w:rFonts w:eastAsia="Times New Roman"/>
          <w:szCs w:val="24"/>
        </w:rPr>
        <w:t>Не допускается внесение в медицинскую документацию результатов указанных выше исследований на основании данных медицинской документации, оформленной иными медицинскими организациями, в которых больному ранее была оказана медицинская помощь или проводилось медицинское обследование.</w:t>
      </w:r>
    </w:p>
    <w:p w14:paraId="547A906D" w14:textId="77777777" w:rsidR="00784084" w:rsidRDefault="00784084" w:rsidP="00784084">
      <w:pPr>
        <w:ind w:firstLine="708"/>
        <w:rPr>
          <w:rFonts w:eastAsia="Times New Roman"/>
          <w:szCs w:val="24"/>
        </w:rPr>
      </w:pPr>
      <w:r>
        <w:rPr>
          <w:rFonts w:eastAsia="Times New Roman"/>
          <w:szCs w:val="24"/>
        </w:rPr>
        <w:t>В целях профилактики реакций и осложнений в связи с трансфузией используются ЭСК, идентичные или совместимые по системе AB0, резус-принадлежности и K. При плановых трансфузиях ЭСК дополнительно учитывают совместимость донора и реципиента по антигенам эритроцитов C, c, E, e, С</w:t>
      </w:r>
      <w:r>
        <w:rPr>
          <w:rFonts w:eastAsia="Times New Roman"/>
          <w:szCs w:val="24"/>
          <w:vertAlign w:val="superscript"/>
          <w:lang w:val="en-US" w:eastAsia="ru-RU"/>
        </w:rPr>
        <w:t>W</w:t>
      </w:r>
      <w:r>
        <w:rPr>
          <w:rFonts w:eastAsia="Times New Roman"/>
          <w:szCs w:val="24"/>
        </w:rPr>
        <w:t>.</w:t>
      </w:r>
    </w:p>
    <w:p w14:paraId="7D038833" w14:textId="77777777" w:rsidR="00784084" w:rsidRDefault="00784084" w:rsidP="00784084">
      <w:pPr>
        <w:ind w:firstLine="708"/>
        <w:rPr>
          <w:rFonts w:eastAsia="Times New Roman"/>
          <w:szCs w:val="24"/>
        </w:rPr>
      </w:pPr>
      <w:r>
        <w:rPr>
          <w:rFonts w:eastAsia="Times New Roman"/>
          <w:szCs w:val="24"/>
          <w:lang w:eastAsia="ru-RU"/>
        </w:rPr>
        <w:t xml:space="preserve">Индивидуальный подбор компонентов крови осуществляется реципиентам, имеющим: </w:t>
      </w:r>
    </w:p>
    <w:p w14:paraId="0B8D0E3B" w14:textId="77777777" w:rsidR="00784084" w:rsidRPr="00360841" w:rsidRDefault="00784084" w:rsidP="0051317D">
      <w:pPr>
        <w:pStyle w:val="afe"/>
        <w:numPr>
          <w:ilvl w:val="0"/>
          <w:numId w:val="82"/>
        </w:numPr>
        <w:rPr>
          <w:rFonts w:eastAsia="Times New Roman"/>
          <w:szCs w:val="24"/>
        </w:rPr>
      </w:pPr>
      <w:r w:rsidRPr="00360841">
        <w:rPr>
          <w:rFonts w:eastAsia="Times New Roman"/>
          <w:szCs w:val="24"/>
          <w:lang w:eastAsia="ru-RU"/>
        </w:rPr>
        <w:t>посттрансфузионные осложнения в анамнезе</w:t>
      </w:r>
    </w:p>
    <w:p w14:paraId="3D67B118" w14:textId="77777777" w:rsidR="00784084" w:rsidRPr="00360841" w:rsidRDefault="00784084" w:rsidP="0051317D">
      <w:pPr>
        <w:pStyle w:val="afe"/>
        <w:numPr>
          <w:ilvl w:val="0"/>
          <w:numId w:val="82"/>
        </w:numPr>
        <w:rPr>
          <w:rFonts w:eastAsia="Times New Roman"/>
          <w:szCs w:val="24"/>
          <w:lang w:eastAsia="ru-RU"/>
        </w:rPr>
      </w:pPr>
      <w:r w:rsidRPr="00360841">
        <w:rPr>
          <w:rFonts w:eastAsia="Times New Roman"/>
          <w:szCs w:val="24"/>
          <w:lang w:eastAsia="ru-RU"/>
        </w:rPr>
        <w:t>беременность</w:t>
      </w:r>
    </w:p>
    <w:p w14:paraId="4E01C062" w14:textId="77777777" w:rsidR="00784084" w:rsidRPr="00360841" w:rsidRDefault="00784084" w:rsidP="0051317D">
      <w:pPr>
        <w:pStyle w:val="afe"/>
        <w:numPr>
          <w:ilvl w:val="0"/>
          <w:numId w:val="82"/>
        </w:numPr>
        <w:rPr>
          <w:rFonts w:eastAsia="Times New Roman"/>
          <w:szCs w:val="24"/>
          <w:lang w:eastAsia="ru-RU"/>
        </w:rPr>
      </w:pPr>
      <w:r w:rsidRPr="00360841">
        <w:rPr>
          <w:rFonts w:eastAsia="Times New Roman"/>
          <w:szCs w:val="24"/>
          <w:lang w:eastAsia="ru-RU"/>
        </w:rPr>
        <w:t>рождение детей с гемолитической болезнью новорожденного в анамнезе</w:t>
      </w:r>
    </w:p>
    <w:p w14:paraId="343E4133" w14:textId="77777777" w:rsidR="00784084" w:rsidRPr="00360841" w:rsidRDefault="00784084" w:rsidP="0051317D">
      <w:pPr>
        <w:pStyle w:val="afe"/>
        <w:numPr>
          <w:ilvl w:val="0"/>
          <w:numId w:val="82"/>
        </w:numPr>
        <w:rPr>
          <w:rFonts w:eastAsia="Times New Roman"/>
          <w:szCs w:val="24"/>
        </w:rPr>
      </w:pPr>
      <w:r w:rsidRPr="00360841">
        <w:rPr>
          <w:rFonts w:eastAsia="Times New Roman"/>
          <w:szCs w:val="24"/>
          <w:lang w:eastAsia="ru-RU"/>
        </w:rPr>
        <w:t xml:space="preserve">аллоиммунные антитела. </w:t>
      </w:r>
    </w:p>
    <w:p w14:paraId="535813F3" w14:textId="77777777" w:rsidR="00784084" w:rsidRDefault="00784084" w:rsidP="00784084">
      <w:pPr>
        <w:ind w:firstLine="708"/>
        <w:rPr>
          <w:rFonts w:eastAsia="Times New Roman"/>
          <w:szCs w:val="24"/>
        </w:rPr>
      </w:pPr>
      <w:r w:rsidRPr="001A5953">
        <w:rPr>
          <w:rFonts w:eastAsia="Times New Roman"/>
          <w:szCs w:val="24"/>
        </w:rPr>
        <w:t>Индивидуальный подбор не отменяет постановку пробы на совместимость на плоскости</w:t>
      </w:r>
      <w:r>
        <w:rPr>
          <w:rFonts w:eastAsia="Times New Roman"/>
          <w:szCs w:val="24"/>
        </w:rPr>
        <w:t xml:space="preserve"> при комнатной температуре</w:t>
      </w:r>
      <w:r w:rsidRPr="001A5953">
        <w:rPr>
          <w:rFonts w:eastAsia="Times New Roman"/>
          <w:szCs w:val="24"/>
        </w:rPr>
        <w:t xml:space="preserve"> и биологическую пробу врачом, проводящим трансфузию.</w:t>
      </w:r>
    </w:p>
    <w:p w14:paraId="7502239F" w14:textId="77777777" w:rsidR="00784084" w:rsidRDefault="00784084" w:rsidP="00784084">
      <w:pPr>
        <w:ind w:firstLine="708"/>
        <w:rPr>
          <w:rFonts w:eastAsia="Times New Roman"/>
          <w:szCs w:val="24"/>
        </w:rPr>
      </w:pPr>
      <w:r>
        <w:rPr>
          <w:rFonts w:eastAsia="Times New Roman"/>
          <w:szCs w:val="24"/>
        </w:rPr>
        <w:t>При определении показаний к трансфузиям компонентов донорской крови обязательно проводятся следующие лабораторные исследования:</w:t>
      </w:r>
    </w:p>
    <w:p w14:paraId="6E1D7C80" w14:textId="77777777" w:rsidR="00784084" w:rsidRPr="00360841" w:rsidRDefault="00784084" w:rsidP="0051317D">
      <w:pPr>
        <w:pStyle w:val="afe"/>
        <w:numPr>
          <w:ilvl w:val="0"/>
          <w:numId w:val="83"/>
        </w:numPr>
        <w:rPr>
          <w:rFonts w:eastAsia="Times New Roman"/>
          <w:szCs w:val="24"/>
        </w:rPr>
      </w:pPr>
      <w:r w:rsidRPr="00360841">
        <w:rPr>
          <w:rFonts w:eastAsia="Times New Roman"/>
          <w:szCs w:val="24"/>
        </w:rPr>
        <w:t>Перед трансфузией клеточных компонентов донорской крови (эритроцитная взвесь, концентрат тромбоцитов) - общий (клинический) анализ крови</w:t>
      </w:r>
    </w:p>
    <w:p w14:paraId="7C3E3082" w14:textId="77777777" w:rsidR="00784084" w:rsidRPr="00360841" w:rsidRDefault="00784084" w:rsidP="0051317D">
      <w:pPr>
        <w:pStyle w:val="afe"/>
        <w:numPr>
          <w:ilvl w:val="0"/>
          <w:numId w:val="83"/>
        </w:numPr>
        <w:rPr>
          <w:szCs w:val="24"/>
        </w:rPr>
      </w:pPr>
      <w:r w:rsidRPr="00360841">
        <w:rPr>
          <w:rFonts w:eastAsia="Times New Roman"/>
          <w:szCs w:val="24"/>
        </w:rPr>
        <w:t>Перед трансфузией СЗП, криопреципитата и криосупернатантной плазмы - коагулограмма.</w:t>
      </w:r>
    </w:p>
    <w:p w14:paraId="78D7EEB9" w14:textId="77777777" w:rsidR="00784084" w:rsidRPr="00360841" w:rsidRDefault="00784084" w:rsidP="0051317D">
      <w:pPr>
        <w:pStyle w:val="afe"/>
        <w:numPr>
          <w:ilvl w:val="0"/>
          <w:numId w:val="83"/>
        </w:numPr>
        <w:rPr>
          <w:szCs w:val="24"/>
        </w:rPr>
      </w:pPr>
      <w:r w:rsidRPr="00360841">
        <w:rPr>
          <w:rFonts w:eastAsia="Times New Roman"/>
          <w:szCs w:val="24"/>
        </w:rPr>
        <w:t>После трансфузии компонентов крови</w:t>
      </w:r>
    </w:p>
    <w:p w14:paraId="0EEE2705" w14:textId="77777777" w:rsidR="00784084" w:rsidRPr="004E4312" w:rsidRDefault="00784084" w:rsidP="00784084">
      <w:pPr>
        <w:rPr>
          <w:b/>
          <w:u w:val="single"/>
        </w:rPr>
      </w:pPr>
      <w:r w:rsidRPr="004E4312">
        <w:rPr>
          <w:u w:val="single"/>
        </w:rPr>
        <w:t>Показания к переливанию ЭСК</w:t>
      </w:r>
    </w:p>
    <w:p w14:paraId="615BAF60" w14:textId="77777777" w:rsidR="00784084" w:rsidRPr="003E19FB" w:rsidRDefault="00784084" w:rsidP="0051317D">
      <w:pPr>
        <w:pStyle w:val="FitzBullet"/>
        <w:numPr>
          <w:ilvl w:val="0"/>
          <w:numId w:val="84"/>
        </w:numPr>
        <w:tabs>
          <w:tab w:val="clear" w:pos="317"/>
          <w:tab w:val="left" w:pos="144"/>
        </w:tabs>
        <w:spacing w:before="0" w:after="0" w:line="360" w:lineRule="auto"/>
        <w:jc w:val="both"/>
      </w:pPr>
      <w:r w:rsidRPr="003E19FB">
        <w:t>Пациентам с хронической анемией переливание показано при уровне гемоглобина &lt; 60 г/л. В данном случае переливание донорских эритроцитов проводится только для коррекции важнейших симптомов, обусловленных анемией и не поддающихся основной патогенетической терапии.</w:t>
      </w:r>
    </w:p>
    <w:p w14:paraId="1563D76F" w14:textId="77777777" w:rsidR="00784084" w:rsidRPr="003E19FB" w:rsidRDefault="00784084" w:rsidP="0051317D">
      <w:pPr>
        <w:pStyle w:val="FitzBullet"/>
        <w:numPr>
          <w:ilvl w:val="0"/>
          <w:numId w:val="84"/>
        </w:numPr>
        <w:tabs>
          <w:tab w:val="clear" w:pos="317"/>
          <w:tab w:val="left" w:pos="144"/>
        </w:tabs>
        <w:spacing w:before="0" w:after="0" w:line="360" w:lineRule="auto"/>
        <w:jc w:val="both"/>
      </w:pPr>
      <w:r w:rsidRPr="003E19FB">
        <w:t>Пациентам с сепсисом, ишемической болезнью сердца (в том числе, инфарктом миокарда, стенокардией напряжения), миокардитом и другими кардиопатиями трансфузии эритроцитов рекомендованы при уровне гемоглобина &lt; 100 г/л.</w:t>
      </w:r>
    </w:p>
    <w:p w14:paraId="324C83D5" w14:textId="77777777" w:rsidR="00784084" w:rsidRPr="003E19FB" w:rsidRDefault="00784084" w:rsidP="0051317D">
      <w:pPr>
        <w:pStyle w:val="FitzBullet"/>
        <w:numPr>
          <w:ilvl w:val="0"/>
          <w:numId w:val="84"/>
        </w:numPr>
        <w:tabs>
          <w:tab w:val="clear" w:pos="317"/>
          <w:tab w:val="left" w:pos="144"/>
        </w:tabs>
        <w:spacing w:before="0" w:after="0" w:line="360" w:lineRule="auto"/>
        <w:jc w:val="both"/>
      </w:pPr>
      <w:r w:rsidRPr="003E19FB">
        <w:t>Пациентам старше 60 лет трансфузии эритроцитов показаны при уровне гемоглобина &lt; 100 г/л.</w:t>
      </w:r>
    </w:p>
    <w:p w14:paraId="3C6A594C" w14:textId="77777777" w:rsidR="00784084" w:rsidRPr="003E19FB" w:rsidRDefault="00784084" w:rsidP="0051317D">
      <w:pPr>
        <w:pStyle w:val="FitzBullet"/>
        <w:numPr>
          <w:ilvl w:val="0"/>
          <w:numId w:val="84"/>
        </w:numPr>
        <w:tabs>
          <w:tab w:val="clear" w:pos="317"/>
          <w:tab w:val="left" w:pos="144"/>
        </w:tabs>
        <w:spacing w:before="0" w:after="0" w:line="360" w:lineRule="auto"/>
        <w:jc w:val="both"/>
      </w:pPr>
      <w:r w:rsidRPr="003E19FB">
        <w:t>Беременным пациенткам с заболеваниями системы крови рекомендовано обеспечивать уровень гемоглобина в крови не менее 80 г/л.</w:t>
      </w:r>
    </w:p>
    <w:p w14:paraId="56F0870F" w14:textId="77777777" w:rsidR="00784084" w:rsidRPr="004E4312" w:rsidRDefault="00784084" w:rsidP="00784084">
      <w:pPr>
        <w:rPr>
          <w:b/>
          <w:u w:val="single"/>
        </w:rPr>
      </w:pPr>
      <w:r w:rsidRPr="004E4312">
        <w:rPr>
          <w:u w:val="single"/>
        </w:rPr>
        <w:t>Показания к ЭСК при острой анемии вследствие массивной кровопотери</w:t>
      </w:r>
    </w:p>
    <w:p w14:paraId="647A2B1B" w14:textId="77777777" w:rsidR="00784084" w:rsidRPr="003E19FB" w:rsidRDefault="00784084" w:rsidP="0051317D">
      <w:pPr>
        <w:pStyle w:val="FitzBullet"/>
        <w:numPr>
          <w:ilvl w:val="0"/>
          <w:numId w:val="84"/>
        </w:numPr>
        <w:tabs>
          <w:tab w:val="clear" w:pos="317"/>
          <w:tab w:val="left" w:pos="144"/>
        </w:tabs>
        <w:spacing w:before="0" w:after="0" w:line="360" w:lineRule="auto"/>
        <w:jc w:val="both"/>
      </w:pPr>
      <w:r w:rsidRPr="003E19FB">
        <w:t>Кровопотеря, составляющая 15—30% от объема циркулирующей крови при наличии предшествующей анемии или сопутствующих кардиологических или пульмонологических заболеваниях.</w:t>
      </w:r>
    </w:p>
    <w:p w14:paraId="3DD490C9" w14:textId="77777777" w:rsidR="00784084" w:rsidRPr="003E19FB" w:rsidRDefault="00784084" w:rsidP="0051317D">
      <w:pPr>
        <w:pStyle w:val="FitzBullet"/>
        <w:numPr>
          <w:ilvl w:val="0"/>
          <w:numId w:val="84"/>
        </w:numPr>
        <w:tabs>
          <w:tab w:val="clear" w:pos="317"/>
          <w:tab w:val="left" w:pos="144"/>
        </w:tabs>
        <w:spacing w:before="0" w:after="0" w:line="360" w:lineRule="auto"/>
        <w:jc w:val="both"/>
      </w:pPr>
      <w:r w:rsidRPr="003E19FB">
        <w:t>Уровень гемоглобина ниже 70—90 г/л при активном кровотечении.</w:t>
      </w:r>
    </w:p>
    <w:p w14:paraId="1EC35107" w14:textId="77777777" w:rsidR="00784084" w:rsidRPr="003E19FB" w:rsidRDefault="00784084" w:rsidP="0051317D">
      <w:pPr>
        <w:pStyle w:val="FitzBullet"/>
        <w:numPr>
          <w:ilvl w:val="0"/>
          <w:numId w:val="84"/>
        </w:numPr>
        <w:tabs>
          <w:tab w:val="clear" w:pos="317"/>
          <w:tab w:val="left" w:pos="144"/>
        </w:tabs>
        <w:spacing w:before="0" w:after="0" w:line="360" w:lineRule="auto"/>
        <w:jc w:val="both"/>
      </w:pPr>
      <w:r w:rsidRPr="003E19FB">
        <w:t>Уровень гемоглобина &lt; 100 г/л у пациентов с черепно-мозговой травмой, субарахноидальным кровоизлиянием, хронической дыхательной недостаточностью, ишемической болезнью сердца, кардиохирургических пациентов, пожилых пациентов </w:t>
      </w:r>
    </w:p>
    <w:p w14:paraId="4608437F" w14:textId="77777777" w:rsidR="00784084" w:rsidRDefault="00784084" w:rsidP="0051317D">
      <w:pPr>
        <w:pStyle w:val="FitzBullet"/>
        <w:numPr>
          <w:ilvl w:val="0"/>
          <w:numId w:val="84"/>
        </w:numPr>
        <w:tabs>
          <w:tab w:val="clear" w:pos="317"/>
          <w:tab w:val="left" w:pos="144"/>
        </w:tabs>
        <w:spacing w:before="0" w:after="0" w:line="360" w:lineRule="auto"/>
        <w:jc w:val="both"/>
      </w:pPr>
      <w:r w:rsidRPr="003E19FB">
        <w:t>Рекомендуется соблюдение формулы 1:1:1, обозначающей должное соотношение эритроцитов, СЗП и тромбоцитов.</w:t>
      </w:r>
    </w:p>
    <w:p w14:paraId="461243B1" w14:textId="77777777" w:rsidR="00784084" w:rsidRPr="003E19FB" w:rsidRDefault="00784084" w:rsidP="00784084">
      <w:pPr>
        <w:pStyle w:val="FitzBullet"/>
        <w:spacing w:before="0" w:after="0" w:line="360" w:lineRule="auto"/>
        <w:ind w:left="720" w:firstLine="0"/>
      </w:pPr>
    </w:p>
    <w:p w14:paraId="45BBAE00" w14:textId="77777777" w:rsidR="00784084" w:rsidRPr="00360841" w:rsidRDefault="00784084" w:rsidP="00784084">
      <w:pPr>
        <w:rPr>
          <w:bCs/>
          <w:i/>
          <w:iCs/>
          <w:szCs w:val="24"/>
          <w:u w:val="single"/>
          <w:lang w:eastAsia="ru-RU"/>
        </w:rPr>
      </w:pPr>
      <w:r w:rsidRPr="00360841">
        <w:rPr>
          <w:bCs/>
          <w:i/>
          <w:iCs/>
          <w:szCs w:val="24"/>
          <w:u w:val="single"/>
          <w:lang w:eastAsia="ru-RU"/>
        </w:rPr>
        <w:t>Трансфузии концентрата тромбоцитов</w:t>
      </w:r>
    </w:p>
    <w:p w14:paraId="4C0F0187" w14:textId="777145BA" w:rsidR="00784084" w:rsidRPr="003E19FB" w:rsidRDefault="00784084" w:rsidP="00784084">
      <w:pPr>
        <w:contextualSpacing/>
        <w:rPr>
          <w:color w:val="333333"/>
          <w:szCs w:val="24"/>
        </w:rPr>
      </w:pPr>
      <w:r>
        <w:rPr>
          <w:color w:val="373838"/>
          <w:szCs w:val="24"/>
        </w:rPr>
        <w:t xml:space="preserve">Считается, что </w:t>
      </w:r>
      <w:r w:rsidRPr="003E19FB">
        <w:rPr>
          <w:color w:val="333333"/>
          <w:szCs w:val="24"/>
        </w:rPr>
        <w:t>пороговый уровень тромбоцитов у пациентов в стационаре, при котором проводятся профилактические трансфузии концентрата тромбоцитов, составляет 10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 при условии отсутствия факторов риска кровотечения. Для амбулаторных пациентов это значение может быть увеличено. Медицинские манипуляции, например установка центрального венозного катетера (ЦВК), являются условием к проведению профилактических трансфузий концентрата тромбоцитов при количестве тромбоцитов в периферической крови 20</w:t>
      </w:r>
      <w:r>
        <w:rPr>
          <w:color w:val="333333"/>
          <w:szCs w:val="24"/>
        </w:rPr>
        <w:t>-30</w:t>
      </w:r>
      <w:r>
        <w:rPr>
          <w:szCs w:val="24"/>
        </w:rPr>
        <w:t>х</w:t>
      </w:r>
      <w:r w:rsidRPr="003E19FB">
        <w:rPr>
          <w:color w:val="333333"/>
          <w:szCs w:val="24"/>
        </w:rPr>
        <w:t>10</w:t>
      </w:r>
      <w:r w:rsidRPr="003E19FB">
        <w:rPr>
          <w:color w:val="333333"/>
          <w:szCs w:val="24"/>
          <w:vertAlign w:val="superscript"/>
        </w:rPr>
        <w:t>9</w:t>
      </w:r>
      <w:r w:rsidRPr="003E19FB">
        <w:rPr>
          <w:color w:val="333333"/>
          <w:szCs w:val="24"/>
        </w:rPr>
        <w:t>/л и ниже, а перед люмбальной пункцией или объемной операцией пороговый уровень тромбоцитов повышается до 50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w:t>
      </w:r>
      <w:r>
        <w:rPr>
          <w:color w:val="333333"/>
          <w:szCs w:val="24"/>
        </w:rPr>
        <w:t>.</w:t>
      </w:r>
      <w:r>
        <w:rPr>
          <w:szCs w:val="24"/>
        </w:rPr>
        <w:t xml:space="preserve"> </w:t>
      </w:r>
    </w:p>
    <w:p w14:paraId="76BA757A" w14:textId="77777777" w:rsidR="00784084" w:rsidRDefault="00784084" w:rsidP="00784084">
      <w:pPr>
        <w:contextualSpacing/>
        <w:rPr>
          <w:bCs/>
          <w:szCs w:val="24"/>
        </w:rPr>
      </w:pPr>
      <w:r>
        <w:rPr>
          <w:szCs w:val="24"/>
        </w:rPr>
        <w:t>При некоторых гематологических заболеваниях, ассоциированных с повышенным риском геморрагических осложнений, пороговый уровень тромбоцитов должен быть увеличен. Так,  у  всех пациентов</w:t>
      </w:r>
      <w:r w:rsidRPr="003E19FB">
        <w:rPr>
          <w:szCs w:val="24"/>
        </w:rPr>
        <w:t xml:space="preserve"> с острым промиелоцитарным лейкозом (ОПЛ)</w:t>
      </w:r>
      <w:r>
        <w:rPr>
          <w:szCs w:val="24"/>
        </w:rPr>
        <w:t xml:space="preserve"> пороговый уровень тромбоцитов увеличен до </w:t>
      </w:r>
      <w:r w:rsidRPr="003E19FB">
        <w:rPr>
          <w:color w:val="333333"/>
          <w:szCs w:val="24"/>
        </w:rPr>
        <w:t>50</w:t>
      </w:r>
      <w:r>
        <w:rPr>
          <w:color w:val="333333"/>
          <w:szCs w:val="24"/>
        </w:rPr>
        <w:t>х</w:t>
      </w:r>
      <w:r w:rsidRPr="003E19FB">
        <w:rPr>
          <w:color w:val="333333"/>
          <w:szCs w:val="24"/>
        </w:rPr>
        <w:t>10</w:t>
      </w:r>
      <w:r w:rsidRPr="003E19FB">
        <w:rPr>
          <w:color w:val="333333"/>
          <w:szCs w:val="24"/>
          <w:vertAlign w:val="superscript"/>
        </w:rPr>
        <w:t>9</w:t>
      </w:r>
      <w:r w:rsidRPr="003E19FB">
        <w:rPr>
          <w:color w:val="333333"/>
          <w:szCs w:val="24"/>
        </w:rPr>
        <w:t>/л</w:t>
      </w:r>
      <w:r>
        <w:rPr>
          <w:szCs w:val="24"/>
        </w:rPr>
        <w:t>,</w:t>
      </w:r>
      <w:r w:rsidRPr="003E19FB">
        <w:rPr>
          <w:szCs w:val="24"/>
        </w:rPr>
        <w:t xml:space="preserve"> </w:t>
      </w:r>
      <w:r w:rsidRPr="003E19FB">
        <w:rPr>
          <w:bCs/>
          <w:szCs w:val="24"/>
        </w:rPr>
        <w:t>поскольку ОПЛ характеризуется тяжелым геморрагическим синдромом и избыточным активированным фибринолизом</w:t>
      </w:r>
      <w:r>
        <w:rPr>
          <w:bCs/>
          <w:szCs w:val="24"/>
        </w:rPr>
        <w:t xml:space="preserve">; у  </w:t>
      </w:r>
      <w:r w:rsidRPr="003E19FB">
        <w:rPr>
          <w:szCs w:val="24"/>
        </w:rPr>
        <w:t>беременны</w:t>
      </w:r>
      <w:r>
        <w:rPr>
          <w:szCs w:val="24"/>
        </w:rPr>
        <w:t>х</w:t>
      </w:r>
      <w:r w:rsidRPr="003E19FB">
        <w:rPr>
          <w:szCs w:val="24"/>
        </w:rPr>
        <w:t xml:space="preserve"> пациент</w:t>
      </w:r>
      <w:r>
        <w:rPr>
          <w:szCs w:val="24"/>
        </w:rPr>
        <w:t>ок</w:t>
      </w:r>
      <w:r w:rsidRPr="003E19FB">
        <w:rPr>
          <w:szCs w:val="24"/>
        </w:rPr>
        <w:t xml:space="preserve"> с </w:t>
      </w:r>
      <w:r>
        <w:rPr>
          <w:szCs w:val="24"/>
        </w:rPr>
        <w:t xml:space="preserve">другими </w:t>
      </w:r>
      <w:r w:rsidRPr="003E19FB">
        <w:rPr>
          <w:szCs w:val="24"/>
        </w:rPr>
        <w:t xml:space="preserve">опухолевыми </w:t>
      </w:r>
      <w:r>
        <w:rPr>
          <w:szCs w:val="24"/>
        </w:rPr>
        <w:t>гематологическими заболеваниями</w:t>
      </w:r>
      <w:r w:rsidRPr="003E19FB">
        <w:rPr>
          <w:bCs/>
          <w:szCs w:val="24"/>
        </w:rPr>
        <w:t xml:space="preserve"> пороговый уровень тромбоцитов составляет 30</w:t>
      </w:r>
      <w:r>
        <w:rPr>
          <w:bCs/>
          <w:szCs w:val="24"/>
        </w:rPr>
        <w:t>х</w:t>
      </w:r>
      <w:r w:rsidRPr="003E19FB">
        <w:rPr>
          <w:bCs/>
          <w:szCs w:val="24"/>
        </w:rPr>
        <w:t>10</w:t>
      </w:r>
      <w:r w:rsidRPr="003E19FB">
        <w:rPr>
          <w:bCs/>
          <w:szCs w:val="24"/>
          <w:vertAlign w:val="superscript"/>
        </w:rPr>
        <w:t>9</w:t>
      </w:r>
      <w:r w:rsidRPr="003E19FB">
        <w:rPr>
          <w:bCs/>
          <w:szCs w:val="24"/>
        </w:rPr>
        <w:t>/л.</w:t>
      </w:r>
    </w:p>
    <w:p w14:paraId="6A39B690" w14:textId="77777777" w:rsidR="00784084" w:rsidRPr="003E19FB" w:rsidRDefault="00784084" w:rsidP="00784084">
      <w:pPr>
        <w:contextualSpacing/>
        <w:rPr>
          <w:szCs w:val="24"/>
          <w:lang w:eastAsia="ru-RU"/>
        </w:rPr>
      </w:pPr>
      <w:r w:rsidRPr="003E19FB">
        <w:rPr>
          <w:szCs w:val="24"/>
          <w:lang w:eastAsia="ru-RU"/>
        </w:rPr>
        <w:t>Переливание тромбоцитов не показано при тромбоцитопении иммунного генеза, за исключением случаев, когда оно необходимо по жизненным показаниям при развивш</w:t>
      </w:r>
      <w:r>
        <w:rPr>
          <w:szCs w:val="24"/>
          <w:lang w:eastAsia="ru-RU"/>
        </w:rPr>
        <w:t>е</w:t>
      </w:r>
      <w:r w:rsidRPr="003E19FB">
        <w:rPr>
          <w:szCs w:val="24"/>
          <w:lang w:eastAsia="ru-RU"/>
        </w:rPr>
        <w:t>мся кровотечении.</w:t>
      </w:r>
      <w:r>
        <w:rPr>
          <w:szCs w:val="24"/>
          <w:lang w:eastAsia="ru-RU"/>
        </w:rPr>
        <w:t xml:space="preserve"> </w:t>
      </w:r>
      <w:r w:rsidRPr="003E19FB">
        <w:rPr>
          <w:szCs w:val="24"/>
          <w:lang w:eastAsia="ru-RU"/>
        </w:rPr>
        <w:t xml:space="preserve">При тромбоцитопатиях трансфузия тромбоцитов также </w:t>
      </w:r>
      <w:r>
        <w:rPr>
          <w:szCs w:val="24"/>
          <w:lang w:eastAsia="ru-RU"/>
        </w:rPr>
        <w:t xml:space="preserve">рутинно не показана, и </w:t>
      </w:r>
      <w:r w:rsidRPr="003E19FB">
        <w:rPr>
          <w:szCs w:val="24"/>
          <w:lang w:eastAsia="ru-RU"/>
        </w:rPr>
        <w:t>осуществляется только в неотложных ситуациях: при массивных кровотечениях, операциях, родах.</w:t>
      </w:r>
    </w:p>
    <w:p w14:paraId="431DAC39" w14:textId="77777777" w:rsidR="00784084" w:rsidRDefault="00784084" w:rsidP="00784084">
      <w:pPr>
        <w:contextualSpacing/>
        <w:rPr>
          <w:szCs w:val="24"/>
        </w:rPr>
      </w:pPr>
      <w:r w:rsidRPr="002A1C4D">
        <w:rPr>
          <w:szCs w:val="24"/>
          <w:u w:val="single"/>
        </w:rPr>
        <w:t>Показания к переливанию концентрата тромбоцитов с профилактической целью</w:t>
      </w:r>
      <w:r w:rsidRPr="00BA458B">
        <w:rPr>
          <w:szCs w:val="24"/>
        </w:rPr>
        <w:t xml:space="preserve"> приведены в табл. 1.</w:t>
      </w:r>
    </w:p>
    <w:p w14:paraId="6464CE7D" w14:textId="77777777" w:rsidR="00784084" w:rsidRDefault="00784084" w:rsidP="00784084">
      <w:pPr>
        <w:contextualSpacing/>
        <w:rPr>
          <w:bCs/>
          <w:szCs w:val="24"/>
        </w:rPr>
      </w:pPr>
    </w:p>
    <w:p w14:paraId="0A526BB4" w14:textId="77777777" w:rsidR="00784084" w:rsidRPr="0008195A" w:rsidRDefault="00784084" w:rsidP="00784084">
      <w:pPr>
        <w:contextualSpacing/>
        <w:rPr>
          <w:szCs w:val="24"/>
        </w:rPr>
      </w:pPr>
      <w:r w:rsidRPr="0008195A">
        <w:rPr>
          <w:bCs/>
          <w:szCs w:val="24"/>
        </w:rPr>
        <w:t>Таблица 1. Показания к переливанию концентрата тромбоцитов</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07"/>
        <w:gridCol w:w="2663"/>
        <w:gridCol w:w="3690"/>
      </w:tblGrid>
      <w:tr w:rsidR="00784084" w:rsidRPr="004C7AAC" w14:paraId="6689AA29" w14:textId="77777777" w:rsidTr="002D3EBF">
        <w:tc>
          <w:tcPr>
            <w:tcW w:w="3007" w:type="dxa"/>
            <w:vAlign w:val="center"/>
          </w:tcPr>
          <w:p w14:paraId="16FA8726" w14:textId="77777777" w:rsidR="00784084" w:rsidRPr="00BA458B" w:rsidRDefault="00784084" w:rsidP="002D3EBF">
            <w:pPr>
              <w:pStyle w:val="Table-head-italic"/>
              <w:spacing w:line="360" w:lineRule="auto"/>
              <w:jc w:val="center"/>
              <w:rPr>
                <w:i w:val="0"/>
                <w:sz w:val="22"/>
                <w:szCs w:val="22"/>
                <w:lang w:val="ru-RU"/>
              </w:rPr>
            </w:pPr>
            <w:r w:rsidRPr="00BA458B">
              <w:rPr>
                <w:i w:val="0"/>
                <w:sz w:val="22"/>
                <w:szCs w:val="22"/>
                <w:lang w:val="ru-RU"/>
              </w:rPr>
              <w:t>Показание</w:t>
            </w:r>
          </w:p>
        </w:tc>
        <w:tc>
          <w:tcPr>
            <w:tcW w:w="2663" w:type="dxa"/>
            <w:vAlign w:val="center"/>
          </w:tcPr>
          <w:p w14:paraId="241F7D78" w14:textId="77777777" w:rsidR="00784084" w:rsidRPr="00BA458B" w:rsidRDefault="00784084" w:rsidP="002D3EBF">
            <w:pPr>
              <w:pStyle w:val="Table-head-italic"/>
              <w:spacing w:line="360" w:lineRule="auto"/>
              <w:jc w:val="center"/>
              <w:rPr>
                <w:i w:val="0"/>
                <w:sz w:val="22"/>
                <w:szCs w:val="22"/>
                <w:lang w:val="ru-RU"/>
              </w:rPr>
            </w:pPr>
            <w:r w:rsidRPr="00BA458B">
              <w:rPr>
                <w:i w:val="0"/>
                <w:sz w:val="22"/>
                <w:szCs w:val="22"/>
                <w:lang w:val="ru-RU"/>
              </w:rPr>
              <w:t>Количество тромбоцитов в периферической крови</w:t>
            </w:r>
          </w:p>
        </w:tc>
        <w:tc>
          <w:tcPr>
            <w:tcW w:w="3690" w:type="dxa"/>
            <w:vAlign w:val="center"/>
          </w:tcPr>
          <w:p w14:paraId="671D3511" w14:textId="77777777" w:rsidR="00784084" w:rsidRPr="00BA458B" w:rsidRDefault="00784084" w:rsidP="002D3EBF">
            <w:pPr>
              <w:pStyle w:val="Table-head-italic"/>
              <w:spacing w:line="360" w:lineRule="auto"/>
              <w:jc w:val="center"/>
              <w:rPr>
                <w:i w:val="0"/>
                <w:sz w:val="22"/>
                <w:szCs w:val="22"/>
                <w:lang w:val="ru-RU"/>
              </w:rPr>
            </w:pPr>
            <w:r w:rsidRPr="00BA458B">
              <w:rPr>
                <w:i w:val="0"/>
                <w:sz w:val="22"/>
                <w:szCs w:val="22"/>
                <w:lang w:val="ru-RU"/>
              </w:rPr>
              <w:t>Примечания</w:t>
            </w:r>
          </w:p>
        </w:tc>
      </w:tr>
      <w:tr w:rsidR="00784084" w:rsidRPr="004C7AAC" w14:paraId="11CB9A77" w14:textId="77777777" w:rsidTr="002D3EBF">
        <w:tc>
          <w:tcPr>
            <w:tcW w:w="3007" w:type="dxa"/>
          </w:tcPr>
          <w:p w14:paraId="4A51D0B1" w14:textId="77777777" w:rsidR="00784084" w:rsidRPr="00BA458B" w:rsidRDefault="00784084" w:rsidP="002D3EBF">
            <w:pPr>
              <w:pStyle w:val="table-text-0"/>
              <w:spacing w:before="0" w:line="360" w:lineRule="auto"/>
              <w:ind w:firstLine="0"/>
              <w:rPr>
                <w:sz w:val="22"/>
                <w:szCs w:val="22"/>
                <w:lang w:val="ru-RU"/>
              </w:rPr>
            </w:pPr>
            <w:r w:rsidRPr="00BA458B">
              <w:rPr>
                <w:sz w:val="22"/>
                <w:szCs w:val="22"/>
                <w:lang w:val="ru-RU"/>
              </w:rPr>
              <w:t>Во время или после химиотерапии, в период миелотоксического агранулоцитоза</w:t>
            </w:r>
          </w:p>
        </w:tc>
        <w:tc>
          <w:tcPr>
            <w:tcW w:w="2663" w:type="dxa"/>
            <w:vAlign w:val="center"/>
          </w:tcPr>
          <w:p w14:paraId="3FC0026C" w14:textId="77777777" w:rsidR="00784084" w:rsidRPr="00BA458B" w:rsidRDefault="00784084" w:rsidP="002D3EBF">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10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4429C732" w14:textId="77777777" w:rsidR="00784084" w:rsidRPr="00A83EB7" w:rsidRDefault="00784084" w:rsidP="002D3EBF">
            <w:pPr>
              <w:pStyle w:val="table-text-0"/>
              <w:spacing w:before="0" w:line="360" w:lineRule="auto"/>
              <w:ind w:firstLine="0"/>
              <w:rPr>
                <w:sz w:val="22"/>
                <w:szCs w:val="22"/>
                <w:lang w:val="ru-RU"/>
              </w:rPr>
            </w:pPr>
            <w:r w:rsidRPr="00A83EB7">
              <w:rPr>
                <w:sz w:val="22"/>
                <w:szCs w:val="22"/>
                <w:lang w:val="ru-RU"/>
              </w:rPr>
              <w:t>При синдроме повышенного потребления тромбоцитов* данный порог необходимо повысить</w:t>
            </w:r>
          </w:p>
        </w:tc>
      </w:tr>
      <w:tr w:rsidR="00784084" w:rsidRPr="004C7AAC" w14:paraId="1B29E174" w14:textId="77777777" w:rsidTr="002D3EBF">
        <w:tc>
          <w:tcPr>
            <w:tcW w:w="3007" w:type="dxa"/>
          </w:tcPr>
          <w:p w14:paraId="4AF17DC7" w14:textId="77777777" w:rsidR="00784084" w:rsidRPr="00BA458B" w:rsidRDefault="00784084" w:rsidP="002D3EBF">
            <w:pPr>
              <w:pStyle w:val="table-text-0"/>
              <w:spacing w:before="0" w:line="360" w:lineRule="auto"/>
              <w:ind w:firstLine="0"/>
              <w:rPr>
                <w:sz w:val="22"/>
                <w:szCs w:val="22"/>
                <w:lang w:val="ru-RU"/>
              </w:rPr>
            </w:pPr>
            <w:r w:rsidRPr="00BA458B">
              <w:rPr>
                <w:sz w:val="22"/>
                <w:szCs w:val="22"/>
                <w:lang w:val="ru-RU"/>
              </w:rPr>
              <w:t>Установка ЦВК</w:t>
            </w:r>
          </w:p>
        </w:tc>
        <w:tc>
          <w:tcPr>
            <w:tcW w:w="2663" w:type="dxa"/>
            <w:vAlign w:val="center"/>
          </w:tcPr>
          <w:p w14:paraId="2D731E20" w14:textId="77777777" w:rsidR="00784084" w:rsidRPr="00BA458B" w:rsidRDefault="00784084" w:rsidP="002D3EBF">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30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34577B81" w14:textId="77777777" w:rsidR="00784084" w:rsidRPr="00A83EB7" w:rsidRDefault="00784084" w:rsidP="002D3EBF">
            <w:pPr>
              <w:pStyle w:val="table-text-0"/>
              <w:spacing w:before="0" w:line="360" w:lineRule="auto"/>
              <w:ind w:firstLine="0"/>
              <w:jc w:val="center"/>
              <w:rPr>
                <w:sz w:val="22"/>
                <w:szCs w:val="22"/>
                <w:lang w:val="ru-RU"/>
              </w:rPr>
            </w:pPr>
            <w:r>
              <w:rPr>
                <w:sz w:val="22"/>
                <w:szCs w:val="22"/>
                <w:lang w:val="ru-RU"/>
              </w:rPr>
              <w:t>-</w:t>
            </w:r>
          </w:p>
        </w:tc>
      </w:tr>
      <w:tr w:rsidR="00784084" w:rsidRPr="004C7AAC" w14:paraId="619FCB19" w14:textId="77777777" w:rsidTr="002D3EBF">
        <w:tc>
          <w:tcPr>
            <w:tcW w:w="3007" w:type="dxa"/>
          </w:tcPr>
          <w:p w14:paraId="30BACD99" w14:textId="77777777" w:rsidR="00784084" w:rsidRPr="00BA458B" w:rsidRDefault="00784084" w:rsidP="002D3EBF">
            <w:pPr>
              <w:pStyle w:val="table-text-0"/>
              <w:spacing w:before="0" w:line="360" w:lineRule="auto"/>
              <w:ind w:firstLine="0"/>
              <w:rPr>
                <w:sz w:val="22"/>
                <w:szCs w:val="22"/>
                <w:lang w:val="ru-RU"/>
              </w:rPr>
            </w:pPr>
            <w:r w:rsidRPr="00BA458B">
              <w:rPr>
                <w:sz w:val="22"/>
                <w:szCs w:val="22"/>
                <w:lang w:val="ru-RU"/>
              </w:rPr>
              <w:t>Люмбальная пункция</w:t>
            </w:r>
          </w:p>
        </w:tc>
        <w:tc>
          <w:tcPr>
            <w:tcW w:w="2663" w:type="dxa"/>
            <w:vAlign w:val="center"/>
          </w:tcPr>
          <w:p w14:paraId="096E31BD" w14:textId="77777777" w:rsidR="00784084" w:rsidRPr="00BA458B" w:rsidRDefault="00784084" w:rsidP="002D3EBF">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6376DA41" w14:textId="77777777" w:rsidR="00784084" w:rsidRPr="00A83EB7" w:rsidRDefault="00784084" w:rsidP="002D3EBF">
            <w:pPr>
              <w:pStyle w:val="table-text-0"/>
              <w:spacing w:before="0" w:line="360" w:lineRule="auto"/>
              <w:ind w:firstLine="0"/>
              <w:jc w:val="center"/>
              <w:rPr>
                <w:sz w:val="22"/>
                <w:szCs w:val="22"/>
                <w:lang w:val="ru-RU"/>
              </w:rPr>
            </w:pPr>
            <w:r>
              <w:rPr>
                <w:sz w:val="22"/>
                <w:szCs w:val="22"/>
                <w:lang w:val="ru-RU"/>
              </w:rPr>
              <w:t>-</w:t>
            </w:r>
          </w:p>
        </w:tc>
      </w:tr>
      <w:tr w:rsidR="00784084" w:rsidRPr="004C7AAC" w14:paraId="7827F4AA" w14:textId="77777777" w:rsidTr="002D3EBF">
        <w:tc>
          <w:tcPr>
            <w:tcW w:w="3007" w:type="dxa"/>
          </w:tcPr>
          <w:p w14:paraId="4A3F75F8" w14:textId="77777777" w:rsidR="00784084" w:rsidRPr="00BA458B" w:rsidRDefault="00784084" w:rsidP="002D3EBF">
            <w:pPr>
              <w:pStyle w:val="table-text-0"/>
              <w:spacing w:before="0" w:line="360" w:lineRule="auto"/>
              <w:ind w:firstLine="0"/>
              <w:rPr>
                <w:sz w:val="22"/>
                <w:szCs w:val="22"/>
                <w:lang w:val="ru-RU"/>
              </w:rPr>
            </w:pPr>
            <w:r w:rsidRPr="00BA458B">
              <w:rPr>
                <w:sz w:val="22"/>
                <w:szCs w:val="22"/>
                <w:lang w:val="ru-RU"/>
              </w:rPr>
              <w:t>Объемные операции и малообъемные инвазивные вмешательства</w:t>
            </w:r>
          </w:p>
        </w:tc>
        <w:tc>
          <w:tcPr>
            <w:tcW w:w="2663" w:type="dxa"/>
            <w:vAlign w:val="center"/>
          </w:tcPr>
          <w:p w14:paraId="7F9D768B" w14:textId="77777777" w:rsidR="00784084" w:rsidRPr="00BA458B" w:rsidRDefault="00784084" w:rsidP="002D3EBF">
            <w:pPr>
              <w:pStyle w:val="table-text-0"/>
              <w:spacing w:before="0" w:line="360" w:lineRule="auto"/>
              <w:ind w:firstLine="0"/>
              <w:rPr>
                <w:sz w:val="22"/>
                <w:szCs w:val="22"/>
                <w:lang w:val="ru-RU"/>
              </w:rPr>
            </w:pPr>
            <w:r>
              <w:rPr>
                <w:sz w:val="22"/>
                <w:szCs w:val="22"/>
                <w:lang w:val="ru-RU"/>
              </w:rPr>
              <w:t>М</w:t>
            </w:r>
            <w:r w:rsidRPr="00BA458B">
              <w:rPr>
                <w:sz w:val="22"/>
                <w:szCs w:val="22"/>
                <w:lang w:val="ru-RU"/>
              </w:rPr>
              <w:t>енее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56D9AF53" w14:textId="77777777" w:rsidR="00784084" w:rsidRPr="00A83EB7" w:rsidRDefault="00784084" w:rsidP="002D3EBF">
            <w:pPr>
              <w:pStyle w:val="table-text-0"/>
              <w:spacing w:before="0" w:line="360" w:lineRule="auto"/>
              <w:ind w:firstLine="0"/>
              <w:rPr>
                <w:sz w:val="22"/>
                <w:szCs w:val="22"/>
                <w:lang w:val="ru-RU"/>
              </w:rPr>
            </w:pPr>
            <w:r w:rsidRPr="00A83EB7">
              <w:rPr>
                <w:sz w:val="22"/>
                <w:szCs w:val="22"/>
                <w:lang w:val="ru-RU"/>
              </w:rPr>
              <w:t>Помимо профилактической трансфузии, необходимо резервирование концентрата тромбоцитов для проведения операции. Доза определяется массой тела пациента, а количество трансфузий — объемом операции</w:t>
            </w:r>
          </w:p>
        </w:tc>
      </w:tr>
      <w:tr w:rsidR="00784084" w:rsidRPr="004C7AAC" w14:paraId="3CA09873" w14:textId="77777777" w:rsidTr="002D3EBF">
        <w:tc>
          <w:tcPr>
            <w:tcW w:w="3007" w:type="dxa"/>
          </w:tcPr>
          <w:p w14:paraId="2FE22514" w14:textId="77777777" w:rsidR="00784084" w:rsidRPr="00BA458B" w:rsidRDefault="00784084" w:rsidP="002D3EBF">
            <w:pPr>
              <w:pStyle w:val="table-text-0"/>
              <w:spacing w:before="0" w:line="360" w:lineRule="auto"/>
              <w:ind w:firstLine="0"/>
              <w:rPr>
                <w:sz w:val="22"/>
                <w:szCs w:val="22"/>
                <w:lang w:val="ru-RU"/>
              </w:rPr>
            </w:pPr>
            <w:r w:rsidRPr="00BA458B">
              <w:rPr>
                <w:sz w:val="22"/>
                <w:szCs w:val="22"/>
                <w:lang w:val="ru-RU"/>
              </w:rPr>
              <w:t>Беременные</w:t>
            </w:r>
          </w:p>
        </w:tc>
        <w:tc>
          <w:tcPr>
            <w:tcW w:w="2663" w:type="dxa"/>
          </w:tcPr>
          <w:p w14:paraId="11B54BE8" w14:textId="77777777" w:rsidR="00784084" w:rsidRPr="00BA458B" w:rsidRDefault="00784084" w:rsidP="002D3EBF">
            <w:pPr>
              <w:pStyle w:val="table-text-0"/>
              <w:spacing w:before="0" w:line="360" w:lineRule="auto"/>
              <w:ind w:firstLine="0"/>
              <w:rPr>
                <w:sz w:val="22"/>
                <w:szCs w:val="22"/>
                <w:lang w:val="ru-RU"/>
              </w:rPr>
            </w:pPr>
            <w:r>
              <w:rPr>
                <w:sz w:val="22"/>
                <w:szCs w:val="22"/>
                <w:lang w:val="ru-RU"/>
              </w:rPr>
              <w:t xml:space="preserve">Менее </w:t>
            </w:r>
            <w:r w:rsidRPr="00BA458B">
              <w:rPr>
                <w:sz w:val="22"/>
                <w:szCs w:val="22"/>
                <w:lang w:val="ru-RU"/>
              </w:rPr>
              <w:t>30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732DBC60" w14:textId="77777777" w:rsidR="00784084" w:rsidRPr="00A83EB7" w:rsidRDefault="00784084" w:rsidP="002D3EBF">
            <w:pPr>
              <w:pStyle w:val="table-text-0"/>
              <w:spacing w:before="0" w:line="360" w:lineRule="auto"/>
              <w:ind w:firstLine="0"/>
              <w:jc w:val="center"/>
              <w:rPr>
                <w:sz w:val="22"/>
                <w:szCs w:val="22"/>
                <w:lang w:val="ru-RU"/>
              </w:rPr>
            </w:pPr>
            <w:r>
              <w:rPr>
                <w:sz w:val="22"/>
                <w:szCs w:val="22"/>
                <w:lang w:val="ru-RU"/>
              </w:rPr>
              <w:t>-</w:t>
            </w:r>
          </w:p>
        </w:tc>
      </w:tr>
      <w:tr w:rsidR="00784084" w:rsidRPr="004C7AAC" w14:paraId="440288DE" w14:textId="77777777" w:rsidTr="002D3EBF">
        <w:tc>
          <w:tcPr>
            <w:tcW w:w="3007" w:type="dxa"/>
          </w:tcPr>
          <w:p w14:paraId="78054B11" w14:textId="77777777" w:rsidR="00784084" w:rsidRPr="00BA458B" w:rsidRDefault="00784084" w:rsidP="002D3EBF">
            <w:pPr>
              <w:pStyle w:val="table-text-0"/>
              <w:spacing w:before="0" w:line="360" w:lineRule="auto"/>
              <w:ind w:firstLine="0"/>
              <w:rPr>
                <w:sz w:val="22"/>
                <w:szCs w:val="22"/>
                <w:lang w:val="ru-RU"/>
              </w:rPr>
            </w:pPr>
            <w:r>
              <w:rPr>
                <w:sz w:val="22"/>
                <w:szCs w:val="22"/>
                <w:lang w:val="ru-RU"/>
              </w:rPr>
              <w:t>Пациенты с</w:t>
            </w:r>
            <w:r w:rsidRPr="00BA458B">
              <w:rPr>
                <w:sz w:val="22"/>
                <w:szCs w:val="22"/>
                <w:lang w:val="ru-RU"/>
              </w:rPr>
              <w:t xml:space="preserve"> ОПЛ</w:t>
            </w:r>
          </w:p>
        </w:tc>
        <w:tc>
          <w:tcPr>
            <w:tcW w:w="2663" w:type="dxa"/>
          </w:tcPr>
          <w:p w14:paraId="7E1DBC77" w14:textId="77777777" w:rsidR="00784084" w:rsidRPr="00BA458B" w:rsidRDefault="00784084" w:rsidP="002D3EBF">
            <w:pPr>
              <w:pStyle w:val="table-text-0"/>
              <w:spacing w:before="0" w:line="360" w:lineRule="auto"/>
              <w:ind w:firstLine="0"/>
              <w:rPr>
                <w:sz w:val="22"/>
                <w:szCs w:val="22"/>
                <w:lang w:val="ru-RU"/>
              </w:rPr>
            </w:pPr>
            <w:r>
              <w:rPr>
                <w:sz w:val="22"/>
                <w:szCs w:val="22"/>
                <w:lang w:val="ru-RU"/>
              </w:rPr>
              <w:t>Менее</w:t>
            </w:r>
            <w:r w:rsidRPr="00BA458B">
              <w:rPr>
                <w:sz w:val="22"/>
                <w:szCs w:val="22"/>
                <w:lang w:val="ru-RU"/>
              </w:rPr>
              <w:t xml:space="preserve">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55D413A5" w14:textId="77777777" w:rsidR="00784084" w:rsidRPr="00A83EB7" w:rsidRDefault="00784084" w:rsidP="002D3EBF">
            <w:pPr>
              <w:pStyle w:val="table-text-0"/>
              <w:spacing w:before="0" w:line="360" w:lineRule="auto"/>
              <w:ind w:firstLine="0"/>
              <w:jc w:val="center"/>
              <w:rPr>
                <w:sz w:val="22"/>
                <w:szCs w:val="22"/>
                <w:lang w:val="ru-RU"/>
              </w:rPr>
            </w:pPr>
            <w:r>
              <w:rPr>
                <w:sz w:val="22"/>
                <w:szCs w:val="22"/>
                <w:lang w:val="ru-RU"/>
              </w:rPr>
              <w:t>-</w:t>
            </w:r>
          </w:p>
        </w:tc>
      </w:tr>
      <w:tr w:rsidR="00784084" w:rsidRPr="004C7AAC" w14:paraId="00DF2D5B" w14:textId="77777777" w:rsidTr="002D3EBF">
        <w:tc>
          <w:tcPr>
            <w:tcW w:w="3007" w:type="dxa"/>
          </w:tcPr>
          <w:p w14:paraId="30498404" w14:textId="77777777" w:rsidR="00784084" w:rsidRPr="00BA458B" w:rsidRDefault="00784084" w:rsidP="002D3EBF">
            <w:pPr>
              <w:pStyle w:val="table-text-0"/>
              <w:spacing w:before="0" w:line="360" w:lineRule="auto"/>
              <w:ind w:firstLine="0"/>
              <w:rPr>
                <w:sz w:val="22"/>
                <w:szCs w:val="22"/>
                <w:lang w:val="ru-RU"/>
              </w:rPr>
            </w:pPr>
            <w:r w:rsidRPr="00BA458B">
              <w:rPr>
                <w:sz w:val="22"/>
                <w:szCs w:val="22"/>
                <w:lang w:val="ru-RU"/>
              </w:rPr>
              <w:t>ДВС</w:t>
            </w:r>
            <w:r>
              <w:rPr>
                <w:sz w:val="22"/>
                <w:szCs w:val="22"/>
                <w:lang w:val="ru-RU"/>
              </w:rPr>
              <w:t>-</w:t>
            </w:r>
            <w:r w:rsidRPr="00BA458B">
              <w:rPr>
                <w:sz w:val="22"/>
                <w:szCs w:val="22"/>
                <w:lang w:val="ru-RU"/>
              </w:rPr>
              <w:t>синдром</w:t>
            </w:r>
          </w:p>
        </w:tc>
        <w:tc>
          <w:tcPr>
            <w:tcW w:w="2663" w:type="dxa"/>
          </w:tcPr>
          <w:p w14:paraId="0F5A5F5A" w14:textId="77777777" w:rsidR="00784084" w:rsidRPr="00BA458B" w:rsidRDefault="00784084" w:rsidP="002D3EBF">
            <w:pPr>
              <w:pStyle w:val="table-text-0"/>
              <w:spacing w:before="0" w:line="360" w:lineRule="auto"/>
              <w:ind w:firstLine="0"/>
              <w:rPr>
                <w:sz w:val="22"/>
                <w:szCs w:val="22"/>
                <w:lang w:val="ru-RU"/>
              </w:rPr>
            </w:pPr>
            <w:r>
              <w:rPr>
                <w:sz w:val="22"/>
                <w:szCs w:val="22"/>
                <w:lang w:val="ru-RU"/>
              </w:rPr>
              <w:t>Менее</w:t>
            </w:r>
            <w:r w:rsidRPr="00BA458B">
              <w:rPr>
                <w:sz w:val="22"/>
                <w:szCs w:val="22"/>
                <w:lang w:val="ru-RU"/>
              </w:rPr>
              <w:t xml:space="preserve"> 50</w:t>
            </w:r>
            <w:r>
              <w:rPr>
                <w:sz w:val="22"/>
                <w:szCs w:val="22"/>
                <w:lang w:val="ru-RU"/>
              </w:rPr>
              <w:t> </w:t>
            </w:r>
            <w:r w:rsidRPr="003511FE">
              <w:rPr>
                <w:rFonts w:ascii="Symbol" w:hAnsi="Symbol" w:cs="Symbol"/>
              </w:rPr>
              <w:t></w:t>
            </w:r>
            <w:r w:rsidRPr="00BA458B">
              <w:rPr>
                <w:sz w:val="22"/>
                <w:szCs w:val="22"/>
                <w:lang w:val="ru-RU"/>
              </w:rPr>
              <w:t xml:space="preserve"> 10</w:t>
            </w:r>
            <w:r>
              <w:rPr>
                <w:sz w:val="22"/>
                <w:szCs w:val="22"/>
                <w:vertAlign w:val="superscript"/>
                <w:lang w:val="ru-RU"/>
              </w:rPr>
              <w:t>9</w:t>
            </w:r>
            <w:r w:rsidRPr="00BA458B">
              <w:rPr>
                <w:sz w:val="22"/>
                <w:szCs w:val="22"/>
                <w:lang w:val="ru-RU"/>
              </w:rPr>
              <w:t>/л</w:t>
            </w:r>
          </w:p>
        </w:tc>
        <w:tc>
          <w:tcPr>
            <w:tcW w:w="3690" w:type="dxa"/>
          </w:tcPr>
          <w:p w14:paraId="1908C7A1" w14:textId="77777777" w:rsidR="00784084" w:rsidRPr="00A83EB7" w:rsidRDefault="00784084" w:rsidP="002D3EBF">
            <w:pPr>
              <w:pStyle w:val="table-text-0"/>
              <w:spacing w:before="0" w:line="360" w:lineRule="auto"/>
              <w:ind w:firstLine="0"/>
              <w:rPr>
                <w:sz w:val="22"/>
                <w:szCs w:val="22"/>
                <w:lang w:val="ru-RU"/>
              </w:rPr>
            </w:pPr>
            <w:r w:rsidRPr="00A83EB7">
              <w:rPr>
                <w:sz w:val="22"/>
                <w:szCs w:val="22"/>
                <w:lang w:val="ru-RU"/>
              </w:rPr>
              <w:t>Как часть основной терапии ДВС- синдрома</w:t>
            </w:r>
          </w:p>
        </w:tc>
      </w:tr>
    </w:tbl>
    <w:p w14:paraId="0CDBA293" w14:textId="77777777" w:rsidR="00784084" w:rsidRPr="0008195A" w:rsidRDefault="00784084" w:rsidP="00784084">
      <w:pPr>
        <w:rPr>
          <w:b/>
        </w:rPr>
      </w:pPr>
      <w:r w:rsidRPr="0008195A">
        <w:t>* Сепсис, пульмонологические заболевания, лихорадка.</w:t>
      </w:r>
    </w:p>
    <w:p w14:paraId="60F8A2D0" w14:textId="77777777" w:rsidR="00784084" w:rsidRDefault="00784084" w:rsidP="00784084">
      <w:pPr>
        <w:pStyle w:val="3"/>
        <w:spacing w:before="0"/>
        <w:ind w:firstLine="708"/>
        <w:rPr>
          <w:rFonts w:ascii="Times New Roman" w:hAnsi="Times New Roman" w:cs="Times New Roman"/>
          <w:b/>
          <w:u w:val="single"/>
        </w:rPr>
      </w:pPr>
    </w:p>
    <w:p w14:paraId="3D8B00DC" w14:textId="77777777" w:rsidR="00784084" w:rsidRPr="00287E25" w:rsidRDefault="00784084" w:rsidP="00784084">
      <w:pPr>
        <w:ind w:firstLine="708"/>
        <w:rPr>
          <w:b/>
          <w:u w:val="single"/>
        </w:rPr>
      </w:pPr>
      <w:r w:rsidRPr="00287E25">
        <w:rPr>
          <w:u w:val="single"/>
        </w:rPr>
        <w:t>Показания к переливанию концентрата тромбоцитов с лечебной целью.</w:t>
      </w:r>
    </w:p>
    <w:p w14:paraId="18ACBA50" w14:textId="77777777" w:rsidR="00784084" w:rsidRDefault="00784084" w:rsidP="00784084">
      <w:pPr>
        <w:ind w:firstLine="708"/>
        <w:rPr>
          <w:szCs w:val="24"/>
        </w:rPr>
      </w:pPr>
      <w:r w:rsidRPr="004C7AAC">
        <w:rPr>
          <w:bCs/>
          <w:szCs w:val="24"/>
        </w:rPr>
        <w:t>Наличие у пациента геморрагического синдрома</w:t>
      </w:r>
      <w:r>
        <w:rPr>
          <w:bCs/>
          <w:szCs w:val="24"/>
        </w:rPr>
        <w:t xml:space="preserve"> — </w:t>
      </w:r>
      <w:r w:rsidRPr="00A83EB7">
        <w:rPr>
          <w:bCs/>
          <w:szCs w:val="24"/>
        </w:rPr>
        <w:t>прямое показание к переливанию концентрата тромбоцитов независимо от лабораторных показателей. Оценка тяжести</w:t>
      </w:r>
      <w:r>
        <w:rPr>
          <w:bCs/>
          <w:szCs w:val="24"/>
        </w:rPr>
        <w:t xml:space="preserve"> </w:t>
      </w:r>
      <w:r w:rsidRPr="004C7AAC">
        <w:rPr>
          <w:bCs/>
          <w:szCs w:val="24"/>
        </w:rPr>
        <w:t>геморрагического синдрома проводится по шкале ВОЗ</w:t>
      </w:r>
      <w:r>
        <w:rPr>
          <w:bCs/>
          <w:szCs w:val="24"/>
        </w:rPr>
        <w:t xml:space="preserve"> (табл. 2)</w:t>
      </w:r>
      <w:r w:rsidRPr="004C7AAC">
        <w:rPr>
          <w:szCs w:val="24"/>
        </w:rPr>
        <w:t>.</w:t>
      </w:r>
    </w:p>
    <w:p w14:paraId="35743FFE" w14:textId="77777777" w:rsidR="00784084" w:rsidRDefault="00784084" w:rsidP="00784084">
      <w:pPr>
        <w:rPr>
          <w:bCs/>
          <w:szCs w:val="24"/>
        </w:rPr>
      </w:pPr>
    </w:p>
    <w:p w14:paraId="47C7BE34" w14:textId="77777777" w:rsidR="00784084" w:rsidRPr="002A1C4D" w:rsidRDefault="00784084" w:rsidP="00784084">
      <w:pPr>
        <w:rPr>
          <w:szCs w:val="24"/>
        </w:rPr>
      </w:pPr>
      <w:r w:rsidRPr="002A1C4D">
        <w:rPr>
          <w:bCs/>
          <w:szCs w:val="24"/>
        </w:rPr>
        <w:t>Таблица 2. Шкала кровотечений по ВОЗ</w:t>
      </w:r>
    </w:p>
    <w:tbl>
      <w:tblPr>
        <w:tblW w:w="0" w:type="auto"/>
        <w:tblInd w:w="4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95"/>
      </w:tblGrid>
      <w:tr w:rsidR="00784084" w:rsidRPr="004C7AAC" w14:paraId="1509B168" w14:textId="77777777" w:rsidTr="002D3EBF">
        <w:tc>
          <w:tcPr>
            <w:tcW w:w="9121" w:type="dxa"/>
            <w:shd w:val="clear" w:color="auto" w:fill="auto"/>
          </w:tcPr>
          <w:p w14:paraId="54D89CF1" w14:textId="77777777" w:rsidR="00784084" w:rsidRPr="004C7AAC" w:rsidRDefault="00784084" w:rsidP="002D3EBF">
            <w:pPr>
              <w:pStyle w:val="table-text-1"/>
              <w:spacing w:before="0" w:after="0" w:line="360" w:lineRule="auto"/>
              <w:rPr>
                <w:b/>
                <w:i/>
                <w:sz w:val="24"/>
                <w:szCs w:val="24"/>
              </w:rPr>
            </w:pPr>
            <w:r w:rsidRPr="002E0659">
              <w:rPr>
                <w:sz w:val="22"/>
                <w:szCs w:val="22"/>
              </w:rPr>
              <w:t>1 степень (не требует трансфузии)</w:t>
            </w:r>
          </w:p>
        </w:tc>
      </w:tr>
      <w:tr w:rsidR="00784084" w:rsidRPr="004C7AAC" w14:paraId="32B0D968" w14:textId="77777777" w:rsidTr="002D3EBF">
        <w:tc>
          <w:tcPr>
            <w:tcW w:w="9121" w:type="dxa"/>
            <w:shd w:val="clear" w:color="auto" w:fill="auto"/>
          </w:tcPr>
          <w:p w14:paraId="2FE78CD1"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 xml:space="preserve">Кровоточивость кожи и слизистых, включая </w:t>
            </w:r>
            <w:r>
              <w:rPr>
                <w:sz w:val="22"/>
                <w:szCs w:val="22"/>
                <w:lang w:val="ru-RU"/>
              </w:rPr>
              <w:t>полость рта</w:t>
            </w:r>
          </w:p>
          <w:p w14:paraId="611203F1"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Петехии менее 2</w:t>
            </w:r>
            <w:r>
              <w:rPr>
                <w:sz w:val="22"/>
                <w:szCs w:val="22"/>
                <w:lang w:val="ru-RU"/>
              </w:rPr>
              <w:t> </w:t>
            </w:r>
            <w:r w:rsidRPr="002E0659">
              <w:rPr>
                <w:sz w:val="22"/>
                <w:szCs w:val="22"/>
                <w:lang w:val="ru-RU"/>
              </w:rPr>
              <w:t>мм</w:t>
            </w:r>
          </w:p>
          <w:p w14:paraId="0B2E2279" w14:textId="77777777" w:rsidR="00784084" w:rsidRPr="002E0659" w:rsidRDefault="00784084" w:rsidP="002D3EBF">
            <w:pPr>
              <w:pStyle w:val="table-text-0"/>
              <w:spacing w:before="0" w:line="360" w:lineRule="auto"/>
              <w:ind w:firstLine="0"/>
              <w:rPr>
                <w:sz w:val="22"/>
                <w:szCs w:val="22"/>
                <w:lang w:val="ru-RU"/>
              </w:rPr>
            </w:pPr>
            <w:r>
              <w:rPr>
                <w:sz w:val="22"/>
                <w:szCs w:val="22"/>
                <w:lang w:val="ru-RU"/>
              </w:rPr>
              <w:t>Пурпура менее 2,54 </w:t>
            </w:r>
            <w:r w:rsidRPr="002E0659">
              <w:rPr>
                <w:sz w:val="22"/>
                <w:szCs w:val="22"/>
                <w:lang w:val="ru-RU"/>
              </w:rPr>
              <w:t>см в диаметре</w:t>
            </w:r>
          </w:p>
          <w:p w14:paraId="03ED4158" w14:textId="77777777" w:rsidR="00784084" w:rsidRPr="002E0659" w:rsidRDefault="00784084" w:rsidP="002D3EBF">
            <w:pPr>
              <w:pStyle w:val="table-text-0"/>
              <w:spacing w:before="0" w:line="360" w:lineRule="auto"/>
              <w:ind w:firstLine="0"/>
              <w:rPr>
                <w:sz w:val="22"/>
                <w:szCs w:val="22"/>
                <w:lang w:val="ru-RU"/>
              </w:rPr>
            </w:pPr>
            <w:r>
              <w:rPr>
                <w:sz w:val="22"/>
                <w:szCs w:val="22"/>
                <w:lang w:val="ru-RU"/>
              </w:rPr>
              <w:t>Экхимозы (очаги менее 10 </w:t>
            </w:r>
            <w:r w:rsidRPr="002E0659">
              <w:rPr>
                <w:sz w:val="22"/>
                <w:szCs w:val="22"/>
                <w:lang w:val="ru-RU"/>
              </w:rPr>
              <w:t>см в диаметре)</w:t>
            </w:r>
          </w:p>
          <w:p w14:paraId="3FF08816"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Ротоглоточные кровотечения</w:t>
            </w:r>
          </w:p>
          <w:p w14:paraId="09A199E6"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Кровоизлияния в конъюнктиву</w:t>
            </w:r>
          </w:p>
          <w:p w14:paraId="1799C13B"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Носовые кровотечения продолжительностью менее 1</w:t>
            </w:r>
            <w:r>
              <w:rPr>
                <w:sz w:val="22"/>
                <w:szCs w:val="22"/>
                <w:lang w:val="ru-RU"/>
              </w:rPr>
              <w:t> </w:t>
            </w:r>
            <w:r w:rsidRPr="002E0659">
              <w:rPr>
                <w:sz w:val="22"/>
                <w:szCs w:val="22"/>
                <w:lang w:val="ru-RU"/>
              </w:rPr>
              <w:t>часа</w:t>
            </w:r>
            <w:r>
              <w:rPr>
                <w:sz w:val="22"/>
                <w:szCs w:val="22"/>
                <w:lang w:val="ru-RU"/>
              </w:rPr>
              <w:t>,</w:t>
            </w:r>
            <w:r w:rsidRPr="002E0659">
              <w:rPr>
                <w:sz w:val="22"/>
                <w:szCs w:val="22"/>
                <w:lang w:val="ru-RU"/>
              </w:rPr>
              <w:t xml:space="preserve"> не требующие вмешательства</w:t>
            </w:r>
          </w:p>
          <w:p w14:paraId="0096C283"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 xml:space="preserve">Аномальные ациклические маточные кровотечения (менее </w:t>
            </w:r>
            <w:r>
              <w:rPr>
                <w:sz w:val="22"/>
                <w:szCs w:val="22"/>
                <w:lang w:val="ru-RU"/>
              </w:rPr>
              <w:t xml:space="preserve">двух </w:t>
            </w:r>
            <w:r w:rsidRPr="002E0659">
              <w:rPr>
                <w:sz w:val="22"/>
                <w:szCs w:val="22"/>
                <w:lang w:val="ru-RU"/>
              </w:rPr>
              <w:t xml:space="preserve">прокладок в </w:t>
            </w:r>
            <w:r>
              <w:rPr>
                <w:sz w:val="22"/>
                <w:szCs w:val="22"/>
                <w:lang w:val="ru-RU"/>
              </w:rPr>
              <w:t>сутки</w:t>
            </w:r>
            <w:r w:rsidRPr="002E0659">
              <w:rPr>
                <w:sz w:val="22"/>
                <w:szCs w:val="22"/>
                <w:lang w:val="ru-RU"/>
              </w:rPr>
              <w:t>)</w:t>
            </w:r>
          </w:p>
        </w:tc>
      </w:tr>
      <w:tr w:rsidR="00784084" w:rsidRPr="004C7AAC" w14:paraId="702ACEA2" w14:textId="77777777" w:rsidTr="002D3EBF">
        <w:tc>
          <w:tcPr>
            <w:tcW w:w="9121" w:type="dxa"/>
            <w:shd w:val="clear" w:color="auto" w:fill="auto"/>
          </w:tcPr>
          <w:p w14:paraId="45913F00" w14:textId="77777777" w:rsidR="00784084" w:rsidRPr="002E0659" w:rsidRDefault="00784084" w:rsidP="002D3EBF">
            <w:pPr>
              <w:pStyle w:val="table-text-1"/>
              <w:spacing w:before="0" w:after="0" w:line="360" w:lineRule="auto"/>
              <w:rPr>
                <w:sz w:val="22"/>
                <w:szCs w:val="22"/>
              </w:rPr>
            </w:pPr>
            <w:r w:rsidRPr="002E0659">
              <w:rPr>
                <w:sz w:val="22"/>
                <w:szCs w:val="22"/>
              </w:rPr>
              <w:t>2 степень (</w:t>
            </w:r>
            <w:r>
              <w:rPr>
                <w:sz w:val="22"/>
                <w:szCs w:val="22"/>
              </w:rPr>
              <w:t xml:space="preserve">в основном </w:t>
            </w:r>
            <w:r w:rsidRPr="002E0659">
              <w:rPr>
                <w:sz w:val="22"/>
                <w:szCs w:val="22"/>
              </w:rPr>
              <w:t>не требуют трансфузии)</w:t>
            </w:r>
          </w:p>
        </w:tc>
      </w:tr>
      <w:tr w:rsidR="00784084" w:rsidRPr="004C7AAC" w14:paraId="2DE07765" w14:textId="77777777" w:rsidTr="002D3EBF">
        <w:tc>
          <w:tcPr>
            <w:tcW w:w="9121" w:type="dxa"/>
            <w:shd w:val="clear" w:color="auto" w:fill="auto"/>
          </w:tcPr>
          <w:p w14:paraId="3546071A"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Экхимозы (более 10</w:t>
            </w:r>
            <w:r>
              <w:rPr>
                <w:sz w:val="22"/>
                <w:szCs w:val="22"/>
                <w:lang w:val="ru-RU"/>
              </w:rPr>
              <w:t> </w:t>
            </w:r>
            <w:r w:rsidRPr="002E0659">
              <w:rPr>
                <w:sz w:val="22"/>
                <w:szCs w:val="22"/>
                <w:lang w:val="ru-RU"/>
              </w:rPr>
              <w:t>см в диаметре)</w:t>
            </w:r>
          </w:p>
          <w:p w14:paraId="5A8B39CC"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Гематомы</w:t>
            </w:r>
          </w:p>
          <w:p w14:paraId="2A3540A5"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Носовые кровотечения продолжительностью более 1</w:t>
            </w:r>
            <w:r>
              <w:rPr>
                <w:sz w:val="22"/>
                <w:szCs w:val="22"/>
                <w:lang w:val="ru-RU"/>
              </w:rPr>
              <w:t> </w:t>
            </w:r>
            <w:r w:rsidRPr="002E0659">
              <w:rPr>
                <w:sz w:val="22"/>
                <w:szCs w:val="22"/>
                <w:lang w:val="ru-RU"/>
              </w:rPr>
              <w:t>часа или требующие тампонады</w:t>
            </w:r>
          </w:p>
          <w:p w14:paraId="57FDC53E"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Кровоизлияния в сетчатку без ухудшения зрения</w:t>
            </w:r>
          </w:p>
          <w:p w14:paraId="3D84CA6B"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 xml:space="preserve">Аномальные ациклические маточные кровотечения (более </w:t>
            </w:r>
            <w:r>
              <w:rPr>
                <w:sz w:val="22"/>
                <w:szCs w:val="22"/>
                <w:lang w:val="ru-RU"/>
              </w:rPr>
              <w:t xml:space="preserve">двух </w:t>
            </w:r>
            <w:r w:rsidRPr="002E0659">
              <w:rPr>
                <w:sz w:val="22"/>
                <w:szCs w:val="22"/>
                <w:lang w:val="ru-RU"/>
              </w:rPr>
              <w:t xml:space="preserve">прокладок в </w:t>
            </w:r>
            <w:r>
              <w:rPr>
                <w:sz w:val="22"/>
                <w:szCs w:val="22"/>
                <w:lang w:val="ru-RU"/>
              </w:rPr>
              <w:t>сутки</w:t>
            </w:r>
            <w:r w:rsidRPr="002E0659">
              <w:rPr>
                <w:sz w:val="22"/>
                <w:szCs w:val="22"/>
                <w:lang w:val="ru-RU"/>
              </w:rPr>
              <w:t>)</w:t>
            </w:r>
          </w:p>
          <w:p w14:paraId="2A563E1E"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Мелена, рвота с кровью, кровохарканье, гематурия, стул с кровью</w:t>
            </w:r>
          </w:p>
          <w:p w14:paraId="4999D72B" w14:textId="77777777" w:rsidR="00784084" w:rsidRPr="00360841" w:rsidRDefault="00784084" w:rsidP="002D3EBF">
            <w:pPr>
              <w:pStyle w:val="table-text-0"/>
              <w:spacing w:before="0" w:line="360" w:lineRule="auto"/>
              <w:ind w:firstLine="0"/>
              <w:rPr>
                <w:sz w:val="24"/>
                <w:szCs w:val="24"/>
                <w:lang w:val="ru-RU"/>
              </w:rPr>
            </w:pPr>
            <w:r w:rsidRPr="002E0659">
              <w:rPr>
                <w:sz w:val="22"/>
                <w:szCs w:val="22"/>
                <w:lang w:val="ru-RU"/>
              </w:rPr>
              <w:t>Кровотечения после инвазивных вмешательств, мышечно-суставные кровоизлияния</w:t>
            </w:r>
          </w:p>
        </w:tc>
      </w:tr>
      <w:tr w:rsidR="00784084" w:rsidRPr="004C7AAC" w14:paraId="20DD98D0" w14:textId="77777777" w:rsidTr="002D3EBF">
        <w:tc>
          <w:tcPr>
            <w:tcW w:w="9121" w:type="dxa"/>
            <w:shd w:val="clear" w:color="auto" w:fill="auto"/>
          </w:tcPr>
          <w:p w14:paraId="17513150" w14:textId="77777777" w:rsidR="00784084" w:rsidRPr="004C7AAC" w:rsidRDefault="00784084" w:rsidP="002D3EBF">
            <w:pPr>
              <w:pStyle w:val="table-text-1"/>
              <w:spacing w:before="0" w:after="0" w:line="360" w:lineRule="auto"/>
              <w:rPr>
                <w:b/>
                <w:i/>
                <w:sz w:val="24"/>
                <w:szCs w:val="24"/>
              </w:rPr>
            </w:pPr>
            <w:r w:rsidRPr="002E0659">
              <w:rPr>
                <w:sz w:val="22"/>
                <w:szCs w:val="22"/>
              </w:rPr>
              <w:t>3 степень (требуют трансфузии)</w:t>
            </w:r>
          </w:p>
        </w:tc>
      </w:tr>
      <w:tr w:rsidR="00784084" w:rsidRPr="004C7AAC" w14:paraId="4DA80199" w14:textId="77777777" w:rsidTr="002D3EBF">
        <w:tc>
          <w:tcPr>
            <w:tcW w:w="9121" w:type="dxa"/>
            <w:shd w:val="clear" w:color="auto" w:fill="auto"/>
          </w:tcPr>
          <w:p w14:paraId="703C39BA"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Мелена</w:t>
            </w:r>
          </w:p>
          <w:p w14:paraId="517F906D"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Рвота с кровью</w:t>
            </w:r>
          </w:p>
          <w:p w14:paraId="25D4892E"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Кровохарканье</w:t>
            </w:r>
          </w:p>
          <w:p w14:paraId="659F6C8C"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Гематурия</w:t>
            </w:r>
            <w:r>
              <w:rPr>
                <w:sz w:val="22"/>
                <w:szCs w:val="22"/>
                <w:lang w:val="ru-RU"/>
              </w:rPr>
              <w:t>,</w:t>
            </w:r>
            <w:r w:rsidRPr="002E0659">
              <w:rPr>
                <w:sz w:val="22"/>
                <w:szCs w:val="22"/>
                <w:lang w:val="ru-RU"/>
              </w:rPr>
              <w:t xml:space="preserve"> включая непрекращающееся кровотечение без свертывания </w:t>
            </w:r>
          </w:p>
          <w:p w14:paraId="30141199"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Аномальные маточные кровотечения</w:t>
            </w:r>
          </w:p>
          <w:p w14:paraId="0CF3F327"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Стул с кровью</w:t>
            </w:r>
          </w:p>
          <w:p w14:paraId="05C3C71C"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 xml:space="preserve">Носовое кровотечение </w:t>
            </w:r>
          </w:p>
          <w:p w14:paraId="42BA2988" w14:textId="77777777" w:rsidR="00784084" w:rsidRPr="002E0659" w:rsidRDefault="00784084" w:rsidP="002D3EBF">
            <w:pPr>
              <w:pStyle w:val="table-text-0"/>
              <w:spacing w:before="0" w:line="360" w:lineRule="auto"/>
              <w:ind w:firstLine="0"/>
              <w:rPr>
                <w:sz w:val="22"/>
                <w:szCs w:val="22"/>
                <w:lang w:val="ru-RU"/>
              </w:rPr>
            </w:pPr>
            <w:r w:rsidRPr="00A83EB7">
              <w:rPr>
                <w:sz w:val="22"/>
                <w:szCs w:val="22"/>
                <w:lang w:val="ru-RU"/>
              </w:rPr>
              <w:t>Ротоглоточное кровотечение</w:t>
            </w:r>
          </w:p>
          <w:p w14:paraId="7AD80E42" w14:textId="77777777" w:rsidR="00784084" w:rsidRPr="00360841" w:rsidRDefault="00784084" w:rsidP="002D3EBF">
            <w:pPr>
              <w:pStyle w:val="table-text-0"/>
              <w:spacing w:before="0" w:line="360" w:lineRule="auto"/>
              <w:ind w:firstLine="0"/>
              <w:rPr>
                <w:sz w:val="24"/>
                <w:szCs w:val="24"/>
                <w:lang w:val="ru-RU"/>
              </w:rPr>
            </w:pPr>
            <w:r w:rsidRPr="002E0659">
              <w:rPr>
                <w:sz w:val="22"/>
                <w:szCs w:val="22"/>
                <w:lang w:val="ru-RU"/>
              </w:rPr>
              <w:t>Кровотечения после инвазивных вмешательств, мышечно-суставные кровоизлияния или кровоизлияния в мягкие ткани</w:t>
            </w:r>
          </w:p>
        </w:tc>
      </w:tr>
      <w:tr w:rsidR="00784084" w:rsidRPr="004C7AAC" w14:paraId="05FEA3E9" w14:textId="77777777" w:rsidTr="002D3EBF">
        <w:tc>
          <w:tcPr>
            <w:tcW w:w="9121" w:type="dxa"/>
            <w:shd w:val="clear" w:color="auto" w:fill="auto"/>
          </w:tcPr>
          <w:p w14:paraId="41521BBB" w14:textId="77777777" w:rsidR="00784084" w:rsidRPr="004C7AAC" w:rsidRDefault="00784084" w:rsidP="002D3EBF">
            <w:pPr>
              <w:pStyle w:val="table-text-1"/>
              <w:spacing w:before="0" w:after="0" w:line="360" w:lineRule="auto"/>
              <w:rPr>
                <w:b/>
                <w:i/>
                <w:sz w:val="24"/>
                <w:szCs w:val="24"/>
              </w:rPr>
            </w:pPr>
            <w:r w:rsidRPr="002E0659">
              <w:rPr>
                <w:sz w:val="22"/>
                <w:szCs w:val="22"/>
              </w:rPr>
              <w:t>4 степень (требуют трансфузии)</w:t>
            </w:r>
          </w:p>
        </w:tc>
      </w:tr>
      <w:tr w:rsidR="00784084" w:rsidRPr="004C7AAC" w14:paraId="0838ABD8" w14:textId="77777777" w:rsidTr="002D3EBF">
        <w:tc>
          <w:tcPr>
            <w:tcW w:w="9121" w:type="dxa"/>
            <w:shd w:val="clear" w:color="auto" w:fill="auto"/>
          </w:tcPr>
          <w:p w14:paraId="14E2E65B"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Кровоизлияния в сетчатку с нарушением зрения</w:t>
            </w:r>
          </w:p>
          <w:p w14:paraId="5FABFA30" w14:textId="77777777" w:rsidR="00784084" w:rsidRPr="002E0659" w:rsidRDefault="00784084" w:rsidP="002D3EBF">
            <w:pPr>
              <w:pStyle w:val="table-text-0"/>
              <w:spacing w:before="0" w:line="360" w:lineRule="auto"/>
              <w:ind w:firstLine="0"/>
              <w:rPr>
                <w:sz w:val="22"/>
                <w:szCs w:val="22"/>
                <w:lang w:val="ru-RU"/>
              </w:rPr>
            </w:pPr>
            <w:r w:rsidRPr="002E0659">
              <w:rPr>
                <w:sz w:val="22"/>
                <w:szCs w:val="22"/>
                <w:lang w:val="ru-RU"/>
              </w:rPr>
              <w:t xml:space="preserve">Нефатальные кровоизлияния в </w:t>
            </w:r>
            <w:r>
              <w:rPr>
                <w:sz w:val="22"/>
                <w:szCs w:val="22"/>
                <w:lang w:val="ru-RU"/>
              </w:rPr>
              <w:t>ЦНС</w:t>
            </w:r>
            <w:r w:rsidRPr="002E0659">
              <w:rPr>
                <w:sz w:val="22"/>
                <w:szCs w:val="22"/>
                <w:lang w:val="ru-RU"/>
              </w:rPr>
              <w:t xml:space="preserve"> с невро</w:t>
            </w:r>
            <w:r>
              <w:rPr>
                <w:sz w:val="22"/>
                <w:szCs w:val="22"/>
                <w:lang w:val="ru-RU"/>
              </w:rPr>
              <w:t>логической симптоматикой</w:t>
            </w:r>
          </w:p>
          <w:p w14:paraId="63A9E810" w14:textId="77777777" w:rsidR="00784084" w:rsidRPr="00360841" w:rsidRDefault="00784084" w:rsidP="002D3EBF">
            <w:pPr>
              <w:pStyle w:val="table-text-0"/>
              <w:spacing w:before="0" w:line="360" w:lineRule="auto"/>
              <w:ind w:firstLine="0"/>
              <w:rPr>
                <w:sz w:val="24"/>
                <w:szCs w:val="24"/>
                <w:lang w:val="ru-RU"/>
              </w:rPr>
            </w:pPr>
            <w:r w:rsidRPr="002E0659">
              <w:rPr>
                <w:sz w:val="22"/>
                <w:szCs w:val="22"/>
                <w:lang w:val="ru-RU"/>
              </w:rPr>
              <w:t>Фатальные кровотечения вне зависимости от источника</w:t>
            </w:r>
          </w:p>
        </w:tc>
      </w:tr>
    </w:tbl>
    <w:p w14:paraId="012544E1" w14:textId="77777777" w:rsidR="00784084" w:rsidRDefault="00784084" w:rsidP="00784084">
      <w:pPr>
        <w:pStyle w:val="3"/>
        <w:spacing w:before="0"/>
        <w:ind w:firstLine="708"/>
        <w:rPr>
          <w:rFonts w:ascii="Times New Roman" w:hAnsi="Times New Roman" w:cs="Times New Roman"/>
          <w:b/>
          <w:u w:val="single"/>
        </w:rPr>
      </w:pPr>
    </w:p>
    <w:p w14:paraId="0DD02330" w14:textId="77777777" w:rsidR="00784084" w:rsidRPr="00287E25" w:rsidRDefault="00784084" w:rsidP="00784084">
      <w:pPr>
        <w:ind w:firstLine="708"/>
        <w:rPr>
          <w:b/>
          <w:u w:val="single"/>
        </w:rPr>
      </w:pPr>
      <w:r w:rsidRPr="00287E25">
        <w:rPr>
          <w:u w:val="single"/>
        </w:rPr>
        <w:t>Расчет дозы концентрата тромбоцитов для трансфузий</w:t>
      </w:r>
    </w:p>
    <w:p w14:paraId="04E2ABCE" w14:textId="77777777" w:rsidR="00784084" w:rsidRPr="001A1BC0" w:rsidRDefault="00784084" w:rsidP="00784084">
      <w:pPr>
        <w:ind w:firstLine="708"/>
        <w:rPr>
          <w:szCs w:val="24"/>
        </w:rPr>
      </w:pPr>
      <w:r w:rsidRPr="001A5953">
        <w:rPr>
          <w:rFonts w:eastAsia="Times New Roman"/>
          <w:szCs w:val="24"/>
        </w:rPr>
        <w:t>Количество концентрата тромбоцитов для трансфузии необходимо использовать из расчета 50-70х</w:t>
      </w:r>
      <w:r w:rsidRPr="001A5953">
        <w:rPr>
          <w:szCs w:val="24"/>
        </w:rPr>
        <w:t>10</w:t>
      </w:r>
      <w:r>
        <w:rPr>
          <w:szCs w:val="24"/>
          <w:vertAlign w:val="superscript"/>
        </w:rPr>
        <w:t>9</w:t>
      </w:r>
      <w:r w:rsidRPr="001A5953">
        <w:rPr>
          <w:szCs w:val="24"/>
        </w:rPr>
        <w:t xml:space="preserve"> тромбоцитов на 10</w:t>
      </w:r>
      <w:r>
        <w:rPr>
          <w:szCs w:val="24"/>
        </w:rPr>
        <w:t xml:space="preserve"> </w:t>
      </w:r>
      <w:r w:rsidRPr="001A5953">
        <w:rPr>
          <w:szCs w:val="24"/>
        </w:rPr>
        <w:t>кг массы тела реципиента или 200-2</w:t>
      </w:r>
      <w:r w:rsidRPr="001A5953">
        <w:rPr>
          <w:rFonts w:eastAsia="Times New Roman"/>
          <w:szCs w:val="24"/>
        </w:rPr>
        <w:t>50х</w:t>
      </w:r>
      <w:r w:rsidRPr="001A5953">
        <w:rPr>
          <w:szCs w:val="24"/>
        </w:rPr>
        <w:t>10</w:t>
      </w:r>
      <w:r>
        <w:rPr>
          <w:szCs w:val="24"/>
          <w:vertAlign w:val="superscript"/>
        </w:rPr>
        <w:t>9</w:t>
      </w:r>
      <w:r w:rsidRPr="001A5953">
        <w:rPr>
          <w:szCs w:val="24"/>
        </w:rPr>
        <w:t xml:space="preserve"> тромбоцитов на 1м</w:t>
      </w:r>
      <w:r w:rsidRPr="00A17D81">
        <w:rPr>
          <w:szCs w:val="24"/>
          <w:vertAlign w:val="superscript"/>
        </w:rPr>
        <w:t>2</w:t>
      </w:r>
      <w:r w:rsidRPr="001A5953">
        <w:rPr>
          <w:szCs w:val="24"/>
        </w:rPr>
        <w:t xml:space="preserve"> поверхности тела реципиента.</w:t>
      </w:r>
    </w:p>
    <w:p w14:paraId="06E5A1C5" w14:textId="77777777" w:rsidR="00784084" w:rsidRDefault="00784084" w:rsidP="00784084">
      <w:pPr>
        <w:ind w:firstLine="708"/>
        <w:rPr>
          <w:szCs w:val="24"/>
        </w:rPr>
      </w:pPr>
      <w:r>
        <w:rPr>
          <w:szCs w:val="24"/>
        </w:rPr>
        <w:t>О</w:t>
      </w:r>
      <w:r w:rsidRPr="001A1BC0">
        <w:rPr>
          <w:szCs w:val="24"/>
        </w:rPr>
        <w:t xml:space="preserve">птимальная доза для лечебных трансфузий — спорный вопрос; на основании общего консенсуса, терапевтические трансфузии должны увеличить количество тромбоцитов до уровня, обеспечивающего адекватный гемостаз. </w:t>
      </w:r>
    </w:p>
    <w:p w14:paraId="327BA692" w14:textId="77777777" w:rsidR="00784084" w:rsidRDefault="00784084" w:rsidP="00784084">
      <w:pPr>
        <w:ind w:firstLine="708"/>
        <w:rPr>
          <w:u w:val="single"/>
        </w:rPr>
      </w:pPr>
    </w:p>
    <w:p w14:paraId="4CB20060" w14:textId="77777777" w:rsidR="00784084" w:rsidRPr="00287E25" w:rsidRDefault="00784084" w:rsidP="00784084">
      <w:pPr>
        <w:ind w:firstLine="708"/>
        <w:rPr>
          <w:b/>
          <w:u w:val="single"/>
        </w:rPr>
      </w:pPr>
      <w:r w:rsidRPr="00287E25">
        <w:rPr>
          <w:u w:val="single"/>
        </w:rPr>
        <w:t>Критерии эффективности трансфузий концентрата тромбоцитов</w:t>
      </w:r>
    </w:p>
    <w:p w14:paraId="63C53016" w14:textId="77777777" w:rsidR="00784084" w:rsidRPr="00A17D81" w:rsidRDefault="00784084" w:rsidP="00784084">
      <w:pPr>
        <w:ind w:firstLine="708"/>
        <w:contextualSpacing/>
        <w:rPr>
          <w:szCs w:val="24"/>
          <w:lang w:eastAsia="ru-RU"/>
        </w:rPr>
      </w:pPr>
      <w:r w:rsidRPr="003B6BB6">
        <w:rPr>
          <w:i/>
          <w:szCs w:val="24"/>
          <w:lang w:eastAsia="ru-RU"/>
        </w:rPr>
        <w:t xml:space="preserve">Клиническими критериями </w:t>
      </w:r>
      <w:r w:rsidRPr="00A17D81">
        <w:rPr>
          <w:szCs w:val="24"/>
          <w:lang w:eastAsia="ru-RU"/>
        </w:rPr>
        <w:t xml:space="preserve">эффективности трансфузии </w:t>
      </w:r>
      <w:r>
        <w:rPr>
          <w:szCs w:val="24"/>
          <w:lang w:eastAsia="ru-RU"/>
        </w:rPr>
        <w:t xml:space="preserve">концентрата </w:t>
      </w:r>
      <w:r w:rsidRPr="00A17D81">
        <w:rPr>
          <w:szCs w:val="24"/>
          <w:lang w:eastAsia="ru-RU"/>
        </w:rPr>
        <w:t>тромбоцитов являются прекращение или уменьшение выраженности спонтанной кровоточивости, отсутствие свежих геморрагий на коже и видимых слизистых.</w:t>
      </w:r>
    </w:p>
    <w:p w14:paraId="1ED2AFFC" w14:textId="77777777" w:rsidR="00784084" w:rsidRPr="00A17D81" w:rsidRDefault="00784084" w:rsidP="00784084">
      <w:pPr>
        <w:ind w:firstLine="708"/>
        <w:contextualSpacing/>
        <w:rPr>
          <w:szCs w:val="24"/>
          <w:lang w:eastAsia="ru-RU"/>
        </w:rPr>
      </w:pPr>
      <w:r w:rsidRPr="003B6BB6">
        <w:rPr>
          <w:i/>
          <w:szCs w:val="24"/>
          <w:lang w:eastAsia="ru-RU"/>
        </w:rPr>
        <w:t xml:space="preserve">Лабораторными </w:t>
      </w:r>
      <w:r>
        <w:rPr>
          <w:i/>
          <w:szCs w:val="24"/>
          <w:lang w:eastAsia="ru-RU"/>
        </w:rPr>
        <w:t>критериями</w:t>
      </w:r>
      <w:r w:rsidRPr="00A17D81">
        <w:rPr>
          <w:szCs w:val="24"/>
          <w:lang w:eastAsia="ru-RU"/>
        </w:rPr>
        <w:t xml:space="preserve"> эффективности переливания тромбоцитов являются увеличение количества циркулирующих тромбоцитов — абсолютный прирост тромбоцитов (АПТ) или скорректированный прирост тромбоцитов (СПТ) через 1 час и 18—24 ч после окончания трансфузии, а также показатели максимальной амплитуды на тромбоэластограмме.</w:t>
      </w:r>
    </w:p>
    <w:p w14:paraId="13B610EB" w14:textId="77777777" w:rsidR="00784084" w:rsidRPr="00A17D81" w:rsidRDefault="00784084" w:rsidP="00784084">
      <w:pPr>
        <w:ind w:firstLine="708"/>
        <w:contextualSpacing/>
        <w:rPr>
          <w:bCs/>
          <w:szCs w:val="24"/>
        </w:rPr>
      </w:pPr>
      <w:r w:rsidRPr="00A17D81">
        <w:rPr>
          <w:color w:val="000000"/>
          <w:szCs w:val="24"/>
        </w:rPr>
        <w:t xml:space="preserve">Трансфузию считают эффективной, если абсолютный прирост тромбоцитов через 1 час составил </w:t>
      </w:r>
      <w:r w:rsidRPr="00A17D81">
        <w:rPr>
          <w:szCs w:val="24"/>
        </w:rPr>
        <w:t>10</w:t>
      </w:r>
      <w:r>
        <w:rPr>
          <w:szCs w:val="24"/>
        </w:rPr>
        <w:t>х</w:t>
      </w:r>
      <w:r w:rsidRPr="00A17D81">
        <w:rPr>
          <w:szCs w:val="24"/>
        </w:rPr>
        <w:t>10</w:t>
      </w:r>
      <w:r w:rsidRPr="00A17D81">
        <w:rPr>
          <w:szCs w:val="24"/>
          <w:vertAlign w:val="superscript"/>
        </w:rPr>
        <w:t>9</w:t>
      </w:r>
      <w:r w:rsidRPr="00A17D81">
        <w:rPr>
          <w:szCs w:val="24"/>
        </w:rPr>
        <w:t>/л от исходного уровня.</w:t>
      </w:r>
      <w:r>
        <w:rPr>
          <w:szCs w:val="24"/>
        </w:rPr>
        <w:t xml:space="preserve"> </w:t>
      </w:r>
      <w:r w:rsidRPr="00A17D81">
        <w:rPr>
          <w:bCs/>
          <w:szCs w:val="24"/>
        </w:rPr>
        <w:t>Для стандартизации оценки эффективности трансфузий скорректированный прирост тромбоцитов рассчитывается по формуле и выража</w:t>
      </w:r>
      <w:r>
        <w:rPr>
          <w:bCs/>
          <w:szCs w:val="24"/>
        </w:rPr>
        <w:t>ется в расчетных единицах (РЕ)</w:t>
      </w:r>
      <w:r w:rsidRPr="00A17D81">
        <w:rPr>
          <w:bCs/>
          <w:szCs w:val="24"/>
        </w:rPr>
        <w:t>:</w:t>
      </w:r>
    </w:p>
    <w:p w14:paraId="4AB3CDF4" w14:textId="77777777" w:rsidR="00784084" w:rsidRPr="00A17D81" w:rsidRDefault="00784084" w:rsidP="00784084">
      <w:pPr>
        <w:pStyle w:val="formula"/>
        <w:spacing w:before="0" w:after="0" w:line="360" w:lineRule="auto"/>
        <w:rPr>
          <w:sz w:val="24"/>
          <w:szCs w:val="24"/>
        </w:rPr>
      </w:pPr>
      <w:r w:rsidRPr="00A17D81">
        <w:rPr>
          <w:sz w:val="24"/>
          <w:szCs w:val="24"/>
        </w:rPr>
        <w:t>СПТ = (АПТ </w:t>
      </w:r>
      <w:r>
        <w:rPr>
          <w:sz w:val="24"/>
          <w:szCs w:val="24"/>
        </w:rPr>
        <w:t xml:space="preserve">х </w:t>
      </w:r>
      <w:r w:rsidRPr="00A17D81">
        <w:rPr>
          <w:sz w:val="24"/>
          <w:szCs w:val="24"/>
        </w:rPr>
        <w:t>площадь поверхности тела, м</w:t>
      </w:r>
      <w:r w:rsidRPr="00A17D81">
        <w:rPr>
          <w:sz w:val="24"/>
          <w:szCs w:val="24"/>
          <w:vertAlign w:val="superscript"/>
        </w:rPr>
        <w:t>2</w:t>
      </w:r>
      <w:r w:rsidRPr="00A17D81">
        <w:rPr>
          <w:sz w:val="24"/>
          <w:szCs w:val="24"/>
        </w:rPr>
        <w:t xml:space="preserve">) / количество перелитых тромбоцитов </w:t>
      </w:r>
      <w:r>
        <w:rPr>
          <w:sz w:val="24"/>
          <w:szCs w:val="24"/>
        </w:rPr>
        <w:t>х</w:t>
      </w:r>
      <w:r w:rsidRPr="00A17D81">
        <w:rPr>
          <w:sz w:val="24"/>
          <w:szCs w:val="24"/>
        </w:rPr>
        <w:t> 10</w:t>
      </w:r>
      <w:r w:rsidRPr="00A17D81">
        <w:rPr>
          <w:sz w:val="24"/>
          <w:szCs w:val="24"/>
          <w:vertAlign w:val="superscript"/>
        </w:rPr>
        <w:t>11</w:t>
      </w:r>
    </w:p>
    <w:p w14:paraId="6EF0E786" w14:textId="77777777" w:rsidR="00784084" w:rsidRPr="00D77CA7" w:rsidRDefault="00784084" w:rsidP="00784084">
      <w:pPr>
        <w:ind w:firstLine="227"/>
        <w:contextualSpacing/>
        <w:rPr>
          <w:szCs w:val="24"/>
        </w:rPr>
      </w:pPr>
      <w:r w:rsidRPr="00A17D81">
        <w:rPr>
          <w:szCs w:val="24"/>
        </w:rPr>
        <w:t>Трансфузию считают эффективной, если СПТ через 1 час составил &gt; 7,5 РЕ, а СПТ через 24 ч &gt; 4,5 РЕ.</w:t>
      </w:r>
      <w:r>
        <w:rPr>
          <w:szCs w:val="24"/>
        </w:rPr>
        <w:t xml:space="preserve"> </w:t>
      </w:r>
      <w:r w:rsidRPr="00A17D81">
        <w:rPr>
          <w:szCs w:val="24"/>
          <w:lang w:eastAsia="ru-RU"/>
        </w:rPr>
        <w:t>В случае неэффективности трансфузий необходимо определить возможные причины. При возникновении рефрактерности к трансфузиям или наличия в анамнезе посттрансфузионных реакций и осложнений показан индивидуал</w:t>
      </w:r>
      <w:r>
        <w:rPr>
          <w:szCs w:val="24"/>
          <w:lang w:eastAsia="ru-RU"/>
        </w:rPr>
        <w:t xml:space="preserve">ьный подбор тромбоцитов донора, применение плазмафереза (см. Приложение </w:t>
      </w:r>
      <w:r w:rsidRPr="00D77CA7">
        <w:rPr>
          <w:szCs w:val="24"/>
        </w:rPr>
        <w:t>«Лечебный цитаферез и плазмаферез при гематологических заболеваниях»</w:t>
      </w:r>
      <w:r w:rsidRPr="00D77CA7">
        <w:rPr>
          <w:szCs w:val="24"/>
          <w:lang w:eastAsia="ru-RU"/>
        </w:rPr>
        <w:t>).</w:t>
      </w:r>
    </w:p>
    <w:p w14:paraId="2AEEF060" w14:textId="77777777" w:rsidR="00784084" w:rsidRDefault="00784084" w:rsidP="00784084">
      <w:pPr>
        <w:rPr>
          <w:i/>
          <w:iCs/>
          <w:u w:val="single"/>
        </w:rPr>
      </w:pPr>
    </w:p>
    <w:p w14:paraId="2B884D8C" w14:textId="77777777" w:rsidR="00784084" w:rsidRPr="00287E25" w:rsidRDefault="00784084" w:rsidP="00784084">
      <w:pPr>
        <w:rPr>
          <w:b/>
          <w:i/>
          <w:iCs/>
          <w:u w:val="single"/>
        </w:rPr>
      </w:pPr>
      <w:r w:rsidRPr="00287E25">
        <w:rPr>
          <w:i/>
          <w:iCs/>
          <w:u w:val="single"/>
        </w:rPr>
        <w:t>Трансфузии СЗП</w:t>
      </w:r>
    </w:p>
    <w:p w14:paraId="2713AFF4" w14:textId="77777777" w:rsidR="00784084" w:rsidRPr="00287E25" w:rsidRDefault="00784084" w:rsidP="00784084">
      <w:pPr>
        <w:ind w:firstLine="349"/>
        <w:rPr>
          <w:b/>
          <w:u w:val="single"/>
        </w:rPr>
      </w:pPr>
      <w:r w:rsidRPr="00287E25">
        <w:rPr>
          <w:u w:val="single"/>
        </w:rPr>
        <w:t>Показания к переливанию СЗП:</w:t>
      </w:r>
    </w:p>
    <w:p w14:paraId="3951F10B" w14:textId="77777777" w:rsidR="00784084" w:rsidRPr="003B52EE" w:rsidRDefault="00784084" w:rsidP="0051317D">
      <w:pPr>
        <w:pStyle w:val="FitzBullet"/>
        <w:numPr>
          <w:ilvl w:val="0"/>
          <w:numId w:val="85"/>
        </w:numPr>
        <w:tabs>
          <w:tab w:val="clear" w:pos="317"/>
          <w:tab w:val="left" w:pos="144"/>
        </w:tabs>
        <w:spacing w:before="0" w:after="0" w:line="360" w:lineRule="auto"/>
        <w:ind w:left="709"/>
        <w:jc w:val="both"/>
      </w:pPr>
      <w:r w:rsidRPr="003B52EE">
        <w:t xml:space="preserve">Экстренная реверсия действия непрямых антикоагулянтов (варфарин); переливают </w:t>
      </w:r>
      <w:r>
        <w:t xml:space="preserve">СЗП из расчета </w:t>
      </w:r>
      <w:r w:rsidRPr="003B52EE">
        <w:t>5—8 мл/кг.</w:t>
      </w:r>
    </w:p>
    <w:p w14:paraId="1798FED4" w14:textId="77777777" w:rsidR="00784084" w:rsidRPr="003B52EE" w:rsidRDefault="00784084" w:rsidP="0051317D">
      <w:pPr>
        <w:pStyle w:val="FitzBullet"/>
        <w:numPr>
          <w:ilvl w:val="0"/>
          <w:numId w:val="85"/>
        </w:numPr>
        <w:tabs>
          <w:tab w:val="clear" w:pos="317"/>
          <w:tab w:val="left" w:pos="144"/>
        </w:tabs>
        <w:spacing w:before="0" w:after="0" w:line="360" w:lineRule="auto"/>
        <w:ind w:left="709"/>
        <w:jc w:val="both"/>
      </w:pPr>
      <w:r w:rsidRPr="003B52EE">
        <w:t>Коррекция дефицита известного фактора свертывания, для которого нет в наличии специфического концентрата. Для достижения 30% концентрации факторов в плазме необходимо переливать СЗП в количестве 10—15 мл/кг.</w:t>
      </w:r>
    </w:p>
    <w:p w14:paraId="6374B799" w14:textId="77777777" w:rsidR="00784084" w:rsidRPr="003B52EE" w:rsidRDefault="00784084" w:rsidP="0051317D">
      <w:pPr>
        <w:pStyle w:val="FitzBullet"/>
        <w:numPr>
          <w:ilvl w:val="0"/>
          <w:numId w:val="85"/>
        </w:numPr>
        <w:tabs>
          <w:tab w:val="clear" w:pos="317"/>
          <w:tab w:val="left" w:pos="144"/>
        </w:tabs>
        <w:spacing w:before="0" w:after="0" w:line="360" w:lineRule="auto"/>
        <w:ind w:left="709"/>
        <w:jc w:val="both"/>
      </w:pPr>
      <w:r w:rsidRPr="003B52EE">
        <w:t>Коррекция геморрагического синдрома при увеличении (&gt; 1,5 раз по сравнению с нормой) ПВ или АЧТВ.</w:t>
      </w:r>
    </w:p>
    <w:p w14:paraId="0FB44559" w14:textId="77777777" w:rsidR="00784084" w:rsidRPr="003B52EE" w:rsidRDefault="00784084" w:rsidP="0051317D">
      <w:pPr>
        <w:pStyle w:val="FitzBullet"/>
        <w:numPr>
          <w:ilvl w:val="0"/>
          <w:numId w:val="85"/>
        </w:numPr>
        <w:tabs>
          <w:tab w:val="clear" w:pos="317"/>
          <w:tab w:val="left" w:pos="144"/>
        </w:tabs>
        <w:spacing w:before="0" w:after="0" w:line="360" w:lineRule="auto"/>
        <w:ind w:left="709"/>
        <w:jc w:val="both"/>
      </w:pPr>
      <w:r>
        <w:t>В</w:t>
      </w:r>
      <w:r w:rsidRPr="003B52EE">
        <w:t>озмещени</w:t>
      </w:r>
      <w:r>
        <w:t>е</w:t>
      </w:r>
      <w:r w:rsidRPr="003B52EE">
        <w:t xml:space="preserve"> объема при проведении плазмафереза.</w:t>
      </w:r>
    </w:p>
    <w:p w14:paraId="11D515DE" w14:textId="77777777" w:rsidR="00784084" w:rsidRPr="003B52EE" w:rsidRDefault="00784084" w:rsidP="0051317D">
      <w:pPr>
        <w:pStyle w:val="FitzBullet"/>
        <w:numPr>
          <w:ilvl w:val="0"/>
          <w:numId w:val="85"/>
        </w:numPr>
        <w:tabs>
          <w:tab w:val="clear" w:pos="317"/>
          <w:tab w:val="left" w:pos="144"/>
        </w:tabs>
        <w:spacing w:before="0" w:after="0" w:line="360" w:lineRule="auto"/>
        <w:ind w:left="709"/>
        <w:jc w:val="both"/>
      </w:pPr>
      <w:r>
        <w:t>Д</w:t>
      </w:r>
      <w:r w:rsidRPr="003B52EE">
        <w:t>ефицит антитромбина III в ходе терапии аспарагиназой. СЗП вводят в дозе 3—3,5 мл/кг/сут.</w:t>
      </w:r>
    </w:p>
    <w:p w14:paraId="36B49168" w14:textId="77777777" w:rsidR="00784084" w:rsidRPr="003B52EE" w:rsidRDefault="00784084" w:rsidP="0051317D">
      <w:pPr>
        <w:pStyle w:val="FitzBullet"/>
        <w:numPr>
          <w:ilvl w:val="0"/>
          <w:numId w:val="85"/>
        </w:numPr>
        <w:tabs>
          <w:tab w:val="clear" w:pos="317"/>
          <w:tab w:val="left" w:pos="144"/>
        </w:tabs>
        <w:spacing w:before="0" w:after="0" w:line="360" w:lineRule="auto"/>
        <w:ind w:left="709"/>
        <w:jc w:val="both"/>
      </w:pPr>
      <w:r>
        <w:t>И</w:t>
      </w:r>
      <w:r w:rsidRPr="003B52EE">
        <w:t>нгибиторн</w:t>
      </w:r>
      <w:r>
        <w:t>ая</w:t>
      </w:r>
      <w:r w:rsidRPr="003B52EE">
        <w:t xml:space="preserve"> форм</w:t>
      </w:r>
      <w:r>
        <w:t>а</w:t>
      </w:r>
      <w:r w:rsidRPr="003B52EE">
        <w:t xml:space="preserve"> гемофилии </w:t>
      </w:r>
      <w:r w:rsidRPr="003B52EE">
        <w:rPr>
          <w:lang w:val="en-US"/>
        </w:rPr>
        <w:t>A</w:t>
      </w:r>
      <w:r w:rsidRPr="003B52EE">
        <w:t xml:space="preserve"> и массивны</w:t>
      </w:r>
      <w:r>
        <w:t>е</w:t>
      </w:r>
      <w:r w:rsidRPr="003B52EE">
        <w:t xml:space="preserve"> кровопотер</w:t>
      </w:r>
      <w:r>
        <w:t>и. П</w:t>
      </w:r>
      <w:r w:rsidRPr="003B52EE">
        <w:t>оказано переливание криосупернатантной плазмы (плазма со сниженной концентрацией фактора VIII).</w:t>
      </w:r>
    </w:p>
    <w:p w14:paraId="483B1F9E" w14:textId="77777777" w:rsidR="00784084" w:rsidRPr="00287E25" w:rsidRDefault="00784084" w:rsidP="00784084">
      <w:pPr>
        <w:ind w:firstLine="349"/>
        <w:rPr>
          <w:b/>
          <w:u w:val="single"/>
        </w:rPr>
      </w:pPr>
      <w:r w:rsidRPr="00287E25">
        <w:rPr>
          <w:u w:val="single"/>
        </w:rPr>
        <w:t>Показания к переливанию криопреципитата</w:t>
      </w:r>
    </w:p>
    <w:p w14:paraId="1F38CC43" w14:textId="77777777" w:rsidR="00784084" w:rsidRPr="003B52EE" w:rsidRDefault="00784084" w:rsidP="0051317D">
      <w:pPr>
        <w:pStyle w:val="FitzBullet"/>
        <w:numPr>
          <w:ilvl w:val="0"/>
          <w:numId w:val="86"/>
        </w:numPr>
        <w:tabs>
          <w:tab w:val="clear" w:pos="317"/>
          <w:tab w:val="left" w:pos="144"/>
        </w:tabs>
        <w:spacing w:before="0" w:after="0" w:line="360" w:lineRule="auto"/>
        <w:ind w:left="709"/>
        <w:jc w:val="both"/>
      </w:pPr>
      <w:r w:rsidRPr="003B52EE">
        <w:t xml:space="preserve">Операции или роды у </w:t>
      </w:r>
      <w:r>
        <w:t>пациентов с</w:t>
      </w:r>
      <w:r w:rsidRPr="003B52EE">
        <w:t xml:space="preserve"> болезнью Виллебранда (при отсутствии эффекта десмопрессина).</w:t>
      </w:r>
    </w:p>
    <w:p w14:paraId="6100F457" w14:textId="77777777" w:rsidR="00784084" w:rsidRPr="003B52EE" w:rsidRDefault="00784084" w:rsidP="0051317D">
      <w:pPr>
        <w:pStyle w:val="FitzBullet"/>
        <w:numPr>
          <w:ilvl w:val="0"/>
          <w:numId w:val="86"/>
        </w:numPr>
        <w:tabs>
          <w:tab w:val="clear" w:pos="317"/>
          <w:tab w:val="left" w:pos="144"/>
        </w:tabs>
        <w:spacing w:before="0" w:after="0" w:line="360" w:lineRule="auto"/>
        <w:ind w:left="709"/>
        <w:jc w:val="both"/>
      </w:pPr>
      <w:r w:rsidRPr="003B52EE">
        <w:t>Гипофибриногенемия (&lt; 1 г/л).</w:t>
      </w:r>
    </w:p>
    <w:p w14:paraId="7CAA8AD0" w14:textId="77777777" w:rsidR="00784084" w:rsidRPr="003B52EE" w:rsidRDefault="00784084" w:rsidP="0051317D">
      <w:pPr>
        <w:pStyle w:val="FitzBullet"/>
        <w:numPr>
          <w:ilvl w:val="0"/>
          <w:numId w:val="86"/>
        </w:numPr>
        <w:tabs>
          <w:tab w:val="clear" w:pos="317"/>
          <w:tab w:val="left" w:pos="144"/>
        </w:tabs>
        <w:spacing w:before="0" w:after="0" w:line="360" w:lineRule="auto"/>
        <w:ind w:left="709"/>
        <w:jc w:val="both"/>
      </w:pPr>
      <w:r w:rsidRPr="003B52EE">
        <w:t>Болезнь Виллебранда с геморрагическими осложнениями.</w:t>
      </w:r>
    </w:p>
    <w:p w14:paraId="359C4C44" w14:textId="77777777" w:rsidR="00784084" w:rsidRPr="003B52EE" w:rsidRDefault="00784084" w:rsidP="0051317D">
      <w:pPr>
        <w:pStyle w:val="FitzBullet"/>
        <w:numPr>
          <w:ilvl w:val="0"/>
          <w:numId w:val="86"/>
        </w:numPr>
        <w:tabs>
          <w:tab w:val="clear" w:pos="317"/>
          <w:tab w:val="left" w:pos="144"/>
        </w:tabs>
        <w:spacing w:before="0" w:after="0" w:line="360" w:lineRule="auto"/>
        <w:ind w:left="709"/>
        <w:jc w:val="both"/>
      </w:pPr>
      <w:r>
        <w:t>П</w:t>
      </w:r>
      <w:r w:rsidRPr="003B52EE">
        <w:t>ериоперационн</w:t>
      </w:r>
      <w:r>
        <w:t>ый</w:t>
      </w:r>
      <w:r w:rsidRPr="003B52EE">
        <w:t xml:space="preserve"> период или массивны</w:t>
      </w:r>
      <w:r>
        <w:t>е</w:t>
      </w:r>
      <w:r w:rsidRPr="003B52EE">
        <w:t xml:space="preserve"> </w:t>
      </w:r>
      <w:r>
        <w:t>кровотечения при</w:t>
      </w:r>
      <w:r w:rsidRPr="003B52EE">
        <w:t xml:space="preserve"> уровне фибриногена &lt; 1,5 г/л.</w:t>
      </w:r>
    </w:p>
    <w:p w14:paraId="4826AC89" w14:textId="77777777" w:rsidR="00784084" w:rsidRPr="003B52EE" w:rsidRDefault="00784084" w:rsidP="00784084">
      <w:pPr>
        <w:ind w:firstLine="708"/>
        <w:rPr>
          <w:szCs w:val="24"/>
        </w:rPr>
      </w:pPr>
      <w:r w:rsidRPr="003B52EE">
        <w:rPr>
          <w:szCs w:val="24"/>
        </w:rPr>
        <w:t xml:space="preserve">Расчетная доза </w:t>
      </w:r>
      <w:r w:rsidRPr="00C019E2">
        <w:rPr>
          <w:iCs/>
          <w:szCs w:val="24"/>
        </w:rPr>
        <w:t>криопреципитата</w:t>
      </w:r>
      <w:r w:rsidRPr="003B52EE">
        <w:rPr>
          <w:szCs w:val="24"/>
        </w:rPr>
        <w:t xml:space="preserve"> составляет 1 ед на 5 кг массы тела </w:t>
      </w:r>
      <w:r>
        <w:rPr>
          <w:szCs w:val="24"/>
        </w:rPr>
        <w:t>пациента</w:t>
      </w:r>
      <w:r w:rsidRPr="003B52EE">
        <w:rPr>
          <w:szCs w:val="24"/>
        </w:rPr>
        <w:t xml:space="preserve"> или 15</w:t>
      </w:r>
      <w:r>
        <w:rPr>
          <w:szCs w:val="24"/>
        </w:rPr>
        <w:t>—20 ед при массе тела 70 кг</w:t>
      </w:r>
      <w:r w:rsidRPr="003B52EE">
        <w:rPr>
          <w:szCs w:val="24"/>
        </w:rPr>
        <w:t>. В 1 единице содержится: фибриногена не менее 140 мг, FVIII — не менее 70 МЕ.</w:t>
      </w:r>
    </w:p>
    <w:p w14:paraId="0EB5E9D3" w14:textId="77777777" w:rsidR="00784084" w:rsidRDefault="00784084" w:rsidP="00784084">
      <w:pPr>
        <w:ind w:firstLine="708"/>
        <w:rPr>
          <w:u w:val="single"/>
        </w:rPr>
      </w:pPr>
    </w:p>
    <w:p w14:paraId="73D80643" w14:textId="77777777" w:rsidR="00784084" w:rsidRPr="00287E25" w:rsidRDefault="00784084" w:rsidP="00784084">
      <w:pPr>
        <w:ind w:firstLine="708"/>
        <w:rPr>
          <w:b/>
          <w:u w:val="single"/>
        </w:rPr>
      </w:pPr>
      <w:r w:rsidRPr="00287E25">
        <w:rPr>
          <w:u w:val="single"/>
        </w:rPr>
        <w:t xml:space="preserve">Качество компонентов крови, применяемых при сопроводительной терапии гематологических пациентов </w:t>
      </w:r>
    </w:p>
    <w:p w14:paraId="41752489" w14:textId="77777777" w:rsidR="00784084" w:rsidRPr="003B52EE" w:rsidRDefault="00784084" w:rsidP="00784084">
      <w:pPr>
        <w:rPr>
          <w:szCs w:val="24"/>
        </w:rPr>
      </w:pPr>
      <w:r>
        <w:rPr>
          <w:szCs w:val="24"/>
        </w:rPr>
        <w:t xml:space="preserve">При </w:t>
      </w:r>
      <w:r w:rsidRPr="003B52EE">
        <w:rPr>
          <w:szCs w:val="24"/>
        </w:rPr>
        <w:t>гематологически</w:t>
      </w:r>
      <w:r>
        <w:rPr>
          <w:szCs w:val="24"/>
        </w:rPr>
        <w:t>х заболеваниях с известными показаниями</w:t>
      </w:r>
      <w:r w:rsidRPr="003B52EE">
        <w:rPr>
          <w:szCs w:val="24"/>
        </w:rPr>
        <w:t xml:space="preserve"> </w:t>
      </w:r>
      <w:r>
        <w:rPr>
          <w:szCs w:val="24"/>
        </w:rPr>
        <w:t>к неоднократным</w:t>
      </w:r>
      <w:r w:rsidRPr="003B52EE">
        <w:rPr>
          <w:szCs w:val="24"/>
        </w:rPr>
        <w:t xml:space="preserve"> трансфузия</w:t>
      </w:r>
      <w:r>
        <w:rPr>
          <w:szCs w:val="24"/>
        </w:rPr>
        <w:t>м</w:t>
      </w:r>
      <w:r w:rsidRPr="003B52EE">
        <w:rPr>
          <w:szCs w:val="24"/>
        </w:rPr>
        <w:t xml:space="preserve"> компонентов крови</w:t>
      </w:r>
      <w:r>
        <w:rPr>
          <w:szCs w:val="24"/>
        </w:rPr>
        <w:t xml:space="preserve"> (лейкозы, лимфомы, миелодиспластические синдромы, апластическая анемия и др), </w:t>
      </w:r>
      <w:r w:rsidRPr="003B52EE">
        <w:rPr>
          <w:szCs w:val="24"/>
        </w:rPr>
        <w:t xml:space="preserve">с целью профилактики нежелательных реакций и осложнений, связанных с трансфузиями, </w:t>
      </w:r>
      <w:r>
        <w:rPr>
          <w:szCs w:val="24"/>
        </w:rPr>
        <w:t>рекомендуется</w:t>
      </w:r>
      <w:r w:rsidRPr="003B52EE">
        <w:rPr>
          <w:szCs w:val="24"/>
        </w:rPr>
        <w:t xml:space="preserve"> использование компонентов крови со следующими характеристиками:</w:t>
      </w:r>
    </w:p>
    <w:p w14:paraId="460780B3" w14:textId="77777777" w:rsidR="00784084" w:rsidRPr="003B52EE" w:rsidRDefault="00784084" w:rsidP="0051317D">
      <w:pPr>
        <w:pStyle w:val="FitzBullet"/>
        <w:numPr>
          <w:ilvl w:val="0"/>
          <w:numId w:val="87"/>
        </w:numPr>
        <w:tabs>
          <w:tab w:val="clear" w:pos="317"/>
          <w:tab w:val="left" w:pos="144"/>
        </w:tabs>
        <w:spacing w:before="0" w:after="0" w:line="360" w:lineRule="auto"/>
        <w:ind w:left="709"/>
        <w:jc w:val="both"/>
      </w:pPr>
      <w:r w:rsidRPr="003B52EE">
        <w:t>Лейкоредуцированные — содержание лейкоцитов в дозе переливаемой среды снижено до 1 </w:t>
      </w:r>
      <w:r>
        <w:t>х</w:t>
      </w:r>
      <w:r w:rsidRPr="003B52EE">
        <w:t xml:space="preserve"> 10</w:t>
      </w:r>
      <w:r w:rsidRPr="003B52EE">
        <w:rPr>
          <w:vertAlign w:val="superscript"/>
        </w:rPr>
        <w:t>6</w:t>
      </w:r>
      <w:r w:rsidRPr="003B52EE">
        <w:t> клеток.</w:t>
      </w:r>
    </w:p>
    <w:p w14:paraId="28E12035" w14:textId="77777777" w:rsidR="00784084" w:rsidRPr="003B52EE" w:rsidRDefault="00784084" w:rsidP="0051317D">
      <w:pPr>
        <w:pStyle w:val="FitzBullet"/>
        <w:numPr>
          <w:ilvl w:val="0"/>
          <w:numId w:val="87"/>
        </w:numPr>
        <w:tabs>
          <w:tab w:val="clear" w:pos="317"/>
          <w:tab w:val="left" w:pos="144"/>
        </w:tabs>
        <w:spacing w:before="0" w:after="0" w:line="360" w:lineRule="auto"/>
        <w:ind w:left="709"/>
        <w:jc w:val="both"/>
      </w:pPr>
      <w:r w:rsidRPr="003B52EE">
        <w:t>Облученные эритроциты и тромбоциты (гамма-излучение или рентегновское излучение в дозе 25—50 Гр).</w:t>
      </w:r>
    </w:p>
    <w:p w14:paraId="5F9D482D" w14:textId="77777777" w:rsidR="00784084" w:rsidRPr="003B52EE" w:rsidRDefault="00784084" w:rsidP="0051317D">
      <w:pPr>
        <w:pStyle w:val="FitzBullet"/>
        <w:numPr>
          <w:ilvl w:val="0"/>
          <w:numId w:val="87"/>
        </w:numPr>
        <w:tabs>
          <w:tab w:val="clear" w:pos="317"/>
          <w:tab w:val="left" w:pos="144"/>
        </w:tabs>
        <w:spacing w:before="0" w:after="0" w:line="360" w:lineRule="auto"/>
        <w:ind w:left="709"/>
        <w:jc w:val="both"/>
      </w:pPr>
      <w:r w:rsidRPr="003B52EE">
        <w:t>Ограничение использования донорской плазмы путем использования взвешивающих растворов для эритроцитов.</w:t>
      </w:r>
    </w:p>
    <w:p w14:paraId="2FE6C5A8" w14:textId="77777777" w:rsidR="00784084" w:rsidRPr="003B52EE" w:rsidRDefault="00784084" w:rsidP="0051317D">
      <w:pPr>
        <w:pStyle w:val="FitzBullet"/>
        <w:numPr>
          <w:ilvl w:val="0"/>
          <w:numId w:val="87"/>
        </w:numPr>
        <w:tabs>
          <w:tab w:val="clear" w:pos="317"/>
          <w:tab w:val="left" w:pos="144"/>
        </w:tabs>
        <w:spacing w:before="0" w:after="0" w:line="360" w:lineRule="auto"/>
        <w:ind w:left="709"/>
        <w:jc w:val="both"/>
      </w:pPr>
      <w:r w:rsidRPr="003B52EE">
        <w:t>После исследования донорской крови на маркеры вирусных инфекций посредством молекулярно-биологических методов.</w:t>
      </w:r>
    </w:p>
    <w:p w14:paraId="433999AB" w14:textId="77777777" w:rsidR="00784084" w:rsidRPr="00360841" w:rsidRDefault="00784084" w:rsidP="0051317D">
      <w:pPr>
        <w:pStyle w:val="afe"/>
        <w:numPr>
          <w:ilvl w:val="0"/>
          <w:numId w:val="87"/>
        </w:numPr>
        <w:ind w:left="709"/>
        <w:rPr>
          <w:szCs w:val="24"/>
        </w:rPr>
      </w:pPr>
      <w:r w:rsidRPr="00360841">
        <w:rPr>
          <w:szCs w:val="24"/>
        </w:rPr>
        <w:t>С целью повышения безопасности трансфузий дополнительно могут применяться следующие технологии:</w:t>
      </w:r>
    </w:p>
    <w:p w14:paraId="13C91495" w14:textId="77777777" w:rsidR="00784084" w:rsidRPr="003B52EE" w:rsidRDefault="00784084" w:rsidP="0051317D">
      <w:pPr>
        <w:pStyle w:val="FitzBullet"/>
        <w:numPr>
          <w:ilvl w:val="0"/>
          <w:numId w:val="87"/>
        </w:numPr>
        <w:tabs>
          <w:tab w:val="clear" w:pos="317"/>
          <w:tab w:val="left" w:pos="144"/>
        </w:tabs>
        <w:spacing w:before="0" w:after="0" w:line="360" w:lineRule="auto"/>
        <w:ind w:left="709"/>
        <w:jc w:val="both"/>
      </w:pPr>
      <w:r w:rsidRPr="003B52EE">
        <w:t>Инактивация патогенов в концентрате тромбоцитов.</w:t>
      </w:r>
    </w:p>
    <w:p w14:paraId="24275B57" w14:textId="77777777" w:rsidR="00784084" w:rsidRPr="003B52EE" w:rsidRDefault="00784084" w:rsidP="0051317D">
      <w:pPr>
        <w:pStyle w:val="FitzBullet"/>
        <w:numPr>
          <w:ilvl w:val="0"/>
          <w:numId w:val="87"/>
        </w:numPr>
        <w:tabs>
          <w:tab w:val="clear" w:pos="317"/>
          <w:tab w:val="left" w:pos="144"/>
        </w:tabs>
        <w:spacing w:before="0" w:after="0" w:line="360" w:lineRule="auto"/>
        <w:ind w:left="709"/>
        <w:jc w:val="both"/>
      </w:pPr>
      <w:r w:rsidRPr="003B52EE">
        <w:t>Применение добавочных растворов для замещения донорской плазмы в концентрате тромбоцитов.</w:t>
      </w:r>
    </w:p>
    <w:p w14:paraId="14E7EFD3" w14:textId="77777777" w:rsidR="00784084" w:rsidRPr="003B52EE" w:rsidRDefault="00784084" w:rsidP="0051317D">
      <w:pPr>
        <w:pStyle w:val="FitzBullet"/>
        <w:numPr>
          <w:ilvl w:val="0"/>
          <w:numId w:val="87"/>
        </w:numPr>
        <w:tabs>
          <w:tab w:val="clear" w:pos="317"/>
          <w:tab w:val="left" w:pos="144"/>
        </w:tabs>
        <w:spacing w:before="0" w:after="0" w:line="360" w:lineRule="auto"/>
        <w:ind w:left="709"/>
        <w:jc w:val="both"/>
      </w:pPr>
      <w:r w:rsidRPr="003B52EE">
        <w:t>Расширение спектра тестируемых маркеров вирусных инфекций (цитомегаловирус, вирус гепатита </w:t>
      </w:r>
      <w:r w:rsidRPr="003B52EE">
        <w:rPr>
          <w:lang w:val="en-US"/>
        </w:rPr>
        <w:t>B</w:t>
      </w:r>
      <w:r w:rsidRPr="003B52EE">
        <w:t xml:space="preserve">, </w:t>
      </w:r>
      <w:r w:rsidRPr="003B52EE">
        <w:rPr>
          <w:lang w:val="en-US"/>
        </w:rPr>
        <w:t>T</w:t>
      </w:r>
      <w:r w:rsidRPr="003B52EE">
        <w:t>-лимфотропный вирус человека и другие).</w:t>
      </w:r>
    </w:p>
    <w:p w14:paraId="20E8359D" w14:textId="77777777" w:rsidR="00784084" w:rsidRDefault="00784084" w:rsidP="00784084">
      <w:pPr>
        <w:rPr>
          <w:szCs w:val="24"/>
        </w:rPr>
      </w:pPr>
      <w:r w:rsidRPr="003B52EE">
        <w:rPr>
          <w:szCs w:val="24"/>
        </w:rPr>
        <w:t>Основные реакции и осложнения, связанные с трансфузией приведены в табл. 3.</w:t>
      </w:r>
    </w:p>
    <w:p w14:paraId="075D9836" w14:textId="77777777" w:rsidR="00784084" w:rsidRDefault="00784084" w:rsidP="00784084">
      <w:pPr>
        <w:rPr>
          <w:bCs/>
          <w:szCs w:val="24"/>
        </w:rPr>
      </w:pPr>
    </w:p>
    <w:p w14:paraId="2CA510BB" w14:textId="77777777" w:rsidR="00784084" w:rsidRPr="008E43BE" w:rsidRDefault="00784084" w:rsidP="00784084">
      <w:pPr>
        <w:rPr>
          <w:szCs w:val="24"/>
        </w:rPr>
      </w:pPr>
      <w:r w:rsidRPr="008E43BE">
        <w:rPr>
          <w:bCs/>
          <w:szCs w:val="24"/>
        </w:rPr>
        <w:t>Таблица 3. Основные реакции и осложнения, связанные с трансфузией (переливанием) компонентов донорской крови</w:t>
      </w:r>
    </w:p>
    <w:tbl>
      <w:tblPr>
        <w:tblW w:w="92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110"/>
        <w:gridCol w:w="2340"/>
        <w:gridCol w:w="2520"/>
        <w:gridCol w:w="2284"/>
      </w:tblGrid>
      <w:tr w:rsidR="00784084" w:rsidRPr="004C7AAC" w14:paraId="0B690333" w14:textId="77777777" w:rsidTr="002D3EBF">
        <w:trPr>
          <w:jc w:val="center"/>
        </w:trPr>
        <w:tc>
          <w:tcPr>
            <w:tcW w:w="2110" w:type="dxa"/>
          </w:tcPr>
          <w:p w14:paraId="537FA9DA" w14:textId="77777777" w:rsidR="00784084" w:rsidRPr="00CA11E8" w:rsidRDefault="00784084" w:rsidP="002D3EBF">
            <w:pPr>
              <w:pStyle w:val="Table-head-italic"/>
              <w:spacing w:line="360" w:lineRule="auto"/>
              <w:jc w:val="center"/>
              <w:rPr>
                <w:i w:val="0"/>
                <w:sz w:val="22"/>
                <w:szCs w:val="22"/>
                <w:lang w:val="ru-RU"/>
              </w:rPr>
            </w:pPr>
            <w:r w:rsidRPr="00CA11E8">
              <w:rPr>
                <w:i w:val="0"/>
                <w:sz w:val="22"/>
                <w:szCs w:val="22"/>
                <w:lang w:val="ru-RU"/>
              </w:rPr>
              <w:t>Реакция (осложнение)</w:t>
            </w:r>
          </w:p>
        </w:tc>
        <w:tc>
          <w:tcPr>
            <w:tcW w:w="2340" w:type="dxa"/>
          </w:tcPr>
          <w:p w14:paraId="63A3FAD1" w14:textId="77777777" w:rsidR="00784084" w:rsidRPr="00CA11E8" w:rsidRDefault="00784084" w:rsidP="002D3EBF">
            <w:pPr>
              <w:pStyle w:val="Table-head-italic"/>
              <w:spacing w:line="360" w:lineRule="auto"/>
              <w:jc w:val="center"/>
              <w:rPr>
                <w:i w:val="0"/>
                <w:sz w:val="22"/>
                <w:szCs w:val="22"/>
                <w:lang w:val="ru-RU"/>
              </w:rPr>
            </w:pPr>
            <w:r w:rsidRPr="00CA11E8">
              <w:rPr>
                <w:i w:val="0"/>
                <w:sz w:val="22"/>
                <w:szCs w:val="22"/>
                <w:lang w:val="ru-RU"/>
              </w:rPr>
              <w:t>Причина</w:t>
            </w:r>
          </w:p>
        </w:tc>
        <w:tc>
          <w:tcPr>
            <w:tcW w:w="2520" w:type="dxa"/>
          </w:tcPr>
          <w:p w14:paraId="24DA0FF9" w14:textId="77777777" w:rsidR="00784084" w:rsidRPr="00CA11E8" w:rsidRDefault="00784084" w:rsidP="002D3EBF">
            <w:pPr>
              <w:pStyle w:val="Table-head-italic"/>
              <w:spacing w:line="360" w:lineRule="auto"/>
              <w:jc w:val="center"/>
              <w:rPr>
                <w:i w:val="0"/>
                <w:sz w:val="22"/>
                <w:szCs w:val="22"/>
                <w:lang w:val="ru-RU"/>
              </w:rPr>
            </w:pPr>
            <w:r w:rsidRPr="00CA11E8">
              <w:rPr>
                <w:i w:val="0"/>
                <w:sz w:val="22"/>
                <w:szCs w:val="22"/>
                <w:lang w:val="ru-RU"/>
              </w:rPr>
              <w:t>Лечение</w:t>
            </w:r>
          </w:p>
        </w:tc>
        <w:tc>
          <w:tcPr>
            <w:tcW w:w="2284" w:type="dxa"/>
          </w:tcPr>
          <w:p w14:paraId="5CA39A73" w14:textId="77777777" w:rsidR="00784084" w:rsidRPr="00CA11E8" w:rsidRDefault="00784084" w:rsidP="002D3EBF">
            <w:pPr>
              <w:pStyle w:val="Table-head-italic"/>
              <w:spacing w:line="360" w:lineRule="auto"/>
              <w:jc w:val="center"/>
              <w:rPr>
                <w:i w:val="0"/>
                <w:sz w:val="22"/>
                <w:szCs w:val="22"/>
                <w:lang w:val="ru-RU"/>
              </w:rPr>
            </w:pPr>
            <w:r w:rsidRPr="00CA11E8">
              <w:rPr>
                <w:i w:val="0"/>
                <w:sz w:val="22"/>
                <w:szCs w:val="22"/>
                <w:lang w:val="ru-RU"/>
              </w:rPr>
              <w:t>Обязательные и дополнительные лабораторные и инструментальные исследования*</w:t>
            </w:r>
          </w:p>
        </w:tc>
      </w:tr>
      <w:tr w:rsidR="00784084" w:rsidRPr="004C7AAC" w14:paraId="2B029ECD" w14:textId="77777777" w:rsidTr="002D3EBF">
        <w:trPr>
          <w:jc w:val="center"/>
        </w:trPr>
        <w:tc>
          <w:tcPr>
            <w:tcW w:w="2110" w:type="dxa"/>
            <w:vAlign w:val="center"/>
          </w:tcPr>
          <w:p w14:paraId="56AC71B3"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 xml:space="preserve">Острая сердечно-сосудистая недостаточность, отек легких (синдром </w:t>
            </w:r>
            <w:r w:rsidRPr="00CA11E8">
              <w:rPr>
                <w:sz w:val="22"/>
                <w:szCs w:val="22"/>
              </w:rPr>
              <w:t>TACO</w:t>
            </w:r>
            <w:r w:rsidRPr="00CA11E8">
              <w:rPr>
                <w:sz w:val="22"/>
                <w:szCs w:val="22"/>
                <w:lang w:val="ru-RU"/>
              </w:rPr>
              <w:t xml:space="preserve">, от </w:t>
            </w:r>
            <w:r w:rsidRPr="00CA11E8">
              <w:rPr>
                <w:sz w:val="22"/>
                <w:szCs w:val="22"/>
              </w:rPr>
              <w:t>t</w:t>
            </w:r>
            <w:r w:rsidRPr="00CA11E8">
              <w:rPr>
                <w:sz w:val="22"/>
                <w:szCs w:val="22"/>
                <w:lang w:val="ru-RU"/>
              </w:rPr>
              <w:t>ransfusion associated circulatory overload)</w:t>
            </w:r>
          </w:p>
        </w:tc>
        <w:tc>
          <w:tcPr>
            <w:tcW w:w="2340" w:type="dxa"/>
          </w:tcPr>
          <w:p w14:paraId="3092C661"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Перегрузка объемом</w:t>
            </w:r>
          </w:p>
        </w:tc>
        <w:tc>
          <w:tcPr>
            <w:tcW w:w="2520" w:type="dxa"/>
          </w:tcPr>
          <w:p w14:paraId="09D155BA"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 xml:space="preserve">Симптоматическая терапия отека легких </w:t>
            </w:r>
          </w:p>
        </w:tc>
        <w:tc>
          <w:tcPr>
            <w:tcW w:w="2284" w:type="dxa"/>
          </w:tcPr>
          <w:p w14:paraId="3ED275EB" w14:textId="77777777" w:rsidR="00784084" w:rsidRPr="00CA11E8" w:rsidRDefault="00784084" w:rsidP="002D3EBF">
            <w:pPr>
              <w:pStyle w:val="table-text-0"/>
              <w:spacing w:before="0" w:line="360" w:lineRule="auto"/>
              <w:ind w:firstLine="0"/>
              <w:rPr>
                <w:sz w:val="22"/>
                <w:szCs w:val="22"/>
                <w:lang w:val="ru-RU"/>
              </w:rPr>
            </w:pPr>
          </w:p>
        </w:tc>
      </w:tr>
      <w:tr w:rsidR="00784084" w:rsidRPr="004C7AAC" w14:paraId="6DFF4D59" w14:textId="77777777" w:rsidTr="002D3EBF">
        <w:trPr>
          <w:jc w:val="center"/>
        </w:trPr>
        <w:tc>
          <w:tcPr>
            <w:tcW w:w="2110" w:type="dxa"/>
          </w:tcPr>
          <w:p w14:paraId="1E92DD91"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 xml:space="preserve">Острое обусловленное трансфузией повреждение легких (синдром TRALI, от </w:t>
            </w:r>
            <w:r w:rsidRPr="00CA11E8">
              <w:rPr>
                <w:sz w:val="22"/>
                <w:szCs w:val="22"/>
              </w:rPr>
              <w:t>t</w:t>
            </w:r>
            <w:r w:rsidRPr="00CA11E8">
              <w:rPr>
                <w:sz w:val="22"/>
                <w:szCs w:val="22"/>
                <w:lang w:val="ru-RU"/>
              </w:rPr>
              <w:t>ransfusion-related acute lung injury)</w:t>
            </w:r>
          </w:p>
        </w:tc>
        <w:tc>
          <w:tcPr>
            <w:tcW w:w="2340" w:type="dxa"/>
          </w:tcPr>
          <w:p w14:paraId="034AB4E8"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Наличие донорских антилейкоцитарных антител в крови реципиента</w:t>
            </w:r>
          </w:p>
        </w:tc>
        <w:tc>
          <w:tcPr>
            <w:tcW w:w="2520" w:type="dxa"/>
          </w:tcPr>
          <w:p w14:paraId="640AE8B8"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Глюкокортикоиды (преднизолон, 30—60 мг, или дексаметазон, по 4—8 мг)</w:t>
            </w:r>
          </w:p>
          <w:p w14:paraId="118EBCC8"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Симптоматическая терапия отека легких</w:t>
            </w:r>
          </w:p>
        </w:tc>
        <w:tc>
          <w:tcPr>
            <w:tcW w:w="2284" w:type="dxa"/>
          </w:tcPr>
          <w:p w14:paraId="2BECF849"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Обязательные: рентгенография органов грудной клетки</w:t>
            </w:r>
          </w:p>
          <w:p w14:paraId="3CFDC1C4"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Дополнительные: тесты на антилейкоцитарные антитела и антитела к нейтрофилам в сыворотке</w:t>
            </w:r>
          </w:p>
        </w:tc>
      </w:tr>
      <w:tr w:rsidR="00784084" w:rsidRPr="004C7AAC" w14:paraId="22F16A57" w14:textId="77777777" w:rsidTr="002D3EBF">
        <w:trPr>
          <w:jc w:val="center"/>
        </w:trPr>
        <w:tc>
          <w:tcPr>
            <w:tcW w:w="2110" w:type="dxa"/>
          </w:tcPr>
          <w:p w14:paraId="764744AB"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Одышка, связанная с трансфузией (синдром TAD, от transfusion-associated dyspnea)</w:t>
            </w:r>
          </w:p>
        </w:tc>
        <w:tc>
          <w:tcPr>
            <w:tcW w:w="2340" w:type="dxa"/>
          </w:tcPr>
          <w:p w14:paraId="27223F58"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Острый респираторный дистресс-синдром, развивающийся в течение 24 часов после трансфузии</w:t>
            </w:r>
          </w:p>
        </w:tc>
        <w:tc>
          <w:tcPr>
            <w:tcW w:w="2520" w:type="dxa"/>
          </w:tcPr>
          <w:p w14:paraId="67E4EA1C"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Симптоматическая терапия</w:t>
            </w:r>
          </w:p>
        </w:tc>
        <w:tc>
          <w:tcPr>
            <w:tcW w:w="2284" w:type="dxa"/>
          </w:tcPr>
          <w:p w14:paraId="53F61787" w14:textId="77777777" w:rsidR="00784084" w:rsidRPr="00CA11E8" w:rsidRDefault="00784084" w:rsidP="002D3EBF">
            <w:pPr>
              <w:pStyle w:val="table-text-0"/>
              <w:spacing w:before="0" w:line="360" w:lineRule="auto"/>
              <w:ind w:firstLine="0"/>
              <w:rPr>
                <w:sz w:val="22"/>
                <w:szCs w:val="22"/>
                <w:lang w:val="ru-RU"/>
              </w:rPr>
            </w:pPr>
          </w:p>
        </w:tc>
      </w:tr>
      <w:tr w:rsidR="00784084" w:rsidRPr="004C7AAC" w14:paraId="05172A3C" w14:textId="77777777" w:rsidTr="002D3EBF">
        <w:trPr>
          <w:jc w:val="center"/>
        </w:trPr>
        <w:tc>
          <w:tcPr>
            <w:tcW w:w="2110" w:type="dxa"/>
            <w:vMerge w:val="restart"/>
          </w:tcPr>
          <w:p w14:paraId="22894C58"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Аллергические реакции (крапивница, анафилактический шок и др.)</w:t>
            </w:r>
          </w:p>
        </w:tc>
        <w:tc>
          <w:tcPr>
            <w:tcW w:w="2340" w:type="dxa"/>
          </w:tcPr>
          <w:p w14:paraId="0842A36A"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Крапивница: наличие антител к белкам плазмы</w:t>
            </w:r>
          </w:p>
        </w:tc>
        <w:tc>
          <w:tcPr>
            <w:tcW w:w="2520" w:type="dxa"/>
          </w:tcPr>
          <w:p w14:paraId="7F83CC02"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Антигистаминные препараты (клемастин, 2%, 2 мг, или другой препарат с аналогичным действием)</w:t>
            </w:r>
          </w:p>
        </w:tc>
        <w:tc>
          <w:tcPr>
            <w:tcW w:w="2284" w:type="dxa"/>
          </w:tcPr>
          <w:p w14:paraId="7E3652E6" w14:textId="77777777" w:rsidR="00784084" w:rsidRPr="00CA11E8" w:rsidRDefault="00784084" w:rsidP="002D3EBF">
            <w:pPr>
              <w:pStyle w:val="table-text-0"/>
              <w:spacing w:before="0" w:line="360" w:lineRule="auto"/>
              <w:ind w:firstLine="0"/>
              <w:rPr>
                <w:sz w:val="22"/>
                <w:szCs w:val="22"/>
                <w:lang w:val="ru-RU"/>
              </w:rPr>
            </w:pPr>
          </w:p>
        </w:tc>
      </w:tr>
      <w:tr w:rsidR="00784084" w:rsidRPr="004C7AAC" w14:paraId="553D145A" w14:textId="77777777" w:rsidTr="002D3EBF">
        <w:trPr>
          <w:jc w:val="center"/>
        </w:trPr>
        <w:tc>
          <w:tcPr>
            <w:tcW w:w="2110" w:type="dxa"/>
            <w:vMerge/>
            <w:vAlign w:val="center"/>
          </w:tcPr>
          <w:p w14:paraId="64BBE9D4" w14:textId="77777777" w:rsidR="00784084" w:rsidRPr="00CA11E8" w:rsidRDefault="00784084" w:rsidP="002D3EBF">
            <w:pPr>
              <w:pStyle w:val="table-text-0"/>
              <w:spacing w:before="0" w:line="360" w:lineRule="auto"/>
              <w:ind w:firstLine="0"/>
              <w:rPr>
                <w:sz w:val="22"/>
                <w:szCs w:val="22"/>
                <w:lang w:val="ru-RU"/>
              </w:rPr>
            </w:pPr>
          </w:p>
        </w:tc>
        <w:tc>
          <w:tcPr>
            <w:tcW w:w="2340" w:type="dxa"/>
          </w:tcPr>
          <w:p w14:paraId="18066666"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Анафилактический шок: первичный иммунодефицит IgA у реципиента</w:t>
            </w:r>
          </w:p>
        </w:tc>
        <w:tc>
          <w:tcPr>
            <w:tcW w:w="2520" w:type="dxa"/>
          </w:tcPr>
          <w:p w14:paraId="48931E9C"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Противошоковая терапия</w:t>
            </w:r>
          </w:p>
        </w:tc>
        <w:tc>
          <w:tcPr>
            <w:tcW w:w="2284" w:type="dxa"/>
          </w:tcPr>
          <w:p w14:paraId="4F0A326B"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Дополнительные: оценка уровня сывороточного IgA у реципиента</w:t>
            </w:r>
          </w:p>
        </w:tc>
      </w:tr>
      <w:tr w:rsidR="00784084" w:rsidRPr="004C7AAC" w14:paraId="4EA909F4" w14:textId="77777777" w:rsidTr="002D3EBF">
        <w:trPr>
          <w:jc w:val="center"/>
        </w:trPr>
        <w:tc>
          <w:tcPr>
            <w:tcW w:w="2110" w:type="dxa"/>
          </w:tcPr>
          <w:p w14:paraId="2342A69A"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 xml:space="preserve">Пострансфузионная артериальная гипотония (HTR, от </w:t>
            </w:r>
            <w:r w:rsidRPr="00CA11E8">
              <w:rPr>
                <w:sz w:val="22"/>
                <w:szCs w:val="22"/>
              </w:rPr>
              <w:t>post</w:t>
            </w:r>
            <w:r w:rsidRPr="00CA11E8">
              <w:rPr>
                <w:sz w:val="22"/>
                <w:szCs w:val="22"/>
                <w:lang w:val="ru-RU"/>
              </w:rPr>
              <w:t>-</w:t>
            </w:r>
            <w:r w:rsidRPr="00CA11E8">
              <w:rPr>
                <w:sz w:val="22"/>
                <w:szCs w:val="22"/>
              </w:rPr>
              <w:t>transfusion</w:t>
            </w:r>
            <w:r w:rsidRPr="00CA11E8">
              <w:rPr>
                <w:sz w:val="22"/>
                <w:szCs w:val="22"/>
                <w:lang w:val="ru-RU"/>
              </w:rPr>
              <w:t xml:space="preserve"> </w:t>
            </w:r>
            <w:r w:rsidRPr="00CA11E8">
              <w:rPr>
                <w:sz w:val="22"/>
                <w:szCs w:val="22"/>
              </w:rPr>
              <w:t>hypotension</w:t>
            </w:r>
            <w:r w:rsidRPr="00CA11E8">
              <w:rPr>
                <w:sz w:val="22"/>
                <w:szCs w:val="22"/>
                <w:lang w:val="ru-RU"/>
              </w:rPr>
              <w:t>)</w:t>
            </w:r>
          </w:p>
        </w:tc>
        <w:tc>
          <w:tcPr>
            <w:tcW w:w="2340" w:type="dxa"/>
          </w:tcPr>
          <w:p w14:paraId="4EFE169F"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Сосудистая реакция, обусловленная выбросом брадикинина</w:t>
            </w:r>
          </w:p>
        </w:tc>
        <w:tc>
          <w:tcPr>
            <w:tcW w:w="2520" w:type="dxa"/>
          </w:tcPr>
          <w:p w14:paraId="04B69FD7"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 xml:space="preserve">Симптоматическая терапия, в тяжелых случаях — применение вазопрессоров </w:t>
            </w:r>
          </w:p>
        </w:tc>
        <w:tc>
          <w:tcPr>
            <w:tcW w:w="2284" w:type="dxa"/>
          </w:tcPr>
          <w:p w14:paraId="6D1EB8EB" w14:textId="77777777" w:rsidR="00784084" w:rsidRPr="00CA11E8" w:rsidRDefault="00784084" w:rsidP="002D3EBF">
            <w:pPr>
              <w:pStyle w:val="table-text-0"/>
              <w:spacing w:before="0" w:line="360" w:lineRule="auto"/>
              <w:ind w:firstLine="0"/>
              <w:rPr>
                <w:sz w:val="22"/>
                <w:szCs w:val="22"/>
                <w:lang w:val="ru-RU"/>
              </w:rPr>
            </w:pPr>
          </w:p>
        </w:tc>
      </w:tr>
      <w:tr w:rsidR="00784084" w:rsidRPr="004C7AAC" w14:paraId="0DABAEEE" w14:textId="77777777" w:rsidTr="002D3EBF">
        <w:trPr>
          <w:jc w:val="center"/>
        </w:trPr>
        <w:tc>
          <w:tcPr>
            <w:tcW w:w="2110" w:type="dxa"/>
          </w:tcPr>
          <w:p w14:paraId="45EFB5C6"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Гипертермическая (фебрильная) негемолитическая реакция (FNHTR, от febrile non-hemolytic transfusion reaction)</w:t>
            </w:r>
          </w:p>
        </w:tc>
        <w:tc>
          <w:tcPr>
            <w:tcW w:w="2340" w:type="dxa"/>
          </w:tcPr>
          <w:p w14:paraId="181D487F"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Секреция цитокинов иммунокомпетентными клетками, сопровождающаяся повышением температуры тела реципиента выше 38</w:t>
            </w:r>
            <w:r w:rsidRPr="00CA11E8">
              <w:rPr>
                <w:rFonts w:ascii="Symbol" w:hAnsi="Symbol" w:cs="Symbol"/>
              </w:rPr>
              <w:t></w:t>
            </w:r>
            <w:r w:rsidRPr="00CA11E8">
              <w:rPr>
                <w:sz w:val="22"/>
                <w:szCs w:val="22"/>
                <w:lang w:val="ru-RU"/>
              </w:rPr>
              <w:t>С</w:t>
            </w:r>
          </w:p>
        </w:tc>
        <w:tc>
          <w:tcPr>
            <w:tcW w:w="2520" w:type="dxa"/>
          </w:tcPr>
          <w:p w14:paraId="3672E244"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Антигистаминные препараты (клемастин 2%, 2 мг, или другой препарат с аналогичным действием)</w:t>
            </w:r>
          </w:p>
          <w:p w14:paraId="705F1208"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Наркотические анальгетики (промедол 2%, 2 мл)</w:t>
            </w:r>
          </w:p>
          <w:p w14:paraId="0A43BA1D"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Глюкокортикоиды (преднизолон, 30—60 мг, или дексаметазон, 4—8 мг)</w:t>
            </w:r>
          </w:p>
        </w:tc>
        <w:tc>
          <w:tcPr>
            <w:tcW w:w="2284" w:type="dxa"/>
          </w:tcPr>
          <w:p w14:paraId="6347B217"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Обязательные: бактериологическое исследование крови</w:t>
            </w:r>
          </w:p>
          <w:p w14:paraId="5088081A"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Дополнительные: определение антилейкоцитарных антител, антитромбоцитарных антител, антител к нейтрофилам в сыворотке</w:t>
            </w:r>
          </w:p>
        </w:tc>
      </w:tr>
      <w:tr w:rsidR="00784084" w:rsidRPr="004C7AAC" w14:paraId="088559A1" w14:textId="77777777" w:rsidTr="002D3EBF">
        <w:trPr>
          <w:jc w:val="center"/>
        </w:trPr>
        <w:tc>
          <w:tcPr>
            <w:tcW w:w="2110" w:type="dxa"/>
            <w:vMerge w:val="restart"/>
          </w:tcPr>
          <w:p w14:paraId="0E62A001" w14:textId="77777777" w:rsidR="00784084" w:rsidRPr="00360841" w:rsidRDefault="00784084" w:rsidP="002D3EBF">
            <w:pPr>
              <w:pStyle w:val="table-text-0"/>
              <w:spacing w:before="0" w:line="360" w:lineRule="auto"/>
              <w:ind w:firstLine="0"/>
              <w:rPr>
                <w:sz w:val="22"/>
                <w:szCs w:val="22"/>
              </w:rPr>
            </w:pPr>
            <w:r w:rsidRPr="00CA11E8">
              <w:rPr>
                <w:sz w:val="22"/>
                <w:szCs w:val="22"/>
                <w:lang w:val="ru-RU"/>
              </w:rPr>
              <w:t>Острый</w:t>
            </w:r>
            <w:r w:rsidRPr="00360841">
              <w:rPr>
                <w:sz w:val="22"/>
                <w:szCs w:val="22"/>
              </w:rPr>
              <w:t xml:space="preserve"> </w:t>
            </w:r>
            <w:r w:rsidRPr="00CA11E8">
              <w:rPr>
                <w:sz w:val="22"/>
                <w:szCs w:val="22"/>
                <w:lang w:val="ru-RU"/>
              </w:rPr>
              <w:t>гемолиз</w:t>
            </w:r>
            <w:r w:rsidRPr="00360841">
              <w:rPr>
                <w:sz w:val="22"/>
                <w:szCs w:val="22"/>
              </w:rPr>
              <w:t xml:space="preserve"> (AHTR, </w:t>
            </w:r>
            <w:r w:rsidRPr="00CA11E8">
              <w:rPr>
                <w:sz w:val="22"/>
                <w:szCs w:val="22"/>
                <w:lang w:val="ru-RU"/>
              </w:rPr>
              <w:t>от</w:t>
            </w:r>
            <w:r w:rsidRPr="00360841">
              <w:rPr>
                <w:sz w:val="22"/>
                <w:szCs w:val="22"/>
              </w:rPr>
              <w:t xml:space="preserve"> acute hemolytic transfusion reaction)</w:t>
            </w:r>
          </w:p>
        </w:tc>
        <w:tc>
          <w:tcPr>
            <w:tcW w:w="2340" w:type="dxa"/>
          </w:tcPr>
          <w:p w14:paraId="78A0FB09"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 xml:space="preserve">Иммунная реакция: наличие у реципиента антител к аллоантигенам эритроцитов донора (ABO, резус-фактор и другая несовместимость) </w:t>
            </w:r>
          </w:p>
        </w:tc>
        <w:tc>
          <w:tcPr>
            <w:tcW w:w="2520" w:type="dxa"/>
            <w:vMerge w:val="restart"/>
          </w:tcPr>
          <w:p w14:paraId="52CB7CB5"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Глюкокортикоиды (преднизолон, 30—60 мг, или дексаметазон, 4—8 мг)</w:t>
            </w:r>
          </w:p>
          <w:p w14:paraId="637C1015"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Форсированный диурез (NaCl 0,9%, 2000—3000 мл; фуросемид, 20—40 мг); проводится до купирования клинических проявлений гемолиза</w:t>
            </w:r>
          </w:p>
          <w:p w14:paraId="2981D7C9"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Контроль АД, ЦВД, объема и цвет мочи</w:t>
            </w:r>
          </w:p>
          <w:p w14:paraId="754011E8"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При неэффективности консервативной терапии или анурии —плазмаферез и гемодиализ</w:t>
            </w:r>
          </w:p>
        </w:tc>
        <w:tc>
          <w:tcPr>
            <w:tcW w:w="2284" w:type="dxa"/>
          </w:tcPr>
          <w:p w14:paraId="35FBF3F5"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Обязательные: определение в сыворотке свободного гемоглобина, билирубина; анализ мочи на гемоглобинурию, гемосидеринурию</w:t>
            </w:r>
          </w:p>
          <w:p w14:paraId="1DCACF74"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Дополнительные: прямая проба Кумбса, оценка химеризма эритроцитов в периферической крови реципиента</w:t>
            </w:r>
          </w:p>
        </w:tc>
      </w:tr>
      <w:tr w:rsidR="00784084" w:rsidRPr="004C7AAC" w14:paraId="7F9A4CA0" w14:textId="77777777" w:rsidTr="002D3EBF">
        <w:trPr>
          <w:jc w:val="center"/>
        </w:trPr>
        <w:tc>
          <w:tcPr>
            <w:tcW w:w="2110" w:type="dxa"/>
            <w:vMerge/>
          </w:tcPr>
          <w:p w14:paraId="7ECC29B6" w14:textId="77777777" w:rsidR="00784084" w:rsidRPr="00CA11E8" w:rsidRDefault="00784084" w:rsidP="002D3EBF">
            <w:pPr>
              <w:pStyle w:val="table-text-0"/>
              <w:spacing w:before="0" w:line="360" w:lineRule="auto"/>
              <w:ind w:firstLine="0"/>
              <w:rPr>
                <w:sz w:val="22"/>
                <w:szCs w:val="22"/>
                <w:lang w:val="ru-RU"/>
              </w:rPr>
            </w:pPr>
          </w:p>
        </w:tc>
        <w:tc>
          <w:tcPr>
            <w:tcW w:w="2340" w:type="dxa"/>
          </w:tcPr>
          <w:p w14:paraId="79691C1B"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Неиммунная реакция: разрушение эритроцитов донора вследствие нарушения температурного режима или сроков хранения, несоблюдения правил подготовки к переливанию, смешивания с гипотоническим или гипертоническим растворами</w:t>
            </w:r>
          </w:p>
        </w:tc>
        <w:tc>
          <w:tcPr>
            <w:tcW w:w="2520" w:type="dxa"/>
            <w:vMerge/>
          </w:tcPr>
          <w:p w14:paraId="506834B7" w14:textId="77777777" w:rsidR="00784084" w:rsidRPr="00CA11E8" w:rsidRDefault="00784084" w:rsidP="002D3EBF">
            <w:pPr>
              <w:pStyle w:val="table-text-0"/>
              <w:spacing w:before="0" w:line="360" w:lineRule="auto"/>
              <w:ind w:firstLine="0"/>
              <w:rPr>
                <w:sz w:val="22"/>
                <w:szCs w:val="22"/>
                <w:lang w:val="ru-RU"/>
              </w:rPr>
            </w:pPr>
          </w:p>
        </w:tc>
        <w:tc>
          <w:tcPr>
            <w:tcW w:w="2284" w:type="dxa"/>
          </w:tcPr>
          <w:p w14:paraId="48BB2287"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Обязательные: определение в сыворотке свободного гемоглобина, билирубина; анализ мочи на гемоглобинурию, гемосидеринурию</w:t>
            </w:r>
          </w:p>
          <w:p w14:paraId="4E286AE9" w14:textId="77777777" w:rsidR="00784084" w:rsidRPr="00CA11E8" w:rsidRDefault="00784084" w:rsidP="002D3EBF">
            <w:pPr>
              <w:pStyle w:val="table-text-0"/>
              <w:spacing w:before="0" w:line="360" w:lineRule="auto"/>
              <w:ind w:firstLine="0"/>
              <w:rPr>
                <w:sz w:val="22"/>
                <w:szCs w:val="22"/>
                <w:lang w:val="ru-RU"/>
              </w:rPr>
            </w:pPr>
          </w:p>
        </w:tc>
      </w:tr>
      <w:tr w:rsidR="00784084" w:rsidRPr="004C7AAC" w14:paraId="2FE46A33" w14:textId="77777777" w:rsidTr="002D3EBF">
        <w:trPr>
          <w:jc w:val="center"/>
        </w:trPr>
        <w:tc>
          <w:tcPr>
            <w:tcW w:w="2110" w:type="dxa"/>
          </w:tcPr>
          <w:p w14:paraId="5D7A8A1D" w14:textId="77777777" w:rsidR="00784084" w:rsidRPr="00360841" w:rsidRDefault="00784084" w:rsidP="002D3EBF">
            <w:pPr>
              <w:pStyle w:val="table-text-0"/>
              <w:spacing w:before="0" w:line="360" w:lineRule="auto"/>
              <w:ind w:firstLine="0"/>
              <w:rPr>
                <w:sz w:val="22"/>
                <w:szCs w:val="22"/>
              </w:rPr>
            </w:pPr>
            <w:r w:rsidRPr="00CA11E8">
              <w:rPr>
                <w:sz w:val="22"/>
                <w:szCs w:val="22"/>
                <w:lang w:val="ru-RU"/>
              </w:rPr>
              <w:t>Отсроченный</w:t>
            </w:r>
            <w:r w:rsidRPr="00360841">
              <w:rPr>
                <w:sz w:val="22"/>
                <w:szCs w:val="22"/>
              </w:rPr>
              <w:t xml:space="preserve"> </w:t>
            </w:r>
            <w:r w:rsidRPr="00CA11E8">
              <w:rPr>
                <w:sz w:val="22"/>
                <w:szCs w:val="22"/>
                <w:lang w:val="ru-RU"/>
              </w:rPr>
              <w:t>гемолиз</w:t>
            </w:r>
            <w:r w:rsidRPr="00360841">
              <w:rPr>
                <w:sz w:val="22"/>
                <w:szCs w:val="22"/>
              </w:rPr>
              <w:t xml:space="preserve"> (DHTR, </w:t>
            </w:r>
            <w:r w:rsidRPr="00CA11E8">
              <w:rPr>
                <w:sz w:val="22"/>
                <w:szCs w:val="22"/>
                <w:lang w:val="ru-RU"/>
              </w:rPr>
              <w:t>от</w:t>
            </w:r>
            <w:r w:rsidRPr="00360841">
              <w:rPr>
                <w:sz w:val="22"/>
                <w:szCs w:val="22"/>
              </w:rPr>
              <w:t xml:space="preserve"> delayed hemolytic transfusion reaction)</w:t>
            </w:r>
          </w:p>
        </w:tc>
        <w:tc>
          <w:tcPr>
            <w:tcW w:w="2340" w:type="dxa"/>
          </w:tcPr>
          <w:p w14:paraId="41115B45"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Внутриклеточный (тканевый) гемолиз в результате трансфузии несовместимых по аллоантигенам эритроцитов донора</w:t>
            </w:r>
          </w:p>
          <w:p w14:paraId="51E72CA6"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Аллоиммунизация отмечается в период от 24 часов до 28 дней после трансфузии</w:t>
            </w:r>
          </w:p>
        </w:tc>
        <w:tc>
          <w:tcPr>
            <w:tcW w:w="2520" w:type="dxa"/>
          </w:tcPr>
          <w:p w14:paraId="2CA8BA31"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 xml:space="preserve"> Глюкокортикоиды (преднизолон, 30—60 мг, или дексаметазон, 4—8 мг)</w:t>
            </w:r>
          </w:p>
          <w:p w14:paraId="5FFBB421"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Форсированный диурез (NaCl 0,9%, 2000—3000 мл; фуросемид, 20—40 мг); проводится до купирования клинических проявлений гемолиза</w:t>
            </w:r>
          </w:p>
          <w:p w14:paraId="563A3705"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Контроль АД, ЦВД, объема и цвет мочи</w:t>
            </w:r>
          </w:p>
          <w:p w14:paraId="125D9D46"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При неэффективности консервативной терапии или анурии —плазмаферез и гемодиализ</w:t>
            </w:r>
          </w:p>
        </w:tc>
        <w:tc>
          <w:tcPr>
            <w:tcW w:w="2284" w:type="dxa"/>
          </w:tcPr>
          <w:p w14:paraId="2C6753D5"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Обязательные: определение в сыворотке свободного гемоглобина, билирубина; анализ мочи на гемоглобинурию, гемосидеринурию; прямая проба Кумбса</w:t>
            </w:r>
          </w:p>
          <w:p w14:paraId="1307DE36"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Дополнительные: выявление антиэритроцитарных аллоантител с новой специфичностью</w:t>
            </w:r>
          </w:p>
        </w:tc>
      </w:tr>
      <w:tr w:rsidR="00784084" w:rsidRPr="004C7AAC" w14:paraId="68763CD4" w14:textId="77777777" w:rsidTr="002D3EBF">
        <w:trPr>
          <w:jc w:val="center"/>
        </w:trPr>
        <w:tc>
          <w:tcPr>
            <w:tcW w:w="2110" w:type="dxa"/>
          </w:tcPr>
          <w:p w14:paraId="68CB0349"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Отсроченная серологическая трансфузионная реакция (DSTR, от delayed serologic transfusion reaction)</w:t>
            </w:r>
          </w:p>
        </w:tc>
        <w:tc>
          <w:tcPr>
            <w:tcW w:w="2340" w:type="dxa"/>
          </w:tcPr>
          <w:p w14:paraId="4F4A02C7"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Непосредственно после трансфузии признаки гемолиза отсутствуют; в срок от 24 ч до 28 дней после трансфузии у реципиента выявляются новые антиэритроцитарные аллоантитела</w:t>
            </w:r>
          </w:p>
        </w:tc>
        <w:tc>
          <w:tcPr>
            <w:tcW w:w="2520" w:type="dxa"/>
          </w:tcPr>
          <w:p w14:paraId="65595E6A" w14:textId="77777777" w:rsidR="00784084" w:rsidRPr="00CA11E8" w:rsidRDefault="00784084" w:rsidP="002D3EBF">
            <w:pPr>
              <w:pStyle w:val="table-text-0"/>
              <w:spacing w:before="0" w:line="360" w:lineRule="auto"/>
              <w:ind w:firstLine="0"/>
              <w:rPr>
                <w:sz w:val="22"/>
                <w:szCs w:val="22"/>
                <w:lang w:val="ru-RU"/>
              </w:rPr>
            </w:pPr>
          </w:p>
        </w:tc>
        <w:tc>
          <w:tcPr>
            <w:tcW w:w="2284" w:type="dxa"/>
          </w:tcPr>
          <w:p w14:paraId="3087E558"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Обязательные: прямая проба Кумбса</w:t>
            </w:r>
          </w:p>
        </w:tc>
      </w:tr>
      <w:tr w:rsidR="00784084" w:rsidRPr="004C7AAC" w14:paraId="76C7A539" w14:textId="77777777" w:rsidTr="002D3EBF">
        <w:trPr>
          <w:jc w:val="center"/>
        </w:trPr>
        <w:tc>
          <w:tcPr>
            <w:tcW w:w="2110" w:type="dxa"/>
          </w:tcPr>
          <w:p w14:paraId="1B088562"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Посттрансфузионная реакция «трансплантат против хозяина» (TA-GVHD, от transfusion-associated graft-versus-host-disease)</w:t>
            </w:r>
          </w:p>
        </w:tc>
        <w:tc>
          <w:tcPr>
            <w:tcW w:w="2340" w:type="dxa"/>
          </w:tcPr>
          <w:p w14:paraId="30F1B773"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Введение иммунокомпетентных клеток донора (</w:t>
            </w:r>
            <w:r w:rsidRPr="00CA11E8">
              <w:rPr>
                <w:sz w:val="22"/>
                <w:szCs w:val="22"/>
              </w:rPr>
              <w:t>T</w:t>
            </w:r>
            <w:r w:rsidRPr="00CA11E8">
              <w:rPr>
                <w:sz w:val="22"/>
                <w:szCs w:val="22"/>
                <w:lang w:val="ru-RU"/>
              </w:rPr>
              <w:t xml:space="preserve">-лимфоцитов) иммунокомпрометированному реципиенту приводит к их пролиферации и дифференцировке в организме реципиента, что вызывает повреждение клеток реципиента, экспрессирующих HLA-антигены </w:t>
            </w:r>
            <w:r w:rsidRPr="00CA11E8">
              <w:rPr>
                <w:sz w:val="22"/>
                <w:szCs w:val="22"/>
              </w:rPr>
              <w:t>I</w:t>
            </w:r>
            <w:r w:rsidRPr="00CA11E8">
              <w:rPr>
                <w:sz w:val="22"/>
                <w:szCs w:val="22"/>
                <w:lang w:val="ru-RU"/>
              </w:rPr>
              <w:t xml:space="preserve"> и </w:t>
            </w:r>
            <w:r w:rsidRPr="00CA11E8">
              <w:rPr>
                <w:sz w:val="22"/>
                <w:szCs w:val="22"/>
              </w:rPr>
              <w:t>II</w:t>
            </w:r>
            <w:r w:rsidRPr="00CA11E8">
              <w:rPr>
                <w:sz w:val="22"/>
                <w:szCs w:val="22"/>
                <w:lang w:val="ru-RU"/>
              </w:rPr>
              <w:t> классов (кожа, ЖКТ, печень, селезенка, костный мозг)</w:t>
            </w:r>
          </w:p>
          <w:p w14:paraId="44178F1E"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Характерны кожная эритема, диарея, поражение печени с гепатомегалией</w:t>
            </w:r>
          </w:p>
          <w:p w14:paraId="56DA51A8"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Синдром может развиваться в сроки от 2 дней до 6 недель после трансфузии</w:t>
            </w:r>
          </w:p>
        </w:tc>
        <w:tc>
          <w:tcPr>
            <w:tcW w:w="2520" w:type="dxa"/>
          </w:tcPr>
          <w:p w14:paraId="107B791E"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Глюкокортикоиды</w:t>
            </w:r>
          </w:p>
        </w:tc>
        <w:tc>
          <w:tcPr>
            <w:tcW w:w="2284" w:type="dxa"/>
          </w:tcPr>
          <w:p w14:paraId="6BE23AA1"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Обязательные: общий и биохимический (активность АЛТ, АСТ, ЩФ, уровень билирубина) анализ крови, коагулограмма (уровень фибриногена), биопсия кожи с гистологическим исследованием (при наличии кожной эритемы)</w:t>
            </w:r>
          </w:p>
          <w:p w14:paraId="60F01E4F"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Дополнительные: исследование химеризма лейкоцитов; УЗИ брюшной полости</w:t>
            </w:r>
          </w:p>
        </w:tc>
      </w:tr>
      <w:tr w:rsidR="00784084" w:rsidRPr="004C7AAC" w14:paraId="6677A8BB" w14:textId="77777777" w:rsidTr="002D3EBF">
        <w:trPr>
          <w:jc w:val="center"/>
        </w:trPr>
        <w:tc>
          <w:tcPr>
            <w:tcW w:w="2110" w:type="dxa"/>
          </w:tcPr>
          <w:p w14:paraId="641A6474"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Пострансфузионная пурпура (PTP, от post-transfusion purpura)</w:t>
            </w:r>
          </w:p>
        </w:tc>
        <w:tc>
          <w:tcPr>
            <w:tcW w:w="2340" w:type="dxa"/>
          </w:tcPr>
          <w:p w14:paraId="638CB3F2"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Образование антител к тромбоцитам или лейкоцитам (анти-HLA, анти-HPA) через 5—12 дней после трансфузии, проявляющееся выраженной тромбоцитопенией и геморрагическим синдромом</w:t>
            </w:r>
          </w:p>
        </w:tc>
        <w:tc>
          <w:tcPr>
            <w:tcW w:w="2520" w:type="dxa"/>
          </w:tcPr>
          <w:p w14:paraId="27E023C8"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 xml:space="preserve">Глюкокортикоиды </w:t>
            </w:r>
          </w:p>
        </w:tc>
        <w:tc>
          <w:tcPr>
            <w:tcW w:w="2284" w:type="dxa"/>
          </w:tcPr>
          <w:p w14:paraId="5CC97377"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Обязательные: общий анализ крови, выявление антилейкоцитарных аллоантител (анти-HLA) в сыворотке</w:t>
            </w:r>
          </w:p>
          <w:p w14:paraId="375F84D5"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Дополнительные: выявление антитромбоцитарных антител (анти-HPA) в сыворотке</w:t>
            </w:r>
          </w:p>
        </w:tc>
      </w:tr>
      <w:tr w:rsidR="00784084" w:rsidRPr="004C7AAC" w14:paraId="0A660E6F" w14:textId="77777777" w:rsidTr="002D3EBF">
        <w:trPr>
          <w:jc w:val="center"/>
        </w:trPr>
        <w:tc>
          <w:tcPr>
            <w:tcW w:w="2110" w:type="dxa"/>
            <w:vMerge w:val="restart"/>
          </w:tcPr>
          <w:p w14:paraId="17910778"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Другие</w:t>
            </w:r>
          </w:p>
        </w:tc>
        <w:tc>
          <w:tcPr>
            <w:tcW w:w="2340" w:type="dxa"/>
          </w:tcPr>
          <w:p w14:paraId="31D851E6"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Септический шок при переливании инфицированного компонента крови</w:t>
            </w:r>
          </w:p>
        </w:tc>
        <w:tc>
          <w:tcPr>
            <w:tcW w:w="2520" w:type="dxa"/>
          </w:tcPr>
          <w:p w14:paraId="52CAAD16"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Антибактериальная терапия широкого спектра действия, противошоковая терапия</w:t>
            </w:r>
          </w:p>
        </w:tc>
        <w:tc>
          <w:tcPr>
            <w:tcW w:w="2284" w:type="dxa"/>
          </w:tcPr>
          <w:p w14:paraId="445EF83D"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Обязательные: бактериологическое исследование крови</w:t>
            </w:r>
          </w:p>
        </w:tc>
      </w:tr>
      <w:tr w:rsidR="00784084" w:rsidRPr="004C7AAC" w14:paraId="59ADED74" w14:textId="77777777" w:rsidTr="002D3EBF">
        <w:trPr>
          <w:jc w:val="center"/>
        </w:trPr>
        <w:tc>
          <w:tcPr>
            <w:tcW w:w="2110" w:type="dxa"/>
            <w:vMerge/>
          </w:tcPr>
          <w:p w14:paraId="08447CBD" w14:textId="77777777" w:rsidR="00784084" w:rsidRPr="00CA11E8" w:rsidRDefault="00784084" w:rsidP="002D3EBF">
            <w:pPr>
              <w:pStyle w:val="table-text-0"/>
              <w:spacing w:before="0" w:line="360" w:lineRule="auto"/>
              <w:ind w:firstLine="0"/>
              <w:rPr>
                <w:sz w:val="22"/>
                <w:szCs w:val="22"/>
                <w:lang w:val="ru-RU"/>
              </w:rPr>
            </w:pPr>
          </w:p>
        </w:tc>
        <w:tc>
          <w:tcPr>
            <w:tcW w:w="2340" w:type="dxa"/>
          </w:tcPr>
          <w:p w14:paraId="46720BEB"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Перегрузка железом (гемосидероз) органов в результате множественных переливаний эритроцитов</w:t>
            </w:r>
          </w:p>
        </w:tc>
        <w:tc>
          <w:tcPr>
            <w:tcW w:w="2520" w:type="dxa"/>
          </w:tcPr>
          <w:p w14:paraId="2040051F"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Комплексообразующие средства (деферазирокс, 15—20 мг/кг или другой препарат с аналогичным действием)</w:t>
            </w:r>
          </w:p>
        </w:tc>
        <w:tc>
          <w:tcPr>
            <w:tcW w:w="2284" w:type="dxa"/>
          </w:tcPr>
          <w:p w14:paraId="53114C6E"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Обязательные: определение уровня ферритина в сыворотке (не должен превышать 1000 мкг/л)</w:t>
            </w:r>
          </w:p>
        </w:tc>
      </w:tr>
    </w:tbl>
    <w:p w14:paraId="007B5EA6" w14:textId="77777777" w:rsidR="00784084" w:rsidRPr="008E43BE" w:rsidRDefault="00784084" w:rsidP="00784084">
      <w:pPr>
        <w:rPr>
          <w:sz w:val="20"/>
          <w:szCs w:val="20"/>
        </w:rPr>
      </w:pPr>
      <w:r w:rsidRPr="008E43BE">
        <w:rPr>
          <w:sz w:val="20"/>
          <w:szCs w:val="20"/>
        </w:rPr>
        <w:t>* Контейнер с компонентом крови, при трансфузии которого возникла реакция или осложнение, передается в установленном порядке для оценки параметров качества и безопасности.</w:t>
      </w:r>
    </w:p>
    <w:p w14:paraId="17EAC22D" w14:textId="77777777" w:rsidR="00784084" w:rsidRDefault="00784084" w:rsidP="00784084">
      <w:pPr>
        <w:ind w:firstLine="708"/>
        <w:rPr>
          <w:szCs w:val="24"/>
        </w:rPr>
      </w:pPr>
    </w:p>
    <w:p w14:paraId="2427F0D9" w14:textId="77777777" w:rsidR="00784084" w:rsidRDefault="00784084" w:rsidP="00784084">
      <w:pPr>
        <w:ind w:firstLine="708"/>
        <w:rPr>
          <w:szCs w:val="24"/>
        </w:rPr>
      </w:pPr>
      <w:r w:rsidRPr="002D194B">
        <w:rPr>
          <w:szCs w:val="24"/>
        </w:rPr>
        <w:t>Степень тяжести посттрансфузионных реакции и осложнений можно определить по шкале</w:t>
      </w:r>
      <w:r>
        <w:rPr>
          <w:szCs w:val="24"/>
        </w:rPr>
        <w:t>,</w:t>
      </w:r>
      <w:r w:rsidRPr="002D194B">
        <w:rPr>
          <w:szCs w:val="24"/>
        </w:rPr>
        <w:t xml:space="preserve"> приведенной в табл</w:t>
      </w:r>
      <w:r>
        <w:rPr>
          <w:szCs w:val="24"/>
        </w:rPr>
        <w:t>. </w:t>
      </w:r>
      <w:r w:rsidRPr="002D194B">
        <w:rPr>
          <w:szCs w:val="24"/>
        </w:rPr>
        <w:t>4.</w:t>
      </w:r>
    </w:p>
    <w:p w14:paraId="2B4F722A" w14:textId="77777777" w:rsidR="00784084" w:rsidRDefault="00784084" w:rsidP="00784084">
      <w:pPr>
        <w:rPr>
          <w:bCs/>
          <w:szCs w:val="24"/>
        </w:rPr>
      </w:pPr>
    </w:p>
    <w:p w14:paraId="21DB6F5E" w14:textId="77777777" w:rsidR="00784084" w:rsidRPr="008E43BE" w:rsidRDefault="00784084" w:rsidP="00784084">
      <w:pPr>
        <w:rPr>
          <w:szCs w:val="24"/>
        </w:rPr>
      </w:pPr>
      <w:r w:rsidRPr="008E43BE">
        <w:rPr>
          <w:bCs/>
          <w:szCs w:val="24"/>
        </w:rPr>
        <w:t>Таблица 4. Шкала степени тяжести реакции или осложнения</w:t>
      </w:r>
    </w:p>
    <w:tbl>
      <w:tblPr>
        <w:tblW w:w="91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0"/>
        <w:gridCol w:w="7380"/>
      </w:tblGrid>
      <w:tr w:rsidR="00784084" w:rsidRPr="004C7AAC" w14:paraId="701EE140" w14:textId="77777777" w:rsidTr="002D3EBF">
        <w:tc>
          <w:tcPr>
            <w:tcW w:w="1800" w:type="dxa"/>
          </w:tcPr>
          <w:p w14:paraId="7A4C2A85" w14:textId="77777777" w:rsidR="00784084" w:rsidRPr="002F2E09" w:rsidRDefault="00784084" w:rsidP="002D3EBF">
            <w:pPr>
              <w:pStyle w:val="Table-head-italic"/>
              <w:spacing w:line="360" w:lineRule="auto"/>
              <w:rPr>
                <w:i w:val="0"/>
                <w:sz w:val="22"/>
                <w:szCs w:val="22"/>
                <w:lang w:val="ru-RU"/>
              </w:rPr>
            </w:pPr>
            <w:r w:rsidRPr="002F2E09">
              <w:rPr>
                <w:i w:val="0"/>
                <w:sz w:val="22"/>
                <w:szCs w:val="22"/>
                <w:lang w:val="ru-RU"/>
              </w:rPr>
              <w:t>Категори</w:t>
            </w:r>
            <w:r>
              <w:rPr>
                <w:i w:val="0"/>
                <w:sz w:val="22"/>
                <w:szCs w:val="22"/>
                <w:lang w:val="ru-RU"/>
              </w:rPr>
              <w:t>я</w:t>
            </w:r>
          </w:p>
        </w:tc>
        <w:tc>
          <w:tcPr>
            <w:tcW w:w="7380" w:type="dxa"/>
          </w:tcPr>
          <w:p w14:paraId="57082FCE" w14:textId="77777777" w:rsidR="00784084" w:rsidRPr="002F2E09" w:rsidRDefault="00784084" w:rsidP="002D3EBF">
            <w:pPr>
              <w:pStyle w:val="Table-head-italic"/>
              <w:spacing w:line="360" w:lineRule="auto"/>
              <w:rPr>
                <w:i w:val="0"/>
                <w:sz w:val="22"/>
                <w:szCs w:val="22"/>
                <w:lang w:val="ru-RU"/>
              </w:rPr>
            </w:pPr>
            <w:r>
              <w:rPr>
                <w:i w:val="0"/>
                <w:sz w:val="22"/>
                <w:szCs w:val="22"/>
                <w:lang w:val="ru-RU"/>
              </w:rPr>
              <w:t>Определение</w:t>
            </w:r>
          </w:p>
        </w:tc>
      </w:tr>
      <w:tr w:rsidR="00784084" w:rsidRPr="004C7AAC" w14:paraId="475D5831" w14:textId="77777777" w:rsidTr="002D3EBF">
        <w:tc>
          <w:tcPr>
            <w:tcW w:w="1800" w:type="dxa"/>
          </w:tcPr>
          <w:p w14:paraId="6BB45845" w14:textId="77777777" w:rsidR="00784084" w:rsidRPr="002F2E09" w:rsidRDefault="00784084" w:rsidP="002D3EBF">
            <w:pPr>
              <w:pStyle w:val="table-text-0"/>
              <w:spacing w:before="0" w:line="360" w:lineRule="auto"/>
              <w:ind w:firstLine="0"/>
              <w:rPr>
                <w:sz w:val="22"/>
                <w:szCs w:val="22"/>
                <w:lang w:val="ru-RU"/>
              </w:rPr>
            </w:pPr>
            <w:r w:rsidRPr="002F2E09">
              <w:rPr>
                <w:sz w:val="22"/>
                <w:szCs w:val="22"/>
                <w:lang w:val="ru-RU"/>
              </w:rPr>
              <w:t>0</w:t>
            </w:r>
          </w:p>
        </w:tc>
        <w:tc>
          <w:tcPr>
            <w:tcW w:w="7380" w:type="dxa"/>
          </w:tcPr>
          <w:p w14:paraId="00AB515F" w14:textId="77777777" w:rsidR="00784084" w:rsidRPr="002F2E09" w:rsidRDefault="00784084" w:rsidP="002D3EBF">
            <w:pPr>
              <w:pStyle w:val="table-text-0"/>
              <w:spacing w:before="0" w:line="360" w:lineRule="auto"/>
              <w:ind w:firstLine="0"/>
              <w:rPr>
                <w:sz w:val="22"/>
                <w:szCs w:val="22"/>
                <w:lang w:val="ru-RU"/>
              </w:rPr>
            </w:pPr>
            <w:r w:rsidRPr="002F2E09">
              <w:rPr>
                <w:sz w:val="22"/>
                <w:szCs w:val="22"/>
                <w:lang w:val="ru-RU"/>
              </w:rPr>
              <w:t>Реакци</w:t>
            </w:r>
            <w:r>
              <w:rPr>
                <w:sz w:val="22"/>
                <w:szCs w:val="22"/>
                <w:lang w:val="ru-RU"/>
              </w:rPr>
              <w:t>и</w:t>
            </w:r>
            <w:r w:rsidRPr="002F2E09">
              <w:rPr>
                <w:sz w:val="22"/>
                <w:szCs w:val="22"/>
                <w:lang w:val="ru-RU"/>
              </w:rPr>
              <w:t xml:space="preserve"> и осложнений нет</w:t>
            </w:r>
          </w:p>
        </w:tc>
      </w:tr>
      <w:tr w:rsidR="00784084" w:rsidRPr="004C7AAC" w14:paraId="5AD073C7" w14:textId="77777777" w:rsidTr="002D3EBF">
        <w:tc>
          <w:tcPr>
            <w:tcW w:w="1800" w:type="dxa"/>
          </w:tcPr>
          <w:p w14:paraId="630D2FDC" w14:textId="77777777" w:rsidR="00784084" w:rsidRPr="002F2E09" w:rsidRDefault="00784084" w:rsidP="002D3EBF">
            <w:pPr>
              <w:pStyle w:val="table-text-0"/>
              <w:spacing w:before="0" w:line="360" w:lineRule="auto"/>
              <w:ind w:firstLine="0"/>
              <w:rPr>
                <w:sz w:val="22"/>
                <w:szCs w:val="22"/>
                <w:lang w:val="ru-RU"/>
              </w:rPr>
            </w:pPr>
            <w:r w:rsidRPr="002F2E09">
              <w:rPr>
                <w:sz w:val="22"/>
                <w:szCs w:val="22"/>
                <w:lang w:val="ru-RU"/>
              </w:rPr>
              <w:t>1</w:t>
            </w:r>
          </w:p>
        </w:tc>
        <w:tc>
          <w:tcPr>
            <w:tcW w:w="7380" w:type="dxa"/>
          </w:tcPr>
          <w:p w14:paraId="0BF1EAFC" w14:textId="77777777" w:rsidR="00784084" w:rsidRPr="002F2E09" w:rsidRDefault="00784084" w:rsidP="002D3EBF">
            <w:pPr>
              <w:pStyle w:val="table-text-0"/>
              <w:spacing w:before="0" w:line="360" w:lineRule="auto"/>
              <w:ind w:firstLine="0"/>
              <w:rPr>
                <w:sz w:val="22"/>
                <w:szCs w:val="22"/>
                <w:lang w:val="ru-RU"/>
              </w:rPr>
            </w:pPr>
            <w:r w:rsidRPr="002F2E09">
              <w:rPr>
                <w:sz w:val="22"/>
                <w:szCs w:val="22"/>
                <w:lang w:val="ru-RU"/>
              </w:rPr>
              <w:t>Легкой степени: температура &lt;</w:t>
            </w:r>
            <w:r>
              <w:rPr>
                <w:sz w:val="22"/>
                <w:szCs w:val="22"/>
                <w:lang w:val="ru-RU"/>
              </w:rPr>
              <w:t> </w:t>
            </w:r>
            <w:r w:rsidRPr="002F2E09">
              <w:rPr>
                <w:sz w:val="22"/>
                <w:szCs w:val="22"/>
                <w:lang w:val="ru-RU"/>
              </w:rPr>
              <w:t>38</w:t>
            </w:r>
            <w:r w:rsidRPr="003511FE">
              <w:rPr>
                <w:rFonts w:ascii="Symbol" w:hAnsi="Symbol" w:cs="Symbol"/>
              </w:rPr>
              <w:t></w:t>
            </w:r>
            <w:r>
              <w:rPr>
                <w:sz w:val="22"/>
                <w:szCs w:val="22"/>
              </w:rPr>
              <w:t>C</w:t>
            </w:r>
            <w:r w:rsidRPr="002F2E09">
              <w:rPr>
                <w:sz w:val="22"/>
                <w:szCs w:val="22"/>
                <w:lang w:val="ru-RU"/>
              </w:rPr>
              <w:t xml:space="preserve">, другие незначительные симптомы, без долгосрочных </w:t>
            </w:r>
            <w:r>
              <w:rPr>
                <w:sz w:val="22"/>
                <w:szCs w:val="22"/>
                <w:lang w:val="ru-RU"/>
              </w:rPr>
              <w:t xml:space="preserve">патологических </w:t>
            </w:r>
            <w:r w:rsidRPr="002F2E09">
              <w:rPr>
                <w:sz w:val="22"/>
                <w:szCs w:val="22"/>
                <w:lang w:val="ru-RU"/>
              </w:rPr>
              <w:t xml:space="preserve">последствий. </w:t>
            </w:r>
            <w:r w:rsidRPr="002F2E09">
              <w:rPr>
                <w:sz w:val="22"/>
                <w:szCs w:val="22"/>
                <w:u w:val="single"/>
                <w:lang w:val="ru-RU"/>
              </w:rPr>
              <w:t>Не требует</w:t>
            </w:r>
            <w:r>
              <w:rPr>
                <w:sz w:val="22"/>
                <w:szCs w:val="22"/>
                <w:u w:val="single"/>
                <w:lang w:val="ru-RU"/>
              </w:rPr>
              <w:t xml:space="preserve"> </w:t>
            </w:r>
            <w:r w:rsidRPr="002F2E09">
              <w:rPr>
                <w:sz w:val="22"/>
                <w:szCs w:val="22"/>
                <w:u w:val="single"/>
                <w:lang w:val="ru-RU"/>
              </w:rPr>
              <w:t>терапевтического вмешательства</w:t>
            </w:r>
          </w:p>
        </w:tc>
      </w:tr>
      <w:tr w:rsidR="00784084" w:rsidRPr="004C7AAC" w14:paraId="1BE05A87" w14:textId="77777777" w:rsidTr="002D3EBF">
        <w:tc>
          <w:tcPr>
            <w:tcW w:w="1800" w:type="dxa"/>
          </w:tcPr>
          <w:p w14:paraId="09F675E8" w14:textId="77777777" w:rsidR="00784084" w:rsidRPr="002F2E09" w:rsidRDefault="00784084" w:rsidP="002D3EBF">
            <w:pPr>
              <w:pStyle w:val="table-text-0"/>
              <w:spacing w:before="0" w:line="360" w:lineRule="auto"/>
              <w:ind w:firstLine="0"/>
              <w:rPr>
                <w:sz w:val="22"/>
                <w:szCs w:val="22"/>
                <w:lang w:val="ru-RU"/>
              </w:rPr>
            </w:pPr>
            <w:r w:rsidRPr="002F2E09">
              <w:rPr>
                <w:sz w:val="22"/>
                <w:szCs w:val="22"/>
                <w:lang w:val="ru-RU"/>
              </w:rPr>
              <w:t>2</w:t>
            </w:r>
          </w:p>
        </w:tc>
        <w:tc>
          <w:tcPr>
            <w:tcW w:w="7380" w:type="dxa"/>
          </w:tcPr>
          <w:p w14:paraId="4F160C3D" w14:textId="77777777" w:rsidR="00784084" w:rsidRPr="002F2E09" w:rsidRDefault="00784084" w:rsidP="002D3EBF">
            <w:pPr>
              <w:pStyle w:val="table-text-0"/>
              <w:spacing w:before="0" w:line="360" w:lineRule="auto"/>
              <w:ind w:firstLine="0"/>
              <w:rPr>
                <w:sz w:val="22"/>
                <w:szCs w:val="22"/>
                <w:lang w:val="ru-RU"/>
              </w:rPr>
            </w:pPr>
            <w:r w:rsidRPr="002F2E09">
              <w:rPr>
                <w:sz w:val="22"/>
                <w:szCs w:val="22"/>
                <w:lang w:val="ru-RU"/>
              </w:rPr>
              <w:t>Средней степени: симптомы, требующие терапевтического вмешательства, стабильные гемодинамические и вентиляционные показатели, возможны долгосрочные последствия (например</w:t>
            </w:r>
            <w:r>
              <w:rPr>
                <w:sz w:val="22"/>
                <w:szCs w:val="22"/>
                <w:lang w:val="ru-RU"/>
              </w:rPr>
              <w:t>,</w:t>
            </w:r>
            <w:r w:rsidRPr="002F2E09">
              <w:rPr>
                <w:sz w:val="22"/>
                <w:szCs w:val="22"/>
                <w:lang w:val="ru-RU"/>
              </w:rPr>
              <w:t xml:space="preserve"> аллосенсибилизация в качестве причины рефрактерности к трансфузиям)</w:t>
            </w:r>
          </w:p>
        </w:tc>
      </w:tr>
      <w:tr w:rsidR="00784084" w:rsidRPr="004C7AAC" w14:paraId="6CF52F04" w14:textId="77777777" w:rsidTr="002D3EBF">
        <w:tc>
          <w:tcPr>
            <w:tcW w:w="1800" w:type="dxa"/>
          </w:tcPr>
          <w:p w14:paraId="08FDA2C5" w14:textId="77777777" w:rsidR="00784084" w:rsidRPr="002F2E09" w:rsidRDefault="00784084" w:rsidP="002D3EBF">
            <w:pPr>
              <w:pStyle w:val="table-text-0"/>
              <w:spacing w:before="0" w:line="360" w:lineRule="auto"/>
              <w:ind w:firstLine="0"/>
              <w:rPr>
                <w:sz w:val="22"/>
                <w:szCs w:val="22"/>
                <w:lang w:val="ru-RU"/>
              </w:rPr>
            </w:pPr>
            <w:r w:rsidRPr="002F2E09">
              <w:rPr>
                <w:sz w:val="22"/>
                <w:szCs w:val="22"/>
                <w:lang w:val="ru-RU"/>
              </w:rPr>
              <w:t>3</w:t>
            </w:r>
          </w:p>
        </w:tc>
        <w:tc>
          <w:tcPr>
            <w:tcW w:w="7380" w:type="dxa"/>
          </w:tcPr>
          <w:p w14:paraId="055A1C1D" w14:textId="77777777" w:rsidR="00784084" w:rsidRPr="002F2E09" w:rsidRDefault="00784084" w:rsidP="002D3EBF">
            <w:pPr>
              <w:pStyle w:val="table-text-0"/>
              <w:spacing w:before="0" w:line="360" w:lineRule="auto"/>
              <w:ind w:firstLine="0"/>
              <w:rPr>
                <w:sz w:val="22"/>
                <w:szCs w:val="22"/>
                <w:lang w:val="ru-RU"/>
              </w:rPr>
            </w:pPr>
            <w:r w:rsidRPr="002F2E09">
              <w:rPr>
                <w:sz w:val="22"/>
                <w:szCs w:val="22"/>
                <w:lang w:val="ru-RU"/>
              </w:rPr>
              <w:t>Тяжелой степени (непосредственная угроза жизни реципиента): нестабильные гемодинамичес</w:t>
            </w:r>
            <w:r>
              <w:rPr>
                <w:sz w:val="22"/>
                <w:szCs w:val="22"/>
                <w:lang w:val="ru-RU"/>
              </w:rPr>
              <w:t>кие и вентиляционные показатели</w:t>
            </w:r>
          </w:p>
        </w:tc>
      </w:tr>
      <w:tr w:rsidR="00784084" w:rsidRPr="00CA11E8" w14:paraId="4D72D311" w14:textId="77777777" w:rsidTr="002D3EBF">
        <w:tc>
          <w:tcPr>
            <w:tcW w:w="1800" w:type="dxa"/>
          </w:tcPr>
          <w:p w14:paraId="1519AC49"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4</w:t>
            </w:r>
          </w:p>
        </w:tc>
        <w:tc>
          <w:tcPr>
            <w:tcW w:w="7380" w:type="dxa"/>
          </w:tcPr>
          <w:p w14:paraId="14F31B81" w14:textId="77777777" w:rsidR="00784084" w:rsidRPr="00CA11E8" w:rsidRDefault="00784084" w:rsidP="002D3EBF">
            <w:pPr>
              <w:pStyle w:val="table-text-0"/>
              <w:spacing w:before="0" w:line="360" w:lineRule="auto"/>
              <w:ind w:firstLine="0"/>
              <w:rPr>
                <w:sz w:val="22"/>
                <w:szCs w:val="22"/>
                <w:lang w:val="ru-RU"/>
              </w:rPr>
            </w:pPr>
            <w:r w:rsidRPr="00CA11E8">
              <w:rPr>
                <w:sz w:val="22"/>
                <w:szCs w:val="22"/>
                <w:lang w:val="ru-RU"/>
              </w:rPr>
              <w:t>Смерть от осложнения, выявленного в первые 24 часов после трансфузии</w:t>
            </w:r>
          </w:p>
        </w:tc>
      </w:tr>
    </w:tbl>
    <w:p w14:paraId="49181DA6" w14:textId="77777777" w:rsidR="00784084" w:rsidRDefault="00784084" w:rsidP="00784084">
      <w:pPr>
        <w:jc w:val="center"/>
        <w:rPr>
          <w:b/>
          <w:bCs/>
          <w:szCs w:val="24"/>
        </w:rPr>
      </w:pPr>
    </w:p>
    <w:p w14:paraId="3D36476A" w14:textId="77777777" w:rsidR="00784084" w:rsidRPr="00360841" w:rsidRDefault="00784084" w:rsidP="00784084">
      <w:pPr>
        <w:rPr>
          <w:bCs/>
          <w:i/>
          <w:szCs w:val="24"/>
          <w:u w:val="single"/>
        </w:rPr>
      </w:pPr>
      <w:r w:rsidRPr="00360841">
        <w:rPr>
          <w:bCs/>
          <w:i/>
          <w:szCs w:val="24"/>
          <w:u w:val="single"/>
        </w:rPr>
        <w:t>Премедикация перед проведением трансфузии компонентов донорской крови</w:t>
      </w:r>
    </w:p>
    <w:p w14:paraId="665E8CBD" w14:textId="77777777" w:rsidR="00784084" w:rsidRDefault="00784084" w:rsidP="00784084">
      <w:pPr>
        <w:rPr>
          <w:bCs/>
          <w:szCs w:val="24"/>
        </w:rPr>
      </w:pPr>
      <w:r>
        <w:rPr>
          <w:bCs/>
          <w:szCs w:val="24"/>
        </w:rPr>
        <w:t xml:space="preserve">Для профилактики нежелательных реакций на трансфузию при неоднократном проведении трансфузий компонентов крови может потребоваться премедикация. </w:t>
      </w:r>
      <w:r w:rsidRPr="00BC3659">
        <w:rPr>
          <w:bCs/>
          <w:szCs w:val="24"/>
        </w:rPr>
        <w:t>Алгоритм выбора премедикации перед проведением трансфузии компонентов донорской крови</w:t>
      </w:r>
      <w:r>
        <w:rPr>
          <w:bCs/>
          <w:szCs w:val="24"/>
        </w:rPr>
        <w:t xml:space="preserve"> приведен в табл.5.</w:t>
      </w:r>
    </w:p>
    <w:p w14:paraId="544A29B1" w14:textId="77777777" w:rsidR="00784084" w:rsidRDefault="00784084" w:rsidP="00784084">
      <w:pPr>
        <w:rPr>
          <w:bCs/>
          <w:szCs w:val="24"/>
        </w:rPr>
      </w:pPr>
    </w:p>
    <w:p w14:paraId="3C2E4EE2" w14:textId="77777777" w:rsidR="00784084" w:rsidRPr="00BC3659" w:rsidRDefault="00784084" w:rsidP="00784084">
      <w:pPr>
        <w:rPr>
          <w:bCs/>
          <w:szCs w:val="24"/>
        </w:rPr>
      </w:pPr>
      <w:r>
        <w:rPr>
          <w:bCs/>
          <w:szCs w:val="24"/>
        </w:rPr>
        <w:t>Таблица 5. В</w:t>
      </w:r>
      <w:r w:rsidRPr="00BC3659">
        <w:rPr>
          <w:bCs/>
          <w:szCs w:val="24"/>
        </w:rPr>
        <w:t>ыбор премедикации перед проведением трансфузии компонентов донорской крови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525"/>
        <w:gridCol w:w="4479"/>
      </w:tblGrid>
      <w:tr w:rsidR="00784084" w:rsidRPr="00915AAD" w14:paraId="54199B0F" w14:textId="77777777" w:rsidTr="002D3EBF">
        <w:tc>
          <w:tcPr>
            <w:tcW w:w="3208" w:type="dxa"/>
            <w:shd w:val="clear" w:color="auto" w:fill="auto"/>
          </w:tcPr>
          <w:p w14:paraId="5794F6F0" w14:textId="77777777" w:rsidR="00784084" w:rsidRPr="007A2B03" w:rsidRDefault="00784084" w:rsidP="00784084">
            <w:pPr>
              <w:ind w:firstLine="0"/>
              <w:jc w:val="center"/>
              <w:rPr>
                <w:bCs/>
              </w:rPr>
            </w:pPr>
            <w:r w:rsidRPr="007A2B03">
              <w:rPr>
                <w:bCs/>
              </w:rPr>
              <w:t>Вид реакции или осложнения, связанный с переливанием донорской крови и/или её компонентов, зафиксированных при предыдущих трансфузиях</w:t>
            </w:r>
          </w:p>
        </w:tc>
        <w:tc>
          <w:tcPr>
            <w:tcW w:w="3082" w:type="dxa"/>
            <w:shd w:val="clear" w:color="auto" w:fill="auto"/>
          </w:tcPr>
          <w:p w14:paraId="08D22FEE" w14:textId="77777777" w:rsidR="00784084" w:rsidRPr="007A2B03" w:rsidRDefault="00784084" w:rsidP="00784084">
            <w:pPr>
              <w:ind w:firstLine="0"/>
              <w:jc w:val="center"/>
              <w:rPr>
                <w:bCs/>
              </w:rPr>
            </w:pPr>
            <w:r w:rsidRPr="007A2B03">
              <w:rPr>
                <w:bCs/>
              </w:rPr>
              <w:t>Наименование компонента донорской крови, показанного для предстоящей трансфузии</w:t>
            </w:r>
          </w:p>
        </w:tc>
        <w:tc>
          <w:tcPr>
            <w:tcW w:w="8270" w:type="dxa"/>
            <w:shd w:val="clear" w:color="auto" w:fill="auto"/>
          </w:tcPr>
          <w:p w14:paraId="02856FAB" w14:textId="77777777" w:rsidR="00784084" w:rsidRPr="007A2B03" w:rsidRDefault="00784084" w:rsidP="00784084">
            <w:pPr>
              <w:ind w:firstLine="0"/>
              <w:jc w:val="center"/>
              <w:rPr>
                <w:bCs/>
              </w:rPr>
            </w:pPr>
            <w:r w:rsidRPr="007A2B03">
              <w:rPr>
                <w:bCs/>
              </w:rPr>
              <w:t>Премедикация перед предстоящей трансфузией</w:t>
            </w:r>
          </w:p>
        </w:tc>
      </w:tr>
      <w:tr w:rsidR="00784084" w:rsidRPr="00915AAD" w14:paraId="40C2B3D8" w14:textId="77777777" w:rsidTr="002D3EBF">
        <w:tc>
          <w:tcPr>
            <w:tcW w:w="14560" w:type="dxa"/>
            <w:gridSpan w:val="3"/>
            <w:shd w:val="clear" w:color="auto" w:fill="auto"/>
          </w:tcPr>
          <w:p w14:paraId="755E612B" w14:textId="77777777" w:rsidR="00784084" w:rsidRPr="007A2B03" w:rsidRDefault="00784084" w:rsidP="00784084">
            <w:pPr>
              <w:ind w:firstLine="0"/>
              <w:jc w:val="center"/>
              <w:rPr>
                <w:b/>
                <w:bCs/>
              </w:rPr>
            </w:pPr>
            <w:r w:rsidRPr="007A2B03">
              <w:rPr>
                <w:b/>
                <w:bCs/>
              </w:rPr>
              <w:t>А. Пациент без трансфузий донорской крови и/или её компонентов в анамнезе</w:t>
            </w:r>
          </w:p>
        </w:tc>
      </w:tr>
      <w:tr w:rsidR="00784084" w:rsidRPr="00915AAD" w14:paraId="222CEC17" w14:textId="77777777" w:rsidTr="002D3EBF">
        <w:tc>
          <w:tcPr>
            <w:tcW w:w="3208" w:type="dxa"/>
            <w:shd w:val="clear" w:color="auto" w:fill="auto"/>
          </w:tcPr>
          <w:p w14:paraId="087A3DD0" w14:textId="77777777" w:rsidR="00784084" w:rsidRPr="007A2B03" w:rsidRDefault="00784084" w:rsidP="00784084">
            <w:pPr>
              <w:ind w:firstLine="0"/>
            </w:pPr>
            <w:r w:rsidRPr="007A2B03">
              <w:t>-</w:t>
            </w:r>
          </w:p>
        </w:tc>
        <w:tc>
          <w:tcPr>
            <w:tcW w:w="3082" w:type="dxa"/>
            <w:shd w:val="clear" w:color="auto" w:fill="auto"/>
          </w:tcPr>
          <w:p w14:paraId="54A20DF5" w14:textId="77777777" w:rsidR="00784084" w:rsidRPr="007A2B03" w:rsidRDefault="00784084" w:rsidP="00784084">
            <w:pPr>
              <w:ind w:firstLine="0"/>
            </w:pPr>
            <w:r w:rsidRPr="007A2B03">
              <w:t>Любой компонент донорской крови</w:t>
            </w:r>
          </w:p>
        </w:tc>
        <w:tc>
          <w:tcPr>
            <w:tcW w:w="8270" w:type="dxa"/>
            <w:shd w:val="clear" w:color="auto" w:fill="auto"/>
          </w:tcPr>
          <w:p w14:paraId="67FE4F16" w14:textId="77777777" w:rsidR="00784084" w:rsidRPr="007A2B03" w:rsidRDefault="00784084" w:rsidP="00784084">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784084" w:rsidRPr="00915AAD" w14:paraId="6BBB5B03" w14:textId="77777777" w:rsidTr="002D3EBF">
        <w:tc>
          <w:tcPr>
            <w:tcW w:w="14560" w:type="dxa"/>
            <w:gridSpan w:val="3"/>
            <w:shd w:val="clear" w:color="auto" w:fill="auto"/>
          </w:tcPr>
          <w:p w14:paraId="3069F3D1" w14:textId="77777777" w:rsidR="00784084" w:rsidRPr="007A2B03" w:rsidRDefault="00784084" w:rsidP="00784084">
            <w:pPr>
              <w:ind w:firstLine="0"/>
              <w:jc w:val="center"/>
              <w:rPr>
                <w:b/>
                <w:bCs/>
              </w:rPr>
            </w:pPr>
            <w:r w:rsidRPr="007A2B03">
              <w:rPr>
                <w:b/>
                <w:bCs/>
              </w:rPr>
              <w:t>Б. Пациент с трансфузией донорской крови и/или её компонентов без реакций или осложнений в анамнезе*</w:t>
            </w:r>
          </w:p>
        </w:tc>
      </w:tr>
      <w:tr w:rsidR="00784084" w:rsidRPr="00915AAD" w14:paraId="532596A2" w14:textId="77777777" w:rsidTr="002D3EBF">
        <w:tc>
          <w:tcPr>
            <w:tcW w:w="3208" w:type="dxa"/>
            <w:shd w:val="clear" w:color="auto" w:fill="auto"/>
          </w:tcPr>
          <w:p w14:paraId="0D9F63E0" w14:textId="77777777" w:rsidR="00784084" w:rsidRPr="007A2B03" w:rsidRDefault="00784084" w:rsidP="00784084">
            <w:pPr>
              <w:ind w:firstLine="0"/>
            </w:pPr>
            <w:r w:rsidRPr="007A2B03">
              <w:t>-</w:t>
            </w:r>
          </w:p>
        </w:tc>
        <w:tc>
          <w:tcPr>
            <w:tcW w:w="3082" w:type="dxa"/>
            <w:shd w:val="clear" w:color="auto" w:fill="auto"/>
          </w:tcPr>
          <w:p w14:paraId="36C73D80" w14:textId="77777777" w:rsidR="00784084" w:rsidRPr="007A2B03" w:rsidRDefault="00784084" w:rsidP="00784084">
            <w:pPr>
              <w:ind w:firstLine="0"/>
            </w:pPr>
            <w:r w:rsidRPr="007A2B03">
              <w:t>Любой компонент донорской крови</w:t>
            </w:r>
          </w:p>
        </w:tc>
        <w:tc>
          <w:tcPr>
            <w:tcW w:w="8270" w:type="dxa"/>
            <w:shd w:val="clear" w:color="auto" w:fill="auto"/>
          </w:tcPr>
          <w:p w14:paraId="148F2906" w14:textId="77777777" w:rsidR="00784084" w:rsidRPr="007A2B03" w:rsidRDefault="00784084" w:rsidP="00784084">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784084" w:rsidRPr="00915AAD" w14:paraId="6C2363CA" w14:textId="77777777" w:rsidTr="002D3EBF">
        <w:tc>
          <w:tcPr>
            <w:tcW w:w="14560" w:type="dxa"/>
            <w:gridSpan w:val="3"/>
            <w:shd w:val="clear" w:color="auto" w:fill="auto"/>
          </w:tcPr>
          <w:p w14:paraId="64109B51" w14:textId="77777777" w:rsidR="00784084" w:rsidRPr="007A2B03" w:rsidRDefault="00784084" w:rsidP="00784084">
            <w:pPr>
              <w:ind w:firstLine="0"/>
              <w:jc w:val="center"/>
              <w:rPr>
                <w:b/>
                <w:bCs/>
              </w:rPr>
            </w:pPr>
            <w:r w:rsidRPr="007A2B03">
              <w:rPr>
                <w:b/>
                <w:bCs/>
              </w:rPr>
              <w:t>В. Пациент с трансфузией донорской крови и/или её компонентов с реакциями или осложнениями на в анамнезе</w:t>
            </w:r>
          </w:p>
        </w:tc>
      </w:tr>
      <w:tr w:rsidR="00784084" w:rsidRPr="00915AAD" w14:paraId="49F383EF" w14:textId="77777777" w:rsidTr="002D3EBF">
        <w:tc>
          <w:tcPr>
            <w:tcW w:w="14560" w:type="dxa"/>
            <w:gridSpan w:val="3"/>
            <w:shd w:val="clear" w:color="auto" w:fill="auto"/>
          </w:tcPr>
          <w:p w14:paraId="24B835C5" w14:textId="77777777" w:rsidR="00784084" w:rsidRPr="007A2B03" w:rsidRDefault="00784084" w:rsidP="0051317D">
            <w:pPr>
              <w:pStyle w:val="afe"/>
              <w:numPr>
                <w:ilvl w:val="0"/>
                <w:numId w:val="76"/>
              </w:numPr>
              <w:ind w:firstLine="0"/>
              <w:rPr>
                <w:b/>
                <w:bCs/>
              </w:rPr>
            </w:pPr>
            <w:r w:rsidRPr="007A2B03">
              <w:rPr>
                <w:b/>
                <w:bCs/>
              </w:rPr>
              <w:t>Аллергические реакции (крапивница, бронхоспазм, отек Квинке, анафилактический шок и др.) в зависимости от степени тяжести</w:t>
            </w:r>
          </w:p>
        </w:tc>
      </w:tr>
      <w:tr w:rsidR="00784084" w:rsidRPr="00915AAD" w14:paraId="349884D7" w14:textId="77777777" w:rsidTr="002D3EBF">
        <w:tc>
          <w:tcPr>
            <w:tcW w:w="3208" w:type="dxa"/>
            <w:shd w:val="clear" w:color="auto" w:fill="auto"/>
          </w:tcPr>
          <w:p w14:paraId="1E193899" w14:textId="77777777" w:rsidR="00784084" w:rsidRPr="007A2B03" w:rsidRDefault="00784084" w:rsidP="0051317D">
            <w:pPr>
              <w:pStyle w:val="afe"/>
              <w:numPr>
                <w:ilvl w:val="0"/>
                <w:numId w:val="70"/>
              </w:numPr>
              <w:ind w:left="0" w:firstLine="0"/>
            </w:pPr>
            <w:r w:rsidRPr="007A2B03">
              <w:t>Аллергические реакции легкой степени</w:t>
            </w:r>
          </w:p>
          <w:p w14:paraId="489D1814" w14:textId="77777777" w:rsidR="00784084" w:rsidRPr="007A2B03" w:rsidRDefault="00784084" w:rsidP="00784084">
            <w:pPr>
              <w:ind w:firstLine="0"/>
            </w:pPr>
          </w:p>
        </w:tc>
        <w:tc>
          <w:tcPr>
            <w:tcW w:w="3082" w:type="dxa"/>
            <w:shd w:val="clear" w:color="auto" w:fill="auto"/>
          </w:tcPr>
          <w:p w14:paraId="4DB19094" w14:textId="77777777" w:rsidR="00784084" w:rsidRPr="007A2B03" w:rsidRDefault="00784084" w:rsidP="00784084">
            <w:pPr>
              <w:ind w:firstLine="0"/>
            </w:pPr>
            <w:r w:rsidRPr="007A2B03">
              <w:t>Любой компонент донорской крови</w:t>
            </w:r>
          </w:p>
        </w:tc>
        <w:tc>
          <w:tcPr>
            <w:tcW w:w="8270" w:type="dxa"/>
            <w:shd w:val="clear" w:color="auto" w:fill="auto"/>
          </w:tcPr>
          <w:p w14:paraId="30046B63" w14:textId="77777777" w:rsidR="00784084" w:rsidRPr="007A2B03" w:rsidRDefault="00784084" w:rsidP="00784084">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784084" w:rsidRPr="00915AAD" w14:paraId="1185E2CE" w14:textId="77777777" w:rsidTr="002D3EBF">
        <w:tc>
          <w:tcPr>
            <w:tcW w:w="3208" w:type="dxa"/>
            <w:vMerge w:val="restart"/>
            <w:shd w:val="clear" w:color="auto" w:fill="auto"/>
          </w:tcPr>
          <w:p w14:paraId="5A2CF7B5" w14:textId="77777777" w:rsidR="00784084" w:rsidRPr="007A2B03" w:rsidRDefault="00784084" w:rsidP="0051317D">
            <w:pPr>
              <w:pStyle w:val="afe"/>
              <w:numPr>
                <w:ilvl w:val="0"/>
                <w:numId w:val="70"/>
              </w:numPr>
              <w:ind w:left="0" w:firstLine="0"/>
            </w:pPr>
            <w:r w:rsidRPr="007A2B03">
              <w:t>Аллергические реакции средней тяжести (протекающие без нарушений гемодинамических и вентиляционных показателей)</w:t>
            </w:r>
          </w:p>
        </w:tc>
        <w:tc>
          <w:tcPr>
            <w:tcW w:w="3082" w:type="dxa"/>
            <w:shd w:val="clear" w:color="auto" w:fill="auto"/>
          </w:tcPr>
          <w:p w14:paraId="0A27BF29" w14:textId="77777777" w:rsidR="00784084" w:rsidRPr="007A2B03" w:rsidRDefault="00784084" w:rsidP="00784084">
            <w:pPr>
              <w:ind w:firstLine="0"/>
            </w:pPr>
            <w:r w:rsidRPr="007A2B03">
              <w:t>Компонент донорской крови, вызвавший реакцию ранее</w:t>
            </w:r>
          </w:p>
        </w:tc>
        <w:tc>
          <w:tcPr>
            <w:tcW w:w="8270" w:type="dxa"/>
            <w:shd w:val="clear" w:color="auto" w:fill="auto"/>
          </w:tcPr>
          <w:p w14:paraId="31DD4AA8" w14:textId="77777777" w:rsidR="00784084" w:rsidRPr="007A2B03" w:rsidRDefault="00784084" w:rsidP="00784084">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tc>
      </w:tr>
      <w:tr w:rsidR="00784084" w:rsidRPr="00915AAD" w14:paraId="29D500DF" w14:textId="77777777" w:rsidTr="002D3EBF">
        <w:tc>
          <w:tcPr>
            <w:tcW w:w="3208" w:type="dxa"/>
            <w:vMerge/>
            <w:shd w:val="clear" w:color="auto" w:fill="auto"/>
          </w:tcPr>
          <w:p w14:paraId="585AAF28" w14:textId="77777777" w:rsidR="00784084" w:rsidRPr="007A2B03" w:rsidRDefault="00784084" w:rsidP="0051317D">
            <w:pPr>
              <w:pStyle w:val="afe"/>
              <w:numPr>
                <w:ilvl w:val="0"/>
                <w:numId w:val="70"/>
              </w:numPr>
              <w:ind w:left="0" w:firstLine="0"/>
            </w:pPr>
          </w:p>
        </w:tc>
        <w:tc>
          <w:tcPr>
            <w:tcW w:w="3082" w:type="dxa"/>
            <w:shd w:val="clear" w:color="auto" w:fill="auto"/>
          </w:tcPr>
          <w:p w14:paraId="29FE85D2" w14:textId="77777777" w:rsidR="00784084" w:rsidRPr="007A2B03" w:rsidRDefault="00784084" w:rsidP="00784084">
            <w:pPr>
              <w:ind w:firstLine="0"/>
            </w:pPr>
            <w:r w:rsidRPr="007A2B03">
              <w:t>Другие компоненты донорской крови (не вызывавшие реакции ранее)</w:t>
            </w:r>
          </w:p>
        </w:tc>
        <w:tc>
          <w:tcPr>
            <w:tcW w:w="8270" w:type="dxa"/>
            <w:shd w:val="clear" w:color="auto" w:fill="auto"/>
          </w:tcPr>
          <w:p w14:paraId="24609F89" w14:textId="77777777" w:rsidR="00784084" w:rsidRPr="007A2B03" w:rsidRDefault="00784084" w:rsidP="00784084">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784084" w:rsidRPr="00915AAD" w14:paraId="5D0AD2B2" w14:textId="77777777" w:rsidTr="002D3EBF">
        <w:tc>
          <w:tcPr>
            <w:tcW w:w="3208" w:type="dxa"/>
            <w:shd w:val="clear" w:color="auto" w:fill="auto"/>
          </w:tcPr>
          <w:p w14:paraId="6B8F2408" w14:textId="77777777" w:rsidR="00784084" w:rsidRPr="007A2B03" w:rsidRDefault="00784084" w:rsidP="0051317D">
            <w:pPr>
              <w:pStyle w:val="afe"/>
              <w:numPr>
                <w:ilvl w:val="0"/>
                <w:numId w:val="70"/>
              </w:numPr>
              <w:ind w:left="0" w:firstLine="0"/>
            </w:pPr>
            <w:r w:rsidRPr="007A2B03">
              <w:t>Тяжелые аллергические реакции (протекающие с нарушением гемодинамических и вентиляционных показателей)</w:t>
            </w:r>
          </w:p>
        </w:tc>
        <w:tc>
          <w:tcPr>
            <w:tcW w:w="3082" w:type="dxa"/>
            <w:shd w:val="clear" w:color="auto" w:fill="auto"/>
          </w:tcPr>
          <w:p w14:paraId="6D662982" w14:textId="77777777" w:rsidR="00784084" w:rsidRPr="007A2B03" w:rsidRDefault="00784084" w:rsidP="00784084">
            <w:pPr>
              <w:ind w:firstLine="0"/>
            </w:pPr>
            <w:r w:rsidRPr="007A2B03">
              <w:t>Любой компонент донорской крови</w:t>
            </w:r>
          </w:p>
        </w:tc>
        <w:tc>
          <w:tcPr>
            <w:tcW w:w="8270" w:type="dxa"/>
            <w:shd w:val="clear" w:color="auto" w:fill="auto"/>
          </w:tcPr>
          <w:p w14:paraId="035361EE" w14:textId="77777777" w:rsidR="00784084" w:rsidRPr="007A2B03" w:rsidRDefault="00784084" w:rsidP="00784084">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p w14:paraId="30E0AB1F" w14:textId="77777777" w:rsidR="00784084" w:rsidRPr="007A2B03" w:rsidRDefault="00784084" w:rsidP="00784084">
            <w:pPr>
              <w:pStyle w:val="afe"/>
              <w:ind w:left="0" w:firstLine="0"/>
            </w:pPr>
            <w:r w:rsidRPr="007A2B03">
              <w:t>Возможно разовое применение глюкокортикостероидов** (</w:t>
            </w:r>
            <w:r w:rsidRPr="007A2B03">
              <w:rPr>
                <w:shd w:val="clear" w:color="auto" w:fill="FFFFFF"/>
              </w:rPr>
              <w:t>следует </w:t>
            </w:r>
            <w:r w:rsidRPr="007A2B03">
              <w:rPr>
                <w:rStyle w:val="affc"/>
                <w:shd w:val="clear" w:color="auto" w:fill="FFFFFF"/>
              </w:rPr>
              <w:t>соотнести</w:t>
            </w:r>
            <w:r w:rsidRPr="007A2B03">
              <w:rPr>
                <w:shd w:val="clear" w:color="auto" w:fill="FFFFFF"/>
              </w:rPr>
              <w:t> потенциальные </w:t>
            </w:r>
            <w:r w:rsidRPr="007A2B03">
              <w:rPr>
                <w:rStyle w:val="affc"/>
                <w:shd w:val="clear" w:color="auto" w:fill="FFFFFF"/>
              </w:rPr>
              <w:t>риски</w:t>
            </w:r>
            <w:r w:rsidRPr="007A2B03">
              <w:rPr>
                <w:shd w:val="clear" w:color="auto" w:fill="FFFFFF"/>
              </w:rPr>
              <w:t> и ожидаемую </w:t>
            </w:r>
            <w:r w:rsidRPr="007A2B03">
              <w:rPr>
                <w:rStyle w:val="affc"/>
                <w:shd w:val="clear" w:color="auto" w:fill="FFFFFF"/>
              </w:rPr>
              <w:t>пользу</w:t>
            </w:r>
            <w:r w:rsidRPr="007A2B03">
              <w:t>).</w:t>
            </w:r>
          </w:p>
          <w:p w14:paraId="36119EEE" w14:textId="77777777" w:rsidR="00784084" w:rsidRPr="007A2B03" w:rsidRDefault="00784084" w:rsidP="00784084">
            <w:pPr>
              <w:ind w:firstLine="0"/>
            </w:pPr>
            <w:r w:rsidRPr="007A2B03">
              <w:t>Уменьшение скорости трансфузии.</w:t>
            </w:r>
          </w:p>
        </w:tc>
      </w:tr>
      <w:tr w:rsidR="00784084" w:rsidRPr="00915AAD" w14:paraId="123010C6" w14:textId="77777777" w:rsidTr="002D3EBF">
        <w:tc>
          <w:tcPr>
            <w:tcW w:w="14560" w:type="dxa"/>
            <w:gridSpan w:val="3"/>
            <w:shd w:val="clear" w:color="auto" w:fill="auto"/>
          </w:tcPr>
          <w:p w14:paraId="0341E663" w14:textId="77777777" w:rsidR="00784084" w:rsidRPr="007A2B03" w:rsidRDefault="00784084" w:rsidP="0051317D">
            <w:pPr>
              <w:pStyle w:val="afe"/>
              <w:numPr>
                <w:ilvl w:val="0"/>
                <w:numId w:val="75"/>
              </w:numPr>
              <w:ind w:firstLine="0"/>
              <w:jc w:val="center"/>
              <w:rPr>
                <w:b/>
                <w:bCs/>
              </w:rPr>
            </w:pPr>
            <w:r w:rsidRPr="007A2B03">
              <w:rPr>
                <w:b/>
                <w:bCs/>
              </w:rPr>
              <w:t>Однократная гипертермическая фебрильная негемолитическая реакция (ФНР) в анамнезе</w:t>
            </w:r>
          </w:p>
        </w:tc>
      </w:tr>
      <w:tr w:rsidR="00784084" w:rsidRPr="00915AAD" w14:paraId="022C05B3" w14:textId="77777777" w:rsidTr="002D3EBF">
        <w:tc>
          <w:tcPr>
            <w:tcW w:w="3208" w:type="dxa"/>
            <w:shd w:val="clear" w:color="auto" w:fill="auto"/>
          </w:tcPr>
          <w:p w14:paraId="5900473C" w14:textId="77777777" w:rsidR="00784084" w:rsidRPr="007A2B03" w:rsidRDefault="00784084" w:rsidP="0051317D">
            <w:pPr>
              <w:pStyle w:val="afe"/>
              <w:numPr>
                <w:ilvl w:val="0"/>
                <w:numId w:val="70"/>
              </w:numPr>
              <w:ind w:left="0" w:firstLine="0"/>
            </w:pPr>
            <w:r w:rsidRPr="007A2B03">
              <w:t>Однократная ФНР в анамнезе</w:t>
            </w:r>
          </w:p>
        </w:tc>
        <w:tc>
          <w:tcPr>
            <w:tcW w:w="3082" w:type="dxa"/>
            <w:shd w:val="clear" w:color="auto" w:fill="auto"/>
          </w:tcPr>
          <w:p w14:paraId="7AB9A854" w14:textId="77777777" w:rsidR="00784084" w:rsidRPr="007A2B03" w:rsidRDefault="00784084" w:rsidP="00784084">
            <w:pPr>
              <w:ind w:firstLine="0"/>
            </w:pPr>
            <w:r w:rsidRPr="007A2B03">
              <w:t>Любой компонент донорской крови</w:t>
            </w:r>
          </w:p>
        </w:tc>
        <w:tc>
          <w:tcPr>
            <w:tcW w:w="8270" w:type="dxa"/>
            <w:shd w:val="clear" w:color="auto" w:fill="auto"/>
          </w:tcPr>
          <w:p w14:paraId="3F7B8F0F" w14:textId="77777777" w:rsidR="00784084" w:rsidRPr="007A2B03" w:rsidRDefault="00784084" w:rsidP="00784084">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784084" w:rsidRPr="00915AAD" w14:paraId="447E6E99" w14:textId="77777777" w:rsidTr="002D3EBF">
        <w:tc>
          <w:tcPr>
            <w:tcW w:w="14560" w:type="dxa"/>
            <w:gridSpan w:val="3"/>
            <w:shd w:val="clear" w:color="auto" w:fill="auto"/>
          </w:tcPr>
          <w:p w14:paraId="6DE34FEF" w14:textId="77777777" w:rsidR="00784084" w:rsidRPr="007A2B03" w:rsidRDefault="00784084" w:rsidP="0051317D">
            <w:pPr>
              <w:pStyle w:val="afe"/>
              <w:numPr>
                <w:ilvl w:val="0"/>
                <w:numId w:val="75"/>
              </w:numPr>
              <w:ind w:firstLine="0"/>
              <w:jc w:val="center"/>
              <w:rPr>
                <w:b/>
                <w:bCs/>
              </w:rPr>
            </w:pPr>
            <w:r w:rsidRPr="007A2B03">
              <w:rPr>
                <w:b/>
                <w:bCs/>
              </w:rPr>
              <w:t>Многократные (≥2) гипертермические фебрильные негемолитические реакции (ФНР) в анамнезе</w:t>
            </w:r>
          </w:p>
        </w:tc>
      </w:tr>
      <w:tr w:rsidR="00784084" w:rsidRPr="00915AAD" w14:paraId="43D9BA65" w14:textId="77777777" w:rsidTr="002D3EBF">
        <w:tc>
          <w:tcPr>
            <w:tcW w:w="3208" w:type="dxa"/>
            <w:vMerge w:val="restart"/>
            <w:shd w:val="clear" w:color="auto" w:fill="auto"/>
          </w:tcPr>
          <w:p w14:paraId="4165CE35" w14:textId="77777777" w:rsidR="00784084" w:rsidRPr="007A2B03" w:rsidRDefault="00784084" w:rsidP="0051317D">
            <w:pPr>
              <w:pStyle w:val="afe"/>
              <w:numPr>
                <w:ilvl w:val="0"/>
                <w:numId w:val="72"/>
              </w:numPr>
              <w:ind w:left="0" w:firstLine="0"/>
            </w:pPr>
            <w:r w:rsidRPr="007A2B03">
              <w:t>Протекающие без потрясающего озноба</w:t>
            </w:r>
          </w:p>
        </w:tc>
        <w:tc>
          <w:tcPr>
            <w:tcW w:w="3082" w:type="dxa"/>
            <w:shd w:val="clear" w:color="auto" w:fill="auto"/>
          </w:tcPr>
          <w:p w14:paraId="79A48CEF" w14:textId="77777777" w:rsidR="00784084" w:rsidRPr="007A2B03" w:rsidRDefault="00784084" w:rsidP="00784084">
            <w:pPr>
              <w:ind w:firstLine="0"/>
            </w:pPr>
            <w:r w:rsidRPr="007A2B03">
              <w:t>Компонент донорской крови, вызвавший реакцию ранее</w:t>
            </w:r>
          </w:p>
        </w:tc>
        <w:tc>
          <w:tcPr>
            <w:tcW w:w="8270" w:type="dxa"/>
            <w:shd w:val="clear" w:color="auto" w:fill="auto"/>
          </w:tcPr>
          <w:p w14:paraId="38BFAA2E" w14:textId="77777777" w:rsidR="00784084" w:rsidRPr="007A2B03" w:rsidRDefault="00784084" w:rsidP="00784084">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p w14:paraId="2BF07C35" w14:textId="77777777" w:rsidR="00784084" w:rsidRPr="007A2B03" w:rsidRDefault="00784084" w:rsidP="00784084">
            <w:pPr>
              <w:ind w:firstLine="0"/>
            </w:pPr>
            <w:r w:rsidRPr="007A2B03">
              <w:t>При сохраняющихся ФНР, несмотря на добавление антигистаминных препаратов, дополнительно за 60 минут до трансфузии ввести 250-650 мг парацетамола в 250 мл 0,9% раствора NaC</w:t>
            </w:r>
            <w:r w:rsidRPr="007A2B03">
              <w:rPr>
                <w:lang w:val="en-US"/>
              </w:rPr>
              <w:t>l</w:t>
            </w:r>
            <w:r w:rsidRPr="007A2B03">
              <w:t xml:space="preserve"> в/в капельно (не рекомендовано у пациентов с нейтропенией, глубокой тромбоцитопенией).</w:t>
            </w:r>
          </w:p>
        </w:tc>
      </w:tr>
      <w:tr w:rsidR="00784084" w:rsidRPr="00915AAD" w14:paraId="6F155AF7" w14:textId="77777777" w:rsidTr="002D3EBF">
        <w:tc>
          <w:tcPr>
            <w:tcW w:w="3208" w:type="dxa"/>
            <w:vMerge/>
            <w:shd w:val="clear" w:color="auto" w:fill="auto"/>
          </w:tcPr>
          <w:p w14:paraId="12D096ED" w14:textId="77777777" w:rsidR="00784084" w:rsidRPr="007A2B03" w:rsidRDefault="00784084" w:rsidP="0051317D">
            <w:pPr>
              <w:pStyle w:val="afe"/>
              <w:numPr>
                <w:ilvl w:val="0"/>
                <w:numId w:val="72"/>
              </w:numPr>
              <w:ind w:left="0" w:firstLine="0"/>
            </w:pPr>
          </w:p>
        </w:tc>
        <w:tc>
          <w:tcPr>
            <w:tcW w:w="3082" w:type="dxa"/>
            <w:shd w:val="clear" w:color="auto" w:fill="auto"/>
          </w:tcPr>
          <w:p w14:paraId="673ABA97" w14:textId="77777777" w:rsidR="00784084" w:rsidRPr="007A2B03" w:rsidRDefault="00784084" w:rsidP="00784084">
            <w:pPr>
              <w:ind w:firstLine="0"/>
            </w:pPr>
            <w:r w:rsidRPr="007A2B03">
              <w:t>Другие компоненты донорской крови (не вызывавшие реакции ранее)</w:t>
            </w:r>
          </w:p>
        </w:tc>
        <w:tc>
          <w:tcPr>
            <w:tcW w:w="8270" w:type="dxa"/>
            <w:shd w:val="clear" w:color="auto" w:fill="auto"/>
          </w:tcPr>
          <w:p w14:paraId="53153169" w14:textId="77777777" w:rsidR="00784084" w:rsidRPr="007A2B03" w:rsidRDefault="00784084" w:rsidP="00784084">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784084" w:rsidRPr="00915AAD" w14:paraId="3736F9B3" w14:textId="77777777" w:rsidTr="002D3EBF">
        <w:tc>
          <w:tcPr>
            <w:tcW w:w="3208" w:type="dxa"/>
            <w:vMerge w:val="restart"/>
            <w:shd w:val="clear" w:color="auto" w:fill="auto"/>
          </w:tcPr>
          <w:p w14:paraId="214F9D0F" w14:textId="77777777" w:rsidR="00784084" w:rsidRPr="007A2B03" w:rsidRDefault="00784084" w:rsidP="0051317D">
            <w:pPr>
              <w:pStyle w:val="afe"/>
              <w:numPr>
                <w:ilvl w:val="0"/>
                <w:numId w:val="72"/>
              </w:numPr>
              <w:ind w:left="0" w:firstLine="0"/>
            </w:pPr>
            <w:r w:rsidRPr="007A2B03">
              <w:t>Протекающие с потрясающим ознобом</w:t>
            </w:r>
          </w:p>
        </w:tc>
        <w:tc>
          <w:tcPr>
            <w:tcW w:w="3082" w:type="dxa"/>
            <w:shd w:val="clear" w:color="auto" w:fill="auto"/>
          </w:tcPr>
          <w:p w14:paraId="06490E83" w14:textId="77777777" w:rsidR="00784084" w:rsidRPr="007A2B03" w:rsidRDefault="00784084" w:rsidP="00784084">
            <w:pPr>
              <w:ind w:firstLine="0"/>
            </w:pPr>
            <w:r w:rsidRPr="007A2B03">
              <w:t>Компонент донорской крови, вызвавший реакцию ранее</w:t>
            </w:r>
          </w:p>
        </w:tc>
        <w:tc>
          <w:tcPr>
            <w:tcW w:w="8270" w:type="dxa"/>
            <w:shd w:val="clear" w:color="auto" w:fill="auto"/>
          </w:tcPr>
          <w:p w14:paraId="3BBE64B3" w14:textId="77777777" w:rsidR="00784084" w:rsidRPr="007A2B03" w:rsidRDefault="00784084" w:rsidP="00784084">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 В случае сохранения тяжелых реакций возможно дополнительное введение 0,5-1 мл 2% промедола в 100 мл 0,9% раствора NaC</w:t>
            </w:r>
            <w:r w:rsidRPr="007A2B03">
              <w:rPr>
                <w:lang w:val="en-US"/>
              </w:rPr>
              <w:t>l</w:t>
            </w:r>
            <w:r w:rsidRPr="007A2B03">
              <w:t xml:space="preserve"> в/в капельно (до или параллельно с трансфузией).</w:t>
            </w:r>
          </w:p>
          <w:p w14:paraId="1229E7D8" w14:textId="77777777" w:rsidR="00784084" w:rsidRPr="007A2B03" w:rsidRDefault="00784084" w:rsidP="00784084">
            <w:pPr>
              <w:pStyle w:val="afe"/>
              <w:ind w:left="0" w:firstLine="0"/>
            </w:pPr>
            <w:r w:rsidRPr="007A2B03">
              <w:t>Возможно разовое применение глюкокортикостероидов** (</w:t>
            </w:r>
            <w:r w:rsidRPr="007A2B03">
              <w:rPr>
                <w:shd w:val="clear" w:color="auto" w:fill="FFFFFF"/>
              </w:rPr>
              <w:t>следует </w:t>
            </w:r>
            <w:r w:rsidRPr="007A2B03">
              <w:rPr>
                <w:rStyle w:val="affc"/>
                <w:shd w:val="clear" w:color="auto" w:fill="FFFFFF"/>
              </w:rPr>
              <w:t>соотнести</w:t>
            </w:r>
            <w:r w:rsidRPr="007A2B03">
              <w:rPr>
                <w:shd w:val="clear" w:color="auto" w:fill="FFFFFF"/>
              </w:rPr>
              <w:t> потенциальные </w:t>
            </w:r>
            <w:r w:rsidRPr="007A2B03">
              <w:rPr>
                <w:rStyle w:val="affc"/>
                <w:shd w:val="clear" w:color="auto" w:fill="FFFFFF"/>
              </w:rPr>
              <w:t>риски</w:t>
            </w:r>
            <w:r w:rsidRPr="007A2B03">
              <w:rPr>
                <w:shd w:val="clear" w:color="auto" w:fill="FFFFFF"/>
              </w:rPr>
              <w:t> и ожидаемую </w:t>
            </w:r>
            <w:r w:rsidRPr="007A2B03">
              <w:rPr>
                <w:rStyle w:val="affc"/>
                <w:shd w:val="clear" w:color="auto" w:fill="FFFFFF"/>
              </w:rPr>
              <w:t>пользу</w:t>
            </w:r>
            <w:r w:rsidRPr="007A2B03">
              <w:t>).</w:t>
            </w:r>
          </w:p>
          <w:p w14:paraId="6CB00183" w14:textId="77777777" w:rsidR="00784084" w:rsidRPr="007A2B03" w:rsidRDefault="00784084" w:rsidP="00784084">
            <w:pPr>
              <w:ind w:firstLine="0"/>
            </w:pPr>
            <w:r w:rsidRPr="007A2B03">
              <w:t>Уменьшение скорости трансфузии.</w:t>
            </w:r>
          </w:p>
        </w:tc>
      </w:tr>
      <w:tr w:rsidR="00784084" w:rsidRPr="00915AAD" w14:paraId="5C311A8A" w14:textId="77777777" w:rsidTr="002D3EBF">
        <w:tc>
          <w:tcPr>
            <w:tcW w:w="3208" w:type="dxa"/>
            <w:vMerge/>
            <w:shd w:val="clear" w:color="auto" w:fill="auto"/>
          </w:tcPr>
          <w:p w14:paraId="53160C49" w14:textId="77777777" w:rsidR="00784084" w:rsidRPr="007A2B03" w:rsidRDefault="00784084" w:rsidP="0051317D">
            <w:pPr>
              <w:pStyle w:val="afe"/>
              <w:numPr>
                <w:ilvl w:val="0"/>
                <w:numId w:val="72"/>
              </w:numPr>
              <w:ind w:left="0" w:firstLine="0"/>
            </w:pPr>
          </w:p>
        </w:tc>
        <w:tc>
          <w:tcPr>
            <w:tcW w:w="3082" w:type="dxa"/>
            <w:shd w:val="clear" w:color="auto" w:fill="auto"/>
          </w:tcPr>
          <w:p w14:paraId="0FE23892" w14:textId="77777777" w:rsidR="00784084" w:rsidRPr="007A2B03" w:rsidRDefault="00784084" w:rsidP="00784084">
            <w:pPr>
              <w:ind w:firstLine="0"/>
            </w:pPr>
            <w:r w:rsidRPr="007A2B03">
              <w:t>Другие компоненты донорской крови (не вызывавшие реакции ранее)</w:t>
            </w:r>
          </w:p>
        </w:tc>
        <w:tc>
          <w:tcPr>
            <w:tcW w:w="8270" w:type="dxa"/>
            <w:shd w:val="clear" w:color="auto" w:fill="auto"/>
          </w:tcPr>
          <w:p w14:paraId="74A0E9AA" w14:textId="77777777" w:rsidR="00784084" w:rsidRPr="007A2B03" w:rsidRDefault="00784084" w:rsidP="00784084">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tc>
      </w:tr>
      <w:tr w:rsidR="00784084" w:rsidRPr="00915AAD" w14:paraId="4D7E8A71" w14:textId="77777777" w:rsidTr="002D3EBF">
        <w:tc>
          <w:tcPr>
            <w:tcW w:w="14560" w:type="dxa"/>
            <w:gridSpan w:val="3"/>
            <w:shd w:val="clear" w:color="auto" w:fill="auto"/>
          </w:tcPr>
          <w:p w14:paraId="62D3FCAB" w14:textId="77777777" w:rsidR="00784084" w:rsidRPr="007A2B03" w:rsidRDefault="00784084" w:rsidP="0051317D">
            <w:pPr>
              <w:pStyle w:val="afe"/>
              <w:numPr>
                <w:ilvl w:val="0"/>
                <w:numId w:val="75"/>
              </w:numPr>
              <w:ind w:firstLine="0"/>
              <w:jc w:val="center"/>
              <w:rPr>
                <w:b/>
                <w:bCs/>
              </w:rPr>
            </w:pPr>
            <w:r w:rsidRPr="007A2B03">
              <w:rPr>
                <w:b/>
                <w:bCs/>
              </w:rPr>
              <w:t>Отсроченная серологическая трансфузионная реакция:</w:t>
            </w:r>
          </w:p>
          <w:p w14:paraId="79911278" w14:textId="77777777" w:rsidR="00784084" w:rsidRPr="007A2B03" w:rsidRDefault="00784084" w:rsidP="00784084">
            <w:pPr>
              <w:ind w:left="360" w:firstLine="0"/>
              <w:rPr>
                <w:b/>
                <w:bCs/>
              </w:rPr>
            </w:pPr>
            <w:r w:rsidRPr="007A2B03">
              <w:t>установленное наличие антиэритроцитарных антител: положительная непрямая проба Кумбса при определении индивидуальной совместимости крови донора и реципиента в лаборатории иммуногематологии или если таковая не проводилась, ЛИБО предполагаемое - при эритроцитарном химеризме</w:t>
            </w:r>
          </w:p>
        </w:tc>
      </w:tr>
      <w:tr w:rsidR="00784084" w:rsidRPr="00915AAD" w14:paraId="2A351754" w14:textId="77777777" w:rsidTr="002D3EBF">
        <w:tc>
          <w:tcPr>
            <w:tcW w:w="3208" w:type="dxa"/>
            <w:shd w:val="clear" w:color="auto" w:fill="auto"/>
          </w:tcPr>
          <w:p w14:paraId="0A91ECD7" w14:textId="77777777" w:rsidR="00784084" w:rsidRPr="007A2B03" w:rsidRDefault="00784084" w:rsidP="00784084">
            <w:pPr>
              <w:ind w:firstLine="0"/>
            </w:pPr>
            <w:r w:rsidRPr="007A2B03">
              <w:t xml:space="preserve">Отсроченная серологическая трансфузионная реакция </w:t>
            </w:r>
          </w:p>
        </w:tc>
        <w:tc>
          <w:tcPr>
            <w:tcW w:w="3082" w:type="dxa"/>
            <w:shd w:val="clear" w:color="auto" w:fill="auto"/>
          </w:tcPr>
          <w:p w14:paraId="1B37BB24" w14:textId="77777777" w:rsidR="00784084" w:rsidRPr="007A2B03" w:rsidRDefault="00784084" w:rsidP="00784084">
            <w:pPr>
              <w:ind w:firstLine="0"/>
            </w:pPr>
            <w:r w:rsidRPr="007A2B03">
              <w:t>Любой компонент донорской крови</w:t>
            </w:r>
          </w:p>
        </w:tc>
        <w:tc>
          <w:tcPr>
            <w:tcW w:w="8270" w:type="dxa"/>
            <w:shd w:val="clear" w:color="auto" w:fill="auto"/>
          </w:tcPr>
          <w:p w14:paraId="44130F0C" w14:textId="77777777" w:rsidR="00784084" w:rsidRPr="007A2B03" w:rsidRDefault="00784084" w:rsidP="00784084">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784084" w:rsidRPr="00915AAD" w14:paraId="344CA5A7" w14:textId="77777777" w:rsidTr="002D3EBF">
        <w:tc>
          <w:tcPr>
            <w:tcW w:w="14560" w:type="dxa"/>
            <w:gridSpan w:val="3"/>
            <w:shd w:val="clear" w:color="auto" w:fill="auto"/>
          </w:tcPr>
          <w:p w14:paraId="51CCAE6E" w14:textId="77777777" w:rsidR="00784084" w:rsidRPr="007A2B03" w:rsidRDefault="00784084" w:rsidP="0051317D">
            <w:pPr>
              <w:pStyle w:val="afe"/>
              <w:numPr>
                <w:ilvl w:val="0"/>
                <w:numId w:val="75"/>
              </w:numPr>
              <w:ind w:firstLine="0"/>
              <w:jc w:val="center"/>
              <w:rPr>
                <w:b/>
                <w:bCs/>
              </w:rPr>
            </w:pPr>
            <w:r w:rsidRPr="007A2B03">
              <w:rPr>
                <w:b/>
                <w:bCs/>
              </w:rPr>
              <w:t>Острый или отсроченный иммунный гемолиз</w:t>
            </w:r>
          </w:p>
        </w:tc>
      </w:tr>
      <w:tr w:rsidR="00784084" w:rsidRPr="00915AAD" w14:paraId="25F9EA1C" w14:textId="77777777" w:rsidTr="002D3EBF">
        <w:tc>
          <w:tcPr>
            <w:tcW w:w="3208" w:type="dxa"/>
            <w:shd w:val="clear" w:color="auto" w:fill="auto"/>
          </w:tcPr>
          <w:p w14:paraId="7B7BBC86" w14:textId="77777777" w:rsidR="00784084" w:rsidRPr="007A2B03" w:rsidRDefault="00784084" w:rsidP="0051317D">
            <w:pPr>
              <w:pStyle w:val="afe"/>
              <w:numPr>
                <w:ilvl w:val="0"/>
                <w:numId w:val="73"/>
              </w:numPr>
              <w:ind w:left="0" w:firstLine="0"/>
            </w:pPr>
            <w:r w:rsidRPr="007A2B03">
              <w:t>Гемолиз в анамнезе (клинических признаков гемолиза в настоящее время нет)</w:t>
            </w:r>
          </w:p>
        </w:tc>
        <w:tc>
          <w:tcPr>
            <w:tcW w:w="3082" w:type="dxa"/>
            <w:shd w:val="clear" w:color="auto" w:fill="auto"/>
          </w:tcPr>
          <w:p w14:paraId="54FC5E1C" w14:textId="77777777" w:rsidR="00784084" w:rsidRPr="007A2B03" w:rsidRDefault="00784084" w:rsidP="00784084">
            <w:pPr>
              <w:ind w:firstLine="0"/>
            </w:pPr>
            <w:r w:rsidRPr="007A2B03">
              <w:t>Любой компонент донорской крови</w:t>
            </w:r>
          </w:p>
        </w:tc>
        <w:tc>
          <w:tcPr>
            <w:tcW w:w="8270" w:type="dxa"/>
            <w:shd w:val="clear" w:color="auto" w:fill="auto"/>
          </w:tcPr>
          <w:p w14:paraId="70B334B5" w14:textId="77777777" w:rsidR="00784084" w:rsidRPr="007A2B03" w:rsidRDefault="00784084" w:rsidP="00784084">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784084" w:rsidRPr="00915AAD" w14:paraId="5E3DE29E" w14:textId="77777777" w:rsidTr="002D3EBF">
        <w:tc>
          <w:tcPr>
            <w:tcW w:w="3208" w:type="dxa"/>
            <w:vMerge w:val="restart"/>
            <w:shd w:val="clear" w:color="auto" w:fill="auto"/>
          </w:tcPr>
          <w:p w14:paraId="7F96EC71" w14:textId="77777777" w:rsidR="00784084" w:rsidRPr="007A2B03" w:rsidRDefault="00784084" w:rsidP="0051317D">
            <w:pPr>
              <w:pStyle w:val="afe"/>
              <w:numPr>
                <w:ilvl w:val="0"/>
                <w:numId w:val="73"/>
              </w:numPr>
              <w:ind w:left="0" w:firstLine="0"/>
            </w:pPr>
            <w:r w:rsidRPr="007A2B03">
              <w:t>Активный гемолиз (признаки гемолиза сохраняются)</w:t>
            </w:r>
          </w:p>
        </w:tc>
        <w:tc>
          <w:tcPr>
            <w:tcW w:w="3082" w:type="dxa"/>
            <w:shd w:val="clear" w:color="auto" w:fill="auto"/>
          </w:tcPr>
          <w:p w14:paraId="5BF994B3" w14:textId="77777777" w:rsidR="00784084" w:rsidRPr="007A2B03" w:rsidRDefault="00784084" w:rsidP="00784084">
            <w:pPr>
              <w:ind w:firstLine="0"/>
            </w:pPr>
            <w:r w:rsidRPr="007A2B03">
              <w:t>Эритроцитсодержащие компоненты донорской крови</w:t>
            </w:r>
          </w:p>
        </w:tc>
        <w:tc>
          <w:tcPr>
            <w:tcW w:w="8270" w:type="dxa"/>
            <w:shd w:val="clear" w:color="auto" w:fill="auto"/>
          </w:tcPr>
          <w:p w14:paraId="10CA755E" w14:textId="77777777" w:rsidR="00784084" w:rsidRPr="007A2B03" w:rsidRDefault="00784084" w:rsidP="00784084">
            <w:pPr>
              <w:ind w:firstLine="0"/>
            </w:pPr>
            <w:r w:rsidRPr="007A2B03">
              <w:t>10 мл 10% кальция глюконата в 250-500 мл 0,9% раствора NaC</w:t>
            </w:r>
            <w:r w:rsidRPr="007A2B03">
              <w:rPr>
                <w:lang w:val="en-US"/>
              </w:rPr>
              <w:t>l</w:t>
            </w:r>
            <w:r w:rsidRPr="007A2B03">
              <w:t xml:space="preserve"> в/в капельно.</w:t>
            </w:r>
          </w:p>
          <w:p w14:paraId="42053E90" w14:textId="77777777" w:rsidR="00784084" w:rsidRPr="007A2B03" w:rsidRDefault="00784084" w:rsidP="00784084">
            <w:pPr>
              <w:ind w:firstLine="0"/>
            </w:pPr>
            <w:r w:rsidRPr="007A2B03">
              <w:t>При высоком риске дальнейшего усиления иммунного гемолиза следует индивидуально рассмотреть возможность введения глюкокортикостероидов**, ритуксимаба.</w:t>
            </w:r>
          </w:p>
        </w:tc>
      </w:tr>
      <w:tr w:rsidR="00784084" w:rsidRPr="00915AAD" w14:paraId="2F7F7732" w14:textId="77777777" w:rsidTr="002D3EBF">
        <w:tc>
          <w:tcPr>
            <w:tcW w:w="3208" w:type="dxa"/>
            <w:vMerge/>
            <w:shd w:val="clear" w:color="auto" w:fill="auto"/>
          </w:tcPr>
          <w:p w14:paraId="072BAC1B" w14:textId="77777777" w:rsidR="00784084" w:rsidRPr="007A2B03" w:rsidRDefault="00784084" w:rsidP="00784084">
            <w:pPr>
              <w:ind w:firstLine="0"/>
            </w:pPr>
          </w:p>
        </w:tc>
        <w:tc>
          <w:tcPr>
            <w:tcW w:w="3082" w:type="dxa"/>
            <w:shd w:val="clear" w:color="auto" w:fill="auto"/>
          </w:tcPr>
          <w:p w14:paraId="31764015" w14:textId="77777777" w:rsidR="00784084" w:rsidRPr="007A2B03" w:rsidRDefault="00784084" w:rsidP="00784084">
            <w:pPr>
              <w:ind w:firstLine="0"/>
            </w:pPr>
            <w:r w:rsidRPr="007A2B03">
              <w:t>Концентрат тромбоцитов, свежезамороженная плазма, криопреципитат, криосупернатант</w:t>
            </w:r>
          </w:p>
        </w:tc>
        <w:tc>
          <w:tcPr>
            <w:tcW w:w="8270" w:type="dxa"/>
            <w:shd w:val="clear" w:color="auto" w:fill="auto"/>
          </w:tcPr>
          <w:p w14:paraId="208528EB" w14:textId="77777777" w:rsidR="00784084" w:rsidRPr="007A2B03" w:rsidRDefault="00784084" w:rsidP="00784084">
            <w:pPr>
              <w:ind w:firstLine="0"/>
            </w:pPr>
            <w:r w:rsidRPr="007A2B03">
              <w:t>10 мл 10% кальция глюконата в 500 мл 0,9% раствора NaC</w:t>
            </w:r>
            <w:r w:rsidRPr="007A2B03">
              <w:rPr>
                <w:lang w:val="en-US"/>
              </w:rPr>
              <w:t>l</w:t>
            </w:r>
            <w:r w:rsidRPr="007A2B03">
              <w:t xml:space="preserve"> в/в капельно</w:t>
            </w:r>
          </w:p>
        </w:tc>
      </w:tr>
      <w:tr w:rsidR="00784084" w:rsidRPr="00915AAD" w14:paraId="218AEBEA" w14:textId="77777777" w:rsidTr="002D3EBF">
        <w:tc>
          <w:tcPr>
            <w:tcW w:w="14560" w:type="dxa"/>
            <w:gridSpan w:val="3"/>
            <w:shd w:val="clear" w:color="auto" w:fill="auto"/>
          </w:tcPr>
          <w:p w14:paraId="480C7901" w14:textId="77777777" w:rsidR="00784084" w:rsidRPr="007A2B03" w:rsidRDefault="00784084" w:rsidP="0051317D">
            <w:pPr>
              <w:pStyle w:val="afe"/>
              <w:numPr>
                <w:ilvl w:val="0"/>
                <w:numId w:val="75"/>
              </w:numPr>
              <w:ind w:firstLine="0"/>
              <w:jc w:val="center"/>
              <w:rPr>
                <w:b/>
                <w:bCs/>
              </w:rPr>
            </w:pPr>
            <w:r w:rsidRPr="007A2B03">
              <w:rPr>
                <w:b/>
                <w:bCs/>
              </w:rPr>
              <w:t>Посттрансфузионная болезнь «трансплантат против хозяина»</w:t>
            </w:r>
          </w:p>
        </w:tc>
      </w:tr>
      <w:tr w:rsidR="00784084" w:rsidRPr="00915AAD" w14:paraId="56061865" w14:textId="77777777" w:rsidTr="002D3EBF">
        <w:tc>
          <w:tcPr>
            <w:tcW w:w="3208" w:type="dxa"/>
            <w:shd w:val="clear" w:color="auto" w:fill="auto"/>
          </w:tcPr>
          <w:p w14:paraId="69892D99" w14:textId="77777777" w:rsidR="00784084" w:rsidRPr="007A2B03" w:rsidRDefault="00784084" w:rsidP="00784084">
            <w:pPr>
              <w:ind w:firstLine="0"/>
            </w:pPr>
            <w:r w:rsidRPr="007A2B03">
              <w:t>Посттрансфузионная болезнь «трансплантат против хозяина»</w:t>
            </w:r>
          </w:p>
        </w:tc>
        <w:tc>
          <w:tcPr>
            <w:tcW w:w="3082" w:type="dxa"/>
            <w:shd w:val="clear" w:color="auto" w:fill="auto"/>
          </w:tcPr>
          <w:p w14:paraId="4EA72C42" w14:textId="77777777" w:rsidR="00784084" w:rsidRPr="007A2B03" w:rsidRDefault="00784084" w:rsidP="00784084">
            <w:pPr>
              <w:ind w:firstLine="0"/>
            </w:pPr>
            <w:r w:rsidRPr="007A2B03">
              <w:t>Любой компонент донорской крови</w:t>
            </w:r>
          </w:p>
        </w:tc>
        <w:tc>
          <w:tcPr>
            <w:tcW w:w="8270" w:type="dxa"/>
            <w:shd w:val="clear" w:color="auto" w:fill="auto"/>
          </w:tcPr>
          <w:p w14:paraId="7E59CC78" w14:textId="77777777" w:rsidR="00784084" w:rsidRPr="007A2B03" w:rsidRDefault="00784084" w:rsidP="00784084">
            <w:pPr>
              <w:ind w:firstLine="0"/>
            </w:pPr>
            <w:r w:rsidRPr="007A2B03">
              <w:t>10 мл 10% кальция глюконата в 100 мл 0,9% раствора NaC</w:t>
            </w:r>
            <w:r w:rsidRPr="007A2B03">
              <w:rPr>
                <w:lang w:val="en-US"/>
              </w:rPr>
              <w:t>l</w:t>
            </w:r>
            <w:r w:rsidRPr="007A2B03">
              <w:t xml:space="preserve"> в/в капельно</w:t>
            </w:r>
          </w:p>
        </w:tc>
      </w:tr>
      <w:tr w:rsidR="00784084" w:rsidRPr="00915AAD" w14:paraId="7CAFFE18" w14:textId="77777777" w:rsidTr="002D3EBF">
        <w:tc>
          <w:tcPr>
            <w:tcW w:w="14560" w:type="dxa"/>
            <w:gridSpan w:val="3"/>
            <w:shd w:val="clear" w:color="auto" w:fill="auto"/>
          </w:tcPr>
          <w:p w14:paraId="42E2BDD2" w14:textId="77777777" w:rsidR="00784084" w:rsidRPr="007A2B03" w:rsidRDefault="00784084" w:rsidP="0051317D">
            <w:pPr>
              <w:pStyle w:val="afe"/>
              <w:numPr>
                <w:ilvl w:val="0"/>
                <w:numId w:val="75"/>
              </w:numPr>
              <w:ind w:firstLine="0"/>
              <w:jc w:val="center"/>
              <w:rPr>
                <w:b/>
                <w:bCs/>
              </w:rPr>
            </w:pPr>
            <w:r w:rsidRPr="007A2B03">
              <w:rPr>
                <w:b/>
                <w:bCs/>
              </w:rPr>
              <w:t xml:space="preserve">Посттрансфузионная пурпура: </w:t>
            </w:r>
          </w:p>
          <w:p w14:paraId="0F99070C" w14:textId="77777777" w:rsidR="00784084" w:rsidRPr="007A2B03" w:rsidRDefault="00784084" w:rsidP="00784084">
            <w:pPr>
              <w:ind w:firstLine="0"/>
              <w:rPr>
                <w:b/>
                <w:bCs/>
              </w:rPr>
            </w:pPr>
            <w:r w:rsidRPr="007A2B03">
              <w:t>наличие антилейкоцитарных и (или) специфических антитромбоцитарных антител, рефрактерность к трансфузиям тромбоцитсодержащих сред</w:t>
            </w:r>
          </w:p>
        </w:tc>
      </w:tr>
      <w:tr w:rsidR="00784084" w:rsidRPr="00915AAD" w14:paraId="2F5A3CAE" w14:textId="77777777" w:rsidTr="002D3EBF">
        <w:tc>
          <w:tcPr>
            <w:tcW w:w="3208" w:type="dxa"/>
            <w:vMerge w:val="restart"/>
            <w:shd w:val="clear" w:color="auto" w:fill="auto"/>
          </w:tcPr>
          <w:p w14:paraId="06B3DB67" w14:textId="77777777" w:rsidR="00784084" w:rsidRPr="007A2B03" w:rsidRDefault="00784084" w:rsidP="00784084">
            <w:pPr>
              <w:ind w:firstLine="0"/>
            </w:pPr>
            <w:r w:rsidRPr="007A2B03">
              <w:t xml:space="preserve">Посттрансфузионная пурпура </w:t>
            </w:r>
          </w:p>
        </w:tc>
        <w:tc>
          <w:tcPr>
            <w:tcW w:w="3082" w:type="dxa"/>
            <w:shd w:val="clear" w:color="auto" w:fill="auto"/>
          </w:tcPr>
          <w:p w14:paraId="3CF4BB7C" w14:textId="77777777" w:rsidR="00784084" w:rsidRPr="007A2B03" w:rsidRDefault="00784084" w:rsidP="00784084">
            <w:pPr>
              <w:ind w:firstLine="0"/>
            </w:pPr>
            <w:r w:rsidRPr="007A2B03">
              <w:t>Индивидуально подобранный концентрат тромбоцитов методом адгезии на твердой фазе / в лимфоцитотоксическом тесте</w:t>
            </w:r>
          </w:p>
        </w:tc>
        <w:tc>
          <w:tcPr>
            <w:tcW w:w="8270" w:type="dxa"/>
            <w:shd w:val="clear" w:color="auto" w:fill="auto"/>
          </w:tcPr>
          <w:p w14:paraId="13C95F50" w14:textId="77777777" w:rsidR="00784084" w:rsidRPr="007A2B03" w:rsidRDefault="00784084" w:rsidP="00784084">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tc>
      </w:tr>
      <w:tr w:rsidR="00784084" w:rsidRPr="00915AAD" w14:paraId="043EE65A" w14:textId="77777777" w:rsidTr="002D3EBF">
        <w:tc>
          <w:tcPr>
            <w:tcW w:w="3208" w:type="dxa"/>
            <w:vMerge/>
            <w:shd w:val="clear" w:color="auto" w:fill="auto"/>
          </w:tcPr>
          <w:p w14:paraId="33D6B707" w14:textId="77777777" w:rsidR="00784084" w:rsidRPr="007A2B03" w:rsidRDefault="00784084" w:rsidP="00784084">
            <w:pPr>
              <w:ind w:firstLine="0"/>
            </w:pPr>
          </w:p>
        </w:tc>
        <w:tc>
          <w:tcPr>
            <w:tcW w:w="3082" w:type="dxa"/>
            <w:shd w:val="clear" w:color="auto" w:fill="auto"/>
          </w:tcPr>
          <w:p w14:paraId="4F385CE3" w14:textId="77777777" w:rsidR="00784084" w:rsidRPr="007A2B03" w:rsidRDefault="00784084" w:rsidP="00784084">
            <w:pPr>
              <w:ind w:firstLine="0"/>
            </w:pPr>
            <w:r w:rsidRPr="007A2B03">
              <w:t>Концентрат тромбоцитов с невозможностью проведения индивидуального подбора</w:t>
            </w:r>
          </w:p>
        </w:tc>
        <w:tc>
          <w:tcPr>
            <w:tcW w:w="8270" w:type="dxa"/>
            <w:shd w:val="clear" w:color="auto" w:fill="auto"/>
          </w:tcPr>
          <w:p w14:paraId="40504609" w14:textId="77777777" w:rsidR="00784084" w:rsidRPr="007A2B03" w:rsidRDefault="00784084" w:rsidP="00784084">
            <w:pPr>
              <w:ind w:firstLine="0"/>
            </w:pPr>
            <w:r w:rsidRPr="007A2B03">
              <w:t>10 мл 10% кальция глюконата и 2 мл клемастина гидрофумарата 1 мг/мл (либо 1 мл дифенгидрамина 10 мг/мл, либо 1 мл хлоропирамина 20 мг/мл) в 100 мл 0,9% раствора NaC</w:t>
            </w:r>
            <w:r w:rsidRPr="007A2B03">
              <w:rPr>
                <w:lang w:val="en-US"/>
              </w:rPr>
              <w:t>l</w:t>
            </w:r>
            <w:r w:rsidRPr="007A2B03">
              <w:t xml:space="preserve"> в/в капельно.</w:t>
            </w:r>
          </w:p>
          <w:p w14:paraId="629B8B61" w14:textId="77777777" w:rsidR="00784084" w:rsidRPr="007A2B03" w:rsidRDefault="00784084" w:rsidP="00784084">
            <w:pPr>
              <w:ind w:firstLine="0"/>
            </w:pPr>
            <w:r w:rsidRPr="007A2B03">
              <w:t>Индивидуально рассмотреть возможность разового введения глюкокортикостероидов** с целью снижения дальнейшей аллоиммунизации и уменьшения выраженности возможной посттрансфузионной реакции или осложнений на данную трансфузию (</w:t>
            </w:r>
            <w:r w:rsidRPr="007A2B03">
              <w:rPr>
                <w:shd w:val="clear" w:color="auto" w:fill="FFFFFF"/>
              </w:rPr>
              <w:t>следует </w:t>
            </w:r>
            <w:r w:rsidRPr="007A2B03">
              <w:rPr>
                <w:rStyle w:val="affc"/>
                <w:shd w:val="clear" w:color="auto" w:fill="FFFFFF"/>
              </w:rPr>
              <w:t>соотнести</w:t>
            </w:r>
            <w:r w:rsidRPr="007A2B03">
              <w:rPr>
                <w:shd w:val="clear" w:color="auto" w:fill="FFFFFF"/>
              </w:rPr>
              <w:t> потенциальные </w:t>
            </w:r>
            <w:r w:rsidRPr="007A2B03">
              <w:rPr>
                <w:rStyle w:val="affc"/>
                <w:shd w:val="clear" w:color="auto" w:fill="FFFFFF"/>
              </w:rPr>
              <w:t>риски</w:t>
            </w:r>
            <w:r w:rsidRPr="007A2B03">
              <w:rPr>
                <w:shd w:val="clear" w:color="auto" w:fill="FFFFFF"/>
              </w:rPr>
              <w:t> и ожидаемую </w:t>
            </w:r>
            <w:r w:rsidRPr="007A2B03">
              <w:rPr>
                <w:rStyle w:val="affc"/>
                <w:shd w:val="clear" w:color="auto" w:fill="FFFFFF"/>
              </w:rPr>
              <w:t>пользу</w:t>
            </w:r>
            <w:r w:rsidRPr="007A2B03">
              <w:t>).</w:t>
            </w:r>
          </w:p>
        </w:tc>
      </w:tr>
      <w:tr w:rsidR="00784084" w:rsidRPr="00915AAD" w14:paraId="0AF6A0CE" w14:textId="77777777" w:rsidTr="002D3EBF">
        <w:tc>
          <w:tcPr>
            <w:tcW w:w="3208" w:type="dxa"/>
            <w:vMerge/>
            <w:shd w:val="clear" w:color="auto" w:fill="auto"/>
          </w:tcPr>
          <w:p w14:paraId="7C17C390" w14:textId="77777777" w:rsidR="00784084" w:rsidRPr="007A2B03" w:rsidRDefault="00784084" w:rsidP="00784084">
            <w:pPr>
              <w:ind w:firstLine="0"/>
            </w:pPr>
          </w:p>
        </w:tc>
        <w:tc>
          <w:tcPr>
            <w:tcW w:w="3082" w:type="dxa"/>
            <w:shd w:val="clear" w:color="auto" w:fill="auto"/>
          </w:tcPr>
          <w:p w14:paraId="36B66658" w14:textId="77777777" w:rsidR="00784084" w:rsidRPr="007A2B03" w:rsidRDefault="00784084" w:rsidP="00784084">
            <w:pPr>
              <w:ind w:firstLine="0"/>
            </w:pPr>
            <w:r w:rsidRPr="007A2B03">
              <w:t>Другие компоненты донорской крови</w:t>
            </w:r>
          </w:p>
        </w:tc>
        <w:tc>
          <w:tcPr>
            <w:tcW w:w="8270" w:type="dxa"/>
            <w:shd w:val="clear" w:color="auto" w:fill="auto"/>
          </w:tcPr>
          <w:p w14:paraId="0E8121B4" w14:textId="77777777" w:rsidR="00784084" w:rsidRPr="007A2B03" w:rsidRDefault="00784084" w:rsidP="00784084">
            <w:pPr>
              <w:ind w:firstLine="0"/>
            </w:pPr>
            <w:r w:rsidRPr="007A2B03">
              <w:t>10 мл 10% кальция глюконата в 100 мл 0,9% раствора NaC</w:t>
            </w:r>
            <w:r w:rsidRPr="007A2B03">
              <w:rPr>
                <w:lang w:val="en-US"/>
              </w:rPr>
              <w:t>l</w:t>
            </w:r>
            <w:r w:rsidRPr="007A2B03">
              <w:t xml:space="preserve"> в/в капельно</w:t>
            </w:r>
          </w:p>
        </w:tc>
      </w:tr>
    </w:tbl>
    <w:p w14:paraId="3283AAF8" w14:textId="77777777" w:rsidR="00784084" w:rsidRPr="00BC3659" w:rsidRDefault="00784084" w:rsidP="00784084">
      <w:pPr>
        <w:rPr>
          <w:sz w:val="20"/>
          <w:szCs w:val="20"/>
        </w:rPr>
      </w:pPr>
      <w:r w:rsidRPr="00915AAD">
        <w:rPr>
          <w:szCs w:val="24"/>
        </w:rPr>
        <w:t xml:space="preserve">* </w:t>
      </w:r>
      <w:r w:rsidRPr="00BC3659">
        <w:rPr>
          <w:sz w:val="20"/>
          <w:szCs w:val="20"/>
        </w:rPr>
        <w:t>Предшествующие реакции и осложнения, связанные с трансфузией донорской крови и (или) ее компонентов, не влияющие на объем последующей премедикации при проведении трансфузионной терапии:</w:t>
      </w:r>
    </w:p>
    <w:p w14:paraId="0042C56A" w14:textId="77777777" w:rsidR="00784084" w:rsidRPr="00BC3659" w:rsidRDefault="00784084" w:rsidP="0051317D">
      <w:pPr>
        <w:pStyle w:val="afe"/>
        <w:numPr>
          <w:ilvl w:val="0"/>
          <w:numId w:val="74"/>
        </w:numPr>
        <w:rPr>
          <w:sz w:val="20"/>
          <w:szCs w:val="20"/>
        </w:rPr>
      </w:pPr>
      <w:r w:rsidRPr="00BC3659">
        <w:rPr>
          <w:sz w:val="20"/>
          <w:szCs w:val="20"/>
        </w:rPr>
        <w:t>Иммунные:</w:t>
      </w:r>
    </w:p>
    <w:p w14:paraId="1C9C1467" w14:textId="77777777" w:rsidR="00784084" w:rsidRPr="00BC3659" w:rsidRDefault="00784084" w:rsidP="0051317D">
      <w:pPr>
        <w:pStyle w:val="afe"/>
        <w:numPr>
          <w:ilvl w:val="0"/>
          <w:numId w:val="69"/>
        </w:numPr>
        <w:rPr>
          <w:sz w:val="20"/>
          <w:szCs w:val="20"/>
        </w:rPr>
      </w:pPr>
      <w:r w:rsidRPr="00BC3659">
        <w:rPr>
          <w:sz w:val="20"/>
          <w:szCs w:val="20"/>
        </w:rPr>
        <w:t>Обусловленное трансфузией острое повреждение легких</w:t>
      </w:r>
    </w:p>
    <w:p w14:paraId="2AC7834B" w14:textId="77777777" w:rsidR="00784084" w:rsidRPr="00BC3659" w:rsidRDefault="00784084" w:rsidP="0051317D">
      <w:pPr>
        <w:pStyle w:val="afe"/>
        <w:numPr>
          <w:ilvl w:val="0"/>
          <w:numId w:val="69"/>
        </w:numPr>
        <w:rPr>
          <w:sz w:val="20"/>
          <w:szCs w:val="20"/>
        </w:rPr>
      </w:pPr>
      <w:r w:rsidRPr="00BC3659">
        <w:rPr>
          <w:sz w:val="20"/>
          <w:szCs w:val="20"/>
        </w:rPr>
        <w:t>Обусловленная трансфузией одышка</w:t>
      </w:r>
    </w:p>
    <w:p w14:paraId="4304AE3C" w14:textId="77777777" w:rsidR="00784084" w:rsidRPr="00BC3659" w:rsidRDefault="00784084" w:rsidP="0051317D">
      <w:pPr>
        <w:pStyle w:val="afe"/>
        <w:numPr>
          <w:ilvl w:val="0"/>
          <w:numId w:val="74"/>
        </w:numPr>
        <w:rPr>
          <w:sz w:val="20"/>
          <w:szCs w:val="20"/>
        </w:rPr>
      </w:pPr>
      <w:r w:rsidRPr="00BC3659">
        <w:rPr>
          <w:sz w:val="20"/>
          <w:szCs w:val="20"/>
        </w:rPr>
        <w:t>Неиммуные:</w:t>
      </w:r>
    </w:p>
    <w:p w14:paraId="259D1368" w14:textId="77777777" w:rsidR="00784084" w:rsidRPr="00BC3659" w:rsidRDefault="00784084" w:rsidP="0051317D">
      <w:pPr>
        <w:pStyle w:val="afe"/>
        <w:numPr>
          <w:ilvl w:val="0"/>
          <w:numId w:val="71"/>
        </w:numPr>
        <w:rPr>
          <w:sz w:val="20"/>
          <w:szCs w:val="20"/>
        </w:rPr>
      </w:pPr>
      <w:r w:rsidRPr="00BC3659">
        <w:rPr>
          <w:sz w:val="20"/>
          <w:szCs w:val="20"/>
        </w:rPr>
        <w:t>Обусловленная трансфузией циркуляторная перегрузка</w:t>
      </w:r>
    </w:p>
    <w:p w14:paraId="15FE4DEE" w14:textId="77777777" w:rsidR="00784084" w:rsidRPr="00BC3659" w:rsidRDefault="00784084" w:rsidP="0051317D">
      <w:pPr>
        <w:pStyle w:val="afe"/>
        <w:numPr>
          <w:ilvl w:val="0"/>
          <w:numId w:val="71"/>
        </w:numPr>
        <w:rPr>
          <w:sz w:val="20"/>
          <w:szCs w:val="20"/>
        </w:rPr>
      </w:pPr>
      <w:r w:rsidRPr="00BC3659">
        <w:rPr>
          <w:sz w:val="20"/>
          <w:szCs w:val="20"/>
        </w:rPr>
        <w:t>Посттрансфузионная гипертензия</w:t>
      </w:r>
    </w:p>
    <w:p w14:paraId="5800726F" w14:textId="77777777" w:rsidR="00784084" w:rsidRPr="00BC3659" w:rsidRDefault="00784084" w:rsidP="0051317D">
      <w:pPr>
        <w:pStyle w:val="afe"/>
        <w:numPr>
          <w:ilvl w:val="0"/>
          <w:numId w:val="71"/>
        </w:numPr>
        <w:rPr>
          <w:sz w:val="20"/>
          <w:szCs w:val="20"/>
        </w:rPr>
      </w:pPr>
      <w:r w:rsidRPr="00BC3659">
        <w:rPr>
          <w:sz w:val="20"/>
          <w:szCs w:val="20"/>
        </w:rPr>
        <w:t>Острый неиммунный гемолиз</w:t>
      </w:r>
    </w:p>
    <w:p w14:paraId="2432F766" w14:textId="77777777" w:rsidR="00784084" w:rsidRPr="00BC3659" w:rsidRDefault="00784084" w:rsidP="0051317D">
      <w:pPr>
        <w:pStyle w:val="afe"/>
        <w:numPr>
          <w:ilvl w:val="0"/>
          <w:numId w:val="71"/>
        </w:numPr>
        <w:rPr>
          <w:sz w:val="20"/>
          <w:szCs w:val="20"/>
        </w:rPr>
      </w:pPr>
      <w:r w:rsidRPr="00BC3659">
        <w:rPr>
          <w:sz w:val="20"/>
          <w:szCs w:val="20"/>
        </w:rPr>
        <w:t>Септический шок</w:t>
      </w:r>
    </w:p>
    <w:p w14:paraId="5249CD2F" w14:textId="77777777" w:rsidR="00784084" w:rsidRPr="00BC3659" w:rsidRDefault="00784084" w:rsidP="0051317D">
      <w:pPr>
        <w:pStyle w:val="afe"/>
        <w:numPr>
          <w:ilvl w:val="0"/>
          <w:numId w:val="71"/>
        </w:numPr>
        <w:rPr>
          <w:sz w:val="20"/>
          <w:szCs w:val="20"/>
        </w:rPr>
      </w:pPr>
      <w:r w:rsidRPr="00BC3659">
        <w:rPr>
          <w:sz w:val="20"/>
          <w:szCs w:val="20"/>
        </w:rPr>
        <w:t>Хроническая перегрузка железом</w:t>
      </w:r>
    </w:p>
    <w:p w14:paraId="745168B3" w14:textId="77777777" w:rsidR="00784084" w:rsidRPr="00BC3659" w:rsidRDefault="00784084" w:rsidP="00784084">
      <w:pPr>
        <w:rPr>
          <w:sz w:val="20"/>
          <w:szCs w:val="20"/>
        </w:rPr>
      </w:pPr>
      <w:r w:rsidRPr="00BC3659">
        <w:rPr>
          <w:sz w:val="20"/>
          <w:szCs w:val="20"/>
        </w:rPr>
        <w:t xml:space="preserve">** Решение вопроса о введении глюкокортикостероидов и выбор дозы зависит от выраженности посттрансфузионной реакции или осложнения в анамнезе, степени тяжести сопутствующей патологии – инфекционные осложнения (особенно в период глубокой нейтропении), сахарный диабет, артериальная гипертензия и другие. Глюкокортикостероидные препараты в эквивалентных дозировках, применяемые в качестве премедикации перед трансфузией: 10-50 мг преднизолона, либо 2-6 мг дексаметазона, либо 25-100 мг гидрокортизона, либо 62,5-250 мг метилпреднизолона. </w:t>
      </w:r>
    </w:p>
    <w:p w14:paraId="722A990E" w14:textId="77777777" w:rsidR="00784084" w:rsidRDefault="00784084" w:rsidP="00784084">
      <w:pPr>
        <w:rPr>
          <w:b/>
          <w:szCs w:val="24"/>
        </w:rPr>
      </w:pPr>
    </w:p>
    <w:p w14:paraId="673E9C01" w14:textId="77777777" w:rsidR="00784084" w:rsidRPr="00360841" w:rsidRDefault="00784084" w:rsidP="00784084">
      <w:pPr>
        <w:rPr>
          <w:i/>
          <w:szCs w:val="24"/>
          <w:u w:val="single"/>
        </w:rPr>
      </w:pPr>
      <w:r w:rsidRPr="00360841">
        <w:rPr>
          <w:i/>
          <w:szCs w:val="24"/>
          <w:u w:val="single"/>
        </w:rPr>
        <w:t xml:space="preserve">Лечебный плазмаферез в терапии рефрактерности к трансфузиям тромбоцитов </w:t>
      </w:r>
    </w:p>
    <w:p w14:paraId="67F3BE2F" w14:textId="38CE0341" w:rsidR="00784084" w:rsidRPr="003A7159" w:rsidRDefault="00784084" w:rsidP="00784084">
      <w:pPr>
        <w:pStyle w:val="afe"/>
        <w:ind w:left="0"/>
        <w:rPr>
          <w:szCs w:val="24"/>
        </w:rPr>
      </w:pPr>
      <w:r w:rsidRPr="003A7159">
        <w:rPr>
          <w:szCs w:val="24"/>
        </w:rPr>
        <w:t xml:space="preserve">Если с помощью индивидуального подбора донорских </w:t>
      </w:r>
      <w:r>
        <w:rPr>
          <w:szCs w:val="24"/>
        </w:rPr>
        <w:t>т</w:t>
      </w:r>
      <w:r w:rsidRPr="003A7159">
        <w:rPr>
          <w:szCs w:val="24"/>
        </w:rPr>
        <w:t xml:space="preserve">ромбоцитов не удаётся получить достаточный прирост тромбоцитов и клинический эффект от трансфузий </w:t>
      </w:r>
      <w:r>
        <w:rPr>
          <w:szCs w:val="24"/>
        </w:rPr>
        <w:t>концентрата тромбоцитов</w:t>
      </w:r>
      <w:r w:rsidRPr="003A7159">
        <w:rPr>
          <w:szCs w:val="24"/>
        </w:rPr>
        <w:t xml:space="preserve">, то для улучшения эффективности индивидуального подбора пары «донор-реципиент» к терапии добавляют процедуры плазмафереза. В основе развивающейся рефрактерности к трансфузиям </w:t>
      </w:r>
      <w:r>
        <w:rPr>
          <w:szCs w:val="24"/>
        </w:rPr>
        <w:t>концентрата тромбоцитов</w:t>
      </w:r>
      <w:r w:rsidRPr="003A7159">
        <w:rPr>
          <w:szCs w:val="24"/>
        </w:rPr>
        <w:t xml:space="preserve"> лежит аллосенсибилизация реципиента лейкоцитарными и тромбоцитарными антигенами донорских клеток крови. </w:t>
      </w:r>
      <w:r>
        <w:rPr>
          <w:szCs w:val="24"/>
        </w:rPr>
        <w:t>В этом случае ц</w:t>
      </w:r>
      <w:r w:rsidRPr="003A7159">
        <w:rPr>
          <w:szCs w:val="24"/>
        </w:rPr>
        <w:t>елью проведения ПА является уменьшение концентрации циркулирующих аллоантител и иммунных комплексов.</w:t>
      </w:r>
    </w:p>
    <w:p w14:paraId="0CD3F987" w14:textId="77777777" w:rsidR="00784084" w:rsidRPr="003A7159" w:rsidRDefault="00784084" w:rsidP="00784084">
      <w:pPr>
        <w:pStyle w:val="afe"/>
        <w:ind w:left="0"/>
        <w:rPr>
          <w:szCs w:val="24"/>
        </w:rPr>
      </w:pPr>
      <w:r w:rsidRPr="003A7159">
        <w:rPr>
          <w:szCs w:val="24"/>
        </w:rPr>
        <w:t>Для преод</w:t>
      </w:r>
      <w:r>
        <w:rPr>
          <w:szCs w:val="24"/>
        </w:rPr>
        <w:t>о</w:t>
      </w:r>
      <w:r w:rsidRPr="003A7159">
        <w:rPr>
          <w:szCs w:val="24"/>
        </w:rPr>
        <w:t xml:space="preserve">ления рефрактерности к трансфузиям </w:t>
      </w:r>
      <w:r>
        <w:rPr>
          <w:szCs w:val="24"/>
        </w:rPr>
        <w:t>концентрата тромбоцитов</w:t>
      </w:r>
      <w:r w:rsidRPr="003A7159">
        <w:rPr>
          <w:szCs w:val="24"/>
        </w:rPr>
        <w:t xml:space="preserve"> в большинстве случаев достаточно провести 5-6 процедур (от 2 до 15 процедур) ПА в сочетании с индивидуальным подбором тромбоцитов. </w:t>
      </w:r>
    </w:p>
    <w:p w14:paraId="3B186B76" w14:textId="77777777" w:rsidR="00784084" w:rsidRPr="00736DDC" w:rsidRDefault="00784084" w:rsidP="0051317D">
      <w:pPr>
        <w:pStyle w:val="afe"/>
        <w:numPr>
          <w:ilvl w:val="0"/>
          <w:numId w:val="77"/>
        </w:numPr>
        <w:rPr>
          <w:szCs w:val="24"/>
        </w:rPr>
      </w:pPr>
      <w:r w:rsidRPr="00736DDC">
        <w:rPr>
          <w:szCs w:val="24"/>
        </w:rPr>
        <w:t xml:space="preserve">ПА проводятся 2-3 раза в неделю с интервалом 2-3 дня. </w:t>
      </w:r>
    </w:p>
    <w:p w14:paraId="32DF6948" w14:textId="77777777" w:rsidR="00784084" w:rsidRPr="00736DDC" w:rsidRDefault="00784084" w:rsidP="0051317D">
      <w:pPr>
        <w:pStyle w:val="afe"/>
        <w:numPr>
          <w:ilvl w:val="0"/>
          <w:numId w:val="77"/>
        </w:numPr>
        <w:rPr>
          <w:szCs w:val="24"/>
        </w:rPr>
      </w:pPr>
      <w:r w:rsidRPr="00736DDC">
        <w:rPr>
          <w:szCs w:val="24"/>
        </w:rPr>
        <w:t>Объём удаляемой плазмы:</w:t>
      </w:r>
      <w:r>
        <w:rPr>
          <w:szCs w:val="24"/>
        </w:rPr>
        <w:t xml:space="preserve"> </w:t>
      </w:r>
      <w:r w:rsidRPr="00736DDC">
        <w:rPr>
          <w:szCs w:val="24"/>
        </w:rPr>
        <w:t xml:space="preserve">за одну процедуру удаляется 0,5 </w:t>
      </w:r>
      <w:r>
        <w:rPr>
          <w:szCs w:val="24"/>
        </w:rPr>
        <w:t>ОЦП</w:t>
      </w:r>
      <w:r w:rsidRPr="00736DDC">
        <w:rPr>
          <w:szCs w:val="24"/>
        </w:rPr>
        <w:t>, в среднем 1500</w:t>
      </w:r>
      <w:r>
        <w:rPr>
          <w:szCs w:val="24"/>
        </w:rPr>
        <w:t xml:space="preserve"> </w:t>
      </w:r>
      <w:r w:rsidRPr="00736DDC">
        <w:rPr>
          <w:szCs w:val="24"/>
        </w:rPr>
        <w:t>мл</w:t>
      </w:r>
      <w:r>
        <w:rPr>
          <w:szCs w:val="24"/>
        </w:rPr>
        <w:t xml:space="preserve"> (1000 – </w:t>
      </w:r>
      <w:r w:rsidRPr="00736DDC">
        <w:rPr>
          <w:szCs w:val="24"/>
        </w:rPr>
        <w:t>2000</w:t>
      </w:r>
      <w:r>
        <w:rPr>
          <w:szCs w:val="24"/>
        </w:rPr>
        <w:t xml:space="preserve"> </w:t>
      </w:r>
      <w:r w:rsidRPr="00736DDC">
        <w:rPr>
          <w:szCs w:val="24"/>
        </w:rPr>
        <w:t>мл)</w:t>
      </w:r>
      <w:r>
        <w:rPr>
          <w:szCs w:val="24"/>
        </w:rPr>
        <w:t>.</w:t>
      </w:r>
    </w:p>
    <w:p w14:paraId="3FD6B9B6" w14:textId="525FB63E" w:rsidR="00784084" w:rsidRPr="003A7159" w:rsidRDefault="00784084" w:rsidP="00784084">
      <w:pPr>
        <w:rPr>
          <w:szCs w:val="24"/>
        </w:rPr>
      </w:pPr>
      <w:r w:rsidRPr="003A7159">
        <w:rPr>
          <w:szCs w:val="24"/>
        </w:rPr>
        <w:t>С целью предупреждения дополнительной аллоиммунизации антигенами донорских клеток крови и белками донорской плазмы замещение объёма удалённой плазмы проводится 5%, 10%, 20% раствором альбумина и раствором</w:t>
      </w:r>
      <w:r>
        <w:rPr>
          <w:szCs w:val="24"/>
        </w:rPr>
        <w:t xml:space="preserve"> натрия хлорида 0,9%</w:t>
      </w:r>
      <w:r w:rsidRPr="003A7159">
        <w:rPr>
          <w:szCs w:val="24"/>
        </w:rPr>
        <w:t>.</w:t>
      </w:r>
    </w:p>
    <w:p w14:paraId="2B9F4AB1" w14:textId="77777777" w:rsidR="00784084" w:rsidRDefault="00784084" w:rsidP="00784084">
      <w:pPr>
        <w:rPr>
          <w:szCs w:val="24"/>
        </w:rPr>
      </w:pPr>
      <w:r w:rsidRPr="003A7159">
        <w:rPr>
          <w:szCs w:val="24"/>
        </w:rPr>
        <w:t xml:space="preserve">Соотношение раствора 5% альбумина и </w:t>
      </w:r>
      <w:r>
        <w:rPr>
          <w:szCs w:val="24"/>
        </w:rPr>
        <w:t>р</w:t>
      </w:r>
      <w:r w:rsidRPr="00623297">
        <w:rPr>
          <w:szCs w:val="24"/>
        </w:rPr>
        <w:t>аствор</w:t>
      </w:r>
      <w:r>
        <w:rPr>
          <w:szCs w:val="24"/>
        </w:rPr>
        <w:t>а</w:t>
      </w:r>
      <w:r w:rsidRPr="00623297">
        <w:rPr>
          <w:szCs w:val="24"/>
        </w:rPr>
        <w:t xml:space="preserve"> </w:t>
      </w:r>
      <w:r>
        <w:rPr>
          <w:szCs w:val="24"/>
        </w:rPr>
        <w:t xml:space="preserve">натрия хлорида 0,9% </w:t>
      </w:r>
      <w:r w:rsidRPr="003A7159">
        <w:rPr>
          <w:szCs w:val="24"/>
        </w:rPr>
        <w:t>1:1 при уровне общего белка ≥ 65г/л</w:t>
      </w:r>
      <w:r>
        <w:rPr>
          <w:szCs w:val="24"/>
        </w:rPr>
        <w:t xml:space="preserve">: </w:t>
      </w:r>
    </w:p>
    <w:p w14:paraId="19013E65" w14:textId="77777777" w:rsidR="00784084" w:rsidRPr="009A1835" w:rsidRDefault="00784084" w:rsidP="0051317D">
      <w:pPr>
        <w:pStyle w:val="afe"/>
        <w:numPr>
          <w:ilvl w:val="0"/>
          <w:numId w:val="78"/>
        </w:numPr>
        <w:rPr>
          <w:szCs w:val="24"/>
        </w:rPr>
      </w:pPr>
      <w:r w:rsidRPr="009A1835">
        <w:rPr>
          <w:szCs w:val="24"/>
        </w:rPr>
        <w:t xml:space="preserve">Альбумин 5% - (500мл – 1000мл) в среднем 800 мл; </w:t>
      </w:r>
    </w:p>
    <w:p w14:paraId="5FC37737" w14:textId="77777777" w:rsidR="00784084" w:rsidRPr="009A1835" w:rsidRDefault="00784084" w:rsidP="0051317D">
      <w:pPr>
        <w:pStyle w:val="afe"/>
        <w:numPr>
          <w:ilvl w:val="0"/>
          <w:numId w:val="78"/>
        </w:numPr>
        <w:rPr>
          <w:szCs w:val="24"/>
        </w:rPr>
      </w:pPr>
      <w:r>
        <w:rPr>
          <w:szCs w:val="24"/>
        </w:rPr>
        <w:t>Р</w:t>
      </w:r>
      <w:r w:rsidRPr="00623297">
        <w:rPr>
          <w:szCs w:val="24"/>
        </w:rPr>
        <w:t xml:space="preserve">аствор </w:t>
      </w:r>
      <w:r>
        <w:rPr>
          <w:szCs w:val="24"/>
        </w:rPr>
        <w:t xml:space="preserve">натрия хлорида 0,9% </w:t>
      </w:r>
      <w:r w:rsidRPr="009A1835">
        <w:rPr>
          <w:szCs w:val="24"/>
        </w:rPr>
        <w:t>в среднем 800 мл (500 – 1000 мл).</w:t>
      </w:r>
    </w:p>
    <w:p w14:paraId="68C1609B" w14:textId="77777777" w:rsidR="00784084" w:rsidRDefault="00784084" w:rsidP="00784084">
      <w:pPr>
        <w:rPr>
          <w:szCs w:val="24"/>
          <w:u w:val="single"/>
        </w:rPr>
      </w:pPr>
    </w:p>
    <w:p w14:paraId="5DA3FC2A" w14:textId="77777777" w:rsidR="00784084" w:rsidRDefault="00784084" w:rsidP="00784084">
      <w:pPr>
        <w:rPr>
          <w:szCs w:val="24"/>
          <w:u w:val="single"/>
        </w:rPr>
      </w:pPr>
      <w:r w:rsidRPr="00623297">
        <w:rPr>
          <w:szCs w:val="24"/>
          <w:u w:val="single"/>
        </w:rPr>
        <w:t>Методические аспекты проведения ПА при тромбоцитопении, рефрактерной к трансфузиям концентрата тромбоцитов:</w:t>
      </w:r>
      <w:r>
        <w:rPr>
          <w:szCs w:val="24"/>
          <w:u w:val="single"/>
        </w:rPr>
        <w:t xml:space="preserve"> </w:t>
      </w:r>
    </w:p>
    <w:p w14:paraId="770DB9A3" w14:textId="3CDF5C5D" w:rsidR="00784084" w:rsidRPr="00623297" w:rsidRDefault="00784084" w:rsidP="0051317D">
      <w:pPr>
        <w:pStyle w:val="afe"/>
        <w:numPr>
          <w:ilvl w:val="0"/>
          <w:numId w:val="79"/>
        </w:numPr>
        <w:rPr>
          <w:szCs w:val="24"/>
          <w:u w:val="single"/>
        </w:rPr>
      </w:pPr>
      <w:r w:rsidRPr="00623297">
        <w:rPr>
          <w:szCs w:val="24"/>
        </w:rPr>
        <w:t>При наличии глубокой тромбоцитопении (≤ 20х10</w:t>
      </w:r>
      <w:r w:rsidRPr="00623297">
        <w:rPr>
          <w:szCs w:val="24"/>
          <w:vertAlign w:val="superscript"/>
        </w:rPr>
        <w:t>9</w:t>
      </w:r>
      <w:r w:rsidRPr="00623297">
        <w:rPr>
          <w:szCs w:val="24"/>
        </w:rPr>
        <w:t>/л) перед началом  проведения процедуры ПА необходимо провести трансфузию 4 – 6 доз тромбоцитов, заказать концентрат тромбоцитов для трансфузии после окончания процедуры ПА.</w:t>
      </w:r>
    </w:p>
    <w:p w14:paraId="64978F02" w14:textId="77777777" w:rsidR="00784084" w:rsidRPr="00C62ED8" w:rsidRDefault="00784084" w:rsidP="0051317D">
      <w:pPr>
        <w:pStyle w:val="afe"/>
        <w:numPr>
          <w:ilvl w:val="0"/>
          <w:numId w:val="79"/>
        </w:numPr>
        <w:rPr>
          <w:szCs w:val="24"/>
        </w:rPr>
      </w:pPr>
      <w:r w:rsidRPr="00C62ED8">
        <w:rPr>
          <w:szCs w:val="24"/>
        </w:rPr>
        <w:t>После проведённой процедуры ПА уровень общего белка плазмы должен быть ≥ 50г/л; если уровень общего белка плазмы будет меньше, то требуется дополнительное введение альбумина.</w:t>
      </w:r>
    </w:p>
    <w:p w14:paraId="2556360A" w14:textId="5FE72E94" w:rsidR="00784084" w:rsidRDefault="00784084" w:rsidP="0051317D">
      <w:pPr>
        <w:pStyle w:val="afe"/>
        <w:numPr>
          <w:ilvl w:val="0"/>
          <w:numId w:val="79"/>
        </w:numPr>
        <w:rPr>
          <w:szCs w:val="24"/>
        </w:rPr>
      </w:pPr>
      <w:r w:rsidRPr="00623297">
        <w:rPr>
          <w:szCs w:val="24"/>
        </w:rPr>
        <w:t xml:space="preserve">После каждых 2 – 3 процедур ПА необходим контроль уровня сывороточного белка и коагулограммы для исключения дефицита факторов свёртывания крови и развития геморрагического синдрома. При сохранении дефицита факторов свёртывания крови замещение объёма удалённой плазмы надо проводить СЗП + р-ром 5% альбумина и </w:t>
      </w:r>
      <w:r>
        <w:rPr>
          <w:szCs w:val="24"/>
        </w:rPr>
        <w:t>р</w:t>
      </w:r>
      <w:r w:rsidRPr="00623297">
        <w:rPr>
          <w:szCs w:val="24"/>
        </w:rPr>
        <w:t>аствор</w:t>
      </w:r>
      <w:r>
        <w:rPr>
          <w:szCs w:val="24"/>
        </w:rPr>
        <w:t>ом</w:t>
      </w:r>
      <w:r w:rsidRPr="00623297">
        <w:rPr>
          <w:szCs w:val="24"/>
        </w:rPr>
        <w:t xml:space="preserve"> </w:t>
      </w:r>
      <w:r>
        <w:rPr>
          <w:szCs w:val="24"/>
        </w:rPr>
        <w:t>натрия хлорида 0,9%</w:t>
      </w:r>
      <w:r w:rsidRPr="00623297">
        <w:rPr>
          <w:szCs w:val="24"/>
        </w:rPr>
        <w:t xml:space="preserve">. </w:t>
      </w:r>
    </w:p>
    <w:p w14:paraId="7763F033" w14:textId="77777777" w:rsidR="00784084" w:rsidRPr="00623297" w:rsidRDefault="00784084" w:rsidP="0051317D">
      <w:pPr>
        <w:pStyle w:val="afe"/>
        <w:numPr>
          <w:ilvl w:val="0"/>
          <w:numId w:val="79"/>
        </w:numPr>
        <w:rPr>
          <w:szCs w:val="24"/>
        </w:rPr>
      </w:pPr>
      <w:r w:rsidRPr="00623297">
        <w:rPr>
          <w:szCs w:val="24"/>
        </w:rPr>
        <w:t xml:space="preserve">Соотношение СЗП + раствора 5% альбумина и </w:t>
      </w:r>
      <w:r>
        <w:rPr>
          <w:szCs w:val="24"/>
        </w:rPr>
        <w:t>р</w:t>
      </w:r>
      <w:r w:rsidRPr="00623297">
        <w:rPr>
          <w:szCs w:val="24"/>
        </w:rPr>
        <w:t>аствор</w:t>
      </w:r>
      <w:r>
        <w:rPr>
          <w:szCs w:val="24"/>
        </w:rPr>
        <w:t>а</w:t>
      </w:r>
      <w:r w:rsidRPr="00623297">
        <w:rPr>
          <w:szCs w:val="24"/>
        </w:rPr>
        <w:t xml:space="preserve"> </w:t>
      </w:r>
      <w:r>
        <w:rPr>
          <w:szCs w:val="24"/>
        </w:rPr>
        <w:t xml:space="preserve">натрия хлорида 0,9% </w:t>
      </w:r>
      <w:r w:rsidRPr="00623297">
        <w:rPr>
          <w:szCs w:val="24"/>
        </w:rPr>
        <w:t xml:space="preserve">1:1 при уровне общего белка ≥ 65г/л </w:t>
      </w:r>
    </w:p>
    <w:p w14:paraId="5002DB2C" w14:textId="42F2D8F4" w:rsidR="00784084" w:rsidRPr="00623297" w:rsidRDefault="00784084" w:rsidP="0051317D">
      <w:pPr>
        <w:pStyle w:val="afe"/>
        <w:numPr>
          <w:ilvl w:val="0"/>
          <w:numId w:val="80"/>
        </w:numPr>
        <w:rPr>
          <w:szCs w:val="24"/>
        </w:rPr>
      </w:pPr>
      <w:r w:rsidRPr="00623297">
        <w:rPr>
          <w:szCs w:val="24"/>
        </w:rPr>
        <w:t>СЗП – в среднем 500</w:t>
      </w:r>
      <w:r>
        <w:rPr>
          <w:szCs w:val="24"/>
        </w:rPr>
        <w:t xml:space="preserve"> </w:t>
      </w:r>
      <w:r w:rsidRPr="00623297">
        <w:rPr>
          <w:szCs w:val="24"/>
        </w:rPr>
        <w:t>мл</w:t>
      </w:r>
      <w:r>
        <w:rPr>
          <w:szCs w:val="24"/>
        </w:rPr>
        <w:t xml:space="preserve"> (500 – </w:t>
      </w:r>
      <w:r w:rsidRPr="00623297">
        <w:rPr>
          <w:szCs w:val="24"/>
        </w:rPr>
        <w:t>1000</w:t>
      </w:r>
      <w:r>
        <w:rPr>
          <w:szCs w:val="24"/>
        </w:rPr>
        <w:t xml:space="preserve"> </w:t>
      </w:r>
      <w:r w:rsidRPr="00623297">
        <w:rPr>
          <w:szCs w:val="24"/>
        </w:rPr>
        <w:t>мл);</w:t>
      </w:r>
    </w:p>
    <w:p w14:paraId="189F1090" w14:textId="77777777" w:rsidR="00784084" w:rsidRPr="00623297" w:rsidRDefault="00784084" w:rsidP="0051317D">
      <w:pPr>
        <w:pStyle w:val="afe"/>
        <w:numPr>
          <w:ilvl w:val="0"/>
          <w:numId w:val="80"/>
        </w:numPr>
        <w:rPr>
          <w:szCs w:val="24"/>
        </w:rPr>
      </w:pPr>
      <w:r>
        <w:rPr>
          <w:szCs w:val="24"/>
        </w:rPr>
        <w:t xml:space="preserve">Альбумин 5%  200 – </w:t>
      </w:r>
      <w:r w:rsidRPr="00623297">
        <w:rPr>
          <w:szCs w:val="24"/>
        </w:rPr>
        <w:t>300мл (10 - 15г);</w:t>
      </w:r>
    </w:p>
    <w:p w14:paraId="294B152B" w14:textId="77777777" w:rsidR="00784084" w:rsidRPr="00623297" w:rsidRDefault="00784084" w:rsidP="0051317D">
      <w:pPr>
        <w:pStyle w:val="afe"/>
        <w:numPr>
          <w:ilvl w:val="0"/>
          <w:numId w:val="80"/>
        </w:numPr>
        <w:rPr>
          <w:szCs w:val="24"/>
        </w:rPr>
      </w:pPr>
      <w:r>
        <w:rPr>
          <w:szCs w:val="24"/>
        </w:rPr>
        <w:t>Р</w:t>
      </w:r>
      <w:r w:rsidRPr="00623297">
        <w:rPr>
          <w:szCs w:val="24"/>
        </w:rPr>
        <w:t xml:space="preserve">аствор </w:t>
      </w:r>
      <w:r>
        <w:rPr>
          <w:szCs w:val="24"/>
        </w:rPr>
        <w:t xml:space="preserve">натрия хлорида 0,9% </w:t>
      </w:r>
      <w:r w:rsidRPr="00623297">
        <w:rPr>
          <w:szCs w:val="24"/>
        </w:rPr>
        <w:t>в среднем 800</w:t>
      </w:r>
      <w:r>
        <w:rPr>
          <w:szCs w:val="24"/>
        </w:rPr>
        <w:t xml:space="preserve"> </w:t>
      </w:r>
      <w:r w:rsidRPr="00623297">
        <w:rPr>
          <w:szCs w:val="24"/>
        </w:rPr>
        <w:t>мл</w:t>
      </w:r>
      <w:r>
        <w:rPr>
          <w:szCs w:val="24"/>
        </w:rPr>
        <w:t xml:space="preserve"> </w:t>
      </w:r>
      <w:r w:rsidRPr="003A7159">
        <w:rPr>
          <w:szCs w:val="24"/>
        </w:rPr>
        <w:t>(500 – 1000</w:t>
      </w:r>
      <w:r>
        <w:rPr>
          <w:szCs w:val="24"/>
        </w:rPr>
        <w:t xml:space="preserve"> </w:t>
      </w:r>
      <w:r w:rsidRPr="003A7159">
        <w:rPr>
          <w:szCs w:val="24"/>
        </w:rPr>
        <w:t>мл)</w:t>
      </w:r>
      <w:r>
        <w:rPr>
          <w:szCs w:val="24"/>
        </w:rPr>
        <w:t>.</w:t>
      </w:r>
      <w:r w:rsidRPr="00623297">
        <w:rPr>
          <w:szCs w:val="24"/>
        </w:rPr>
        <w:t xml:space="preserve"> </w:t>
      </w:r>
    </w:p>
    <w:p w14:paraId="4077D695" w14:textId="7979E5C6" w:rsidR="00784084" w:rsidRPr="003A7159" w:rsidRDefault="00784084" w:rsidP="00784084">
      <w:pPr>
        <w:rPr>
          <w:szCs w:val="24"/>
        </w:rPr>
      </w:pPr>
      <w:r w:rsidRPr="003A7159">
        <w:rPr>
          <w:szCs w:val="24"/>
        </w:rPr>
        <w:t>Соотношение СЗП + раствора 5% альбумина и раствора</w:t>
      </w:r>
      <w:r>
        <w:rPr>
          <w:szCs w:val="24"/>
        </w:rPr>
        <w:t xml:space="preserve"> натрия хлорида 0,9%</w:t>
      </w:r>
      <w:r w:rsidRPr="003A7159">
        <w:rPr>
          <w:szCs w:val="24"/>
        </w:rPr>
        <w:t xml:space="preserve"> </w:t>
      </w:r>
      <w:r>
        <w:rPr>
          <w:szCs w:val="24"/>
        </w:rPr>
        <w:t xml:space="preserve">составляет </w:t>
      </w:r>
      <w:r w:rsidRPr="003A7159">
        <w:rPr>
          <w:szCs w:val="24"/>
        </w:rPr>
        <w:t xml:space="preserve">2:1 при уровне общего белка </w:t>
      </w:r>
      <w:r>
        <w:rPr>
          <w:szCs w:val="24"/>
        </w:rPr>
        <w:t xml:space="preserve"> ≤ 55г/л:</w:t>
      </w:r>
    </w:p>
    <w:p w14:paraId="506FE24D" w14:textId="77777777" w:rsidR="00784084" w:rsidRPr="00767D08" w:rsidRDefault="00784084" w:rsidP="0051317D">
      <w:pPr>
        <w:pStyle w:val="afe"/>
        <w:numPr>
          <w:ilvl w:val="0"/>
          <w:numId w:val="80"/>
        </w:numPr>
        <w:rPr>
          <w:szCs w:val="24"/>
        </w:rPr>
      </w:pPr>
      <w:r w:rsidRPr="00C02A00">
        <w:rPr>
          <w:szCs w:val="24"/>
        </w:rPr>
        <w:t xml:space="preserve">СЗП </w:t>
      </w:r>
      <w:r>
        <w:rPr>
          <w:szCs w:val="24"/>
        </w:rPr>
        <w:t>–</w:t>
      </w:r>
      <w:r w:rsidRPr="00C02A00">
        <w:rPr>
          <w:szCs w:val="24"/>
        </w:rPr>
        <w:t xml:space="preserve"> </w:t>
      </w:r>
      <w:r w:rsidRPr="00767D08">
        <w:rPr>
          <w:szCs w:val="24"/>
        </w:rPr>
        <w:t>в среднем 800</w:t>
      </w:r>
      <w:r>
        <w:rPr>
          <w:szCs w:val="24"/>
        </w:rPr>
        <w:t xml:space="preserve"> </w:t>
      </w:r>
      <w:r w:rsidRPr="00767D08">
        <w:rPr>
          <w:szCs w:val="24"/>
        </w:rPr>
        <w:t>мл</w:t>
      </w:r>
      <w:r>
        <w:rPr>
          <w:szCs w:val="24"/>
        </w:rPr>
        <w:t xml:space="preserve"> </w:t>
      </w:r>
      <w:r w:rsidRPr="00C02A00">
        <w:rPr>
          <w:szCs w:val="24"/>
        </w:rPr>
        <w:t>(500 – 1000мл)</w:t>
      </w:r>
      <w:r w:rsidRPr="00767D08">
        <w:rPr>
          <w:szCs w:val="24"/>
        </w:rPr>
        <w:t xml:space="preserve">; </w:t>
      </w:r>
    </w:p>
    <w:p w14:paraId="6F498B72" w14:textId="079B61CA" w:rsidR="00784084" w:rsidRPr="00767D08" w:rsidRDefault="00784084" w:rsidP="0051317D">
      <w:pPr>
        <w:pStyle w:val="afe"/>
        <w:numPr>
          <w:ilvl w:val="0"/>
          <w:numId w:val="80"/>
        </w:numPr>
        <w:rPr>
          <w:szCs w:val="24"/>
        </w:rPr>
      </w:pPr>
      <w:r>
        <w:rPr>
          <w:szCs w:val="24"/>
        </w:rPr>
        <w:t>Альбумин 5%</w:t>
      </w:r>
      <w:r w:rsidRPr="00C02A00">
        <w:rPr>
          <w:szCs w:val="24"/>
        </w:rPr>
        <w:t xml:space="preserve"> 200</w:t>
      </w:r>
      <w:r>
        <w:rPr>
          <w:szCs w:val="24"/>
        </w:rPr>
        <w:t xml:space="preserve"> – </w:t>
      </w:r>
      <w:r w:rsidRPr="00767D08">
        <w:rPr>
          <w:szCs w:val="24"/>
        </w:rPr>
        <w:t>300мл (10-15</w:t>
      </w:r>
      <w:r>
        <w:rPr>
          <w:szCs w:val="24"/>
        </w:rPr>
        <w:t> </w:t>
      </w:r>
      <w:r w:rsidRPr="00767D08">
        <w:rPr>
          <w:szCs w:val="24"/>
        </w:rPr>
        <w:t>г);</w:t>
      </w:r>
    </w:p>
    <w:p w14:paraId="73778EB2" w14:textId="77777777" w:rsidR="00784084" w:rsidRPr="00C02A00" w:rsidRDefault="00784084" w:rsidP="0051317D">
      <w:pPr>
        <w:pStyle w:val="afe"/>
        <w:numPr>
          <w:ilvl w:val="0"/>
          <w:numId w:val="80"/>
        </w:numPr>
        <w:rPr>
          <w:szCs w:val="24"/>
        </w:rPr>
      </w:pPr>
      <w:r w:rsidRPr="00C02A00">
        <w:rPr>
          <w:szCs w:val="24"/>
        </w:rPr>
        <w:t>Раствор натрия хлорида 0,9% –</w:t>
      </w:r>
      <w:r>
        <w:rPr>
          <w:szCs w:val="24"/>
        </w:rPr>
        <w:t xml:space="preserve"> </w:t>
      </w:r>
      <w:r w:rsidRPr="00C02A00">
        <w:rPr>
          <w:szCs w:val="24"/>
        </w:rPr>
        <w:t>в среднем 500мл (500 – 1000мл)</w:t>
      </w:r>
      <w:r>
        <w:rPr>
          <w:szCs w:val="24"/>
        </w:rPr>
        <w:t>.</w:t>
      </w:r>
      <w:r w:rsidRPr="00C02A00">
        <w:rPr>
          <w:szCs w:val="24"/>
        </w:rPr>
        <w:t xml:space="preserve">   </w:t>
      </w:r>
    </w:p>
    <w:p w14:paraId="4CAA2D49" w14:textId="77777777" w:rsidR="00784084" w:rsidRPr="003A7159" w:rsidRDefault="00784084" w:rsidP="00784084">
      <w:pPr>
        <w:pStyle w:val="afe"/>
        <w:ind w:left="0"/>
        <w:rPr>
          <w:szCs w:val="24"/>
        </w:rPr>
      </w:pPr>
      <w:r w:rsidRPr="003A7159">
        <w:rPr>
          <w:szCs w:val="24"/>
        </w:rPr>
        <w:t xml:space="preserve">С целью профилактики цитратной реакции на каждый 1л СЗП вводится </w:t>
      </w:r>
      <w:r>
        <w:rPr>
          <w:szCs w:val="24"/>
        </w:rPr>
        <w:t>внутривенно 5мл раствора к</w:t>
      </w:r>
      <w:r w:rsidRPr="003A7159">
        <w:rPr>
          <w:szCs w:val="24"/>
        </w:rPr>
        <w:t xml:space="preserve">альция глюконата 10% или 5мл раствора </w:t>
      </w:r>
      <w:r>
        <w:rPr>
          <w:szCs w:val="24"/>
        </w:rPr>
        <w:t>к</w:t>
      </w:r>
      <w:r w:rsidRPr="003A7159">
        <w:rPr>
          <w:szCs w:val="24"/>
        </w:rPr>
        <w:t>альция хлорида 10%.</w:t>
      </w:r>
    </w:p>
    <w:p w14:paraId="379835A4" w14:textId="77777777" w:rsidR="00784084" w:rsidRDefault="00784084" w:rsidP="00784084">
      <w:pPr>
        <w:pStyle w:val="afe"/>
        <w:ind w:left="0"/>
        <w:rPr>
          <w:szCs w:val="24"/>
        </w:rPr>
      </w:pPr>
      <w:r w:rsidRPr="003A7159">
        <w:rPr>
          <w:szCs w:val="24"/>
        </w:rPr>
        <w:t xml:space="preserve">При наличии негемолитической посттрансфузионной реакции на трансфузии СЗП перед процедурой необходима премедикация (антигистаминные препараты, 10% раствор </w:t>
      </w:r>
      <w:r>
        <w:rPr>
          <w:szCs w:val="24"/>
        </w:rPr>
        <w:t>к</w:t>
      </w:r>
      <w:r w:rsidRPr="003A7159">
        <w:rPr>
          <w:szCs w:val="24"/>
        </w:rPr>
        <w:t>альция глюконата 10</w:t>
      </w:r>
      <w:r>
        <w:rPr>
          <w:szCs w:val="24"/>
        </w:rPr>
        <w:t xml:space="preserve"> </w:t>
      </w:r>
      <w:r w:rsidRPr="003A7159">
        <w:rPr>
          <w:szCs w:val="24"/>
        </w:rPr>
        <w:t>мл).</w:t>
      </w:r>
    </w:p>
    <w:p w14:paraId="654EB289" w14:textId="6F0348AA" w:rsidR="00784084" w:rsidRDefault="00784084" w:rsidP="00784084">
      <w:pPr>
        <w:pStyle w:val="afffff0"/>
        <w:spacing w:after="0" w:line="360" w:lineRule="auto"/>
        <w:rPr>
          <w:i w:val="0"/>
          <w:lang w:val="ru-RU"/>
        </w:rPr>
      </w:pPr>
    </w:p>
    <w:p w14:paraId="7BFE26E8" w14:textId="726373AE" w:rsidR="00947134" w:rsidRPr="00947134" w:rsidRDefault="00784084" w:rsidP="00947134">
      <w:pPr>
        <w:pStyle w:val="2"/>
        <w:spacing w:before="0"/>
      </w:pPr>
      <w:bookmarkStart w:id="122" w:name="_Toc66184346"/>
      <w:r w:rsidRPr="00FE2263">
        <w:t>Приложение А3.</w:t>
      </w:r>
      <w:r>
        <w:t xml:space="preserve">7. </w:t>
      </w:r>
      <w:bookmarkStart w:id="123" w:name="_Toc64477555"/>
      <w:r w:rsidR="00947134" w:rsidRPr="002C6FFD">
        <w:rPr>
          <w:rFonts w:eastAsia="Arial Unicode MS"/>
        </w:rPr>
        <w:t>Протоколы выполнения аспирационного и биопсийного исследования костного мозга</w:t>
      </w:r>
      <w:bookmarkEnd w:id="122"/>
      <w:bookmarkEnd w:id="123"/>
    </w:p>
    <w:p w14:paraId="6AD4DDA7" w14:textId="77777777" w:rsidR="00947134" w:rsidRPr="002C6FFD" w:rsidRDefault="00947134" w:rsidP="00947134">
      <w:pPr>
        <w:pStyle w:val="Normal11"/>
        <w:spacing w:before="0" w:line="360" w:lineRule="auto"/>
        <w:ind w:left="0" w:firstLine="699"/>
        <w:jc w:val="both"/>
        <w:rPr>
          <w:spacing w:val="0"/>
        </w:rPr>
      </w:pPr>
      <w:r w:rsidRPr="002C6FFD">
        <w:rPr>
          <w:spacing w:val="0"/>
          <w:shd w:val="clear" w:color="auto" w:fill="FFFFFF"/>
        </w:rPr>
        <w:t>Пункционное (стернальная пункция, аспирация костного мозга) и биопсийное (трепанобиопсия, биопсия костного мозга) исследования костного мозга — это диагностические методы, позволяющие получить образец тканей костного мозга из грудины или костей таза, путем аспирации и чрескожной трепанобиопсии.</w:t>
      </w:r>
    </w:p>
    <w:p w14:paraId="034833ED" w14:textId="77777777" w:rsidR="00947134" w:rsidRPr="002C6FFD" w:rsidRDefault="00947134" w:rsidP="00947134">
      <w:pPr>
        <w:ind w:firstLine="699"/>
        <w:rPr>
          <w:rFonts w:cs="Times New Roman"/>
          <w:szCs w:val="24"/>
        </w:rPr>
      </w:pPr>
      <w:r w:rsidRPr="002C6FFD">
        <w:rPr>
          <w:rFonts w:cs="Times New Roman"/>
          <w:szCs w:val="24"/>
        </w:rPr>
        <w:t xml:space="preserve">С помощью аспирационной биопсии (пункции) получают образцы костного мозга для морфологической оценки клеточного состава и, при необходимости, дополнительных исследований – иммунофенотипический анализ методом проточной цитометрии, цитогенетические, молекулярные и другие исследования. Биопсия костного мозга (трепанобиопсия) дополнительно позволяет получить при гистологическом исследовании более подробную информацию о клеточности костного мозга, его морфологическом составе, особенностях стромы, детально охарактеризовать клеточные популяции, в том числе, с помощью иммуногистохимического исследования. </w:t>
      </w:r>
    </w:p>
    <w:p w14:paraId="03FCC013" w14:textId="77777777" w:rsidR="00947134" w:rsidRPr="002C6FFD" w:rsidRDefault="00947134" w:rsidP="00947134">
      <w:pPr>
        <w:ind w:firstLine="699"/>
        <w:rPr>
          <w:rFonts w:cs="Times New Roman"/>
          <w:szCs w:val="24"/>
        </w:rPr>
      </w:pPr>
      <w:r w:rsidRPr="002C6FFD">
        <w:rPr>
          <w:rFonts w:cs="Times New Roman"/>
          <w:szCs w:val="24"/>
        </w:rPr>
        <w:t xml:space="preserve">Процедуры аспирационного и биопсийного исследования костного мозга являются рутинными и проводятся в амбулаторных и стационарных условиях. Для выполнения пункции костного мозга применяются одноразовые или многоразовые стерилизуемые иглы. </w:t>
      </w:r>
      <w:r w:rsidRPr="002C6FFD">
        <w:rPr>
          <w:rFonts w:cs="Times New Roman"/>
          <w:color w:val="212121"/>
          <w:szCs w:val="24"/>
        </w:rPr>
        <w:t xml:space="preserve">Трепанобиопсия костного мозга </w:t>
      </w:r>
      <w:r w:rsidRPr="002C6FFD">
        <w:rPr>
          <w:rFonts w:cs="Times New Roman"/>
          <w:szCs w:val="24"/>
        </w:rPr>
        <w:t xml:space="preserve">выполняется одноразовой или многоразовой стерелизуемой иглой Jamshidi или иглой сходной с ней конструкции. </w:t>
      </w:r>
    </w:p>
    <w:p w14:paraId="12615C7E" w14:textId="77777777" w:rsidR="00947134" w:rsidRDefault="00947134" w:rsidP="00947134">
      <w:pPr>
        <w:ind w:firstLine="699"/>
        <w:rPr>
          <w:rFonts w:cs="Times New Roman"/>
          <w:szCs w:val="24"/>
        </w:rPr>
      </w:pPr>
      <w:r w:rsidRPr="002C6FFD">
        <w:rPr>
          <w:rFonts w:cs="Times New Roman"/>
          <w:szCs w:val="24"/>
        </w:rPr>
        <w:t xml:space="preserve">При выполнении процедур взятия костного мозга для исследований редко возможны осложнения. Так, частота возникновения осложнений биопсии костного мозга по данным Британского общества гематологов за период 7 лет (1995—2001 гг.) составила 0,05% (26 / 54890, в том числе, 2 фатальных – сепсис, массивное кровотечение). В спектре осложнений наиболее частыми были: кровотечения (в том числе развитие массивных ретроперитонеальных гематом), поломка инструмента, инфекционные осложнения. Факторами риска развития кровотечения являлись проводимая больному терапия антикоагулянтами и антиагрегантами, миелопролиферативный или миелодиспластический синдромы, сопровождающиеся дисфункцией тромбоцитов, коагулологические нарушения, тромбоцитопения.  </w:t>
      </w:r>
    </w:p>
    <w:p w14:paraId="3C261219" w14:textId="77777777" w:rsidR="00947134" w:rsidRPr="002C6FFD" w:rsidRDefault="00947134" w:rsidP="00947134">
      <w:pPr>
        <w:ind w:firstLine="699"/>
        <w:rPr>
          <w:rFonts w:cs="Times New Roman"/>
          <w:szCs w:val="24"/>
        </w:rPr>
      </w:pPr>
    </w:p>
    <w:p w14:paraId="1B912CDA" w14:textId="14B38BC6" w:rsidR="00947134" w:rsidRPr="00F30696" w:rsidRDefault="00947134" w:rsidP="00947134">
      <w:pPr>
        <w:rPr>
          <w:b/>
          <w:i/>
          <w:iCs/>
          <w:u w:val="single"/>
          <w:shd w:val="clear" w:color="auto" w:fill="FFFFFF"/>
        </w:rPr>
      </w:pPr>
      <w:r w:rsidRPr="00F30696">
        <w:rPr>
          <w:i/>
          <w:iCs/>
          <w:u w:val="single"/>
          <w:shd w:val="clear" w:color="auto" w:fill="FFFFFF"/>
        </w:rPr>
        <w:t xml:space="preserve">Показания к выполнению пункционного (аспирационного) исследования костного мозга </w:t>
      </w:r>
      <w:r w:rsidRPr="00F30696">
        <w:rPr>
          <w:b/>
          <w:i/>
          <w:iCs/>
          <w:u w:val="single"/>
          <w:shd w:val="clear" w:color="auto" w:fill="FFFFFF"/>
        </w:rPr>
        <w:fldChar w:fldCharType="begin" w:fldLock="1"/>
      </w:r>
      <w:r w:rsidR="00CE1363">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[84]","plainTextFormattedCitation":"[84]","previouslyFormattedCitation":"[84]"},"properties":{"noteIndex":0},"schema":"https://github.com/citation-style-language/schema/raw/master/csl-citation.json"}</w:instrText>
      </w:r>
      <w:r w:rsidRPr="00F30696">
        <w:rPr>
          <w:b/>
          <w:i/>
          <w:iCs/>
          <w:u w:val="single"/>
          <w:shd w:val="clear" w:color="auto" w:fill="FFFFFF"/>
        </w:rPr>
        <w:fldChar w:fldCharType="separate"/>
      </w:r>
      <w:r w:rsidRPr="00947134">
        <w:rPr>
          <w:iCs/>
          <w:noProof/>
          <w:shd w:val="clear" w:color="auto" w:fill="FFFFFF"/>
        </w:rPr>
        <w:t>[84]</w:t>
      </w:r>
      <w:r w:rsidRPr="00F30696">
        <w:rPr>
          <w:b/>
          <w:i/>
          <w:iCs/>
          <w:u w:val="single"/>
          <w:shd w:val="clear" w:color="auto" w:fill="FFFFFF"/>
        </w:rPr>
        <w:fldChar w:fldCharType="end"/>
      </w:r>
      <w:r w:rsidRPr="00F30696">
        <w:rPr>
          <w:i/>
          <w:iCs/>
          <w:u w:val="single"/>
          <w:shd w:val="clear" w:color="auto" w:fill="FFFFFF"/>
        </w:rPr>
        <w:t xml:space="preserve"> </w:t>
      </w:r>
    </w:p>
    <w:p w14:paraId="2B72683C"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Дифференциальная диагностика гематологических заболеваний: острых и хронических лейкозов</w:t>
      </w:r>
      <w:r w:rsidRPr="002C6FFD">
        <w:rPr>
          <w:rFonts w:cs="Times New Roman"/>
          <w:spacing w:val="0"/>
        </w:rPr>
        <w:t xml:space="preserve">, </w:t>
      </w:r>
      <w:r w:rsidRPr="002C6FFD">
        <w:rPr>
          <w:rFonts w:cs="Times New Roman"/>
          <w:spacing w:val="0"/>
          <w:shd w:val="clear" w:color="auto" w:fill="FFFFFF"/>
        </w:rPr>
        <w:t>миелодиспластических синдромов, миелопролиферативных и лимфопролиферативных заболеваний, множественной миеломы и других плазмоклеточных заболеваний, апластической анемии, идиопатической тромбоцитопенической пурпуры.</w:t>
      </w:r>
    </w:p>
    <w:p w14:paraId="5F1592BF"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цитопении (одно-, двухростковой или панцитопении) невыясненной этиологии.</w:t>
      </w:r>
    </w:p>
    <w:p w14:paraId="59AB9821"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наличии незрелых клеток в периферической крови, особенно бластов; при лейкоцитозе невыясненной этиологии; при моноклональной гаммапатии.</w:t>
      </w:r>
    </w:p>
    <w:p w14:paraId="26F815A9"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Оценка миелопоэза при макроцитарной анемии (вследствие недостаточного поступления или нарушения всасывания таких веществ как медь, цинк, витамин B</w:t>
      </w:r>
      <w:r w:rsidRPr="002C6FFD">
        <w:rPr>
          <w:rFonts w:cs="Times New Roman"/>
          <w:spacing w:val="0"/>
          <w:shd w:val="clear" w:color="auto" w:fill="FFFFFF"/>
          <w:vertAlign w:val="subscript"/>
        </w:rPr>
        <w:t>12</w:t>
      </w:r>
      <w:r w:rsidRPr="002C6FFD">
        <w:rPr>
          <w:rFonts w:cs="Times New Roman"/>
          <w:spacing w:val="0"/>
          <w:shd w:val="clear" w:color="auto" w:fill="FFFFFF"/>
        </w:rPr>
        <w:t xml:space="preserve"> или фолиевая кислота).</w:t>
      </w:r>
    </w:p>
    <w:p w14:paraId="1663CEE9"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 xml:space="preserve">Дифференциальная диагностика при лихорадке неясного генеза в сочетании с увеличением </w:t>
      </w:r>
      <w:r w:rsidRPr="002C6FFD">
        <w:rPr>
          <w:rFonts w:cs="Times New Roman"/>
          <w:color w:val="auto"/>
          <w:spacing w:val="0"/>
          <w:shd w:val="clear" w:color="auto" w:fill="FFFFFF"/>
        </w:rPr>
        <w:t>размеров</w:t>
      </w:r>
      <w:r w:rsidRPr="002C6FFD">
        <w:rPr>
          <w:rFonts w:cs="Times New Roman"/>
          <w:spacing w:val="0"/>
          <w:shd w:val="clear" w:color="auto" w:fill="FFFFFF"/>
        </w:rPr>
        <w:t xml:space="preserve"> селезенки и/или лимфоузлов или без их увеличения.</w:t>
      </w:r>
    </w:p>
    <w:p w14:paraId="0E05844F"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Мониторинг эффективности лечения различных заболеваний системы крови.</w:t>
      </w:r>
    </w:p>
    <w:p w14:paraId="04B17F01"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Оценка восстановления гемопоэза после трансплантации гемопоэтический стволовых клеток (ТГСК).</w:t>
      </w:r>
    </w:p>
    <w:p w14:paraId="2861F499"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 xml:space="preserve">В составе комплексного обследования при негематологических заболеваниях, например, у больных с </w:t>
      </w:r>
      <w:r w:rsidRPr="002C6FFD">
        <w:rPr>
          <w:rFonts w:cs="Times New Roman"/>
          <w:spacing w:val="0"/>
        </w:rPr>
        <w:t xml:space="preserve">ВИЧ-инфекцией </w:t>
      </w:r>
      <w:r w:rsidRPr="002C6FFD">
        <w:rPr>
          <w:rFonts w:cs="Times New Roman"/>
          <w:spacing w:val="0"/>
          <w:shd w:val="clear" w:color="auto" w:fill="FFFFFF"/>
        </w:rPr>
        <w:t>и СПИДом.</w:t>
      </w:r>
    </w:p>
    <w:p w14:paraId="50F16401"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Дифференциальная диагностика болезней накопления и других метаболических заболеваний.</w:t>
      </w:r>
    </w:p>
    <w:p w14:paraId="57964CB5"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rPr>
        <w:t>Определение степени повреждения костного мозга у пациентов, подвергшихся воздействию радиации, наркотиков, химических веществ и других миелотоксических веществ (в том числе лекарственных средств).</w:t>
      </w:r>
    </w:p>
    <w:p w14:paraId="3C09AD7F"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Диагностика (иногда, в составе комплексной диагностики) железодефицитной анемии, полицитемии, тромбоцитозов и инфекционного мононуклеоза.</w:t>
      </w:r>
    </w:p>
    <w:p w14:paraId="5A51B0A2" w14:textId="77777777" w:rsidR="00947134" w:rsidRPr="002C6FFD" w:rsidRDefault="00947134" w:rsidP="00947134">
      <w:pPr>
        <w:rPr>
          <w:rFonts w:cs="Times New Roman"/>
          <w:szCs w:val="24"/>
        </w:rPr>
      </w:pPr>
      <w:r w:rsidRPr="002C6FFD">
        <w:rPr>
          <w:rFonts w:cs="Times New Roman"/>
          <w:szCs w:val="24"/>
        </w:rPr>
        <w:t>При невозможности получить при пункции костного мозга адекватный диагностический материал («сухой» аспират), после повторной попытки показано выполнение трепанобиопсии костного мозга с приготовление отпечатков трепанобиоптата.</w:t>
      </w:r>
    </w:p>
    <w:p w14:paraId="0AF22C58" w14:textId="77777777" w:rsidR="00947134" w:rsidRDefault="00947134" w:rsidP="00947134">
      <w:pPr>
        <w:pStyle w:val="2"/>
        <w:spacing w:before="0"/>
        <w:rPr>
          <w:rFonts w:eastAsia="Arial Unicode MS"/>
          <w:shd w:val="clear" w:color="auto" w:fill="FFFFFF"/>
        </w:rPr>
      </w:pPr>
    </w:p>
    <w:p w14:paraId="079BD841" w14:textId="328916E9" w:rsidR="00947134" w:rsidRPr="00F30696" w:rsidRDefault="00947134" w:rsidP="00947134">
      <w:pPr>
        <w:rPr>
          <w:b/>
          <w:i/>
          <w:iCs/>
          <w:u w:val="single"/>
          <w:shd w:val="clear" w:color="auto" w:fill="FFFFFF"/>
        </w:rPr>
      </w:pPr>
      <w:r w:rsidRPr="00F30696">
        <w:rPr>
          <w:i/>
          <w:iCs/>
          <w:u w:val="single"/>
          <w:shd w:val="clear" w:color="auto" w:fill="FFFFFF"/>
        </w:rPr>
        <w:t xml:space="preserve">Показания к выполнению биопсийного исследования костного мозга (трепанобиопсии) </w:t>
      </w:r>
      <w:r w:rsidRPr="00F30696">
        <w:rPr>
          <w:b/>
          <w:i/>
          <w:iCs/>
          <w:u w:val="single"/>
          <w:shd w:val="clear" w:color="auto" w:fill="FFFFFF"/>
        </w:rPr>
        <w:fldChar w:fldCharType="begin" w:fldLock="1"/>
      </w:r>
      <w:r w:rsidR="00CE1363">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[84]","plainTextFormattedCitation":"[84]","previouslyFormattedCitation":"[84]"},"properties":{"noteIndex":0},"schema":"https://github.com/citation-style-language/schema/raw/master/csl-citation.json"}</w:instrText>
      </w:r>
      <w:r w:rsidRPr="00F30696">
        <w:rPr>
          <w:b/>
          <w:i/>
          <w:iCs/>
          <w:u w:val="single"/>
          <w:shd w:val="clear" w:color="auto" w:fill="FFFFFF"/>
        </w:rPr>
        <w:fldChar w:fldCharType="separate"/>
      </w:r>
      <w:r w:rsidRPr="00947134">
        <w:rPr>
          <w:iCs/>
          <w:noProof/>
          <w:shd w:val="clear" w:color="auto" w:fill="FFFFFF"/>
        </w:rPr>
        <w:t>[84]</w:t>
      </w:r>
      <w:r w:rsidRPr="00F30696">
        <w:rPr>
          <w:b/>
          <w:i/>
          <w:iCs/>
          <w:u w:val="single"/>
          <w:shd w:val="clear" w:color="auto" w:fill="FFFFFF"/>
        </w:rPr>
        <w:fldChar w:fldCharType="end"/>
      </w:r>
    </w:p>
    <w:p w14:paraId="00C3F681"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 xml:space="preserve">Диагностика и </w:t>
      </w:r>
      <w:r w:rsidRPr="002C6FFD">
        <w:rPr>
          <w:rFonts w:cs="Times New Roman"/>
          <w:spacing w:val="0"/>
        </w:rPr>
        <w:t>определение распространенности (стадии) при первичной диагностике и/или при рецидиве заболевания</w:t>
      </w:r>
      <w:r w:rsidRPr="002C6FFD">
        <w:rPr>
          <w:rFonts w:cs="Times New Roman"/>
          <w:spacing w:val="0"/>
          <w:shd w:val="clear" w:color="auto" w:fill="FFFFFF"/>
        </w:rPr>
        <w:t xml:space="preserve">, а также оценка эффективности терапии при  различных онкогематологических заболеваниях (лимфопролиферативные заболевания, в том числе хронический лимфолейкоз, лимфома Ходжкина и неходжкинские лимфомы, волосатоклеточный лейкоз; хронические миелопролиферативные заболевания, в том числе </w:t>
      </w:r>
      <w:r w:rsidRPr="002C6FFD">
        <w:rPr>
          <w:rFonts w:cs="Times New Roman"/>
          <w:spacing w:val="0"/>
        </w:rPr>
        <w:t xml:space="preserve">истинная полицитемия, эссенциальная тромбоцитемия, первичный миелофиброз, системный мастоцитоз;  </w:t>
      </w:r>
      <w:r w:rsidRPr="002C6FFD">
        <w:rPr>
          <w:rFonts w:cs="Times New Roman"/>
          <w:spacing w:val="0"/>
          <w:shd w:val="clear" w:color="auto" w:fill="FFFFFF"/>
        </w:rPr>
        <w:t>множественная миелома и прочие плазмоклеточноые неоплазии).</w:t>
      </w:r>
    </w:p>
    <w:p w14:paraId="78D471E0"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Диагностика и оценка эффективности лечения апластической анемии, миелодиспластических синдромов, идиопатической тромбоцитопенической пурпуры, острых лейкозов и при других гематологических заболеваниях/состояниях.</w:t>
      </w:r>
    </w:p>
    <w:p w14:paraId="0921955E" w14:textId="77777777" w:rsidR="00947134" w:rsidRPr="002C6FFD" w:rsidRDefault="00947134" w:rsidP="0051317D">
      <w:pPr>
        <w:pStyle w:val="bullet"/>
        <w:numPr>
          <w:ilvl w:val="0"/>
          <w:numId w:val="88"/>
        </w:numPr>
        <w:spacing w:line="360" w:lineRule="auto"/>
        <w:jc w:val="both"/>
        <w:rPr>
          <w:rFonts w:cs="Times New Roman"/>
          <w:spacing w:val="0"/>
        </w:rPr>
      </w:pPr>
      <w:r w:rsidRPr="002C6FFD">
        <w:rPr>
          <w:rFonts w:cs="Times New Roman"/>
          <w:spacing w:val="0"/>
        </w:rPr>
        <w:t>Диагностика, определение распространенности (стадии),</w:t>
      </w:r>
      <w:r w:rsidRPr="002C6FFD">
        <w:rPr>
          <w:rFonts w:cs="Times New Roman"/>
          <w:spacing w:val="0"/>
          <w:shd w:val="clear" w:color="auto" w:fill="FFFFFF"/>
        </w:rPr>
        <w:t xml:space="preserve"> оценка метастатического поражения</w:t>
      </w:r>
      <w:r w:rsidRPr="002C6FFD">
        <w:rPr>
          <w:rFonts w:cs="Times New Roman"/>
          <w:spacing w:val="0"/>
        </w:rPr>
        <w:t xml:space="preserve"> и эффекта лечения солидных опухолей (нейробластома, рабдомиосаркома, примитивные нейроэктодермальные опухоли, саркома Юинга и другие).</w:t>
      </w:r>
    </w:p>
    <w:p w14:paraId="686BE0E2"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Мониторинг эффективности лечения или оценки прогрессирования заболеваний системы крови.</w:t>
      </w:r>
    </w:p>
    <w:p w14:paraId="0D9F1E9D"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 xml:space="preserve">Оценка миелопоэза до и после выполнения трансплантации костного мозга / гемопоэтических стволовых клеток (ТКМ / ТГСК). </w:t>
      </w:r>
    </w:p>
    <w:p w14:paraId="2C661EB7"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rPr>
        <w:t>Обследование больных с предполагаемым первичным амилоидозом и заболеваниями костной ткани.</w:t>
      </w:r>
    </w:p>
    <w:p w14:paraId="64B5165D"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цитопении, тромбоцитозе, лейкоцитозе, анемии, изменениях состава лейкоцитов (лейкоцитарная формула), и для диагностики перегрузки железом.</w:t>
      </w:r>
    </w:p>
    <w:p w14:paraId="1227DD5B"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и вовлечения костного мозга при инфекционных заболеваниях (например, при грибковых, микобактериальных инфекциях, в том числе при туберкулезе и других гранулематозных процессах, в также при гистоплазмозе и лейшманиозе).</w:t>
      </w:r>
    </w:p>
    <w:p w14:paraId="1E63B14B"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и вовлечения костного мозга при болезнях накопления (например, болезнь Нимана—Пика и болезнь Гоше) и гранулематозных заболеваниях (например, саркоидоз).</w:t>
      </w:r>
    </w:p>
    <w:p w14:paraId="71955DCA" w14:textId="77777777" w:rsidR="00947134" w:rsidRDefault="00947134" w:rsidP="00947134">
      <w:pPr>
        <w:pStyle w:val="2"/>
        <w:spacing w:before="0"/>
        <w:rPr>
          <w:rFonts w:eastAsia="Arial Unicode MS"/>
        </w:rPr>
      </w:pPr>
    </w:p>
    <w:p w14:paraId="0A3BFC88" w14:textId="613FD050" w:rsidR="00947134" w:rsidRPr="00F30696" w:rsidRDefault="00947134" w:rsidP="00947134">
      <w:pPr>
        <w:rPr>
          <w:b/>
          <w:i/>
          <w:iCs/>
          <w:u w:val="single"/>
          <w:shd w:val="clear" w:color="auto" w:fill="FFFFFF"/>
        </w:rPr>
      </w:pPr>
      <w:r w:rsidRPr="00F30696">
        <w:rPr>
          <w:i/>
          <w:iCs/>
          <w:u w:val="single"/>
          <w:shd w:val="clear" w:color="auto" w:fill="FFFFFF"/>
        </w:rPr>
        <w:t xml:space="preserve">Противопоказания для выполнения биопсийного исследования костного мозга </w:t>
      </w:r>
      <w:r w:rsidRPr="00F30696">
        <w:rPr>
          <w:b/>
          <w:i/>
          <w:iCs/>
          <w:u w:val="single"/>
          <w:shd w:val="clear" w:color="auto" w:fill="FFFFFF"/>
        </w:rPr>
        <w:fldChar w:fldCharType="begin" w:fldLock="1"/>
      </w:r>
      <w:r w:rsidR="00CE1363">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[84]","plainTextFormattedCitation":"[84]","previouslyFormattedCitation":"[84]"},"properties":{"noteIndex":0},"schema":"https://github.com/citation-style-language/schema/raw/master/csl-citation.json"}</w:instrText>
      </w:r>
      <w:r w:rsidRPr="00F30696">
        <w:rPr>
          <w:b/>
          <w:i/>
          <w:iCs/>
          <w:u w:val="single"/>
          <w:shd w:val="clear" w:color="auto" w:fill="FFFFFF"/>
        </w:rPr>
        <w:fldChar w:fldCharType="separate"/>
      </w:r>
      <w:r w:rsidRPr="00947134">
        <w:rPr>
          <w:iCs/>
          <w:noProof/>
          <w:shd w:val="clear" w:color="auto" w:fill="FFFFFF"/>
        </w:rPr>
        <w:t>[84]</w:t>
      </w:r>
      <w:r w:rsidRPr="00F30696">
        <w:rPr>
          <w:b/>
          <w:i/>
          <w:iCs/>
          <w:u w:val="single"/>
          <w:shd w:val="clear" w:color="auto" w:fill="FFFFFF"/>
        </w:rPr>
        <w:fldChar w:fldCharType="end"/>
      </w:r>
    </w:p>
    <w:p w14:paraId="3A53A17B" w14:textId="77777777" w:rsidR="00947134" w:rsidRPr="002C6FFD" w:rsidRDefault="00947134" w:rsidP="00947134">
      <w:pPr>
        <w:pStyle w:val="Normal11"/>
        <w:spacing w:before="0" w:line="360" w:lineRule="auto"/>
        <w:ind w:firstLine="699"/>
        <w:jc w:val="both"/>
        <w:rPr>
          <w:spacing w:val="0"/>
        </w:rPr>
      </w:pPr>
      <w:r w:rsidRPr="002C6FFD">
        <w:rPr>
          <w:spacing w:val="0"/>
        </w:rPr>
        <w:t>Аспирация костного мозга и биопсия не имеют абсолютных противопоказаний, но могут быть относительные противопоказания, связанные с общим состоянием пациента:</w:t>
      </w:r>
    </w:p>
    <w:p w14:paraId="3566CEBD" w14:textId="77777777" w:rsidR="00947134" w:rsidRPr="002C6FFD" w:rsidRDefault="00947134" w:rsidP="0051317D">
      <w:pPr>
        <w:pStyle w:val="bullet"/>
        <w:numPr>
          <w:ilvl w:val="0"/>
          <w:numId w:val="88"/>
        </w:numPr>
        <w:spacing w:line="360" w:lineRule="auto"/>
        <w:jc w:val="both"/>
        <w:rPr>
          <w:rFonts w:cs="Times New Roman"/>
          <w:spacing w:val="0"/>
        </w:rPr>
      </w:pPr>
      <w:r w:rsidRPr="002C6FFD">
        <w:rPr>
          <w:rFonts w:cs="Times New Roman"/>
          <w:spacing w:val="0"/>
        </w:rPr>
        <w:t>Раневая поверхность кожи и подлежащих тканей с признаками воспаления в месте проведения процедуры.</w:t>
      </w:r>
    </w:p>
    <w:p w14:paraId="44160772" w14:textId="77777777" w:rsidR="00947134" w:rsidRPr="002C6FFD" w:rsidRDefault="00947134" w:rsidP="0051317D">
      <w:pPr>
        <w:pStyle w:val="bullet"/>
        <w:numPr>
          <w:ilvl w:val="0"/>
          <w:numId w:val="88"/>
        </w:numPr>
        <w:spacing w:line="360" w:lineRule="auto"/>
        <w:jc w:val="both"/>
        <w:rPr>
          <w:rFonts w:cs="Times New Roman"/>
          <w:spacing w:val="0"/>
        </w:rPr>
      </w:pPr>
      <w:r w:rsidRPr="002C6FFD">
        <w:rPr>
          <w:rFonts w:cs="Times New Roman"/>
          <w:spacing w:val="0"/>
        </w:rPr>
        <w:t>Тромбоцитопения и другие коагулопатии, геморрагический синдром (выполнение процедуры возможно после купирования нарушений гемостаза и коррекции тромбоцитопении).</w:t>
      </w:r>
    </w:p>
    <w:p w14:paraId="1C2871A4"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 xml:space="preserve">При терапии антикоагулянтами и антиагрегантами, перед выполнением процедуры должны учитываться показатели коагулологических тестов. </w:t>
      </w:r>
    </w:p>
    <w:p w14:paraId="569C5028"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 xml:space="preserve">Наличие признаков резорбции кости </w:t>
      </w:r>
      <w:r w:rsidRPr="002C6FFD">
        <w:rPr>
          <w:rFonts w:cs="Times New Roman"/>
          <w:spacing w:val="0"/>
        </w:rPr>
        <w:t>в месте проведения процедуры</w:t>
      </w:r>
      <w:r w:rsidRPr="002C6FFD">
        <w:rPr>
          <w:rFonts w:cs="Times New Roman"/>
          <w:spacing w:val="0"/>
          <w:shd w:val="clear" w:color="auto" w:fill="FFFFFF"/>
        </w:rPr>
        <w:t>.</w:t>
      </w:r>
    </w:p>
    <w:p w14:paraId="45BBF57C" w14:textId="77777777" w:rsidR="00947134" w:rsidRPr="002C6FFD" w:rsidRDefault="00947134" w:rsidP="00947134">
      <w:pPr>
        <w:pStyle w:val="bullet"/>
        <w:spacing w:line="360" w:lineRule="auto"/>
        <w:ind w:firstLine="709"/>
        <w:jc w:val="both"/>
        <w:rPr>
          <w:rFonts w:cs="Times New Roman"/>
          <w:spacing w:val="0"/>
          <w:shd w:val="clear" w:color="auto" w:fill="FFFFFF"/>
        </w:rPr>
      </w:pPr>
      <w:r w:rsidRPr="002C6FFD">
        <w:rPr>
          <w:rFonts w:cs="Times New Roman"/>
          <w:spacing w:val="0"/>
          <w:shd w:val="clear" w:color="auto" w:fill="FFFFFF"/>
        </w:rPr>
        <w:t>При соматически тяжелом состоянии пациента и повышенном риске развития осложнений при амбулаторном проведении процедуры, трепанобиопсию возможно выполнить в условиях стационара.</w:t>
      </w:r>
    </w:p>
    <w:p w14:paraId="56C55F8D" w14:textId="77777777" w:rsidR="00947134" w:rsidRDefault="00947134" w:rsidP="00947134">
      <w:pPr>
        <w:pStyle w:val="2"/>
        <w:spacing w:before="0"/>
        <w:rPr>
          <w:rFonts w:eastAsia="Arial Unicode MS"/>
        </w:rPr>
      </w:pPr>
    </w:p>
    <w:p w14:paraId="6CEF8554" w14:textId="7D096FE4" w:rsidR="00947134" w:rsidRPr="00F30696" w:rsidRDefault="00947134" w:rsidP="00947134">
      <w:pPr>
        <w:rPr>
          <w:b/>
          <w:i/>
          <w:iCs/>
          <w:u w:val="single"/>
          <w:shd w:val="clear" w:color="auto" w:fill="FFFFFF"/>
        </w:rPr>
      </w:pPr>
      <w:r w:rsidRPr="00F30696">
        <w:rPr>
          <w:i/>
          <w:iCs/>
          <w:u w:val="single"/>
          <w:shd w:val="clear" w:color="auto" w:fill="FFFFFF"/>
        </w:rPr>
        <w:t xml:space="preserve">Возможные технические трудности выполнения пункционного и биопсийного исследований костного мозга </w:t>
      </w:r>
      <w:r w:rsidRPr="00F30696">
        <w:rPr>
          <w:b/>
          <w:i/>
          <w:iCs/>
          <w:u w:val="single"/>
          <w:shd w:val="clear" w:color="auto" w:fill="FFFFFF"/>
        </w:rPr>
        <w:fldChar w:fldCharType="begin" w:fldLock="1"/>
      </w:r>
      <w:r w:rsidR="00CE1363">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[84]","plainTextFormattedCitation":"[84]","previouslyFormattedCitation":"[84]"},"properties":{"noteIndex":0},"schema":"https://github.com/citation-style-language/schema/raw/master/csl-citation.json"}</w:instrText>
      </w:r>
      <w:r w:rsidRPr="00F30696">
        <w:rPr>
          <w:b/>
          <w:i/>
          <w:iCs/>
          <w:u w:val="single"/>
          <w:shd w:val="clear" w:color="auto" w:fill="FFFFFF"/>
        </w:rPr>
        <w:fldChar w:fldCharType="separate"/>
      </w:r>
      <w:r w:rsidRPr="00947134">
        <w:rPr>
          <w:iCs/>
          <w:noProof/>
          <w:shd w:val="clear" w:color="auto" w:fill="FFFFFF"/>
        </w:rPr>
        <w:t>[84]</w:t>
      </w:r>
      <w:r w:rsidRPr="00F30696">
        <w:rPr>
          <w:b/>
          <w:i/>
          <w:iCs/>
          <w:u w:val="single"/>
          <w:shd w:val="clear" w:color="auto" w:fill="FFFFFF"/>
        </w:rPr>
        <w:fldChar w:fldCharType="end"/>
      </w:r>
    </w:p>
    <w:p w14:paraId="3BDAD0F1"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Плохое качество инструментария.</w:t>
      </w:r>
    </w:p>
    <w:p w14:paraId="548E76E8"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Избыточный вес больного или большая толщина подкожно-жировой клетчатки и анатомические особенности строения грудной клетки и костей таза.</w:t>
      </w:r>
    </w:p>
    <w:p w14:paraId="78747573"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Остеопороз.</w:t>
      </w:r>
    </w:p>
    <w:p w14:paraId="26CAAE72"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Фиброз стромы.</w:t>
      </w:r>
    </w:p>
    <w:p w14:paraId="48931405" w14:textId="77777777" w:rsidR="00947134" w:rsidRDefault="00947134" w:rsidP="00947134">
      <w:pPr>
        <w:pStyle w:val="2"/>
        <w:spacing w:before="0"/>
        <w:rPr>
          <w:rFonts w:eastAsia="Arial Unicode MS"/>
        </w:rPr>
      </w:pPr>
    </w:p>
    <w:p w14:paraId="4D73DE08" w14:textId="6AB4F3EE" w:rsidR="00947134" w:rsidRPr="00F30696" w:rsidRDefault="00947134" w:rsidP="00947134">
      <w:pPr>
        <w:rPr>
          <w:b/>
          <w:i/>
          <w:iCs/>
          <w:u w:val="single"/>
          <w:shd w:val="clear" w:color="auto" w:fill="FFFFFF"/>
        </w:rPr>
      </w:pPr>
      <w:r w:rsidRPr="00F30696">
        <w:rPr>
          <w:i/>
          <w:iCs/>
          <w:u w:val="single"/>
          <w:shd w:val="clear" w:color="auto" w:fill="FFFFFF"/>
        </w:rPr>
        <w:t xml:space="preserve">Возможные осложнения пункционного и биопсийного исследований костного мозга и способы их профилактики </w:t>
      </w:r>
      <w:r w:rsidRPr="00F30696">
        <w:rPr>
          <w:b/>
          <w:i/>
          <w:iCs/>
          <w:u w:val="single"/>
          <w:shd w:val="clear" w:color="auto" w:fill="FFFFFF"/>
        </w:rPr>
        <w:fldChar w:fldCharType="begin" w:fldLock="1"/>
      </w:r>
      <w:r w:rsidR="00CE1363">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[84]","plainTextFormattedCitation":"[84]","previouslyFormattedCitation":"[84]"},"properties":{"noteIndex":0},"schema":"https://github.com/citation-style-language/schema/raw/master/csl-citation.json"}</w:instrText>
      </w:r>
      <w:r w:rsidRPr="00F30696">
        <w:rPr>
          <w:b/>
          <w:i/>
          <w:iCs/>
          <w:u w:val="single"/>
          <w:shd w:val="clear" w:color="auto" w:fill="FFFFFF"/>
        </w:rPr>
        <w:fldChar w:fldCharType="separate"/>
      </w:r>
      <w:r w:rsidRPr="00947134">
        <w:rPr>
          <w:iCs/>
          <w:noProof/>
          <w:shd w:val="clear" w:color="auto" w:fill="FFFFFF"/>
        </w:rPr>
        <w:t>[84]</w:t>
      </w:r>
      <w:r w:rsidRPr="00F30696">
        <w:rPr>
          <w:b/>
          <w:i/>
          <w:iCs/>
          <w:u w:val="single"/>
          <w:shd w:val="clear" w:color="auto" w:fill="FFFFFF"/>
        </w:rPr>
        <w:fldChar w:fldCharType="end"/>
      </w:r>
    </w:p>
    <w:p w14:paraId="7119A70E"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Кровотечение (раннее и/или отсроченное), особенно при тромбоцитопении и/или наличии нарушений свертывания крови.</w:t>
      </w:r>
    </w:p>
    <w:p w14:paraId="002AAF3D"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Инфекция, особенно в условиях иммунодефицита и нейтропении.</w:t>
      </w:r>
    </w:p>
    <w:p w14:paraId="0091610D"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Длительный болевой синдром и дискомфорт в месте биопсии.</w:t>
      </w:r>
    </w:p>
    <w:p w14:paraId="6444D171"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Переломы кости.</w:t>
      </w:r>
    </w:p>
    <w:p w14:paraId="3F23BA39"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Поломка инструмента.</w:t>
      </w:r>
    </w:p>
    <w:p w14:paraId="58ABF785"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Сквозное ранение органов средостения при выполнение стернальной пункции.</w:t>
      </w:r>
    </w:p>
    <w:p w14:paraId="584388D9" w14:textId="77777777" w:rsidR="00947134" w:rsidRPr="002C6FFD" w:rsidRDefault="00947134" w:rsidP="0051317D">
      <w:pPr>
        <w:pStyle w:val="bullet"/>
        <w:numPr>
          <w:ilvl w:val="0"/>
          <w:numId w:val="88"/>
        </w:numPr>
        <w:spacing w:line="360" w:lineRule="auto"/>
        <w:jc w:val="both"/>
        <w:rPr>
          <w:rFonts w:cs="Times New Roman"/>
          <w:spacing w:val="0"/>
          <w:shd w:val="clear" w:color="auto" w:fill="FFFFFF"/>
        </w:rPr>
      </w:pPr>
      <w:r w:rsidRPr="002C6FFD">
        <w:rPr>
          <w:rFonts w:cs="Times New Roman"/>
          <w:spacing w:val="0"/>
          <w:shd w:val="clear" w:color="auto" w:fill="FFFFFF"/>
        </w:rPr>
        <w:t>Анафилактические реакции (на анестетики).</w:t>
      </w:r>
    </w:p>
    <w:p w14:paraId="31E5DD60" w14:textId="77777777" w:rsidR="00947134" w:rsidRPr="002C6FFD" w:rsidRDefault="00947134" w:rsidP="00947134">
      <w:pPr>
        <w:ind w:firstLine="708"/>
        <w:rPr>
          <w:rFonts w:cs="Times New Roman"/>
          <w:szCs w:val="24"/>
        </w:rPr>
      </w:pPr>
    </w:p>
    <w:p w14:paraId="5A6A7EF8" w14:textId="77777777" w:rsidR="00947134" w:rsidRPr="002C6FFD" w:rsidRDefault="00947134" w:rsidP="00947134">
      <w:pPr>
        <w:ind w:firstLine="708"/>
        <w:rPr>
          <w:rFonts w:cs="Times New Roman"/>
          <w:szCs w:val="24"/>
        </w:rPr>
      </w:pPr>
      <w:r w:rsidRPr="002C6FFD">
        <w:rPr>
          <w:rFonts w:cs="Times New Roman"/>
          <w:szCs w:val="24"/>
        </w:rPr>
        <w:t>При выполнении стернальной пункции, из-за тонкой структуры кости грудины в области пункции (толщина ~ 1 см у взрослых), возможно сквозное проникновение в средостение с возможным повреждением органов средостения и развитием медиастинита, пневмоторакса, травмы и тампонады сердца. Для профилактики данного осложнения необходимо использовать стернальные иглы с ограничителем.</w:t>
      </w:r>
    </w:p>
    <w:p w14:paraId="4295DACB" w14:textId="77777777" w:rsidR="00947134" w:rsidRPr="002C6FFD" w:rsidRDefault="00947134" w:rsidP="00947134">
      <w:pPr>
        <w:ind w:firstLine="708"/>
        <w:rPr>
          <w:rFonts w:cs="Times New Roman"/>
          <w:color w:val="1A1718"/>
          <w:szCs w:val="24"/>
        </w:rPr>
      </w:pPr>
      <w:r w:rsidRPr="002C6FFD">
        <w:rPr>
          <w:rFonts w:cs="Times New Roman"/>
          <w:color w:val="212121"/>
          <w:szCs w:val="24"/>
        </w:rPr>
        <w:t xml:space="preserve">Ряд осложнений может быть обусловлен некоторыми анатомическими особенностями больного. </w:t>
      </w:r>
      <w:r w:rsidRPr="002C6FFD">
        <w:rPr>
          <w:rFonts w:cs="Times New Roman"/>
          <w:szCs w:val="24"/>
        </w:rPr>
        <w:t>Так у больных с ожирением выше вероятность развития осложнений, т</w:t>
      </w:r>
      <w:r w:rsidRPr="002C6FFD">
        <w:rPr>
          <w:rFonts w:cs="Times New Roman"/>
          <w:color w:val="212121"/>
          <w:szCs w:val="24"/>
        </w:rPr>
        <w:t xml:space="preserve">акже осложнять проведение процедуры могут сопутствующие заболевания, влияющие на плотность костной ткани (например, остеопороз и резорбция </w:t>
      </w:r>
      <w:r w:rsidRPr="002C6FFD">
        <w:rPr>
          <w:rFonts w:cs="Times New Roman"/>
          <w:szCs w:val="24"/>
        </w:rPr>
        <w:t xml:space="preserve">кости). Для минимизации риска развития локальных и генерализованных инфекций, необходимо использовать только стерильный инструмент и строго соблюдать все правила асептики и антисептики. </w:t>
      </w:r>
      <w:r w:rsidRPr="002C6FFD">
        <w:rPr>
          <w:rFonts w:cs="Times New Roman"/>
          <w:color w:val="1A1718"/>
          <w:szCs w:val="24"/>
        </w:rPr>
        <w:t>Основными способами профилактики геморрагических осложнений является коррекция тромбоцитопении и коагулологических нарушений перед выполнением процедуры и контроль параметров гемостаза и состояния больного в раннем периоде после биопсии. При своевременном грамотном вмешательстве осложнения процедур исследования костного мозга (пункция, биопсия) курабельны.</w:t>
      </w:r>
    </w:p>
    <w:p w14:paraId="09F76A67" w14:textId="77777777" w:rsidR="00947134" w:rsidRPr="002C6FFD" w:rsidRDefault="00947134" w:rsidP="00947134">
      <w:pPr>
        <w:ind w:firstLine="708"/>
        <w:rPr>
          <w:rFonts w:cs="Times New Roman"/>
          <w:color w:val="000000"/>
          <w:szCs w:val="24"/>
        </w:rPr>
      </w:pPr>
      <w:r w:rsidRPr="002C6FFD">
        <w:rPr>
          <w:rFonts w:cs="Times New Roman"/>
          <w:szCs w:val="24"/>
        </w:rPr>
        <w:t xml:space="preserve">При развитии осложнений биопсийного исследования необходимо связаться с врачом, выполнившим процедуру, тактика терапии осложнения должна быть согласована с гематологом. </w:t>
      </w:r>
    </w:p>
    <w:p w14:paraId="73B99DEC" w14:textId="77777777" w:rsidR="00947134" w:rsidRDefault="00947134" w:rsidP="00947134">
      <w:pPr>
        <w:pStyle w:val="2"/>
        <w:spacing w:before="0"/>
        <w:rPr>
          <w:rFonts w:eastAsia="Arial Unicode MS"/>
        </w:rPr>
      </w:pPr>
    </w:p>
    <w:p w14:paraId="32EC62E4" w14:textId="77777777" w:rsidR="00947134" w:rsidRPr="00F30696" w:rsidRDefault="00947134" w:rsidP="00947134">
      <w:pPr>
        <w:rPr>
          <w:b/>
          <w:i/>
          <w:iCs/>
          <w:u w:val="single"/>
          <w:shd w:val="clear" w:color="auto" w:fill="FFFFFF"/>
        </w:rPr>
      </w:pPr>
      <w:r w:rsidRPr="00F30696">
        <w:rPr>
          <w:i/>
          <w:iCs/>
          <w:u w:val="single"/>
          <w:shd w:val="clear" w:color="auto" w:fill="FFFFFF"/>
        </w:rPr>
        <w:t>Односторонняя и двусторонняя биопсия подвздошной кости</w:t>
      </w:r>
    </w:p>
    <w:p w14:paraId="319A9DEB" w14:textId="5D44AD58" w:rsidR="00947134" w:rsidRPr="002C6FFD" w:rsidRDefault="00947134" w:rsidP="00947134">
      <w:pPr>
        <w:pStyle w:val="Normal11"/>
        <w:spacing w:before="0" w:line="360" w:lineRule="auto"/>
        <w:ind w:left="0" w:firstLine="699"/>
        <w:jc w:val="both"/>
        <w:rPr>
          <w:spacing w:val="0"/>
        </w:rPr>
      </w:pPr>
      <w:r w:rsidRPr="002C6FFD">
        <w:rPr>
          <w:spacing w:val="0"/>
        </w:rPr>
        <w:t>Выполнение двусторонней биопсии подвздошной кости увеличивает вероятность выявления очаговых поражений костного мозга при подозрении на метастатическое поражение при солидных опухолях, лимфопролиферативных заболеваниях, которые при односторонней биопсии могут быть не выявлены. Выполнение билатерального биопсийного исследования костного мозга также показано для более детальной оценки клеточности и наличия фиброза стромы при диагностике апластической анемии и миелодиспластических синдромов</w:t>
      </w:r>
      <w:r>
        <w:rPr>
          <w:spacing w:val="0"/>
        </w:rPr>
        <w:t xml:space="preserve"> </w:t>
      </w:r>
      <w:r>
        <w:rPr>
          <w:spacing w:val="0"/>
        </w:rPr>
        <w:fldChar w:fldCharType="begin" w:fldLock="1"/>
      </w:r>
      <w:r w:rsidR="00CE1363">
        <w:rPr>
          <w:spacing w:val="0"/>
        </w:rPr>
        <w:instrText>ADDIN CSL_CITATION {"citationItems":[{"id":"ITEM-1","itemData":{"DOI":"10.1002/cncr.10364","ISSN":"0008543X","PMID":"11920510","abstract":"BACKGROUND. To retrospectively evaluate the significance of morphologic examination and ancillary studies performed on bilateral bone marrow biopsy specimens, 1864 bone marrow samples were studied. METHODS. Bilateral bone marrow biopsy specimens included 883 specimens that were evaluated for involvement by non-Hodgkin lymphoma (NHL); 381 specimens that were evaluated for involvement by carcinoma (CA); 362 specimens that were evaluated for involvement by Hodgkin disease (HD); 94 specimens that were evaluated for involvement by sarcoma (SA); 56 specimens that were evaluated for involvement by multiple myeloma (MM); 53 specimens that were evaluated for involvement by acute and chronic leukemia, myelodysplasia, and/or myeloproliferative disorders (LEUK); and 35 specimens that were evaluated for other reasons. RESULTS. Of all 1864 specimens, 410 samples (22.0%) were positive for disease, including 77% of MM samples, 58% of LEUK samples, 29.6% of NHL samples, 14% of SA samples, 9.9% of HD samples, and 6.8% of CA samples. A discrepancy between the left and right sides was identified in 48 specimens (11.7% of positive samples). The discrepancy rate was 39% for HD samples, 29% for SA samples, 23% for CA samples, and 9.2% for NHL samples. No morphologic discrepancies between bilateral samples were found in MM samples or LEUK samples. Bilateral flow cytometric studies (n = 113 samples) were positive in 11 samples (9.7%; all morphologically positive), with two discrepancies detected between bilateral samples. Bilateral cytogenetic studies (n = 74 samples) were positive in 5 samples (7%), and there were no discrepancies. Bilateral molecular studies (n = 16 samples)were positive in 7 samples (44%), and there were 3 discrepancies. CONCLUSIONS. Bilateral morphologic evaluation is useful in the evaluation of patients with NHL, HD, CA, and SA and is not indicated for patients with acute or chronic leukemia, myelodysplasia, MM, and other diseases. Bilateral flow cytomettic or cytogenetic studies of bone marrow did not provide additional information in this population to justify bilateral samples. The role of bilateral molecular analysis needs to be defined further, but pooled samples for molecular studies may be adequate. © 2002 American Cancer Society.","author":[{"dropping-particle":"","family":"Wang","given":"Jun","non-dropping-particle":"","parse-names":false,"suffix":""},{"dropping-particle":"","family":"Weiss","given":"Lawrence M.","non-dropping-particle":"","parse-names":false,"suffix":""},{"dropping-particle":"","family":"Chang","given":"Karen L.","non-dropping-particle":"","parse-names":false,"suffix":""},{"dropping-particle":"","family":"Slovak","given":"Marilyn L.","non-dropping-particle":"","parse-names":false,"suffix":""},{"dropping-particle":"","family":"Gaal","given":"Karl","non-dropping-particle":"","parse-names":false,"suffix":""},{"dropping-particle":"","family":"Forman","given":"Stephen J.","non-dropping-particle":"","parse-names":false,"suffix":""},{"dropping-particle":"","family":"Arber","given":"Daniel A.","non-dropping-particle":"","parse-names":false,"suffix":""}],"container-title":"Cancer","id":"ITEM-1","issue":"5","issued":{"date-parts":[["2002","3","1"]]},"page":"1522-1531","publisher":"Cancer","title":"Diagnostic utility of bilateral bone marrow examination: Significance of morphologic and ancillary technique study in malignancy","type":"article-journal","volume":"94"},"uris":["http://www.mendeley.com/documents/?uuid=a4dddfa3-ad50-3935-9640-ea89d6a1fc11"]}],"mendeley":{"formattedCitation":"[85]","plainTextFormattedCitation":"[85]","previouslyFormattedCitation":"[85]"},"properties":{"noteIndex":0},"schema":"https://github.com/citation-style-language/schema/raw/master/csl-citation.json"}</w:instrText>
      </w:r>
      <w:r>
        <w:rPr>
          <w:spacing w:val="0"/>
        </w:rPr>
        <w:fldChar w:fldCharType="separate"/>
      </w:r>
      <w:r w:rsidRPr="00947134">
        <w:rPr>
          <w:noProof/>
          <w:spacing w:val="0"/>
        </w:rPr>
        <w:t>[85]</w:t>
      </w:r>
      <w:r>
        <w:rPr>
          <w:spacing w:val="0"/>
        </w:rPr>
        <w:fldChar w:fldCharType="end"/>
      </w:r>
      <w:r w:rsidRPr="002C6FFD">
        <w:rPr>
          <w:spacing w:val="0"/>
        </w:rPr>
        <w:t xml:space="preserve">. </w:t>
      </w:r>
    </w:p>
    <w:p w14:paraId="13A91917" w14:textId="77777777" w:rsidR="00947134" w:rsidRPr="002C6FFD" w:rsidRDefault="00947134" w:rsidP="00947134">
      <w:pPr>
        <w:pStyle w:val="Normal11"/>
        <w:spacing w:before="0" w:line="360" w:lineRule="auto"/>
        <w:ind w:left="0" w:firstLine="699"/>
        <w:jc w:val="both"/>
        <w:rPr>
          <w:spacing w:val="0"/>
        </w:rPr>
      </w:pPr>
      <w:r w:rsidRPr="002C6FFD">
        <w:rPr>
          <w:spacing w:val="0"/>
        </w:rPr>
        <w:t>Выполнение одностороннего биопсийного исследования подвздошной кости считался достаточным в большинстве случаев при множественной миеломе и хронических миелопролиферативных заболеваниях.</w:t>
      </w:r>
    </w:p>
    <w:p w14:paraId="59343D3A" w14:textId="77777777" w:rsidR="00947134" w:rsidRPr="002C6FFD" w:rsidRDefault="00947134" w:rsidP="00947134">
      <w:pPr>
        <w:ind w:firstLine="699"/>
        <w:rPr>
          <w:rFonts w:cs="Times New Roman"/>
          <w:szCs w:val="24"/>
        </w:rPr>
      </w:pPr>
      <w:r w:rsidRPr="002C6FFD">
        <w:rPr>
          <w:rFonts w:cs="Times New Roman"/>
          <w:szCs w:val="24"/>
        </w:rPr>
        <w:t xml:space="preserve">В настоящее время, с учетом применения в диагностике и стадировании лимфом позитронно-эмиссионной томографии (ПЭТ), с возможностью оценки ПЭТ-позитивного вовлечения костной ткани, указывающего на наличие поражения костного мозга, билатеральная биопсия при лимфомах, возможно, будет выполняться реже. </w:t>
      </w:r>
    </w:p>
    <w:p w14:paraId="441DCAEA" w14:textId="77777777" w:rsidR="00947134" w:rsidRDefault="00947134" w:rsidP="00947134">
      <w:pPr>
        <w:pStyle w:val="2"/>
        <w:spacing w:before="0"/>
        <w:rPr>
          <w:rFonts w:eastAsia="Arial Unicode MS"/>
        </w:rPr>
      </w:pPr>
    </w:p>
    <w:p w14:paraId="45FE3B9D" w14:textId="77777777" w:rsidR="00947134" w:rsidRPr="008E213C" w:rsidRDefault="00947134" w:rsidP="00947134">
      <w:pPr>
        <w:rPr>
          <w:b/>
          <w:i/>
          <w:iCs/>
          <w:u w:val="single"/>
          <w:shd w:val="clear" w:color="auto" w:fill="FFFFFF"/>
        </w:rPr>
      </w:pPr>
      <w:r w:rsidRPr="008E213C">
        <w:rPr>
          <w:i/>
          <w:iCs/>
          <w:u w:val="single"/>
          <w:shd w:val="clear" w:color="auto" w:fill="FFFFFF"/>
        </w:rPr>
        <w:t>Необходимая документация</w:t>
      </w:r>
    </w:p>
    <w:p w14:paraId="4541D040" w14:textId="77777777" w:rsidR="00947134" w:rsidRPr="002C6FFD" w:rsidRDefault="00947134" w:rsidP="00947134">
      <w:pPr>
        <w:pStyle w:val="Normal11"/>
        <w:spacing w:before="0" w:line="360" w:lineRule="auto"/>
        <w:ind w:firstLine="699"/>
        <w:jc w:val="both"/>
        <w:rPr>
          <w:color w:val="212121"/>
          <w:spacing w:val="0"/>
        </w:rPr>
      </w:pPr>
      <w:r w:rsidRPr="002C6FFD">
        <w:rPr>
          <w:spacing w:val="0"/>
        </w:rPr>
        <w:t>Перед началом выполнения процедуры пациенту (доверенному лицу или опекуну) врач объясняет показания для ее выполнения, ожидаемые результаты и возможные осложнения</w:t>
      </w:r>
      <w:r w:rsidRPr="002C6FFD">
        <w:rPr>
          <w:color w:val="212121"/>
          <w:spacing w:val="0"/>
        </w:rPr>
        <w:t xml:space="preserve"> и риски (включая риск инфицирования, кровотечения, болевого синдрома, образования рубцов и вероятность получения неинформативного материала)</w:t>
      </w:r>
      <w:r w:rsidRPr="002C6FFD">
        <w:rPr>
          <w:spacing w:val="0"/>
        </w:rPr>
        <w:t xml:space="preserve">, отвечает на возникающие у больного вопросы. После этого пациент (доверенное лицо или опекун) подписывает информированное согласие, которое прилагается к медицинской документации и протоколу выполнения процедуры. </w:t>
      </w:r>
      <w:r w:rsidRPr="002C6FFD">
        <w:rPr>
          <w:color w:val="212121"/>
          <w:spacing w:val="0"/>
        </w:rPr>
        <w:t xml:space="preserve">Факт выполнения процедуры фиксируется в процедурном журнале за подписью врача, выполнявшего процедуру с указанием даты, времени, вида и </w:t>
      </w:r>
      <w:r w:rsidRPr="002C6FFD">
        <w:rPr>
          <w:spacing w:val="0"/>
        </w:rPr>
        <w:t xml:space="preserve">локуса </w:t>
      </w:r>
      <w:r w:rsidRPr="002C6FFD">
        <w:rPr>
          <w:color w:val="212121"/>
          <w:spacing w:val="0"/>
        </w:rPr>
        <w:t>биопсийного исследования и возникших осложнений процедуры.</w:t>
      </w:r>
    </w:p>
    <w:p w14:paraId="08DEF567" w14:textId="77777777" w:rsidR="00947134" w:rsidRDefault="00947134" w:rsidP="00947134">
      <w:pPr>
        <w:pStyle w:val="2"/>
        <w:spacing w:before="0"/>
        <w:rPr>
          <w:rFonts w:eastAsia="Arial Unicode MS"/>
        </w:rPr>
      </w:pPr>
    </w:p>
    <w:p w14:paraId="6C793533" w14:textId="1FE98A2F" w:rsidR="00947134" w:rsidRPr="008E213C" w:rsidRDefault="00947134" w:rsidP="00947134">
      <w:pPr>
        <w:rPr>
          <w:b/>
          <w:i/>
          <w:iCs/>
          <w:u w:val="single"/>
          <w:shd w:val="clear" w:color="auto" w:fill="FFFFFF"/>
        </w:rPr>
      </w:pPr>
      <w:r w:rsidRPr="008E213C">
        <w:rPr>
          <w:i/>
          <w:iCs/>
          <w:u w:val="single"/>
          <w:shd w:val="clear" w:color="auto" w:fill="FFFFFF"/>
        </w:rPr>
        <w:t xml:space="preserve">Техника выполнения пункции (аспирации) костного мозга из грудины (стернальной пункции) </w:t>
      </w:r>
      <w:r w:rsidRPr="008E213C">
        <w:rPr>
          <w:b/>
          <w:i/>
          <w:iCs/>
          <w:u w:val="single"/>
          <w:shd w:val="clear" w:color="auto" w:fill="FFFFFF"/>
        </w:rPr>
        <w:fldChar w:fldCharType="begin" w:fldLock="1"/>
      </w:r>
      <w:r w:rsidR="00CE1363">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[84]","plainTextFormattedCitation":"[84]","previouslyFormattedCitation":"[84]"},"properties":{"noteIndex":0},"schema":"https://github.com/citation-style-language/schema/raw/master/csl-citation.json"}</w:instrText>
      </w:r>
      <w:r w:rsidRPr="008E213C">
        <w:rPr>
          <w:b/>
          <w:i/>
          <w:iCs/>
          <w:u w:val="single"/>
          <w:shd w:val="clear" w:color="auto" w:fill="FFFFFF"/>
        </w:rPr>
        <w:fldChar w:fldCharType="separate"/>
      </w:r>
      <w:r w:rsidRPr="00947134">
        <w:rPr>
          <w:iCs/>
          <w:noProof/>
          <w:shd w:val="clear" w:color="auto" w:fill="FFFFFF"/>
        </w:rPr>
        <w:t>[84]</w:t>
      </w:r>
      <w:r w:rsidRPr="008E213C">
        <w:rPr>
          <w:b/>
          <w:i/>
          <w:iCs/>
          <w:u w:val="single"/>
          <w:shd w:val="clear" w:color="auto" w:fill="FFFFFF"/>
        </w:rPr>
        <w:fldChar w:fldCharType="end"/>
      </w:r>
    </w:p>
    <w:p w14:paraId="00FADBFE" w14:textId="68C45C59" w:rsidR="00947134" w:rsidRPr="002C6FFD" w:rsidRDefault="00947134" w:rsidP="0051317D">
      <w:pPr>
        <w:pStyle w:val="Number1"/>
        <w:numPr>
          <w:ilvl w:val="0"/>
          <w:numId w:val="89"/>
        </w:numPr>
        <w:overflowPunct/>
        <w:autoSpaceDE/>
        <w:autoSpaceDN/>
        <w:adjustRightInd/>
        <w:spacing w:before="0" w:line="360" w:lineRule="auto"/>
        <w:jc w:val="both"/>
        <w:textAlignment w:val="auto"/>
        <w:rPr>
          <w:spacing w:val="0"/>
        </w:rPr>
      </w:pPr>
      <w:r w:rsidRPr="002C6FFD">
        <w:rPr>
          <w:spacing w:val="0"/>
          <w:shd w:val="clear" w:color="auto" w:fill="FFFFFF"/>
        </w:rPr>
        <w:t>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больным препаратов (антикоагулянты и антиагреганты), наличие сопутствующих заболеваний, остеопороза. При</w:t>
      </w:r>
      <w:r w:rsidR="00073B2E">
        <w:rPr>
          <w:spacing w:val="0"/>
          <w:shd w:val="clear" w:color="auto" w:fill="FFFFFF"/>
        </w:rPr>
        <w:t xml:space="preserve"> </w:t>
      </w:r>
      <w:r w:rsidRPr="002C6FFD">
        <w:rPr>
          <w:spacing w:val="0"/>
          <w:shd w:val="clear" w:color="auto" w:fill="FFFFFF"/>
        </w:rPr>
        <w:t xml:space="preserve">невозможности выполнения местной анестезии пункция может быть выполнена как без анестезии, так и под общей анестезией. </w:t>
      </w:r>
    </w:p>
    <w:p w14:paraId="32D6597E"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spacing w:val="0"/>
        </w:rPr>
      </w:pPr>
      <w:r w:rsidRPr="002C6FFD">
        <w:rPr>
          <w:spacing w:val="0"/>
          <w:shd w:val="clear" w:color="auto" w:fill="FFFFFF"/>
        </w:rPr>
        <w:t xml:space="preserve">Тромбоцитопения не является противопоказанием для проведения пункции костного мозга, однако при наличии развернутого геморрагического синдрома желательно предварительно выполнить заместительные трансфузии тромбоконцентратов и, при необходимости, свежезамороженной плазмы и/или криопреципитата. </w:t>
      </w:r>
    </w:p>
    <w:p w14:paraId="643415C8"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spacing w:val="0"/>
        </w:rPr>
      </w:pPr>
      <w:r w:rsidRPr="002C6FFD">
        <w:rPr>
          <w:spacing w:val="0"/>
        </w:rPr>
        <w:t xml:space="preserve">Аспирация костного мозга может выполняться из </w:t>
      </w:r>
      <w:r w:rsidRPr="002C6FFD">
        <w:rPr>
          <w:spacing w:val="0"/>
          <w:shd w:val="clear" w:color="auto" w:fill="FFFFFF"/>
        </w:rPr>
        <w:t>области рукоятки грудины или тела грудины на уровне III—IV ребра, избегая область сочленения рукоятки и тела грудины (</w:t>
      </w:r>
      <w:r w:rsidRPr="002C6FFD">
        <w:rPr>
          <w:spacing w:val="0"/>
        </w:rPr>
        <w:t>по методу Аринкина</w:t>
      </w:r>
      <w:r w:rsidRPr="002C6FFD">
        <w:rPr>
          <w:spacing w:val="0"/>
          <w:shd w:val="clear" w:color="auto" w:fill="FFFFFF"/>
        </w:rPr>
        <w:t>), или из гребня подвздошной кости</w:t>
      </w:r>
      <w:r w:rsidRPr="002C6FFD">
        <w:rPr>
          <w:spacing w:val="0"/>
        </w:rPr>
        <w:t xml:space="preserve">. </w:t>
      </w:r>
    </w:p>
    <w:p w14:paraId="3D348B49"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color w:val="212121"/>
          <w:spacing w:val="0"/>
        </w:rPr>
      </w:pPr>
      <w:r w:rsidRPr="002C6FFD">
        <w:rPr>
          <w:spacing w:val="0"/>
        </w:rPr>
        <w:t>При выполнении стернальной пункции (по методу Аринкина) больного укладывают на манипуляционный стол на спину.</w:t>
      </w:r>
      <w:r w:rsidRPr="002C6FFD">
        <w:rPr>
          <w:spacing w:val="0"/>
          <w:shd w:val="clear" w:color="auto" w:fill="FFFFFF"/>
        </w:rPr>
        <w:t xml:space="preserve"> Для облегчения выполнения процедуры можно приподнять грудную клетку, поместив под лопатки больного валик.</w:t>
      </w:r>
    </w:p>
    <w:p w14:paraId="23D047C9"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spacing w:val="0"/>
        </w:rPr>
      </w:pPr>
      <w:r w:rsidRPr="002C6FFD">
        <w:rPr>
          <w:spacing w:val="0"/>
        </w:rPr>
        <w:t xml:space="preserve">При применении инфильтрационной анестезии выполняется обезболивание кожи («лимонная корочка») с дальнейшей послойной инфильтративной анестезией вплоть до надкостницы и под надкостницу — </w:t>
      </w:r>
      <w:r w:rsidRPr="002C6FFD">
        <w:rPr>
          <w:color w:val="212121"/>
          <w:spacing w:val="0"/>
          <w:shd w:val="clear" w:color="auto" w:fill="FFFFFF"/>
        </w:rPr>
        <w:t>2,0% раствором лидокаина или 0,25—0,5% раствором новокаина</w:t>
      </w:r>
      <w:r w:rsidRPr="002C6FFD">
        <w:rPr>
          <w:spacing w:val="0"/>
        </w:rPr>
        <w:t xml:space="preserve"> (анестетик выбирается с учетом аллергологического анамнеза) 1,0—2,0 мл. Использование 10% лидокаина недопустимо для местной анестезии в виду возможности некротизирования тканей. </w:t>
      </w:r>
    </w:p>
    <w:p w14:paraId="085EC2D0"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color w:val="222222"/>
          <w:spacing w:val="0"/>
        </w:rPr>
      </w:pPr>
      <w:r w:rsidRPr="002C6FFD">
        <w:rPr>
          <w:spacing w:val="0"/>
        </w:rPr>
        <w:t xml:space="preserve">Пункция костного мозга выполняется иглой Кассирского или иглой сходной с ней конструкции. </w:t>
      </w:r>
    </w:p>
    <w:p w14:paraId="36646268"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color w:val="222222"/>
          <w:spacing w:val="0"/>
        </w:rPr>
      </w:pPr>
      <w:r w:rsidRPr="002C6FFD">
        <w:rPr>
          <w:spacing w:val="0"/>
        </w:rPr>
        <w:t xml:space="preserve">Ограничитель </w:t>
      </w:r>
      <w:r w:rsidRPr="002C6FFD">
        <w:rPr>
          <w:color w:val="222222"/>
          <w:spacing w:val="0"/>
        </w:rPr>
        <w:t xml:space="preserve">устанавливается с учетом </w:t>
      </w:r>
      <w:r w:rsidRPr="002C6FFD">
        <w:rPr>
          <w:spacing w:val="0"/>
        </w:rPr>
        <w:t xml:space="preserve">возраста, выраженности подкожно-жировой клетчатки пациента из расчета, </w:t>
      </w:r>
      <w:r w:rsidRPr="002C6FFD">
        <w:rPr>
          <w:color w:val="222222"/>
          <w:spacing w:val="0"/>
        </w:rPr>
        <w:t>чтобы игла, пройдя мягкие ткани, продвинулась на 5 мм</w:t>
      </w:r>
      <w:r w:rsidRPr="002C6FFD">
        <w:rPr>
          <w:spacing w:val="0"/>
        </w:rPr>
        <w:t xml:space="preserve">. </w:t>
      </w:r>
      <w:r w:rsidRPr="002C6FFD">
        <w:rPr>
          <w:color w:val="222222"/>
          <w:spacing w:val="0"/>
        </w:rPr>
        <w:t xml:space="preserve">При этом конец иглы, проколов наружную пластинку грудины, окажется в полости грудины. </w:t>
      </w:r>
    </w:p>
    <w:p w14:paraId="441FF624"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color w:val="222222"/>
          <w:spacing w:val="0"/>
        </w:rPr>
      </w:pPr>
      <w:r w:rsidRPr="002C6FFD">
        <w:rPr>
          <w:spacing w:val="0"/>
          <w:shd w:val="clear" w:color="auto" w:fill="FFFFFF"/>
        </w:rPr>
        <w:t xml:space="preserve">Игла направляется перпендикулярно поверхности кости и вкалывается быстрым и четким движением на уровне одного из межреберий (I—III). </w:t>
      </w:r>
      <w:r w:rsidRPr="002C6FFD">
        <w:rPr>
          <w:color w:val="222222"/>
          <w:spacing w:val="0"/>
        </w:rPr>
        <w:t>Это момент ощущается врачом как «провал».</w:t>
      </w:r>
    </w:p>
    <w:p w14:paraId="19328C10"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color w:val="222222"/>
          <w:spacing w:val="0"/>
        </w:rPr>
      </w:pPr>
      <w:r w:rsidRPr="002C6FFD">
        <w:rPr>
          <w:spacing w:val="0"/>
          <w:shd w:val="clear" w:color="auto" w:fill="FFFFFF"/>
        </w:rPr>
        <w:t xml:space="preserve">Игла должна быть неподвижно фиксирована в грудине. </w:t>
      </w:r>
    </w:p>
    <w:p w14:paraId="4333F224"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color w:val="222222"/>
          <w:spacing w:val="0"/>
        </w:rPr>
      </w:pPr>
      <w:r w:rsidRPr="002C6FFD">
        <w:rPr>
          <w:color w:val="222222"/>
          <w:spacing w:val="0"/>
        </w:rPr>
        <w:t xml:space="preserve">После извлечения мандрена к игле присоединяют шприц и производят аспирацию костного мозга. </w:t>
      </w:r>
    </w:p>
    <w:p w14:paraId="3ADD2EFD"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color w:val="222222"/>
          <w:spacing w:val="0"/>
        </w:rPr>
      </w:pPr>
      <w:r w:rsidRPr="002C6FFD">
        <w:rPr>
          <w:color w:val="222222"/>
          <w:spacing w:val="0"/>
        </w:rPr>
        <w:t>Из полученного пунктата готовят мазки и направляют материал на различные исследования.</w:t>
      </w:r>
    </w:p>
    <w:p w14:paraId="52606691" w14:textId="77777777" w:rsidR="00947134" w:rsidRDefault="00947134" w:rsidP="0051317D">
      <w:pPr>
        <w:pStyle w:val="Number1"/>
        <w:numPr>
          <w:ilvl w:val="0"/>
          <w:numId w:val="89"/>
        </w:numPr>
        <w:overflowPunct/>
        <w:autoSpaceDE/>
        <w:autoSpaceDN/>
        <w:adjustRightInd/>
        <w:spacing w:before="0" w:line="360" w:lineRule="auto"/>
        <w:jc w:val="both"/>
        <w:textAlignment w:val="auto"/>
        <w:rPr>
          <w:color w:val="222222"/>
          <w:spacing w:val="0"/>
        </w:rPr>
      </w:pPr>
      <w:r w:rsidRPr="002C6FFD">
        <w:rPr>
          <w:color w:val="222222"/>
          <w:spacing w:val="0"/>
        </w:rPr>
        <w:t>Первые 0,5 мл костномозговой взвеси используют для приготовления мазков, которые направляются на:</w:t>
      </w:r>
    </w:p>
    <w:p w14:paraId="574BAD87" w14:textId="77777777" w:rsidR="00947134" w:rsidRPr="002C6FFD" w:rsidRDefault="00947134" w:rsidP="0051317D">
      <w:pPr>
        <w:pStyle w:val="Number1"/>
        <w:numPr>
          <w:ilvl w:val="1"/>
          <w:numId w:val="89"/>
        </w:numPr>
        <w:overflowPunct/>
        <w:autoSpaceDE/>
        <w:autoSpaceDN/>
        <w:adjustRightInd/>
        <w:spacing w:before="0" w:line="360" w:lineRule="auto"/>
        <w:jc w:val="both"/>
        <w:textAlignment w:val="auto"/>
        <w:rPr>
          <w:color w:val="222222"/>
          <w:spacing w:val="0"/>
        </w:rPr>
      </w:pPr>
      <w:r w:rsidRPr="002C6FFD">
        <w:rPr>
          <w:spacing w:val="0"/>
        </w:rPr>
        <w:t>цитологическое исследование;</w:t>
      </w:r>
    </w:p>
    <w:p w14:paraId="0D4D009E" w14:textId="77777777" w:rsidR="00947134" w:rsidRDefault="00947134" w:rsidP="0051317D">
      <w:pPr>
        <w:pStyle w:val="Number1"/>
        <w:numPr>
          <w:ilvl w:val="1"/>
          <w:numId w:val="89"/>
        </w:numPr>
        <w:overflowPunct/>
        <w:autoSpaceDE/>
        <w:autoSpaceDN/>
        <w:adjustRightInd/>
        <w:spacing w:before="0" w:line="360" w:lineRule="auto"/>
        <w:jc w:val="both"/>
        <w:textAlignment w:val="auto"/>
        <w:rPr>
          <w:color w:val="222222"/>
          <w:spacing w:val="0"/>
        </w:rPr>
      </w:pPr>
      <w:r w:rsidRPr="002C6FFD">
        <w:rPr>
          <w:spacing w:val="0"/>
        </w:rPr>
        <w:t>цитохимическое исследование.</w:t>
      </w:r>
    </w:p>
    <w:p w14:paraId="5E1D6871"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color w:val="222222"/>
          <w:spacing w:val="0"/>
        </w:rPr>
      </w:pPr>
      <w:r w:rsidRPr="002C6FFD">
        <w:rPr>
          <w:spacing w:val="0"/>
        </w:rPr>
        <w:t>При необходимости остальную костномозговую взвесь помещают</w:t>
      </w:r>
      <w:r>
        <w:rPr>
          <w:spacing w:val="0"/>
        </w:rPr>
        <w:t>:</w:t>
      </w:r>
      <w:r w:rsidRPr="002C6FFD">
        <w:rPr>
          <w:spacing w:val="0"/>
        </w:rPr>
        <w:t xml:space="preserve"> </w:t>
      </w:r>
    </w:p>
    <w:p w14:paraId="293C95FD" w14:textId="77777777" w:rsidR="00947134" w:rsidRPr="002C6FFD" w:rsidRDefault="00947134" w:rsidP="0051317D">
      <w:pPr>
        <w:pStyle w:val="Number1"/>
        <w:numPr>
          <w:ilvl w:val="1"/>
          <w:numId w:val="89"/>
        </w:numPr>
        <w:overflowPunct/>
        <w:autoSpaceDE/>
        <w:autoSpaceDN/>
        <w:adjustRightInd/>
        <w:spacing w:before="0" w:line="360" w:lineRule="auto"/>
        <w:jc w:val="both"/>
        <w:textAlignment w:val="auto"/>
        <w:rPr>
          <w:color w:val="222222"/>
          <w:spacing w:val="0"/>
        </w:rPr>
      </w:pPr>
      <w:r w:rsidRPr="002C6FFD">
        <w:rPr>
          <w:spacing w:val="0"/>
        </w:rPr>
        <w:t>в пробирки с консервантом ЭДТА для проведения исследований:</w:t>
      </w:r>
    </w:p>
    <w:p w14:paraId="1452C3B5" w14:textId="77777777" w:rsidR="00947134" w:rsidRPr="002C6FFD" w:rsidRDefault="00947134" w:rsidP="0051317D">
      <w:pPr>
        <w:pStyle w:val="Number1"/>
        <w:numPr>
          <w:ilvl w:val="2"/>
          <w:numId w:val="89"/>
        </w:numPr>
        <w:overflowPunct/>
        <w:autoSpaceDE/>
        <w:autoSpaceDN/>
        <w:adjustRightInd/>
        <w:spacing w:before="0" w:line="360" w:lineRule="auto"/>
        <w:jc w:val="both"/>
        <w:textAlignment w:val="auto"/>
        <w:rPr>
          <w:color w:val="222222"/>
          <w:spacing w:val="0"/>
        </w:rPr>
      </w:pPr>
      <w:r w:rsidRPr="002C6FFD">
        <w:rPr>
          <w:spacing w:val="0"/>
        </w:rPr>
        <w:t>иммунофенотипическое исследование;</w:t>
      </w:r>
    </w:p>
    <w:p w14:paraId="462AC474" w14:textId="77777777" w:rsidR="00947134" w:rsidRDefault="00947134" w:rsidP="0051317D">
      <w:pPr>
        <w:pStyle w:val="Number1"/>
        <w:numPr>
          <w:ilvl w:val="2"/>
          <w:numId w:val="89"/>
        </w:numPr>
        <w:overflowPunct/>
        <w:autoSpaceDE/>
        <w:autoSpaceDN/>
        <w:adjustRightInd/>
        <w:spacing w:before="0" w:line="360" w:lineRule="auto"/>
        <w:jc w:val="both"/>
        <w:textAlignment w:val="auto"/>
        <w:rPr>
          <w:color w:val="222222"/>
          <w:spacing w:val="0"/>
        </w:rPr>
      </w:pPr>
      <w:r w:rsidRPr="002C6FFD">
        <w:rPr>
          <w:spacing w:val="0"/>
        </w:rPr>
        <w:t>молекулярное исследование (методом ПЦР).</w:t>
      </w:r>
    </w:p>
    <w:p w14:paraId="71BF7DD7" w14:textId="77777777" w:rsidR="00947134" w:rsidRPr="002C6FFD" w:rsidRDefault="00947134" w:rsidP="0051317D">
      <w:pPr>
        <w:pStyle w:val="Number1"/>
        <w:numPr>
          <w:ilvl w:val="1"/>
          <w:numId w:val="89"/>
        </w:numPr>
        <w:overflowPunct/>
        <w:autoSpaceDE/>
        <w:autoSpaceDN/>
        <w:adjustRightInd/>
        <w:spacing w:before="0" w:line="360" w:lineRule="auto"/>
        <w:jc w:val="both"/>
        <w:textAlignment w:val="auto"/>
        <w:rPr>
          <w:color w:val="222222"/>
          <w:spacing w:val="0"/>
        </w:rPr>
      </w:pPr>
      <w:r w:rsidRPr="002C6FFD">
        <w:rPr>
          <w:spacing w:val="0"/>
        </w:rPr>
        <w:t>в пробирки с литиевой солью гепарина для цитогенетического (кариологического) исследования.</w:t>
      </w:r>
    </w:p>
    <w:p w14:paraId="5A4B89EE"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spacing w:val="0"/>
        </w:rPr>
      </w:pPr>
      <w:r w:rsidRPr="002C6FFD">
        <w:rPr>
          <w:spacing w:val="0"/>
        </w:rPr>
        <w:t>После окончания процедуры аспирации иглу извлекают из грудины и на место пункции накладывают асептическую повязку.</w:t>
      </w:r>
    </w:p>
    <w:p w14:paraId="1EF74DCC" w14:textId="77777777" w:rsidR="00947134" w:rsidRPr="002C6FFD" w:rsidRDefault="00947134" w:rsidP="0051317D">
      <w:pPr>
        <w:pStyle w:val="Number1"/>
        <w:numPr>
          <w:ilvl w:val="0"/>
          <w:numId w:val="89"/>
        </w:numPr>
        <w:overflowPunct/>
        <w:autoSpaceDE/>
        <w:autoSpaceDN/>
        <w:adjustRightInd/>
        <w:spacing w:before="0" w:line="360" w:lineRule="auto"/>
        <w:jc w:val="both"/>
        <w:textAlignment w:val="auto"/>
        <w:rPr>
          <w:spacing w:val="0"/>
        </w:rPr>
      </w:pPr>
      <w:r w:rsidRPr="002C6FFD">
        <w:rPr>
          <w:spacing w:val="0"/>
        </w:rPr>
        <w:t xml:space="preserve">Возможно приготовление гистологического препарата из аспирата костного мозга («крошка») – это так называемый clot (сверток, сгусток) аспирата, содержащий частицы костного мозга. Сформировавшийся сгусток помещают в 10% раствор формалина и направляют на гистологическое исследование, которое может быть выполнено в более короткие сроки, чем исследование трепанобиоптата, поскольку не требует выполнения декальцинации кости. </w:t>
      </w:r>
    </w:p>
    <w:p w14:paraId="107058E3" w14:textId="77777777" w:rsidR="00947134" w:rsidRDefault="00947134" w:rsidP="00947134">
      <w:pPr>
        <w:pStyle w:val="2"/>
        <w:spacing w:before="0"/>
        <w:rPr>
          <w:rFonts w:eastAsia="Arial Unicode MS"/>
        </w:rPr>
      </w:pPr>
    </w:p>
    <w:p w14:paraId="410EC4C5" w14:textId="78B1BF43" w:rsidR="00947134" w:rsidRPr="008E213C" w:rsidRDefault="00947134" w:rsidP="00947134">
      <w:pPr>
        <w:rPr>
          <w:b/>
          <w:i/>
          <w:iCs/>
          <w:u w:val="single"/>
          <w:shd w:val="clear" w:color="auto" w:fill="FFFFFF"/>
        </w:rPr>
      </w:pPr>
      <w:r w:rsidRPr="008E213C">
        <w:rPr>
          <w:i/>
          <w:iCs/>
          <w:u w:val="single"/>
          <w:shd w:val="clear" w:color="auto" w:fill="FFFFFF"/>
        </w:rPr>
        <w:t xml:space="preserve">Техника выполнения процедуры трепанобиопсии костного мозга </w:t>
      </w:r>
      <w:r w:rsidRPr="008E213C">
        <w:rPr>
          <w:b/>
          <w:i/>
          <w:iCs/>
          <w:u w:val="single"/>
          <w:shd w:val="clear" w:color="auto" w:fill="FFFFFF"/>
        </w:rPr>
        <w:fldChar w:fldCharType="begin" w:fldLock="1"/>
      </w:r>
      <w:r w:rsidR="00CE1363">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[84]","plainTextFormattedCitation":"[84]","previouslyFormattedCitation":"[84]"},"properties":{"noteIndex":0},"schema":"https://github.com/citation-style-language/schema/raw/master/csl-citation.json"}</w:instrText>
      </w:r>
      <w:r w:rsidRPr="008E213C">
        <w:rPr>
          <w:b/>
          <w:i/>
          <w:iCs/>
          <w:u w:val="single"/>
          <w:shd w:val="clear" w:color="auto" w:fill="FFFFFF"/>
        </w:rPr>
        <w:fldChar w:fldCharType="separate"/>
      </w:r>
      <w:r w:rsidRPr="00947134">
        <w:rPr>
          <w:iCs/>
          <w:noProof/>
          <w:shd w:val="clear" w:color="auto" w:fill="FFFFFF"/>
        </w:rPr>
        <w:t>[84]</w:t>
      </w:r>
      <w:r w:rsidRPr="008E213C">
        <w:rPr>
          <w:b/>
          <w:i/>
          <w:iCs/>
          <w:u w:val="single"/>
          <w:shd w:val="clear" w:color="auto" w:fill="FFFFFF"/>
        </w:rPr>
        <w:fldChar w:fldCharType="end"/>
      </w:r>
    </w:p>
    <w:p w14:paraId="6E9F9E44"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Во время проведения процедуры врач должен комментировать все свои действия и предупреждать пациента обо всех ощущениях, которые могут ее сопровождать. </w:t>
      </w:r>
    </w:p>
    <w:p w14:paraId="7C879BB3" w14:textId="5017B319"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color w:val="252525"/>
          <w:spacing w:val="0"/>
          <w:shd w:val="clear" w:color="auto" w:fill="FFFFFF"/>
        </w:rPr>
        <w:t>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препаратов (антикоагулянты и антиагреганты), наличие сопутствующих заболеваний, остеопороза. При невозможности выполнения местной анестезии трепанобиопсия может быть выполнена под общей анестезией.</w:t>
      </w:r>
    </w:p>
    <w:p w14:paraId="796D0BBF" w14:textId="383EAE15"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color w:val="252525"/>
          <w:spacing w:val="0"/>
          <w:shd w:val="clear" w:color="auto" w:fill="FFFFFF"/>
        </w:rPr>
        <w:t xml:space="preserve">При наличии тромбоцитопении коагулологических нарушений и геморрагического синдрома перед началом процедуры необходимо выполнить трансфузии тромбоконцентратов и скорректировать коагулологические нарушения трансфузиями СЗП и/или криопреципитата. </w:t>
      </w:r>
    </w:p>
    <w:p w14:paraId="6768A9FA"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color w:val="212121"/>
          <w:spacing w:val="0"/>
        </w:rPr>
        <w:t xml:space="preserve">Трепанобиопсия костного мозга </w:t>
      </w:r>
      <w:r w:rsidRPr="002C6FFD">
        <w:rPr>
          <w:spacing w:val="0"/>
        </w:rPr>
        <w:t xml:space="preserve">выполняется иглой Jamshidi — цилиндрической иглой длиной не более 15 см, дистальная часть которой имеет коническое сужение наружного контура и внутренней полости. Игла заканчивается остро заточенным срезом. Внутрь иглы помещается стилет-обтуратор, имеющий срез, плоскость которого совпадает со срезом иглы Jamshidi. </w:t>
      </w:r>
    </w:p>
    <w:p w14:paraId="354DC4F2"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Трепанобиопсию проводят в области задней верхней ости правой и/или левой подвздошных костей (spina iliaca posterior superior). В особых случаях (см. ниже) — в области передней верхней ости правой и/или левой подвздошных костей.</w:t>
      </w:r>
    </w:p>
    <w:p w14:paraId="03894BB0" w14:textId="77777777" w:rsidR="00947134"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Пациента располагают в одном из положений: </w:t>
      </w:r>
    </w:p>
    <w:p w14:paraId="45295543" w14:textId="77777777" w:rsidR="00947134" w:rsidRDefault="00947134" w:rsidP="0051317D">
      <w:pPr>
        <w:pStyle w:val="Number1"/>
        <w:numPr>
          <w:ilvl w:val="1"/>
          <w:numId w:val="90"/>
        </w:numPr>
        <w:overflowPunct/>
        <w:autoSpaceDE/>
        <w:autoSpaceDN/>
        <w:adjustRightInd/>
        <w:spacing w:before="0" w:line="360" w:lineRule="auto"/>
        <w:jc w:val="both"/>
        <w:textAlignment w:val="auto"/>
        <w:rPr>
          <w:spacing w:val="0"/>
        </w:rPr>
      </w:pPr>
      <w:r w:rsidRPr="002C6FFD">
        <w:rPr>
          <w:spacing w:val="0"/>
        </w:rPr>
        <w:t xml:space="preserve">лежа на животе; </w:t>
      </w:r>
    </w:p>
    <w:p w14:paraId="5DB8B944" w14:textId="77777777" w:rsidR="00947134" w:rsidRDefault="00947134" w:rsidP="0051317D">
      <w:pPr>
        <w:pStyle w:val="Number1"/>
        <w:numPr>
          <w:ilvl w:val="1"/>
          <w:numId w:val="90"/>
        </w:numPr>
        <w:overflowPunct/>
        <w:autoSpaceDE/>
        <w:autoSpaceDN/>
        <w:adjustRightInd/>
        <w:spacing w:before="0" w:line="360" w:lineRule="auto"/>
        <w:jc w:val="both"/>
        <w:textAlignment w:val="auto"/>
        <w:rPr>
          <w:spacing w:val="0"/>
        </w:rPr>
      </w:pPr>
      <w:r w:rsidRPr="002C6FFD">
        <w:rPr>
          <w:spacing w:val="0"/>
        </w:rPr>
        <w:t xml:space="preserve">сидя спиной к врачу, туловище несколько приведено к бедрам, для упора на колени можно положить подушку, ноги пациента стоят на скамейке; </w:t>
      </w:r>
    </w:p>
    <w:p w14:paraId="12A83BF3" w14:textId="77777777" w:rsidR="00947134" w:rsidRDefault="00947134" w:rsidP="0051317D">
      <w:pPr>
        <w:pStyle w:val="Number1"/>
        <w:numPr>
          <w:ilvl w:val="1"/>
          <w:numId w:val="90"/>
        </w:numPr>
        <w:overflowPunct/>
        <w:autoSpaceDE/>
        <w:autoSpaceDN/>
        <w:adjustRightInd/>
        <w:spacing w:before="0" w:line="360" w:lineRule="auto"/>
        <w:jc w:val="both"/>
        <w:textAlignment w:val="auto"/>
        <w:rPr>
          <w:spacing w:val="0"/>
        </w:rPr>
      </w:pPr>
      <w:r w:rsidRPr="002C6FFD">
        <w:rPr>
          <w:spacing w:val="0"/>
        </w:rPr>
        <w:t>лежа на боку, ноги согнуты в коленях и приведены к груди, спина несколько согнута</w:t>
      </w:r>
      <w:r>
        <w:rPr>
          <w:spacing w:val="0"/>
        </w:rPr>
        <w:t>;</w:t>
      </w:r>
    </w:p>
    <w:p w14:paraId="5B108F60" w14:textId="77777777" w:rsidR="00947134" w:rsidRPr="002C6FFD" w:rsidRDefault="00947134" w:rsidP="0051317D">
      <w:pPr>
        <w:pStyle w:val="Number1"/>
        <w:numPr>
          <w:ilvl w:val="1"/>
          <w:numId w:val="90"/>
        </w:numPr>
        <w:overflowPunct/>
        <w:autoSpaceDE/>
        <w:autoSpaceDN/>
        <w:adjustRightInd/>
        <w:spacing w:before="0" w:line="360" w:lineRule="auto"/>
        <w:jc w:val="both"/>
        <w:textAlignment w:val="auto"/>
        <w:rPr>
          <w:spacing w:val="0"/>
        </w:rPr>
      </w:pPr>
      <w:r w:rsidRPr="002C6FFD">
        <w:rPr>
          <w:spacing w:val="0"/>
        </w:rPr>
        <w:t xml:space="preserve">в исключительных случаях (крайне тяжелое состояние пациента, искусственная вентиляция легких, поздние сроки беременности, ожирение и др.), когда ни одно из этих положений невозможно, манипуляцию выполняют в положении лежа на спине и трепанобиопсию проводят в переднюю верхнюю ость подвздошной кости. </w:t>
      </w:r>
    </w:p>
    <w:p w14:paraId="25593543"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Чаще всего при выполнении трепанобиопсии пациент находится в сознании. </w:t>
      </w:r>
      <w:r w:rsidRPr="002C6FFD">
        <w:rPr>
          <w:spacing w:val="0"/>
          <w:shd w:val="clear" w:color="auto" w:fill="FFFFFF"/>
        </w:rPr>
        <w:t xml:space="preserve">При невозможности выполнения местной анестезии пункция может быть выполнена под общей анестезией. </w:t>
      </w:r>
      <w:r w:rsidRPr="002C6FFD">
        <w:rPr>
          <w:spacing w:val="0"/>
        </w:rPr>
        <w:t xml:space="preserve">В педиатрической практике манипуляцию проводят под наркозом. </w:t>
      </w:r>
    </w:p>
    <w:p w14:paraId="6A5D0794"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Пальпацией гребня задней верхней ости подвздошной кости и крестцово-подвздошного сочленения выполняется выбор места трепанобиопсии. </w:t>
      </w:r>
    </w:p>
    <w:p w14:paraId="0DF8BA78"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Обработка кожи растворами антисептиков, как для оперативного вмешательства. </w:t>
      </w:r>
    </w:p>
    <w:p w14:paraId="1A16512F" w14:textId="2D123523"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Обезболивание кожи («лимонная корочка») и далее послойная анестезия тканей вплоть до надкостницы и поднадкостнично — </w:t>
      </w:r>
      <w:r w:rsidRPr="002C6FFD">
        <w:rPr>
          <w:spacing w:val="0"/>
          <w:shd w:val="clear" w:color="auto" w:fill="FFFFFF"/>
        </w:rPr>
        <w:t>2% раствор лидокаина или 0,25—0,5% раствор новокаина</w:t>
      </w:r>
      <w:r w:rsidRPr="002C6FFD">
        <w:rPr>
          <w:spacing w:val="0"/>
        </w:rPr>
        <w:t xml:space="preserve"> (выбранным с учетом аллергологического анамнеза) 4,0—6,0 мл. Использование 10% лидокаина недопустимо для местной анестезии ввиду возможности некротизирования тканей. </w:t>
      </w:r>
    </w:p>
    <w:p w14:paraId="65352567"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Анестезия наступает не ранее через 1 мин после инфильтрации надкостницы раствором анестетика. </w:t>
      </w:r>
    </w:p>
    <w:p w14:paraId="42E8DC80"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Выполняют разрез кожи длиной около 3 мм скальпелем с узким лезвием, однако возможно прохождение кожи и тканей до надкостницы иглой для трепанобиопсии с вставленным стилетом-обтуратором без выполнения кожного разреза. </w:t>
      </w:r>
    </w:p>
    <w:p w14:paraId="7A5FEC8B"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Через кожный разрез / прокол вводят иглу Jamshidi со стилетом-обтуратором, зафиксированным внутри иглы, и продвигают сквозь мягкие ткани до надкостницы. Игла вращательно-поступательными движениями с некоторым усилием должна быть направлена с небольшим отклонением латерально и кзади. Одноразовые иглы исключительно острые и не требуют прикладывания усилий. Вращательные движения вокруг оси иглы должны совершаться попеременно по и против часовой стрелки не более чем на 120</w:t>
      </w:r>
      <w:r w:rsidRPr="002C6FFD">
        <w:rPr>
          <w:color w:val="auto"/>
          <w:spacing w:val="0"/>
        </w:rPr>
        <w:sym w:font="Symbol" w:char="F0B0"/>
      </w:r>
      <w:r w:rsidRPr="002C6FFD">
        <w:rPr>
          <w:spacing w:val="0"/>
        </w:rPr>
        <w:t xml:space="preserve"> в ту и другую сторону. Проникновение через кортикальную пластинку воспринимается врачом как ощущение «провала» в ткань меньшей плотности. </w:t>
      </w:r>
    </w:p>
    <w:p w14:paraId="4D028CBA"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После того как кортикальная пластинка пройдена, вынимается из иглы Jamshidi стилет-обтуратор и вращательно-поступательным движением углубляется в кость на 3—4 см. Продвижение иглы Jamshidi в толще губчатой кости может сопровождаться для больного неприятными ощущениями с иррадиацией в бедро, о чем необходимо предупредить пациента. </w:t>
      </w:r>
    </w:p>
    <w:p w14:paraId="75DD9BB3"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Для отделения от костного массива столбика, вырезанного иглой и находящегося в ее просвете, его основание необходимо «подрезать». Чтобы это сделать, нужно несколько раз повернуть иглу в одном и другом направлении вокруг оси. Далее иглу медленно извлекают вращательно-поступательными движениями. </w:t>
      </w:r>
    </w:p>
    <w:p w14:paraId="51AB23F4"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После извлечения иглы стержнем-толкателем трепанобиоптат длиной 3—4 см (из передней верхней ости подвздошной кости) и более, иногда до 5–6 см (из задней верхней ости подвздошной кости)  выталкивается в обратном направлении от острия к рукоятке, то есть через отверстие рукоятки инструмента. </w:t>
      </w:r>
    </w:p>
    <w:p w14:paraId="2D8F2048"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После выполнения трепанобиопсии через этот же кожный разрез можно получить аспират костного мозга, пропунктировав заднюю верхнюю ость подвздошной кости в стороне от трепанационного отверстия. Практически все иглы для трепанобиопсии костного мозга имеют со стороны рукоятки коническую втулку, которая позволяет присоединить шприц для создания разрежения в просвете иглы и аспирации костного мозга. Пользоваться иглой Jamshidi для аспирации не очень удобно, лучше применять специальные, более тонкие и короткие иглы. Для этого необходимо через уже существующий разрез кожи пройти аспирационной иглой до кости и, сместив иглу вместе с мягкими тканями, снова выполнить пункцию кортикальной пластинки на некотором удалении (1,5 см) от первого сделанного отверстия, после чего аспирировать костный мозг для исследований, как указано выше. </w:t>
      </w:r>
    </w:p>
    <w:p w14:paraId="66D63F6C"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В случае невозможности получения аспирата костного мозга выполняют отпечатки трепанобиоптата методом «прокатывания» столбика между двумя предметными стеклами. </w:t>
      </w:r>
    </w:p>
    <w:p w14:paraId="444C0733"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Столбик трепанобиоптата помещают в емкость с физиологическим раствором или 10% раствором формалина и направляют в лабораторию на гистологическое и, при необходимости, иммуногистохимическое исследования.</w:t>
      </w:r>
    </w:p>
    <w:p w14:paraId="33BCF7C2"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По окончании манипуляции на кожу накладывают асептическую повязку (наклейку), рекомендуется приложить хладоэлемент на 10-15мин во избежание образования гематомы. </w:t>
      </w:r>
    </w:p>
    <w:p w14:paraId="7379AB36"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 xml:space="preserve">Пациент должен провести под наблюдением медицинского персонала 2—3 часа после процедуры. </w:t>
      </w:r>
    </w:p>
    <w:p w14:paraId="1DAA1960"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spacing w:val="0"/>
        </w:rPr>
      </w:pPr>
      <w:r w:rsidRPr="002C6FFD">
        <w:rPr>
          <w:spacing w:val="0"/>
        </w:rPr>
        <w:t>В первые сутки после выполнения трепанобиопсии больному необходимо избегать физических нагрузок и выполнения работ, связанных с повышенным вниманием (в том числе управление автотранспортным средством). Повязку необходимо сохранять в течение 1-2 суток, при необходимости осуществляется замена повязки с обработкой кожи вокруг места биопсии антисептиками. При гигиенических процедурах пациент должен избегать намокания повязки.</w:t>
      </w:r>
    </w:p>
    <w:p w14:paraId="219C3AF0" w14:textId="77777777" w:rsidR="00947134" w:rsidRPr="002C6FFD" w:rsidRDefault="00947134" w:rsidP="0051317D">
      <w:pPr>
        <w:pStyle w:val="Number1"/>
        <w:numPr>
          <w:ilvl w:val="0"/>
          <w:numId w:val="90"/>
        </w:numPr>
        <w:overflowPunct/>
        <w:autoSpaceDE/>
        <w:autoSpaceDN/>
        <w:adjustRightInd/>
        <w:spacing w:before="0" w:line="360" w:lineRule="auto"/>
        <w:jc w:val="both"/>
        <w:textAlignment w:val="auto"/>
        <w:rPr>
          <w:color w:val="auto"/>
          <w:spacing w:val="0"/>
        </w:rPr>
      </w:pPr>
      <w:r w:rsidRPr="002C6FFD">
        <w:rPr>
          <w:spacing w:val="0"/>
        </w:rPr>
        <w:t>На следующий день после выполнения манипуляции медицинскому персоналу необходимо проконтролировать состояние пациента (</w:t>
      </w:r>
      <w:r w:rsidRPr="002C6FFD">
        <w:rPr>
          <w:color w:val="auto"/>
          <w:spacing w:val="0"/>
        </w:rPr>
        <w:t xml:space="preserve">при выполнении манипуляции в амбулаторных условиях - возможно по телефону). </w:t>
      </w:r>
    </w:p>
    <w:p w14:paraId="018DD279" w14:textId="57A939F6" w:rsidR="00947134" w:rsidRDefault="00947134" w:rsidP="00947134">
      <w:pPr>
        <w:rPr>
          <w:rFonts w:cs="Times New Roman"/>
          <w:szCs w:val="24"/>
        </w:rPr>
      </w:pPr>
    </w:p>
    <w:p w14:paraId="23499084" w14:textId="10F6E2E5" w:rsidR="0051317D" w:rsidRPr="0051317D" w:rsidRDefault="00073B2E" w:rsidP="0051317D">
      <w:pPr>
        <w:pStyle w:val="2"/>
        <w:spacing w:before="0"/>
      </w:pPr>
      <w:bookmarkStart w:id="124" w:name="_Toc66184347"/>
      <w:r w:rsidRPr="00FE2263">
        <w:t>Приложение А3.</w:t>
      </w:r>
      <w:r>
        <w:t xml:space="preserve">8. </w:t>
      </w:r>
      <w:r w:rsidR="0051317D" w:rsidRPr="00952000">
        <w:rPr>
          <w:bCs/>
        </w:rPr>
        <w:t>Обеспечение сосудистого доступа</w:t>
      </w:r>
      <w:bookmarkEnd w:id="124"/>
    </w:p>
    <w:p w14:paraId="3E2C7664" w14:textId="6CACF755" w:rsidR="0051317D" w:rsidRPr="00952000" w:rsidRDefault="0051317D" w:rsidP="0051317D">
      <w:pPr>
        <w:rPr>
          <w:rFonts w:cs="Times New Roman"/>
          <w:szCs w:val="24"/>
          <w:shd w:val="clear" w:color="auto" w:fill="FFFFFF"/>
        </w:rPr>
      </w:pPr>
      <w:r w:rsidRPr="00952000">
        <w:rPr>
          <w:rFonts w:cs="Times New Roman"/>
          <w:szCs w:val="24"/>
          <w:shd w:val="clear" w:color="auto" w:fill="FFFFFF"/>
        </w:rPr>
        <w:t>Обеспечение сосудистого доступа является неотъемлемой составляющей частью современной химиотерапии онкогематологических больных</w:t>
      </w:r>
      <w:r w:rsidRPr="00952000">
        <w:rPr>
          <w:rFonts w:cs="Times New Roman"/>
          <w:szCs w:val="24"/>
        </w:rPr>
        <w:t xml:space="preserve">. </w:t>
      </w:r>
      <w:r w:rsidRPr="00952000">
        <w:rPr>
          <w:rFonts w:cs="Times New Roman"/>
          <w:szCs w:val="24"/>
          <w:shd w:val="clear" w:color="auto" w:fill="FFFFFF"/>
        </w:rPr>
        <w:t>Через центральный венозный катетер (ЦВК) вводятся химиотерапевтические препараты, корригируются электролитные нарушения, проводится парентеральное питание, осуществляется взятие образцов крови для исследования и т.</w:t>
      </w:r>
      <w:r>
        <w:rPr>
          <w:rFonts w:cs="Times New Roman"/>
          <w:szCs w:val="24"/>
          <w:shd w:val="clear" w:color="auto" w:fill="FFFFFF"/>
        </w:rPr>
        <w:t> </w:t>
      </w:r>
      <w:r w:rsidRPr="00952000">
        <w:rPr>
          <w:rFonts w:cs="Times New Roman"/>
          <w:szCs w:val="24"/>
          <w:shd w:val="clear" w:color="auto" w:fill="FFFFFF"/>
        </w:rPr>
        <w:t xml:space="preserve">д. </w:t>
      </w:r>
    </w:p>
    <w:p w14:paraId="4AC6A16F" w14:textId="1460BDE2" w:rsidR="0051317D" w:rsidRPr="00952000" w:rsidRDefault="0051317D" w:rsidP="0051317D">
      <w:pPr>
        <w:rPr>
          <w:rFonts w:cs="Times New Roman"/>
          <w:szCs w:val="24"/>
        </w:rPr>
      </w:pPr>
      <w:r w:rsidRPr="00952000">
        <w:rPr>
          <w:rFonts w:cs="Times New Roman"/>
          <w:szCs w:val="24"/>
        </w:rPr>
        <w:t xml:space="preserve">Выделяют следующие особенности сосудистого доступа в гематологии: необходимость только внутривенного введения многих лекарственных препаратов, массивность инфузионных программ сдавление крупных венозных сосудов увеличенными лимфатическими узлами и/или опухолевой массой, </w:t>
      </w:r>
      <w:r w:rsidRPr="00952000">
        <w:rPr>
          <w:rFonts w:eastAsia="Times New Roman" w:cs="Times New Roman"/>
          <w:szCs w:val="24"/>
        </w:rPr>
        <w:t>как с внутригрудным, так и с внутрибрюшным поражением,</w:t>
      </w:r>
      <w:r w:rsidRPr="00952000">
        <w:rPr>
          <w:rFonts w:cs="Times New Roman"/>
          <w:szCs w:val="24"/>
        </w:rPr>
        <w:t xml:space="preserve"> что значительно затрудняет задачу обеспечения сосудистого доступа </w:t>
      </w:r>
      <w:r w:rsidRPr="00952000">
        <w:rPr>
          <w:rFonts w:cs="Times New Roman"/>
          <w:szCs w:val="24"/>
        </w:rPr>
        <w:fldChar w:fldCharType="begin" w:fldLock="1"/>
      </w:r>
      <w:r w:rsidR="00844875">
        <w:rPr>
          <w:rFonts w:cs="Times New Roman"/>
          <w:szCs w:val="24"/>
        </w:rPr>
        <w:instrText>ADDIN CSL_CITATION {"citationItems":[{"id":"ITEM-1","itemData":{"abstract":"NTRODUCTION. SVCS results from compression of the superior vena cava. Lymphoma - one of the most frequent causes of the malignant SVCS.\r\nThe aim of the study was to identify the incidence of SVCS in lymphoma pts and features of the central venous access in lymphoma pts\r\nwith SVCS. METHODS. Materials and methods. 686 lymphoma pts (311 male,\r\n375 female) were included in the prospective study. The pts suffered\r\nfrom Hodgkin's lymphoma (HL) (69 pts) and non-Hodgkin's lymphoma (NHL) (617 pts). In all pts SVCS was diagnosed clinically and was\r\nconfirmed by CT scan or MRI. In pts with confirmed SVCS the central\r\nvenous access was provided by non-tunneled central venous catheters (non-tCVCs) (Certofix DUO 7Fr, BBraun) and totally implantable\r\ncentral venous port system (PowerPort, Bard Access System). The indwelling time, the number of the replaced CVCs and the incidence of complications were analyzed. Statistic: SPSS ver.23 (IBM, Chicago, II., USA). Pearson's chi-squared test and Fisher's exact test were used.\r\nRESULTS. . SVCS was revealed in 70 (10.2%) of 686 lymphoma pts (9 pts with HL and 61 pts with NHL). Among lymphoma pts the frequency of SVCS was highest in pts with primary mediastinal large Bcell lymphoma (PMBCL). SVCS was revealed in 49 (51.6%) of 95 PMBCL pts. In SVCS pts venous access was provided by non-tCVC\r\ninserted in femoral vein (50 pts) and TIVAPS (20 pts) implanted into v. cava inferior through the femoral vein. TIVAPS reservoirs were implanted on the thigh. During lymphoma treatment most pts with non-tCVCs needed repeated catheterizations: median 3 (1-14) CVCs. Among pts with TIVAPS only in 3 pts TIVAPS needed repeated catheterizations; their TIVAPS were removed due to complications. The median indwelling times were 6 (1-129) catheter days for CVCs and\r\n164 (1-280) catheter days for TIVAPS (p&lt;0.05). Incidences of CVC related bloodstream infections (CRBSI) were 2.1/1000 catheter days for\r\nCVCs and 0.1/1000 catheter days for TIVAPS. Incidence of CVC associated thrombosis (CAT) were 4.1/1000 catheter days for CVCs and 0.5/\r\n1000 catheter days for TIVAPS. One patient had infection of the subcutaneous pocket (0.3/1000 catheter days). The reasons for nontCVCs removal were the treatment completion (82.8%) and complications: CRBSI (7.1%), CAT (8.5%), malfunction (1.6%). The reasons for the TIVAPS removal were the treatment completion (85%), CRBSI (5%), infection of the subcutaneous pocket (5%) and CAT (5%). CONCLUSION. SVCS was revealed in 10.2% l…","author":[{"dropping-particle":"","family":"SPIRIN","given":"M.","non-dropping-particle":"","parse-names":false,"suffix":""},{"dropping-particle":"","family":"GALSTYAN","given":"G.","non-dropping-particle":"","parse-names":false,"suffix":""},{"dropping-particle":"","family":"DROKOV","given":"M.","non-dropping-particle":"","parse-names":false,"suffix":""}],"container-title":"INTENSIVE CARE MEDICINE EXPERIMENTAL","id":"ITEM-1","issue":"Suppl. 3:001341","issued":{"date-parts":[["2019"]]},"page":"388-389","title":"Central venous access in lymphoma patients (pts) with superior vena cava syndrome (SVCS)","type":"article-journal","volume":"7"},"uris":["http://www.mendeley.com/documents/?uuid=d4b66f57-5a46-3b0e-bb39-8451d9534a0c","http://www.mendeley.com/documents/?uuid=c29428ae-471c-4ca0-bb6e-1085dbeae434","http://www.mendeley.com/documents/?uuid=34ed67cd-3386-4746-82ca-e1d8edc0179d"]}],"mendeley":{"formattedCitation":"[86]","plainTextFormattedCitation":"[86]","previouslyFormattedCitation":"[86]"},"properties":{"noteIndex":0},"schema":"https://github.com/citation-style-language/schema/raw/master/csl-citation.json"}</w:instrText>
      </w:r>
      <w:r w:rsidRPr="00952000">
        <w:rPr>
          <w:rFonts w:cs="Times New Roman"/>
          <w:szCs w:val="24"/>
        </w:rPr>
        <w:fldChar w:fldCharType="separate"/>
      </w:r>
      <w:r w:rsidR="00CE1363" w:rsidRPr="00CE1363">
        <w:rPr>
          <w:rFonts w:cs="Times New Roman"/>
          <w:noProof/>
          <w:szCs w:val="24"/>
        </w:rPr>
        <w:t>[86]</w:t>
      </w:r>
      <w:r w:rsidRPr="00952000">
        <w:rPr>
          <w:rFonts w:cs="Times New Roman"/>
          <w:szCs w:val="24"/>
        </w:rPr>
        <w:fldChar w:fldCharType="end"/>
      </w:r>
      <w:r w:rsidRPr="00952000">
        <w:rPr>
          <w:rFonts w:cs="Times New Roman"/>
          <w:szCs w:val="24"/>
        </w:rPr>
        <w:t xml:space="preserve">, высокий риск геморрагического синдрома (врожденные и приобретенные коагулопатии, тромбоцитопения), тромбоза, большая продолжительность лечения. В общей сложности, в надежном сосудистом доступе онкогематологические пациенты нуждаются от нескольких месяцев до года, как в стационарных, так и амбулаторных условиях. Использование с этой целью периферического венозного доступа неприемлемо, поскольку большинство вводимых растворов обладает раздражающим действием (везиканты, ирританты, эксфолианты) и экстравазация таких препаратов в подкожную клетчатку может привести к ее некрозу </w:t>
      </w:r>
      <w:r w:rsidRPr="00952000">
        <w:rPr>
          <w:rFonts w:cs="Times New Roman"/>
          <w:szCs w:val="24"/>
        </w:rPr>
        <w:fldChar w:fldCharType="begin" w:fldLock="1"/>
      </w:r>
      <w:r w:rsidR="00844875">
        <w:rPr>
          <w:rFonts w:cs="Times New Roman"/>
          <w:szCs w:val="24"/>
        </w:rPr>
        <w:instrText>ADDIN CSL_CITATION {"citationItems":[{"id":"ITEM-1","itemData":{"DOI":"10.1007/s12254-016-0304-2","ISSN":"1865-5041","PMID":"28058065","abstract":"In cancer treatment, extravasation is defined as an inadvertent instillation or leakage of cytotoxic drugs into the perivascular space during infusion. As a dreaded complication of chemotherapy, extravasation has gained increasing attention in recent years. Classified according to their subcutaneous toxicity, three types of cytotoxins have been established: vesicants, irritants and nonvesicant drugs. Vesicant cytotoxic drugs may induce tissue damage, ulceration and tissue necrosis. Although we have established measures to manage extravasation emergencies, prevention is of paramount importance. This may be achieved within hospitals through regular training and education, which is best provided by a specialised and experienced task force including all disciplines involved in cancer therapy. Moreover, clinical and translational studies contribute to a better management of chemotherapy-induced extravasation as shown by our group in recent years. We were able to demonstrate that the evaluation of blood flow by indocyanine green angiography in the extravasation area predicts the extent of damage and the need of future surgical intervention. When a Port-a-Cath® extravasation is detected early, a subcutaneous wash-out procedure was found to be beneficial, corroborated by the analytical evaluation of the removed cytotoxic compound epirubicin. In another study, the tissue distribution of platinum was quantified at the anatomic level in cryosections of various tissues. This novel knowledge complements and supports our current efforts to handle extravasations better. On the other hand, a number of new drugs (chemotherapy, monoclonal antibodies, checkpoint inhibitors etc.) with many open issues to reliably classify their tissue toxicity still require our attention.","author":[{"dropping-particle":"","family":"Pluschnig","given":"Ursula","non-dropping-particle":"","parse-names":false,"suffix":""},{"dropping-particle":"","family":"Haslik","given":"Werner","non-dropping-particle":"","parse-names":false,"suffix":""},{"dropping-particle":"","family":"Bartsch","given":"Rupert","non-dropping-particle":"","parse-names":false,"suffix":""},{"dropping-particle":"","family":"Mader","given":"Robert M","non-dropping-particle":"","parse-names":false,"suffix":""}],"container-title":"Memo","id":"ITEM-1","issue":"4","issued":{"date-parts":[["2016"]]},"page":"226-230","publisher":"Springer","title":"Extravasation emergencies: state-of-the-art management and progress in clinical research.","type":"article-journal","volume":"9"},"uris":["http://www.mendeley.com/documents/?uuid=587be6ac-ed25-3be6-bca1-30c719328058","http://www.mendeley.com/documents/?uuid=aed12f5b-d478-4cce-aae2-def10fec8352"]}],"mendeley":{"formattedCitation":"[87]","plainTextFormattedCitation":"[87]","previouslyFormattedCitation":"[87]"},"properties":{"noteIndex":0},"schema":"https://github.com/citation-style-language/schema/raw/master/csl-citation.json"}</w:instrText>
      </w:r>
      <w:r w:rsidRPr="00952000">
        <w:rPr>
          <w:rFonts w:cs="Times New Roman"/>
          <w:szCs w:val="24"/>
        </w:rPr>
        <w:fldChar w:fldCharType="separate"/>
      </w:r>
      <w:r w:rsidR="00CE1363" w:rsidRPr="00CE1363">
        <w:rPr>
          <w:rFonts w:cs="Times New Roman"/>
          <w:noProof/>
          <w:szCs w:val="24"/>
        </w:rPr>
        <w:t>[87]</w:t>
      </w:r>
      <w:r w:rsidRPr="00952000">
        <w:rPr>
          <w:rFonts w:cs="Times New Roman"/>
          <w:szCs w:val="24"/>
        </w:rPr>
        <w:fldChar w:fldCharType="end"/>
      </w:r>
      <w:r w:rsidRPr="00952000">
        <w:rPr>
          <w:rFonts w:cs="Times New Roman"/>
          <w:szCs w:val="24"/>
        </w:rPr>
        <w:t>. Помимо этого, у многих больных вследствие проводимой ранее химиотерапии нередко отсутствуют доступные периферические вены.</w:t>
      </w:r>
    </w:p>
    <w:p w14:paraId="412C07A0" w14:textId="77777777" w:rsidR="0051317D" w:rsidRDefault="0051317D" w:rsidP="0051317D">
      <w:pPr>
        <w:rPr>
          <w:rFonts w:cs="Times New Roman"/>
          <w:b/>
          <w:bCs/>
          <w:szCs w:val="24"/>
        </w:rPr>
      </w:pPr>
    </w:p>
    <w:p w14:paraId="512D58F8" w14:textId="77777777" w:rsidR="0051317D" w:rsidRPr="004A739C" w:rsidRDefault="0051317D" w:rsidP="0051317D">
      <w:pPr>
        <w:rPr>
          <w:rFonts w:cs="Times New Roman"/>
          <w:i/>
          <w:iCs/>
          <w:szCs w:val="24"/>
          <w:u w:val="single"/>
        </w:rPr>
      </w:pPr>
      <w:r w:rsidRPr="004A739C">
        <w:rPr>
          <w:rFonts w:cs="Times New Roman"/>
          <w:i/>
          <w:iCs/>
          <w:szCs w:val="24"/>
          <w:u w:val="single"/>
        </w:rPr>
        <w:t>Показания к катетеризации центральных вен.</w:t>
      </w:r>
    </w:p>
    <w:p w14:paraId="53BB05BF" w14:textId="77777777" w:rsidR="0051317D" w:rsidRPr="00952000" w:rsidRDefault="0051317D" w:rsidP="0051317D">
      <w:pPr>
        <w:pStyle w:val="afe"/>
        <w:numPr>
          <w:ilvl w:val="0"/>
          <w:numId w:val="91"/>
        </w:numPr>
        <w:ind w:left="993" w:hanging="284"/>
        <w:rPr>
          <w:rFonts w:eastAsia="Times New Roman" w:cs="Times New Roman"/>
          <w:szCs w:val="24"/>
          <w:lang w:eastAsia="ru-RU"/>
        </w:rPr>
      </w:pPr>
      <w:r w:rsidRPr="00952000">
        <w:rPr>
          <w:rFonts w:eastAsia="Times New Roman" w:cs="Times New Roman"/>
          <w:szCs w:val="24"/>
          <w:lang w:eastAsia="ru-RU"/>
        </w:rPr>
        <w:t>ограниченный доступ к периферическим венам,</w:t>
      </w:r>
    </w:p>
    <w:p w14:paraId="48D8608E" w14:textId="77777777" w:rsidR="0051317D" w:rsidRPr="00952000" w:rsidRDefault="0051317D" w:rsidP="0051317D">
      <w:pPr>
        <w:pStyle w:val="afe"/>
        <w:numPr>
          <w:ilvl w:val="0"/>
          <w:numId w:val="91"/>
        </w:numPr>
        <w:ind w:left="993" w:hanging="284"/>
        <w:rPr>
          <w:rFonts w:eastAsia="Times New Roman" w:cs="Times New Roman"/>
          <w:szCs w:val="24"/>
          <w:lang w:eastAsia="ru-RU"/>
        </w:rPr>
      </w:pPr>
      <w:r w:rsidRPr="00952000">
        <w:rPr>
          <w:rFonts w:eastAsia="Times New Roman" w:cs="Times New Roman"/>
          <w:szCs w:val="24"/>
          <w:lang w:eastAsia="ru-RU"/>
        </w:rPr>
        <w:t>необходимость проведения химиотерапии или парентерального питания, массивная инфузионная терапия,</w:t>
      </w:r>
    </w:p>
    <w:p w14:paraId="2FFCFE34" w14:textId="77777777" w:rsidR="0051317D" w:rsidRPr="00952000" w:rsidRDefault="0051317D" w:rsidP="0051317D">
      <w:pPr>
        <w:pStyle w:val="afe"/>
        <w:numPr>
          <w:ilvl w:val="0"/>
          <w:numId w:val="91"/>
        </w:numPr>
        <w:ind w:left="993" w:hanging="284"/>
        <w:rPr>
          <w:rFonts w:eastAsia="Times New Roman" w:cs="Times New Roman"/>
          <w:szCs w:val="24"/>
          <w:lang w:eastAsia="ru-RU"/>
        </w:rPr>
      </w:pPr>
      <w:r w:rsidRPr="00952000">
        <w:rPr>
          <w:rFonts w:eastAsia="Times New Roman" w:cs="Times New Roman"/>
          <w:szCs w:val="24"/>
          <w:lang w:eastAsia="ru-RU"/>
        </w:rPr>
        <w:t>необходимость мониторинга гемодинамики (центральное венозное давление),</w:t>
      </w:r>
    </w:p>
    <w:p w14:paraId="17B0E9D5" w14:textId="77777777" w:rsidR="0051317D" w:rsidRPr="00952000" w:rsidRDefault="0051317D" w:rsidP="0051317D">
      <w:pPr>
        <w:pStyle w:val="afe"/>
        <w:numPr>
          <w:ilvl w:val="0"/>
          <w:numId w:val="91"/>
        </w:numPr>
        <w:ind w:left="993" w:hanging="284"/>
        <w:rPr>
          <w:rFonts w:eastAsia="Times New Roman" w:cs="Times New Roman"/>
          <w:szCs w:val="24"/>
          <w:lang w:eastAsia="ru-RU"/>
        </w:rPr>
      </w:pPr>
      <w:r w:rsidRPr="00952000">
        <w:rPr>
          <w:rFonts w:eastAsia="Times New Roman" w:cs="Times New Roman"/>
          <w:szCs w:val="24"/>
          <w:lang w:eastAsia="ru-RU"/>
        </w:rPr>
        <w:t>необходимость мониторинга давления в легочной артерии,</w:t>
      </w:r>
    </w:p>
    <w:p w14:paraId="79075B27" w14:textId="77777777" w:rsidR="0051317D" w:rsidRPr="00952000" w:rsidRDefault="0051317D" w:rsidP="0051317D">
      <w:pPr>
        <w:pStyle w:val="afe"/>
        <w:numPr>
          <w:ilvl w:val="0"/>
          <w:numId w:val="91"/>
        </w:numPr>
        <w:ind w:left="993" w:hanging="284"/>
        <w:rPr>
          <w:rFonts w:eastAsia="Times New Roman" w:cs="Times New Roman"/>
          <w:szCs w:val="24"/>
          <w:lang w:eastAsia="ru-RU"/>
        </w:rPr>
      </w:pPr>
      <w:r w:rsidRPr="00952000">
        <w:rPr>
          <w:rFonts w:eastAsia="Times New Roman" w:cs="Times New Roman"/>
          <w:szCs w:val="24"/>
          <w:lang w:eastAsia="ru-RU"/>
        </w:rPr>
        <w:t>установка кардиостимулятора,</w:t>
      </w:r>
    </w:p>
    <w:p w14:paraId="2A40F203" w14:textId="77777777" w:rsidR="0051317D" w:rsidRPr="00952000" w:rsidRDefault="0051317D" w:rsidP="0051317D">
      <w:pPr>
        <w:pStyle w:val="afe"/>
        <w:numPr>
          <w:ilvl w:val="0"/>
          <w:numId w:val="91"/>
        </w:numPr>
        <w:ind w:left="993" w:hanging="284"/>
        <w:rPr>
          <w:rFonts w:eastAsia="Times New Roman" w:cs="Times New Roman"/>
          <w:szCs w:val="24"/>
          <w:lang w:eastAsia="ru-RU"/>
        </w:rPr>
      </w:pPr>
      <w:r w:rsidRPr="00952000">
        <w:rPr>
          <w:rFonts w:eastAsia="Times New Roman" w:cs="Times New Roman"/>
          <w:szCs w:val="24"/>
          <w:lang w:eastAsia="ru-RU"/>
        </w:rPr>
        <w:t>необходимость проведения заместительной почечной терапии.</w:t>
      </w:r>
    </w:p>
    <w:p w14:paraId="189126E6" w14:textId="77777777" w:rsidR="0051317D" w:rsidRDefault="0051317D" w:rsidP="0051317D">
      <w:pPr>
        <w:rPr>
          <w:rFonts w:cs="Times New Roman"/>
          <w:b/>
          <w:bCs/>
          <w:szCs w:val="24"/>
        </w:rPr>
      </w:pPr>
    </w:p>
    <w:p w14:paraId="138DF5D0" w14:textId="77777777" w:rsidR="0051317D" w:rsidRPr="004A739C" w:rsidRDefault="0051317D" w:rsidP="0051317D">
      <w:pPr>
        <w:rPr>
          <w:rFonts w:cs="Times New Roman"/>
          <w:i/>
          <w:iCs/>
          <w:szCs w:val="24"/>
          <w:u w:val="single"/>
        </w:rPr>
      </w:pPr>
      <w:r w:rsidRPr="004A739C">
        <w:rPr>
          <w:rFonts w:cs="Times New Roman"/>
          <w:i/>
          <w:iCs/>
          <w:szCs w:val="24"/>
          <w:u w:val="single"/>
        </w:rPr>
        <w:t>Противопоказания к катетеризации центральных вен</w:t>
      </w:r>
    </w:p>
    <w:p w14:paraId="481BDF24" w14:textId="77777777" w:rsidR="0051317D" w:rsidRPr="004A739C" w:rsidRDefault="0051317D" w:rsidP="0051317D">
      <w:pPr>
        <w:pStyle w:val="afe"/>
        <w:numPr>
          <w:ilvl w:val="0"/>
          <w:numId w:val="91"/>
        </w:numPr>
        <w:ind w:left="993" w:hanging="284"/>
        <w:rPr>
          <w:rFonts w:eastAsia="Times New Roman" w:cs="Times New Roman"/>
          <w:szCs w:val="24"/>
          <w:lang w:eastAsia="ru-RU"/>
        </w:rPr>
      </w:pPr>
      <w:r w:rsidRPr="004A739C">
        <w:rPr>
          <w:rFonts w:eastAsia="Times New Roman" w:cs="Times New Roman"/>
          <w:szCs w:val="24"/>
          <w:lang w:eastAsia="ru-RU"/>
        </w:rPr>
        <w:t>Абсолютные:</w:t>
      </w:r>
    </w:p>
    <w:p w14:paraId="704C32DB" w14:textId="77777777" w:rsidR="0051317D" w:rsidRPr="004A739C" w:rsidRDefault="0051317D" w:rsidP="0051317D">
      <w:pPr>
        <w:pStyle w:val="afe"/>
        <w:numPr>
          <w:ilvl w:val="1"/>
          <w:numId w:val="91"/>
        </w:numPr>
        <w:rPr>
          <w:rFonts w:eastAsia="Times New Roman" w:cs="Times New Roman"/>
          <w:szCs w:val="24"/>
          <w:lang w:eastAsia="ru-RU"/>
        </w:rPr>
      </w:pPr>
      <w:r w:rsidRPr="004A739C">
        <w:rPr>
          <w:rFonts w:eastAsia="Times New Roman" w:cs="Times New Roman"/>
          <w:szCs w:val="24"/>
          <w:lang w:eastAsia="ru-RU"/>
        </w:rPr>
        <w:t>воспаление в планируемом месте доступа</w:t>
      </w:r>
    </w:p>
    <w:p w14:paraId="3647E00A" w14:textId="77777777" w:rsidR="0051317D" w:rsidRPr="004A739C" w:rsidRDefault="0051317D" w:rsidP="0051317D">
      <w:pPr>
        <w:pStyle w:val="afe"/>
        <w:numPr>
          <w:ilvl w:val="1"/>
          <w:numId w:val="91"/>
        </w:numPr>
        <w:rPr>
          <w:rFonts w:eastAsia="Times New Roman" w:cs="Times New Roman"/>
          <w:szCs w:val="24"/>
          <w:lang w:eastAsia="ru-RU"/>
        </w:rPr>
      </w:pPr>
      <w:r w:rsidRPr="004A739C">
        <w:rPr>
          <w:rFonts w:eastAsia="Times New Roman" w:cs="Times New Roman"/>
          <w:szCs w:val="24"/>
          <w:lang w:eastAsia="ru-RU"/>
        </w:rPr>
        <w:t>недавно проведенное оперативное вмешательство в месте доступа</w:t>
      </w:r>
    </w:p>
    <w:p w14:paraId="7E6AA96F" w14:textId="77777777" w:rsidR="0051317D" w:rsidRPr="004A739C" w:rsidRDefault="0051317D" w:rsidP="0051317D">
      <w:pPr>
        <w:pStyle w:val="afe"/>
        <w:numPr>
          <w:ilvl w:val="0"/>
          <w:numId w:val="91"/>
        </w:numPr>
        <w:ind w:left="993" w:hanging="284"/>
        <w:rPr>
          <w:rFonts w:eastAsia="Times New Roman" w:cs="Times New Roman"/>
          <w:szCs w:val="24"/>
          <w:lang w:eastAsia="ru-RU"/>
        </w:rPr>
      </w:pPr>
      <w:r w:rsidRPr="004A739C">
        <w:rPr>
          <w:rFonts w:eastAsia="Times New Roman" w:cs="Times New Roman"/>
          <w:szCs w:val="24"/>
          <w:lang w:eastAsia="ru-RU"/>
        </w:rPr>
        <w:t>Относительные</w:t>
      </w:r>
    </w:p>
    <w:p w14:paraId="5CF3044E" w14:textId="77777777" w:rsidR="0051317D" w:rsidRPr="004A739C" w:rsidRDefault="0051317D" w:rsidP="0051317D">
      <w:pPr>
        <w:pStyle w:val="afe"/>
        <w:numPr>
          <w:ilvl w:val="1"/>
          <w:numId w:val="91"/>
        </w:numPr>
        <w:rPr>
          <w:rFonts w:eastAsia="Times New Roman" w:cs="Times New Roman"/>
          <w:szCs w:val="24"/>
          <w:lang w:eastAsia="ru-RU"/>
        </w:rPr>
      </w:pPr>
      <w:r w:rsidRPr="004A739C">
        <w:rPr>
          <w:rFonts w:eastAsia="Times New Roman" w:cs="Times New Roman"/>
          <w:szCs w:val="24"/>
          <w:lang w:eastAsia="ru-RU"/>
        </w:rPr>
        <w:t>выраженный геморрагический синдром (вследствие тромбоцитопении, гипофибриногенемии, наследственных или приобретенных коагулопатий).</w:t>
      </w:r>
    </w:p>
    <w:p w14:paraId="71F8FD46" w14:textId="77777777" w:rsidR="0051317D" w:rsidRDefault="0051317D" w:rsidP="0051317D">
      <w:pPr>
        <w:pStyle w:val="Default"/>
        <w:spacing w:line="360" w:lineRule="auto"/>
        <w:ind w:firstLine="709"/>
        <w:jc w:val="both"/>
        <w:rPr>
          <w:i/>
          <w:color w:val="auto"/>
        </w:rPr>
      </w:pPr>
    </w:p>
    <w:p w14:paraId="78195791" w14:textId="77777777" w:rsidR="0051317D" w:rsidRPr="00952000" w:rsidRDefault="0051317D" w:rsidP="0051317D">
      <w:pPr>
        <w:pStyle w:val="Default"/>
        <w:spacing w:line="360" w:lineRule="auto"/>
        <w:ind w:firstLine="709"/>
        <w:jc w:val="both"/>
        <w:rPr>
          <w:color w:val="auto"/>
        </w:rPr>
      </w:pPr>
      <w:r w:rsidRPr="00952000">
        <w:rPr>
          <w:i/>
          <w:color w:val="auto"/>
        </w:rPr>
        <w:t>Тромбоцитопения</w:t>
      </w:r>
      <w:r w:rsidRPr="00952000">
        <w:rPr>
          <w:color w:val="auto"/>
        </w:rPr>
        <w:t xml:space="preserve"> – одна из самых частых причин геморрагического синдрома. Хотя безопасным уровнем для катетеризации мы считаем количество тромбоцитов крови более 20 х 10</w:t>
      </w:r>
      <w:r w:rsidRPr="00952000">
        <w:rPr>
          <w:color w:val="auto"/>
          <w:vertAlign w:val="superscript"/>
        </w:rPr>
        <w:t>9</w:t>
      </w:r>
      <w:r w:rsidRPr="00952000">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под контролем ультразвука без использования дилататора, может быть безопасной даже при количестве тромбоцитов менее 20 х 10</w:t>
      </w:r>
      <w:r w:rsidRPr="00952000">
        <w:rPr>
          <w:color w:val="auto"/>
          <w:vertAlign w:val="superscript"/>
        </w:rPr>
        <w:t>9</w:t>
      </w:r>
      <w:r w:rsidRPr="00952000">
        <w:rPr>
          <w:color w:val="auto"/>
        </w:rPr>
        <w:t>/л.</w:t>
      </w:r>
    </w:p>
    <w:p w14:paraId="7F4160AA" w14:textId="44C7F6F3" w:rsidR="0051317D" w:rsidRPr="00952000" w:rsidRDefault="0051317D" w:rsidP="0051317D">
      <w:pPr>
        <w:rPr>
          <w:rFonts w:cs="Times New Roman"/>
          <w:szCs w:val="24"/>
        </w:rPr>
      </w:pPr>
      <w:r w:rsidRPr="00952000">
        <w:rPr>
          <w:rFonts w:cs="Times New Roman"/>
          <w:i/>
          <w:szCs w:val="24"/>
        </w:rPr>
        <w:t>Плазменная концентрация фибриногена</w:t>
      </w:r>
      <w:r w:rsidRPr="00952000">
        <w:rPr>
          <w:rFonts w:cs="Times New Roman"/>
          <w:szCs w:val="24"/>
        </w:rPr>
        <w:t xml:space="preserve"> ассоциируется с геморрагическими осложнениями при установке ЦВК: она значимо ниже у больных с геморрагическими осложнениями, чем без осложнений </w:t>
      </w:r>
      <w:r w:rsidRPr="00952000">
        <w:rPr>
          <w:rFonts w:cs="Times New Roman"/>
          <w:szCs w:val="24"/>
        </w:rPr>
        <w:fldChar w:fldCharType="begin" w:fldLock="1"/>
      </w:r>
      <w:r w:rsidR="00844875">
        <w:rPr>
          <w:rFonts w:cs="Times New Roman"/>
          <w:szCs w:val="24"/>
        </w:rPr>
        <w:instrText>ADDIN CSL_CITATION {"citationItems":[{"id":"ITEM-1","itemData":{"DOI":"10.1111/j.1537-2995.2011.03147.x","ISSN":"1537-2995","PMID":"21517892","abstract":"BACKGROUND Patients with severe thrombocytopenia are at risk for bleeding during insertion of central venous catheters (CVCs). Although most guidelines recommend preprocedural platelet (PLT) transfusions at a threshold of less than 50 × 10(9) /L, there is only weak evidence supporting such recommendations. STUDY DESIGN AND METHODS The current study aimed to establish a safe PLT transfusion trigger in patients with CVC placements. We performed a retrospective single-center analysis of 604 CVC insertions in 193 patients with acute leukemia receiving intensive chemotherapy or stem cell transplantation. RESULTS A total of 48% of the patients had a bleeding risk during CVC insertions, mostly due to thrombocytopenia. The bleeding incidence was 32% with 96% Grade 1 and 4% Grade 2 bleedings requiring prolonged local compression. There were no Grade 3 to 4 bleedings. Hemoglobin levels were similar before and 24 and 48 hours after the CVC insertion in the bleeding and nonbleeding group and there was no difference in the red blood cell (p = 0.72) and PLT transfusion requirements (p = 0.057) after CVC insertion. In multivariate analysis, only patients with PLT counts of less than 20 × 10(9) /L were at higher risk for bleeding before (p = 0.015) and after preprocedural PLT transfusions (p =0.006) compared to patients with PLT counts of 100 × 10(9) /L or more. CONCLUSION CVC placements can safely be performed in patients with PLT counts of 20 × 10(9) /L or more without preprocedural PLT transfusions.","author":[{"dropping-particle":"","family":"Zeidler","given":"Kristin","non-dropping-particle":"","parse-names":false,"suffix":""},{"dropping-particle":"","family":"Arn","given":"Kornelius","non-dropping-particle":"","parse-names":false,"suffix":""},{"dropping-particle":"","family":"Senn","given":"Oliver","non-dropping-particle":"","parse-names":false,"suffix":""},{"dropping-particle":"","family":"Schanz","given":"Urs","non-dropping-particle":"","parse-names":false,"suffix":""},{"dropping-particle":"","family":"Stussi","given":"Georg","non-dropping-particle":"","parse-names":false,"suffix":""}],"container-title":"Transfusion","id":"ITEM-1","issue":"11","issued":{"date-parts":[["2011","11"]]},"page":"2269-76","title":"Optimal preprocedural platelet transfusion threshold for central venous catheter insertions in patients with thrombocytopenia.","type":"article-journal","volume":"51"},"uris":["http://www.mendeley.com/documents/?uuid=11f6a6da-e80c-4c12-b31e-ce8ac19b442b"]}],"mendeley":{"formattedCitation":"[88]","plainTextFormattedCitation":"[88]","previouslyFormattedCitation":"[88]"},"properties":{"noteIndex":0},"schema":"https://github.com/citation-style-language/schema/raw/master/csl-citation.json"}</w:instrText>
      </w:r>
      <w:r w:rsidRPr="00952000">
        <w:rPr>
          <w:rFonts w:cs="Times New Roman"/>
          <w:szCs w:val="24"/>
        </w:rPr>
        <w:fldChar w:fldCharType="separate"/>
      </w:r>
      <w:r w:rsidR="00CE1363" w:rsidRPr="00CE1363">
        <w:rPr>
          <w:rFonts w:cs="Times New Roman"/>
          <w:noProof/>
          <w:szCs w:val="24"/>
        </w:rPr>
        <w:t>[88]</w:t>
      </w:r>
      <w:r w:rsidRPr="00952000">
        <w:rPr>
          <w:rFonts w:cs="Times New Roman"/>
          <w:szCs w:val="24"/>
        </w:rPr>
        <w:fldChar w:fldCharType="end"/>
      </w:r>
      <w:r w:rsidRPr="00952000">
        <w:rPr>
          <w:rFonts w:cs="Times New Roman"/>
          <w:szCs w:val="24"/>
        </w:rPr>
        <w:t>.</w:t>
      </w:r>
    </w:p>
    <w:p w14:paraId="0A2657DE" w14:textId="77777777" w:rsidR="0051317D" w:rsidRDefault="0051317D" w:rsidP="0051317D">
      <w:pPr>
        <w:rPr>
          <w:rFonts w:cs="Times New Roman"/>
          <w:b/>
          <w:bCs/>
          <w:szCs w:val="24"/>
        </w:rPr>
      </w:pPr>
    </w:p>
    <w:p w14:paraId="7C0587BB" w14:textId="77777777" w:rsidR="0051317D" w:rsidRPr="008879EC" w:rsidRDefault="0051317D" w:rsidP="0051317D">
      <w:pPr>
        <w:rPr>
          <w:rFonts w:cs="Times New Roman"/>
          <w:i/>
          <w:iCs/>
          <w:szCs w:val="24"/>
          <w:u w:val="single"/>
        </w:rPr>
      </w:pPr>
      <w:r w:rsidRPr="008879EC">
        <w:rPr>
          <w:rFonts w:cs="Times New Roman"/>
          <w:i/>
          <w:iCs/>
          <w:szCs w:val="24"/>
          <w:u w:val="single"/>
        </w:rPr>
        <w:t>Типы катетеров</w:t>
      </w:r>
    </w:p>
    <w:p w14:paraId="7B3517F3" w14:textId="77777777" w:rsidR="0051317D" w:rsidRPr="00952000" w:rsidRDefault="0051317D" w:rsidP="0051317D">
      <w:pPr>
        <w:ind w:firstLine="708"/>
        <w:contextualSpacing/>
        <w:rPr>
          <w:rFonts w:cs="Times New Roman"/>
          <w:szCs w:val="24"/>
        </w:rPr>
      </w:pPr>
      <w:r w:rsidRPr="00952000">
        <w:rPr>
          <w:rFonts w:cs="Times New Roman"/>
          <w:i/>
          <w:szCs w:val="24"/>
        </w:rPr>
        <w:t>ЦВК</w:t>
      </w:r>
      <w:r w:rsidRPr="00952000">
        <w:rPr>
          <w:rFonts w:cs="Times New Roman"/>
          <w:szCs w:val="24"/>
        </w:rPr>
        <w:t xml:space="preserve"> – это полая трубка, устанавливаемая в одну из центральных вен. ЦВК изготавливаются из различных материалов, имеют разный диаметр. ЦВК могут быть оснащены клапанами на разных концах, или камерой на проксимальном конце, а также иметь один или несколько просветов, для возможности проведения одновременных инфузий несовместимых между собой растворов. </w:t>
      </w:r>
    </w:p>
    <w:p w14:paraId="3EE4D1C5" w14:textId="77777777" w:rsidR="0051317D" w:rsidRPr="00952000" w:rsidRDefault="0051317D" w:rsidP="0051317D">
      <w:pPr>
        <w:ind w:firstLine="700"/>
        <w:rPr>
          <w:rFonts w:eastAsia="Times New Roman" w:cs="Times New Roman"/>
          <w:i/>
          <w:szCs w:val="24"/>
          <w:lang w:eastAsia="ru-RU"/>
        </w:rPr>
      </w:pPr>
      <w:r w:rsidRPr="00952000">
        <w:rPr>
          <w:rFonts w:eastAsia="Times New Roman" w:cs="Times New Roman"/>
          <w:i/>
          <w:szCs w:val="24"/>
          <w:lang w:eastAsia="ru-RU"/>
        </w:rPr>
        <w:t>Нетуннелируемые катетеры</w:t>
      </w:r>
    </w:p>
    <w:p w14:paraId="6B503C38" w14:textId="69711D85" w:rsidR="0051317D" w:rsidRPr="00DE117D" w:rsidRDefault="0051317D" w:rsidP="0051317D">
      <w:pPr>
        <w:ind w:firstLine="700"/>
        <w:rPr>
          <w:rFonts w:eastAsia="Times New Roman" w:cs="Times New Roman"/>
          <w:strike/>
          <w:szCs w:val="24"/>
        </w:rPr>
      </w:pPr>
      <w:r w:rsidRPr="00952000">
        <w:rPr>
          <w:rFonts w:eastAsia="Times New Roman" w:cs="Times New Roman"/>
          <w:szCs w:val="24"/>
          <w:lang w:eastAsia="ru-RU"/>
        </w:rPr>
        <w:t xml:space="preserve">Это полиуретановые устройства длиной от 20 до 30 см и с внешним диаметром до 8 Fr, а в случае с катетером для проведения гемодиализа 12 </w:t>
      </w:r>
      <w:r w:rsidRPr="00952000">
        <w:rPr>
          <w:rFonts w:eastAsia="Times New Roman" w:cs="Times New Roman"/>
          <w:szCs w:val="24"/>
          <w:lang w:val="en-US" w:eastAsia="ru-RU"/>
        </w:rPr>
        <w:t>Fr</w:t>
      </w:r>
      <w:r w:rsidRPr="00952000">
        <w:rPr>
          <w:rFonts w:eastAsia="Times New Roman" w:cs="Times New Roman"/>
          <w:szCs w:val="24"/>
          <w:lang w:eastAsia="ru-RU"/>
        </w:rPr>
        <w:t>, которые имплантируются путем чрескожной пункции вены (внутренней ярёмной, подключичной, подмышечной или бедренной вены), с позиционированием дистального конца катетера у кава-атриального соединения. Использование в амбулаторных условиях не рекомендуется, так как риск инфицирования или случайного повреждения/удаления у них выше</w:t>
      </w:r>
      <w:r>
        <w:rPr>
          <w:rFonts w:eastAsia="Times New Roman" w:cs="Times New Roman"/>
          <w:szCs w:val="24"/>
          <w:lang w:eastAsia="ru-RU"/>
        </w:rPr>
        <w:t>,</w:t>
      </w:r>
      <w:r w:rsidRPr="00952000">
        <w:rPr>
          <w:rFonts w:eastAsia="Times New Roman" w:cs="Times New Roman"/>
          <w:szCs w:val="24"/>
          <w:lang w:eastAsia="ru-RU"/>
        </w:rPr>
        <w:t xml:space="preserve"> по сравнению с другими типами катетеров, вследствие того, что они не туннелированы и удерживаются на месте фиксирующим швом или при помощи устройства бесшовной фиксации на коже у места пункции </w:t>
      </w:r>
      <w:r w:rsidRPr="00952000">
        <w:rPr>
          <w:rFonts w:eastAsia="Times New Roman" w:cs="Times New Roman"/>
          <w:szCs w:val="24"/>
          <w:lang w:eastAsia="ru-RU"/>
        </w:rPr>
        <w:fldChar w:fldCharType="begin" w:fldLock="1"/>
      </w:r>
      <w:r w:rsidR="00844875">
        <w:rPr>
          <w:rFonts w:eastAsia="Times New Roman" w:cs="Times New Roman"/>
          <w:szCs w:val="24"/>
          <w:lang w:eastAsia="ru-RU"/>
        </w:rPr>
        <w:instrText>ADDIN CSL_CITATION {"citationItems":[{"id":"ITEM-1","itemData":{"DOI":"10.1590/1677-5449.008216","author":[{"dropping-particle":"","family":"Zerati","given":"A.E.","non-dropping-particle":"","parse-names":false,"suffix":""},{"dropping-particle":"","family":"Wolosker","given":"N","non-dropping-particle":"","parse-names":false,"suffix":""},{"dropping-particle":"","family":"Luccia","given":"N","non-dropping-particle":"de","parse-names":false,"suffix":""},{"dropping-particle":"","family":"Puech-Leão","given":"P.","non-dropping-particle":"","parse-names":false,"suffix":""}],"container-title":"J Vasc Bras.","id":"ITEM-1","issue":"2","issued":{"date-parts":[["2017"]]},"page":"128-139","title":"Totally implantable venous catheters : history , implantation technique and complications.","type":"article-journal","volume":"16"},"uris":["http://www.mendeley.com/documents/?uuid=d029e3cf-7ed7-47d9-8f50-87f7004ddbed","http://www.mendeley.com/documents/?uuid=5353e640-d658-416d-8033-f443a1c37557"]}],"mendeley":{"formattedCitation":"[89]","plainTextFormattedCitation":"[89]","previouslyFormattedCitation":"[89]"},"properties":{"noteIndex":0},"schema":"https://github.com/citation-style-language/schema/raw/master/csl-citation.json"}</w:instrText>
      </w:r>
      <w:r w:rsidRPr="00952000">
        <w:rPr>
          <w:rFonts w:eastAsia="Times New Roman" w:cs="Times New Roman"/>
          <w:szCs w:val="24"/>
          <w:lang w:eastAsia="ru-RU"/>
        </w:rPr>
        <w:fldChar w:fldCharType="separate"/>
      </w:r>
      <w:r w:rsidR="00CE1363" w:rsidRPr="00CE1363">
        <w:rPr>
          <w:rFonts w:eastAsia="Times New Roman" w:cs="Times New Roman"/>
          <w:noProof/>
          <w:szCs w:val="24"/>
          <w:lang w:eastAsia="ru-RU"/>
        </w:rPr>
        <w:t>[89]</w:t>
      </w:r>
      <w:r w:rsidRPr="00952000">
        <w:rPr>
          <w:rFonts w:eastAsia="Times New Roman" w:cs="Times New Roman"/>
          <w:szCs w:val="24"/>
          <w:lang w:eastAsia="ru-RU"/>
        </w:rPr>
        <w:fldChar w:fldCharType="end"/>
      </w:r>
      <w:r>
        <w:rPr>
          <w:rFonts w:eastAsia="Times New Roman" w:cs="Times New Roman"/>
          <w:szCs w:val="24"/>
          <w:lang w:eastAsia="ru-RU"/>
        </w:rPr>
        <w:t>. Существую</w:t>
      </w:r>
      <w:r w:rsidRPr="00952000">
        <w:rPr>
          <w:rFonts w:eastAsia="Times New Roman" w:cs="Times New Roman"/>
          <w:szCs w:val="24"/>
          <w:lang w:eastAsia="ru-RU"/>
        </w:rPr>
        <w:t>т версии катетеров с антимикробными или антисептическими покрытиями. Применение катетеров с покрытием требует дальнейшего изучения, так как не раскрыты вопросы антибиотикорезистентности</w:t>
      </w:r>
      <w:r>
        <w:rPr>
          <w:rFonts w:eastAsia="Times New Roman" w:cs="Times New Roman"/>
          <w:szCs w:val="24"/>
          <w:lang w:eastAsia="ru-RU"/>
        </w:rPr>
        <w:t xml:space="preserve">. </w:t>
      </w:r>
    </w:p>
    <w:p w14:paraId="00231F64" w14:textId="77777777" w:rsidR="0051317D" w:rsidRPr="00952000" w:rsidRDefault="0051317D" w:rsidP="0051317D">
      <w:pPr>
        <w:ind w:firstLine="708"/>
        <w:rPr>
          <w:rFonts w:eastAsia="Times New Roman" w:cs="Times New Roman"/>
          <w:i/>
          <w:szCs w:val="24"/>
          <w:lang w:eastAsia="ru-RU"/>
        </w:rPr>
      </w:pPr>
      <w:r w:rsidRPr="00952000">
        <w:rPr>
          <w:rFonts w:eastAsia="Times New Roman" w:cs="Times New Roman"/>
          <w:i/>
          <w:szCs w:val="24"/>
          <w:lang w:eastAsia="ru-RU"/>
        </w:rPr>
        <w:t xml:space="preserve">Туннелируемые катетеры </w:t>
      </w:r>
    </w:p>
    <w:p w14:paraId="5E77FA4C" w14:textId="0C373FF3" w:rsidR="0051317D" w:rsidRPr="00952000" w:rsidRDefault="0051317D" w:rsidP="0051317D">
      <w:pPr>
        <w:ind w:firstLine="708"/>
        <w:rPr>
          <w:rFonts w:eastAsia="Times New Roman" w:cs="Times New Roman"/>
          <w:strike/>
          <w:szCs w:val="24"/>
          <w:lang w:eastAsia="ru-RU"/>
        </w:rPr>
      </w:pPr>
      <w:r w:rsidRPr="00952000">
        <w:rPr>
          <w:rFonts w:eastAsia="Times New Roman" w:cs="Times New Roman"/>
          <w:szCs w:val="24"/>
          <w:lang w:eastAsia="ru-RU"/>
        </w:rPr>
        <w:t xml:space="preserve">Туннелируемые катетеры – это имплантируемые катетеры, у которых при помощи подкожного туннеля разнесены места пункции вены и выхода на кожу. Внутри туннеля катетер имеет манжету, которая, врастая в окружающие ткани, фиксирует катетер в туннеле и препятствует распространению инфекции </w:t>
      </w:r>
      <w:r w:rsidRPr="00952000">
        <w:rPr>
          <w:rFonts w:eastAsia="Times New Roman" w:cs="Times New Roman"/>
          <w:szCs w:val="24"/>
          <w:lang w:eastAsia="ru-RU"/>
        </w:rPr>
        <w:fldChar w:fldCharType="begin" w:fldLock="1"/>
      </w:r>
      <w:r w:rsidR="00844875">
        <w:rPr>
          <w:rFonts w:eastAsia="Times New Roman" w:cs="Times New Roman"/>
          <w:szCs w:val="24"/>
          <w:lang w:eastAsia="ru-RU"/>
        </w:rPr>
        <w:instrText>ADDIN CSL_CITATION {"citationItems":[{"id":"ITEM-1","itemData":{"DOI":"10.1016/j.amjsurg.2017.03.021","ISSN":"18791883","PMID":"28364951","abstract":"Background Tunneled central venous catheters (CVC) were developed five decades ago. Since then, several clinician-inventors have created a variety of catheters with different functions. Indeed, many catheters have been named after their inventor. Many have wondered who the inventors were of each catheter, and what specifically inspired their inventions. Many of these compelling stories have yet to be told. Data source A literature review of common catheters and personal communication with inventors. Only first person accounts from inventors or those close to the invention were used. Conclusions CVCs are now essential devices that have saved countless lives. Though the inventors have earned the honor of naming their catheters, it may be reasonable to consider more consistent terminology to describe these catheters to avoid confusion.","author":[{"dropping-particle":"","family":"Gow","given":"Kenneth W.","non-dropping-particle":"","parse-names":false,"suffix":""},{"dropping-particle":"","family":"Tapper","given":"David","non-dropping-particle":"","parse-names":false,"suffix":""},{"dropping-particle":"","family":"Hickman","given":"Robert O.","non-dropping-particle":"","parse-names":false,"suffix":""}],"container-title":"American Journal of Surgery","id":"ITEM-1","issue":"5","issued":{"date-parts":[["2017"]]},"page":"837-848","publisher":"Elsevier Ltd","title":"Between the lines: The 50th anniversary of long-term central venous catheters","type":"article-journal","volume":"213"},"uris":["http://www.mendeley.com/documents/?uuid=161c3217-d679-4fd1-9554-18030d03e6fc","http://www.mendeley.com/documents/?uuid=fd0b87b9-b50a-4553-a221-0efbeb55e54e"]}],"mendeley":{"formattedCitation":"[90]","plainTextFormattedCitation":"[90]","previouslyFormattedCitation":"[90]"},"properties":{"noteIndex":0},"schema":"https://github.com/citation-style-language/schema/raw/master/csl-citation.json"}</w:instrText>
      </w:r>
      <w:r w:rsidRPr="00952000">
        <w:rPr>
          <w:rFonts w:eastAsia="Times New Roman" w:cs="Times New Roman"/>
          <w:szCs w:val="24"/>
          <w:lang w:eastAsia="ru-RU"/>
        </w:rPr>
        <w:fldChar w:fldCharType="separate"/>
      </w:r>
      <w:r w:rsidR="00CE1363" w:rsidRPr="00CE1363">
        <w:rPr>
          <w:rFonts w:eastAsia="Times New Roman" w:cs="Times New Roman"/>
          <w:noProof/>
          <w:szCs w:val="24"/>
          <w:lang w:eastAsia="ru-RU"/>
        </w:rPr>
        <w:t>[90]</w:t>
      </w:r>
      <w:r w:rsidRPr="00952000">
        <w:rPr>
          <w:rFonts w:eastAsia="Times New Roman" w:cs="Times New Roman"/>
          <w:szCs w:val="24"/>
          <w:lang w:eastAsia="ru-RU"/>
        </w:rPr>
        <w:fldChar w:fldCharType="end"/>
      </w:r>
      <w:r w:rsidRPr="00952000">
        <w:rPr>
          <w:rFonts w:eastAsia="Times New Roman" w:cs="Times New Roman"/>
          <w:szCs w:val="24"/>
          <w:lang w:eastAsia="ru-RU"/>
        </w:rPr>
        <w:t xml:space="preserve">. </w:t>
      </w:r>
    </w:p>
    <w:p w14:paraId="3BCA0D94" w14:textId="4E4C173D" w:rsidR="0051317D" w:rsidRPr="00952000" w:rsidRDefault="0051317D" w:rsidP="0051317D">
      <w:pPr>
        <w:ind w:firstLine="708"/>
        <w:rPr>
          <w:rFonts w:eastAsia="Times New Roman" w:cs="Times New Roman"/>
          <w:szCs w:val="24"/>
          <w:lang w:eastAsia="ru-RU"/>
        </w:rPr>
      </w:pPr>
      <w:r w:rsidRPr="00952000">
        <w:rPr>
          <w:rFonts w:eastAsia="Times New Roman" w:cs="Times New Roman"/>
          <w:szCs w:val="24"/>
          <w:lang w:eastAsia="ru-RU"/>
        </w:rPr>
        <w:t>Туннелируемый тип катетера предпочтительнее нетуннелируемого</w:t>
      </w:r>
      <w:r>
        <w:rPr>
          <w:rFonts w:eastAsia="Times New Roman" w:cs="Times New Roman"/>
          <w:szCs w:val="24"/>
          <w:lang w:eastAsia="ru-RU"/>
        </w:rPr>
        <w:t>, особенно</w:t>
      </w:r>
      <w:r w:rsidRPr="00952000">
        <w:rPr>
          <w:rFonts w:eastAsia="Times New Roman" w:cs="Times New Roman"/>
          <w:szCs w:val="24"/>
          <w:lang w:eastAsia="ru-RU"/>
        </w:rPr>
        <w:t xml:space="preserve"> при необходимости проведения массивной инфузионной терапии </w:t>
      </w:r>
      <w:r>
        <w:rPr>
          <w:rFonts w:eastAsia="Times New Roman" w:cs="Times New Roman"/>
          <w:szCs w:val="24"/>
          <w:lang w:eastAsia="ru-RU"/>
        </w:rPr>
        <w:t>в течение более 3 недель</w:t>
      </w:r>
      <w:r w:rsidRPr="00952000">
        <w:rPr>
          <w:rFonts w:eastAsia="Times New Roman" w:cs="Times New Roman"/>
          <w:szCs w:val="24"/>
          <w:lang w:eastAsia="ru-RU"/>
        </w:rPr>
        <w:t xml:space="preserve">, особенно у онкогематологических пациентов </w:t>
      </w:r>
      <w:r w:rsidRPr="00952000">
        <w:rPr>
          <w:rFonts w:eastAsia="Times New Roman" w:cs="Times New Roman"/>
          <w:szCs w:val="24"/>
          <w:lang w:eastAsia="ru-RU"/>
        </w:rPr>
        <w:fldChar w:fldCharType="begin" w:fldLock="1"/>
      </w:r>
      <w:r w:rsidR="00844875">
        <w:rPr>
          <w:rFonts w:eastAsia="Times New Roman" w:cs="Times New Roman"/>
          <w:szCs w:val="24"/>
          <w:lang w:eastAsia="ru-RU"/>
        </w:rPr>
        <w:instrText>ADDIN CSL_CITATION {"citationItems":[{"id":"ITEM-1","itemData":{"DOI":"10.4274/tjh.2013.0278","ISSN":"1300-7777","PMID":"25805675","abstract":"OBJECTIVE Haematopoietic stem cell recipients need central venous catheters (CVCs) for easy administration of intravenous fluid, medications, apheresis, or dialysis procedures. However, CVCs may lead to infectious or non-infectious complications such as thrombosis. The effect of these complications on transplantation outcome is not clear. This manuscript presents the complication rates of double-lumen tunnelled CVCs and their effect on transplantation outcome. MATERIALS AND METHODS Data from 111 consecutive patients, of whom 75 received autologous and 36 received allogeneic peripheral blood stem cell transplantations, were collected retrospectively. The data were validated by the Record Inspection Group of the related JACIE-accredited transplantation centre. RESULTS Thrombosis developed in 2.7% of recipients (0.9 per 1000 catheter days). Catheter-related infection was identified in 14 (12.6%) patients (3.6 per 1000 catheter days). Coagulase-negative Staphylococcus was the most common causative agent. Engraftment time, rate of 100-day mortality, and development of grade II-IV graft-versus-host disease were not found to be associated with catheter-related complications. CONCLUSION These results indicate that adverse events related with tunnelled CVCs are manageable and have no negative effects on transplant outcome. Amaç: Hematopoetik kök hücre nakli alıcıları damar içi mayi, ilaç, aferez ve diyaliz işlemleri için santral venöz kateterlere (SVK) ihtiyaç duyarlar. Ancak SVK’ların enfeksiyöz ve tromboz gibi enfeksiyöz olmayan komplikasyonları vardır. Bu komplikasyonların nakil sürecine etkisi net değildir. Bu çalışma ile çift lümen tünelli santral kateter komplikasyonlarının sıklığı ve nakil sürecine etkisi araştırılmıştır. Gereç ve Yöntemler: Geriye dönük olarak 75 otolog ve 39 allojeneik periferik kök hücre nakli uygulanan toplam 111 hastanın verileri toparlandı. Verilerin doğruluğu JACIE akredite merkezimizin kayıt denetleme grubu tarafından kontrol edildi. Bulgular: Olguların %2,7’sinde tromboz gelişti (1000 kateter gününde 0,9). Hastaların 14’ünde (%12,6) kateter ilişkili enfeksiyon tesbit edildi (1000 kateter gününde 3,6). Koagulaz negatif Stafilokoklar en sık etken idi. Kateter ilişkili komplikasyonlar ile engrafman zamanı, evre II-IV graft versus host hastalığı ve 100 günlük mortalite arasında bir ilişki saptanmadı. Sonuç: Sonuçlarımız nakil hastalarında tünelli SVK komplikasyonlarının yönetilebilir olduğunu ve bu komplikasyonların nakil üzerine olu…","author":[{"dropping-particle":"","family":"Yeral","given":"Mahmut","non-dropping-particle":"","parse-names":false,"suffix":""},{"dropping-particle":"","family":"Boğa","given":"Can","non-dropping-particle":"","parse-names":false,"suffix":""},{"dropping-particle":"","family":"Oğuzkurt","given":"Levent","non-dropping-particle":"","parse-names":false,"suffix":""},{"dropping-particle":"","family":"Alışkan","given":"Hikmet Eda","non-dropping-particle":"","parse-names":false,"suffix":""},{"dropping-particle":"","family":"Özdoğu","given":"Hakan","non-dropping-particle":"","parse-names":false,"suffix":""},{"dropping-particle":"","family":"Demiroğlu","given":"Yusuf Ziya","non-dropping-particle":"","parse-names":false,"suffix":""}],"container-title":"Turkish journal of haematology : official journal of Turkish Society of Haematology","id":"ITEM-1","issue":"1","issued":{"date-parts":[["2015","3"]]},"page":"51-7","publisher":"Galenos Yayinevi","title":"Tunnelled central venous catheter-related problems in the early phase of haematopoietic stem cell transplantation and effects on transplant outcome.","type":"article-journal","volume":"32"},"uris":["http://www.mendeley.com/documents/?uuid=2bc92935-3e96-3617-9553-d5dd4c0694cf","http://www.mendeley.com/documents/?uuid=af150765-c543-48ae-8459-7ae0c47be16e"]}],"mendeley":{"formattedCitation":"[91]","plainTextFormattedCitation":"[91]","previouslyFormattedCitation":"[91]"},"properties":{"noteIndex":0},"schema":"https://github.com/citation-style-language/schema/raw/master/csl-citation.json"}</w:instrText>
      </w:r>
      <w:r w:rsidRPr="00952000">
        <w:rPr>
          <w:rFonts w:eastAsia="Times New Roman" w:cs="Times New Roman"/>
          <w:szCs w:val="24"/>
          <w:lang w:eastAsia="ru-RU"/>
        </w:rPr>
        <w:fldChar w:fldCharType="separate"/>
      </w:r>
      <w:r w:rsidR="00CE1363" w:rsidRPr="00CE1363">
        <w:rPr>
          <w:rFonts w:eastAsia="Times New Roman" w:cs="Times New Roman"/>
          <w:noProof/>
          <w:szCs w:val="24"/>
          <w:lang w:eastAsia="ru-RU"/>
        </w:rPr>
        <w:t>[91]</w:t>
      </w:r>
      <w:r w:rsidRPr="00952000">
        <w:rPr>
          <w:rFonts w:eastAsia="Times New Roman" w:cs="Times New Roman"/>
          <w:szCs w:val="24"/>
          <w:lang w:eastAsia="ru-RU"/>
        </w:rPr>
        <w:fldChar w:fldCharType="end"/>
      </w:r>
      <w:r w:rsidRPr="00952000">
        <w:rPr>
          <w:rFonts w:eastAsia="Times New Roman" w:cs="Times New Roman"/>
          <w:szCs w:val="24"/>
          <w:lang w:eastAsia="ru-RU"/>
        </w:rPr>
        <w:t xml:space="preserve">. </w:t>
      </w:r>
    </w:p>
    <w:p w14:paraId="5177B211" w14:textId="77777777" w:rsidR="0051317D" w:rsidRPr="00952000" w:rsidRDefault="0051317D" w:rsidP="0051317D">
      <w:pPr>
        <w:ind w:firstLine="708"/>
        <w:rPr>
          <w:rFonts w:eastAsia="Times New Roman" w:cs="Times New Roman"/>
          <w:i/>
          <w:szCs w:val="24"/>
          <w:lang w:eastAsia="ru-RU"/>
        </w:rPr>
      </w:pPr>
      <w:r w:rsidRPr="00952000">
        <w:rPr>
          <w:rFonts w:eastAsia="Times New Roman" w:cs="Times New Roman"/>
          <w:i/>
          <w:szCs w:val="24"/>
          <w:lang w:eastAsia="ru-RU"/>
        </w:rPr>
        <w:t xml:space="preserve">Порт-системы </w:t>
      </w:r>
    </w:p>
    <w:p w14:paraId="77F72511" w14:textId="230FFA8C" w:rsidR="0051317D" w:rsidRPr="00952000" w:rsidRDefault="0051317D" w:rsidP="0051317D">
      <w:pPr>
        <w:ind w:firstLine="708"/>
        <w:rPr>
          <w:rFonts w:eastAsia="Times New Roman" w:cs="Times New Roman"/>
          <w:szCs w:val="24"/>
          <w:lang w:eastAsia="ru-RU"/>
        </w:rPr>
      </w:pPr>
      <w:r w:rsidRPr="00952000">
        <w:rPr>
          <w:rFonts w:eastAsia="Times New Roman" w:cs="Times New Roman"/>
          <w:szCs w:val="24"/>
          <w:lang w:eastAsia="ru-RU"/>
        </w:rPr>
        <w:t>Полностью имплантируемые венозные устройства доступа используются для обеспечения долгосрочного центрального венозного доступа при проведении химиотерапии, парентерального питания, обеспечения возможности профилактического введения фактора свёртывания при наследственных коагулопатиях, например, гемофилии. Порт-системы</w:t>
      </w:r>
      <w:r w:rsidRPr="00952000">
        <w:rPr>
          <w:rFonts w:eastAsia="Times New Roman" w:cs="Times New Roman"/>
          <w:strike/>
          <w:szCs w:val="24"/>
          <w:lang w:eastAsia="ru-RU"/>
        </w:rPr>
        <w:t xml:space="preserve"> </w:t>
      </w:r>
      <w:r w:rsidRPr="00952000">
        <w:rPr>
          <w:rFonts w:eastAsia="Times New Roman" w:cs="Times New Roman"/>
          <w:szCs w:val="24"/>
          <w:lang w:eastAsia="ru-RU"/>
        </w:rPr>
        <w:t xml:space="preserve">полностью скрыты от внешней среды под кожей, их наличие никак не влияет на физическую активность пациентов и считается, что порт-система – это наименее подверженный инфицированию тип ЦВК </w:t>
      </w:r>
      <w:r w:rsidRPr="00952000">
        <w:rPr>
          <w:rFonts w:eastAsia="Times New Roman" w:cs="Times New Roman"/>
          <w:szCs w:val="24"/>
          <w:lang w:eastAsia="ru-RU"/>
        </w:rPr>
        <w:fldChar w:fldCharType="begin" w:fldLock="1"/>
      </w:r>
      <w:r w:rsidR="00844875">
        <w:rPr>
          <w:rFonts w:eastAsia="Times New Roman" w:cs="Times New Roman"/>
          <w:szCs w:val="24"/>
          <w:lang w:eastAsia="ru-RU"/>
        </w:rPr>
        <w:instrText>ADDIN CSL_CITATION {"citationItems":[{"id":"ITEM-1","itemData":{"DOI":"10.4065/81.9.1159","ISSN":"00256196","abstract":"&lt;h3&gt;OBJECTIVE&lt;/h3&gt;&lt;p&gt;To better understand the absolute and relative risks of bloodstream infection (BSI) associated with the various types of intravascular devices (IVDs), we analyzed 200 published studies of adults in which every device in the study population was prospectively evaluated for evidence of associated infection and microbiologically based criteria were used to define IVD-related BSI.&lt;/p&gt;&lt;h3&gt;METHODS&lt;/h3&gt;&lt;p&gt;English-language reports of prospective studies of adults published between January 1, 1966, and July 1, 2005, were identified by MEDLINE search using the following general search strategy: bacteremia [Medical Subject Heading, MeSH] OR septicemia [MeSH] OR bloodstream infection AND the specific type of intravascular device (eg, central venous port). Mean rates of IVD-related BSI were calculated from pooled data for each type of device and expressed as BSIs per 100 IVDs (%) and per 1000 IVD days.&lt;/p&gt;&lt;h3&gt;RESULTS&lt;/h3&gt;&lt;p&gt;Point incidence rates of IVD-related BSI were lowest with peripheral intravenous catheters (0.1%, 0.5 per 1000 IVD-days) and midline catheters (0.4%, 0.2 per 1000 catheter-days). Far higher rates were seen with short-term noncuffed and nonmedicated central venous catheters (CVCs) (4.4%, 2.7 per 1000 catheter-days). Arterial catheters used for hemodynamic monitoring (0.8%, 1.7 per 1000 catheter-days) and peripherally inserted central catheters used in hospitalized patients (2.4%, 2.1 per 1000 catheter-days) posed risks approaching those seen with short-term conventional CVCs used in the intensive care unit. Surgically implanted long-term central venous devices—cuffed and tunneled catheters (22.5%, 1.6 per 1000 IVD-days) and central venous ports (3.6%, 0.1 per 1000 IVD-days)—appear to have high rates of infection when risk is expressed as BSIs per 100 IVDs but actually pose much lower risk when rates are expressed per 1000 IVD-days. The use of cuffed and tunneled dual lumen CVCs rather than noncuffed, nontunneled catheters for temporary hemodialysis and novel preventive technologies, such as CVCs with anti-infective surfaces, was associated with considerably lower rates of catheter-related BSI.&lt;/p&gt;&lt;h3&gt;CONCLUSIONS&lt;/h3&gt;&lt;p&gt;Expressing risk of IVD-related BSI per 1000 IVD-days rather than BSIs per 100 IVDs allows for more meaningful estimates of risk. These data, based on prospective studies in which every IVD in the study cohort was analyzed for evidence of infection by microbiologically based criteria, show that &lt;i&gt;all&lt;/i&gt; types o…","author":[{"dropping-particle":"","family":"Maki","given":"Dennis G.","non-dropping-particle":"","parse-names":false,"suffix":""},{"dropping-particle":"","family":"Kluger","given":"Daniel M.","non-dropping-particle":"","parse-names":false,"suffix":""},{"dropping-particle":"","family":"Crnich","given":"Christopher J.","non-dropping-particle":"","parse-names":false,"suffix":""}],"container-title":"Mayo Clinic Proceedings","id":"ITEM-1","issue":"9","issued":{"date-parts":[["2006","9"]]},"page":"1159-1171","publisher":"Elsevier","title":"The Risk of Bloodstream Infection in Adults With Different Intravascular Devices: A Systematic Review of 200 Published Prospective Studies","type":"article-journal","volume":"81"},"uris":["http://www.mendeley.com/documents/?uuid=f5c4baf8-7e14-301a-815e-3dfe468d40e4","http://www.mendeley.com/documents/?uuid=3cd9be52-e3e0-46b8-abdf-c9f0acf4135d"]}],"mendeley":{"formattedCitation":"[92]","plainTextFormattedCitation":"[92]","previouslyFormattedCitation":"[92]"},"properties":{"noteIndex":0},"schema":"https://github.com/citation-style-language/schema/raw/master/csl-citation.json"}</w:instrText>
      </w:r>
      <w:r w:rsidRPr="00952000">
        <w:rPr>
          <w:rFonts w:eastAsia="Times New Roman" w:cs="Times New Roman"/>
          <w:szCs w:val="24"/>
          <w:lang w:eastAsia="ru-RU"/>
        </w:rPr>
        <w:fldChar w:fldCharType="separate"/>
      </w:r>
      <w:r w:rsidR="00CE1363" w:rsidRPr="00CE1363">
        <w:rPr>
          <w:rFonts w:eastAsia="Times New Roman" w:cs="Times New Roman"/>
          <w:noProof/>
          <w:szCs w:val="24"/>
          <w:lang w:eastAsia="ru-RU"/>
        </w:rPr>
        <w:t>[92]</w:t>
      </w:r>
      <w:r w:rsidRPr="00952000">
        <w:rPr>
          <w:rFonts w:eastAsia="Times New Roman" w:cs="Times New Roman"/>
          <w:szCs w:val="24"/>
          <w:lang w:eastAsia="ru-RU"/>
        </w:rPr>
        <w:fldChar w:fldCharType="end"/>
      </w:r>
      <w:r w:rsidRPr="00952000">
        <w:rPr>
          <w:rFonts w:eastAsia="Times New Roman" w:cs="Times New Roman"/>
          <w:szCs w:val="24"/>
          <w:lang w:eastAsia="ru-RU"/>
        </w:rPr>
        <w:t xml:space="preserve">. </w:t>
      </w:r>
    </w:p>
    <w:p w14:paraId="5F55F6C8" w14:textId="77777777" w:rsidR="0051317D" w:rsidRPr="00952000" w:rsidRDefault="0051317D" w:rsidP="0051317D">
      <w:pPr>
        <w:ind w:firstLine="708"/>
        <w:rPr>
          <w:rFonts w:eastAsia="Times New Roman" w:cs="Times New Roman"/>
          <w:szCs w:val="24"/>
          <w:lang w:eastAsia="ru-RU"/>
        </w:rPr>
      </w:pPr>
      <w:r w:rsidRPr="00952000">
        <w:rPr>
          <w:rFonts w:eastAsia="Times New Roman" w:cs="Times New Roman"/>
          <w:szCs w:val="24"/>
          <w:lang w:eastAsia="ru-RU"/>
        </w:rPr>
        <w:t xml:space="preserve">В настоящее время существует множество модификаций порт-систем, в т.ч. МРТ совместимые модификации и изделия, обладающие высокой пропускной способностью, позволяющие проводить введение контрастных веществ с использованием автоматических устройств. </w:t>
      </w:r>
    </w:p>
    <w:p w14:paraId="7FE94F5D" w14:textId="77777777" w:rsidR="0051317D" w:rsidRPr="00952000" w:rsidRDefault="0051317D" w:rsidP="0051317D">
      <w:pPr>
        <w:ind w:firstLine="708"/>
        <w:rPr>
          <w:rFonts w:eastAsia="Times New Roman" w:cs="Times New Roman"/>
          <w:i/>
          <w:szCs w:val="24"/>
          <w:lang w:eastAsia="ru-RU"/>
        </w:rPr>
      </w:pPr>
      <w:r w:rsidRPr="00952000">
        <w:rPr>
          <w:rFonts w:eastAsia="Times New Roman" w:cs="Times New Roman"/>
          <w:i/>
          <w:szCs w:val="24"/>
          <w:lang w:eastAsia="ru-RU"/>
        </w:rPr>
        <w:t>Периферически имплантируемые центральные венозные катетеры.</w:t>
      </w:r>
    </w:p>
    <w:p w14:paraId="34969487" w14:textId="177C6E37" w:rsidR="0051317D" w:rsidRPr="00952000" w:rsidRDefault="0051317D" w:rsidP="0051317D">
      <w:pPr>
        <w:ind w:firstLine="708"/>
        <w:rPr>
          <w:rFonts w:eastAsia="Times New Roman" w:cs="Times New Roman"/>
          <w:szCs w:val="24"/>
          <w:lang w:eastAsia="ru-RU"/>
        </w:rPr>
      </w:pPr>
      <w:r w:rsidRPr="00952000">
        <w:rPr>
          <w:rFonts w:eastAsia="Times New Roman" w:cs="Times New Roman"/>
          <w:szCs w:val="24"/>
          <w:lang w:eastAsia="ru-RU"/>
        </w:rPr>
        <w:t>Периферически имплантируемые центральные венозные катетеры (ПИЦВК) – это катетеры для долговременного центрального венозного доступа, которые устанавливают через одну из периферических вен руки в центральную вену. ПИЦВК изготавливаются из силикона или полиуретана, они могут быть одно-, двух- и трехпросветными, их диаметр различный, от 3 Fr до 7 Fr. ПИЦВК используют для проведения терапии</w:t>
      </w:r>
      <w:r>
        <w:rPr>
          <w:rFonts w:eastAsia="Times New Roman" w:cs="Times New Roman"/>
          <w:szCs w:val="24"/>
          <w:lang w:eastAsia="ru-RU"/>
        </w:rPr>
        <w:t xml:space="preserve"> </w:t>
      </w:r>
      <w:r w:rsidRPr="00952000">
        <w:rPr>
          <w:rFonts w:eastAsia="Times New Roman" w:cs="Times New Roman"/>
          <w:szCs w:val="24"/>
          <w:lang w:eastAsia="ru-RU"/>
        </w:rPr>
        <w:t xml:space="preserve">(химиотерапия, гемостатическая терапия и т.д.), в среднем, от 6 мес. до 1 года и рассматривают как вариант центрального венозного доступа, который может использоваться как в стационарных, так и в амбулаторных условиях, как ежедневно, так и периодически, обеспечивая пациенту безопасность и комфорт </w:t>
      </w:r>
      <w:r w:rsidRPr="00952000">
        <w:rPr>
          <w:rFonts w:eastAsia="Times New Roman" w:cs="Times New Roman"/>
          <w:szCs w:val="24"/>
          <w:lang w:eastAsia="ru-RU"/>
        </w:rPr>
        <w:fldChar w:fldCharType="begin" w:fldLock="1"/>
      </w:r>
      <w:r w:rsidR="00844875">
        <w:rPr>
          <w:rFonts w:eastAsia="Times New Roman" w:cs="Times New Roman"/>
          <w:szCs w:val="24"/>
          <w:lang w:eastAsia="ru-RU"/>
        </w:rPr>
        <w:instrText>ADDIN CSL_CITATION {"citationItems":[{"id":"ITEM-1","itemData":{"DOI":"10.1002/9780470750186","ISBN":"9780470750186","author":[{"dropping-particle":"","family":"Hamilton","given":"Helen","non-dropping-particle":"","parse-names":false,"suffix":""}],"editor":[{"dropping-particle":"","family":"Bodenham","given":"Andrew R.","non-dropping-particle":"","parse-names":false,"suffix":""}],"id":"ITEM-1","issued":{"date-parts":[["2009","2"]]},"publisher":"Wiley-Blackwell","publisher-place":"Oxford, UK","title":"Central Venous Catheters","type":"book"},"uris":["http://www.mendeley.com/documents/?uuid=e2be4192-4b13-32c7-ac3a-c1ee92dec830","http://www.mendeley.com/documents/?uuid=e9419574-fa82-44c8-8d1a-190e223d334b"]}],"mendeley":{"formattedCitation":"[93]","plainTextFormattedCitation":"[93]","previouslyFormattedCitation":"[93]"},"properties":{"noteIndex":0},"schema":"https://github.com/citation-style-language/schema/raw/master/csl-citation.json"}</w:instrText>
      </w:r>
      <w:r w:rsidRPr="00952000">
        <w:rPr>
          <w:rFonts w:eastAsia="Times New Roman" w:cs="Times New Roman"/>
          <w:szCs w:val="24"/>
          <w:lang w:eastAsia="ru-RU"/>
        </w:rPr>
        <w:fldChar w:fldCharType="separate"/>
      </w:r>
      <w:r w:rsidR="00CE1363" w:rsidRPr="00CE1363">
        <w:rPr>
          <w:rFonts w:eastAsia="Times New Roman" w:cs="Times New Roman"/>
          <w:noProof/>
          <w:szCs w:val="24"/>
          <w:lang w:eastAsia="ru-RU"/>
        </w:rPr>
        <w:t>[93]</w:t>
      </w:r>
      <w:r w:rsidRPr="00952000">
        <w:rPr>
          <w:rFonts w:eastAsia="Times New Roman" w:cs="Times New Roman"/>
          <w:szCs w:val="24"/>
          <w:lang w:eastAsia="ru-RU"/>
        </w:rPr>
        <w:fldChar w:fldCharType="end"/>
      </w:r>
      <w:r w:rsidRPr="00952000">
        <w:rPr>
          <w:rFonts w:eastAsia="Times New Roman" w:cs="Times New Roman"/>
          <w:szCs w:val="24"/>
          <w:lang w:eastAsia="ru-RU"/>
        </w:rPr>
        <w:fldChar w:fldCharType="begin" w:fldLock="1"/>
      </w:r>
      <w:r w:rsidR="00844875">
        <w:rPr>
          <w:rFonts w:eastAsia="Times New Roman" w:cs="Times New Roman"/>
          <w:szCs w:val="24"/>
          <w:lang w:val="en-US" w:eastAsia="ru-RU"/>
        </w:rPr>
        <w:instrText>ADDIN CSL_CITATION {"citationItems":[{"id":"ITEM-1","itemData":{"DOI":"10.1007/978-88-470-5665-7_1","author":[{"dropping-particle":"","family":"Biffi","given":"Roberto","non-dropping-particle":"","parse-names":false,"suffix":""}],"container-title":"Peripherally Inserted Central Venous Catheters","id":"ITEM-1","issued":{"date-parts":[["2014"]]},"page":"1-6","publisher":"Springer Milan","publisher-place":"Milano","title":"Introduction and Overview of PICC History","type":"chapter"},"uris":["http://www.mendeley.com/documents/?uuid=7dba9d59-13c1-354f-9c32-ced4c0b75a01","http://www.mendeley.com/documents/?uuid=575e509f-3cbc-47da-b3dc-996cea404095"]}],"mendeley":{"formattedCitation":"[94]","plainTextFormattedCitation":"[94]","previouslyFormattedCitation":"[94]"},"properties":{"noteIndex":0},"schema":"https://github.com/citation-style-language/schema/raw/master/csl-citation.json"}</w:instrText>
      </w:r>
      <w:r w:rsidRPr="00952000">
        <w:rPr>
          <w:rFonts w:eastAsia="Times New Roman" w:cs="Times New Roman"/>
          <w:szCs w:val="24"/>
          <w:lang w:eastAsia="ru-RU"/>
        </w:rPr>
        <w:fldChar w:fldCharType="separate"/>
      </w:r>
      <w:r w:rsidR="00CE1363" w:rsidRPr="00CE1363">
        <w:rPr>
          <w:rFonts w:eastAsia="Times New Roman" w:cs="Times New Roman"/>
          <w:noProof/>
          <w:szCs w:val="24"/>
          <w:lang w:eastAsia="ru-RU"/>
        </w:rPr>
        <w:t>[94]</w:t>
      </w:r>
      <w:r w:rsidRPr="00952000">
        <w:rPr>
          <w:rFonts w:eastAsia="Times New Roman" w:cs="Times New Roman"/>
          <w:szCs w:val="24"/>
          <w:lang w:eastAsia="ru-RU"/>
        </w:rPr>
        <w:fldChar w:fldCharType="end"/>
      </w:r>
      <w:r w:rsidRPr="00952000">
        <w:rPr>
          <w:rFonts w:eastAsia="Times New Roman" w:cs="Times New Roman"/>
          <w:szCs w:val="24"/>
          <w:lang w:eastAsia="ru-RU"/>
        </w:rPr>
        <w:t>. ПИЦВК имеют ряд преимуществ перед обычными ЦВК. При их установке исключен риск пневмоторакса и гемоторакса, пациенты отмечают больший комфорт, иногда предпочитают по косметическим причинам. Важным преимуществом ПИЦВК является и меньшее количество инфекционных осложнений. ПИЦВК практически незаменимы при наличии выраженного геморрагического синдрома.</w:t>
      </w:r>
    </w:p>
    <w:p w14:paraId="0FCCCEB2" w14:textId="77777777" w:rsidR="0051317D" w:rsidRPr="00952000" w:rsidRDefault="0051317D" w:rsidP="0051317D">
      <w:pPr>
        <w:ind w:firstLine="708"/>
        <w:rPr>
          <w:rFonts w:eastAsia="Times New Roman" w:cs="Times New Roman"/>
          <w:i/>
          <w:szCs w:val="24"/>
          <w:lang w:eastAsia="ru-RU"/>
        </w:rPr>
      </w:pPr>
      <w:r w:rsidRPr="00952000">
        <w:rPr>
          <w:rFonts w:eastAsia="Times New Roman" w:cs="Times New Roman"/>
          <w:i/>
          <w:szCs w:val="24"/>
          <w:lang w:eastAsia="ru-RU"/>
        </w:rPr>
        <w:t>Диализные катетеры.</w:t>
      </w:r>
    </w:p>
    <w:p w14:paraId="3F22395D" w14:textId="77777777" w:rsidR="0051317D" w:rsidRPr="00952000" w:rsidRDefault="0051317D" w:rsidP="0051317D">
      <w:pPr>
        <w:ind w:firstLine="700"/>
        <w:rPr>
          <w:rFonts w:cs="Times New Roman"/>
          <w:szCs w:val="24"/>
        </w:rPr>
      </w:pPr>
      <w:r w:rsidRPr="00952000">
        <w:rPr>
          <w:rFonts w:eastAsia="Times New Roman" w:cs="Times New Roman"/>
          <w:szCs w:val="24"/>
          <w:lang w:eastAsia="ru-RU"/>
        </w:rPr>
        <w:t xml:space="preserve">Отдельное место занимают так называемые диализные катетеры, то есть катетеры, которые используются для проведения заместительной почечной терапии, а также процедур плазмафереза и лейкоцитафереза, сбора гемопоэтических стволовых клеток. Связано это с большим диаметром катетера, а также особенностями строения дистального конца катетера. </w:t>
      </w:r>
      <w:r w:rsidRPr="00952000">
        <w:rPr>
          <w:rFonts w:cs="Times New Roman"/>
          <w:szCs w:val="24"/>
        </w:rPr>
        <w:t>Они устанавливаются на время формирования (“созревания”) фистулы или протеза у больных с хронической почечной недостаточностью, нуждающихся в программном гемодиализе или в качестве единственного сосудистого доступа при наличии тяжелой сердечной недостаточности.</w:t>
      </w:r>
    </w:p>
    <w:p w14:paraId="1EFF6F31" w14:textId="77777777" w:rsidR="0051317D" w:rsidRPr="00781F82" w:rsidRDefault="0051317D" w:rsidP="0051317D">
      <w:pPr>
        <w:rPr>
          <w:rFonts w:cs="Times New Roman"/>
          <w:i/>
          <w:iCs/>
          <w:szCs w:val="24"/>
          <w:u w:val="single"/>
        </w:rPr>
      </w:pPr>
      <w:r w:rsidRPr="00781F82">
        <w:rPr>
          <w:rFonts w:cs="Times New Roman"/>
          <w:i/>
          <w:iCs/>
          <w:szCs w:val="24"/>
          <w:u w:val="single"/>
        </w:rPr>
        <w:t>Осложнения</w:t>
      </w:r>
      <w:r w:rsidRPr="00781F82">
        <w:rPr>
          <w:rFonts w:eastAsia="Times New Roman" w:cs="Times New Roman"/>
          <w:i/>
          <w:iCs/>
          <w:szCs w:val="24"/>
          <w:u w:val="single"/>
          <w:lang w:eastAsia="ru-RU"/>
        </w:rPr>
        <w:t xml:space="preserve"> катетеризации центральных вен</w:t>
      </w:r>
    </w:p>
    <w:p w14:paraId="48596C70" w14:textId="77777777" w:rsidR="0051317D" w:rsidRPr="00952000" w:rsidRDefault="0051317D" w:rsidP="0051317D">
      <w:pPr>
        <w:rPr>
          <w:rFonts w:eastAsia="Times New Roman" w:cs="Times New Roman"/>
          <w:szCs w:val="24"/>
          <w:lang w:eastAsia="ru-RU"/>
        </w:rPr>
      </w:pPr>
      <w:r w:rsidRPr="00952000">
        <w:rPr>
          <w:rFonts w:eastAsia="Times New Roman" w:cs="Times New Roman"/>
          <w:i/>
          <w:szCs w:val="24"/>
          <w:lang w:eastAsia="ru-RU"/>
        </w:rPr>
        <w:t>К ранним осложнениям</w:t>
      </w:r>
      <w:r w:rsidRPr="00952000">
        <w:rPr>
          <w:rFonts w:eastAsia="Times New Roman" w:cs="Times New Roman"/>
          <w:szCs w:val="24"/>
          <w:lang w:eastAsia="ru-RU"/>
        </w:rPr>
        <w:t xml:space="preserve"> относят возникшие во время проведения манипуляции:</w:t>
      </w:r>
    </w:p>
    <w:p w14:paraId="29A1E306" w14:textId="77777777" w:rsidR="0051317D" w:rsidRPr="00952000" w:rsidRDefault="0051317D" w:rsidP="0051317D">
      <w:pPr>
        <w:pStyle w:val="afe"/>
        <w:numPr>
          <w:ilvl w:val="0"/>
          <w:numId w:val="92"/>
        </w:numPr>
        <w:ind w:left="993" w:hanging="284"/>
        <w:rPr>
          <w:rFonts w:eastAsia="Times New Roman" w:cs="Times New Roman"/>
          <w:szCs w:val="24"/>
          <w:lang w:eastAsia="ru-RU"/>
        </w:rPr>
      </w:pPr>
      <w:r w:rsidRPr="00952000">
        <w:rPr>
          <w:rFonts w:eastAsia="Times New Roman" w:cs="Times New Roman"/>
          <w:szCs w:val="24"/>
          <w:lang w:eastAsia="ru-RU"/>
        </w:rPr>
        <w:t xml:space="preserve">ранение магистральных артерий, </w:t>
      </w:r>
    </w:p>
    <w:p w14:paraId="428F2AF5" w14:textId="77777777" w:rsidR="0051317D" w:rsidRPr="00952000" w:rsidRDefault="0051317D" w:rsidP="0051317D">
      <w:pPr>
        <w:pStyle w:val="afe"/>
        <w:numPr>
          <w:ilvl w:val="0"/>
          <w:numId w:val="92"/>
        </w:numPr>
        <w:ind w:left="993" w:hanging="284"/>
        <w:rPr>
          <w:rFonts w:eastAsia="Times New Roman" w:cs="Times New Roman"/>
          <w:szCs w:val="24"/>
          <w:lang w:eastAsia="ru-RU"/>
        </w:rPr>
      </w:pPr>
      <w:r w:rsidRPr="00952000">
        <w:rPr>
          <w:rFonts w:eastAsia="Times New Roman" w:cs="Times New Roman"/>
          <w:szCs w:val="24"/>
          <w:lang w:eastAsia="ru-RU"/>
        </w:rPr>
        <w:t>развитие гематомы в месте пункции сосуда</w:t>
      </w:r>
    </w:p>
    <w:p w14:paraId="096FC150" w14:textId="77777777" w:rsidR="0051317D" w:rsidRPr="00952000" w:rsidRDefault="0051317D" w:rsidP="0051317D">
      <w:pPr>
        <w:pStyle w:val="afe"/>
        <w:numPr>
          <w:ilvl w:val="0"/>
          <w:numId w:val="92"/>
        </w:numPr>
        <w:ind w:left="993" w:hanging="284"/>
        <w:rPr>
          <w:rFonts w:eastAsia="Times New Roman" w:cs="Times New Roman"/>
          <w:szCs w:val="24"/>
          <w:lang w:eastAsia="ru-RU"/>
        </w:rPr>
      </w:pPr>
      <w:r w:rsidRPr="00952000">
        <w:rPr>
          <w:rFonts w:eastAsia="Times New Roman" w:cs="Times New Roman"/>
          <w:szCs w:val="24"/>
          <w:lang w:eastAsia="ru-RU"/>
        </w:rPr>
        <w:t xml:space="preserve">развитие пневмоторакса, гемоторакса, </w:t>
      </w:r>
    </w:p>
    <w:p w14:paraId="1F57D868" w14:textId="77777777" w:rsidR="0051317D" w:rsidRPr="00952000" w:rsidRDefault="0051317D" w:rsidP="0051317D">
      <w:pPr>
        <w:pStyle w:val="afe"/>
        <w:numPr>
          <w:ilvl w:val="0"/>
          <w:numId w:val="92"/>
        </w:numPr>
        <w:ind w:left="993" w:hanging="284"/>
        <w:rPr>
          <w:rFonts w:eastAsia="Times New Roman" w:cs="Times New Roman"/>
          <w:szCs w:val="24"/>
          <w:lang w:eastAsia="ru-RU"/>
        </w:rPr>
      </w:pPr>
      <w:r w:rsidRPr="00952000">
        <w:rPr>
          <w:rFonts w:eastAsia="Times New Roman" w:cs="Times New Roman"/>
          <w:szCs w:val="24"/>
          <w:lang w:eastAsia="ru-RU"/>
        </w:rPr>
        <w:t xml:space="preserve">ранение грудного лимфатического протока, </w:t>
      </w:r>
    </w:p>
    <w:p w14:paraId="0815C60E" w14:textId="77777777" w:rsidR="0051317D" w:rsidRPr="00952000" w:rsidRDefault="0051317D" w:rsidP="0051317D">
      <w:pPr>
        <w:pStyle w:val="afe"/>
        <w:numPr>
          <w:ilvl w:val="0"/>
          <w:numId w:val="92"/>
        </w:numPr>
        <w:ind w:left="993" w:hanging="284"/>
        <w:rPr>
          <w:rFonts w:eastAsia="Times New Roman" w:cs="Times New Roman"/>
          <w:szCs w:val="24"/>
          <w:lang w:eastAsia="ru-RU"/>
        </w:rPr>
      </w:pPr>
      <w:r w:rsidRPr="00952000">
        <w:rPr>
          <w:rFonts w:eastAsia="Times New Roman" w:cs="Times New Roman"/>
          <w:szCs w:val="24"/>
          <w:lang w:eastAsia="ru-RU"/>
        </w:rPr>
        <w:t xml:space="preserve">повреждение нервных сплетений, </w:t>
      </w:r>
    </w:p>
    <w:p w14:paraId="465BCA5F" w14:textId="77777777" w:rsidR="0051317D" w:rsidRPr="00952000" w:rsidRDefault="0051317D" w:rsidP="0051317D">
      <w:pPr>
        <w:pStyle w:val="afe"/>
        <w:numPr>
          <w:ilvl w:val="0"/>
          <w:numId w:val="92"/>
        </w:numPr>
        <w:ind w:left="993" w:hanging="284"/>
        <w:rPr>
          <w:rFonts w:eastAsia="Times New Roman" w:cs="Times New Roman"/>
          <w:szCs w:val="24"/>
          <w:lang w:eastAsia="ru-RU"/>
        </w:rPr>
      </w:pPr>
      <w:r w:rsidRPr="00952000">
        <w:rPr>
          <w:rFonts w:eastAsia="Times New Roman" w:cs="Times New Roman"/>
          <w:szCs w:val="24"/>
          <w:lang w:eastAsia="ru-RU"/>
        </w:rPr>
        <w:t>неправильная установка катетера</w:t>
      </w:r>
    </w:p>
    <w:p w14:paraId="4A6F7CB2" w14:textId="77777777" w:rsidR="0051317D" w:rsidRPr="00952000" w:rsidRDefault="0051317D" w:rsidP="0051317D">
      <w:pPr>
        <w:rPr>
          <w:rFonts w:cs="Times New Roman"/>
          <w:szCs w:val="24"/>
        </w:rPr>
      </w:pPr>
      <w:r w:rsidRPr="00952000">
        <w:rPr>
          <w:rFonts w:cs="Times New Roman"/>
          <w:i/>
          <w:iCs/>
          <w:szCs w:val="24"/>
        </w:rPr>
        <w:t>Поздние осложнения</w:t>
      </w:r>
      <w:r>
        <w:rPr>
          <w:rFonts w:cs="Times New Roman"/>
          <w:i/>
          <w:iCs/>
          <w:szCs w:val="24"/>
        </w:rPr>
        <w:t>,</w:t>
      </w:r>
      <w:r w:rsidRPr="00952000">
        <w:rPr>
          <w:rFonts w:cs="Times New Roman"/>
          <w:szCs w:val="24"/>
        </w:rPr>
        <w:t xml:space="preserve"> возникающие во время или после эксплуатации катетера</w:t>
      </w:r>
      <w:r>
        <w:rPr>
          <w:rFonts w:cs="Times New Roman"/>
          <w:szCs w:val="24"/>
        </w:rPr>
        <w:t>,</w:t>
      </w:r>
      <w:r w:rsidRPr="00952000">
        <w:rPr>
          <w:rFonts w:cs="Times New Roman"/>
          <w:szCs w:val="24"/>
        </w:rPr>
        <w:t xml:space="preserve"> бывают тромботическими, стенотическими и инфекционными.</w:t>
      </w:r>
    </w:p>
    <w:p w14:paraId="320F9EDE" w14:textId="77777777" w:rsidR="0051317D" w:rsidRPr="00952000" w:rsidRDefault="0051317D" w:rsidP="0051317D">
      <w:pPr>
        <w:ind w:firstLine="708"/>
        <w:rPr>
          <w:rFonts w:cs="Times New Roman"/>
          <w:szCs w:val="24"/>
        </w:rPr>
      </w:pPr>
      <w:r w:rsidRPr="00952000">
        <w:rPr>
          <w:rFonts w:cs="Times New Roman"/>
          <w:szCs w:val="24"/>
        </w:rPr>
        <w:t>Под катетер-ассоциированным тромбозом (</w:t>
      </w:r>
      <w:r w:rsidRPr="00952000">
        <w:rPr>
          <w:rFonts w:cs="Times New Roman"/>
          <w:i/>
          <w:szCs w:val="24"/>
        </w:rPr>
        <w:t xml:space="preserve">КАТ) </w:t>
      </w:r>
      <w:r w:rsidRPr="00952000">
        <w:rPr>
          <w:rFonts w:cs="Times New Roman"/>
          <w:szCs w:val="24"/>
        </w:rPr>
        <w:t xml:space="preserve">понимают сочетание клинических и инструментальных признаков тромбоза. </w:t>
      </w:r>
    </w:p>
    <w:p w14:paraId="1C4E7B33" w14:textId="77777777" w:rsidR="0051317D" w:rsidRPr="00952000" w:rsidRDefault="0051317D" w:rsidP="001D2A3A">
      <w:pPr>
        <w:pStyle w:val="afe"/>
        <w:numPr>
          <w:ilvl w:val="0"/>
          <w:numId w:val="96"/>
        </w:numPr>
        <w:ind w:left="0" w:firstLine="349"/>
        <w:rPr>
          <w:rFonts w:cs="Times New Roman"/>
          <w:szCs w:val="24"/>
        </w:rPr>
      </w:pPr>
      <w:r w:rsidRPr="00952000">
        <w:rPr>
          <w:rFonts w:cs="Times New Roman"/>
          <w:szCs w:val="24"/>
        </w:rPr>
        <w:t xml:space="preserve">Клинические признаки: гиперемия кожи, отек подкожной клетчатки и боль, усиление подкожного сосудистого рисунка на стороне установки катетера, нарушение проходимости катетера, истечение жидкости по каналу катетера при проведении инфузии. </w:t>
      </w:r>
    </w:p>
    <w:p w14:paraId="09D9111F" w14:textId="77777777" w:rsidR="0051317D" w:rsidRPr="00952000" w:rsidRDefault="0051317D" w:rsidP="001D2A3A">
      <w:pPr>
        <w:pStyle w:val="afe"/>
        <w:numPr>
          <w:ilvl w:val="0"/>
          <w:numId w:val="96"/>
        </w:numPr>
        <w:ind w:left="0" w:firstLine="349"/>
        <w:rPr>
          <w:rFonts w:cs="Times New Roman"/>
          <w:szCs w:val="24"/>
        </w:rPr>
      </w:pPr>
      <w:r w:rsidRPr="00952000">
        <w:rPr>
          <w:rFonts w:cs="Times New Roman"/>
          <w:szCs w:val="24"/>
        </w:rPr>
        <w:t xml:space="preserve">Инструментальные признаки: выявление при </w:t>
      </w:r>
      <w:r w:rsidRPr="00952000">
        <w:rPr>
          <w:rFonts w:cs="Times New Roman"/>
          <w:i/>
          <w:szCs w:val="24"/>
        </w:rPr>
        <w:t>УЗИ</w:t>
      </w:r>
      <w:r w:rsidRPr="00952000">
        <w:rPr>
          <w:rFonts w:cs="Times New Roman"/>
          <w:szCs w:val="24"/>
        </w:rPr>
        <w:t xml:space="preserve"> гиперэхогенного образования в месте установки катетера, полностью или частично перекрывающего просвет сосуда, препятствующее смыканию стенок вен при компрессии датчиком, полное или частичное отсутствие кровотока при УЗИ в допплеровском режиме, появление турбулентного тока крови; дефекты контрастирования сосудов при </w:t>
      </w:r>
      <w:r w:rsidRPr="00952000">
        <w:rPr>
          <w:rFonts w:cs="Times New Roman"/>
          <w:i/>
          <w:szCs w:val="24"/>
        </w:rPr>
        <w:t>КТ-ангиографии или прямой ангиографии</w:t>
      </w:r>
      <w:r w:rsidRPr="00952000">
        <w:rPr>
          <w:rFonts w:cs="Times New Roman"/>
          <w:szCs w:val="24"/>
        </w:rPr>
        <w:t>.</w:t>
      </w:r>
    </w:p>
    <w:p w14:paraId="67729193" w14:textId="77777777" w:rsidR="0051317D" w:rsidRPr="00952000" w:rsidRDefault="0051317D" w:rsidP="001D2A3A">
      <w:pPr>
        <w:pStyle w:val="afd"/>
        <w:spacing w:beforeAutospacing="0" w:afterAutospacing="0" w:line="360" w:lineRule="auto"/>
      </w:pPr>
      <w:r w:rsidRPr="00952000">
        <w:t xml:space="preserve">Тромботические осложнения, ассоциированные с ЦВК, можно разделить на три вида: </w:t>
      </w:r>
    </w:p>
    <w:p w14:paraId="3147A0E6" w14:textId="77777777" w:rsidR="0051317D" w:rsidRPr="00952000" w:rsidRDefault="0051317D" w:rsidP="001D2A3A">
      <w:pPr>
        <w:pStyle w:val="afd"/>
        <w:numPr>
          <w:ilvl w:val="0"/>
          <w:numId w:val="93"/>
        </w:numPr>
        <w:spacing w:beforeAutospacing="0" w:afterAutospacing="0" w:line="360" w:lineRule="auto"/>
      </w:pPr>
      <w:r w:rsidRPr="00952000">
        <w:t xml:space="preserve">«фибриновый чехол», </w:t>
      </w:r>
    </w:p>
    <w:p w14:paraId="23F471FF" w14:textId="77777777" w:rsidR="0051317D" w:rsidRPr="00952000" w:rsidRDefault="0051317D" w:rsidP="001D2A3A">
      <w:pPr>
        <w:pStyle w:val="afd"/>
        <w:numPr>
          <w:ilvl w:val="0"/>
          <w:numId w:val="93"/>
        </w:numPr>
        <w:spacing w:beforeAutospacing="0" w:afterAutospacing="0" w:line="360" w:lineRule="auto"/>
      </w:pPr>
      <w:r w:rsidRPr="00952000">
        <w:t>обструкция катетера</w:t>
      </w:r>
    </w:p>
    <w:p w14:paraId="73C60053" w14:textId="77777777" w:rsidR="0051317D" w:rsidRPr="00952000" w:rsidRDefault="0051317D" w:rsidP="001D2A3A">
      <w:pPr>
        <w:pStyle w:val="afd"/>
        <w:numPr>
          <w:ilvl w:val="0"/>
          <w:numId w:val="93"/>
        </w:numPr>
        <w:spacing w:beforeAutospacing="0" w:afterAutospacing="0" w:line="360" w:lineRule="auto"/>
      </w:pPr>
      <w:r w:rsidRPr="00952000">
        <w:t>пристеночный или обтурирующий внутрисосудистый тромбоз.</w:t>
      </w:r>
    </w:p>
    <w:p w14:paraId="0E07754E" w14:textId="58568A49" w:rsidR="0051317D" w:rsidRPr="00952000" w:rsidRDefault="0051317D" w:rsidP="001D2A3A">
      <w:pPr>
        <w:pStyle w:val="afd"/>
        <w:spacing w:beforeAutospacing="0" w:afterAutospacing="0" w:line="360" w:lineRule="auto"/>
      </w:pPr>
      <w:r w:rsidRPr="00952000">
        <w:t xml:space="preserve">Бессимптомные КАТ более распространены, но их клиническое значение не ясно. Частота выявления КАТ колеблется, по разным данным, от 5% до 12-14% </w:t>
      </w:r>
      <w:r w:rsidRPr="00952000">
        <w:fldChar w:fldCharType="begin" w:fldLock="1"/>
      </w:r>
      <w:r w:rsidR="00844875">
        <w:instrText>ADDIN CSL_CITATION {"citationItems":[{"id":"ITEM-1","itemData":{"ISSN":"1540-1405","PMID":"17020667","abstract":"Symptomatic thromboembolic complications of central venous catheters (CVCs) occur in 5% or less of general oncology patients. Asymptomatic CVC-related thrombi are more common, but their clinical significance is unclear. Thrombotic risk may be increased by primary thrombophilic disorders, especially the factor V G1691A (Leiden) mutation, thrombogenic catheter material, larger catheter diameter and greater number of lumens, catheter tip malposition, left-sided placement, percutaneous or multiple insertion attempts, a previous CVC or preexisting venous obstruction, prothrombotic therapeutic agents, catheter-associated infections, and fibrinous catheter lumen occlusion. Three recent randomized, prospective, placebo-controlled trials observed no benefit of routine low-dose warfarin or low-molecular-weight heparin in preventing catheter-associated thrombosis. Nevertheless, thromboprophylaxis may be appropriate and safe for selected high-risk patients. Duplex ultrasound can accurately detect CVC-related thrombi involving the jugular, axillary, distal subclavian, and arm veins. Contrast venographic imaging is required for indeterminate duplex findings and to evaluate the deep central veins and pulmonary arteries. Therapeutic anticoagulation, with or without catheter removal, is indicated for patients with acute deep vein thrombosis (DVT) or pulmonary embolism who have no contraindications. Catheter removal alone, with close follow-up, may be sufficient when bleeding risk precludes safe anticoagulation. Approaches to managing catheter-associated thrombosis, including the use of thrombolytic agents, are guided by limited published experience and extrapolation from practices used for lower-extremity DVT. Prospective, randomized, controlled trials are needed to identify the safest and most effective anticoagulant agents, treatment durations, and alternative venous access strategies for cancer patients who develop catheter-associated thrombosis.","author":[{"dropping-particle":"","family":"Linenberger","given":"Michael L","non-dropping-particle":"","parse-names":false,"suffix":""}],"container-title":"Journal of the National Comprehensive Cancer Network : JNCCN","id":"ITEM-1","issue":"9","issued":{"date-parts":[["2006","10"]]},"page":"889-901","title":"Catheter-related thrombosis: risks, diagnosis, and management.","type":"article-journal","volume":"4"},"uris":["http://www.mendeley.com/documents/?uuid=fd996227-febf-46f9-8b4a-37c976acd280"]},{"id":"ITEM-2","itemData":{"DOI":"10.1111/j.1538-7836.2012.04817.x","abstract":"Central venous catheters are extensively used in patients with cancer to secure delivery of chemotherapy and facilitate phlebotomy. Unfortunately, considerable morbidity can result from early complications or late sequelae, ranging from arterial puncture, pneumothorax and bloodstream infections to catheter-related thrombosis (CRT). Contempo-rary studies have shown that the incidence of symptomatic CRT is 5%, whereas the incidence of asymptomatic CRT is higher, at 14–18%. The significance and mechanisms of catheter design, material, insertion location and technique, position of the catheter tip and other risk factors in contributing to the development of CRT are not well understood. Efforts to reduce thrombotic complications, involving flushing the catheter with heparinized solutions, the use of heparin-bonded catheters, and systemic anticoag-ulant prophylaxis, have been largely ineffective. More studies are needed to understand the pathophysiology of thrombotic complications, to help identify effective interventions to reduce this adverse outcome.","author":[{"dropping-particle":"","family":"Lee","given":"A.Y.Y.","non-dropping-particle":"","parse-names":false,"suffix":""},{"dropping-particle":"","family":"Kamphuisen","given":"P.W.","non-dropping-particle":"","parse-names":false,"suffix":""}],"container-title":"Journal of Thrombosis and Haemostasis","id":"ITEM-2","issue":"10","issued":{"date-parts":[["2012"]]},"page":"1491-1499","title":"Epidemiology and prevention of catheter-related thrombosis in patients with cancer","type":"article-journal"},"uris":["http://www.mendeley.com/documents/?uuid=2f9bf3d1-5851-4e76-89ac-5c3d038d67a9"]}],"mendeley":{"formattedCitation":"[95,96]","plainTextFormattedCitation":"[95,96]","previouslyFormattedCitation":"[95,96]"},"properties":{"noteIndex":0},"schema":"https://github.com/citation-style-language/schema/raw/master/csl-citation.json"}</w:instrText>
      </w:r>
      <w:r w:rsidRPr="00952000">
        <w:fldChar w:fldCharType="separate"/>
      </w:r>
      <w:r w:rsidR="00CE1363" w:rsidRPr="00CE1363">
        <w:rPr>
          <w:noProof/>
        </w:rPr>
        <w:t>[95,96]</w:t>
      </w:r>
      <w:r w:rsidRPr="00952000">
        <w:fldChar w:fldCharType="end"/>
      </w:r>
      <w:r w:rsidRPr="00952000">
        <w:t xml:space="preserve">. Факторы, предрасполагающие к развитию КАТ, разделяют на три группы: </w:t>
      </w:r>
    </w:p>
    <w:p w14:paraId="4F2BDC45" w14:textId="77777777" w:rsidR="0051317D" w:rsidRPr="00952000" w:rsidRDefault="0051317D" w:rsidP="001D2A3A">
      <w:pPr>
        <w:pStyle w:val="afd"/>
        <w:numPr>
          <w:ilvl w:val="0"/>
          <w:numId w:val="101"/>
        </w:numPr>
        <w:spacing w:beforeAutospacing="0" w:afterAutospacing="0" w:line="360" w:lineRule="auto"/>
      </w:pPr>
      <w:r w:rsidRPr="00952000">
        <w:t xml:space="preserve">связанные с пациентом (пол, возраст, наличие опухолевого заболевания, тромбофилии); </w:t>
      </w:r>
    </w:p>
    <w:p w14:paraId="60AE1FFA" w14:textId="77777777" w:rsidR="0051317D" w:rsidRPr="00952000" w:rsidRDefault="0051317D" w:rsidP="001D2A3A">
      <w:pPr>
        <w:pStyle w:val="afd"/>
        <w:numPr>
          <w:ilvl w:val="0"/>
          <w:numId w:val="101"/>
        </w:numPr>
        <w:spacing w:beforeAutospacing="0" w:afterAutospacing="0" w:line="360" w:lineRule="auto"/>
      </w:pPr>
      <w:r w:rsidRPr="00952000">
        <w:t xml:space="preserve">связанные с катетером (большой диаметр, материал катетера, т.е. «жесткий» катетер); </w:t>
      </w:r>
    </w:p>
    <w:p w14:paraId="130D9CA7" w14:textId="77777777" w:rsidR="0051317D" w:rsidRPr="00952000" w:rsidRDefault="0051317D" w:rsidP="001D2A3A">
      <w:pPr>
        <w:pStyle w:val="afd"/>
        <w:numPr>
          <w:ilvl w:val="0"/>
          <w:numId w:val="101"/>
        </w:numPr>
        <w:spacing w:beforeAutospacing="0" w:afterAutospacing="0" w:line="360" w:lineRule="auto"/>
      </w:pPr>
      <w:r w:rsidRPr="00952000">
        <w:t xml:space="preserve">связанные с лечением (химиотерапия, парентеральное питание и введение других раздражающих веществ). </w:t>
      </w:r>
    </w:p>
    <w:p w14:paraId="0C3F7C8D" w14:textId="77777777" w:rsidR="0051317D" w:rsidRPr="00952000" w:rsidRDefault="0051317D" w:rsidP="0051317D">
      <w:pPr>
        <w:ind w:firstLine="708"/>
        <w:rPr>
          <w:rFonts w:cs="Times New Roman"/>
          <w:strike/>
          <w:szCs w:val="24"/>
        </w:rPr>
      </w:pPr>
      <w:r w:rsidRPr="00952000">
        <w:rPr>
          <w:rFonts w:cs="Times New Roman"/>
          <w:szCs w:val="24"/>
        </w:rPr>
        <w:t>Наличие опухолевого заболевания увеличивает риск тромбоза.</w:t>
      </w:r>
    </w:p>
    <w:p w14:paraId="7A99E471" w14:textId="59C8BE4E" w:rsidR="0051317D" w:rsidRPr="00952000" w:rsidRDefault="0051317D" w:rsidP="0051317D">
      <w:pPr>
        <w:ind w:firstLine="708"/>
        <w:rPr>
          <w:rFonts w:cs="Times New Roman"/>
          <w:szCs w:val="24"/>
        </w:rPr>
      </w:pPr>
      <w:r w:rsidRPr="00952000">
        <w:rPr>
          <w:rFonts w:cs="Times New Roman"/>
          <w:szCs w:val="24"/>
        </w:rPr>
        <w:t xml:space="preserve">Важную роль в формировании КАТ имеет соотношение диаметра катетера к диаметру вены, которое не должно превышать 1/3, иначе происходит дополнительная травма эндотелия </w:t>
      </w:r>
      <w:r w:rsidRPr="00952000">
        <w:rPr>
          <w:rFonts w:cs="Times New Roman"/>
          <w:szCs w:val="24"/>
        </w:rPr>
        <w:fldChar w:fldCharType="begin" w:fldLock="1"/>
      </w:r>
      <w:r w:rsidR="00844875">
        <w:rPr>
          <w:rFonts w:cs="Times New Roman"/>
          <w:szCs w:val="24"/>
        </w:rPr>
        <w:instrText>ADDIN CSL_CITATION {"citationItems":[{"id":"ITEM-1","itemData":{"author":[{"dropping-particle":"","family":"Цепенщинков","given":"Л.В","non-dropping-particle":"","parse-names":false,"suffix":""},{"dropping-particle":"","family":"Лядов","given":"В.К.","non-dropping-particle":"","parse-names":false,"suffix":""}],"container-title":"Клиническая онкогематология","id":"ITEM-1","issue":"2","issued":{"date-parts":[["2014"]]},"page":"220-228","title":"Периферически имплантируемый центральный венозный катетер: обзор литераутры.","type":"article-journal","volume":"7"},"uris":["http://www.mendeley.com/documents/?uuid=88221962-7bef-43f1-95ef-c82831c18b7b","http://www.mendeley.com/documents/?uuid=6bf891a9-cc26-48dd-8e38-76815056737b"]}],"mendeley":{"formattedCitation":"[97]","plainTextFormattedCitation":"[97]","previouslyFormattedCitation":"[97]"},"properties":{"noteIndex":0},"schema":"https://github.com/citation-style-language/schema/raw/master/csl-citation.json"}</w:instrText>
      </w:r>
      <w:r w:rsidRPr="00952000">
        <w:rPr>
          <w:rFonts w:cs="Times New Roman"/>
          <w:szCs w:val="24"/>
        </w:rPr>
        <w:fldChar w:fldCharType="separate"/>
      </w:r>
      <w:r w:rsidR="00CE1363" w:rsidRPr="00CE1363">
        <w:rPr>
          <w:rFonts w:cs="Times New Roman"/>
          <w:noProof/>
          <w:szCs w:val="24"/>
        </w:rPr>
        <w:t>[97]</w:t>
      </w:r>
      <w:r w:rsidRPr="00952000">
        <w:rPr>
          <w:rFonts w:cs="Times New Roman"/>
          <w:szCs w:val="24"/>
        </w:rPr>
        <w:fldChar w:fldCharType="end"/>
      </w:r>
      <w:r w:rsidRPr="00952000">
        <w:rPr>
          <w:rFonts w:cs="Times New Roman"/>
          <w:szCs w:val="24"/>
        </w:rPr>
        <w:t xml:space="preserve">. При сравнении силиконовых и полиуретановых катетеров, установленных в вены плеча, значимой разницы </w:t>
      </w:r>
      <w:r w:rsidRPr="00DB2B4A">
        <w:rPr>
          <w:rFonts w:cs="Times New Roman"/>
          <w:szCs w:val="24"/>
        </w:rPr>
        <w:t xml:space="preserve">в частоте развития КАТ </w:t>
      </w:r>
      <w:r w:rsidRPr="00952000">
        <w:rPr>
          <w:rFonts w:cs="Times New Roman"/>
          <w:szCs w:val="24"/>
        </w:rPr>
        <w:t xml:space="preserve">не выявили, но отмечен факт повреждения эндотелия, способствующего развитию тромбоза </w:t>
      </w:r>
      <w:r w:rsidRPr="00952000">
        <w:rPr>
          <w:rFonts w:cs="Times New Roman"/>
          <w:szCs w:val="24"/>
        </w:rPr>
        <w:fldChar w:fldCharType="begin" w:fldLock="1"/>
      </w:r>
      <w:r w:rsidR="00844875">
        <w:rPr>
          <w:rFonts w:cs="Times New Roman"/>
          <w:szCs w:val="24"/>
        </w:rPr>
        <w:instrText>ADDIN CSL_CITATION {"citationItems":[{"id":"ITEM-1","itemData":{"DOI":"10.1177/0148607184008004399","ISSN":"0148-6071","PMID":"6431130","abstract":"In order to compare two types of long, soft central venous catheters with the same stiffness, 39 silicone elastomer (SE) and 36 polyurethane (PU) catheters were inserted in 75 patients via basilic or cephalic veins punctured at the cubital fossa. Mean duration of catheterization was 10.5 days. Scanning electron microscopy revealed that the SE catheters to have a more uniform, but somewhat rougher surface topography than the PU catheters. The platelet adhesion in vitro to the SE catheters was four times higher than to the PU catheters. The incidence of clinical thrombophlebitis in the arm veins was 36% with the SE catheters, and 5.5% with the PU catheters (p less than 0.01). No significant differences were found between the SE and PU catheters regarding the number and size of radiologic thrombi in the peripheral and central veins, catheter occlusion rate, and platelet adhesion to the inner side of the catheter tip at withdrawal. Platelet adhesion in vivo correlated with the duration of catheterization in both groups of catheters. Mechanical trauma to the vein endothelium seems to be of vital importance in thrombus formation, but not in the induction of clinical thrombophlebitis.","author":[{"dropping-particle":"","family":"Linder","given":"L E","non-dropping-particle":"","parse-names":false,"suffix":""},{"dropping-particle":"","family":"Curelaru","given":"I","non-dropping-particle":"","parse-names":false,"suffix":""},{"dropping-particle":"","family":"Gustavsson","given":"B","non-dropping-particle":"","parse-names":false,"suffix":""},{"dropping-particle":"","family":"Hansson","given":"H A","non-dropping-particle":"","parse-names":false,"suffix":""},{"dropping-particle":"","family":"Stenqvist","given":"O","non-dropping-particle":"","parse-names":false,"suffix":""},{"dropping-particle":"","family":"Wojciechowski","given":"J","non-dropping-particle":"","parse-names":false,"suffix":""}],"container-title":"JPEN. Journal of parenteral and enteral nutrition","id":"ITEM-1","issue":"4","issued":{"date-parts":[["1984"]]},"page":"399-406","title":"Material thrombogenicity in central venous catheterization: a comparison between soft, antebrachial catheters of silicone elastomer and polyurethane.","type":"article-journal","volume":"8"},"uris":["http://www.mendeley.com/documents/?uuid=50c99be9-4388-35af-aba0-01eefc84f6b5","http://www.mendeley.com/documents/?uuid=52fd94cb-1dbb-4a1b-a63a-91cf9a99438a"]}],"mendeley":{"formattedCitation":"[98]","plainTextFormattedCitation":"[98]","previouslyFormattedCitation":"[98]"},"properties":{"noteIndex":0},"schema":"https://github.com/citation-style-language/schema/raw/master/csl-citation.json"}</w:instrText>
      </w:r>
      <w:r w:rsidRPr="00952000">
        <w:rPr>
          <w:rFonts w:cs="Times New Roman"/>
          <w:szCs w:val="24"/>
        </w:rPr>
        <w:fldChar w:fldCharType="separate"/>
      </w:r>
      <w:r w:rsidR="00CE1363" w:rsidRPr="00CE1363">
        <w:rPr>
          <w:rFonts w:cs="Times New Roman"/>
          <w:noProof/>
          <w:szCs w:val="24"/>
        </w:rPr>
        <w:t>[98]</w:t>
      </w:r>
      <w:r w:rsidRPr="00952000">
        <w:rPr>
          <w:rFonts w:cs="Times New Roman"/>
          <w:szCs w:val="24"/>
        </w:rPr>
        <w:fldChar w:fldCharType="end"/>
      </w:r>
      <w:r w:rsidRPr="00952000">
        <w:rPr>
          <w:rFonts w:cs="Times New Roman"/>
          <w:szCs w:val="24"/>
        </w:rPr>
        <w:t xml:space="preserve">. Также в патогенезе развития КАТ значимы такие факторы, как травматичность установки </w:t>
      </w:r>
      <w:r w:rsidRPr="00DE117D">
        <w:rPr>
          <w:rFonts w:cs="Times New Roman"/>
          <w:strike/>
          <w:szCs w:val="24"/>
        </w:rPr>
        <w:t>катетера</w:t>
      </w:r>
      <w:r w:rsidRPr="00952000">
        <w:rPr>
          <w:rFonts w:cs="Times New Roman"/>
          <w:szCs w:val="24"/>
        </w:rPr>
        <w:t xml:space="preserve">, неправильное расположение дистального конца катетера, левостороннее размещение катетера, множественные попытки пункции вены, наличие предшествующих катетеризаций и их количество, а также эпизоды КАИК в анамнезе. Установка ЦВК сопровождается локальным повреждением стенки вены и эндотелия и образованием тромба, с дальнейшим формированием «фибринового» чехла. </w:t>
      </w:r>
      <w:r w:rsidRPr="00952000">
        <w:rPr>
          <w:rFonts w:eastAsia="Times New Roman" w:cs="Times New Roman"/>
          <w:szCs w:val="24"/>
          <w:lang w:eastAsia="ru-RU"/>
        </w:rPr>
        <w:t xml:space="preserve">Одним из факторов развития венозных тромбозов является наличие венозных клапанов, создающих турбулентный поток. </w:t>
      </w:r>
      <w:r w:rsidRPr="00952000">
        <w:rPr>
          <w:rFonts w:eastAsia="Arial Unicode MS" w:cs="Times New Roman"/>
          <w:szCs w:val="24"/>
        </w:rPr>
        <w:t xml:space="preserve">Фактором, способствующим возникновению КАТ, является позиционирование ЦВК, поскольку миграция катетера, окклюзия дистального конца катетера венозной стенкой, травма венозной стенки дистальным концом катетера, присасывание к стенке конца катетера во время аспирации образцов крови, а введение раздражающих растворов способствуют травме венозной стенке </w:t>
      </w:r>
      <w:r w:rsidRPr="00952000">
        <w:rPr>
          <w:rFonts w:eastAsia="Arial Unicode MS" w:cs="Times New Roman"/>
          <w:szCs w:val="24"/>
        </w:rPr>
        <w:fldChar w:fldCharType="begin" w:fldLock="1"/>
      </w:r>
      <w:r w:rsidR="00844875">
        <w:rPr>
          <w:rFonts w:eastAsia="Arial Unicode MS" w:cs="Times New Roman"/>
          <w:szCs w:val="24"/>
        </w:rPr>
        <w:instrText>ADDIN CSL_CITATION {"citationItems":[{"id":"ITEM-1","itemData":{"abstract":"Objective This study evaluated the accuracy of placing right atrial catheters using an electrocardiographic (ECG) technique. Summary Background Data Placement of right atrial catheters for vascular access is a common operative procedure. Accurate placement is essential for proper function. Previous placement techniques have used fluoroscopy, which is both time consuming and hazardous. Methods The accuracy of placement of 1236 right atrial catheters using an ECG technique was compared to placement of 586 catheters using fluoroscopy between March 1991 and November 1995. In the ECG technique, the catheter was flushed with sodium bicarbonate. A sterile left-leg ECG lead was attached to the catheter with the other ECG leads applied normally. On advancing the catheter through the superior vena cava, the P-wave amplitude (lead 11) increased in negative deflection until greater than the QRS complex. Passing the sinoatrial node, the P-wave developed an initial positive then negative deflection. The catheter was positioned so the P-wave was biphasic, representing a position midway between the sinoatrial and atrioventricular nodes. For the fluoroscopic technique, catheters were positioned under direct observation just within the atrium estimated from cardiac contour. Use of contrast was optional if atrial anatomy was unclear. Results Postoperative portable chest x-rays showed the ECG method to position the catheter tip within the right atrium just as accurately (average, 1.9 ± 1.3 cm) as with the use of fluoroscopy (average, 1.1 ± 1.6 cm). The ECG method eliminated an average of 20 seconds of radiation exposure, an average of 3.0 minutes operating room time (p &lt; 0.04), avoided all risks of contrast dye, and saved $279.10 per case.","author":[{"dropping-particle":"","family":"Watters","given":"Virginia A","non-dropping-particle":"","parse-names":false,"suffix":""},{"dropping-particle":"","family":"Grant","given":"John P","non-dropping-particle":"","parse-names":false,"suffix":""}],"container-title":"ANNALS OF SURGERY","id":"ITEM-1","issue":"2","issued":{"date-parts":[["0"]]},"page":"165-171","title":"Use of Electrocardiogram to Position Right Atrial Catheters During Surgery","type":"article-journal","volume":"225"},"uris":["http://www.mendeley.com/documents/?uuid=634418a9-1b6a-3971-a74a-26cac4fcbb73","http://www.mendeley.com/documents/?uuid=216df258-45c1-414a-b26e-b5eb61d53634"]}],"mendeley":{"formattedCitation":"[99]","plainTextFormattedCitation":"[99]","previouslyFormattedCitation":"[99]"},"properties":{"noteIndex":0},"schema":"https://github.com/citation-style-language/schema/raw/master/csl-citation.json"}</w:instrText>
      </w:r>
      <w:r w:rsidRPr="00952000">
        <w:rPr>
          <w:rFonts w:eastAsia="Arial Unicode MS" w:cs="Times New Roman"/>
          <w:szCs w:val="24"/>
        </w:rPr>
        <w:fldChar w:fldCharType="separate"/>
      </w:r>
      <w:r w:rsidR="00CE1363" w:rsidRPr="00CE1363">
        <w:rPr>
          <w:rFonts w:eastAsia="Arial Unicode MS" w:cs="Times New Roman"/>
          <w:noProof/>
          <w:szCs w:val="24"/>
        </w:rPr>
        <w:t>[99]</w:t>
      </w:r>
      <w:r w:rsidRPr="00952000">
        <w:rPr>
          <w:rFonts w:eastAsia="Arial Unicode MS" w:cs="Times New Roman"/>
          <w:szCs w:val="24"/>
        </w:rPr>
        <w:fldChar w:fldCharType="end"/>
      </w:r>
      <w:r w:rsidRPr="00952000">
        <w:rPr>
          <w:rFonts w:eastAsia="Arial Unicode MS" w:cs="Times New Roman"/>
          <w:szCs w:val="24"/>
        </w:rPr>
        <w:t xml:space="preserve">. </w:t>
      </w:r>
      <w:r w:rsidRPr="00952000">
        <w:rPr>
          <w:rFonts w:cs="Times New Roman"/>
          <w:szCs w:val="24"/>
        </w:rPr>
        <w:t xml:space="preserve">ЦВК находятся в непосредственном контакте с внутренней стенкой вен, в результате постоянного движения катетеров, связанного с дыханием, сокращениями сердца, поворотами головы, происходит еще большее повреждение эндотелия. Травма эндотелия усугубляется, если траектория катетера в вене характеризуется одним или несколькими изгибами </w:t>
      </w:r>
      <w:r w:rsidRPr="00952000">
        <w:rPr>
          <w:rFonts w:cs="Times New Roman"/>
          <w:szCs w:val="24"/>
        </w:rPr>
        <w:fldChar w:fldCharType="begin" w:fldLock="1"/>
      </w:r>
      <w:r w:rsidR="00844875">
        <w:rPr>
          <w:rFonts w:cs="Times New Roman"/>
          <w:szCs w:val="24"/>
        </w:rPr>
        <w:instrText>ADDIN CSL_CITATION {"citationItems":[{"id":"ITEM-1","itemData":{"DOI":"10.1093/ndt/gfh216","ISSN":"0931-0509","author":[{"dropping-particle":"","family":"Taal","given":"M. W.","non-dropping-particle":"","parse-names":false,"suffix":""},{"dropping-particle":"","family":"Chesterton","given":"L. J.","non-dropping-particle":"","parse-names":false,"suffix":""},{"dropping-particle":"","family":"McIntyre","given":"C. W.","non-dropping-particle":"","parse-names":false,"suffix":""}],"container-title":"Nephrology Dialysis Transplantation","id":"ITEM-1","issue":"6","issued":{"date-parts":[["2004","6"]]},"page":"1542-1545","publisher":"Oxford University Press","title":"Venography at insertion of tunnelled internal jugular vein dialysis catheters reveals significant occult stenosis","type":"article-journal","volume":"19"},"uris":["http://www.mendeley.com/documents/?uuid=27bd8603-4b5c-3170-8bd9-40145339d105","http://www.mendeley.com/documents/?uuid=f32593e8-087e-487f-af57-700299c86f69"]}],"mendeley":{"formattedCitation":"[100]","plainTextFormattedCitation":"[100]","previouslyFormattedCitation":"[100]"},"properties":{"noteIndex":0},"schema":"https://github.com/citation-style-language/schema/raw/master/csl-citation.json"}</w:instrText>
      </w:r>
      <w:r w:rsidRPr="00952000">
        <w:rPr>
          <w:rFonts w:cs="Times New Roman"/>
          <w:szCs w:val="24"/>
        </w:rPr>
        <w:fldChar w:fldCharType="separate"/>
      </w:r>
      <w:r w:rsidR="00CE1363" w:rsidRPr="00CE1363">
        <w:rPr>
          <w:rFonts w:cs="Times New Roman"/>
          <w:noProof/>
          <w:szCs w:val="24"/>
        </w:rPr>
        <w:t>[100]</w:t>
      </w:r>
      <w:r w:rsidRPr="00952000">
        <w:rPr>
          <w:rFonts w:cs="Times New Roman"/>
          <w:szCs w:val="24"/>
        </w:rPr>
        <w:fldChar w:fldCharType="end"/>
      </w:r>
      <w:r w:rsidRPr="00952000">
        <w:rPr>
          <w:rFonts w:cs="Times New Roman"/>
          <w:szCs w:val="24"/>
        </w:rPr>
        <w:t xml:space="preserve">. В дополнение к травме происходит воспаление интимы как ответ на повреждение, которое приводит к гиперплазии интимы или развитию тромбоза. Пункция левой внутренней яремной вены по сравнению с пункцией правой яремной вены более сложная, так как у 34% пациентов внутренняя яремной вены слева меньше чем правая </w:t>
      </w:r>
      <w:r w:rsidRPr="00952000">
        <w:rPr>
          <w:rFonts w:cs="Times New Roman"/>
          <w:szCs w:val="24"/>
        </w:rPr>
        <w:fldChar w:fldCharType="begin" w:fldLock="1"/>
      </w:r>
      <w:r w:rsidR="00844875">
        <w:rPr>
          <w:rFonts w:cs="Times New Roman"/>
          <w:szCs w:val="24"/>
        </w:rPr>
        <w:instrText>ADDIN CSL_CITATION {"citationItems":[{"id":"ITEM-1","itemData":{"ISSN":"1053-0770","PMID":"10230944","abstract":"OBJECTIVE To compare the cross-sectional area (CSA) of the right internal jugular vein (RIJV) with the left internal jugular vein (LIJV) using two-dimensional ultrasound and to measure the response to the Valsalva maneuver in both the supine and Trendelenburg positions. DESIGN Prospective and randomized. SETTING University-affiliated hospital. PARTICIPANTS Fifty healthy adult volunteers. INTERVENTIONS The CSA of both the RIJV and LIJV was measured with a 5-MHz, two-dimensional surface transducer before and during a 10-second Valsalva maneuver with the subjects in the supine position, and then with the subjects in a 10 degree Trendelenburg tilt. MEASUREMENTS AND MAIN RESULTS After the baseline measurements were performed, the subjects were divided into two groups based on the CSA of the RIJV and LIJV. Group 1 had an LIJV CSA equal to or greater than that of the RIJV (n = 10) and group 2 had an LIJV CSA less than that of the RIJV (n = 40). Of the latter 40 patients, 17 (34%) had an LIJV CSA less than 50% of that of the RIJV. In both groups, the CSA of both veins increased significantly with the Valsalva maneuver, Trendelenburg tilt, and both maneuvers combined. CONCLUSION The findings suggest that in one third of adults (34%), the LIJV is significantly smaller compared with the RIJV and, combined with operator inexperience, may influence the success rate and risk for complications. Thus, the use of ultrasound and maneuvers that increase CSA is suggested during LIJV cannulation.","author":[{"dropping-particle":"","family":"Lobato","given":"E B","non-dropping-particle":"","parse-names":false,"suffix":""},{"dropping-particle":"","family":"Sulek","given":"C A","non-dropping-particle":"","parse-names":false,"suffix":""},{"dropping-particle":"","family":"Moody","given":"R L","non-dropping-particle":"","parse-names":false,"suffix":""},{"dropping-particle":"","family":"Morey","given":"T E","non-dropping-particle":"","parse-names":false,"suffix":""}],"container-title":"Journal of cardiothoracic and vascular anesthesia","id":"ITEM-1","issue":"2","issued":{"date-parts":[["1999","4"]]},"page":"136-8","title":"Cross-sectional area of the right and left internal jugular veins.","type":"article-journal","volume":"13"},"uris":["http://www.mendeley.com/documents/?uuid=946e04e1-436d-33e9-8d74-b2b7aa6566b2","http://www.mendeley.com/documents/?uuid=3c8cfbcb-4e79-4dbf-88c6-7197a21370b9"]}],"mendeley":{"formattedCitation":"[101]","plainTextFormattedCitation":"[101]","previouslyFormattedCitation":"[101]"},"properties":{"noteIndex":0},"schema":"https://github.com/citation-style-language/schema/raw/master/csl-citation.json"}</w:instrText>
      </w:r>
      <w:r w:rsidRPr="00952000">
        <w:rPr>
          <w:rFonts w:cs="Times New Roman"/>
          <w:szCs w:val="24"/>
        </w:rPr>
        <w:fldChar w:fldCharType="separate"/>
      </w:r>
      <w:r w:rsidR="00CE1363" w:rsidRPr="00CE1363">
        <w:rPr>
          <w:rFonts w:cs="Times New Roman"/>
          <w:noProof/>
          <w:szCs w:val="24"/>
        </w:rPr>
        <w:t>[101]</w:t>
      </w:r>
      <w:r w:rsidRPr="00952000">
        <w:rPr>
          <w:rFonts w:cs="Times New Roman"/>
          <w:szCs w:val="24"/>
        </w:rPr>
        <w:fldChar w:fldCharType="end"/>
      </w:r>
      <w:r w:rsidRPr="00952000">
        <w:rPr>
          <w:rFonts w:cs="Times New Roman"/>
          <w:szCs w:val="24"/>
        </w:rPr>
        <w:t>, что особенно важно при диагностике катетерассоциированного стеноза (КА</w:t>
      </w:r>
      <w:r w:rsidRPr="00952000">
        <w:rPr>
          <w:rFonts w:cs="Times New Roman"/>
          <w:szCs w:val="24"/>
          <w:lang w:val="en-US"/>
        </w:rPr>
        <w:t>C</w:t>
      </w:r>
      <w:r w:rsidRPr="00952000">
        <w:rPr>
          <w:rFonts w:cs="Times New Roman"/>
          <w:szCs w:val="24"/>
        </w:rPr>
        <w:t xml:space="preserve">). </w:t>
      </w:r>
    </w:p>
    <w:p w14:paraId="7CDDBE3B" w14:textId="35900A3F" w:rsidR="0051317D" w:rsidRPr="00952000" w:rsidRDefault="0051317D" w:rsidP="0051317D">
      <w:pPr>
        <w:ind w:firstLine="708"/>
        <w:rPr>
          <w:rFonts w:cs="Times New Roman"/>
          <w:b/>
          <w:szCs w:val="24"/>
        </w:rPr>
      </w:pPr>
      <w:r w:rsidRPr="00952000">
        <w:rPr>
          <w:rFonts w:cs="Times New Roman"/>
          <w:szCs w:val="24"/>
        </w:rPr>
        <w:t>Катетер-ассоциированый стеноз (</w:t>
      </w:r>
      <w:r w:rsidRPr="00952000">
        <w:rPr>
          <w:rFonts w:cs="Times New Roman"/>
          <w:i/>
          <w:szCs w:val="24"/>
        </w:rPr>
        <w:t>КАС)</w:t>
      </w:r>
      <w:r w:rsidRPr="00952000">
        <w:rPr>
          <w:rFonts w:cs="Times New Roman"/>
          <w:szCs w:val="24"/>
        </w:rPr>
        <w:t xml:space="preserve"> – стойкое сужение просвета сосуда, вплоть до полной облитерации, выявляемое при УЗИ в покое и при выполнении функциональных проб, возникшее после катетеризации, связанное или не связанное с КАТ. У онкогематологических пациентов, наряду с вышеуказанными причинами, значительное место в формировании КАТ и КАС занимает проведение химиотерапии </w:t>
      </w:r>
      <w:r w:rsidRPr="00952000">
        <w:rPr>
          <w:rFonts w:cs="Times New Roman"/>
          <w:szCs w:val="24"/>
        </w:rPr>
        <w:fldChar w:fldCharType="begin" w:fldLock="1"/>
      </w:r>
      <w:r w:rsidR="00844875">
        <w:rPr>
          <w:rFonts w:cs="Times New Roman"/>
          <w:szCs w:val="24"/>
        </w:rPr>
        <w:instrText>ADDIN CSL_CITATION {"citationItems":[{"id":"ITEM-1","itemData":{"author":[{"dropping-particle":"","family":"Червонцева","given":"Алевтина Михайловна","non-dropping-particle":"","parse-names":false,"suffix":""}],"id":"ITEM-1","issued":{"date-parts":[["2008"]]},"title":"Повреждение сосудистого эндотелия в процессе лечения острых миелоидных лейкозов","type":"article"},"uris":["http://www.mendeley.com/documents/?uuid=9afd28b5-41fc-3e5e-bfac-710d3bccc2cd","http://www.mendeley.com/documents/?uuid=b0c847b8-b368-40a1-9c35-cebd6d9d96b6"]}],"mendeley":{"formattedCitation":"[102]","plainTextFormattedCitation":"[102]","previouslyFormattedCitation":"[102]"},"properties":{"noteIndex":0},"schema":"https://github.com/citation-style-language/schema/raw/master/csl-citation.json"}</w:instrText>
      </w:r>
      <w:r w:rsidRPr="00952000">
        <w:rPr>
          <w:rFonts w:cs="Times New Roman"/>
          <w:szCs w:val="24"/>
        </w:rPr>
        <w:fldChar w:fldCharType="separate"/>
      </w:r>
      <w:r w:rsidR="00CE1363" w:rsidRPr="00CE1363">
        <w:rPr>
          <w:rFonts w:cs="Times New Roman"/>
          <w:noProof/>
          <w:szCs w:val="24"/>
        </w:rPr>
        <w:t>[102]</w:t>
      </w:r>
      <w:r w:rsidRPr="00952000">
        <w:rPr>
          <w:rFonts w:cs="Times New Roman"/>
          <w:szCs w:val="24"/>
        </w:rPr>
        <w:fldChar w:fldCharType="end"/>
      </w:r>
      <w:r w:rsidRPr="00952000">
        <w:rPr>
          <w:rFonts w:cs="Times New Roman"/>
          <w:szCs w:val="24"/>
        </w:rPr>
        <w:t>.</w:t>
      </w:r>
    </w:p>
    <w:p w14:paraId="61D7CEF3" w14:textId="2B436BC1" w:rsidR="0051317D" w:rsidRPr="00952000" w:rsidRDefault="0051317D" w:rsidP="0051317D">
      <w:pPr>
        <w:ind w:firstLine="708"/>
        <w:rPr>
          <w:rFonts w:cs="Times New Roman"/>
          <w:szCs w:val="24"/>
        </w:rPr>
      </w:pPr>
      <w:r w:rsidRPr="00952000">
        <w:rPr>
          <w:rFonts w:cs="Times New Roman"/>
          <w:szCs w:val="24"/>
        </w:rPr>
        <w:t>Катетер-ассоциированная инфекция кровотока (</w:t>
      </w:r>
      <w:r w:rsidRPr="00952000">
        <w:rPr>
          <w:rFonts w:cs="Times New Roman"/>
          <w:i/>
          <w:szCs w:val="24"/>
        </w:rPr>
        <w:t>КАИК)</w:t>
      </w:r>
      <w:r w:rsidRPr="00952000">
        <w:rPr>
          <w:rFonts w:cs="Times New Roman"/>
          <w:szCs w:val="24"/>
        </w:rPr>
        <w:t xml:space="preserve"> – выявление положительной гемокультуры в образце крови взятой из катетера на 2 и более часа ранее, чем в образце крови, взятом из периферической вены, рост микроорганизмов при микробиологическом исследовании дистального конца катетера </w:t>
      </w:r>
      <w:r w:rsidRPr="00952000">
        <w:rPr>
          <w:rFonts w:cs="Times New Roman"/>
          <w:szCs w:val="24"/>
        </w:rPr>
        <w:fldChar w:fldCharType="begin" w:fldLock="1"/>
      </w:r>
      <w:r w:rsidR="00844875">
        <w:rPr>
          <w:rFonts w:cs="Times New Roman"/>
          <w:szCs w:val="24"/>
        </w:rPr>
        <w:instrText>ADDIN CSL_CITATION {"citationItems":[{"id":"ITEM-1","itemData":{"author":[{"dropping-particle":"","family":"Багирова","given":"Н.С.","non-dropping-particle":"","parse-names":false,"suffix":""}],"container-title":"Злокачественные опухоли","id":"ITEM-1","issue":"3","issued":{"date-parts":[["2014"]]},"page":"164-171","title":"Инфекции, связанные с внутрисосудистыми устройствами: терминология, диагностика, профилактика и терапия","type":"article-journal"},"uris":["http://www.mendeley.com/documents/?uuid=fee4a9db-618b-4f34-9352-2ad7841cc05f","http://www.mendeley.com/documents/?uuid=973153ce-d078-4e08-a598-f09e2ab23f94"]}],"mendeley":{"formattedCitation":"[103]","plainTextFormattedCitation":"[103]","previouslyFormattedCitation":"[103]"},"properties":{"noteIndex":0},"schema":"https://github.com/citation-style-language/schema/raw/master/csl-citation.json"}</w:instrText>
      </w:r>
      <w:r w:rsidRPr="00952000">
        <w:rPr>
          <w:rFonts w:cs="Times New Roman"/>
          <w:szCs w:val="24"/>
        </w:rPr>
        <w:fldChar w:fldCharType="separate"/>
      </w:r>
      <w:r w:rsidR="00CE1363" w:rsidRPr="00CE1363">
        <w:rPr>
          <w:rFonts w:cs="Times New Roman"/>
          <w:noProof/>
          <w:szCs w:val="24"/>
        </w:rPr>
        <w:t>[103]</w:t>
      </w:r>
      <w:r w:rsidRPr="00952000">
        <w:rPr>
          <w:rFonts w:cs="Times New Roman"/>
          <w:szCs w:val="24"/>
        </w:rPr>
        <w:fldChar w:fldCharType="end"/>
      </w:r>
      <w:r w:rsidRPr="00952000">
        <w:rPr>
          <w:rFonts w:cs="Times New Roman"/>
          <w:szCs w:val="24"/>
        </w:rPr>
        <w:t>.</w:t>
      </w:r>
    </w:p>
    <w:p w14:paraId="2F2B2150" w14:textId="77777777" w:rsidR="0051317D" w:rsidRPr="00952000" w:rsidRDefault="0051317D" w:rsidP="0051317D">
      <w:pPr>
        <w:ind w:left="360"/>
        <w:rPr>
          <w:rFonts w:cs="Times New Roman"/>
          <w:szCs w:val="24"/>
        </w:rPr>
      </w:pPr>
      <w:r w:rsidRPr="00952000">
        <w:rPr>
          <w:rFonts w:cs="Times New Roman"/>
          <w:szCs w:val="24"/>
        </w:rPr>
        <w:t>При применении туннелируемых катетеров могут возникать следующие виды инфицирования:</w:t>
      </w:r>
    </w:p>
    <w:p w14:paraId="24A9B628" w14:textId="77777777" w:rsidR="0051317D" w:rsidRPr="00952000" w:rsidRDefault="0051317D" w:rsidP="0051317D">
      <w:pPr>
        <w:pStyle w:val="afe"/>
        <w:numPr>
          <w:ilvl w:val="0"/>
          <w:numId w:val="95"/>
        </w:numPr>
        <w:rPr>
          <w:rFonts w:cs="Times New Roman"/>
          <w:i/>
          <w:szCs w:val="24"/>
        </w:rPr>
      </w:pPr>
      <w:r w:rsidRPr="00952000">
        <w:rPr>
          <w:rFonts w:cs="Times New Roman"/>
          <w:i/>
          <w:szCs w:val="24"/>
        </w:rPr>
        <w:t xml:space="preserve">Туннельная инфекция – </w:t>
      </w:r>
      <w:r w:rsidRPr="00952000">
        <w:rPr>
          <w:rFonts w:cs="Times New Roman"/>
          <w:szCs w:val="24"/>
        </w:rPr>
        <w:t xml:space="preserve">местное воспаление по ходу сформированного туннеля от места выходного отверстия катетера до манжеты или с локализацией только в </w:t>
      </w:r>
      <w:r w:rsidRPr="00952000">
        <w:rPr>
          <w:rFonts w:cs="Times New Roman"/>
          <w:iCs/>
          <w:szCs w:val="24"/>
        </w:rPr>
        <w:t>области фиксации манжеты</w:t>
      </w:r>
      <w:r w:rsidRPr="00952000">
        <w:rPr>
          <w:rFonts w:cs="Times New Roman"/>
          <w:i/>
          <w:szCs w:val="24"/>
        </w:rPr>
        <w:t>.</w:t>
      </w:r>
    </w:p>
    <w:p w14:paraId="1DBDE9EF" w14:textId="77777777" w:rsidR="0051317D" w:rsidRPr="00952000" w:rsidRDefault="0051317D" w:rsidP="0051317D">
      <w:pPr>
        <w:pStyle w:val="afe"/>
        <w:numPr>
          <w:ilvl w:val="0"/>
          <w:numId w:val="95"/>
        </w:numPr>
        <w:rPr>
          <w:rFonts w:cs="Times New Roman"/>
          <w:szCs w:val="24"/>
        </w:rPr>
      </w:pPr>
      <w:r w:rsidRPr="00952000">
        <w:rPr>
          <w:rFonts w:cs="Times New Roman"/>
          <w:i/>
          <w:szCs w:val="24"/>
        </w:rPr>
        <w:t xml:space="preserve">Инфекция выходного отверстия – </w:t>
      </w:r>
      <w:r w:rsidRPr="00952000">
        <w:rPr>
          <w:rFonts w:cs="Times New Roman"/>
          <w:szCs w:val="24"/>
        </w:rPr>
        <w:t>местное воспаление, с локализацией только в месте выхода катетера на поверхность кожи.</w:t>
      </w:r>
    </w:p>
    <w:p w14:paraId="19C441A8" w14:textId="77777777" w:rsidR="0051317D" w:rsidRPr="00952000" w:rsidRDefault="0051317D" w:rsidP="0051317D">
      <w:pPr>
        <w:pStyle w:val="afe"/>
        <w:numPr>
          <w:ilvl w:val="0"/>
          <w:numId w:val="95"/>
        </w:numPr>
        <w:rPr>
          <w:rFonts w:cs="Times New Roman"/>
          <w:szCs w:val="24"/>
        </w:rPr>
      </w:pPr>
      <w:r w:rsidRPr="00952000">
        <w:rPr>
          <w:rFonts w:cs="Times New Roman"/>
          <w:i/>
          <w:szCs w:val="24"/>
        </w:rPr>
        <w:t xml:space="preserve">Инфекция подкожного кармана – </w:t>
      </w:r>
      <w:r w:rsidRPr="00952000">
        <w:rPr>
          <w:rFonts w:cs="Times New Roman"/>
          <w:szCs w:val="24"/>
        </w:rPr>
        <w:t xml:space="preserve">местное воспаление, локализующееся в месте установки камеры порт-системы. </w:t>
      </w:r>
    </w:p>
    <w:p w14:paraId="1917769E" w14:textId="77777777" w:rsidR="0051317D" w:rsidRDefault="0051317D" w:rsidP="0051317D">
      <w:pPr>
        <w:rPr>
          <w:rFonts w:eastAsia="Arial Unicode MS" w:cs="Times New Roman"/>
          <w:b/>
          <w:bCs/>
          <w:szCs w:val="24"/>
          <w:lang w:eastAsia="ru-RU"/>
        </w:rPr>
      </w:pPr>
    </w:p>
    <w:p w14:paraId="342E41CC" w14:textId="77777777" w:rsidR="0051317D" w:rsidRPr="009F4EC0" w:rsidRDefault="0051317D" w:rsidP="0051317D">
      <w:pPr>
        <w:rPr>
          <w:rFonts w:eastAsia="Arial Unicode MS" w:cs="Times New Roman"/>
          <w:i/>
          <w:iCs/>
          <w:szCs w:val="24"/>
          <w:u w:val="single"/>
          <w:lang w:eastAsia="ru-RU"/>
        </w:rPr>
      </w:pPr>
      <w:r w:rsidRPr="009F4EC0">
        <w:rPr>
          <w:rFonts w:eastAsia="Arial Unicode MS" w:cs="Times New Roman"/>
          <w:i/>
          <w:iCs/>
          <w:szCs w:val="24"/>
          <w:u w:val="single"/>
          <w:lang w:eastAsia="ru-RU"/>
        </w:rPr>
        <w:t>Способы контроля дистального конца ЦВК</w:t>
      </w:r>
    </w:p>
    <w:p w14:paraId="6D9F0400" w14:textId="77777777" w:rsidR="0051317D" w:rsidRPr="009F4EC0" w:rsidRDefault="0051317D" w:rsidP="0051317D">
      <w:pPr>
        <w:rPr>
          <w:rFonts w:eastAsia="Arial Unicode MS" w:cs="Times New Roman"/>
          <w:i/>
          <w:iCs/>
          <w:szCs w:val="24"/>
          <w:lang w:eastAsia="ru-RU"/>
        </w:rPr>
      </w:pPr>
      <w:r w:rsidRPr="009F4EC0">
        <w:rPr>
          <w:rFonts w:eastAsia="Arial Unicode MS" w:cs="Times New Roman"/>
          <w:i/>
          <w:iCs/>
          <w:szCs w:val="24"/>
          <w:lang w:eastAsia="ru-RU"/>
        </w:rPr>
        <w:t>Электрокардиографический метод</w:t>
      </w:r>
    </w:p>
    <w:p w14:paraId="08696C7D" w14:textId="77777777" w:rsidR="0051317D" w:rsidRPr="00952000" w:rsidRDefault="0051317D" w:rsidP="0051317D">
      <w:pPr>
        <w:rPr>
          <w:rFonts w:eastAsia="Arial Unicode MS" w:cs="Times New Roman"/>
          <w:strike/>
          <w:szCs w:val="24"/>
          <w:lang w:eastAsia="ru-RU"/>
        </w:rPr>
      </w:pPr>
      <w:r w:rsidRPr="00952000">
        <w:rPr>
          <w:rFonts w:eastAsia="Arial Unicode MS" w:cs="Times New Roman"/>
          <w:szCs w:val="24"/>
          <w:lang w:eastAsia="ru-RU"/>
        </w:rPr>
        <w:t xml:space="preserve">Для контроля положения ЦВК, снабженных штатным электродом, используют эндовенозную </w:t>
      </w:r>
      <w:r w:rsidRPr="00952000">
        <w:rPr>
          <w:rFonts w:cs="Times New Roman"/>
          <w:szCs w:val="24"/>
        </w:rPr>
        <w:t>электрокардиографию (</w:t>
      </w:r>
      <w:r w:rsidRPr="00952000">
        <w:rPr>
          <w:rFonts w:eastAsia="Arial Unicode MS" w:cs="Times New Roman"/>
          <w:szCs w:val="24"/>
          <w:lang w:eastAsia="ru-RU"/>
        </w:rPr>
        <w:t xml:space="preserve">ЭКГ). Она позволяет позиционировать дистальный конец ЦВК, не увеличивая время установки, по изменениям Р-зубца ЭКГ. </w:t>
      </w:r>
    </w:p>
    <w:p w14:paraId="4F73ADE2" w14:textId="77777777" w:rsidR="0051317D" w:rsidRDefault="0051317D" w:rsidP="0051317D">
      <w:pPr>
        <w:rPr>
          <w:rFonts w:eastAsia="ＭＳ 明朝 (Основной текст темы (ази" w:cs="Times New Roman"/>
          <w:b/>
          <w:bCs/>
          <w:szCs w:val="24"/>
          <w:lang w:eastAsia="ru-RU"/>
        </w:rPr>
      </w:pPr>
    </w:p>
    <w:p w14:paraId="23E292F7" w14:textId="77777777" w:rsidR="0051317D" w:rsidRPr="009F4EC0" w:rsidRDefault="0051317D" w:rsidP="0051317D">
      <w:pPr>
        <w:rPr>
          <w:rFonts w:eastAsia="ＭＳ 明朝 (Основной текст темы (ази" w:cs="Times New Roman"/>
          <w:i/>
          <w:iCs/>
          <w:szCs w:val="24"/>
          <w:lang w:eastAsia="ru-RU"/>
        </w:rPr>
      </w:pPr>
      <w:r w:rsidRPr="009F4EC0">
        <w:rPr>
          <w:rFonts w:eastAsia="ＭＳ 明朝 (Основной текст темы (ази" w:cs="Times New Roman"/>
          <w:i/>
          <w:iCs/>
          <w:szCs w:val="24"/>
          <w:lang w:eastAsia="ru-RU"/>
        </w:rPr>
        <w:t xml:space="preserve">Рентгенологический метод </w:t>
      </w:r>
    </w:p>
    <w:p w14:paraId="462CDBBB" w14:textId="77777777" w:rsidR="0051317D" w:rsidRPr="00952000" w:rsidRDefault="0051317D" w:rsidP="0051317D">
      <w:pPr>
        <w:rPr>
          <w:rFonts w:cs="Times New Roman"/>
          <w:strike/>
          <w:szCs w:val="24"/>
        </w:rPr>
      </w:pPr>
      <w:r w:rsidRPr="00952000">
        <w:rPr>
          <w:rFonts w:eastAsia="ＭＳ 明朝 (Основной текст темы (ази" w:cs="Times New Roman"/>
          <w:szCs w:val="24"/>
          <w:lang w:eastAsia="ru-RU"/>
        </w:rPr>
        <w:t xml:space="preserve">При установке туннелируемых ЦВК, ПИЦВК, порт-систем, а также в </w:t>
      </w:r>
      <w:r w:rsidRPr="00952000">
        <w:rPr>
          <w:rFonts w:cs="Times New Roman"/>
          <w:szCs w:val="24"/>
        </w:rPr>
        <w:t>случаях мерцательной аритмии или ритма, навязанного кардиостимулятором, положение дистального конца ЦВК подтверждают рентгенологически:</w:t>
      </w:r>
      <w:r w:rsidRPr="00952000">
        <w:rPr>
          <w:rFonts w:cs="Times New Roman"/>
          <w:strike/>
          <w:szCs w:val="24"/>
        </w:rPr>
        <w:t xml:space="preserve"> </w:t>
      </w:r>
    </w:p>
    <w:p w14:paraId="41F67225" w14:textId="77777777" w:rsidR="0051317D" w:rsidRPr="00952000" w:rsidRDefault="0051317D" w:rsidP="0051317D">
      <w:pPr>
        <w:rPr>
          <w:rFonts w:cs="Times New Roman"/>
          <w:szCs w:val="24"/>
        </w:rPr>
      </w:pPr>
      <w:r w:rsidRPr="00952000">
        <w:rPr>
          <w:rFonts w:cs="Times New Roman"/>
          <w:szCs w:val="24"/>
        </w:rPr>
        <w:t xml:space="preserve">- на </w:t>
      </w:r>
      <w:r w:rsidRPr="00952000">
        <w:rPr>
          <w:rFonts w:cs="Times New Roman"/>
          <w:bCs/>
          <w:szCs w:val="24"/>
        </w:rPr>
        <w:t xml:space="preserve">рентгенограмме грудной клетки дистальный конец ЦВК должен был находиться между </w:t>
      </w:r>
      <w:r w:rsidRPr="00952000">
        <w:rPr>
          <w:rFonts w:cs="Times New Roman"/>
          <w:bCs/>
          <w:szCs w:val="24"/>
          <w:lang w:val="en-US"/>
        </w:rPr>
        <w:t>V</w:t>
      </w:r>
      <w:r w:rsidRPr="00952000">
        <w:rPr>
          <w:rFonts w:cs="Times New Roman"/>
          <w:bCs/>
          <w:szCs w:val="24"/>
        </w:rPr>
        <w:t xml:space="preserve"> и </w:t>
      </w:r>
      <w:r w:rsidRPr="00952000">
        <w:rPr>
          <w:rFonts w:cs="Times New Roman"/>
          <w:bCs/>
          <w:szCs w:val="24"/>
          <w:lang w:val="en-US"/>
        </w:rPr>
        <w:t>VI</w:t>
      </w:r>
      <w:r w:rsidRPr="00952000">
        <w:rPr>
          <w:rFonts w:cs="Times New Roman"/>
          <w:bCs/>
          <w:szCs w:val="24"/>
        </w:rPr>
        <w:t xml:space="preserve"> грудными позвонками. </w:t>
      </w:r>
    </w:p>
    <w:p w14:paraId="2685CDC9" w14:textId="77777777" w:rsidR="0051317D" w:rsidRPr="00952000" w:rsidRDefault="0051317D" w:rsidP="0051317D">
      <w:pPr>
        <w:widowControl w:val="0"/>
        <w:ind w:firstLine="708"/>
        <w:rPr>
          <w:rFonts w:cs="Times New Roman"/>
          <w:szCs w:val="24"/>
        </w:rPr>
      </w:pPr>
      <w:r w:rsidRPr="00952000">
        <w:rPr>
          <w:rFonts w:cs="Times New Roman"/>
          <w:szCs w:val="24"/>
        </w:rPr>
        <w:t>- также ориентиром для позиционирования дистального конца ЦВК является правый трахебронхиальный угол, который соответствует верхней границе верхней полой вены. Каваатриальное соединение находится на 3 см ниже этого угла.</w:t>
      </w:r>
    </w:p>
    <w:p w14:paraId="76345169" w14:textId="77777777" w:rsidR="0051317D" w:rsidRPr="00952000" w:rsidRDefault="0051317D" w:rsidP="0051317D">
      <w:pPr>
        <w:widowControl w:val="0"/>
        <w:ind w:firstLine="708"/>
        <w:rPr>
          <w:rFonts w:cs="Times New Roman"/>
          <w:szCs w:val="24"/>
        </w:rPr>
      </w:pPr>
      <w:r w:rsidRPr="00952000">
        <w:rPr>
          <w:rFonts w:cs="Times New Roman"/>
          <w:szCs w:val="24"/>
        </w:rPr>
        <w:t>- рентгенологическим ориентиром впадения ВПВ в правое предсердие также является пересечение дуги правой границы сердца и линии, идущей вдоль правой границы средостения.</w:t>
      </w:r>
    </w:p>
    <w:p w14:paraId="50242E97" w14:textId="77777777" w:rsidR="0051317D" w:rsidRDefault="0051317D" w:rsidP="0051317D">
      <w:pPr>
        <w:rPr>
          <w:rFonts w:cs="Times New Roman"/>
          <w:b/>
          <w:bCs/>
          <w:szCs w:val="24"/>
        </w:rPr>
      </w:pPr>
    </w:p>
    <w:p w14:paraId="171C4407" w14:textId="77777777" w:rsidR="0051317D" w:rsidRPr="009F4EC0" w:rsidRDefault="0051317D" w:rsidP="0051317D">
      <w:pPr>
        <w:ind w:firstLine="708"/>
        <w:rPr>
          <w:rFonts w:cs="Times New Roman"/>
          <w:i/>
          <w:iCs/>
          <w:szCs w:val="24"/>
          <w:u w:val="single"/>
        </w:rPr>
      </w:pPr>
      <w:r w:rsidRPr="009F4EC0">
        <w:rPr>
          <w:rFonts w:cs="Times New Roman"/>
          <w:i/>
          <w:iCs/>
          <w:szCs w:val="24"/>
          <w:u w:val="single"/>
        </w:rPr>
        <w:t>Обследование пациента, подготовка к манипуляции</w:t>
      </w:r>
    </w:p>
    <w:p w14:paraId="326A8CF9" w14:textId="77777777" w:rsidR="0051317D" w:rsidRPr="00952000" w:rsidRDefault="0051317D" w:rsidP="0051317D">
      <w:pPr>
        <w:ind w:firstLine="708"/>
        <w:rPr>
          <w:rFonts w:cs="Times New Roman"/>
          <w:szCs w:val="24"/>
        </w:rPr>
      </w:pPr>
      <w:r w:rsidRPr="00952000">
        <w:rPr>
          <w:rFonts w:cs="Times New Roman"/>
          <w:szCs w:val="24"/>
        </w:rPr>
        <w:t xml:space="preserve">Для обеспечения сосудистого доступа необходима консультация врачом-анестезиологом-реаниматологом. </w:t>
      </w:r>
    </w:p>
    <w:p w14:paraId="3CAEEA6C" w14:textId="77777777" w:rsidR="0051317D" w:rsidRPr="00952000" w:rsidRDefault="0051317D" w:rsidP="0051317D">
      <w:pPr>
        <w:ind w:firstLine="708"/>
        <w:rPr>
          <w:rFonts w:cs="Times New Roman"/>
          <w:szCs w:val="24"/>
        </w:rPr>
      </w:pPr>
      <w:r w:rsidRPr="00952000">
        <w:rPr>
          <w:rFonts w:cs="Times New Roman"/>
          <w:szCs w:val="24"/>
        </w:rPr>
        <w:t>Физикальный осмотр проводится перед катетеризацией на наличие воспалительных и послеоперационных изменений кожи в местах возможной пункции вен, наличие увеличенных и изменённых лимфоузлов, препятствующих катетеризации, наличие усиленного подкожного рисунка вен, наличие клинических проявлений синдрома сдавления верхней полой вены (осиплость голоса, одышка, кашель, невозможность принятия горизонтального положения и т. д.) Уточняются анамнестические данные – количество предшествующих катетеризаций, имели ли место осложнения катетеризации; интенсивность и сроки планируемого лечения, возможные осложнения (неблагоприятные реакции) терапии, возможность применения других методов лечения, например, лучевой терапии.</w:t>
      </w:r>
    </w:p>
    <w:p w14:paraId="1D641365" w14:textId="77777777" w:rsidR="0051317D" w:rsidRDefault="0051317D" w:rsidP="0051317D">
      <w:pPr>
        <w:ind w:firstLine="708"/>
        <w:rPr>
          <w:rFonts w:cs="Times New Roman"/>
          <w:b/>
          <w:bCs/>
          <w:szCs w:val="24"/>
          <w:shd w:val="clear" w:color="auto" w:fill="FFFFFF"/>
        </w:rPr>
      </w:pPr>
    </w:p>
    <w:p w14:paraId="2348BB39" w14:textId="77777777" w:rsidR="0051317D" w:rsidRPr="009F4EC0" w:rsidRDefault="0051317D" w:rsidP="0051317D">
      <w:pPr>
        <w:ind w:firstLine="708"/>
        <w:rPr>
          <w:rFonts w:cs="Times New Roman"/>
          <w:i/>
          <w:iCs/>
          <w:szCs w:val="24"/>
          <w:shd w:val="clear" w:color="auto" w:fill="FFFFFF"/>
        </w:rPr>
      </w:pPr>
      <w:r w:rsidRPr="009F4EC0">
        <w:rPr>
          <w:rFonts w:cs="Times New Roman"/>
          <w:i/>
          <w:iCs/>
          <w:szCs w:val="24"/>
          <w:shd w:val="clear" w:color="auto" w:fill="FFFFFF"/>
        </w:rPr>
        <w:t>Лабораторная диагностика.</w:t>
      </w:r>
    </w:p>
    <w:p w14:paraId="38432FA8" w14:textId="77777777" w:rsidR="0051317D" w:rsidRPr="00952000" w:rsidRDefault="0051317D" w:rsidP="0051317D">
      <w:pPr>
        <w:rPr>
          <w:rFonts w:cs="Times New Roman"/>
          <w:szCs w:val="24"/>
          <w:shd w:val="clear" w:color="auto" w:fill="FFFFFF"/>
        </w:rPr>
      </w:pPr>
      <w:r w:rsidRPr="00952000">
        <w:rPr>
          <w:rFonts w:cs="Times New Roman"/>
          <w:szCs w:val="24"/>
          <w:shd w:val="clear" w:color="auto" w:fill="FFFFFF"/>
        </w:rPr>
        <w:t>Перед установкой ЦВК необходимо выполнить:</w:t>
      </w:r>
    </w:p>
    <w:p w14:paraId="0488117B" w14:textId="77777777" w:rsidR="0051317D" w:rsidRPr="00952000" w:rsidRDefault="0051317D" w:rsidP="0051317D">
      <w:pPr>
        <w:pStyle w:val="afe"/>
        <w:numPr>
          <w:ilvl w:val="0"/>
          <w:numId w:val="98"/>
        </w:numPr>
        <w:rPr>
          <w:rFonts w:cs="Times New Roman"/>
          <w:i/>
          <w:szCs w:val="24"/>
          <w:shd w:val="clear" w:color="auto" w:fill="FFFFFF"/>
        </w:rPr>
      </w:pPr>
      <w:r w:rsidRPr="00952000">
        <w:rPr>
          <w:rFonts w:cs="Times New Roman"/>
          <w:szCs w:val="24"/>
        </w:rPr>
        <w:t>общий (клинический) анализ крови развернутый (при необходимости – с исследованием уровня тромбоцитов в крови по мазку)</w:t>
      </w:r>
    </w:p>
    <w:p w14:paraId="7313602A" w14:textId="77777777" w:rsidR="0051317D" w:rsidRPr="00952000" w:rsidRDefault="0051317D" w:rsidP="0051317D">
      <w:pPr>
        <w:pStyle w:val="afe"/>
        <w:numPr>
          <w:ilvl w:val="0"/>
          <w:numId w:val="97"/>
        </w:numPr>
        <w:rPr>
          <w:rFonts w:cs="Times New Roman"/>
          <w:szCs w:val="24"/>
        </w:rPr>
      </w:pPr>
      <w:r w:rsidRPr="00952000">
        <w:rPr>
          <w:rFonts w:cs="Times New Roman"/>
          <w:szCs w:val="24"/>
          <w:shd w:val="clear" w:color="auto" w:fill="FFFFFF"/>
        </w:rPr>
        <w:t>коагулограмма с определением АЧТВ, протромбинового индекса, фибриногена, при необходимости – с и</w:t>
      </w:r>
      <w:r w:rsidRPr="00952000">
        <w:rPr>
          <w:rFonts w:cs="Times New Roman"/>
          <w:szCs w:val="24"/>
        </w:rPr>
        <w:t>сследованием агрегации тромбоцитов</w:t>
      </w:r>
    </w:p>
    <w:p w14:paraId="495D2C36" w14:textId="77777777" w:rsidR="0051317D" w:rsidRPr="00952000" w:rsidRDefault="0051317D" w:rsidP="0051317D">
      <w:pPr>
        <w:pStyle w:val="afe"/>
        <w:numPr>
          <w:ilvl w:val="0"/>
          <w:numId w:val="97"/>
        </w:numPr>
        <w:rPr>
          <w:rFonts w:cs="Times New Roman"/>
          <w:szCs w:val="24"/>
        </w:rPr>
      </w:pPr>
      <w:r w:rsidRPr="00952000">
        <w:rPr>
          <w:rFonts w:cs="Times New Roman"/>
          <w:szCs w:val="24"/>
        </w:rPr>
        <w:t xml:space="preserve">определение активности факторов </w:t>
      </w:r>
      <w:r w:rsidRPr="00952000">
        <w:rPr>
          <w:rFonts w:cs="Times New Roman"/>
          <w:szCs w:val="24"/>
          <w:lang w:val="en-US"/>
        </w:rPr>
        <w:t>VIII</w:t>
      </w:r>
      <w:r w:rsidRPr="00952000">
        <w:rPr>
          <w:rFonts w:cs="Times New Roman"/>
          <w:szCs w:val="24"/>
        </w:rPr>
        <w:t xml:space="preserve">, </w:t>
      </w:r>
      <w:r w:rsidRPr="00952000">
        <w:rPr>
          <w:rFonts w:cs="Times New Roman"/>
          <w:szCs w:val="24"/>
          <w:lang w:val="en-US"/>
        </w:rPr>
        <w:t>IX</w:t>
      </w:r>
      <w:r w:rsidRPr="00952000">
        <w:rPr>
          <w:rFonts w:cs="Times New Roman"/>
          <w:szCs w:val="24"/>
        </w:rPr>
        <w:t xml:space="preserve"> и иных в сыворотке крови – по показаниям</w:t>
      </w:r>
    </w:p>
    <w:p w14:paraId="1675DE53" w14:textId="77777777" w:rsidR="0051317D" w:rsidRPr="00952000" w:rsidRDefault="0051317D" w:rsidP="0051317D">
      <w:pPr>
        <w:pStyle w:val="afe"/>
        <w:numPr>
          <w:ilvl w:val="0"/>
          <w:numId w:val="97"/>
        </w:numPr>
        <w:rPr>
          <w:rFonts w:cs="Times New Roman"/>
          <w:szCs w:val="24"/>
        </w:rPr>
      </w:pPr>
      <w:r w:rsidRPr="00952000">
        <w:rPr>
          <w:rFonts w:cs="Times New Roman"/>
          <w:szCs w:val="24"/>
        </w:rPr>
        <w:t>определение основных групп крови, определение подгруппы м других групп крови меньшего значения, определение резус-фактора</w:t>
      </w:r>
    </w:p>
    <w:p w14:paraId="42DECD4D" w14:textId="77777777" w:rsidR="0051317D" w:rsidRDefault="0051317D" w:rsidP="001D2A3A">
      <w:pPr>
        <w:ind w:firstLine="708"/>
        <w:rPr>
          <w:rFonts w:cs="Times New Roman"/>
          <w:b/>
          <w:bCs/>
          <w:szCs w:val="24"/>
        </w:rPr>
      </w:pPr>
    </w:p>
    <w:p w14:paraId="7876D0D2" w14:textId="77777777" w:rsidR="0051317D" w:rsidRPr="009F4EC0" w:rsidRDefault="0051317D" w:rsidP="001D2A3A">
      <w:pPr>
        <w:ind w:firstLine="708"/>
        <w:rPr>
          <w:rFonts w:cs="Times New Roman"/>
          <w:i/>
          <w:iCs/>
          <w:szCs w:val="24"/>
        </w:rPr>
      </w:pPr>
      <w:r w:rsidRPr="009F4EC0">
        <w:rPr>
          <w:rFonts w:cs="Times New Roman"/>
          <w:i/>
          <w:iCs/>
          <w:szCs w:val="24"/>
        </w:rPr>
        <w:t>Инструментальная диагностика</w:t>
      </w:r>
    </w:p>
    <w:p w14:paraId="0135FDEE" w14:textId="77777777" w:rsidR="0051317D" w:rsidRPr="00952000" w:rsidRDefault="0051317D" w:rsidP="001D2A3A">
      <w:pPr>
        <w:rPr>
          <w:rFonts w:cs="Times New Roman"/>
          <w:szCs w:val="24"/>
        </w:rPr>
      </w:pPr>
      <w:r w:rsidRPr="00952000">
        <w:rPr>
          <w:rFonts w:cs="Times New Roman"/>
          <w:szCs w:val="24"/>
        </w:rPr>
        <w:t>Перед выполнением катетеризации необходимо выполнить:</w:t>
      </w:r>
    </w:p>
    <w:p w14:paraId="0F5B4DD5" w14:textId="77777777" w:rsidR="0051317D" w:rsidRPr="00DB2B4A" w:rsidRDefault="0051317D" w:rsidP="001D2A3A">
      <w:pPr>
        <w:pStyle w:val="afe"/>
        <w:numPr>
          <w:ilvl w:val="0"/>
          <w:numId w:val="97"/>
        </w:numPr>
        <w:rPr>
          <w:rFonts w:cs="Times New Roman"/>
          <w:szCs w:val="24"/>
        </w:rPr>
      </w:pPr>
      <w:r w:rsidRPr="00DB2B4A">
        <w:rPr>
          <w:rFonts w:cs="Times New Roman"/>
          <w:szCs w:val="24"/>
        </w:rPr>
        <w:t xml:space="preserve">рентгенография органов грудной клетки или </w:t>
      </w:r>
      <w:r w:rsidRPr="00DB2B4A">
        <w:rPr>
          <w:rFonts w:cs="Times New Roman"/>
          <w:szCs w:val="24"/>
          <w:shd w:val="clear" w:color="auto" w:fill="FFFFFF" w:themeFill="background1"/>
        </w:rPr>
        <w:t>– предпочтительно</w:t>
      </w:r>
      <w:r w:rsidRPr="00DB2B4A">
        <w:rPr>
          <w:rFonts w:cs="Times New Roman"/>
          <w:szCs w:val="24"/>
        </w:rPr>
        <w:t xml:space="preserve"> </w:t>
      </w:r>
      <w:r>
        <w:rPr>
          <w:rFonts w:cs="Times New Roman"/>
          <w:szCs w:val="24"/>
        </w:rPr>
        <w:t xml:space="preserve">– </w:t>
      </w:r>
      <w:r w:rsidRPr="00DB2B4A">
        <w:rPr>
          <w:rFonts w:cs="Times New Roman"/>
          <w:szCs w:val="24"/>
        </w:rPr>
        <w:t>компьютерная томография органов грудной клетки (КТ)</w:t>
      </w:r>
      <w:r w:rsidRPr="00DB2B4A">
        <w:rPr>
          <w:rFonts w:cs="Times New Roman"/>
          <w:szCs w:val="24"/>
          <w:shd w:val="clear" w:color="auto" w:fill="FFFFFF" w:themeFill="background1"/>
        </w:rPr>
        <w:t>, с болюсным контрастным усилением (по показаниям)</w:t>
      </w:r>
    </w:p>
    <w:p w14:paraId="3CC5AAF7" w14:textId="77777777" w:rsidR="0051317D" w:rsidRPr="00952000" w:rsidRDefault="0051317D" w:rsidP="001D2A3A">
      <w:pPr>
        <w:pStyle w:val="afe"/>
        <w:numPr>
          <w:ilvl w:val="0"/>
          <w:numId w:val="97"/>
        </w:numPr>
        <w:rPr>
          <w:rFonts w:cs="Times New Roman"/>
          <w:szCs w:val="24"/>
        </w:rPr>
      </w:pPr>
      <w:r w:rsidRPr="00952000">
        <w:rPr>
          <w:rFonts w:cs="Times New Roman"/>
          <w:szCs w:val="24"/>
        </w:rPr>
        <w:t xml:space="preserve">ультразвуковое агиосканирование </w:t>
      </w:r>
    </w:p>
    <w:p w14:paraId="063C88C2" w14:textId="77777777" w:rsidR="0051317D" w:rsidRPr="00952000" w:rsidRDefault="0051317D" w:rsidP="001D2A3A">
      <w:pPr>
        <w:pStyle w:val="afe"/>
        <w:numPr>
          <w:ilvl w:val="0"/>
          <w:numId w:val="97"/>
        </w:numPr>
        <w:rPr>
          <w:rFonts w:cs="Times New Roman"/>
          <w:szCs w:val="24"/>
        </w:rPr>
      </w:pPr>
      <w:r w:rsidRPr="00952000">
        <w:rPr>
          <w:rFonts w:cs="Times New Roman"/>
          <w:szCs w:val="24"/>
        </w:rPr>
        <w:t>ЭКГ</w:t>
      </w:r>
    </w:p>
    <w:p w14:paraId="5B572D20" w14:textId="79DE97BF" w:rsidR="0051317D" w:rsidRPr="00952000" w:rsidRDefault="0051317D" w:rsidP="001D2A3A">
      <w:pPr>
        <w:pStyle w:val="afd"/>
        <w:spacing w:beforeAutospacing="0" w:afterAutospacing="0" w:line="360" w:lineRule="auto"/>
      </w:pPr>
      <w:r w:rsidRPr="00952000">
        <w:t xml:space="preserve">Ультразвуковое сопровождение в реальном времени обеспечивает возможность выбора направления иглы при пункции внутренней яремной, аксиллярной, подмышечной или бедренной вены, позволяя тем самым избежать случайного ранение артерии </w:t>
      </w:r>
      <w:r w:rsidRPr="00952000">
        <w:fldChar w:fldCharType="begin" w:fldLock="1"/>
      </w:r>
      <w:r w:rsidR="00844875">
        <w:instrText>ADDIN CSL_CITATION {"citationItems":[{"id":"ITEM-1","itemData":{"DOI":"10.2147/RMHP.S10383","ISSN":"1179-1594","PMID":"22312225","abstract":"Central venous cannulation is a commonly performed procedure which facilitates resuscitation, nutritional support, and long-term vascular access. Mechanical complications most often occur during insertion and are intimately related to the anatomic relationship of the central veins. Working knowledge of surface and deep anatomy minimizes complications. Use of surface anatomic landmarks to orient the deep course of cannulating needle tracts appropriately comprises the crux of complication avoidance. The authors describe use of surface landmarks to facilitate safe placement of internal jugular, subclavian, and femoral venous catheters. The role of real-time sonography as a safety-enhancing adjunct is reviewed.","author":[{"dropping-particle":"","family":"Bannon","given":"Michael P","non-dropping-particle":"","parse-names":false,"suffix":""},{"dropping-particle":"","family":"Heller","given":"Stephanie F","non-dropping-particle":"","parse-names":false,"suffix":""},{"dropping-particle":"","family":"Rivera","given":"Mariela","non-dropping-particle":"","parse-names":false,"suffix":""}],"container-title":"Risk management and healthcare policy","id":"ITEM-1","issued":{"date-parts":[["2011"]]},"page":"27-39","publisher":"Dove Press","title":"Anatomic considerations for central venous cannulation.","type":"article-journal","volume":"4"},"uris":["http://www.mendeley.com/documents/?uuid=f27d2d96-8c0e-37ae-a769-16d58b15a227","http://www.mendeley.com/documents/?uuid=f0df5ed8-bde5-4ae2-bb07-d53d990cfba6"]}],"mendeley":{"formattedCitation":"[104]","plainTextFormattedCitation":"[104]","previouslyFormattedCitation":"[104]"},"properties":{"noteIndex":0},"schema":"https://github.com/citation-style-language/schema/raw/master/csl-citation.json"}</w:instrText>
      </w:r>
      <w:r w:rsidRPr="00952000">
        <w:fldChar w:fldCharType="separate"/>
      </w:r>
      <w:r w:rsidR="00CE1363" w:rsidRPr="00CE1363">
        <w:rPr>
          <w:noProof/>
        </w:rPr>
        <w:t>[104]</w:t>
      </w:r>
      <w:r w:rsidRPr="00952000">
        <w:fldChar w:fldCharType="end"/>
      </w:r>
      <w:r w:rsidRPr="00952000">
        <w:t>.</w:t>
      </w:r>
    </w:p>
    <w:p w14:paraId="3A6B1CBC" w14:textId="77777777" w:rsidR="0051317D" w:rsidRPr="00952000" w:rsidRDefault="0051317D" w:rsidP="001D2A3A">
      <w:pPr>
        <w:pStyle w:val="afd"/>
        <w:spacing w:beforeAutospacing="0" w:afterAutospacing="0" w:line="360" w:lineRule="auto"/>
        <w:rPr>
          <w:strike/>
        </w:rPr>
      </w:pPr>
      <w:r w:rsidRPr="00952000">
        <w:t>Использование ультразвукового сопровождения даже при установке ЦВК при тромбоцитопении менее 20х10</w:t>
      </w:r>
      <w:r w:rsidRPr="00952000">
        <w:rPr>
          <w:vertAlign w:val="superscript"/>
        </w:rPr>
        <w:t>9</w:t>
      </w:r>
      <w:r w:rsidRPr="00952000">
        <w:t>/л позволяет избежать серьезных геморрагических осложнений.</w:t>
      </w:r>
    </w:p>
    <w:p w14:paraId="3A3A38A8" w14:textId="02DF7DEC" w:rsidR="0051317D" w:rsidRPr="00952000" w:rsidRDefault="0051317D" w:rsidP="001D2A3A">
      <w:pPr>
        <w:pStyle w:val="afd"/>
        <w:spacing w:beforeAutospacing="0" w:afterAutospacing="0" w:line="360" w:lineRule="auto"/>
      </w:pPr>
      <w:r w:rsidRPr="00952000">
        <w:t xml:space="preserve">В настоящее время УЗИ считается «золотым стандартом» при установке центрального венозного катетера с использованием яремного доступа, так как ВЯВ близко прилежит к поверхности кожи, нет мышц, которые бы могли затруднить визуализацию </w:t>
      </w:r>
      <w:r w:rsidRPr="00952000">
        <w:fldChar w:fldCharType="begin" w:fldLock="1"/>
      </w:r>
      <w:r w:rsidR="00844875">
        <w:instrText>ADDIN CSL_CITATION {"citationItems":[{"id":"ITEM-1","itemData":{"DOI":"10.1097/01.CCM.0000171533.92856.E5","ISSN":"0090-3493","author":[{"dropping-particle":"","family":"Milling","given":"Truman J.","non-dropping-particle":"","parse-names":false,"suffix":""},{"dropping-particle":"","family":"Rose","given":"John","non-dropping-particle":"","parse-names":false,"suffix":""},{"dropping-particle":"","family":"Briggs","given":"William M.","non-dropping-particle":"","parse-names":false,"suffix":""},{"dropping-particle":"","family":"Birkhahn","given":"Robert","non-dropping-particle":"","parse-names":false,"suffix":""},{"dropping-particle":"","family":"Gaeta","given":"Theodore J.","non-dropping-particle":"","parse-names":false,"suffix":""},{"dropping-particle":"","family":"Bove","given":"Joseph J.","non-dropping-particle":"","parse-names":false,"suffix":""},{"dropping-particle":"","family":"Melniker","given":"Lawrence A.","non-dropping-particle":"","parse-names":false,"suffix":""}],"container-title":"Critical Care Medicine","id":"ITEM-1","issue":"8","issued":{"date-parts":[["2005","8"]]},"page":"1764-1769","title":"Randomized, controlled clinical trial of point-of-care limited ultrasonography assistance of central venous cannulation: The Third Sonography Outcomes Assessment Program (SOAP-3) Trial*","type":"article-journal","volume":"33"},"uris":["http://www.mendeley.com/documents/?uuid=054ddacc-452c-3e56-9229-17632ae9ca05","http://www.mendeley.com/documents/?uuid=d52028d6-19cc-49b2-bfeb-b898ed00d7fe"]}],"mendeley":{"formattedCitation":"[105]","plainTextFormattedCitation":"[105]","previouslyFormattedCitation":"[105]"},"properties":{"noteIndex":0},"schema":"https://github.com/citation-style-language/schema/raw/master/csl-citation.json"}</w:instrText>
      </w:r>
      <w:r w:rsidRPr="00952000">
        <w:fldChar w:fldCharType="separate"/>
      </w:r>
      <w:r w:rsidR="00CE1363" w:rsidRPr="00CE1363">
        <w:rPr>
          <w:noProof/>
        </w:rPr>
        <w:t>[105]</w:t>
      </w:r>
      <w:r w:rsidRPr="00952000">
        <w:fldChar w:fldCharType="end"/>
      </w:r>
      <w:r w:rsidRPr="00952000">
        <w:t>. Помимо этого, правая ВЯВ образует практически прямую линию, что уменьшает травму сосуда и риск возникновения КАТ при использовании катетера.</w:t>
      </w:r>
    </w:p>
    <w:p w14:paraId="669C4F22" w14:textId="77777777" w:rsidR="0051317D" w:rsidRPr="00952000" w:rsidRDefault="0051317D" w:rsidP="001D2A3A">
      <w:pPr>
        <w:ind w:firstLine="700"/>
        <w:rPr>
          <w:rFonts w:eastAsia="Times New Roman" w:cs="Times New Roman"/>
          <w:szCs w:val="24"/>
          <w:lang w:eastAsia="ru-RU"/>
        </w:rPr>
      </w:pPr>
      <w:r w:rsidRPr="00952000">
        <w:rPr>
          <w:rFonts w:eastAsia="Times New Roman" w:cs="Times New Roman"/>
          <w:szCs w:val="24"/>
          <w:lang w:eastAsia="ru-RU"/>
        </w:rPr>
        <w:t xml:space="preserve">Ультразвуковое сопровождение катетеризации центральных вен не исключает знания анатомии и поверхностных анатомических ориентиров, которые остаются необходимыми для ориентации как иглы, так и самого ультразвукового датчика. Ультразвуковое сопровождение катетеризации позволяет визуализировать не только вену, но и располагающиеся вблизи анатомические структуры. </w:t>
      </w:r>
    </w:p>
    <w:p w14:paraId="1594BDD8" w14:textId="77777777" w:rsidR="0051317D" w:rsidRPr="00952000" w:rsidRDefault="0051317D" w:rsidP="001D2A3A">
      <w:pPr>
        <w:ind w:firstLine="708"/>
        <w:rPr>
          <w:rFonts w:cs="Times New Roman"/>
          <w:szCs w:val="24"/>
        </w:rPr>
      </w:pPr>
      <w:r w:rsidRPr="00952000">
        <w:rPr>
          <w:rFonts w:cs="Times New Roman"/>
          <w:szCs w:val="24"/>
        </w:rPr>
        <w:t>В случае выявления поражения средостения по данным рентгенологического исследования, а также при клинической картине синдрома сдавления верхней полой вены, перед катетеризацией необходимо выполнение КТ органов грудной клетки с болюсным контрастным усилением для оценки проходимости крупных венозных сосудов, диагностики тромботических осложнений.</w:t>
      </w:r>
    </w:p>
    <w:p w14:paraId="0643CFEE" w14:textId="77777777" w:rsidR="0051317D" w:rsidRDefault="0051317D" w:rsidP="001D2A3A">
      <w:pPr>
        <w:rPr>
          <w:rFonts w:cs="Times New Roman"/>
          <w:b/>
          <w:bCs/>
          <w:szCs w:val="24"/>
        </w:rPr>
      </w:pPr>
    </w:p>
    <w:p w14:paraId="728C835F" w14:textId="77777777" w:rsidR="0051317D" w:rsidRPr="009F4EC0" w:rsidRDefault="0051317D" w:rsidP="001D2A3A">
      <w:pPr>
        <w:rPr>
          <w:rFonts w:cs="Times New Roman"/>
          <w:i/>
          <w:iCs/>
          <w:szCs w:val="24"/>
        </w:rPr>
      </w:pPr>
      <w:r w:rsidRPr="009F4EC0">
        <w:rPr>
          <w:rFonts w:cs="Times New Roman"/>
          <w:i/>
          <w:iCs/>
          <w:szCs w:val="24"/>
        </w:rPr>
        <w:t xml:space="preserve">Выбор типа ЦВК </w:t>
      </w:r>
    </w:p>
    <w:p w14:paraId="1398D045" w14:textId="77777777" w:rsidR="0051317D" w:rsidRPr="00952000" w:rsidRDefault="0051317D" w:rsidP="001D2A3A">
      <w:pPr>
        <w:rPr>
          <w:rFonts w:cs="Times New Roman"/>
          <w:szCs w:val="24"/>
        </w:rPr>
      </w:pPr>
      <w:r w:rsidRPr="00952000">
        <w:rPr>
          <w:rFonts w:cs="Times New Roman"/>
          <w:szCs w:val="24"/>
        </w:rPr>
        <w:t xml:space="preserve">Больным </w:t>
      </w:r>
      <w:r w:rsidRPr="00952000">
        <w:rPr>
          <w:rFonts w:cs="Times New Roman"/>
          <w:b/>
          <w:szCs w:val="24"/>
        </w:rPr>
        <w:t>острым миелоидным лейкозом</w:t>
      </w:r>
      <w:r w:rsidRPr="00952000">
        <w:rPr>
          <w:rFonts w:cs="Times New Roman"/>
          <w:szCs w:val="24"/>
        </w:rPr>
        <w:t xml:space="preserve"> при проведении индукционных курсов химиотерапии, а также при проведении курсов консолидации и поддерживающей терапии устанавливается нетуннелируемый центральный венозный катетер в одну из вен бассейна верхней полой вены (внутреннюю яремную вену, подключичную вену, аксиллярную вену). Следует отдавать предпочтение двухпросветным или трехпросветным нетуннелируемым катетерам, поскольку нередко больным одновременно вводят несовместимые между собой растворы.</w:t>
      </w:r>
    </w:p>
    <w:p w14:paraId="687AAB2D" w14:textId="77777777" w:rsidR="0051317D" w:rsidRPr="00952000" w:rsidRDefault="0051317D" w:rsidP="001D2A3A">
      <w:pPr>
        <w:ind w:firstLine="708"/>
        <w:rPr>
          <w:rFonts w:cs="Times New Roman"/>
          <w:szCs w:val="24"/>
        </w:rPr>
      </w:pPr>
      <w:r w:rsidRPr="00952000">
        <w:rPr>
          <w:rFonts w:cs="Times New Roman"/>
          <w:szCs w:val="24"/>
        </w:rPr>
        <w:t>Установка долговременных венозных катетеров не оправдана из-за высокого риска инфицирования системы.</w:t>
      </w:r>
    </w:p>
    <w:p w14:paraId="4505BB75" w14:textId="77777777" w:rsidR="0051317D" w:rsidRPr="00952000" w:rsidRDefault="0051317D" w:rsidP="0051317D">
      <w:pPr>
        <w:ind w:firstLine="708"/>
        <w:rPr>
          <w:rFonts w:cs="Times New Roman"/>
          <w:szCs w:val="24"/>
        </w:rPr>
      </w:pPr>
      <w:r w:rsidRPr="00952000">
        <w:rPr>
          <w:rFonts w:cs="Times New Roman"/>
          <w:szCs w:val="24"/>
        </w:rPr>
        <w:t xml:space="preserve">У больных </w:t>
      </w:r>
      <w:r w:rsidRPr="00952000">
        <w:rPr>
          <w:rFonts w:cs="Times New Roman"/>
          <w:b/>
          <w:szCs w:val="24"/>
        </w:rPr>
        <w:t>острым промиелоцитарным лейкозом</w:t>
      </w:r>
      <w:r w:rsidRPr="00952000">
        <w:rPr>
          <w:rFonts w:cs="Times New Roman"/>
          <w:szCs w:val="24"/>
        </w:rPr>
        <w:t xml:space="preserve"> при наличии выраженного геморрагического синдрома, как правило, вызванного тромбоцитопенией, гипофибриногенемией, гиперфибринолизом при проведении индукционного курса химиотерапии рекомендуется воздержаться от катетеризации яремных или подключичных вен из-за риска развития угрожающих жизни геморрагических осложнений (возможно развитие гемоторакса, обширных гематом на грудной клетке, развитие гематомы на шее со сдавлением и обструкцией верхних дыхательных путей). В условиях выраженного геморрагического синдрома у этой категории больных методом выбора может явиться катетеризация бедренной вены, либо установка периферически имплантируемого центрального венозного катетера (ПИЦВК) в кубитальную или плечевую вену. Поскольку этим больным требуются большие объемы инфузий, предпочтение следует отдать высокопоточным ПИЦВК, желательно имеющим два-три просвета. После купирования геморрагического синдрома в результате применения дифференцировочных препаратов (полностью транс-ретиноевой кислоты, мышьяка) и/или циторедуктивной химиотерапии больному может быть безопасно установлен нетуннелируемый катетер в одну из вен бассейна верхней полой вены (внутреннюю яремную вену, подключичную вену, аксиллярную вену). В то же время у больных острым промиелоцитарным лейкозом ПИ-ЦВК могут использоваться длительно, при отсутствии осложнений вся программа лечения лейкоза может быть выполнена через него. </w:t>
      </w:r>
    </w:p>
    <w:p w14:paraId="07F556BE" w14:textId="77777777" w:rsidR="0051317D" w:rsidRPr="00952000" w:rsidRDefault="0051317D" w:rsidP="0051317D">
      <w:pPr>
        <w:ind w:firstLine="708"/>
        <w:rPr>
          <w:rFonts w:cs="Times New Roman"/>
          <w:szCs w:val="24"/>
        </w:rPr>
      </w:pPr>
      <w:r w:rsidRPr="00952000">
        <w:rPr>
          <w:rFonts w:cs="Times New Roman"/>
          <w:szCs w:val="24"/>
        </w:rPr>
        <w:t>Нет четких показаний для удаления ПИЦВК в межкурсовом периоде. Учитывая срок службы катетера, а также с целью предотвращения дополнительной травмы венозной стенки или для продолжения терапии может быть установлена полностью имплантируемая порт-система (порт-система).</w:t>
      </w:r>
    </w:p>
    <w:p w14:paraId="6A0D6554" w14:textId="77777777" w:rsidR="0051317D" w:rsidRPr="00952000" w:rsidRDefault="0051317D" w:rsidP="0051317D">
      <w:pPr>
        <w:ind w:firstLine="708"/>
        <w:rPr>
          <w:rFonts w:cs="Times New Roman"/>
          <w:szCs w:val="24"/>
        </w:rPr>
      </w:pPr>
      <w:r w:rsidRPr="00952000">
        <w:rPr>
          <w:rFonts w:cs="Times New Roman"/>
          <w:szCs w:val="24"/>
        </w:rPr>
        <w:t xml:space="preserve">Важной задачей является обеспечение сосудистого доступа </w:t>
      </w:r>
      <w:r w:rsidRPr="00952000">
        <w:rPr>
          <w:rFonts w:cs="Times New Roman"/>
          <w:b/>
          <w:szCs w:val="24"/>
        </w:rPr>
        <w:t>при проведении трансплантации гемопоэтических стволовых клеток</w:t>
      </w:r>
      <w:r w:rsidRPr="00952000">
        <w:rPr>
          <w:rFonts w:cs="Times New Roman"/>
          <w:szCs w:val="24"/>
        </w:rPr>
        <w:t xml:space="preserve"> (ТГСК). При трансплантации аутологичных ГСК достаточно установки нетуннелируемого катетера. При трансплантации аллогенных ГСК и прежде всего неродственных ГСК показана установка либо двухпросветного или трехпросветного ЦВК либо туннелируемых катетеров (катетер Хикмана, Леонарда). При проведении трансплантации с использованием туннелируемых ЦВК значительно реже развиваются ЦВК-ассоциированные инфекционные осложнения. Туннелируемые ЦВК не имеют преимуществ перед нетуннелируемыми ЦВК с антибактериальным покрытием при использовании в течение одного месяца. Однако при длительном использовании туннелируемых катетеров осложнений значительно меньше, чем при использовании нетуннелируемых (как с антибактериальным покрытием, так и без него). Поскольку при трансплантации аллогенных ГСК (прежде всего, неродственных) многие осложнения (реакция трансплантат против хозяина с поражением кожи, кишечника, инфекционные осложнения, геморрагический цистит и т. д.) возникают в первые 100 дней после трансплантации, и больные длительно нуждаются в сосудистом доступе, предпочтение следует отдать туннелируемым ЦВК (катетер Хикмана, Леонарда). Эти катетеры следует оставлять на несколько месяцев даже после выписки больного из стационара. Для уменьшения риска воздушной эмболии может быть установлен катетер Хикмана с клапаном Грошонга на дистальном конце, либо на проксимальный конец туннелируемого катетера устанавливаются специальные клапаны. Опыт длительного (в течение 4—6 мес) использования туннелируемых катетеров после ТГСК показал их безопасность и эффективность.</w:t>
      </w:r>
    </w:p>
    <w:p w14:paraId="1EF52B19" w14:textId="77777777" w:rsidR="0051317D" w:rsidRDefault="0051317D" w:rsidP="0051317D">
      <w:pPr>
        <w:ind w:firstLine="708"/>
        <w:rPr>
          <w:rFonts w:cs="Times New Roman"/>
          <w:b/>
          <w:bCs/>
          <w:szCs w:val="24"/>
        </w:rPr>
      </w:pPr>
    </w:p>
    <w:p w14:paraId="3E8320EB" w14:textId="77777777" w:rsidR="0051317D" w:rsidRPr="009F4EC0" w:rsidRDefault="0051317D" w:rsidP="0051317D">
      <w:pPr>
        <w:ind w:firstLine="708"/>
        <w:rPr>
          <w:rFonts w:cs="Times New Roman"/>
          <w:i/>
          <w:iCs/>
          <w:szCs w:val="24"/>
          <w:u w:val="single"/>
        </w:rPr>
      </w:pPr>
      <w:r w:rsidRPr="009F4EC0">
        <w:rPr>
          <w:rFonts w:cs="Times New Roman"/>
          <w:i/>
          <w:iCs/>
          <w:szCs w:val="24"/>
          <w:u w:val="single"/>
        </w:rPr>
        <w:t>Профилактика осложнений</w:t>
      </w:r>
    </w:p>
    <w:p w14:paraId="4792B21C" w14:textId="77777777" w:rsidR="0051317D" w:rsidRPr="009F4EC0" w:rsidRDefault="0051317D" w:rsidP="0051317D">
      <w:pPr>
        <w:ind w:firstLine="708"/>
        <w:rPr>
          <w:rFonts w:cs="Times New Roman"/>
          <w:i/>
          <w:iCs/>
          <w:szCs w:val="24"/>
        </w:rPr>
      </w:pPr>
      <w:r w:rsidRPr="009F4EC0">
        <w:rPr>
          <w:rFonts w:cs="Times New Roman"/>
          <w:i/>
          <w:iCs/>
          <w:szCs w:val="24"/>
        </w:rPr>
        <w:t>Методы профилактики ранних осложнений</w:t>
      </w:r>
    </w:p>
    <w:p w14:paraId="61C7B4BC" w14:textId="77777777" w:rsidR="0051317D" w:rsidRPr="00952000" w:rsidRDefault="0051317D" w:rsidP="0051317D">
      <w:pPr>
        <w:pStyle w:val="afe"/>
        <w:numPr>
          <w:ilvl w:val="0"/>
          <w:numId w:val="99"/>
        </w:numPr>
        <w:tabs>
          <w:tab w:val="left" w:pos="709"/>
        </w:tabs>
        <w:ind w:left="709"/>
        <w:rPr>
          <w:rFonts w:cs="Times New Roman"/>
          <w:szCs w:val="24"/>
        </w:rPr>
      </w:pPr>
      <w:r w:rsidRPr="00952000">
        <w:rPr>
          <w:rFonts w:cs="Times New Roman"/>
          <w:szCs w:val="24"/>
        </w:rPr>
        <w:t>Ультразвуковое сопровождение катетеризации центральных вен</w:t>
      </w:r>
    </w:p>
    <w:p w14:paraId="456D84F6" w14:textId="77777777" w:rsidR="0051317D" w:rsidRPr="00952000" w:rsidRDefault="0051317D" w:rsidP="0051317D">
      <w:pPr>
        <w:ind w:firstLine="708"/>
        <w:rPr>
          <w:rFonts w:cs="Times New Roman"/>
          <w:strike/>
          <w:szCs w:val="24"/>
        </w:rPr>
      </w:pPr>
      <w:r w:rsidRPr="00952000">
        <w:rPr>
          <w:rFonts w:cs="Times New Roman"/>
          <w:szCs w:val="24"/>
        </w:rPr>
        <w:t>С использованием линейного датчика 10 МГц, который обеспечивает поверхность сканирования 20-50 мм и глубину до 80 мм или в допплеровском режиме.</w:t>
      </w:r>
    </w:p>
    <w:p w14:paraId="1592A417" w14:textId="77777777" w:rsidR="0051317D" w:rsidRPr="00952000" w:rsidRDefault="0051317D" w:rsidP="0051317D">
      <w:pPr>
        <w:ind w:firstLine="708"/>
        <w:rPr>
          <w:rFonts w:cs="Times New Roman"/>
          <w:szCs w:val="24"/>
        </w:rPr>
      </w:pPr>
      <w:r w:rsidRPr="00952000">
        <w:rPr>
          <w:rFonts w:cs="Times New Roman"/>
          <w:szCs w:val="24"/>
        </w:rPr>
        <w:t>Пункцию вены осуществляют в режиме постоянной визуализации острия иглы.</w:t>
      </w:r>
    </w:p>
    <w:p w14:paraId="35ADCE36" w14:textId="77777777" w:rsidR="0051317D" w:rsidRPr="00952000" w:rsidRDefault="0051317D" w:rsidP="0051317D">
      <w:pPr>
        <w:ind w:firstLine="708"/>
        <w:rPr>
          <w:rFonts w:cs="Times New Roman"/>
          <w:szCs w:val="24"/>
        </w:rPr>
      </w:pPr>
      <w:r w:rsidRPr="00952000">
        <w:rPr>
          <w:rFonts w:cs="Times New Roman"/>
          <w:szCs w:val="24"/>
        </w:rPr>
        <w:t xml:space="preserve">Нарушения гемостаза компенсируются с помощью заместительной терапии компонентами крови. </w:t>
      </w:r>
    </w:p>
    <w:p w14:paraId="67CCCEDF" w14:textId="77777777" w:rsidR="0051317D" w:rsidRPr="00952000" w:rsidRDefault="0051317D" w:rsidP="0051317D">
      <w:pPr>
        <w:ind w:firstLine="708"/>
        <w:rPr>
          <w:rFonts w:eastAsia="ＭＳ 明朝 (Основной текст темы (ази" w:cs="Times New Roman"/>
          <w:szCs w:val="24"/>
          <w:lang w:eastAsia="ru-RU"/>
        </w:rPr>
      </w:pPr>
      <w:r w:rsidRPr="00952000">
        <w:rPr>
          <w:rFonts w:cs="Times New Roman"/>
          <w:szCs w:val="24"/>
        </w:rPr>
        <w:t>Трансфузию концентратов тромбоцитов выполняют при снижении их концентрации в периферической крови ниже 20х10</w:t>
      </w:r>
      <w:r w:rsidRPr="00952000">
        <w:rPr>
          <w:rFonts w:cs="Times New Roman"/>
          <w:szCs w:val="24"/>
          <w:vertAlign w:val="superscript"/>
        </w:rPr>
        <w:t>9</w:t>
      </w:r>
      <w:r w:rsidRPr="00952000">
        <w:rPr>
          <w:rFonts w:cs="Times New Roman"/>
          <w:szCs w:val="24"/>
        </w:rPr>
        <w:t xml:space="preserve">/л </w:t>
      </w:r>
      <w:r w:rsidRPr="00952000">
        <w:rPr>
          <w:rFonts w:eastAsia="ＭＳ 明朝 (Основной текст темы (ази" w:cs="Times New Roman"/>
          <w:szCs w:val="24"/>
          <w:lang w:eastAsia="ru-RU"/>
        </w:rPr>
        <w:t>из расчета 1 ед. или 0,6х10</w:t>
      </w:r>
      <w:r w:rsidRPr="00952000">
        <w:rPr>
          <w:rFonts w:eastAsia="ＭＳ 明朝 (Основной текст темы (ази" w:cs="Times New Roman"/>
          <w:szCs w:val="24"/>
          <w:vertAlign w:val="superscript"/>
          <w:lang w:eastAsia="ru-RU"/>
        </w:rPr>
        <w:t>11</w:t>
      </w:r>
      <w:r w:rsidRPr="00952000">
        <w:rPr>
          <w:rFonts w:eastAsia="ＭＳ 明朝 (Основной текст темы (ази" w:cs="Times New Roman"/>
          <w:szCs w:val="24"/>
          <w:lang w:eastAsia="ru-RU"/>
        </w:rPr>
        <w:t xml:space="preserve"> клеток на 10 кг массы тела либо 1 терапевтическая доза (2х10</w:t>
      </w:r>
      <w:r w:rsidRPr="00952000">
        <w:rPr>
          <w:rFonts w:eastAsia="ＭＳ 明朝 (Основной текст темы (ази" w:cs="Times New Roman"/>
          <w:szCs w:val="24"/>
          <w:vertAlign w:val="superscript"/>
          <w:lang w:eastAsia="ru-RU"/>
        </w:rPr>
        <w:t>11</w:t>
      </w:r>
      <w:r w:rsidRPr="00952000">
        <w:rPr>
          <w:rFonts w:eastAsia="ＭＳ 明朝 (Основной текст темы (ази" w:cs="Times New Roman"/>
          <w:szCs w:val="24"/>
          <w:lang w:eastAsia="ru-RU"/>
        </w:rPr>
        <w:t xml:space="preserve"> клеток) на 1 м</w:t>
      </w:r>
      <w:r w:rsidRPr="00952000">
        <w:rPr>
          <w:rFonts w:eastAsia="ＭＳ 明朝 (Основной текст темы (ази" w:cs="Times New Roman"/>
          <w:szCs w:val="24"/>
          <w:vertAlign w:val="superscript"/>
          <w:lang w:eastAsia="ru-RU"/>
        </w:rPr>
        <w:t>2</w:t>
      </w:r>
      <w:r w:rsidRPr="00952000">
        <w:rPr>
          <w:rFonts w:eastAsia="ＭＳ 明朝 (Основной текст темы (ази" w:cs="Times New Roman"/>
          <w:szCs w:val="24"/>
          <w:lang w:eastAsia="ru-RU"/>
        </w:rPr>
        <w:t xml:space="preserve"> поверхности тела.</w:t>
      </w:r>
    </w:p>
    <w:p w14:paraId="37293860" w14:textId="77777777" w:rsidR="0051317D" w:rsidRPr="00952000" w:rsidRDefault="0051317D" w:rsidP="0051317D">
      <w:pPr>
        <w:ind w:firstLine="708"/>
        <w:rPr>
          <w:rFonts w:cs="Times New Roman"/>
          <w:szCs w:val="24"/>
        </w:rPr>
      </w:pPr>
      <w:r w:rsidRPr="00952000">
        <w:rPr>
          <w:rFonts w:eastAsia="ＭＳ 明朝 (Основной текст темы (ази" w:cs="Times New Roman"/>
          <w:szCs w:val="24"/>
          <w:lang w:eastAsia="ru-RU"/>
        </w:rPr>
        <w:t>Трансфузии</w:t>
      </w:r>
      <w:r w:rsidRPr="00952000">
        <w:rPr>
          <w:rFonts w:cs="Times New Roman"/>
          <w:szCs w:val="24"/>
        </w:rPr>
        <w:t xml:space="preserve"> криопреципитата выполняют при снижении концентрации фибриногена плазмы &lt;1,5 г/л из расчета 1 доза на 5 кг массы тела больного.</w:t>
      </w:r>
    </w:p>
    <w:p w14:paraId="43647BEA" w14:textId="77777777" w:rsidR="0051317D" w:rsidRPr="00952000" w:rsidRDefault="0051317D" w:rsidP="0051317D">
      <w:pPr>
        <w:ind w:firstLine="708"/>
        <w:rPr>
          <w:rFonts w:eastAsia="ＭＳ 明朝 (Основной текст темы (ази" w:cs="Times New Roman"/>
          <w:szCs w:val="24"/>
          <w:lang w:eastAsia="ru-RU"/>
        </w:rPr>
      </w:pPr>
      <w:r w:rsidRPr="00952000">
        <w:rPr>
          <w:rFonts w:cs="Times New Roman"/>
          <w:szCs w:val="24"/>
        </w:rPr>
        <w:t>Трансфузии свежезамороженной плазмы проводят для коррекции дефицита факторов свертывания в дозе 10-15 мл/кг для обеспечения концентрации факторов свёртывания на уровне 30%.</w:t>
      </w:r>
    </w:p>
    <w:p w14:paraId="00F28CF7" w14:textId="4C55581C" w:rsidR="0051317D" w:rsidRPr="00952000" w:rsidRDefault="0051317D" w:rsidP="0051317D">
      <w:pPr>
        <w:rPr>
          <w:rFonts w:cs="Times New Roman"/>
          <w:szCs w:val="24"/>
        </w:rPr>
      </w:pPr>
      <w:r w:rsidRPr="00952000">
        <w:rPr>
          <w:rFonts w:cs="Times New Roman"/>
          <w:szCs w:val="24"/>
        </w:rPr>
        <w:t xml:space="preserve">У больных гемофилией расчет дозы концентрата дефицитного фактора свертывания проводят по формулам </w:t>
      </w:r>
      <w:r w:rsidRPr="00952000">
        <w:rPr>
          <w:rFonts w:cs="Times New Roman"/>
          <w:szCs w:val="24"/>
        </w:rPr>
        <w:fldChar w:fldCharType="begin" w:fldLock="1"/>
      </w:r>
      <w:r w:rsidR="00844875">
        <w:rPr>
          <w:rFonts w:cs="Times New Roman"/>
          <w:szCs w:val="24"/>
        </w:rPr>
        <w:instrText>ADDIN CSL_CITATION {"citationItems":[{"id":"ITEM-1","itemData":{"author":[{"dropping-particle":"","family":"Зозуля","given":"Н.И.","non-dropping-particle":"","parse-names":false,"suffix":""},{"dropping-particle":"","family":"Кумскова","given":"М.А.","non-dropping-particle":"","parse-names":false,"suffix":""}],"container-title":"Алгоритмы диагностики и протоколы лечения заболеваний системы крови. Том 1.","edition":"Практика","editor":[{"dropping-particle":"","family":"Савченко","given":"В.Г.","non-dropping-particle":"","parse-names":false,"suffix":""}],"id":"ITEM-1","issued":{"date-parts":[["2018"]]},"page":"333-358","publisher-place":"Москва","title":"Протокол диагностики и лечения гемофилии.","type":"chapter"},"uris":["http://www.mendeley.com/documents/?uuid=0f5fa306-495f-47fd-a308-cb7187da6dc9","http://www.mendeley.com/documents/?uuid=401a8177-eb94-4a41-8d27-6243609619c9"]}],"mendeley":{"formattedCitation":"[106]","plainTextFormattedCitation":"[106]","previouslyFormattedCitation":"[106]"},"properties":{"noteIndex":0},"schema":"https://github.com/citation-style-language/schema/raw/master/csl-citation.json"}</w:instrText>
      </w:r>
      <w:r w:rsidRPr="00952000">
        <w:rPr>
          <w:rFonts w:cs="Times New Roman"/>
          <w:szCs w:val="24"/>
        </w:rPr>
        <w:fldChar w:fldCharType="separate"/>
      </w:r>
      <w:r w:rsidR="00CE1363" w:rsidRPr="00CE1363">
        <w:rPr>
          <w:rFonts w:cs="Times New Roman"/>
          <w:noProof/>
          <w:szCs w:val="24"/>
        </w:rPr>
        <w:t>[106]</w:t>
      </w:r>
      <w:r w:rsidRPr="00952000">
        <w:rPr>
          <w:rFonts w:cs="Times New Roman"/>
          <w:szCs w:val="24"/>
        </w:rPr>
        <w:fldChar w:fldCharType="end"/>
      </w:r>
      <w:r w:rsidRPr="00952000">
        <w:rPr>
          <w:rFonts w:cs="Times New Roman"/>
          <w:szCs w:val="24"/>
        </w:rPr>
        <w:t>:</w:t>
      </w:r>
    </w:p>
    <w:p w14:paraId="741681BF" w14:textId="77777777" w:rsidR="0051317D" w:rsidRPr="00952000" w:rsidRDefault="0051317D" w:rsidP="0051317D">
      <w:pPr>
        <w:pStyle w:val="afe"/>
        <w:numPr>
          <w:ilvl w:val="0"/>
          <w:numId w:val="94"/>
        </w:numPr>
        <w:rPr>
          <w:rFonts w:cs="Times New Roman"/>
          <w:szCs w:val="24"/>
        </w:rPr>
      </w:pPr>
      <w:r w:rsidRPr="00952000">
        <w:rPr>
          <w:rFonts w:cs="Times New Roman"/>
          <w:szCs w:val="24"/>
        </w:rPr>
        <w:t>FVIII: доза (МЕ) = масса тела (кг) х (требуемая активность (не менее 70%) – базальная активность) х 0,5,</w:t>
      </w:r>
    </w:p>
    <w:p w14:paraId="1E7C6810" w14:textId="77777777" w:rsidR="0051317D" w:rsidRPr="00952000" w:rsidRDefault="0051317D" w:rsidP="0051317D">
      <w:pPr>
        <w:pStyle w:val="afe"/>
        <w:numPr>
          <w:ilvl w:val="0"/>
          <w:numId w:val="94"/>
        </w:numPr>
        <w:rPr>
          <w:rFonts w:cs="Times New Roman"/>
          <w:szCs w:val="24"/>
        </w:rPr>
      </w:pPr>
      <w:r w:rsidRPr="00952000">
        <w:rPr>
          <w:rFonts w:cs="Times New Roman"/>
          <w:szCs w:val="24"/>
        </w:rPr>
        <w:t>FIX: доза (МЕ) = масса тела (кг) х (требуемая активность (не менее 70%) – базальная активность).</w:t>
      </w:r>
    </w:p>
    <w:p w14:paraId="25B0ED94" w14:textId="2B3768DD" w:rsidR="0051317D" w:rsidRPr="00952000" w:rsidRDefault="0051317D" w:rsidP="0051317D">
      <w:pPr>
        <w:ind w:firstLine="360"/>
        <w:rPr>
          <w:rFonts w:cs="Times New Roman"/>
          <w:szCs w:val="24"/>
        </w:rPr>
      </w:pPr>
      <w:r w:rsidRPr="00952000">
        <w:rPr>
          <w:rFonts w:cs="Times New Roman"/>
          <w:szCs w:val="24"/>
        </w:rPr>
        <w:t xml:space="preserve">При применении противоингибиторного коагулянтного комплекса дозу препарата рассчитывают исходя из потребности в 50-100 МЕ/кг </w:t>
      </w:r>
      <w:r w:rsidRPr="00952000">
        <w:rPr>
          <w:rFonts w:cs="Times New Roman"/>
          <w:szCs w:val="24"/>
        </w:rPr>
        <w:fldChar w:fldCharType="begin" w:fldLock="1"/>
      </w:r>
      <w:r w:rsidR="00844875">
        <w:rPr>
          <w:rFonts w:cs="Times New Roman"/>
          <w:szCs w:val="24"/>
        </w:rPr>
        <w:instrText>ADDIN CSL_CITATION {"citationItems":[{"id":"ITEM-1","itemData":{"author":[{"dropping-particle":"","family":"Галстян","given":"Г.М.","non-dropping-particle":"","parse-names":false,"suffix":""}],"container-title":"Гематология и трансфузиология.","id":"ITEM-1","issue":"2","issued":{"date-parts":[["2012"]]},"page":"7 - 21","title":"НАРУШЕНИЯ ГЕМОСТАЗА, ОБУСЛОВЛЕННЫЕ ДЕФИЦИТОМ ВИТАМИН К-ЗАВИСИМЫХ ФАКТОРОВ СВЕРТЫВАНИЯ КРОВИ — ПАТОГЕНЕЗ, СПОСОБЫ КОРРЕКЦИИ И РЕКОМЕНДАЦИИ ПО ЛЕЧЕНИЮ.","type":"article-journal","volume":"27"},"uris":["http://www.mendeley.com/documents/?uuid=52f305ab-0108-47a6-9673-c9e5246a7900","http://www.mendeley.com/documents/?uuid=e948cfe1-2831-4737-b489-e36df40a40f3"]}],"mendeley":{"formattedCitation":"[107]","plainTextFormattedCitation":"[107]","previouslyFormattedCitation":"[107]"},"properties":{"noteIndex":0},"schema":"https://github.com/citation-style-language/schema/raw/master/csl-citation.json"}</w:instrText>
      </w:r>
      <w:r w:rsidRPr="00952000">
        <w:rPr>
          <w:rFonts w:cs="Times New Roman"/>
          <w:szCs w:val="24"/>
        </w:rPr>
        <w:fldChar w:fldCharType="separate"/>
      </w:r>
      <w:r w:rsidR="00CE1363" w:rsidRPr="00CE1363">
        <w:rPr>
          <w:rFonts w:cs="Times New Roman"/>
          <w:noProof/>
          <w:szCs w:val="24"/>
        </w:rPr>
        <w:t>[107]</w:t>
      </w:r>
      <w:r w:rsidRPr="00952000">
        <w:rPr>
          <w:rFonts w:cs="Times New Roman"/>
          <w:szCs w:val="24"/>
        </w:rPr>
        <w:fldChar w:fldCharType="end"/>
      </w:r>
      <w:r w:rsidRPr="00952000">
        <w:rPr>
          <w:rFonts w:cs="Times New Roman"/>
          <w:szCs w:val="24"/>
        </w:rPr>
        <w:t xml:space="preserve"> для однократного применения.</w:t>
      </w:r>
    </w:p>
    <w:p w14:paraId="0F971059" w14:textId="77777777" w:rsidR="0051317D" w:rsidRPr="00952000" w:rsidRDefault="0051317D" w:rsidP="0051317D">
      <w:pPr>
        <w:ind w:firstLine="360"/>
        <w:rPr>
          <w:rFonts w:cs="Times New Roman"/>
          <w:szCs w:val="24"/>
        </w:rPr>
      </w:pPr>
      <w:r w:rsidRPr="00952000">
        <w:rPr>
          <w:rFonts w:cs="Times New Roman"/>
          <w:szCs w:val="24"/>
        </w:rPr>
        <w:t>Препараты рекомбинантного активированного фактора свертывания VII (rFVIIa) вводят в дозе 120 мг/кг однократно, после процедуры, в случаях неэффективности предшествующих мероприятий.</w:t>
      </w:r>
    </w:p>
    <w:p w14:paraId="315AE80C" w14:textId="77777777" w:rsidR="0051317D" w:rsidRPr="00952000" w:rsidRDefault="0051317D" w:rsidP="0051317D">
      <w:pPr>
        <w:pStyle w:val="Default"/>
        <w:spacing w:line="360" w:lineRule="auto"/>
        <w:ind w:firstLine="709"/>
        <w:jc w:val="both"/>
        <w:rPr>
          <w:color w:val="auto"/>
        </w:rPr>
      </w:pPr>
      <w:r w:rsidRPr="00952000">
        <w:rPr>
          <w:color w:val="auto"/>
        </w:rPr>
        <w:t>Хотя безопасным уровнем для катетеризации мы считаем количество тромбоцитов крови более 20 х 10</w:t>
      </w:r>
      <w:r w:rsidRPr="00952000">
        <w:rPr>
          <w:color w:val="auto"/>
          <w:vertAlign w:val="superscript"/>
        </w:rPr>
        <w:t>9</w:t>
      </w:r>
      <w:r w:rsidRPr="00952000">
        <w:rPr>
          <w:color w:val="auto"/>
        </w:rPr>
        <w:t>/л, у ряда пациентов достичь этого порогового уровня не удается вследствие различных причин, например, рефрактерность к трансфузиям. В этих случаях катетеризация центральной вены проводится только  под контролем ультразвука.</w:t>
      </w:r>
    </w:p>
    <w:p w14:paraId="0784D34E" w14:textId="77777777" w:rsidR="0051317D" w:rsidRDefault="0051317D" w:rsidP="0051317D">
      <w:pPr>
        <w:ind w:firstLine="708"/>
        <w:rPr>
          <w:rFonts w:cs="Times New Roman"/>
          <w:b/>
          <w:bCs/>
          <w:szCs w:val="24"/>
        </w:rPr>
      </w:pPr>
    </w:p>
    <w:p w14:paraId="0DAAFAA1" w14:textId="77777777" w:rsidR="0051317D" w:rsidRPr="009F4EC0" w:rsidRDefault="0051317D" w:rsidP="0051317D">
      <w:pPr>
        <w:ind w:firstLine="708"/>
        <w:rPr>
          <w:rFonts w:cs="Times New Roman"/>
          <w:i/>
          <w:iCs/>
          <w:szCs w:val="24"/>
        </w:rPr>
      </w:pPr>
      <w:r w:rsidRPr="009F4EC0">
        <w:rPr>
          <w:rFonts w:cs="Times New Roman"/>
          <w:i/>
          <w:iCs/>
          <w:szCs w:val="24"/>
        </w:rPr>
        <w:t>Методы профилактики поздних осложнений</w:t>
      </w:r>
    </w:p>
    <w:p w14:paraId="735DBB2A" w14:textId="77777777" w:rsidR="0051317D" w:rsidRPr="00952000" w:rsidRDefault="0051317D" w:rsidP="0051317D">
      <w:pPr>
        <w:ind w:firstLine="708"/>
        <w:rPr>
          <w:rFonts w:cs="Times New Roman"/>
          <w:szCs w:val="24"/>
        </w:rPr>
      </w:pPr>
      <w:r w:rsidRPr="00952000">
        <w:rPr>
          <w:rFonts w:cs="Times New Roman"/>
          <w:szCs w:val="24"/>
        </w:rPr>
        <w:t xml:space="preserve">После окончания использования все катетеры должны быть промыты соответствующим объемом физиологического раствора (табл. 1), а затем закрыты с помощью раствора, создающего «катетерный замок» также в соответствии с объемом катетера. На короткий срок (1-2 сут.) может быть использован «гепариновый замок» (гепарин в физиологическом растворе в концентрации 100 Ед/мл), при закрытии катетера на длительный срок, а также при высоком риске инфицирования катетера предпочтительным является использование раствора Тауролока. </w:t>
      </w:r>
    </w:p>
    <w:p w14:paraId="6DE241CD" w14:textId="77777777" w:rsidR="0051317D" w:rsidRPr="00952000" w:rsidRDefault="0051317D" w:rsidP="0051317D">
      <w:pPr>
        <w:ind w:firstLine="708"/>
        <w:rPr>
          <w:rFonts w:eastAsia="ＭＳ 明朝 (Основной текст темы (ази" w:cs="Times New Roman"/>
          <w:szCs w:val="24"/>
        </w:rPr>
      </w:pPr>
      <w:r w:rsidRPr="00952000">
        <w:rPr>
          <w:rFonts w:eastAsia="ＭＳ 明朝 (Основной текст темы (ази" w:cs="Times New Roman"/>
          <w:szCs w:val="24"/>
        </w:rPr>
        <w:t>В случае перерывов в лечении катетер необходимо промывать 1 раз в 24 часа для нетуннелируемых ЦВК, 1 раз в 7 (10) дней для ПИЦВК и туннелируемых катетеров, 1 раз в 30 дней для порт-систем.</w:t>
      </w:r>
    </w:p>
    <w:p w14:paraId="1C0345F1" w14:textId="77777777" w:rsidR="0051317D" w:rsidRPr="009F4EC0" w:rsidRDefault="0051317D" w:rsidP="0051317D">
      <w:pPr>
        <w:ind w:firstLine="708"/>
        <w:rPr>
          <w:rFonts w:cs="Times New Roman"/>
          <w:szCs w:val="24"/>
        </w:rPr>
      </w:pPr>
      <w:r w:rsidRPr="00952000">
        <w:rPr>
          <w:rFonts w:eastAsia="ＭＳ 明朝 (Основной текст темы (ази" w:cs="Times New Roman"/>
          <w:szCs w:val="24"/>
        </w:rPr>
        <w:t xml:space="preserve">Асептическая повязка накладывается на место выхода катетера на кожу. Частота замены повязки с обязательной обработкой места выхода катетера, в соответствии с общими </w:t>
      </w:r>
      <w:r w:rsidRPr="009F4EC0">
        <w:rPr>
          <w:rFonts w:eastAsia="ＭＳ 明朝 (Основной текст темы (ази" w:cs="Times New Roman"/>
          <w:szCs w:val="24"/>
        </w:rPr>
        <w:t>принципами хирургической обработки, 2 раза в неделю при использовании нетуннелируемых катетеров, 1 раз в неделю для туннелируемых катетеров и ПИЦВК, и при необходимости (таб.1). Предпочтительно использовать прозрачные повязки для возможности ежедневной оценки кожи в месте установки катетера на наличие воспалительных изменений.</w:t>
      </w:r>
    </w:p>
    <w:p w14:paraId="449EFAC1" w14:textId="77777777" w:rsidR="0051317D" w:rsidRPr="00952000" w:rsidRDefault="0051317D" w:rsidP="0051317D">
      <w:pPr>
        <w:ind w:firstLine="708"/>
        <w:rPr>
          <w:rFonts w:cs="Times New Roman"/>
          <w:szCs w:val="24"/>
        </w:rPr>
      </w:pPr>
      <w:r w:rsidRPr="009F4EC0">
        <w:rPr>
          <w:rFonts w:cs="Times New Roman"/>
          <w:szCs w:val="24"/>
        </w:rPr>
        <w:t>Таблица 1. Режимы промы</w:t>
      </w:r>
      <w:r w:rsidRPr="00952000">
        <w:rPr>
          <w:rFonts w:cs="Times New Roman"/>
          <w:szCs w:val="24"/>
        </w:rPr>
        <w:t>вания и закрытия катетеров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002"/>
        <w:gridCol w:w="6707"/>
      </w:tblGrid>
      <w:tr w:rsidR="0051317D" w:rsidRPr="00952000" w14:paraId="0AB14756" w14:textId="77777777" w:rsidTr="002D3EBF">
        <w:trPr>
          <w:cantSplit/>
          <w:trHeight w:val="2220"/>
        </w:trPr>
        <w:tc>
          <w:tcPr>
            <w:tcW w:w="534" w:type="dxa"/>
            <w:vMerge w:val="restart"/>
            <w:textDirection w:val="btLr"/>
          </w:tcPr>
          <w:p w14:paraId="22068D8A" w14:textId="77777777" w:rsidR="0051317D" w:rsidRPr="00952000" w:rsidRDefault="0051317D" w:rsidP="001D2A3A">
            <w:pPr>
              <w:ind w:left="113" w:right="113" w:firstLine="0"/>
              <w:rPr>
                <w:rFonts w:eastAsia="ＭＳ 明朝 (Основной текст темы (ази" w:cs="Times New Roman"/>
                <w:szCs w:val="24"/>
              </w:rPr>
            </w:pPr>
            <w:r w:rsidRPr="00952000">
              <w:rPr>
                <w:rFonts w:eastAsia="ＭＳ 明朝 (Основной текст темы (ази" w:cs="Times New Roman"/>
                <w:szCs w:val="24"/>
              </w:rPr>
              <w:t>Промывание катетера</w:t>
            </w:r>
          </w:p>
        </w:tc>
        <w:tc>
          <w:tcPr>
            <w:tcW w:w="2011" w:type="dxa"/>
            <w:shd w:val="clear" w:color="auto" w:fill="auto"/>
          </w:tcPr>
          <w:p w14:paraId="7070AF49" w14:textId="77777777" w:rsidR="0051317D" w:rsidRPr="00952000" w:rsidRDefault="0051317D" w:rsidP="001D2A3A">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Введение препаратов</w:t>
            </w:r>
          </w:p>
        </w:tc>
        <w:tc>
          <w:tcPr>
            <w:tcW w:w="7026" w:type="dxa"/>
            <w:shd w:val="clear" w:color="auto" w:fill="auto"/>
          </w:tcPr>
          <w:p w14:paraId="2E0180A7" w14:textId="77777777" w:rsidR="0051317D" w:rsidRPr="00952000" w:rsidRDefault="0051317D" w:rsidP="001D2A3A">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 xml:space="preserve">Промывать катетеры необходимо до и после введения лекарственных препаратов и компонентов крови. Использовать болюсное (импульсный режим) промывание 10 мл физиологического раствора для всех внутривенных катетеров (за исключением периферических катетеров, где достаточно 5 мл). </w:t>
            </w:r>
          </w:p>
        </w:tc>
      </w:tr>
      <w:tr w:rsidR="0051317D" w:rsidRPr="00952000" w14:paraId="071DBADA" w14:textId="77777777" w:rsidTr="002D3EBF">
        <w:trPr>
          <w:cantSplit/>
          <w:trHeight w:val="1920"/>
        </w:trPr>
        <w:tc>
          <w:tcPr>
            <w:tcW w:w="534" w:type="dxa"/>
            <w:vMerge/>
            <w:textDirection w:val="btLr"/>
          </w:tcPr>
          <w:p w14:paraId="4E0A585A" w14:textId="77777777" w:rsidR="0051317D" w:rsidRPr="00952000" w:rsidRDefault="0051317D" w:rsidP="001D2A3A">
            <w:pPr>
              <w:ind w:left="113" w:right="113" w:firstLine="0"/>
              <w:rPr>
                <w:rFonts w:eastAsia="ＭＳ 明朝 (Основной текст темы (ази" w:cs="Times New Roman"/>
                <w:szCs w:val="24"/>
              </w:rPr>
            </w:pPr>
          </w:p>
        </w:tc>
        <w:tc>
          <w:tcPr>
            <w:tcW w:w="2011" w:type="dxa"/>
            <w:shd w:val="clear" w:color="auto" w:fill="auto"/>
          </w:tcPr>
          <w:p w14:paraId="7DEC51AE" w14:textId="77777777" w:rsidR="0051317D" w:rsidRPr="00952000" w:rsidRDefault="0051317D" w:rsidP="001D2A3A">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Парентеральное питание, компоненты крови</w:t>
            </w:r>
          </w:p>
        </w:tc>
        <w:tc>
          <w:tcPr>
            <w:tcW w:w="7026" w:type="dxa"/>
            <w:shd w:val="clear" w:color="auto" w:fill="auto"/>
          </w:tcPr>
          <w:p w14:paraId="6E066A02" w14:textId="77777777" w:rsidR="0051317D" w:rsidRPr="00952000" w:rsidRDefault="0051317D" w:rsidP="001D2A3A">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После введения в катетер компонентов крови или парентерально питания использовать 20 мл (10 мл х 2) для промывания катетера. Промывать необходимо чередуя импульсный режим и струйное болюсное введение.</w:t>
            </w:r>
          </w:p>
        </w:tc>
      </w:tr>
      <w:tr w:rsidR="0051317D" w:rsidRPr="00952000" w14:paraId="2E30B700" w14:textId="77777777" w:rsidTr="002D3EBF">
        <w:trPr>
          <w:cantSplit/>
          <w:trHeight w:val="1134"/>
        </w:trPr>
        <w:tc>
          <w:tcPr>
            <w:tcW w:w="534" w:type="dxa"/>
            <w:vMerge w:val="restart"/>
            <w:textDirection w:val="btLr"/>
          </w:tcPr>
          <w:p w14:paraId="1A95F4DF" w14:textId="77777777" w:rsidR="0051317D" w:rsidRPr="00952000" w:rsidRDefault="0051317D" w:rsidP="001D2A3A">
            <w:pPr>
              <w:ind w:left="113" w:right="113" w:firstLine="0"/>
              <w:rPr>
                <w:rFonts w:eastAsia="ＭＳ 明朝 (Основной текст темы (ази" w:cs="Times New Roman"/>
                <w:szCs w:val="24"/>
              </w:rPr>
            </w:pPr>
            <w:r w:rsidRPr="00952000">
              <w:rPr>
                <w:rFonts w:eastAsia="ＭＳ 明朝 (Основной текст темы (ази" w:cs="Times New Roman"/>
                <w:szCs w:val="24"/>
              </w:rPr>
              <w:t>Закрытие катетера</w:t>
            </w:r>
          </w:p>
        </w:tc>
        <w:tc>
          <w:tcPr>
            <w:tcW w:w="2011" w:type="dxa"/>
            <w:shd w:val="clear" w:color="auto" w:fill="auto"/>
          </w:tcPr>
          <w:p w14:paraId="05DFC0EB" w14:textId="77777777" w:rsidR="0051317D" w:rsidRPr="00952000" w:rsidRDefault="0051317D" w:rsidP="001D2A3A">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 xml:space="preserve">Объем </w:t>
            </w:r>
          </w:p>
        </w:tc>
        <w:tc>
          <w:tcPr>
            <w:tcW w:w="7026" w:type="dxa"/>
            <w:shd w:val="clear" w:color="auto" w:fill="auto"/>
          </w:tcPr>
          <w:p w14:paraId="73F8A9CC" w14:textId="77777777" w:rsidR="0051317D" w:rsidRPr="00952000" w:rsidRDefault="0051317D" w:rsidP="001D2A3A">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1 мл для периферических катетеров</w:t>
            </w:r>
          </w:p>
          <w:p w14:paraId="2596DA51" w14:textId="77777777" w:rsidR="0051317D" w:rsidRPr="00952000" w:rsidRDefault="0051317D" w:rsidP="001D2A3A">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 xml:space="preserve">1,5 мл для катетеров типа </w:t>
            </w:r>
            <w:r w:rsidRPr="00952000">
              <w:rPr>
                <w:rFonts w:eastAsia="ＭＳ 明朝 (Основной текст темы (ази" w:cs="Times New Roman"/>
                <w:szCs w:val="24"/>
                <w:lang w:val="en-US"/>
              </w:rPr>
              <w:t>MidLine</w:t>
            </w:r>
            <w:r w:rsidRPr="00952000">
              <w:rPr>
                <w:rFonts w:eastAsia="ＭＳ 明朝 (Основной текст темы (ази" w:cs="Times New Roman"/>
                <w:szCs w:val="24"/>
              </w:rPr>
              <w:t>, ПИЦВК, нетуннелируемых ЦВК и туннелируемых ЦВК с небольшим (</w:t>
            </w:r>
            <w:r w:rsidRPr="00952000">
              <w:rPr>
                <w:rFonts w:eastAsia="MS Gothic" w:cs="Times New Roman"/>
                <w:szCs w:val="24"/>
              </w:rPr>
              <w:t>≤1 мм)</w:t>
            </w:r>
            <w:r w:rsidRPr="00952000">
              <w:rPr>
                <w:rFonts w:eastAsia="ＭＳ 明朝 (Основной текст темы (ази" w:cs="Times New Roman"/>
                <w:szCs w:val="24"/>
              </w:rPr>
              <w:t xml:space="preserve"> внутренним диаметром </w:t>
            </w:r>
          </w:p>
          <w:p w14:paraId="27421BC9" w14:textId="77777777" w:rsidR="0051317D" w:rsidRPr="00952000" w:rsidRDefault="0051317D" w:rsidP="001D2A3A">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2,0-2,5 мл для туннелируемых ЦВК с большим (≥</w:t>
            </w:r>
            <w:r w:rsidRPr="00952000">
              <w:rPr>
                <w:rFonts w:eastAsia="MS Gothic" w:cs="Times New Roman"/>
                <w:szCs w:val="24"/>
              </w:rPr>
              <w:t>1 мм)</w:t>
            </w:r>
            <w:r w:rsidRPr="00952000">
              <w:rPr>
                <w:rFonts w:eastAsia="ＭＳ 明朝 (Основной текст темы (ази" w:cs="Times New Roman"/>
                <w:szCs w:val="24"/>
              </w:rPr>
              <w:t xml:space="preserve"> внутренним диаметром (в каждый ход), порт систем</w:t>
            </w:r>
          </w:p>
        </w:tc>
      </w:tr>
      <w:tr w:rsidR="0051317D" w:rsidRPr="00952000" w14:paraId="490E29B8" w14:textId="77777777" w:rsidTr="002D3EBF">
        <w:trPr>
          <w:cantSplit/>
          <w:trHeight w:val="1134"/>
        </w:trPr>
        <w:tc>
          <w:tcPr>
            <w:tcW w:w="534" w:type="dxa"/>
            <w:vMerge/>
            <w:textDirection w:val="btLr"/>
          </w:tcPr>
          <w:p w14:paraId="1DE951B2" w14:textId="77777777" w:rsidR="0051317D" w:rsidRPr="00952000" w:rsidRDefault="0051317D" w:rsidP="001D2A3A">
            <w:pPr>
              <w:ind w:left="113" w:right="113" w:firstLine="0"/>
              <w:rPr>
                <w:rFonts w:eastAsia="ＭＳ 明朝 (Основной текст темы (ази" w:cs="Times New Roman"/>
                <w:szCs w:val="24"/>
              </w:rPr>
            </w:pPr>
          </w:p>
        </w:tc>
        <w:tc>
          <w:tcPr>
            <w:tcW w:w="2011" w:type="dxa"/>
            <w:shd w:val="clear" w:color="auto" w:fill="auto"/>
          </w:tcPr>
          <w:p w14:paraId="1AEFD336" w14:textId="77777777" w:rsidR="0051317D" w:rsidRPr="00952000" w:rsidRDefault="0051317D" w:rsidP="001D2A3A">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Режимы</w:t>
            </w:r>
          </w:p>
        </w:tc>
        <w:tc>
          <w:tcPr>
            <w:tcW w:w="7026" w:type="dxa"/>
            <w:shd w:val="clear" w:color="auto" w:fill="auto"/>
          </w:tcPr>
          <w:p w14:paraId="7D868545" w14:textId="77777777" w:rsidR="0051317D" w:rsidRPr="00952000" w:rsidRDefault="0051317D" w:rsidP="001D2A3A">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Каждые 8-24 ч для кратковременных ЦВК</w:t>
            </w:r>
          </w:p>
          <w:p w14:paraId="2CB3B349" w14:textId="77777777" w:rsidR="0051317D" w:rsidRPr="00952000" w:rsidRDefault="0051317D" w:rsidP="001D2A3A">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Еженедельно – для туннелируемых ЦВК и ПИЦВК</w:t>
            </w:r>
          </w:p>
          <w:p w14:paraId="04F1BDE2" w14:textId="77777777" w:rsidR="0051317D" w:rsidRPr="00952000" w:rsidRDefault="0051317D" w:rsidP="001D2A3A">
            <w:pPr>
              <w:ind w:firstLine="0"/>
              <w:rPr>
                <w:rFonts w:eastAsia="ＭＳ 明朝 (Основной текст темы (ази" w:cs="Times New Roman"/>
                <w:szCs w:val="24"/>
              </w:rPr>
            </w:pPr>
            <w:r w:rsidRPr="00952000">
              <w:rPr>
                <w:rFonts w:eastAsia="ＭＳ 明朝 (Основной текст темы (ази" w:cs="Times New Roman"/>
                <w:szCs w:val="24"/>
              </w:rPr>
              <w:t>Каждые 6-8 недель для порт-систем</w:t>
            </w:r>
          </w:p>
        </w:tc>
      </w:tr>
    </w:tbl>
    <w:p w14:paraId="3F634E89" w14:textId="77777777" w:rsidR="0051317D" w:rsidRPr="00952000" w:rsidRDefault="0051317D" w:rsidP="0051317D">
      <w:pPr>
        <w:rPr>
          <w:rFonts w:cs="Times New Roman"/>
          <w:b/>
          <w:bCs/>
          <w:szCs w:val="24"/>
        </w:rPr>
      </w:pPr>
    </w:p>
    <w:p w14:paraId="5FC8BDAD" w14:textId="77777777" w:rsidR="0051317D" w:rsidRDefault="0051317D" w:rsidP="0051317D">
      <w:pPr>
        <w:rPr>
          <w:rFonts w:cs="Times New Roman"/>
          <w:b/>
          <w:bCs/>
          <w:szCs w:val="24"/>
        </w:rPr>
      </w:pPr>
    </w:p>
    <w:p w14:paraId="332182DF" w14:textId="77777777" w:rsidR="0051317D" w:rsidRDefault="0051317D" w:rsidP="0051317D">
      <w:pPr>
        <w:rPr>
          <w:rFonts w:cs="Times New Roman"/>
          <w:b/>
          <w:bCs/>
          <w:szCs w:val="24"/>
        </w:rPr>
      </w:pPr>
    </w:p>
    <w:p w14:paraId="27A66381" w14:textId="77777777" w:rsidR="0051317D" w:rsidRPr="009F4EC0" w:rsidRDefault="0051317D" w:rsidP="0051317D">
      <w:pPr>
        <w:rPr>
          <w:rFonts w:cs="Times New Roman"/>
          <w:i/>
          <w:iCs/>
          <w:szCs w:val="24"/>
          <w:u w:val="single"/>
        </w:rPr>
      </w:pPr>
      <w:r w:rsidRPr="009F4EC0">
        <w:rPr>
          <w:rFonts w:cs="Times New Roman"/>
          <w:i/>
          <w:iCs/>
          <w:szCs w:val="24"/>
          <w:u w:val="single"/>
        </w:rPr>
        <w:t>Алгоритм действий врача</w:t>
      </w:r>
    </w:p>
    <w:p w14:paraId="35441212" w14:textId="77777777" w:rsidR="0051317D" w:rsidRPr="00952000" w:rsidRDefault="0051317D" w:rsidP="0051317D">
      <w:pPr>
        <w:rPr>
          <w:rFonts w:cs="Times New Roman"/>
          <w:szCs w:val="24"/>
        </w:rPr>
      </w:pPr>
      <w:r w:rsidRPr="00952000">
        <w:rPr>
          <w:rFonts w:cs="Times New Roman"/>
          <w:szCs w:val="24"/>
        </w:rPr>
        <w:tab/>
        <w:t>Манипуляция проводится только при наличии информированного согласия на проведение катетеризации.</w:t>
      </w:r>
    </w:p>
    <w:p w14:paraId="0F761DF3" w14:textId="77777777" w:rsidR="0051317D" w:rsidRPr="009F4EC0" w:rsidRDefault="0051317D" w:rsidP="0051317D">
      <w:pPr>
        <w:pStyle w:val="afe"/>
        <w:numPr>
          <w:ilvl w:val="0"/>
          <w:numId w:val="102"/>
        </w:numPr>
        <w:rPr>
          <w:rFonts w:cs="Times New Roman"/>
          <w:szCs w:val="24"/>
        </w:rPr>
      </w:pPr>
      <w:r w:rsidRPr="009F4EC0">
        <w:rPr>
          <w:rFonts w:cs="Times New Roman"/>
          <w:szCs w:val="24"/>
        </w:rPr>
        <w:t>Физикальный осмотр</w:t>
      </w:r>
    </w:p>
    <w:p w14:paraId="4167ABD9" w14:textId="77777777" w:rsidR="0051317D" w:rsidRPr="009F4EC0" w:rsidRDefault="0051317D" w:rsidP="0051317D">
      <w:pPr>
        <w:pStyle w:val="afe"/>
        <w:numPr>
          <w:ilvl w:val="0"/>
          <w:numId w:val="102"/>
        </w:numPr>
        <w:rPr>
          <w:rFonts w:cs="Times New Roman"/>
          <w:szCs w:val="24"/>
        </w:rPr>
      </w:pPr>
      <w:r w:rsidRPr="009F4EC0">
        <w:rPr>
          <w:rFonts w:cs="Times New Roman"/>
          <w:szCs w:val="24"/>
        </w:rPr>
        <w:t xml:space="preserve">Выбор типа ЦВК после физикального осмотра, сбора анамнеза, ознакомления с результатами лабораторных и инструментальных методов исследования. </w:t>
      </w:r>
    </w:p>
    <w:p w14:paraId="413882FE" w14:textId="77777777" w:rsidR="0051317D" w:rsidRPr="009F4EC0" w:rsidRDefault="0051317D" w:rsidP="0051317D">
      <w:pPr>
        <w:pStyle w:val="afe"/>
        <w:numPr>
          <w:ilvl w:val="0"/>
          <w:numId w:val="102"/>
        </w:numPr>
        <w:rPr>
          <w:rFonts w:cs="Times New Roman"/>
          <w:szCs w:val="24"/>
        </w:rPr>
      </w:pPr>
      <w:r w:rsidRPr="009F4EC0">
        <w:rPr>
          <w:rFonts w:cs="Times New Roman"/>
          <w:szCs w:val="24"/>
        </w:rPr>
        <w:t>Дуплексное сканирование вен в месте планируемой установки ЦВК (определяется диаметр вены, наличие сдавления вен в месте пункции и по ходу установленного ЦВК, тромба в просвете вен, наличие клапанного аппарата и его состоятельность. Устанавливать ЦВК в вену, диаметр которой не превышает 50% диаметра катетера и/или выявлен тромбоз недопустимо).</w:t>
      </w:r>
    </w:p>
    <w:p w14:paraId="300617FA" w14:textId="77777777" w:rsidR="0051317D" w:rsidRPr="009F4EC0" w:rsidRDefault="0051317D" w:rsidP="0051317D">
      <w:pPr>
        <w:pStyle w:val="afe"/>
        <w:numPr>
          <w:ilvl w:val="0"/>
          <w:numId w:val="102"/>
        </w:numPr>
        <w:rPr>
          <w:rFonts w:cs="Times New Roman"/>
          <w:szCs w:val="24"/>
        </w:rPr>
      </w:pPr>
      <w:r w:rsidRPr="009F4EC0">
        <w:rPr>
          <w:rFonts w:cs="Times New Roman"/>
          <w:szCs w:val="24"/>
        </w:rPr>
        <w:t>Имплантация ЦВК с обязательным позиционированием дистального конца у кава-атриального соединения в случае катетеризации ВПВ и кава-атриального соединения или ниже устья почечных вен при катетеризации НПВ.</w:t>
      </w:r>
    </w:p>
    <w:p w14:paraId="74D29328" w14:textId="77777777" w:rsidR="0051317D" w:rsidRPr="009F4EC0" w:rsidRDefault="0051317D" w:rsidP="0051317D">
      <w:pPr>
        <w:pStyle w:val="afe"/>
        <w:numPr>
          <w:ilvl w:val="0"/>
          <w:numId w:val="102"/>
        </w:numPr>
        <w:rPr>
          <w:rFonts w:cs="Times New Roman"/>
          <w:szCs w:val="24"/>
        </w:rPr>
      </w:pPr>
      <w:r w:rsidRPr="009F4EC0">
        <w:rPr>
          <w:rFonts w:cs="Times New Roman"/>
          <w:szCs w:val="24"/>
        </w:rPr>
        <w:t>Закрепление катетера на коже больного у места выхода с использованием шовных материалов или устройств бесшовной фиксации.</w:t>
      </w:r>
    </w:p>
    <w:p w14:paraId="4D644E5B" w14:textId="77777777" w:rsidR="0051317D" w:rsidRPr="009F4EC0" w:rsidRDefault="0051317D" w:rsidP="0051317D">
      <w:pPr>
        <w:pStyle w:val="afe"/>
        <w:numPr>
          <w:ilvl w:val="0"/>
          <w:numId w:val="102"/>
        </w:numPr>
        <w:rPr>
          <w:rFonts w:cs="Times New Roman"/>
          <w:szCs w:val="24"/>
        </w:rPr>
      </w:pPr>
      <w:r w:rsidRPr="009F4EC0">
        <w:rPr>
          <w:rFonts w:cs="Times New Roman"/>
          <w:szCs w:val="24"/>
        </w:rPr>
        <w:t>Наложение асептической повязки.</w:t>
      </w:r>
    </w:p>
    <w:p w14:paraId="1C1ED765" w14:textId="77777777" w:rsidR="0051317D" w:rsidRPr="009F4EC0" w:rsidRDefault="0051317D" w:rsidP="0051317D">
      <w:pPr>
        <w:pStyle w:val="afe"/>
        <w:numPr>
          <w:ilvl w:val="0"/>
          <w:numId w:val="102"/>
        </w:numPr>
        <w:rPr>
          <w:rFonts w:cs="Times New Roman"/>
          <w:szCs w:val="24"/>
        </w:rPr>
      </w:pPr>
      <w:r w:rsidRPr="009F4EC0">
        <w:rPr>
          <w:rFonts w:cs="Times New Roman"/>
          <w:szCs w:val="24"/>
        </w:rPr>
        <w:t>Заполнение протокола катетеризации с обязательным указанием ранних осложнений, количества попыток катетеризации, типа установленного ЦВК.</w:t>
      </w:r>
    </w:p>
    <w:p w14:paraId="663A0B77" w14:textId="77777777" w:rsidR="0051317D" w:rsidRPr="00952000" w:rsidRDefault="0051317D" w:rsidP="0051317D">
      <w:pPr>
        <w:rPr>
          <w:rFonts w:cs="Times New Roman"/>
          <w:szCs w:val="24"/>
        </w:rPr>
      </w:pPr>
    </w:p>
    <w:p w14:paraId="5BD6C2E6" w14:textId="77777777" w:rsidR="0051317D" w:rsidRPr="008635A0" w:rsidRDefault="0051317D" w:rsidP="0051317D">
      <w:pPr>
        <w:ind w:firstLine="708"/>
        <w:rPr>
          <w:rFonts w:cs="Times New Roman"/>
          <w:bCs/>
          <w:i/>
          <w:iCs/>
          <w:szCs w:val="24"/>
        </w:rPr>
      </w:pPr>
      <w:r w:rsidRPr="008635A0">
        <w:rPr>
          <w:rFonts w:cs="Times New Roman"/>
          <w:bCs/>
          <w:i/>
          <w:iCs/>
          <w:spacing w:val="2"/>
          <w:szCs w:val="24"/>
          <w:shd w:val="clear" w:color="auto" w:fill="FFFFFF"/>
        </w:rPr>
        <w:t>Дополнительные сведения об особенностях выполнения обработки катетера (смена повязки):</w:t>
      </w:r>
    </w:p>
    <w:p w14:paraId="58FFD642" w14:textId="77777777" w:rsidR="0051317D" w:rsidRPr="001352F1" w:rsidRDefault="0051317D" w:rsidP="0051317D">
      <w:pPr>
        <w:pStyle w:val="afe"/>
        <w:numPr>
          <w:ilvl w:val="0"/>
          <w:numId w:val="100"/>
        </w:numPr>
        <w:rPr>
          <w:rFonts w:cs="Times New Roman"/>
          <w:b/>
          <w:szCs w:val="24"/>
        </w:rPr>
      </w:pPr>
      <w:r w:rsidRPr="008635A0">
        <w:rPr>
          <w:rFonts w:cs="Times New Roman"/>
          <w:spacing w:val="2"/>
          <w:szCs w:val="24"/>
          <w:shd w:val="clear" w:color="auto" w:fill="FFFFFF"/>
        </w:rPr>
        <w:t>При проведении процедуры обработки (перевязки) с ЦВК пациент может</w:t>
      </w:r>
      <w:r w:rsidRPr="001352F1">
        <w:rPr>
          <w:rFonts w:cs="Times New Roman"/>
          <w:spacing w:val="2"/>
          <w:szCs w:val="24"/>
          <w:shd w:val="clear" w:color="auto" w:fill="FFFFFF"/>
        </w:rPr>
        <w:t xml:space="preserve"> сидеть или лежать на спине, рука, на стороне которой в вене находится катетер, расположена вдоль туловища. При применении дополнительных зажимов не катетере снятие заглушки не связано с фазой дыхания. При проведении процедуры с катетером, находящимся в бедренной вене, ножной конец кровати опущен на 25°. Снятие заглушки не связано с фазой дыхания.</w:t>
      </w:r>
    </w:p>
    <w:p w14:paraId="69CB809C" w14:textId="77777777" w:rsidR="0051317D" w:rsidRPr="00952000" w:rsidRDefault="0051317D" w:rsidP="0051317D">
      <w:pPr>
        <w:pStyle w:val="afe"/>
        <w:numPr>
          <w:ilvl w:val="0"/>
          <w:numId w:val="100"/>
        </w:numPr>
        <w:rPr>
          <w:rFonts w:cs="Times New Roman"/>
          <w:szCs w:val="24"/>
        </w:rPr>
      </w:pPr>
      <w:r w:rsidRPr="00952000">
        <w:rPr>
          <w:rFonts w:cs="Times New Roman"/>
          <w:spacing w:val="2"/>
          <w:szCs w:val="24"/>
          <w:shd w:val="clear" w:color="auto" w:fill="FFFFFF"/>
        </w:rPr>
        <w:t>При смене повязки у пациентов с чувствительной кожей рекомендуется нанести стерильное барьерное средство для защиты кожи вокруг места установки сосудистого катетера и дождаться полного его высыхания.</w:t>
      </w:r>
    </w:p>
    <w:p w14:paraId="3F11CA52" w14:textId="77777777" w:rsidR="0051317D" w:rsidRPr="00952000" w:rsidRDefault="0051317D" w:rsidP="0051317D">
      <w:pPr>
        <w:pStyle w:val="afe"/>
        <w:numPr>
          <w:ilvl w:val="0"/>
          <w:numId w:val="100"/>
        </w:numPr>
        <w:rPr>
          <w:rFonts w:cs="Times New Roman"/>
          <w:szCs w:val="24"/>
        </w:rPr>
      </w:pPr>
      <w:r w:rsidRPr="00952000">
        <w:rPr>
          <w:rFonts w:cs="Times New Roman"/>
          <w:spacing w:val="2"/>
          <w:szCs w:val="24"/>
          <w:shd w:val="clear" w:color="auto" w:fill="FFFFFF"/>
        </w:rPr>
        <w:t>Выбор повязки необходимо осуществлять с учетом индивидуальных особенностей пациента. Если существуют предрасполагающие к развитию инфекции факторы (длительность стояния ЦВК свыше трех суток; сниженный иммунный статус (онкологические пациенты и т.д.); повышенный риск колонизации катетера), то рекомендуется выбирать прозрачную полиуретановую повязку, содержащую гелевую подушечку с хлоргексидином. Для прочих случаев оптимальным выбором является стерильная прозрачная повязка.</w:t>
      </w:r>
    </w:p>
    <w:p w14:paraId="288B89FA" w14:textId="77777777" w:rsidR="0051317D" w:rsidRPr="00952000" w:rsidRDefault="0051317D" w:rsidP="0051317D">
      <w:pPr>
        <w:pStyle w:val="afe"/>
        <w:numPr>
          <w:ilvl w:val="0"/>
          <w:numId w:val="100"/>
        </w:numPr>
        <w:rPr>
          <w:rFonts w:cs="Times New Roman"/>
          <w:szCs w:val="24"/>
        </w:rPr>
      </w:pPr>
      <w:r w:rsidRPr="00952000">
        <w:rPr>
          <w:rFonts w:cs="Times New Roman"/>
          <w:spacing w:val="2"/>
          <w:szCs w:val="24"/>
          <w:shd w:val="clear" w:color="auto" w:fill="FFFFFF"/>
        </w:rPr>
        <w:t>Если наблюдается кровоточивость вокруг места входа катетера в первые сутки после его введения, допустимо использование нетканой повязки с впитывающей подушечкой, которая подлежи</w:t>
      </w:r>
      <w:r>
        <w:rPr>
          <w:rFonts w:cs="Times New Roman"/>
          <w:spacing w:val="2"/>
          <w:szCs w:val="24"/>
          <w:shd w:val="clear" w:color="auto" w:fill="FFFFFF"/>
        </w:rPr>
        <w:t>т замене на прозрачную через 24</w:t>
      </w:r>
      <w:r w:rsidRPr="00952000">
        <w:rPr>
          <w:rFonts w:cs="Times New Roman"/>
          <w:spacing w:val="2"/>
          <w:szCs w:val="24"/>
          <w:shd w:val="clear" w:color="auto" w:fill="FFFFFF"/>
        </w:rPr>
        <w:t>ч.</w:t>
      </w:r>
    </w:p>
    <w:p w14:paraId="0C38FBAA" w14:textId="77777777" w:rsidR="0051317D" w:rsidRPr="00952000" w:rsidRDefault="0051317D" w:rsidP="0051317D">
      <w:pPr>
        <w:pStyle w:val="afe"/>
        <w:numPr>
          <w:ilvl w:val="0"/>
          <w:numId w:val="100"/>
        </w:numPr>
        <w:rPr>
          <w:rFonts w:cs="Times New Roman"/>
          <w:szCs w:val="24"/>
        </w:rPr>
      </w:pPr>
      <w:r w:rsidRPr="00952000">
        <w:rPr>
          <w:rFonts w:cs="Times New Roman"/>
          <w:spacing w:val="2"/>
          <w:szCs w:val="24"/>
          <w:shd w:val="clear" w:color="auto" w:fill="FFFFFF"/>
        </w:rPr>
        <w:t>Замена прозрачных полиуретановых повязок на ЦВК производится каждые 5-7 сут (при условии, что фиксация не нарушена, нет выделений, сохранен обзор).</w:t>
      </w:r>
    </w:p>
    <w:p w14:paraId="011B52F2" w14:textId="77777777" w:rsidR="0051317D" w:rsidRDefault="0051317D" w:rsidP="0051317D">
      <w:pPr>
        <w:pStyle w:val="afe"/>
        <w:numPr>
          <w:ilvl w:val="0"/>
          <w:numId w:val="100"/>
        </w:numPr>
        <w:rPr>
          <w:rFonts w:cs="Times New Roman"/>
          <w:spacing w:val="2"/>
          <w:szCs w:val="24"/>
          <w:shd w:val="clear" w:color="auto" w:fill="FFFFFF"/>
        </w:rPr>
      </w:pPr>
      <w:r w:rsidRPr="00952000">
        <w:rPr>
          <w:rFonts w:cs="Times New Roman"/>
          <w:spacing w:val="2"/>
          <w:szCs w:val="24"/>
          <w:shd w:val="clear" w:color="auto" w:fill="FFFFFF"/>
        </w:rPr>
        <w:t>Визуальный осмотр места установки сосудистого катетера проводить не реже 1 раза в сутки</w:t>
      </w:r>
    </w:p>
    <w:p w14:paraId="1049CB82" w14:textId="7F3976EE" w:rsidR="0051317D" w:rsidRDefault="0051317D" w:rsidP="0051317D">
      <w:pPr>
        <w:widowControl w:val="0"/>
        <w:autoSpaceDE w:val="0"/>
        <w:autoSpaceDN w:val="0"/>
        <w:adjustRightInd w:val="0"/>
        <w:spacing w:line="240" w:lineRule="auto"/>
        <w:ind w:left="640" w:hanging="640"/>
        <w:rPr>
          <w:rFonts w:cs="Times New Roman"/>
          <w:szCs w:val="24"/>
        </w:rPr>
      </w:pPr>
    </w:p>
    <w:p w14:paraId="2D11A3F5" w14:textId="19B1C0CC" w:rsidR="0093109D" w:rsidRPr="0093109D" w:rsidRDefault="00EB4337" w:rsidP="0093109D">
      <w:pPr>
        <w:pStyle w:val="2"/>
        <w:spacing w:before="0"/>
      </w:pPr>
      <w:bookmarkStart w:id="125" w:name="_Toc66184348"/>
      <w:r w:rsidRPr="00FE2263">
        <w:t>Приложение А3.</w:t>
      </w:r>
      <w:r>
        <w:t xml:space="preserve">9. </w:t>
      </w:r>
      <w:r w:rsidR="0093109D" w:rsidRPr="00365626">
        <w:t>Спленэктомия у пациентов с гематологическими заболеваниями</w:t>
      </w:r>
      <w:bookmarkEnd w:id="125"/>
    </w:p>
    <w:p w14:paraId="18CBA7C7" w14:textId="7E8AC44A" w:rsidR="0093109D" w:rsidRPr="00365626" w:rsidRDefault="0093109D" w:rsidP="0093109D">
      <w:pPr>
        <w:rPr>
          <w:rFonts w:cs="Times New Roman"/>
          <w:i/>
          <w:szCs w:val="24"/>
        </w:rPr>
      </w:pPr>
      <w:r w:rsidRPr="00365626">
        <w:rPr>
          <w:rFonts w:cs="Times New Roman"/>
          <w:szCs w:val="24"/>
        </w:rPr>
        <w:t>Спленэктомия – наиболее частое оперативное вмешательство в гематологической хирургии</w:t>
      </w:r>
      <w:r>
        <w:rPr>
          <w:rFonts w:cs="Times New Roman"/>
          <w:szCs w:val="24"/>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r w:rsidRPr="00365626">
        <w:rPr>
          <w:rFonts w:cs="Times New Roman"/>
          <w:szCs w:val="24"/>
        </w:rPr>
        <w:t>.</w:t>
      </w:r>
      <w:r w:rsidRPr="00365626">
        <w:rPr>
          <w:rFonts w:cs="Times New Roman"/>
          <w:i/>
          <w:szCs w:val="24"/>
        </w:rPr>
        <w:t xml:space="preserve"> </w:t>
      </w:r>
    </w:p>
    <w:p w14:paraId="57F0327E" w14:textId="77777777" w:rsidR="0093109D" w:rsidRDefault="0093109D" w:rsidP="0093109D">
      <w:pPr>
        <w:rPr>
          <w:rFonts w:cs="Times New Roman"/>
          <w:i/>
          <w:szCs w:val="24"/>
        </w:rPr>
      </w:pPr>
    </w:p>
    <w:p w14:paraId="34CDE444" w14:textId="472D802F" w:rsidR="0093109D" w:rsidRPr="00365626" w:rsidRDefault="0093109D" w:rsidP="0093109D">
      <w:pPr>
        <w:rPr>
          <w:rFonts w:cs="Times New Roman"/>
          <w:i/>
          <w:szCs w:val="24"/>
        </w:rPr>
      </w:pPr>
      <w:r w:rsidRPr="00365626">
        <w:rPr>
          <w:rFonts w:cs="Times New Roman"/>
          <w:i/>
          <w:szCs w:val="24"/>
        </w:rPr>
        <w:t>Основные показания к спленэктомии</w:t>
      </w:r>
      <w:r>
        <w:rPr>
          <w:rFonts w:cs="Times New Roman"/>
          <w:i/>
          <w:szCs w:val="24"/>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r w:rsidRPr="00365626">
        <w:rPr>
          <w:rFonts w:cs="Times New Roman"/>
          <w:i/>
          <w:szCs w:val="24"/>
        </w:rPr>
        <w:t xml:space="preserve">: </w:t>
      </w:r>
    </w:p>
    <w:p w14:paraId="59BACC09" w14:textId="77777777" w:rsidR="0093109D" w:rsidRPr="00365626" w:rsidRDefault="0093109D" w:rsidP="0093109D">
      <w:pPr>
        <w:pStyle w:val="afe"/>
        <w:numPr>
          <w:ilvl w:val="0"/>
          <w:numId w:val="103"/>
        </w:numPr>
        <w:rPr>
          <w:rFonts w:cs="Times New Roman"/>
          <w:szCs w:val="24"/>
        </w:rPr>
      </w:pPr>
      <w:r w:rsidRPr="00365626">
        <w:rPr>
          <w:rFonts w:cs="Times New Roman"/>
          <w:szCs w:val="24"/>
        </w:rPr>
        <w:t>идиопатическая тромбоцитопеническая пурпура (иммунная тромбоцитопения);</w:t>
      </w:r>
    </w:p>
    <w:p w14:paraId="6E324C1C" w14:textId="77777777" w:rsidR="0093109D" w:rsidRPr="00365626" w:rsidRDefault="0093109D" w:rsidP="0093109D">
      <w:pPr>
        <w:pStyle w:val="afe"/>
        <w:numPr>
          <w:ilvl w:val="0"/>
          <w:numId w:val="103"/>
        </w:numPr>
        <w:rPr>
          <w:rFonts w:cs="Times New Roman"/>
          <w:szCs w:val="24"/>
        </w:rPr>
      </w:pPr>
      <w:r w:rsidRPr="00365626">
        <w:rPr>
          <w:rFonts w:cs="Times New Roman"/>
          <w:szCs w:val="24"/>
        </w:rPr>
        <w:t>гемолитическая анемия (врожденная и приобретенная формы);</w:t>
      </w:r>
    </w:p>
    <w:p w14:paraId="1A9EBC05" w14:textId="77777777" w:rsidR="0093109D" w:rsidRPr="00365626" w:rsidRDefault="0093109D" w:rsidP="0093109D">
      <w:pPr>
        <w:pStyle w:val="afe"/>
        <w:numPr>
          <w:ilvl w:val="0"/>
          <w:numId w:val="103"/>
        </w:numPr>
        <w:rPr>
          <w:rFonts w:cs="Times New Roman"/>
          <w:szCs w:val="24"/>
        </w:rPr>
      </w:pPr>
      <w:r w:rsidRPr="00365626">
        <w:rPr>
          <w:rFonts w:cs="Times New Roman"/>
          <w:szCs w:val="24"/>
        </w:rPr>
        <w:t>лимфопролиферативные заболевания (лейкозы и лимфомы) с преимущественным поражением селезенки;</w:t>
      </w:r>
    </w:p>
    <w:p w14:paraId="569FCA61" w14:textId="77777777" w:rsidR="0093109D" w:rsidRPr="00365626" w:rsidRDefault="0093109D" w:rsidP="0093109D">
      <w:pPr>
        <w:pStyle w:val="afe"/>
        <w:numPr>
          <w:ilvl w:val="0"/>
          <w:numId w:val="103"/>
        </w:numPr>
        <w:rPr>
          <w:rFonts w:cs="Times New Roman"/>
          <w:szCs w:val="24"/>
        </w:rPr>
      </w:pPr>
      <w:r w:rsidRPr="00365626">
        <w:rPr>
          <w:rFonts w:cs="Times New Roman"/>
          <w:szCs w:val="24"/>
        </w:rPr>
        <w:t>резидуальная спленомегалия (остаточная спленомегалия или остаточное очаговое поражение селезенки при достижении ремиссии лимфом);</w:t>
      </w:r>
    </w:p>
    <w:p w14:paraId="4B23DEC7" w14:textId="77777777" w:rsidR="0093109D" w:rsidRPr="00365626" w:rsidRDefault="0093109D" w:rsidP="0093109D">
      <w:pPr>
        <w:pStyle w:val="afe"/>
        <w:numPr>
          <w:ilvl w:val="0"/>
          <w:numId w:val="103"/>
        </w:numPr>
        <w:rPr>
          <w:rFonts w:cs="Times New Roman"/>
          <w:szCs w:val="24"/>
        </w:rPr>
      </w:pPr>
      <w:r w:rsidRPr="00365626">
        <w:rPr>
          <w:rFonts w:cs="Times New Roman"/>
          <w:szCs w:val="24"/>
        </w:rPr>
        <w:t>обширный инфаркт селезенки, угроза разрыва селезенки;</w:t>
      </w:r>
    </w:p>
    <w:p w14:paraId="3A265594" w14:textId="77777777" w:rsidR="0093109D" w:rsidRPr="00365626" w:rsidRDefault="0093109D" w:rsidP="0093109D">
      <w:pPr>
        <w:pStyle w:val="afe"/>
        <w:numPr>
          <w:ilvl w:val="0"/>
          <w:numId w:val="103"/>
        </w:numPr>
        <w:rPr>
          <w:rFonts w:cs="Times New Roman"/>
          <w:szCs w:val="24"/>
        </w:rPr>
      </w:pPr>
      <w:r w:rsidRPr="00365626">
        <w:rPr>
          <w:rFonts w:cs="Times New Roman"/>
          <w:szCs w:val="24"/>
        </w:rPr>
        <w:t>абсцессы селезенки;</w:t>
      </w:r>
    </w:p>
    <w:p w14:paraId="6BADEE12" w14:textId="77777777" w:rsidR="0093109D" w:rsidRPr="00365626" w:rsidRDefault="0093109D" w:rsidP="0093109D">
      <w:pPr>
        <w:pStyle w:val="afe"/>
        <w:numPr>
          <w:ilvl w:val="0"/>
          <w:numId w:val="103"/>
        </w:numPr>
        <w:rPr>
          <w:rFonts w:cs="Times New Roman"/>
          <w:szCs w:val="24"/>
        </w:rPr>
      </w:pPr>
      <w:r w:rsidRPr="00365626">
        <w:rPr>
          <w:rFonts w:cs="Times New Roman"/>
          <w:szCs w:val="24"/>
        </w:rPr>
        <w:t>вторичные цитопении (нейтропения, тромбоцитопения);</w:t>
      </w:r>
    </w:p>
    <w:p w14:paraId="0A932A8B" w14:textId="77777777" w:rsidR="0093109D" w:rsidRPr="00365626" w:rsidRDefault="0093109D" w:rsidP="0093109D">
      <w:pPr>
        <w:pStyle w:val="afe"/>
        <w:numPr>
          <w:ilvl w:val="0"/>
          <w:numId w:val="103"/>
        </w:numPr>
        <w:rPr>
          <w:rFonts w:cs="Times New Roman"/>
          <w:szCs w:val="24"/>
        </w:rPr>
      </w:pPr>
      <w:r w:rsidRPr="00365626">
        <w:rPr>
          <w:rFonts w:cs="Times New Roman"/>
          <w:szCs w:val="24"/>
        </w:rPr>
        <w:t>диагностическая спленэктомия при спленомегалии и/или очаговом поражении селезенки неуточненного генеза;</w:t>
      </w:r>
    </w:p>
    <w:p w14:paraId="4AD3CFAB" w14:textId="77777777" w:rsidR="0093109D" w:rsidRPr="00365626" w:rsidRDefault="0093109D" w:rsidP="0093109D">
      <w:pPr>
        <w:pStyle w:val="afe"/>
        <w:numPr>
          <w:ilvl w:val="0"/>
          <w:numId w:val="103"/>
        </w:numPr>
        <w:rPr>
          <w:rFonts w:cs="Times New Roman"/>
          <w:szCs w:val="24"/>
        </w:rPr>
      </w:pPr>
      <w:r w:rsidRPr="00365626">
        <w:rPr>
          <w:rFonts w:cs="Times New Roman"/>
          <w:szCs w:val="24"/>
        </w:rPr>
        <w:t>этап иммуносупрессивной терапии при апластической анемии, миелодиспластическом синдроме (МДС) и апластических синдромах.</w:t>
      </w:r>
    </w:p>
    <w:p w14:paraId="3AD29D4D" w14:textId="77777777" w:rsidR="0093109D" w:rsidRPr="00365626" w:rsidRDefault="0093109D" w:rsidP="0093109D">
      <w:pPr>
        <w:rPr>
          <w:rFonts w:cs="Times New Roman"/>
          <w:szCs w:val="24"/>
        </w:rPr>
      </w:pPr>
      <w:r w:rsidRPr="00365626">
        <w:rPr>
          <w:rFonts w:cs="Times New Roman"/>
          <w:szCs w:val="24"/>
        </w:rPr>
        <w:t>Выбор доступа (лапароскопический или лапаротомный) определяется размерами селезенки, топографо-анатомическими соотношениями с другими органами, наличием выраженных сращений с окружающими органами и тканями (прорастание опухоли селезенки).</w:t>
      </w:r>
    </w:p>
    <w:p w14:paraId="3CE96612" w14:textId="334BA19B" w:rsidR="0093109D" w:rsidRPr="00365626" w:rsidRDefault="0093109D" w:rsidP="0093109D">
      <w:pPr>
        <w:rPr>
          <w:rFonts w:cs="Times New Roman"/>
          <w:szCs w:val="24"/>
        </w:rPr>
      </w:pPr>
      <w:r w:rsidRPr="00365626">
        <w:rPr>
          <w:rFonts w:cs="Times New Roman"/>
          <w:szCs w:val="24"/>
        </w:rPr>
        <w:t>Лапароскопический доступ к селезенке позволяет снизить количество интра- и послеоперационных осложнений, уменьшить выраженность послеоперационной боли, сократить сроки госпитализации, улучшить косметический результат  и повысить качество жизни пациентов</w:t>
      </w:r>
      <w:r>
        <w:rPr>
          <w:rFonts w:cs="Times New Roman"/>
          <w:szCs w:val="24"/>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r w:rsidRPr="00365626">
        <w:rPr>
          <w:rFonts w:cs="Times New Roman"/>
          <w:szCs w:val="24"/>
        </w:rPr>
        <w:t>.</w:t>
      </w:r>
    </w:p>
    <w:p w14:paraId="60FD84DF" w14:textId="5BCF4155" w:rsidR="0093109D" w:rsidRPr="00365626" w:rsidRDefault="0093109D" w:rsidP="0093109D">
      <w:pPr>
        <w:rPr>
          <w:rFonts w:cs="Times New Roman"/>
          <w:szCs w:val="24"/>
        </w:rPr>
      </w:pPr>
      <w:r w:rsidRPr="00365626">
        <w:rPr>
          <w:rFonts w:cs="Times New Roman"/>
          <w:szCs w:val="24"/>
        </w:rPr>
        <w:t>Факторы, осложняющие выполнение спленэктомии лапароскопическим доступом: портальная гипертензия, периспленит, большие размеры селезенки, наличие предшествующих операций</w:t>
      </w:r>
      <w:r>
        <w:rPr>
          <w:rFonts w:cs="Times New Roman"/>
          <w:szCs w:val="24"/>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r w:rsidRPr="00365626">
        <w:rPr>
          <w:rFonts w:cs="Times New Roman"/>
          <w:szCs w:val="24"/>
        </w:rPr>
        <w:t>.</w:t>
      </w:r>
    </w:p>
    <w:p w14:paraId="78DF5206" w14:textId="77777777" w:rsidR="0093109D" w:rsidRDefault="0093109D" w:rsidP="0093109D">
      <w:pPr>
        <w:rPr>
          <w:rFonts w:cs="Times New Roman"/>
          <w:bCs/>
          <w:i/>
          <w:iCs/>
          <w:szCs w:val="24"/>
          <w:u w:val="single"/>
        </w:rPr>
      </w:pPr>
    </w:p>
    <w:p w14:paraId="2A5AA96A" w14:textId="77777777" w:rsidR="0093109D" w:rsidRPr="00E74B7B" w:rsidRDefault="0093109D" w:rsidP="0093109D">
      <w:pPr>
        <w:rPr>
          <w:rFonts w:cs="Times New Roman"/>
          <w:bCs/>
          <w:i/>
          <w:iCs/>
          <w:szCs w:val="24"/>
          <w:u w:val="single"/>
        </w:rPr>
      </w:pPr>
      <w:r w:rsidRPr="00E74B7B">
        <w:rPr>
          <w:rFonts w:cs="Times New Roman"/>
          <w:bCs/>
          <w:i/>
          <w:iCs/>
          <w:szCs w:val="24"/>
          <w:u w:val="single"/>
        </w:rPr>
        <w:t>Предоперационное обследование:</w:t>
      </w:r>
    </w:p>
    <w:p w14:paraId="73221D73" w14:textId="6D2FF8F6" w:rsidR="0093109D" w:rsidRPr="00365626" w:rsidRDefault="0093109D" w:rsidP="0093109D">
      <w:pPr>
        <w:rPr>
          <w:rFonts w:cs="Times New Roman"/>
          <w:i/>
          <w:szCs w:val="24"/>
        </w:rPr>
      </w:pPr>
      <w:r w:rsidRPr="00365626">
        <w:rPr>
          <w:rFonts w:cs="Times New Roman"/>
          <w:i/>
          <w:szCs w:val="24"/>
        </w:rPr>
        <w:t>Лабораторные исследования</w:t>
      </w:r>
      <w:r>
        <w:rPr>
          <w:rFonts w:cs="Times New Roman"/>
          <w:i/>
          <w:szCs w:val="24"/>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r w:rsidRPr="00365626">
        <w:rPr>
          <w:rFonts w:cs="Times New Roman"/>
          <w:i/>
          <w:szCs w:val="24"/>
        </w:rPr>
        <w:t xml:space="preserve">: </w:t>
      </w:r>
    </w:p>
    <w:p w14:paraId="7ED0ABBA" w14:textId="77777777" w:rsidR="0093109D" w:rsidRPr="00365626" w:rsidRDefault="0093109D" w:rsidP="0093109D">
      <w:pPr>
        <w:pStyle w:val="afe"/>
        <w:numPr>
          <w:ilvl w:val="0"/>
          <w:numId w:val="104"/>
        </w:numPr>
        <w:rPr>
          <w:rFonts w:cs="Times New Roman"/>
          <w:szCs w:val="24"/>
        </w:rPr>
      </w:pPr>
      <w:r w:rsidRPr="00365626">
        <w:rPr>
          <w:rFonts w:cs="Times New Roman"/>
          <w:szCs w:val="24"/>
        </w:rPr>
        <w:t xml:space="preserve">клинический анализ крови с определением количества тромбоцитов, в том числе и в окрашенном мазке крови по Фонио; </w:t>
      </w:r>
    </w:p>
    <w:p w14:paraId="2658EE97" w14:textId="77777777" w:rsidR="0093109D" w:rsidRPr="00365626" w:rsidRDefault="0093109D" w:rsidP="0093109D">
      <w:pPr>
        <w:pStyle w:val="afe"/>
        <w:numPr>
          <w:ilvl w:val="0"/>
          <w:numId w:val="104"/>
        </w:numPr>
        <w:rPr>
          <w:rFonts w:cs="Times New Roman"/>
          <w:szCs w:val="24"/>
        </w:rPr>
      </w:pPr>
      <w:r w:rsidRPr="00365626">
        <w:rPr>
          <w:rFonts w:cs="Times New Roman"/>
          <w:szCs w:val="24"/>
        </w:rPr>
        <w:t>общий анализ мочи;</w:t>
      </w:r>
    </w:p>
    <w:p w14:paraId="3CC5DF9D" w14:textId="77777777" w:rsidR="0093109D" w:rsidRPr="00365626" w:rsidRDefault="0093109D" w:rsidP="0093109D">
      <w:pPr>
        <w:pStyle w:val="afe"/>
        <w:numPr>
          <w:ilvl w:val="0"/>
          <w:numId w:val="104"/>
        </w:numPr>
        <w:rPr>
          <w:rFonts w:cs="Times New Roman"/>
          <w:szCs w:val="24"/>
        </w:rPr>
      </w:pPr>
      <w:r w:rsidRPr="00365626">
        <w:rPr>
          <w:rFonts w:cs="Times New Roman"/>
          <w:szCs w:val="24"/>
        </w:rPr>
        <w:t>биохимический анализ крови: общий белок, альбумин, глобулин, мочевая кислота, мочевина, креатинин, билирубин непрямой, билирубин прямой, калий, натрий, кальций, хлор, щелочная фосфатаза, АСТ, АЛТ, ЛДГ, ГГТ, железо, глюкоза;</w:t>
      </w:r>
    </w:p>
    <w:p w14:paraId="0E204BD3" w14:textId="77777777" w:rsidR="0093109D" w:rsidRPr="00365626" w:rsidRDefault="0093109D" w:rsidP="0093109D">
      <w:pPr>
        <w:pStyle w:val="afe"/>
        <w:numPr>
          <w:ilvl w:val="0"/>
          <w:numId w:val="104"/>
        </w:numPr>
        <w:rPr>
          <w:rFonts w:cs="Times New Roman"/>
          <w:szCs w:val="24"/>
        </w:rPr>
      </w:pPr>
      <w:r w:rsidRPr="00365626">
        <w:rPr>
          <w:rFonts w:cs="Times New Roman"/>
          <w:szCs w:val="24"/>
        </w:rPr>
        <w:t xml:space="preserve">коагулограмма: АЧТВ, ПВ, ТВ, фибриноген, антитромбин </w:t>
      </w:r>
      <w:r w:rsidRPr="00365626">
        <w:rPr>
          <w:rFonts w:cs="Times New Roman"/>
          <w:szCs w:val="24"/>
          <w:lang w:val="en-US"/>
        </w:rPr>
        <w:t>III</w:t>
      </w:r>
      <w:r w:rsidRPr="00365626">
        <w:rPr>
          <w:rFonts w:cs="Times New Roman"/>
          <w:szCs w:val="24"/>
        </w:rPr>
        <w:t xml:space="preserve">, протеин С (по показаниям), протеин </w:t>
      </w:r>
      <w:r w:rsidRPr="00365626">
        <w:rPr>
          <w:rFonts w:cs="Times New Roman"/>
          <w:szCs w:val="24"/>
          <w:lang w:val="en-US"/>
        </w:rPr>
        <w:t>S</w:t>
      </w:r>
      <w:r w:rsidRPr="00365626">
        <w:rPr>
          <w:rFonts w:cs="Times New Roman"/>
          <w:szCs w:val="24"/>
        </w:rPr>
        <w:t xml:space="preserve"> (по показаниям), агрегация тромбоцитов (</w:t>
      </w:r>
      <w:r w:rsidRPr="00365626">
        <w:rPr>
          <w:rFonts w:cs="Times New Roman"/>
          <w:color w:val="000000" w:themeColor="text1"/>
          <w:szCs w:val="24"/>
        </w:rPr>
        <w:t xml:space="preserve">по показаниям и </w:t>
      </w:r>
      <w:r w:rsidRPr="00365626">
        <w:rPr>
          <w:rFonts w:cs="Times New Roman"/>
          <w:szCs w:val="24"/>
        </w:rPr>
        <w:t>при приеме антиагрегантных препаратов), волчаночный антикоагулянт (по показаниям);</w:t>
      </w:r>
    </w:p>
    <w:p w14:paraId="0809A390" w14:textId="77777777" w:rsidR="0093109D" w:rsidRPr="00365626" w:rsidRDefault="0093109D" w:rsidP="0093109D">
      <w:pPr>
        <w:pStyle w:val="afe"/>
        <w:numPr>
          <w:ilvl w:val="0"/>
          <w:numId w:val="104"/>
        </w:numPr>
        <w:rPr>
          <w:rFonts w:cs="Times New Roman"/>
          <w:szCs w:val="24"/>
        </w:rPr>
      </w:pPr>
      <w:r w:rsidRPr="00365626">
        <w:rPr>
          <w:rFonts w:cs="Times New Roman"/>
          <w:szCs w:val="24"/>
        </w:rPr>
        <w:t xml:space="preserve">определение группы крови, резус-фактора с  фенотипом; </w:t>
      </w:r>
    </w:p>
    <w:p w14:paraId="74D490D8" w14:textId="77777777" w:rsidR="0093109D" w:rsidRPr="00365626" w:rsidRDefault="0093109D" w:rsidP="0093109D">
      <w:pPr>
        <w:pStyle w:val="afe"/>
        <w:numPr>
          <w:ilvl w:val="0"/>
          <w:numId w:val="104"/>
        </w:numPr>
        <w:rPr>
          <w:rFonts w:cs="Times New Roman"/>
          <w:szCs w:val="24"/>
        </w:rPr>
      </w:pPr>
      <w:r w:rsidRPr="00365626">
        <w:rPr>
          <w:rFonts w:cs="Times New Roman"/>
          <w:szCs w:val="24"/>
        </w:rPr>
        <w:t>подбор трансфузионных сред (индивидуальный подбор трансфузионных сред при наличии показаний);</w:t>
      </w:r>
    </w:p>
    <w:p w14:paraId="19C59DE4" w14:textId="77777777" w:rsidR="0093109D" w:rsidRPr="00365626" w:rsidRDefault="0093109D" w:rsidP="0093109D">
      <w:pPr>
        <w:pStyle w:val="afe"/>
        <w:numPr>
          <w:ilvl w:val="0"/>
          <w:numId w:val="104"/>
        </w:numPr>
        <w:rPr>
          <w:rFonts w:cs="Times New Roman"/>
          <w:szCs w:val="24"/>
        </w:rPr>
      </w:pPr>
      <w:r w:rsidRPr="00365626">
        <w:rPr>
          <w:rFonts w:cs="Times New Roman"/>
          <w:szCs w:val="24"/>
        </w:rPr>
        <w:t>исследования крови на наличие гепатитов, сифилиса, ВИЧ (</w:t>
      </w:r>
      <w:r w:rsidRPr="00365626">
        <w:rPr>
          <w:rFonts w:cs="Times New Roman"/>
          <w:bCs/>
          <w:szCs w:val="24"/>
        </w:rPr>
        <w:t>HBsAg</w:t>
      </w:r>
      <w:r w:rsidRPr="00365626">
        <w:rPr>
          <w:rFonts w:cs="Times New Roman"/>
          <w:szCs w:val="24"/>
        </w:rPr>
        <w:t>, анти-</w:t>
      </w:r>
      <w:r w:rsidRPr="00365626">
        <w:rPr>
          <w:rFonts w:cs="Times New Roman"/>
          <w:szCs w:val="24"/>
          <w:lang w:val="en-US"/>
        </w:rPr>
        <w:t>HCV</w:t>
      </w:r>
      <w:r w:rsidRPr="00365626">
        <w:rPr>
          <w:rFonts w:cs="Times New Roman"/>
          <w:szCs w:val="24"/>
        </w:rPr>
        <w:t xml:space="preserve">, ВИЧ, определение антигена/антител комбинированным тестом, сифилис (метод РМП, ИФА), ПЦР ДНК ВГВ (при положительном </w:t>
      </w:r>
      <w:r w:rsidRPr="00365626">
        <w:rPr>
          <w:rFonts w:cs="Times New Roman"/>
          <w:bCs/>
          <w:szCs w:val="24"/>
        </w:rPr>
        <w:t>HBsAg)</w:t>
      </w:r>
      <w:r w:rsidRPr="00365626">
        <w:rPr>
          <w:rFonts w:cs="Times New Roman"/>
          <w:szCs w:val="24"/>
        </w:rPr>
        <w:t>, ПЦР РНК ВГС (при положительном анти-</w:t>
      </w:r>
      <w:r w:rsidRPr="00365626">
        <w:rPr>
          <w:rFonts w:cs="Times New Roman"/>
          <w:szCs w:val="24"/>
          <w:lang w:val="en-US"/>
        </w:rPr>
        <w:t>HCV</w:t>
      </w:r>
      <w:r w:rsidRPr="00365626">
        <w:rPr>
          <w:rFonts w:cs="Times New Roman"/>
          <w:szCs w:val="24"/>
        </w:rPr>
        <w:t>).</w:t>
      </w:r>
    </w:p>
    <w:p w14:paraId="4D46EB33" w14:textId="77777777" w:rsidR="0093109D" w:rsidRDefault="0093109D" w:rsidP="0093109D">
      <w:pPr>
        <w:rPr>
          <w:rFonts w:cs="Times New Roman"/>
          <w:i/>
          <w:szCs w:val="24"/>
        </w:rPr>
      </w:pPr>
    </w:p>
    <w:p w14:paraId="34B9E649" w14:textId="66917729" w:rsidR="0093109D" w:rsidRPr="00365626" w:rsidRDefault="0093109D" w:rsidP="0093109D">
      <w:pPr>
        <w:rPr>
          <w:rFonts w:cs="Times New Roman"/>
          <w:i/>
          <w:szCs w:val="24"/>
        </w:rPr>
      </w:pPr>
      <w:r w:rsidRPr="00365626">
        <w:rPr>
          <w:rFonts w:cs="Times New Roman"/>
          <w:i/>
          <w:szCs w:val="24"/>
        </w:rPr>
        <w:t>Инструментальные исследования</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r w:rsidRPr="00365626">
        <w:rPr>
          <w:rFonts w:cs="Times New Roman"/>
          <w:i/>
          <w:szCs w:val="24"/>
        </w:rPr>
        <w:t xml:space="preserve">: </w:t>
      </w:r>
    </w:p>
    <w:p w14:paraId="5AC4416E" w14:textId="77777777" w:rsidR="0093109D" w:rsidRPr="00365626" w:rsidRDefault="0093109D" w:rsidP="0093109D">
      <w:pPr>
        <w:pStyle w:val="afe"/>
        <w:numPr>
          <w:ilvl w:val="0"/>
          <w:numId w:val="105"/>
        </w:numPr>
        <w:rPr>
          <w:rFonts w:cs="Times New Roman"/>
          <w:szCs w:val="24"/>
        </w:rPr>
      </w:pPr>
      <w:r w:rsidRPr="00365626">
        <w:rPr>
          <w:rFonts w:cs="Times New Roman"/>
          <w:szCs w:val="24"/>
        </w:rPr>
        <w:t>ультразвуковое исследование (УЗИ) брюшной полости и малого таза: при выявлении сопутствующей патологии, требующей хирургического лечения (желчно-каменная болезнь, гинекологическая патология, грыжи передней брюшной стенки) целесообразно проведение сочетанного оперативного вмешательства;</w:t>
      </w:r>
    </w:p>
    <w:p w14:paraId="360EFAAB" w14:textId="77777777" w:rsidR="0093109D" w:rsidRPr="00365626" w:rsidRDefault="0093109D" w:rsidP="0093109D">
      <w:pPr>
        <w:pStyle w:val="afe"/>
        <w:numPr>
          <w:ilvl w:val="0"/>
          <w:numId w:val="105"/>
        </w:numPr>
        <w:rPr>
          <w:rFonts w:cs="Times New Roman"/>
          <w:color w:val="000000" w:themeColor="text1"/>
          <w:szCs w:val="24"/>
        </w:rPr>
      </w:pPr>
      <w:r w:rsidRPr="00365626">
        <w:rPr>
          <w:rFonts w:cs="Times New Roman"/>
          <w:szCs w:val="24"/>
        </w:rPr>
        <w:t xml:space="preserve">эзофагодуоденоскопия (ЭГДС) </w:t>
      </w:r>
      <w:r w:rsidRPr="00365626">
        <w:rPr>
          <w:rFonts w:cs="Times New Roman"/>
          <w:color w:val="000000" w:themeColor="text1"/>
          <w:szCs w:val="24"/>
        </w:rPr>
        <w:t xml:space="preserve">(при наличии показаний - выполнение биопсии </w:t>
      </w:r>
      <w:r w:rsidRPr="00365626">
        <w:rPr>
          <w:rFonts w:cs="Times New Roman"/>
          <w:szCs w:val="24"/>
        </w:rPr>
        <w:t xml:space="preserve">и комплексного исследования биоптата (цитологическое,  гистологическое, иммуногистохимическое, молекулярное, бактериологическое, цитогенетическое и т.д.), а так же </w:t>
      </w:r>
      <w:r w:rsidRPr="00365626">
        <w:rPr>
          <w:rFonts w:cs="Times New Roman"/>
          <w:color w:val="000000" w:themeColor="text1"/>
          <w:szCs w:val="24"/>
        </w:rPr>
        <w:t xml:space="preserve">уреазного теста на </w:t>
      </w:r>
      <w:r w:rsidRPr="00365626">
        <w:rPr>
          <w:rFonts w:cs="Times New Roman"/>
          <w:szCs w:val="24"/>
          <w:lang w:val="en-US"/>
        </w:rPr>
        <w:t>Helicobacter</w:t>
      </w:r>
      <w:r w:rsidRPr="00365626">
        <w:rPr>
          <w:rFonts w:cs="Times New Roman"/>
          <w:szCs w:val="24"/>
        </w:rPr>
        <w:t xml:space="preserve"> </w:t>
      </w:r>
      <w:r w:rsidRPr="00365626">
        <w:rPr>
          <w:rFonts w:cs="Times New Roman"/>
          <w:szCs w:val="24"/>
          <w:lang w:val="en-US"/>
        </w:rPr>
        <w:t>Pylori</w:t>
      </w:r>
      <w:r w:rsidRPr="00365626">
        <w:rPr>
          <w:rFonts w:cs="Times New Roman"/>
          <w:color w:val="000000" w:themeColor="text1"/>
          <w:szCs w:val="24"/>
        </w:rPr>
        <w:t>);</w:t>
      </w:r>
    </w:p>
    <w:p w14:paraId="77B34690" w14:textId="77777777" w:rsidR="0093109D" w:rsidRPr="00365626" w:rsidRDefault="0093109D" w:rsidP="0093109D">
      <w:pPr>
        <w:pStyle w:val="afe"/>
        <w:numPr>
          <w:ilvl w:val="0"/>
          <w:numId w:val="105"/>
        </w:numPr>
        <w:rPr>
          <w:rFonts w:cs="Times New Roman"/>
          <w:color w:val="000000" w:themeColor="text1"/>
          <w:szCs w:val="24"/>
        </w:rPr>
      </w:pPr>
      <w:r w:rsidRPr="00365626">
        <w:rPr>
          <w:rFonts w:cs="Times New Roman"/>
          <w:color w:val="000000" w:themeColor="text1"/>
          <w:szCs w:val="24"/>
        </w:rPr>
        <w:t>колоноскопия (при наличии показаний - выполнение биопсии</w:t>
      </w:r>
      <w:r w:rsidRPr="00365626">
        <w:rPr>
          <w:rFonts w:cs="Times New Roman"/>
          <w:szCs w:val="24"/>
        </w:rPr>
        <w:t xml:space="preserve"> и комплексного исследования боптата</w:t>
      </w:r>
      <w:r w:rsidRPr="00365626">
        <w:rPr>
          <w:rFonts w:cs="Times New Roman"/>
          <w:strike/>
          <w:szCs w:val="24"/>
        </w:rPr>
        <w:t>та</w:t>
      </w:r>
      <w:r w:rsidRPr="00365626">
        <w:rPr>
          <w:rFonts w:cs="Times New Roman"/>
          <w:szCs w:val="24"/>
        </w:rPr>
        <w:t xml:space="preserve"> (цитологическое,  гистологическое, иммуногистохимическое, молекулярное, бактериологическое, цитогенетическое и т.д.</w:t>
      </w:r>
      <w:r w:rsidRPr="00365626">
        <w:rPr>
          <w:rFonts w:cs="Times New Roman"/>
          <w:color w:val="000000" w:themeColor="text1"/>
          <w:szCs w:val="24"/>
        </w:rPr>
        <w:t>);</w:t>
      </w:r>
    </w:p>
    <w:p w14:paraId="33A6F75A" w14:textId="77777777" w:rsidR="0093109D" w:rsidRPr="00365626" w:rsidRDefault="0093109D" w:rsidP="0093109D">
      <w:pPr>
        <w:pStyle w:val="afe"/>
        <w:numPr>
          <w:ilvl w:val="0"/>
          <w:numId w:val="105"/>
        </w:numPr>
        <w:rPr>
          <w:rFonts w:cs="Times New Roman"/>
          <w:szCs w:val="24"/>
        </w:rPr>
      </w:pPr>
      <w:r w:rsidRPr="00365626">
        <w:rPr>
          <w:rFonts w:cs="Times New Roman"/>
          <w:szCs w:val="24"/>
        </w:rPr>
        <w:t>компьютерная томография (КТ) грудной клетки;</w:t>
      </w:r>
    </w:p>
    <w:p w14:paraId="276C070C" w14:textId="77777777" w:rsidR="0093109D" w:rsidRPr="00365626" w:rsidRDefault="0093109D" w:rsidP="0093109D">
      <w:pPr>
        <w:pStyle w:val="afe"/>
        <w:numPr>
          <w:ilvl w:val="0"/>
          <w:numId w:val="105"/>
        </w:numPr>
        <w:rPr>
          <w:rFonts w:cs="Times New Roman"/>
          <w:szCs w:val="24"/>
        </w:rPr>
      </w:pPr>
      <w:r w:rsidRPr="00365626">
        <w:rPr>
          <w:rFonts w:cs="Times New Roman"/>
          <w:szCs w:val="24"/>
        </w:rPr>
        <w:t>КТ брюшной полости с пероральным и болюсным контрастным усилением и/или магнитно-резонансная томография (МРТ) брюшной полости для исключения сопутствующей, в том числе онкологической патологии и выявления добавочных селезенок.</w:t>
      </w:r>
    </w:p>
    <w:p w14:paraId="7657188B" w14:textId="77777777" w:rsidR="0093109D" w:rsidRDefault="0093109D" w:rsidP="0093109D">
      <w:pPr>
        <w:rPr>
          <w:rFonts w:cs="Times New Roman"/>
          <w:i/>
          <w:szCs w:val="24"/>
        </w:rPr>
      </w:pPr>
    </w:p>
    <w:p w14:paraId="06558DC0" w14:textId="77777777" w:rsidR="0093109D" w:rsidRPr="00365626" w:rsidRDefault="0093109D" w:rsidP="0093109D">
      <w:pPr>
        <w:rPr>
          <w:rFonts w:cs="Times New Roman"/>
          <w:i/>
          <w:szCs w:val="24"/>
        </w:rPr>
      </w:pPr>
      <w:r w:rsidRPr="00365626">
        <w:rPr>
          <w:rFonts w:cs="Times New Roman"/>
          <w:i/>
          <w:szCs w:val="24"/>
        </w:rPr>
        <w:t xml:space="preserve">Консультации специалистов: </w:t>
      </w:r>
    </w:p>
    <w:p w14:paraId="1B2BBEF7" w14:textId="77777777" w:rsidR="0093109D" w:rsidRPr="00365626" w:rsidRDefault="0093109D" w:rsidP="0093109D">
      <w:pPr>
        <w:pStyle w:val="afe"/>
        <w:numPr>
          <w:ilvl w:val="0"/>
          <w:numId w:val="109"/>
        </w:numPr>
        <w:rPr>
          <w:rFonts w:cs="Times New Roman"/>
          <w:szCs w:val="24"/>
        </w:rPr>
      </w:pPr>
      <w:r w:rsidRPr="00365626">
        <w:rPr>
          <w:rFonts w:cs="Times New Roman"/>
          <w:szCs w:val="24"/>
        </w:rPr>
        <w:t>гинеколог (у женщин);</w:t>
      </w:r>
    </w:p>
    <w:p w14:paraId="7849D6C1" w14:textId="77777777" w:rsidR="0093109D" w:rsidRPr="00365626" w:rsidRDefault="0093109D" w:rsidP="0093109D">
      <w:pPr>
        <w:pStyle w:val="afe"/>
        <w:numPr>
          <w:ilvl w:val="0"/>
          <w:numId w:val="109"/>
        </w:numPr>
        <w:rPr>
          <w:rFonts w:cs="Times New Roman"/>
          <w:szCs w:val="24"/>
        </w:rPr>
      </w:pPr>
      <w:r w:rsidRPr="00365626">
        <w:rPr>
          <w:rFonts w:cs="Times New Roman"/>
          <w:szCs w:val="24"/>
        </w:rPr>
        <w:t>анестезиолог-реаниматолог;</w:t>
      </w:r>
    </w:p>
    <w:p w14:paraId="43C09FD3" w14:textId="77777777" w:rsidR="0093109D" w:rsidRPr="00365626" w:rsidRDefault="0093109D" w:rsidP="0093109D">
      <w:pPr>
        <w:pStyle w:val="afe"/>
        <w:numPr>
          <w:ilvl w:val="0"/>
          <w:numId w:val="109"/>
        </w:numPr>
        <w:rPr>
          <w:rFonts w:cs="Times New Roman"/>
          <w:szCs w:val="24"/>
        </w:rPr>
      </w:pPr>
      <w:r w:rsidRPr="00365626">
        <w:rPr>
          <w:rFonts w:cs="Times New Roman"/>
          <w:szCs w:val="24"/>
        </w:rPr>
        <w:t>эндокринолог (при наличии сопутствующей патологии);</w:t>
      </w:r>
    </w:p>
    <w:p w14:paraId="4FC04947" w14:textId="77777777" w:rsidR="0093109D" w:rsidRPr="00365626" w:rsidRDefault="0093109D" w:rsidP="0093109D">
      <w:pPr>
        <w:pStyle w:val="afe"/>
        <w:numPr>
          <w:ilvl w:val="0"/>
          <w:numId w:val="109"/>
        </w:numPr>
        <w:rPr>
          <w:rFonts w:cs="Times New Roman"/>
          <w:szCs w:val="24"/>
        </w:rPr>
      </w:pPr>
      <w:r w:rsidRPr="00365626">
        <w:rPr>
          <w:rFonts w:cs="Times New Roman"/>
          <w:szCs w:val="24"/>
        </w:rPr>
        <w:t>кардиолог (при наличии сопутствующей патологии);</w:t>
      </w:r>
    </w:p>
    <w:p w14:paraId="1EC80AA7" w14:textId="77777777" w:rsidR="0093109D" w:rsidRPr="00365626" w:rsidRDefault="0093109D" w:rsidP="0093109D">
      <w:pPr>
        <w:pStyle w:val="afe"/>
        <w:numPr>
          <w:ilvl w:val="0"/>
          <w:numId w:val="109"/>
        </w:numPr>
        <w:rPr>
          <w:rFonts w:cs="Times New Roman"/>
          <w:szCs w:val="24"/>
        </w:rPr>
      </w:pPr>
      <w:r w:rsidRPr="00365626">
        <w:rPr>
          <w:rFonts w:cs="Times New Roman"/>
          <w:szCs w:val="24"/>
        </w:rPr>
        <w:t>невролог (при наличии сопутствующей патологии);</w:t>
      </w:r>
    </w:p>
    <w:p w14:paraId="7B4D64AF" w14:textId="77777777" w:rsidR="0093109D" w:rsidRPr="00365626" w:rsidRDefault="0093109D" w:rsidP="0093109D">
      <w:pPr>
        <w:pStyle w:val="afe"/>
        <w:numPr>
          <w:ilvl w:val="0"/>
          <w:numId w:val="109"/>
        </w:numPr>
        <w:rPr>
          <w:rFonts w:cs="Times New Roman"/>
          <w:szCs w:val="24"/>
        </w:rPr>
      </w:pPr>
      <w:r w:rsidRPr="00365626">
        <w:rPr>
          <w:rFonts w:cs="Times New Roman"/>
          <w:szCs w:val="24"/>
        </w:rPr>
        <w:t>проктолог (при наличии сопутствующей патологии);</w:t>
      </w:r>
    </w:p>
    <w:p w14:paraId="631C7A5E" w14:textId="77777777" w:rsidR="0093109D" w:rsidRPr="00365626" w:rsidRDefault="0093109D" w:rsidP="0093109D">
      <w:pPr>
        <w:pStyle w:val="afe"/>
        <w:numPr>
          <w:ilvl w:val="0"/>
          <w:numId w:val="109"/>
        </w:numPr>
        <w:rPr>
          <w:rFonts w:cs="Times New Roman"/>
          <w:szCs w:val="24"/>
        </w:rPr>
      </w:pPr>
      <w:r w:rsidRPr="00365626">
        <w:rPr>
          <w:rFonts w:cs="Times New Roman"/>
          <w:szCs w:val="24"/>
        </w:rPr>
        <w:t>уролог (при наличии сопутствующей патологии).</w:t>
      </w:r>
    </w:p>
    <w:p w14:paraId="568F5E76" w14:textId="77777777" w:rsidR="0093109D" w:rsidRPr="00365626" w:rsidRDefault="0093109D" w:rsidP="0093109D">
      <w:pPr>
        <w:pStyle w:val="afe"/>
        <w:rPr>
          <w:rFonts w:cs="Times New Roman"/>
          <w:b/>
          <w:szCs w:val="24"/>
        </w:rPr>
      </w:pPr>
    </w:p>
    <w:p w14:paraId="5527A770" w14:textId="77777777" w:rsidR="0093109D" w:rsidRPr="00740D71" w:rsidRDefault="0093109D" w:rsidP="0093109D">
      <w:pPr>
        <w:rPr>
          <w:rFonts w:cs="Times New Roman"/>
          <w:bCs/>
          <w:i/>
          <w:iCs/>
          <w:szCs w:val="24"/>
          <w:u w:val="single"/>
        </w:rPr>
      </w:pPr>
      <w:r w:rsidRPr="00740D71">
        <w:rPr>
          <w:rFonts w:cs="Times New Roman"/>
          <w:bCs/>
          <w:i/>
          <w:iCs/>
          <w:szCs w:val="24"/>
          <w:u w:val="single"/>
        </w:rPr>
        <w:t>Спленэктомия</w:t>
      </w:r>
    </w:p>
    <w:p w14:paraId="6D4F53F8" w14:textId="09CC6604" w:rsidR="0093109D" w:rsidRPr="00CC2C88" w:rsidRDefault="0093109D" w:rsidP="0093109D">
      <w:pPr>
        <w:rPr>
          <w:rFonts w:cs="Times New Roman"/>
          <w:i/>
          <w:szCs w:val="24"/>
        </w:rPr>
      </w:pPr>
      <w:r w:rsidRPr="00365626">
        <w:rPr>
          <w:rFonts w:cs="Times New Roman"/>
          <w:i/>
          <w:szCs w:val="24"/>
        </w:rPr>
        <w:t>Планирование спленэктоми</w:t>
      </w:r>
      <w:r>
        <w:rPr>
          <w:rFonts w:cs="Times New Roman"/>
          <w:i/>
          <w:szCs w:val="24"/>
        </w:rPr>
        <w:t>и</w:t>
      </w:r>
      <w:r w:rsidRPr="00CC2C88">
        <w:rPr>
          <w:rFonts w:cs="Times New Roman"/>
          <w:i/>
          <w:szCs w:val="24"/>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p>
    <w:p w14:paraId="17553A98" w14:textId="77777777" w:rsidR="0093109D" w:rsidRPr="00365626" w:rsidRDefault="0093109D" w:rsidP="0093109D">
      <w:pPr>
        <w:rPr>
          <w:rFonts w:cs="Times New Roman"/>
          <w:szCs w:val="24"/>
        </w:rPr>
      </w:pPr>
      <w:r w:rsidRPr="00365626">
        <w:rPr>
          <w:rFonts w:cs="Times New Roman"/>
          <w:szCs w:val="24"/>
        </w:rPr>
        <w:t>Гематолог определяет показания к спленэктомии.</w:t>
      </w:r>
    </w:p>
    <w:p w14:paraId="3BB5A978" w14:textId="77777777" w:rsidR="0093109D" w:rsidRPr="00365626" w:rsidRDefault="0093109D" w:rsidP="0093109D">
      <w:pPr>
        <w:rPr>
          <w:rFonts w:cs="Times New Roman"/>
          <w:szCs w:val="24"/>
        </w:rPr>
      </w:pPr>
      <w:r w:rsidRPr="00365626">
        <w:rPr>
          <w:rFonts w:cs="Times New Roman"/>
          <w:szCs w:val="24"/>
        </w:rPr>
        <w:t>Возможность и сроки выполнения оперативного вмешательства, необходимые мероприятия по подготовке к операции, а также тактика ведения больного до и после оперативного вмешательства должны определяться совместно гематологом, хирургом, анестезиологом-реаниматологом и  трансфузиологом.</w:t>
      </w:r>
    </w:p>
    <w:p w14:paraId="433328AD" w14:textId="77777777" w:rsidR="0093109D" w:rsidRPr="00365626" w:rsidRDefault="0093109D" w:rsidP="0093109D">
      <w:pPr>
        <w:rPr>
          <w:rFonts w:cs="Times New Roman"/>
          <w:szCs w:val="24"/>
        </w:rPr>
      </w:pPr>
      <w:r w:rsidRPr="00365626">
        <w:rPr>
          <w:rFonts w:cs="Times New Roman"/>
          <w:szCs w:val="24"/>
        </w:rPr>
        <w:t xml:space="preserve">Целесообразна вакцинация против </w:t>
      </w:r>
      <w:r w:rsidRPr="00365626">
        <w:rPr>
          <w:rFonts w:eastAsia="Arial Unicode MS" w:cs="Times New Roman"/>
          <w:i/>
          <w:szCs w:val="24"/>
          <w:lang w:val="en-US"/>
        </w:rPr>
        <w:t>Streptococcus</w:t>
      </w:r>
      <w:r w:rsidRPr="00365626">
        <w:rPr>
          <w:rFonts w:eastAsia="Arial Unicode MS" w:cs="Times New Roman"/>
          <w:i/>
          <w:szCs w:val="24"/>
        </w:rPr>
        <w:t xml:space="preserve"> </w:t>
      </w:r>
      <w:r w:rsidRPr="00365626">
        <w:rPr>
          <w:rFonts w:eastAsia="Arial Unicode MS" w:cs="Times New Roman"/>
          <w:i/>
          <w:szCs w:val="24"/>
          <w:lang w:val="en-US"/>
        </w:rPr>
        <w:t>pneumoniae</w:t>
      </w:r>
      <w:r w:rsidRPr="00365626">
        <w:rPr>
          <w:rFonts w:eastAsia="Arial Unicode MS" w:cs="Times New Roman"/>
          <w:i/>
          <w:szCs w:val="24"/>
        </w:rPr>
        <w:t xml:space="preserve">, </w:t>
      </w:r>
      <w:r w:rsidRPr="00365626">
        <w:rPr>
          <w:rFonts w:eastAsia="Arial Unicode MS" w:cs="Times New Roman"/>
          <w:i/>
          <w:szCs w:val="24"/>
          <w:lang w:val="en-US"/>
        </w:rPr>
        <w:t>Neisseria</w:t>
      </w:r>
      <w:r w:rsidRPr="00365626">
        <w:rPr>
          <w:rFonts w:eastAsia="Arial Unicode MS" w:cs="Times New Roman"/>
          <w:i/>
          <w:szCs w:val="24"/>
        </w:rPr>
        <w:t xml:space="preserve"> </w:t>
      </w:r>
      <w:r w:rsidRPr="00365626">
        <w:rPr>
          <w:rFonts w:eastAsia="Arial Unicode MS" w:cs="Times New Roman"/>
          <w:i/>
          <w:szCs w:val="24"/>
          <w:lang w:val="en-US"/>
        </w:rPr>
        <w:t>meningitidis</w:t>
      </w:r>
      <w:r w:rsidRPr="00365626">
        <w:rPr>
          <w:rFonts w:eastAsia="Arial Unicode MS" w:cs="Times New Roman"/>
          <w:i/>
          <w:szCs w:val="24"/>
        </w:rPr>
        <w:t xml:space="preserve"> и </w:t>
      </w:r>
      <w:r w:rsidRPr="00365626">
        <w:rPr>
          <w:rFonts w:eastAsia="Arial Unicode MS" w:cs="Times New Roman"/>
          <w:i/>
          <w:szCs w:val="24"/>
          <w:lang w:val="en-US"/>
        </w:rPr>
        <w:t>Haemophilus</w:t>
      </w:r>
      <w:r w:rsidRPr="00365626">
        <w:rPr>
          <w:rFonts w:eastAsia="Arial Unicode MS" w:cs="Times New Roman"/>
          <w:i/>
          <w:szCs w:val="24"/>
        </w:rPr>
        <w:t xml:space="preserve"> </w:t>
      </w:r>
      <w:r w:rsidRPr="00365626">
        <w:rPr>
          <w:rFonts w:eastAsia="Arial Unicode MS" w:cs="Times New Roman"/>
          <w:i/>
          <w:szCs w:val="24"/>
          <w:lang w:val="en-US"/>
        </w:rPr>
        <w:t>influenzae</w:t>
      </w:r>
      <w:r w:rsidRPr="00365626">
        <w:rPr>
          <w:rFonts w:eastAsia="Arial Unicode MS" w:cs="Times New Roman"/>
          <w:szCs w:val="24"/>
        </w:rPr>
        <w:t xml:space="preserve"> </w:t>
      </w:r>
      <w:r w:rsidRPr="00365626">
        <w:rPr>
          <w:rFonts w:cs="Times New Roman"/>
          <w:szCs w:val="24"/>
        </w:rPr>
        <w:t>при отсутствии противопоказаний как минимум за 2 недели до оперативного вмешательства.</w:t>
      </w:r>
    </w:p>
    <w:p w14:paraId="1CAC44A6" w14:textId="77777777" w:rsidR="0093109D" w:rsidRDefault="0093109D" w:rsidP="0093109D">
      <w:pPr>
        <w:rPr>
          <w:rFonts w:cs="Times New Roman"/>
          <w:i/>
          <w:szCs w:val="24"/>
        </w:rPr>
      </w:pPr>
    </w:p>
    <w:p w14:paraId="17D258F1" w14:textId="5D402412" w:rsidR="0093109D" w:rsidRPr="00740D71" w:rsidRDefault="0093109D" w:rsidP="0093109D">
      <w:pPr>
        <w:rPr>
          <w:rFonts w:cs="Times New Roman"/>
          <w:i/>
          <w:szCs w:val="24"/>
        </w:rPr>
      </w:pPr>
      <w:r w:rsidRPr="00740D71">
        <w:rPr>
          <w:rFonts w:cs="Times New Roman"/>
          <w:i/>
          <w:szCs w:val="24"/>
        </w:rPr>
        <w:t xml:space="preserve"> Подготовка к спленэктомии</w:t>
      </w:r>
      <w:r>
        <w:rPr>
          <w:rFonts w:cs="Times New Roman"/>
          <w:i/>
          <w:szCs w:val="24"/>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p>
    <w:p w14:paraId="7BAAD7B6" w14:textId="77777777" w:rsidR="0093109D" w:rsidRPr="00740D71" w:rsidRDefault="0093109D" w:rsidP="0093109D">
      <w:pPr>
        <w:rPr>
          <w:rFonts w:cs="Times New Roman"/>
          <w:iCs/>
          <w:szCs w:val="24"/>
          <w:u w:val="single"/>
        </w:rPr>
      </w:pPr>
      <w:r w:rsidRPr="00740D71">
        <w:rPr>
          <w:rFonts w:cs="Times New Roman"/>
          <w:iCs/>
          <w:szCs w:val="24"/>
          <w:u w:val="single"/>
        </w:rPr>
        <w:t>Трансфузионная тактика:</w:t>
      </w:r>
    </w:p>
    <w:p w14:paraId="642249DD" w14:textId="77777777" w:rsidR="0093109D" w:rsidRPr="00365626" w:rsidRDefault="0093109D" w:rsidP="0093109D">
      <w:pPr>
        <w:rPr>
          <w:rFonts w:cs="Times New Roman"/>
          <w:szCs w:val="24"/>
        </w:rPr>
      </w:pPr>
      <w:r w:rsidRPr="00365626">
        <w:rPr>
          <w:rFonts w:cs="Times New Roman"/>
          <w:szCs w:val="24"/>
        </w:rPr>
        <w:t xml:space="preserve">При глубокой анемии показана трансфузия эритроцитсодержащих компонентов крови (ЭСК) с целевым уровнем </w:t>
      </w:r>
      <w:r w:rsidRPr="00365626">
        <w:rPr>
          <w:rFonts w:cs="Times New Roman"/>
          <w:szCs w:val="24"/>
          <w:lang w:val="en-US"/>
        </w:rPr>
        <w:t>Hb</w:t>
      </w:r>
      <w:r w:rsidRPr="00365626">
        <w:rPr>
          <w:rFonts w:cs="Times New Roman"/>
          <w:szCs w:val="24"/>
        </w:rPr>
        <w:t xml:space="preserve"> более 80 г/л. При невозможности компенсации анемии (острый гемолиз, трудности подбора ЭСК) выполнение спленэктомии возможно при более низких показателях гемоглобина.</w:t>
      </w:r>
    </w:p>
    <w:p w14:paraId="1278A118" w14:textId="77777777" w:rsidR="0093109D" w:rsidRPr="00365626" w:rsidRDefault="0093109D" w:rsidP="0093109D">
      <w:pPr>
        <w:rPr>
          <w:rFonts w:cs="Times New Roman"/>
          <w:szCs w:val="24"/>
        </w:rPr>
      </w:pPr>
      <w:r w:rsidRPr="00365626">
        <w:rPr>
          <w:rFonts w:cs="Times New Roman"/>
          <w:szCs w:val="24"/>
        </w:rPr>
        <w:t>Глубокая тромбоцитопения менее 20х10</w:t>
      </w:r>
      <w:r w:rsidRPr="00365626">
        <w:rPr>
          <w:rFonts w:cs="Times New Roman"/>
          <w:szCs w:val="24"/>
          <w:vertAlign w:val="superscript"/>
        </w:rPr>
        <w:t>9</w:t>
      </w:r>
      <w:r w:rsidRPr="00365626">
        <w:rPr>
          <w:rFonts w:cs="Times New Roman"/>
          <w:szCs w:val="24"/>
        </w:rPr>
        <w:t xml:space="preserve">/л не является противопоказанием для выполнения спленэктомии. </w:t>
      </w:r>
    </w:p>
    <w:p w14:paraId="38C8C839" w14:textId="77777777" w:rsidR="0093109D" w:rsidRPr="00365626" w:rsidRDefault="0093109D" w:rsidP="0093109D">
      <w:pPr>
        <w:rPr>
          <w:rFonts w:cs="Times New Roman"/>
          <w:szCs w:val="24"/>
        </w:rPr>
      </w:pPr>
      <w:r w:rsidRPr="00365626">
        <w:rPr>
          <w:rFonts w:cs="Times New Roman"/>
          <w:szCs w:val="24"/>
        </w:rPr>
        <w:t>При первичной иммунной тромбоциопении до спленэктомии с целью повышения количества тромбоцитов  возможно проведение пульс-терапии глюкокортикостероидами (ГКС), внутривенным иммуноглобулином (ВВИГ), агонистами тромбопоэтина (ромиплостим).</w:t>
      </w:r>
    </w:p>
    <w:p w14:paraId="09B5F685" w14:textId="77777777" w:rsidR="0093109D" w:rsidRPr="00365626" w:rsidRDefault="0093109D" w:rsidP="0093109D">
      <w:pPr>
        <w:rPr>
          <w:rFonts w:cs="Times New Roman"/>
          <w:szCs w:val="24"/>
        </w:rPr>
      </w:pPr>
      <w:r w:rsidRPr="00365626">
        <w:rPr>
          <w:rFonts w:cs="Times New Roman"/>
          <w:szCs w:val="24"/>
        </w:rPr>
        <w:t>При тромбоцитопении вследствие костно-мозговой недостаточности (апластическая анемия, МДС, первичный миелофиброз и т.д.) – трансфузии концентрата тромбоцитов целесообразно проводить в день оперативного вмешательства до интубации, интраоперациионно и при необходимости – в послеоперационном периоде. Количество переливаемых доз тромбоцитов зависит от показателей гемограммы, наличия геморрагического синдрома и инфекционного процесса, а так же от основного гематологического заболевания.</w:t>
      </w:r>
    </w:p>
    <w:p w14:paraId="24BF0E8E" w14:textId="77777777" w:rsidR="0093109D" w:rsidRPr="00365626" w:rsidRDefault="0093109D" w:rsidP="0093109D">
      <w:pPr>
        <w:rPr>
          <w:rFonts w:cs="Times New Roman"/>
          <w:szCs w:val="24"/>
        </w:rPr>
      </w:pPr>
      <w:r w:rsidRPr="00365626">
        <w:rPr>
          <w:rFonts w:cs="Times New Roman"/>
          <w:szCs w:val="24"/>
        </w:rPr>
        <w:t>Для обеспечения гемостаза достаточным является количество тромбоцитов более 50х10</w:t>
      </w:r>
      <w:r w:rsidRPr="00365626">
        <w:rPr>
          <w:rFonts w:cs="Times New Roman"/>
          <w:szCs w:val="24"/>
          <w:vertAlign w:val="superscript"/>
        </w:rPr>
        <w:t>9</w:t>
      </w:r>
      <w:r w:rsidRPr="00365626">
        <w:rPr>
          <w:rFonts w:cs="Times New Roman"/>
          <w:szCs w:val="24"/>
        </w:rPr>
        <w:t xml:space="preserve">/л.  При таких показателях гемограммы трансфузии концентрата тромбоцитов обычно не проводятся, за исключением массивного интраоперационного кровотечения. </w:t>
      </w:r>
    </w:p>
    <w:p w14:paraId="509E26F1" w14:textId="77777777" w:rsidR="0093109D" w:rsidRPr="00365626" w:rsidRDefault="0093109D" w:rsidP="0093109D">
      <w:pPr>
        <w:rPr>
          <w:rFonts w:cs="Times New Roman"/>
          <w:color w:val="000000" w:themeColor="text1"/>
          <w:szCs w:val="24"/>
        </w:rPr>
      </w:pPr>
      <w:r w:rsidRPr="00365626">
        <w:rPr>
          <w:rFonts w:cs="Times New Roman"/>
          <w:color w:val="000000" w:themeColor="text1"/>
          <w:szCs w:val="24"/>
        </w:rPr>
        <w:t xml:space="preserve">При дефиците плазменных факторов (протромбин, фибриноген, антитромбин </w:t>
      </w:r>
      <w:r w:rsidRPr="00365626">
        <w:rPr>
          <w:rFonts w:cs="Times New Roman"/>
          <w:color w:val="000000" w:themeColor="text1"/>
          <w:szCs w:val="24"/>
          <w:lang w:val="en-US"/>
        </w:rPr>
        <w:t>III</w:t>
      </w:r>
      <w:r w:rsidRPr="00365626">
        <w:rPr>
          <w:rFonts w:cs="Times New Roman"/>
          <w:color w:val="000000" w:themeColor="text1"/>
          <w:szCs w:val="24"/>
        </w:rPr>
        <w:t xml:space="preserve">) </w:t>
      </w:r>
      <w:r w:rsidRPr="00365626">
        <w:rPr>
          <w:rFonts w:cs="Times New Roman"/>
          <w:szCs w:val="24"/>
        </w:rPr>
        <w:t xml:space="preserve">рекомендуется проведение </w:t>
      </w:r>
      <w:r w:rsidRPr="00365626">
        <w:rPr>
          <w:rFonts w:cs="Times New Roman"/>
          <w:color w:val="000000" w:themeColor="text1"/>
          <w:szCs w:val="24"/>
        </w:rPr>
        <w:t xml:space="preserve">трансфузии </w:t>
      </w:r>
      <w:r w:rsidRPr="00365626">
        <w:rPr>
          <w:rFonts w:cs="Times New Roman"/>
          <w:szCs w:val="24"/>
        </w:rPr>
        <w:t>свежезамороженной плазмы</w:t>
      </w:r>
      <w:r w:rsidRPr="00365626">
        <w:rPr>
          <w:rFonts w:cs="Times New Roman"/>
          <w:color w:val="000000" w:themeColor="text1"/>
          <w:szCs w:val="24"/>
        </w:rPr>
        <w:t xml:space="preserve"> (СЗП), криопреципитата.</w:t>
      </w:r>
    </w:p>
    <w:p w14:paraId="5E48BEB8" w14:textId="77777777" w:rsidR="0093109D" w:rsidRPr="00365626" w:rsidRDefault="0093109D" w:rsidP="0093109D">
      <w:pPr>
        <w:rPr>
          <w:rFonts w:cs="Times New Roman"/>
          <w:color w:val="000000" w:themeColor="text1"/>
          <w:szCs w:val="24"/>
        </w:rPr>
      </w:pPr>
      <w:r w:rsidRPr="00365626">
        <w:rPr>
          <w:rFonts w:cs="Times New Roman"/>
          <w:color w:val="000000" w:themeColor="text1"/>
          <w:szCs w:val="24"/>
        </w:rPr>
        <w:t>При дефиците витамин К-зависимых факторов (протромбин, факторы VII, IX, X, протеины С и S) рекомендуется предоперационная терапия препаратом витамина К с выполнением повторного коагулогического исследования.</w:t>
      </w:r>
    </w:p>
    <w:p w14:paraId="27C98A83" w14:textId="77777777" w:rsidR="0093109D" w:rsidRPr="006D3C55" w:rsidRDefault="0093109D" w:rsidP="0093109D">
      <w:pPr>
        <w:ind w:firstLine="708"/>
        <w:rPr>
          <w:rFonts w:cs="Times New Roman"/>
          <w:iCs/>
          <w:szCs w:val="24"/>
          <w:u w:val="single"/>
        </w:rPr>
      </w:pPr>
      <w:r w:rsidRPr="006D3C55">
        <w:rPr>
          <w:rFonts w:cs="Times New Roman"/>
          <w:iCs/>
          <w:szCs w:val="24"/>
          <w:u w:val="single"/>
        </w:rPr>
        <w:t>Профилактика тромботических осложнений:</w:t>
      </w:r>
    </w:p>
    <w:p w14:paraId="79D38C1E" w14:textId="77777777" w:rsidR="0093109D" w:rsidRPr="00365626" w:rsidRDefault="0093109D" w:rsidP="0093109D">
      <w:pPr>
        <w:rPr>
          <w:rFonts w:cs="Times New Roman"/>
          <w:szCs w:val="24"/>
        </w:rPr>
      </w:pPr>
      <w:r w:rsidRPr="00365626">
        <w:rPr>
          <w:rFonts w:cs="Times New Roman"/>
          <w:szCs w:val="24"/>
        </w:rPr>
        <w:t xml:space="preserve">Эластическая компрессия нижних конечностей (эластичные бинты или чулки) проводится утром в день выполнения оперативного  вмешательства. </w:t>
      </w:r>
    </w:p>
    <w:p w14:paraId="43B35482" w14:textId="77777777" w:rsidR="0093109D" w:rsidRPr="00365626" w:rsidRDefault="0093109D" w:rsidP="0093109D">
      <w:pPr>
        <w:rPr>
          <w:rFonts w:cs="Times New Roman"/>
          <w:szCs w:val="24"/>
        </w:rPr>
      </w:pPr>
      <w:r w:rsidRPr="00365626">
        <w:rPr>
          <w:rFonts w:cs="Times New Roman"/>
          <w:szCs w:val="24"/>
        </w:rPr>
        <w:t>Рекомендуется назначение НМГ в профилактических дозах  у пациентов с повышенным риском развития периоперационных тромботических осложнений.</w:t>
      </w:r>
    </w:p>
    <w:p w14:paraId="51BDD192" w14:textId="77777777" w:rsidR="0093109D" w:rsidRPr="008271E2" w:rsidRDefault="0093109D" w:rsidP="0093109D">
      <w:pPr>
        <w:ind w:firstLine="708"/>
        <w:rPr>
          <w:rFonts w:cs="Times New Roman"/>
          <w:iCs/>
          <w:szCs w:val="24"/>
          <w:u w:val="single"/>
        </w:rPr>
      </w:pPr>
      <w:r w:rsidRPr="008271E2">
        <w:rPr>
          <w:rFonts w:cs="Times New Roman"/>
          <w:iCs/>
          <w:szCs w:val="24"/>
          <w:u w:val="single"/>
        </w:rPr>
        <w:t xml:space="preserve">Накануне в вечернее время проводится очистительная клизма. </w:t>
      </w:r>
    </w:p>
    <w:p w14:paraId="7A1DBFC7" w14:textId="77777777" w:rsidR="0093109D" w:rsidRPr="008271E2" w:rsidRDefault="0093109D" w:rsidP="0093109D">
      <w:pPr>
        <w:ind w:firstLine="708"/>
        <w:rPr>
          <w:rFonts w:cs="Times New Roman"/>
          <w:iCs/>
          <w:szCs w:val="24"/>
          <w:u w:val="single"/>
        </w:rPr>
      </w:pPr>
      <w:r w:rsidRPr="008271E2">
        <w:rPr>
          <w:rFonts w:cs="Times New Roman"/>
          <w:iCs/>
          <w:szCs w:val="24"/>
          <w:u w:val="single"/>
        </w:rPr>
        <w:t>Премедикация накануне вечером по назначению анестезиолога.</w:t>
      </w:r>
    </w:p>
    <w:p w14:paraId="62532B27" w14:textId="7114668A" w:rsidR="0093109D" w:rsidRPr="00365626" w:rsidRDefault="0093109D" w:rsidP="0093109D">
      <w:pPr>
        <w:rPr>
          <w:rFonts w:cs="Times New Roman"/>
          <w:i/>
          <w:szCs w:val="24"/>
        </w:rPr>
      </w:pPr>
      <w:r w:rsidRPr="00365626">
        <w:rPr>
          <w:rFonts w:cs="Times New Roman"/>
          <w:i/>
          <w:szCs w:val="24"/>
        </w:rPr>
        <w:t>Интраоперационное ведение</w:t>
      </w:r>
      <w:r>
        <w:rPr>
          <w:rFonts w:cs="Times New Roman"/>
          <w:i/>
          <w:szCs w:val="24"/>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r w:rsidRPr="00365626">
        <w:rPr>
          <w:rFonts w:cs="Times New Roman"/>
          <w:i/>
          <w:szCs w:val="24"/>
        </w:rPr>
        <w:t>:</w:t>
      </w:r>
    </w:p>
    <w:p w14:paraId="2BAB6CBB" w14:textId="77777777" w:rsidR="0093109D" w:rsidRPr="00365626" w:rsidRDefault="0093109D" w:rsidP="0093109D">
      <w:pPr>
        <w:ind w:firstLine="708"/>
        <w:rPr>
          <w:rFonts w:cs="Times New Roman"/>
          <w:szCs w:val="24"/>
        </w:rPr>
      </w:pPr>
      <w:r w:rsidRPr="00365626">
        <w:rPr>
          <w:rFonts w:cs="Times New Roman"/>
          <w:szCs w:val="24"/>
        </w:rPr>
        <w:t xml:space="preserve">Оперативное вмешательство выполняется в условиях комбинированной эндотрахеальной анестезии. На протяжении всей операции требуется глубокий уровень нейромышечного блока, что предусматривает проведение мониторинга нейромышечного проведения врачом-анестезиологом. </w:t>
      </w:r>
    </w:p>
    <w:p w14:paraId="6A771B8C" w14:textId="77777777" w:rsidR="0093109D" w:rsidRPr="00365626" w:rsidRDefault="0093109D" w:rsidP="0093109D">
      <w:pPr>
        <w:ind w:firstLine="708"/>
        <w:rPr>
          <w:rFonts w:cs="Times New Roman"/>
          <w:szCs w:val="24"/>
        </w:rPr>
      </w:pPr>
      <w:r w:rsidRPr="00365626">
        <w:rPr>
          <w:rFonts w:cs="Times New Roman"/>
          <w:szCs w:val="24"/>
        </w:rPr>
        <w:t>Более 80% оперируемых пациентов имеют исходные нарушения в системе гемостаза. Наиболее тяжелые отклонения требуют предоперационной подготовки компонентами крови, у остальных коррекция гемостаза выполняется непосредственно во время оперативного вмешательства.</w:t>
      </w:r>
    </w:p>
    <w:p w14:paraId="7668ACFD" w14:textId="77777777" w:rsidR="0093109D" w:rsidRPr="00365626" w:rsidRDefault="0093109D" w:rsidP="0093109D">
      <w:pPr>
        <w:ind w:firstLine="708"/>
        <w:rPr>
          <w:rFonts w:cs="Times New Roman"/>
          <w:color w:val="C00000"/>
          <w:szCs w:val="24"/>
        </w:rPr>
      </w:pPr>
      <w:r w:rsidRPr="00365626">
        <w:rPr>
          <w:rFonts w:cs="Times New Roman"/>
          <w:szCs w:val="24"/>
        </w:rPr>
        <w:t xml:space="preserve">Часто во время выполнения спленэктомии проводятся трансфузии компонентов крови (ЭСК, концентрат тромбоцитов, СЗП, криопреципитат). Объем трансфузионной терапии зависит от особенностей заболевания и течения интраоперационного периода. </w:t>
      </w:r>
      <w:r w:rsidRPr="00365626">
        <w:rPr>
          <w:rFonts w:cs="Times New Roman"/>
          <w:color w:val="000000" w:themeColor="text1"/>
          <w:szCs w:val="24"/>
        </w:rPr>
        <w:t>При глубокой тромбоцитопении (количество тромбоцитов &lt; 20х10</w:t>
      </w:r>
      <w:r w:rsidRPr="00365626">
        <w:rPr>
          <w:rFonts w:cs="Times New Roman"/>
          <w:color w:val="000000" w:themeColor="text1"/>
          <w:szCs w:val="24"/>
          <w:vertAlign w:val="superscript"/>
        </w:rPr>
        <w:t>9</w:t>
      </w:r>
      <w:r w:rsidRPr="00365626">
        <w:rPr>
          <w:rFonts w:cs="Times New Roman"/>
          <w:color w:val="000000" w:themeColor="text1"/>
          <w:szCs w:val="24"/>
        </w:rPr>
        <w:t>/л) целесообразна трансфузия концентрата тромбоцитов до начала операции и интраоперационно в зависимости от выраженности геморрагического синдрома. При иммунной тромбоцитопении трансфузия концентрата тромбоцитов рутинно не применяется, ее проведение возможно только при выраженном интраоперационном геморрагическом синдроме (целесообразно сочетание с эптакогом альфа активированным).</w:t>
      </w:r>
      <w:r w:rsidRPr="00365626">
        <w:rPr>
          <w:rFonts w:cs="Times New Roman"/>
          <w:color w:val="000000" w:themeColor="text1"/>
          <w:szCs w:val="24"/>
        </w:rPr>
        <w:tab/>
      </w:r>
    </w:p>
    <w:p w14:paraId="28C14BAA" w14:textId="77777777" w:rsidR="0093109D" w:rsidRPr="00365626" w:rsidRDefault="0093109D" w:rsidP="0093109D">
      <w:pPr>
        <w:ind w:firstLine="708"/>
        <w:rPr>
          <w:rFonts w:cs="Times New Roman"/>
          <w:szCs w:val="24"/>
        </w:rPr>
      </w:pPr>
      <w:r w:rsidRPr="00365626">
        <w:rPr>
          <w:rFonts w:cs="Times New Roman"/>
          <w:szCs w:val="24"/>
        </w:rPr>
        <w:t>Для пациентов без глубокой цитопении  (гемоглобин более 80 г/л, количество тромбоцитов более 50х10</w:t>
      </w:r>
      <w:r w:rsidRPr="00365626">
        <w:rPr>
          <w:rFonts w:cs="Times New Roman"/>
          <w:szCs w:val="24"/>
          <w:vertAlign w:val="superscript"/>
        </w:rPr>
        <w:t>9</w:t>
      </w:r>
      <w:r w:rsidRPr="00365626">
        <w:rPr>
          <w:rFonts w:cs="Times New Roman"/>
          <w:szCs w:val="24"/>
        </w:rPr>
        <w:t xml:space="preserve">/л) и тяжелых коагуляционных нарушений  все вышеперечисленные компоненты крови  необходимо иметь в резерве. </w:t>
      </w:r>
    </w:p>
    <w:p w14:paraId="1A808603" w14:textId="77777777" w:rsidR="0093109D" w:rsidRPr="00365626" w:rsidRDefault="0093109D" w:rsidP="0093109D">
      <w:pPr>
        <w:ind w:firstLine="708"/>
        <w:rPr>
          <w:rFonts w:cs="Times New Roman"/>
          <w:szCs w:val="24"/>
        </w:rPr>
      </w:pPr>
      <w:r w:rsidRPr="00365626">
        <w:rPr>
          <w:rFonts w:cs="Times New Roman"/>
          <w:szCs w:val="24"/>
        </w:rPr>
        <w:t>При выполнении спленэктомии при любом гематологическом заболевании, вне зависимости от исходных показателей гемограммы и коагулограммы, целесообразно так же иметь в арсенале концентраты факторов свертывания крови:  эптаког альфа активированный (</w:t>
      </w:r>
      <w:r w:rsidRPr="00365626">
        <w:rPr>
          <w:rFonts w:cs="Times New Roman"/>
          <w:szCs w:val="24"/>
          <w:lang w:val="en-US"/>
        </w:rPr>
        <w:t>rFVIIa</w:t>
      </w:r>
      <w:r w:rsidRPr="00365626">
        <w:rPr>
          <w:rFonts w:cs="Times New Roman"/>
          <w:szCs w:val="24"/>
        </w:rPr>
        <w:t xml:space="preserve">) и концентрат протромбинового комплекса (факторы II, VII, IX, X или  </w:t>
      </w:r>
      <w:r w:rsidRPr="00365626">
        <w:rPr>
          <w:rFonts w:cs="Times New Roman"/>
          <w:szCs w:val="24"/>
          <w:lang w:val="en-US"/>
        </w:rPr>
        <w:t>II</w:t>
      </w:r>
      <w:r w:rsidRPr="00365626">
        <w:rPr>
          <w:rFonts w:cs="Times New Roman"/>
          <w:szCs w:val="24"/>
        </w:rPr>
        <w:t xml:space="preserve">, </w:t>
      </w:r>
      <w:r w:rsidRPr="00365626">
        <w:rPr>
          <w:rFonts w:cs="Times New Roman"/>
          <w:szCs w:val="24"/>
          <w:lang w:val="en-US"/>
        </w:rPr>
        <w:t>IX</w:t>
      </w:r>
      <w:r w:rsidRPr="00365626">
        <w:rPr>
          <w:rFonts w:cs="Times New Roman"/>
          <w:szCs w:val="24"/>
        </w:rPr>
        <w:t>,</w:t>
      </w:r>
      <w:r w:rsidRPr="00365626">
        <w:rPr>
          <w:rFonts w:cs="Times New Roman"/>
          <w:szCs w:val="24"/>
          <w:lang w:val="en-US"/>
        </w:rPr>
        <w:t>X</w:t>
      </w:r>
      <w:r w:rsidRPr="00365626">
        <w:rPr>
          <w:rFonts w:cs="Times New Roman"/>
          <w:szCs w:val="24"/>
        </w:rPr>
        <w:t xml:space="preserve">). </w:t>
      </w:r>
    </w:p>
    <w:p w14:paraId="4FA1DEFB" w14:textId="77777777" w:rsidR="0093109D" w:rsidRPr="00365626" w:rsidRDefault="0093109D" w:rsidP="0093109D">
      <w:pPr>
        <w:ind w:firstLine="708"/>
        <w:rPr>
          <w:rFonts w:cs="Times New Roman"/>
          <w:szCs w:val="24"/>
        </w:rPr>
      </w:pPr>
      <w:r w:rsidRPr="00365626">
        <w:rPr>
          <w:rFonts w:cs="Times New Roman"/>
          <w:szCs w:val="24"/>
        </w:rPr>
        <w:t>Для обеспечения интраоперационного гемостаза необходим мониторинг основных параметров коагулограммы, по возможности с одновременным использованием интегральных методов исследования системы гемостаза (тромбоэластография, ротационная тромбоэластометрия).</w:t>
      </w:r>
    </w:p>
    <w:p w14:paraId="0FF41E60" w14:textId="77777777" w:rsidR="0093109D" w:rsidRPr="00365626" w:rsidRDefault="0093109D" w:rsidP="0093109D">
      <w:pPr>
        <w:ind w:firstLine="708"/>
        <w:rPr>
          <w:rFonts w:cs="Times New Roman"/>
          <w:szCs w:val="24"/>
        </w:rPr>
      </w:pPr>
      <w:r w:rsidRPr="00365626">
        <w:rPr>
          <w:rFonts w:cs="Times New Roman"/>
          <w:szCs w:val="24"/>
        </w:rPr>
        <w:t>За час до начала оперативного вмешательства вводится антибактериальный препарат широкого спектра действия. Возможные варианты: цефазолин 2 г ± метронидазол 0,5 г, цефуроксим 1,5 г ± метронидазол 0,5 г амоксициллин/клавуланат 1,2 г, амоксициллин/сульбактам 3 г, эртапенем 1 г при коллонизации резистентными микроорганизмами. При аллергии к бета-лактамам: клиндамицин 0,9 г.</w:t>
      </w:r>
    </w:p>
    <w:p w14:paraId="233DFE87" w14:textId="77777777" w:rsidR="0093109D" w:rsidRPr="00365626" w:rsidRDefault="0093109D" w:rsidP="0093109D">
      <w:pPr>
        <w:ind w:firstLine="708"/>
        <w:rPr>
          <w:rFonts w:cs="Times New Roman"/>
          <w:szCs w:val="24"/>
          <w:vertAlign w:val="superscript"/>
        </w:rPr>
      </w:pPr>
      <w:r w:rsidRPr="00365626">
        <w:rPr>
          <w:rFonts w:cs="Times New Roman"/>
          <w:szCs w:val="24"/>
        </w:rPr>
        <w:t>При кровопотере более 1500 мл рекомендовано повторное введение антибактериального препарата. Далее антибактериальная терапия проводится только при выявлении инфекционных осложнений.</w:t>
      </w:r>
    </w:p>
    <w:p w14:paraId="1C5A369F" w14:textId="77777777" w:rsidR="0093109D" w:rsidRDefault="0093109D" w:rsidP="0093109D">
      <w:pPr>
        <w:rPr>
          <w:rFonts w:cs="Times New Roman"/>
          <w:b/>
          <w:szCs w:val="24"/>
        </w:rPr>
      </w:pPr>
    </w:p>
    <w:p w14:paraId="4BEE205E" w14:textId="77777777" w:rsidR="0093109D" w:rsidRPr="008271E2" w:rsidRDefault="0093109D" w:rsidP="0093109D">
      <w:pPr>
        <w:rPr>
          <w:rFonts w:cs="Times New Roman"/>
          <w:i/>
          <w:szCs w:val="24"/>
        </w:rPr>
      </w:pPr>
      <w:r w:rsidRPr="008271E2">
        <w:rPr>
          <w:rFonts w:cs="Times New Roman"/>
          <w:i/>
          <w:szCs w:val="24"/>
        </w:rPr>
        <w:t>Лапароскопическая спленэктомия</w:t>
      </w:r>
    </w:p>
    <w:p w14:paraId="095C8F3E" w14:textId="7BDD4CBC" w:rsidR="0093109D" w:rsidRPr="00844875" w:rsidRDefault="0093109D" w:rsidP="0093109D">
      <w:pPr>
        <w:rPr>
          <w:rFonts w:cs="Times New Roman"/>
          <w:iCs/>
          <w:szCs w:val="24"/>
          <w:u w:val="single"/>
          <w:vertAlign w:val="superscript"/>
        </w:rPr>
      </w:pPr>
      <w:r w:rsidRPr="008271E2">
        <w:rPr>
          <w:rFonts w:cs="Times New Roman"/>
          <w:iCs/>
          <w:szCs w:val="24"/>
          <w:u w:val="single"/>
        </w:rPr>
        <w:t>Техника выполнения вмешательства</w:t>
      </w:r>
      <w:r>
        <w:rPr>
          <w:rFonts w:cs="Times New Roman"/>
          <w:iCs/>
          <w:szCs w:val="24"/>
          <w:u w:val="single"/>
        </w:rPr>
        <w:t xml:space="preserve"> </w:t>
      </w:r>
      <w:r>
        <w:rPr>
          <w:rFonts w:cs="Times New Roman"/>
          <w:iCs/>
          <w:szCs w:val="24"/>
          <w:u w:val="single"/>
        </w:rPr>
        <w:fldChar w:fldCharType="begin" w:fldLock="1"/>
      </w:r>
      <w:r w:rsidR="00E83B26">
        <w:rPr>
          <w:rFonts w:cs="Times New Roman"/>
          <w:iCs/>
          <w:szCs w:val="24"/>
          <w:u w:val="single"/>
        </w:rPr>
        <w:instrText>ADDIN CSL_CITATION {"citationItems":[{"id":"ITEM-1","itemData":{"DOI":"10.1007/s00464-007-9735-5","ISSN":"09302794","PMID":"18293036","abstract":"Background: Although laparoscopic splenectomy (LS) has become the standard approach for most splenectomy cases, some areas still remain controversial. To date, the indications that preclude laparoscopic splenectomy are not clearly defined. In view of this, the European Association for Endoscopic Surgery (EAES) has developed clinical practice guidelines for LS. Methods: An international expert panel was invited to appraise the current literature and to develop evidence-based recommendations. A consensus development conference using a nominal group process convened in May 2007. Its recommendations were presented at the annual EAES congress in Athens, Greece, on 5 July 2007 for discussion and further input. After a further Delphi process between the experts, the final recommendations were agreed upon. Results: Laparoscopic splenectomy is indicated for most benign and malignant hematologic diseases independently of the patient's age and body weight. Preoperative investigation is recommended for obtaining information on spleen size and volume as well as the presence of accessory splenic tissue. Preoperative vaccination against meningococcal, pneumococcal, and Haemophilus influenzae type B infections is recommended in elective cases. Perioperative anticoagulant prophylaxis with subcutaneous heparin should be administered to all patients and prolonged anticoagulant prophylaxis to high-risk patients. The choice of approach (supine [anterior], semilateral or lateral) is left to the surgeon's preference and concomitant conditions. In cases of massive splenomegaly, the hand-assisted technique should be considered to avoid conversion to open surgery and to reduce complication rates. The expert panel still considered portal hypertension and major medical comorbidities as contraindications to LS. Conclusion: Despite a lack of level 1 evidence, LS is a safe and advantageous procedure in experienced hands that has displaced open surgery for almost all indications. To support the clinical evidence, further randomized controlled trials on different issues are mandatory. © 2008 Springer Science+Business Media, LLC.","author":[{"dropping-particle":"","family":"Habermalz","given":"B.","non-dropping-particle":"","parse-names":false,"suffix":""},{"dropping-particle":"","family":"Sauerland","given":"S.","non-dropping-particle":"","parse-names":false,"suffix":""},{"dropping-particle":"","family":"Decker","given":"G.","non-dropping-particle":"","parse-names":false,"suffix":""},{"dropping-particle":"","family":"Delaitre","given":"B.","non-dropping-particle":"","parse-names":false,"suffix":""},{"dropping-particle":"","family":"Gigot","given":"J. F.","non-dropping-particle":"","parse-names":false,"suffix":""},{"dropping-particle":"","family":"Leandros","given":"E.","non-dropping-particle":"","parse-names":false,"suffix":""},{"dropping-particle":"","family":"Lechner","given":"K.","non-dropping-particle":"","parse-names":false,"suffix":""},{"dropping-particle":"","family":"Rhodes","given":"M.","non-dropping-particle":"","parse-names":false,"suffix":""},{"dropping-particle":"","family":"Silecchia","given":"G.","non-dropping-particle":"","parse-names":false,"suffix":""},{"dropping-particle":"","family":"Szold","given":"A.","non-dropping-particle":"","parse-names":false,"suffix":""},{"dropping-particle":"","family":"Targarona","given":"E.","non-dropping-particle":"","parse-names":false,"suffix":""},{"dropping-particle":"","family":"Torelli","given":"P.","non-dropping-particle":"","parse-names":false,"suffix":""},{"dropping-particle":"","family":"Neugebauer","given":"E.","non-dropping-particle":"","parse-names":false,"suffix":""}],"container-title":"Surgical Endoscopy and Other Interventional Techniques","id":"ITEM-1","issue":"4","issued":{"date-parts":[["2008","4"]]},"page":"821-848","publisher":"Surg Endosc","title":"Laparoscopic splenectomy: The clinical practice guidelines of the European Association for Endoscopic Surgery (EAES)","type":"paper-conference","volume":"22"},"uris":["http://www.mendeley.com/documents/?uuid=983b81b2-be55-354d-9ece-4e702d6423e1"]}],"mendeley":{"formattedCitation":"[109]","plainTextFormattedCitation":"[109]","previouslyFormattedCitation":"[109]"},"properties":{"noteIndex":0},"schema":"https://github.com/citation-style-language/schema/raw/master/csl-citation.json"}</w:instrText>
      </w:r>
      <w:r>
        <w:rPr>
          <w:rFonts w:cs="Times New Roman"/>
          <w:iCs/>
          <w:szCs w:val="24"/>
          <w:u w:val="single"/>
        </w:rPr>
        <w:fldChar w:fldCharType="separate"/>
      </w:r>
      <w:r w:rsidR="00844875" w:rsidRPr="00844875">
        <w:rPr>
          <w:rFonts w:cs="Times New Roman"/>
          <w:iCs/>
          <w:noProof/>
          <w:szCs w:val="24"/>
        </w:rPr>
        <w:t>[109]</w:t>
      </w:r>
      <w:r>
        <w:rPr>
          <w:rFonts w:cs="Times New Roman"/>
          <w:iCs/>
          <w:szCs w:val="24"/>
          <w:u w:val="single"/>
        </w:rPr>
        <w:fldChar w:fldCharType="end"/>
      </w:r>
    </w:p>
    <w:p w14:paraId="3EEFEFE0" w14:textId="77777777" w:rsidR="0093109D" w:rsidRPr="00365626" w:rsidRDefault="0093109D" w:rsidP="0093109D">
      <w:pPr>
        <w:pStyle w:val="afe"/>
        <w:numPr>
          <w:ilvl w:val="0"/>
          <w:numId w:val="106"/>
        </w:numPr>
        <w:rPr>
          <w:rFonts w:cs="Times New Roman"/>
          <w:szCs w:val="24"/>
        </w:rPr>
      </w:pPr>
      <w:r w:rsidRPr="00365626">
        <w:rPr>
          <w:rFonts w:cs="Times New Roman"/>
          <w:szCs w:val="24"/>
        </w:rPr>
        <w:t>Создание карбоксиперитонеума, установка первого троакара, осмотр брюшной полости.</w:t>
      </w:r>
    </w:p>
    <w:p w14:paraId="15D2409D" w14:textId="77777777" w:rsidR="0093109D" w:rsidRPr="00365626" w:rsidRDefault="0093109D" w:rsidP="0093109D">
      <w:pPr>
        <w:pStyle w:val="afe"/>
        <w:numPr>
          <w:ilvl w:val="0"/>
          <w:numId w:val="106"/>
        </w:numPr>
        <w:rPr>
          <w:rFonts w:cs="Times New Roman"/>
          <w:szCs w:val="24"/>
        </w:rPr>
      </w:pPr>
      <w:r w:rsidRPr="00365626">
        <w:rPr>
          <w:rFonts w:cs="Times New Roman"/>
          <w:szCs w:val="24"/>
        </w:rPr>
        <w:t>Позиционирование стола (положение пациента лежа на спине, позиция операционного стола: головной конец поднят на 30°, поворот направо на 20°).</w:t>
      </w:r>
    </w:p>
    <w:p w14:paraId="3E059184" w14:textId="77777777" w:rsidR="0093109D" w:rsidRPr="00365626" w:rsidRDefault="0093109D" w:rsidP="0093109D">
      <w:pPr>
        <w:pStyle w:val="afe"/>
        <w:numPr>
          <w:ilvl w:val="0"/>
          <w:numId w:val="106"/>
        </w:numPr>
        <w:rPr>
          <w:rFonts w:cs="Times New Roman"/>
          <w:szCs w:val="24"/>
        </w:rPr>
      </w:pPr>
      <w:r w:rsidRPr="00365626">
        <w:rPr>
          <w:rFonts w:cs="Times New Roman"/>
          <w:szCs w:val="24"/>
        </w:rPr>
        <w:t>Установка троакаров в зависимости от размера селезенки (расположение: 1 – выше пупка, 2 – под мечевидным отростком грудины, 3, 4 – по окружности с центром ориентировочно в области ножки селезенки. «Угол атаки» по отношению к сосудам селезенки должен быть близок к 90°, что оптимально для их выделения).</w:t>
      </w:r>
    </w:p>
    <w:p w14:paraId="76AC3D8E" w14:textId="77777777" w:rsidR="0093109D" w:rsidRPr="00365626" w:rsidRDefault="0093109D" w:rsidP="0093109D">
      <w:pPr>
        <w:pStyle w:val="afe"/>
        <w:numPr>
          <w:ilvl w:val="0"/>
          <w:numId w:val="106"/>
        </w:numPr>
        <w:rPr>
          <w:rFonts w:cs="Times New Roman"/>
          <w:szCs w:val="24"/>
        </w:rPr>
      </w:pPr>
      <w:r w:rsidRPr="00365626">
        <w:rPr>
          <w:rFonts w:cs="Times New Roman"/>
          <w:szCs w:val="24"/>
        </w:rPr>
        <w:t>Мобилизация нижнего полюса селезенки</w:t>
      </w:r>
    </w:p>
    <w:p w14:paraId="48C2712A" w14:textId="77777777" w:rsidR="0093109D" w:rsidRPr="00365626" w:rsidRDefault="0093109D" w:rsidP="0093109D">
      <w:pPr>
        <w:pStyle w:val="afe"/>
        <w:numPr>
          <w:ilvl w:val="0"/>
          <w:numId w:val="106"/>
        </w:numPr>
        <w:rPr>
          <w:rFonts w:cs="Times New Roman"/>
          <w:szCs w:val="24"/>
        </w:rPr>
      </w:pPr>
      <w:r w:rsidRPr="00365626">
        <w:rPr>
          <w:rFonts w:cs="Times New Roman"/>
          <w:szCs w:val="24"/>
        </w:rPr>
        <w:t>Пересечение желудочно-селезеночной связки</w:t>
      </w:r>
    </w:p>
    <w:p w14:paraId="667C2668" w14:textId="77777777" w:rsidR="0093109D" w:rsidRPr="00365626" w:rsidRDefault="0093109D" w:rsidP="0093109D">
      <w:pPr>
        <w:pStyle w:val="afe"/>
        <w:numPr>
          <w:ilvl w:val="0"/>
          <w:numId w:val="106"/>
        </w:numPr>
        <w:rPr>
          <w:rFonts w:cs="Times New Roman"/>
          <w:szCs w:val="24"/>
        </w:rPr>
      </w:pPr>
      <w:r w:rsidRPr="00365626">
        <w:rPr>
          <w:rFonts w:cs="Times New Roman"/>
          <w:szCs w:val="24"/>
        </w:rPr>
        <w:t>Пересечение сосудистой ножки селезенки</w:t>
      </w:r>
    </w:p>
    <w:p w14:paraId="43DA4EEE" w14:textId="77777777" w:rsidR="0093109D" w:rsidRPr="00365626" w:rsidRDefault="0093109D" w:rsidP="0093109D">
      <w:pPr>
        <w:pStyle w:val="afe"/>
        <w:numPr>
          <w:ilvl w:val="0"/>
          <w:numId w:val="106"/>
        </w:numPr>
        <w:rPr>
          <w:rFonts w:cs="Times New Roman"/>
          <w:szCs w:val="24"/>
        </w:rPr>
      </w:pPr>
      <w:r w:rsidRPr="00365626">
        <w:rPr>
          <w:rFonts w:cs="Times New Roman"/>
          <w:szCs w:val="24"/>
        </w:rPr>
        <w:t>Мобилизация верхнего полюса селезенки</w:t>
      </w:r>
    </w:p>
    <w:p w14:paraId="2912D090" w14:textId="77777777" w:rsidR="0093109D" w:rsidRPr="00365626" w:rsidRDefault="0093109D" w:rsidP="0093109D">
      <w:pPr>
        <w:pStyle w:val="afe"/>
        <w:numPr>
          <w:ilvl w:val="0"/>
          <w:numId w:val="106"/>
        </w:numPr>
        <w:rPr>
          <w:rFonts w:cs="Times New Roman"/>
          <w:szCs w:val="24"/>
        </w:rPr>
      </w:pPr>
      <w:r w:rsidRPr="00365626">
        <w:rPr>
          <w:rFonts w:cs="Times New Roman"/>
          <w:szCs w:val="24"/>
        </w:rPr>
        <w:t>Извлечение селезенки из брюшной полости</w:t>
      </w:r>
    </w:p>
    <w:p w14:paraId="51D7DE75" w14:textId="77777777" w:rsidR="0093109D" w:rsidRPr="00365626" w:rsidRDefault="0093109D" w:rsidP="0093109D">
      <w:pPr>
        <w:pStyle w:val="afe"/>
        <w:numPr>
          <w:ilvl w:val="0"/>
          <w:numId w:val="106"/>
        </w:numPr>
        <w:rPr>
          <w:rFonts w:cs="Times New Roman"/>
          <w:szCs w:val="24"/>
        </w:rPr>
      </w:pPr>
      <w:r w:rsidRPr="00365626">
        <w:rPr>
          <w:rFonts w:cs="Times New Roman"/>
          <w:szCs w:val="24"/>
        </w:rPr>
        <w:t>Гемостаз и дренирование</w:t>
      </w:r>
      <w:r w:rsidRPr="00365626">
        <w:rPr>
          <w:rFonts w:cs="Times New Roman"/>
          <w:i/>
          <w:szCs w:val="24"/>
        </w:rPr>
        <w:t xml:space="preserve">. </w:t>
      </w:r>
    </w:p>
    <w:p w14:paraId="617E068B" w14:textId="77777777" w:rsidR="0093109D" w:rsidRPr="00365626" w:rsidRDefault="0093109D" w:rsidP="0093109D">
      <w:pPr>
        <w:rPr>
          <w:rFonts w:cs="Times New Roman"/>
          <w:szCs w:val="24"/>
        </w:rPr>
      </w:pPr>
      <w:r w:rsidRPr="00365626">
        <w:rPr>
          <w:rFonts w:cs="Times New Roman"/>
          <w:szCs w:val="24"/>
        </w:rPr>
        <w:t xml:space="preserve">Для безопасного выполнения лапароскопической спленэктомии целесообразно применение электролигирующего устройства </w:t>
      </w:r>
      <w:r w:rsidRPr="00365626">
        <w:rPr>
          <w:rFonts w:cs="Times New Roman"/>
          <w:szCs w:val="24"/>
          <w:lang w:val="en-US"/>
        </w:rPr>
        <w:t>LigaSure</w:t>
      </w:r>
      <w:r w:rsidRPr="00365626">
        <w:rPr>
          <w:rFonts w:cs="Times New Roman"/>
          <w:szCs w:val="24"/>
        </w:rPr>
        <w:t>, позволяющего пересекать сосуды без применения клипатора.</w:t>
      </w:r>
    </w:p>
    <w:p w14:paraId="3ACDECBF" w14:textId="77777777" w:rsidR="0093109D" w:rsidRPr="00365626" w:rsidRDefault="0093109D" w:rsidP="0093109D">
      <w:pPr>
        <w:rPr>
          <w:rFonts w:cs="Times New Roman"/>
          <w:szCs w:val="24"/>
        </w:rPr>
      </w:pPr>
      <w:r w:rsidRPr="00365626">
        <w:rPr>
          <w:rFonts w:cs="Times New Roman"/>
          <w:szCs w:val="24"/>
        </w:rPr>
        <w:t>Извлечение удаленной селезенки производят в контейнере. Возможно измельчение органа и извлечение из пупочного доступа. При необходимости извлечения целого органа для гистологического исследования применяют доступ по Пфанненштилю.</w:t>
      </w:r>
    </w:p>
    <w:p w14:paraId="09002498" w14:textId="77777777" w:rsidR="0093109D" w:rsidRDefault="0093109D" w:rsidP="0093109D">
      <w:pPr>
        <w:rPr>
          <w:rFonts w:cs="Times New Roman"/>
          <w:b/>
          <w:szCs w:val="24"/>
        </w:rPr>
      </w:pPr>
    </w:p>
    <w:p w14:paraId="6588A073" w14:textId="77777777" w:rsidR="0093109D" w:rsidRPr="008271E2" w:rsidRDefault="0093109D" w:rsidP="0093109D">
      <w:pPr>
        <w:rPr>
          <w:rFonts w:cs="Times New Roman"/>
          <w:bCs/>
          <w:i/>
          <w:iCs/>
          <w:szCs w:val="24"/>
        </w:rPr>
      </w:pPr>
      <w:r w:rsidRPr="008271E2">
        <w:rPr>
          <w:rFonts w:cs="Times New Roman"/>
          <w:bCs/>
          <w:i/>
          <w:iCs/>
          <w:szCs w:val="24"/>
        </w:rPr>
        <w:t>Спленэктомия лапаротомным доступом</w:t>
      </w:r>
    </w:p>
    <w:p w14:paraId="458055B0" w14:textId="65B1AFAF" w:rsidR="0093109D" w:rsidRPr="008271E2" w:rsidRDefault="0093109D" w:rsidP="0093109D">
      <w:pPr>
        <w:rPr>
          <w:rFonts w:cs="Times New Roman"/>
          <w:iCs/>
          <w:szCs w:val="24"/>
          <w:u w:val="single"/>
        </w:rPr>
      </w:pPr>
      <w:r w:rsidRPr="008271E2">
        <w:rPr>
          <w:rFonts w:cs="Times New Roman"/>
          <w:iCs/>
          <w:szCs w:val="24"/>
          <w:u w:val="single"/>
        </w:rPr>
        <w:t>Техника выполнения вмешательства</w:t>
      </w:r>
      <w:r>
        <w:rPr>
          <w:rFonts w:cs="Times New Roman"/>
          <w:iCs/>
          <w:szCs w:val="24"/>
          <w:u w:val="single"/>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p>
    <w:p w14:paraId="676408B7" w14:textId="77777777" w:rsidR="0093109D" w:rsidRPr="00365626" w:rsidRDefault="0093109D" w:rsidP="0093109D">
      <w:pPr>
        <w:pStyle w:val="afe"/>
        <w:numPr>
          <w:ilvl w:val="0"/>
          <w:numId w:val="108"/>
        </w:numPr>
        <w:rPr>
          <w:rFonts w:cs="Times New Roman"/>
          <w:szCs w:val="24"/>
        </w:rPr>
      </w:pPr>
      <w:r w:rsidRPr="00365626">
        <w:rPr>
          <w:rFonts w:cs="Times New Roman"/>
          <w:szCs w:val="24"/>
        </w:rPr>
        <w:t>Срединный разрез от мечевидного отростка до пупка либо косой – в левом подреберье.</w:t>
      </w:r>
    </w:p>
    <w:p w14:paraId="03AF5523" w14:textId="77777777" w:rsidR="0093109D" w:rsidRPr="00365626" w:rsidRDefault="0093109D" w:rsidP="0093109D">
      <w:pPr>
        <w:pStyle w:val="afe"/>
        <w:numPr>
          <w:ilvl w:val="0"/>
          <w:numId w:val="108"/>
        </w:numPr>
        <w:rPr>
          <w:rFonts w:cs="Times New Roman"/>
          <w:szCs w:val="24"/>
        </w:rPr>
      </w:pPr>
      <w:r w:rsidRPr="00365626">
        <w:rPr>
          <w:rFonts w:cs="Times New Roman"/>
          <w:szCs w:val="24"/>
        </w:rPr>
        <w:t>Пересечение желудочно-селезеночной связки с лигированием сосудов.</w:t>
      </w:r>
    </w:p>
    <w:p w14:paraId="7861CE78" w14:textId="77777777" w:rsidR="0093109D" w:rsidRPr="00365626" w:rsidRDefault="0093109D" w:rsidP="0093109D">
      <w:pPr>
        <w:pStyle w:val="afe"/>
        <w:numPr>
          <w:ilvl w:val="0"/>
          <w:numId w:val="108"/>
        </w:numPr>
        <w:rPr>
          <w:rFonts w:cs="Times New Roman"/>
          <w:szCs w:val="24"/>
        </w:rPr>
      </w:pPr>
      <w:r w:rsidRPr="00365626">
        <w:rPr>
          <w:rFonts w:cs="Times New Roman"/>
          <w:szCs w:val="24"/>
        </w:rPr>
        <w:t>Рассечение селезеночно-диафрагмальной связки и мобилизация верхнего полюса селезенки</w:t>
      </w:r>
    </w:p>
    <w:p w14:paraId="5B3AB89E" w14:textId="77777777" w:rsidR="0093109D" w:rsidRPr="00365626" w:rsidRDefault="0093109D" w:rsidP="0093109D">
      <w:pPr>
        <w:pStyle w:val="afe"/>
        <w:numPr>
          <w:ilvl w:val="0"/>
          <w:numId w:val="107"/>
        </w:numPr>
        <w:rPr>
          <w:rFonts w:cs="Times New Roman"/>
          <w:szCs w:val="24"/>
        </w:rPr>
      </w:pPr>
      <w:r w:rsidRPr="00365626">
        <w:rPr>
          <w:rFonts w:cs="Times New Roman"/>
          <w:szCs w:val="24"/>
        </w:rPr>
        <w:t>Пересечение селезеночно</w:t>
      </w:r>
      <w:r w:rsidRPr="00365626">
        <w:rPr>
          <w:rFonts w:cs="Times New Roman"/>
          <w:szCs w:val="24"/>
        </w:rPr>
        <w:noBreakHyphen/>
        <w:t xml:space="preserve">толстокишечной связки у нижнего полюса. </w:t>
      </w:r>
    </w:p>
    <w:p w14:paraId="76C97C4E" w14:textId="77777777" w:rsidR="0093109D" w:rsidRPr="00365626" w:rsidRDefault="0093109D" w:rsidP="0093109D">
      <w:pPr>
        <w:pStyle w:val="afe"/>
        <w:numPr>
          <w:ilvl w:val="0"/>
          <w:numId w:val="107"/>
        </w:numPr>
        <w:rPr>
          <w:rFonts w:cs="Times New Roman"/>
          <w:szCs w:val="24"/>
        </w:rPr>
      </w:pPr>
      <w:r w:rsidRPr="00365626">
        <w:rPr>
          <w:rFonts w:cs="Times New Roman"/>
          <w:szCs w:val="24"/>
        </w:rPr>
        <w:t>Рассечение брюшины над сосудистой ножкой и перевязка сосудов селезенки in situ. Диссектором выделяют, раздельно лигируют и пересекают либо основной ствол артерии и вены, либо 2–3 ветви сосудов. Следует избегать контакта с хвостом поджелудочной железы.</w:t>
      </w:r>
    </w:p>
    <w:p w14:paraId="2AB2C6A8" w14:textId="77777777" w:rsidR="0093109D" w:rsidRPr="00365626" w:rsidRDefault="0093109D" w:rsidP="0093109D">
      <w:pPr>
        <w:pStyle w:val="afe"/>
        <w:numPr>
          <w:ilvl w:val="0"/>
          <w:numId w:val="107"/>
        </w:numPr>
        <w:rPr>
          <w:rFonts w:cs="Times New Roman"/>
          <w:szCs w:val="24"/>
        </w:rPr>
      </w:pPr>
      <w:r w:rsidRPr="00365626">
        <w:rPr>
          <w:rFonts w:cs="Times New Roman"/>
          <w:szCs w:val="24"/>
        </w:rPr>
        <w:t>Разделение сращения наружной и задней поверхностей селезенки с париетальной брюшиной диафрагмы и боковой стенкой живота и удаление органа.</w:t>
      </w:r>
    </w:p>
    <w:p w14:paraId="277BDA7F" w14:textId="77777777" w:rsidR="0093109D" w:rsidRPr="00365626" w:rsidRDefault="0093109D" w:rsidP="0093109D">
      <w:pPr>
        <w:pStyle w:val="afe"/>
        <w:numPr>
          <w:ilvl w:val="0"/>
          <w:numId w:val="107"/>
        </w:numPr>
        <w:rPr>
          <w:rFonts w:cs="Times New Roman"/>
          <w:szCs w:val="24"/>
        </w:rPr>
      </w:pPr>
      <w:r w:rsidRPr="00365626">
        <w:rPr>
          <w:rFonts w:cs="Times New Roman"/>
          <w:szCs w:val="24"/>
        </w:rPr>
        <w:t>Гемостаз, дренирование брюшной полости.</w:t>
      </w:r>
    </w:p>
    <w:p w14:paraId="557A0E35" w14:textId="77777777" w:rsidR="0093109D" w:rsidRPr="00365626" w:rsidRDefault="0093109D" w:rsidP="0093109D">
      <w:pPr>
        <w:rPr>
          <w:rFonts w:cs="Times New Roman"/>
          <w:color w:val="C00000"/>
          <w:szCs w:val="24"/>
        </w:rPr>
      </w:pPr>
      <w:r w:rsidRPr="00365626">
        <w:rPr>
          <w:rFonts w:cs="Times New Roman"/>
          <w:szCs w:val="24"/>
        </w:rPr>
        <w:t>При больших размерах селезенки, перисплените и портальной гипертензии оперативное вмешательство может быть травматичным, возможна одномоментная массивная кровопотеря. Это необходимо предусмотреть при планировании и проведении анестезиологического пособия, используя трансфузиологические среды, аутогемотрансфузию с помощью аппарата Cell Saver. Чрезмерная тракция при выведении селезенки в лапаротомную рану может привести к надрыву хвоста поджелудочной железы, развитию кровотечения, послеоперационного панкреатита.  При интраоперационной травме поджелудочной железы возможно применение аналогов соматостатина.</w:t>
      </w:r>
    </w:p>
    <w:p w14:paraId="467FD973" w14:textId="77777777" w:rsidR="0093109D" w:rsidRPr="00365626" w:rsidRDefault="0093109D" w:rsidP="0093109D">
      <w:pPr>
        <w:rPr>
          <w:rFonts w:cs="Times New Roman"/>
          <w:szCs w:val="24"/>
        </w:rPr>
      </w:pPr>
      <w:r w:rsidRPr="00365626">
        <w:rPr>
          <w:rFonts w:cs="Times New Roman"/>
          <w:szCs w:val="24"/>
        </w:rPr>
        <w:t>Дренаж в левое поддиафрагмальное пространство устанавливают при травме хвоста поджелудочной железы, так как возможно формирование панкреатической фистулы.</w:t>
      </w:r>
    </w:p>
    <w:p w14:paraId="31C5F495" w14:textId="77777777" w:rsidR="0093109D" w:rsidRDefault="0093109D" w:rsidP="0093109D">
      <w:pPr>
        <w:rPr>
          <w:rFonts w:cs="Times New Roman"/>
          <w:szCs w:val="24"/>
        </w:rPr>
      </w:pPr>
      <w:r w:rsidRPr="00365626">
        <w:rPr>
          <w:rFonts w:cs="Times New Roman"/>
          <w:szCs w:val="24"/>
        </w:rPr>
        <w:t xml:space="preserve">Необходим контроль активности амилазы в отделяемом по дренажу. При повышении активности амилазы дренирование продолжают до ее нормализации или прекращения  поступления отделяемого. </w:t>
      </w:r>
    </w:p>
    <w:p w14:paraId="1244CFE0" w14:textId="77777777" w:rsidR="0093109D" w:rsidRPr="00365626" w:rsidRDefault="0093109D" w:rsidP="0093109D">
      <w:pPr>
        <w:rPr>
          <w:rFonts w:cs="Times New Roman"/>
          <w:szCs w:val="24"/>
        </w:rPr>
      </w:pPr>
    </w:p>
    <w:p w14:paraId="74E76C62" w14:textId="77777777" w:rsidR="0093109D" w:rsidRPr="008271E2" w:rsidRDefault="0093109D" w:rsidP="0093109D">
      <w:pPr>
        <w:rPr>
          <w:rFonts w:cs="Times New Roman"/>
          <w:bCs/>
          <w:i/>
          <w:iCs/>
          <w:szCs w:val="24"/>
        </w:rPr>
      </w:pPr>
      <w:r w:rsidRPr="008271E2">
        <w:rPr>
          <w:rFonts w:cs="Times New Roman"/>
          <w:bCs/>
          <w:i/>
          <w:iCs/>
          <w:szCs w:val="24"/>
        </w:rPr>
        <w:t>Исследование удаленной селезенки, печени и лимфатического узла</w:t>
      </w:r>
    </w:p>
    <w:p w14:paraId="6D35EBA7" w14:textId="77777777" w:rsidR="0093109D" w:rsidRPr="00365626" w:rsidRDefault="0093109D" w:rsidP="0093109D">
      <w:pPr>
        <w:ind w:firstLine="708"/>
        <w:rPr>
          <w:rFonts w:cs="Times New Roman"/>
          <w:szCs w:val="24"/>
        </w:rPr>
      </w:pPr>
      <w:r w:rsidRPr="00365626">
        <w:rPr>
          <w:rFonts w:cs="Times New Roman"/>
          <w:szCs w:val="24"/>
        </w:rPr>
        <w:t>При выполнении спленэктомии для всех гематологических больных необходимо выполнять краевую биопсию печени для гистологической верификации патологического процесса, а так же при выявлении увеличенных лимфатических узлов и биопсию лимфатического узла.</w:t>
      </w:r>
    </w:p>
    <w:p w14:paraId="489E4FD7" w14:textId="77777777" w:rsidR="0093109D" w:rsidRPr="00365626" w:rsidRDefault="0093109D" w:rsidP="0093109D">
      <w:pPr>
        <w:ind w:firstLine="708"/>
        <w:rPr>
          <w:rFonts w:cs="Times New Roman"/>
          <w:szCs w:val="24"/>
        </w:rPr>
      </w:pPr>
      <w:r w:rsidRPr="00365626">
        <w:rPr>
          <w:rFonts w:cs="Times New Roman"/>
          <w:szCs w:val="24"/>
        </w:rPr>
        <w:t>Во всех случаях проводят исследования селезенки, биоптата печени и лимфатического узла:</w:t>
      </w:r>
    </w:p>
    <w:p w14:paraId="7C69D3C7" w14:textId="77777777" w:rsidR="0093109D" w:rsidRPr="00365626" w:rsidRDefault="0093109D" w:rsidP="0093109D">
      <w:pPr>
        <w:pStyle w:val="afe"/>
        <w:numPr>
          <w:ilvl w:val="0"/>
          <w:numId w:val="112"/>
        </w:numPr>
        <w:rPr>
          <w:rFonts w:cs="Times New Roman"/>
          <w:szCs w:val="24"/>
        </w:rPr>
      </w:pPr>
      <w:r w:rsidRPr="00365626">
        <w:rPr>
          <w:rFonts w:cs="Times New Roman"/>
          <w:szCs w:val="24"/>
        </w:rPr>
        <w:t xml:space="preserve">гистологическое исследование; </w:t>
      </w:r>
    </w:p>
    <w:p w14:paraId="02EE6FFC" w14:textId="77777777" w:rsidR="0093109D" w:rsidRPr="00365626" w:rsidRDefault="0093109D" w:rsidP="0093109D">
      <w:pPr>
        <w:pStyle w:val="afe"/>
        <w:numPr>
          <w:ilvl w:val="0"/>
          <w:numId w:val="112"/>
        </w:numPr>
        <w:rPr>
          <w:rFonts w:cs="Times New Roman"/>
          <w:szCs w:val="24"/>
        </w:rPr>
      </w:pPr>
      <w:r w:rsidRPr="00365626">
        <w:rPr>
          <w:rFonts w:cs="Times New Roman"/>
          <w:szCs w:val="24"/>
        </w:rPr>
        <w:t>цитологическое исследование (отпечатки)</w:t>
      </w:r>
    </w:p>
    <w:p w14:paraId="104ABF3C" w14:textId="77777777" w:rsidR="0093109D" w:rsidRPr="00365626" w:rsidRDefault="0093109D" w:rsidP="0093109D">
      <w:pPr>
        <w:ind w:left="360"/>
        <w:rPr>
          <w:rFonts w:cs="Times New Roman"/>
          <w:szCs w:val="24"/>
        </w:rPr>
      </w:pPr>
      <w:r w:rsidRPr="00365626">
        <w:rPr>
          <w:rFonts w:cs="Times New Roman"/>
          <w:szCs w:val="24"/>
        </w:rPr>
        <w:t>при показаниях в зависимости от гематологического диагноза исследования биоптатов селезенки, печени, лимфоузла дополнительно выполняются:</w:t>
      </w:r>
    </w:p>
    <w:p w14:paraId="1E972C7B" w14:textId="77777777" w:rsidR="0093109D" w:rsidRPr="00365626" w:rsidRDefault="0093109D" w:rsidP="0093109D">
      <w:pPr>
        <w:pStyle w:val="afe"/>
        <w:numPr>
          <w:ilvl w:val="0"/>
          <w:numId w:val="112"/>
        </w:numPr>
        <w:rPr>
          <w:rFonts w:cs="Times New Roman"/>
          <w:szCs w:val="24"/>
        </w:rPr>
      </w:pPr>
      <w:r w:rsidRPr="00365626">
        <w:rPr>
          <w:rFonts w:cs="Times New Roman"/>
          <w:szCs w:val="24"/>
        </w:rPr>
        <w:t>иммуногистохимическое исследование;</w:t>
      </w:r>
    </w:p>
    <w:p w14:paraId="28922056" w14:textId="77777777" w:rsidR="0093109D" w:rsidRPr="00365626" w:rsidRDefault="0093109D" w:rsidP="0093109D">
      <w:pPr>
        <w:pStyle w:val="afe"/>
        <w:numPr>
          <w:ilvl w:val="0"/>
          <w:numId w:val="112"/>
        </w:numPr>
        <w:rPr>
          <w:rFonts w:cs="Times New Roman"/>
          <w:szCs w:val="24"/>
        </w:rPr>
      </w:pPr>
      <w:r w:rsidRPr="00365626">
        <w:rPr>
          <w:rFonts w:cs="Times New Roman"/>
          <w:szCs w:val="24"/>
        </w:rPr>
        <w:t>иммунофенотипическое исследование;</w:t>
      </w:r>
    </w:p>
    <w:p w14:paraId="08EF38D2" w14:textId="77777777" w:rsidR="0093109D" w:rsidRPr="00365626" w:rsidRDefault="0093109D" w:rsidP="0093109D">
      <w:pPr>
        <w:pStyle w:val="afe"/>
        <w:numPr>
          <w:ilvl w:val="0"/>
          <w:numId w:val="112"/>
        </w:numPr>
        <w:rPr>
          <w:rFonts w:cs="Times New Roman"/>
          <w:szCs w:val="24"/>
        </w:rPr>
      </w:pPr>
      <w:r w:rsidRPr="00365626">
        <w:rPr>
          <w:rFonts w:cs="Times New Roman"/>
          <w:szCs w:val="24"/>
        </w:rPr>
        <w:t>цитогенетическое исследование;</w:t>
      </w:r>
    </w:p>
    <w:p w14:paraId="5C637EE5" w14:textId="77777777" w:rsidR="0093109D" w:rsidRPr="00365626" w:rsidRDefault="0093109D" w:rsidP="0093109D">
      <w:pPr>
        <w:pStyle w:val="afe"/>
        <w:numPr>
          <w:ilvl w:val="0"/>
          <w:numId w:val="112"/>
        </w:numPr>
        <w:rPr>
          <w:rFonts w:cs="Times New Roman"/>
          <w:szCs w:val="24"/>
        </w:rPr>
      </w:pPr>
      <w:r w:rsidRPr="00365626">
        <w:rPr>
          <w:rFonts w:cs="Times New Roman"/>
          <w:szCs w:val="24"/>
        </w:rPr>
        <w:t>молекулярно-генетические / молекулярно-биологические исследования исследования: Т и В–клеточная клональность и другие (по показаниям);</w:t>
      </w:r>
    </w:p>
    <w:p w14:paraId="7007F047" w14:textId="77777777" w:rsidR="0093109D" w:rsidRPr="00365626" w:rsidRDefault="0093109D" w:rsidP="0093109D">
      <w:pPr>
        <w:pStyle w:val="afe"/>
        <w:numPr>
          <w:ilvl w:val="0"/>
          <w:numId w:val="112"/>
        </w:numPr>
        <w:rPr>
          <w:rFonts w:cs="Times New Roman"/>
          <w:szCs w:val="24"/>
        </w:rPr>
      </w:pPr>
      <w:r w:rsidRPr="00365626">
        <w:rPr>
          <w:rFonts w:cs="Times New Roman"/>
          <w:szCs w:val="24"/>
        </w:rPr>
        <w:t>вирусологические исследования – ПЦР ДНК вируса гепатита В, ПЦР РНК вируса гепатита С, ПЦР ДНК вирусов группы герпеса (ВПГ, ВЭБ, ЦМВ и т.д.) (по показаниям).</w:t>
      </w:r>
    </w:p>
    <w:p w14:paraId="7B99D2DE" w14:textId="77777777" w:rsidR="0093109D" w:rsidRDefault="0093109D" w:rsidP="0093109D">
      <w:pPr>
        <w:rPr>
          <w:rFonts w:cs="Times New Roman"/>
          <w:b/>
          <w:szCs w:val="24"/>
        </w:rPr>
      </w:pPr>
    </w:p>
    <w:p w14:paraId="573B913F" w14:textId="19C1DA8D" w:rsidR="0093109D" w:rsidRPr="008271E2" w:rsidRDefault="0093109D" w:rsidP="0093109D">
      <w:pPr>
        <w:rPr>
          <w:rFonts w:cs="Times New Roman"/>
          <w:bCs/>
          <w:i/>
          <w:iCs/>
          <w:szCs w:val="24"/>
        </w:rPr>
      </w:pPr>
      <w:r w:rsidRPr="008271E2">
        <w:rPr>
          <w:rFonts w:cs="Times New Roman"/>
          <w:bCs/>
          <w:i/>
          <w:iCs/>
          <w:szCs w:val="24"/>
        </w:rPr>
        <w:t>Послеоперационный период</w:t>
      </w:r>
      <w:r>
        <w:rPr>
          <w:rFonts w:cs="Times New Roman"/>
          <w:bCs/>
          <w:i/>
          <w:iCs/>
          <w:szCs w:val="24"/>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p>
    <w:p w14:paraId="23400ECE" w14:textId="77777777" w:rsidR="0093109D" w:rsidRPr="00365626" w:rsidRDefault="0093109D" w:rsidP="0093109D">
      <w:pPr>
        <w:rPr>
          <w:rFonts w:cs="Times New Roman"/>
          <w:szCs w:val="24"/>
        </w:rPr>
      </w:pPr>
      <w:r w:rsidRPr="00365626">
        <w:rPr>
          <w:rFonts w:cs="Times New Roman"/>
          <w:szCs w:val="24"/>
        </w:rPr>
        <w:t>Ежедневное наблюдение должно осуществляться совместно хирургом и гематологом. Обязательно наблюдение в условиях реанимационного отделения (палаты интенсивной терапии) в течение 2 часов после операции. Дальнейшее пребывание в реанимационном отделении зависит от возраста и соматического статуса пациента, объема кровопотери и наличия инфекционных осложнений.</w:t>
      </w:r>
    </w:p>
    <w:p w14:paraId="6B84C468" w14:textId="77777777" w:rsidR="0093109D" w:rsidRPr="00365626" w:rsidRDefault="0093109D" w:rsidP="0093109D">
      <w:pPr>
        <w:rPr>
          <w:rFonts w:cs="Times New Roman"/>
          <w:szCs w:val="24"/>
        </w:rPr>
      </w:pPr>
      <w:r w:rsidRPr="00365626">
        <w:rPr>
          <w:rFonts w:cs="Times New Roman"/>
          <w:szCs w:val="24"/>
        </w:rPr>
        <w:t xml:space="preserve">Проводятся мероприятия, направленные на раннюю активизацию пациента. Через 2-4 часа разрешается сидеть и стоять у постели, при отсутствии диспептических явлений разрешен прием жидкостей </w:t>
      </w:r>
      <w:r w:rsidRPr="00365626">
        <w:rPr>
          <w:rFonts w:cs="Times New Roman"/>
          <w:szCs w:val="24"/>
          <w:lang w:val="en-US"/>
        </w:rPr>
        <w:t>per</w:t>
      </w:r>
      <w:r w:rsidRPr="00365626">
        <w:rPr>
          <w:rFonts w:cs="Times New Roman"/>
          <w:szCs w:val="24"/>
        </w:rPr>
        <w:t xml:space="preserve"> </w:t>
      </w:r>
      <w:r w:rsidRPr="00365626">
        <w:rPr>
          <w:rFonts w:cs="Times New Roman"/>
          <w:szCs w:val="24"/>
          <w:lang w:val="en-US"/>
        </w:rPr>
        <w:t>os</w:t>
      </w:r>
      <w:r w:rsidRPr="00365626">
        <w:rPr>
          <w:rFonts w:cs="Times New Roman"/>
          <w:szCs w:val="24"/>
        </w:rPr>
        <w:t>, возобновление питания через 12-24 часа после операции.</w:t>
      </w:r>
    </w:p>
    <w:p w14:paraId="5F6FC63C" w14:textId="77777777" w:rsidR="0093109D" w:rsidRPr="00365626" w:rsidRDefault="0093109D" w:rsidP="0093109D">
      <w:pPr>
        <w:rPr>
          <w:rFonts w:cs="Times New Roman"/>
          <w:szCs w:val="24"/>
        </w:rPr>
      </w:pPr>
      <w:r w:rsidRPr="00365626">
        <w:rPr>
          <w:rFonts w:cs="Times New Roman"/>
          <w:szCs w:val="24"/>
        </w:rPr>
        <w:t>В раннем послеоперационном периоде необходим контроль клинического анализа крови, коагулограммы и при необходимости проведение профилактической антикоагулянтной /антиагрегантной терапии.</w:t>
      </w:r>
    </w:p>
    <w:p w14:paraId="5E14E0C2" w14:textId="77777777" w:rsidR="0093109D" w:rsidRDefault="0093109D" w:rsidP="0093109D">
      <w:pPr>
        <w:rPr>
          <w:rFonts w:cs="Times New Roman"/>
          <w:szCs w:val="24"/>
        </w:rPr>
      </w:pPr>
      <w:r w:rsidRPr="00365626">
        <w:rPr>
          <w:rFonts w:cs="Times New Roman"/>
          <w:szCs w:val="24"/>
        </w:rPr>
        <w:t>При наличии рисков тромботических осложнений (ожирение, гемобластозы, аутоиммунный гемолиз) – возможно назначение антикоагулянтной терапии в первые сутки после операции. Решение о назначении антикоагулянтной терапии принимается индивидуально в каждом конкретном случае. При назначении антикоагулянтной терапии следует учитывать количество тромбоцитов, темп прироста тромбоцитов, показатели гемограммы, выраженность геморрагического синдрома. Доза НМГ рассчитывается в зависимости от массы тела.</w:t>
      </w:r>
    </w:p>
    <w:p w14:paraId="61FF6112" w14:textId="77777777" w:rsidR="0093109D" w:rsidRPr="00365626" w:rsidRDefault="0093109D" w:rsidP="0093109D">
      <w:pPr>
        <w:rPr>
          <w:rFonts w:cs="Times New Roman"/>
          <w:szCs w:val="24"/>
        </w:rPr>
      </w:pPr>
    </w:p>
    <w:p w14:paraId="1D3BCD47" w14:textId="00EE2B9D" w:rsidR="0093109D" w:rsidRPr="00573539" w:rsidRDefault="0093109D" w:rsidP="0093109D">
      <w:pPr>
        <w:rPr>
          <w:rFonts w:cs="Times New Roman"/>
          <w:bCs/>
          <w:i/>
          <w:iCs/>
          <w:szCs w:val="24"/>
          <w:u w:val="single"/>
        </w:rPr>
      </w:pPr>
      <w:r w:rsidRPr="00573539">
        <w:rPr>
          <w:rFonts w:cs="Times New Roman"/>
          <w:bCs/>
          <w:i/>
          <w:iCs/>
          <w:szCs w:val="24"/>
          <w:u w:val="single"/>
        </w:rPr>
        <w:t>Алгоритм действий при повышении температуры тела в раннем послеоперационном периоде после спленэктомии</w:t>
      </w:r>
      <w:r>
        <w:rPr>
          <w:rFonts w:cs="Times New Roman"/>
          <w:bCs/>
          <w:i/>
          <w:iCs/>
          <w:szCs w:val="24"/>
          <w:u w:val="single"/>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p>
    <w:p w14:paraId="1A3ED930" w14:textId="77777777" w:rsidR="0093109D" w:rsidRDefault="0093109D" w:rsidP="0093109D">
      <w:pPr>
        <w:rPr>
          <w:rFonts w:cs="Times New Roman"/>
          <w:szCs w:val="24"/>
        </w:rPr>
      </w:pPr>
      <w:r w:rsidRPr="00365626">
        <w:rPr>
          <w:rFonts w:cs="Times New Roman"/>
          <w:i/>
          <w:szCs w:val="24"/>
        </w:rPr>
        <w:t xml:space="preserve">Наиболее вероятные причины гипертермии в послеоперационном периоде: </w:t>
      </w:r>
      <w:r w:rsidRPr="00365626">
        <w:rPr>
          <w:rFonts w:cs="Times New Roman"/>
          <w:szCs w:val="24"/>
        </w:rPr>
        <w:t xml:space="preserve">послеоперационная пневмония, тромбоз вен портальной системы, поддиафрагмальный абсцесс. </w:t>
      </w:r>
    </w:p>
    <w:p w14:paraId="781EC958" w14:textId="77777777" w:rsidR="0093109D" w:rsidRPr="00365626" w:rsidRDefault="0093109D" w:rsidP="0093109D">
      <w:pPr>
        <w:rPr>
          <w:rFonts w:cs="Times New Roman"/>
          <w:color w:val="C00000"/>
          <w:szCs w:val="24"/>
        </w:rPr>
      </w:pPr>
    </w:p>
    <w:p w14:paraId="501F3D0A" w14:textId="1E9EE467" w:rsidR="0093109D" w:rsidRPr="00365626" w:rsidRDefault="0093109D" w:rsidP="0093109D">
      <w:pPr>
        <w:rPr>
          <w:rFonts w:cs="Times New Roman"/>
          <w:szCs w:val="24"/>
        </w:rPr>
      </w:pPr>
      <w:r w:rsidRPr="00365626">
        <w:rPr>
          <w:rFonts w:cs="Times New Roman"/>
          <w:i/>
          <w:szCs w:val="24"/>
        </w:rPr>
        <w:t>Лабораторные исследования</w:t>
      </w:r>
      <w:r>
        <w:rPr>
          <w:rFonts w:cs="Times New Roman"/>
          <w:i/>
          <w:szCs w:val="24"/>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r w:rsidRPr="00365626">
        <w:rPr>
          <w:rFonts w:cs="Times New Roman"/>
          <w:i/>
          <w:szCs w:val="24"/>
        </w:rPr>
        <w:t>:</w:t>
      </w:r>
      <w:r w:rsidRPr="00365626">
        <w:rPr>
          <w:rFonts w:cs="Times New Roman"/>
          <w:szCs w:val="24"/>
        </w:rPr>
        <w:t xml:space="preserve"> </w:t>
      </w:r>
    </w:p>
    <w:p w14:paraId="59757D13" w14:textId="77777777" w:rsidR="0093109D" w:rsidRPr="00365626" w:rsidRDefault="0093109D" w:rsidP="0093109D">
      <w:pPr>
        <w:pStyle w:val="afe"/>
        <w:numPr>
          <w:ilvl w:val="0"/>
          <w:numId w:val="110"/>
        </w:numPr>
        <w:rPr>
          <w:rFonts w:cs="Times New Roman"/>
          <w:szCs w:val="24"/>
        </w:rPr>
      </w:pPr>
      <w:r w:rsidRPr="00365626">
        <w:rPr>
          <w:rFonts w:cs="Times New Roman"/>
          <w:szCs w:val="24"/>
        </w:rPr>
        <w:t xml:space="preserve">клинический анализ крови, </w:t>
      </w:r>
    </w:p>
    <w:p w14:paraId="0B4C36F2" w14:textId="77777777" w:rsidR="0093109D" w:rsidRPr="00365626" w:rsidRDefault="0093109D" w:rsidP="0093109D">
      <w:pPr>
        <w:pStyle w:val="afe"/>
        <w:numPr>
          <w:ilvl w:val="0"/>
          <w:numId w:val="110"/>
        </w:numPr>
        <w:rPr>
          <w:rFonts w:cs="Times New Roman"/>
          <w:szCs w:val="24"/>
        </w:rPr>
      </w:pPr>
      <w:r w:rsidRPr="00365626">
        <w:rPr>
          <w:rFonts w:cs="Times New Roman"/>
          <w:szCs w:val="24"/>
        </w:rPr>
        <w:t xml:space="preserve">коагулограмма (АЧТВ, ПВ, фибриноген), </w:t>
      </w:r>
    </w:p>
    <w:p w14:paraId="05E48AC1" w14:textId="77777777" w:rsidR="0093109D" w:rsidRPr="00365626" w:rsidRDefault="0093109D" w:rsidP="0093109D">
      <w:pPr>
        <w:pStyle w:val="afe"/>
        <w:numPr>
          <w:ilvl w:val="0"/>
          <w:numId w:val="110"/>
        </w:numPr>
        <w:rPr>
          <w:rFonts w:cs="Times New Roman"/>
          <w:szCs w:val="24"/>
        </w:rPr>
      </w:pPr>
      <w:r w:rsidRPr="00365626">
        <w:rPr>
          <w:rFonts w:cs="Times New Roman"/>
          <w:szCs w:val="24"/>
        </w:rPr>
        <w:t>биохимический анализ крови: калий, натрий, кальций, хлор, СРБ, прокальцитонин (по показаниям);</w:t>
      </w:r>
    </w:p>
    <w:p w14:paraId="2BABC15E" w14:textId="77777777" w:rsidR="0093109D" w:rsidRPr="00365626" w:rsidRDefault="0093109D" w:rsidP="0093109D">
      <w:pPr>
        <w:pStyle w:val="afe"/>
        <w:numPr>
          <w:ilvl w:val="0"/>
          <w:numId w:val="110"/>
        </w:numPr>
        <w:rPr>
          <w:rFonts w:cs="Times New Roman"/>
          <w:szCs w:val="24"/>
        </w:rPr>
      </w:pPr>
      <w:r w:rsidRPr="00365626">
        <w:rPr>
          <w:rFonts w:cs="Times New Roman"/>
          <w:szCs w:val="24"/>
        </w:rPr>
        <w:t>бактериологические исследования: посев крови на стерильность, посевы из нестерильных локусов (зев, прямая кишка);</w:t>
      </w:r>
    </w:p>
    <w:p w14:paraId="7725EFEA" w14:textId="77777777" w:rsidR="0093109D" w:rsidRPr="00573539" w:rsidRDefault="0093109D" w:rsidP="0093109D">
      <w:pPr>
        <w:pStyle w:val="afe"/>
        <w:numPr>
          <w:ilvl w:val="0"/>
          <w:numId w:val="110"/>
        </w:numPr>
        <w:rPr>
          <w:rFonts w:cs="Times New Roman"/>
          <w:i/>
          <w:szCs w:val="24"/>
        </w:rPr>
      </w:pPr>
      <w:r w:rsidRPr="00365626">
        <w:rPr>
          <w:rFonts w:cs="Times New Roman"/>
          <w:szCs w:val="24"/>
        </w:rPr>
        <w:t>при подозрении на вирусную инфекцию – определение наличия антител к вирусам группы герпеса и репликации методом ПЦР ДНК/РНК вирусов в крови, бронхоальвеолярном лаваже, слюне, мочи, других средах.</w:t>
      </w:r>
    </w:p>
    <w:p w14:paraId="0571C9C4" w14:textId="77777777" w:rsidR="0093109D" w:rsidRPr="00365626" w:rsidRDefault="0093109D" w:rsidP="0093109D">
      <w:pPr>
        <w:pStyle w:val="afe"/>
        <w:rPr>
          <w:rFonts w:cs="Times New Roman"/>
          <w:i/>
          <w:szCs w:val="24"/>
        </w:rPr>
      </w:pPr>
    </w:p>
    <w:p w14:paraId="79560B16" w14:textId="1C35C73E" w:rsidR="0093109D" w:rsidRPr="00365626" w:rsidRDefault="0093109D" w:rsidP="0093109D">
      <w:pPr>
        <w:rPr>
          <w:rFonts w:cs="Times New Roman"/>
          <w:i/>
          <w:szCs w:val="24"/>
        </w:rPr>
      </w:pPr>
      <w:r w:rsidRPr="00365626">
        <w:rPr>
          <w:rFonts w:cs="Times New Roman"/>
          <w:i/>
          <w:szCs w:val="24"/>
        </w:rPr>
        <w:t>Инструментальные исследования</w:t>
      </w:r>
      <w:r>
        <w:rPr>
          <w:rFonts w:cs="Times New Roman"/>
          <w:i/>
          <w:szCs w:val="24"/>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r w:rsidRPr="00365626">
        <w:rPr>
          <w:rFonts w:cs="Times New Roman"/>
          <w:i/>
          <w:szCs w:val="24"/>
        </w:rPr>
        <w:t>:</w:t>
      </w:r>
    </w:p>
    <w:p w14:paraId="74F4559B" w14:textId="77777777" w:rsidR="0093109D" w:rsidRPr="00365626" w:rsidRDefault="0093109D" w:rsidP="0093109D">
      <w:pPr>
        <w:pStyle w:val="afe"/>
        <w:numPr>
          <w:ilvl w:val="0"/>
          <w:numId w:val="111"/>
        </w:numPr>
        <w:rPr>
          <w:rFonts w:cs="Times New Roman"/>
          <w:szCs w:val="24"/>
        </w:rPr>
      </w:pPr>
      <w:r w:rsidRPr="00365626">
        <w:rPr>
          <w:rFonts w:cs="Times New Roman"/>
          <w:szCs w:val="24"/>
        </w:rPr>
        <w:t xml:space="preserve">КТ грудной клетки, </w:t>
      </w:r>
    </w:p>
    <w:p w14:paraId="5C851D02" w14:textId="77777777" w:rsidR="0093109D" w:rsidRPr="00365626" w:rsidRDefault="0093109D" w:rsidP="0093109D">
      <w:pPr>
        <w:pStyle w:val="afe"/>
        <w:numPr>
          <w:ilvl w:val="0"/>
          <w:numId w:val="111"/>
        </w:numPr>
        <w:rPr>
          <w:rFonts w:cs="Times New Roman"/>
          <w:szCs w:val="24"/>
        </w:rPr>
      </w:pPr>
      <w:r w:rsidRPr="00365626">
        <w:rPr>
          <w:rFonts w:cs="Times New Roman"/>
          <w:szCs w:val="24"/>
        </w:rPr>
        <w:t>КТ брюшной полости</w:t>
      </w:r>
    </w:p>
    <w:p w14:paraId="79B6BFBF" w14:textId="77777777" w:rsidR="0093109D" w:rsidRPr="00365626" w:rsidRDefault="0093109D" w:rsidP="0093109D">
      <w:pPr>
        <w:pStyle w:val="afe"/>
        <w:numPr>
          <w:ilvl w:val="0"/>
          <w:numId w:val="111"/>
        </w:numPr>
        <w:rPr>
          <w:rFonts w:cs="Times New Roman"/>
          <w:szCs w:val="24"/>
        </w:rPr>
      </w:pPr>
      <w:r w:rsidRPr="00365626">
        <w:rPr>
          <w:rFonts w:cs="Times New Roman"/>
          <w:szCs w:val="24"/>
        </w:rPr>
        <w:t>УЗИ брюшной полости с допплерографией портальной системы</w:t>
      </w:r>
    </w:p>
    <w:p w14:paraId="72E70369" w14:textId="77777777" w:rsidR="0093109D" w:rsidRDefault="0093109D" w:rsidP="0093109D">
      <w:pPr>
        <w:ind w:firstLine="360"/>
        <w:rPr>
          <w:rFonts w:cs="Times New Roman"/>
          <w:szCs w:val="24"/>
        </w:rPr>
      </w:pPr>
    </w:p>
    <w:p w14:paraId="237ACB42" w14:textId="77777777" w:rsidR="0093109D" w:rsidRPr="00365626" w:rsidRDefault="0093109D" w:rsidP="0093109D">
      <w:pPr>
        <w:rPr>
          <w:rFonts w:cs="Times New Roman"/>
          <w:szCs w:val="24"/>
        </w:rPr>
      </w:pPr>
      <w:r w:rsidRPr="00365626">
        <w:rPr>
          <w:rFonts w:cs="Times New Roman"/>
          <w:szCs w:val="24"/>
        </w:rPr>
        <w:t>Вне зависимости от причины повышения температуры целесообразно проведение эмпирической противомикробной терапии, при выявлении инфекционного агента и неэффективности антибактериальной терапии проводится коррекция антибактериальной терапии с учетом чувствительности к антибактериальным препаратам. При отсутствии эффекта от эмпирической антибактериальной терапии,  через 3 дня рекомендуется провести дополнительные бактериологические исследования: бактериологическое исследование мазка из зева, из прямой кишки, посев крови,  посев мочи, бронхоальвеолярный лаваж (по показаниям),  назначение антибактериальной терапии с учетом чувствительности выделенной микрофлоры (см. Приложения по диагностике и лечению инфекционных осложнений, вызванных бакте</w:t>
      </w:r>
      <w:r>
        <w:rPr>
          <w:rFonts w:cs="Times New Roman"/>
          <w:szCs w:val="24"/>
        </w:rPr>
        <w:t>р</w:t>
      </w:r>
      <w:r w:rsidRPr="00365626">
        <w:rPr>
          <w:rFonts w:cs="Times New Roman"/>
          <w:szCs w:val="24"/>
        </w:rPr>
        <w:t>иями, грибами. вирусами у пациентов с гематологическими заболеваниями).</w:t>
      </w:r>
    </w:p>
    <w:p w14:paraId="38D45D0C" w14:textId="77777777" w:rsidR="0093109D" w:rsidRPr="00365626" w:rsidRDefault="0093109D" w:rsidP="0093109D">
      <w:pPr>
        <w:rPr>
          <w:rFonts w:cs="Times New Roman"/>
          <w:color w:val="C00000"/>
          <w:szCs w:val="24"/>
        </w:rPr>
      </w:pPr>
      <w:r w:rsidRPr="00365626">
        <w:rPr>
          <w:rFonts w:cs="Times New Roman"/>
          <w:szCs w:val="24"/>
        </w:rPr>
        <w:t>Для всех пациентов после спленэктомии при проведении антибактериальной терапии необходимо выбирать препараты, обладающие активностью против пневмококковой инфекции</w:t>
      </w:r>
      <w:r>
        <w:rPr>
          <w:rFonts w:cs="Times New Roman"/>
          <w:szCs w:val="24"/>
        </w:rPr>
        <w:t>,</w:t>
      </w:r>
      <w:r w:rsidRPr="00365626">
        <w:rPr>
          <w:rFonts w:cs="Times New Roman"/>
          <w:szCs w:val="24"/>
        </w:rPr>
        <w:t xml:space="preserve"> вне зависимости от сроков развития инфекции. </w:t>
      </w:r>
    </w:p>
    <w:p w14:paraId="4602666F" w14:textId="77777777" w:rsidR="0093109D" w:rsidRPr="00365626" w:rsidRDefault="0093109D" w:rsidP="0093109D">
      <w:pPr>
        <w:rPr>
          <w:rFonts w:cs="Times New Roman"/>
          <w:szCs w:val="24"/>
        </w:rPr>
      </w:pPr>
      <w:r w:rsidRPr="00365626">
        <w:rPr>
          <w:rFonts w:cs="Times New Roman"/>
          <w:szCs w:val="24"/>
        </w:rPr>
        <w:t>При выявлении тромбоза воротной вены - проведение эффективной антикоагулянтной терапии, направленной на достижение реканализации тромба.  Наиболее часто применяют: нефракционированный гепарин: непрерывная инфузия, начальная скорость 1000 ЕД/ч, дальнейшее титрование дозы с мониторингом АЧТВ (1,5-2 нормы) или терапия НМГ в лечебных дозах с контролем анти-Ха активности или тромбоэластографии для оценки эффекта по достижению требуемой гипокоагуляции. Необходимы контрольные исследования коагулограммы и УЗ-допплерография портальной системы в динамике.</w:t>
      </w:r>
    </w:p>
    <w:p w14:paraId="65207854" w14:textId="77777777" w:rsidR="0093109D" w:rsidRPr="00365626" w:rsidRDefault="0093109D" w:rsidP="0093109D">
      <w:pPr>
        <w:rPr>
          <w:rFonts w:cs="Times New Roman"/>
          <w:szCs w:val="24"/>
        </w:rPr>
      </w:pPr>
      <w:r w:rsidRPr="00365626">
        <w:rPr>
          <w:rFonts w:cs="Times New Roman"/>
          <w:szCs w:val="24"/>
        </w:rPr>
        <w:t xml:space="preserve">При формировании жидкостных скоплений панкреатического характера целесообразно наружное дренирование под УЗ-наведением. </w:t>
      </w:r>
    </w:p>
    <w:p w14:paraId="29B51DB6" w14:textId="77777777" w:rsidR="0093109D" w:rsidRDefault="0093109D" w:rsidP="0093109D">
      <w:pPr>
        <w:rPr>
          <w:rFonts w:cs="Times New Roman"/>
          <w:b/>
          <w:szCs w:val="24"/>
        </w:rPr>
      </w:pPr>
    </w:p>
    <w:p w14:paraId="244197E0" w14:textId="39E9A6B8" w:rsidR="0093109D" w:rsidRPr="00615B07" w:rsidRDefault="0093109D" w:rsidP="0093109D">
      <w:pPr>
        <w:rPr>
          <w:rFonts w:cs="Times New Roman"/>
          <w:bCs/>
          <w:i/>
          <w:iCs/>
          <w:szCs w:val="24"/>
          <w:u w:val="single"/>
        </w:rPr>
      </w:pPr>
      <w:r w:rsidRPr="00615B07">
        <w:rPr>
          <w:rFonts w:cs="Times New Roman"/>
          <w:bCs/>
          <w:i/>
          <w:iCs/>
          <w:szCs w:val="24"/>
          <w:u w:val="single"/>
        </w:rPr>
        <w:t>Критерии выписки из стационара</w:t>
      </w:r>
      <w:r>
        <w:rPr>
          <w:rFonts w:cs="Times New Roman"/>
          <w:bCs/>
          <w:i/>
          <w:iCs/>
          <w:szCs w:val="24"/>
          <w:u w:val="single"/>
        </w:rPr>
        <w:t xml:space="preserve"> </w:t>
      </w:r>
      <w:r>
        <w:rPr>
          <w:rFonts w:cs="Times New Roman"/>
          <w:szCs w:val="24"/>
        </w:rPr>
        <w:fldChar w:fldCharType="begin" w:fldLock="1"/>
      </w:r>
      <w:r w:rsidR="00E83B26">
        <w:rPr>
          <w:rFonts w:cs="Times New Roman"/>
          <w:szCs w:val="24"/>
        </w:rPr>
        <w:instrText>ADDIN CSL_CITATION {"citationItems":[{"id":"ITEM-1","itemData":{"author":[{"dropping-particle":"","family":"Карагюлян","given":"С.Р.","non-dropping-particle":"","parse-names":false,"suffix":""},{"dropping-particle":"","family":"Данишян","given":"К.И.","non-dropping-particle":"","parse-names":false,"suffix":""},{"dropping-particle":"","family":"Шутов","given":"С.А.","non-dropping-particle":"","parse-names":false,"suffix":""},{"dropping-particle":"","family":"Силаев","given":"М.А.","non-dropping-particle":"","parse-names":false,"suffix":""}],"container-title":"Клиническая онкогематология","id":"ITEM-1","issue":"1","issued":{"date-parts":[["2017"]]},"page":"101-107","title":"Технические сложности выполнения спленэктомии при заболеваниях системы крови","type":"article-journal","volume":"10"},"uris":["http://www.mendeley.com/documents/?uuid=1758182b-493b-4a43-bda6-135a50dad214"]}],"mendeley":{"formattedCitation":"[108]","plainTextFormattedCitation":"[108]","previouslyFormattedCitation":"[108]"},"properties":{"noteIndex":0},"schema":"https://github.com/citation-style-language/schema/raw/master/csl-citation.json"}</w:instrText>
      </w:r>
      <w:r>
        <w:rPr>
          <w:rFonts w:cs="Times New Roman"/>
          <w:szCs w:val="24"/>
        </w:rPr>
        <w:fldChar w:fldCharType="separate"/>
      </w:r>
      <w:r w:rsidR="00844875" w:rsidRPr="00844875">
        <w:rPr>
          <w:rFonts w:cs="Times New Roman"/>
          <w:noProof/>
          <w:szCs w:val="24"/>
        </w:rPr>
        <w:t>[108]</w:t>
      </w:r>
      <w:r>
        <w:rPr>
          <w:rFonts w:cs="Times New Roman"/>
          <w:szCs w:val="24"/>
        </w:rPr>
        <w:fldChar w:fldCharType="end"/>
      </w:r>
    </w:p>
    <w:p w14:paraId="036C2E2B" w14:textId="77777777" w:rsidR="0093109D" w:rsidRPr="00365626" w:rsidRDefault="0093109D" w:rsidP="0093109D">
      <w:pPr>
        <w:rPr>
          <w:rFonts w:cs="Times New Roman"/>
          <w:szCs w:val="24"/>
        </w:rPr>
      </w:pPr>
      <w:r w:rsidRPr="00365626">
        <w:rPr>
          <w:rFonts w:cs="Times New Roman"/>
          <w:szCs w:val="24"/>
        </w:rPr>
        <w:t>Выписка из стационара производится при стабилизации состояния, отсутствия необходимости в круглосуточном хирургическом наблюдении и пособии, что определяется характером патологии, наличием или отсутствием осложнений и эффектом операции.</w:t>
      </w:r>
    </w:p>
    <w:p w14:paraId="6833C72A" w14:textId="77777777" w:rsidR="0093109D" w:rsidRPr="00365626" w:rsidRDefault="0093109D" w:rsidP="0093109D">
      <w:pPr>
        <w:rPr>
          <w:rFonts w:cs="Times New Roman"/>
          <w:szCs w:val="24"/>
        </w:rPr>
      </w:pPr>
      <w:r w:rsidRPr="00365626">
        <w:rPr>
          <w:rFonts w:cs="Times New Roman"/>
          <w:szCs w:val="24"/>
        </w:rPr>
        <w:t>Необходим амбулаторный контроль гемограммы и продолжение профилактики тромботических осложнений при наличии показаний.</w:t>
      </w:r>
    </w:p>
    <w:p w14:paraId="256C8228" w14:textId="77777777" w:rsidR="0093109D" w:rsidRPr="00365626" w:rsidRDefault="0093109D" w:rsidP="0093109D">
      <w:pPr>
        <w:rPr>
          <w:rFonts w:cs="Times New Roman"/>
          <w:szCs w:val="24"/>
        </w:rPr>
      </w:pPr>
      <w:r w:rsidRPr="00365626">
        <w:rPr>
          <w:rFonts w:cs="Times New Roman"/>
          <w:szCs w:val="24"/>
        </w:rPr>
        <w:t>Показания к началу специфическая терапия гематологического заболевания определяется гематологом и начинается в сроки, установленные в соответствии с клиническими рекомендациями в зависимости от клинических показаний.</w:t>
      </w:r>
    </w:p>
    <w:p w14:paraId="4ECA0196" w14:textId="77777777" w:rsidR="0093109D" w:rsidRPr="00365626" w:rsidRDefault="0093109D" w:rsidP="0093109D">
      <w:pPr>
        <w:rPr>
          <w:rFonts w:cs="Times New Roman"/>
          <w:szCs w:val="24"/>
        </w:rPr>
      </w:pPr>
      <w:r w:rsidRPr="00365626">
        <w:rPr>
          <w:rFonts w:cs="Times New Roman"/>
          <w:szCs w:val="24"/>
        </w:rPr>
        <w:t xml:space="preserve">Ревакцинацию против </w:t>
      </w:r>
      <w:r w:rsidRPr="00365626">
        <w:rPr>
          <w:rFonts w:eastAsia="Arial Unicode MS" w:cs="Times New Roman"/>
          <w:i/>
          <w:szCs w:val="24"/>
          <w:lang w:val="en-US"/>
        </w:rPr>
        <w:t>Streptococcus</w:t>
      </w:r>
      <w:r w:rsidRPr="00365626">
        <w:rPr>
          <w:rFonts w:eastAsia="Arial Unicode MS" w:cs="Times New Roman"/>
          <w:i/>
          <w:szCs w:val="24"/>
        </w:rPr>
        <w:t xml:space="preserve"> </w:t>
      </w:r>
      <w:r w:rsidRPr="00365626">
        <w:rPr>
          <w:rFonts w:eastAsia="Arial Unicode MS" w:cs="Times New Roman"/>
          <w:i/>
          <w:szCs w:val="24"/>
          <w:lang w:val="en-US"/>
        </w:rPr>
        <w:t>pneumoniae</w:t>
      </w:r>
      <w:r w:rsidRPr="00365626">
        <w:rPr>
          <w:rFonts w:cs="Times New Roman"/>
          <w:szCs w:val="24"/>
        </w:rPr>
        <w:t xml:space="preserve"> рекомендуется проводить каждые 5 лет. </w:t>
      </w:r>
    </w:p>
    <w:p w14:paraId="36ABB527" w14:textId="5F93BD46" w:rsidR="0093109D" w:rsidRDefault="0093109D" w:rsidP="0093109D">
      <w:pPr>
        <w:widowControl w:val="0"/>
        <w:autoSpaceDE w:val="0"/>
        <w:autoSpaceDN w:val="0"/>
        <w:adjustRightInd w:val="0"/>
        <w:rPr>
          <w:rFonts w:cs="Times New Roman"/>
          <w:szCs w:val="24"/>
        </w:rPr>
      </w:pPr>
    </w:p>
    <w:p w14:paraId="3F7BC114" w14:textId="42B2D654" w:rsidR="00E83B26" w:rsidRPr="001F2346" w:rsidRDefault="00530C73" w:rsidP="00E83B26">
      <w:pPr>
        <w:pStyle w:val="2"/>
        <w:spacing w:before="0"/>
      </w:pPr>
      <w:bookmarkStart w:id="126" w:name="_Toc66184349"/>
      <w:r w:rsidRPr="00FE2263">
        <w:t>Приложение А3.</w:t>
      </w:r>
      <w:r>
        <w:t xml:space="preserve">10. </w:t>
      </w:r>
      <w:bookmarkStart w:id="127" w:name="_Toc65770441"/>
      <w:bookmarkStart w:id="128" w:name="_Toc66176880"/>
      <w:bookmarkStart w:id="129" w:name="_Toc64475918"/>
      <w:bookmarkStart w:id="130" w:name="_Toc44926599"/>
      <w:r w:rsidR="00E83B26" w:rsidRPr="001F2346">
        <w:t>Трансплантация аутологичных гемопоэтических стволовых клеток</w:t>
      </w:r>
      <w:bookmarkEnd w:id="126"/>
      <w:bookmarkEnd w:id="127"/>
      <w:bookmarkEnd w:id="128"/>
      <w:bookmarkEnd w:id="129"/>
    </w:p>
    <w:p w14:paraId="09AAE03B" w14:textId="77777777" w:rsidR="00E83B26" w:rsidRPr="00BA4F0F" w:rsidRDefault="00E83B26" w:rsidP="00E83B26">
      <w:pPr>
        <w:rPr>
          <w:i/>
          <w:u w:val="single"/>
        </w:rPr>
      </w:pPr>
      <w:r w:rsidRPr="00BA4F0F">
        <w:rPr>
          <w:i/>
          <w:u w:val="single"/>
        </w:rPr>
        <w:t>Мобилизация и сбор гемопоэтических стволовых клеток крови</w:t>
      </w:r>
      <w:bookmarkEnd w:id="130"/>
    </w:p>
    <w:p w14:paraId="7B68E13E" w14:textId="77777777" w:rsidR="00E83B26" w:rsidRPr="00BA4F0F" w:rsidRDefault="00E83B26" w:rsidP="00E83B26">
      <w:pPr>
        <w:ind w:firstLine="567"/>
      </w:pPr>
      <w:r w:rsidRPr="00BA4F0F">
        <w:t>Мобилизация – резкое увеличение количества гемопоэтических стволовых клеток (ГСК) в периферической крови под воздействием ростовых факторов.</w:t>
      </w:r>
    </w:p>
    <w:p w14:paraId="0195EF01" w14:textId="419A4CD0" w:rsidR="00E83B26" w:rsidRPr="00BA4F0F" w:rsidRDefault="00E83B26" w:rsidP="00E83B26">
      <w:pPr>
        <w:ind w:firstLine="567"/>
      </w:pPr>
      <w:r w:rsidRPr="00BA4F0F">
        <w:t xml:space="preserve">Исторически схемы мобилизации были основаны на применении химиотерапевтических препаратов, так как во время восстановления гемопоэза было замечено временное увеличение циркуляции стволовых клеток в крови. Однако результаты сбора ГСК были неудовлетворительными. Первые упоминания о присутствии в крови факторов, влияющих на кроветворение, относятся к началу прошлого столетия. В середине </w:t>
      </w:r>
      <w:r w:rsidRPr="00BA4F0F">
        <w:rPr>
          <w:lang w:val="en-US"/>
        </w:rPr>
        <w:t>XX</w:t>
      </w:r>
      <w:r w:rsidRPr="00BA4F0F">
        <w:t xml:space="preserve"> века две группы исследователей из США и Австралии разработали культуральную агаровую систему, в которой наблюдали рост колоний кроветворных клеток-предшественниц при добавлении определенных веществ. Эти вещества назвали колониестимулирующими факторами (КСФ). Дальнейшее их изучение позволило выделить несколько видов КСФ: гранулоцитарный (Г-КСФ), гранулоцитарно-макрофагальный (ГМ-КСФ), макрофагальный (М-КСФ), а также интерлейкин-3 (ИЛ-3) </w:t>
      </w:r>
      <w:r w:rsidRPr="00BA4F0F">
        <w:fldChar w:fldCharType="begin" w:fldLock="1"/>
      </w:r>
      <w:r w:rsidR="003B39A6">
        <w:instrText>ADDIN CSL_CITATION {"citationItems":[{"id":"ITEM-1","itemData":{"DOI":"10.1073/pnas.82.5.1526","ISSN":"00278424","PMID":"3871951","abstract":"Pluripotent hematopoietic colony-stimulating factor (pluripotent CSF), a protein that is constitutively produced by the human bladder carcinoma cell line 5637, has been purified from low serum (0.2% fetal calf serum)-containing conditioned medium. The purification involved sequential ammonium sulfate precipitation, ion-exchange chromatography, gel filtration, and reversed-phase high-performance liquid chromatography. The purified protein has a molecular weight of 18,000 in NaDodSO4/polyacrylamide gel electrophoresis, both by the silver staining technique and by elution of biological activity from a corresponding gel slice, and has an isoelectric point of 5.5. Pluripotent CSF supports the growth of human mixed colonies, granulocyte-macrophage colonies, and early erythroid colonies and induces differentiation of the human promyelocytic leukemic cell line HL-60 and the murine myelomonocytic leukemic cell line WEHI-3B (D+). The specific activity of the purified pluripotent CSF in the granulocyte-macrophage colony assay is 1.5 x 108 units/mg of protein.","author":[{"dropping-particle":"","family":"Welte","given":"K.","non-dropping-particle":"","parse-names":false,"suffix":""},{"dropping-particle":"","family":"Platzer","given":"E.","non-dropping-particle":"","parse-names":false,"suffix":""},{"dropping-particle":"","family":"Lu","given":"L.","non-dropping-particle":"","parse-names":false,"suffix":""},{"dropping-particle":"","family":"Gabrilove","given":"J. L.","non-dropping-particle":"","parse-names":false,"suffix":""},{"dropping-particle":"","family":"Levi","given":"E.","non-dropping-particle":"","parse-names":false,"suffix":""},{"dropping-particle":"","family":"Mertelsmann","given":"R.","non-dropping-particle":"","parse-names":false,"suffix":""},{"dropping-particle":"","family":"Moore","given":"M. A.","non-dropping-particle":"","parse-names":false,"suffix":""}],"container-title":"Proceedings of the National Academy of Sciences of the United States of America","id":"ITEM-1","issue":"5","issued":{"date-parts":[["1985"]]},"page":"1526-1530","publisher":"Proc Natl Acad Sci U S A","title":"Purification and biochemical characterization of human pluripotent hematopoietic colony-stimulating factor","type":"article-journal","volume":"82"},"uris":["http://www.mendeley.com/documents/?uuid=5a57c90b-10d4-3d1e-84dc-5ac72b3ec78e","http://www.mendeley.com/documents/?uuid=41736d03-81c6-4c9d-9a68-05b29415ebd4","http://www.mendeley.com/documents/?uuid=8b38e00f-df77-4da9-9ba0-e5a98fa4faf8","http://www.mendeley.com/documents/?uuid=9ac7dafe-885b-40a2-b482-765fe36e21ca","http://www.mendeley.com/documents/?uuid=bc0e2586-6f76-47d1-901a-4feb252dd38c","http://www.mendeley.com/documents/?uuid=ce804cbb-1eb2-4746-a514-982ca9436e54","http://www.mendeley.com/documents/?uuid=b7e547dc-3d9b-40b2-b055-6d376790a636"]}],"mendeley":{"formattedCitation":"[110]","plainTextFormattedCitation":"[110]","previouslyFormattedCitation":"[110]"},"properties":{"noteIndex":0},"schema":"https://github.com/citation-style-language/schema/raw/master/csl-citation.json"}</w:instrText>
      </w:r>
      <w:r w:rsidRPr="00BA4F0F">
        <w:fldChar w:fldCharType="separate"/>
      </w:r>
      <w:r w:rsidRPr="00E83B26">
        <w:rPr>
          <w:noProof/>
        </w:rPr>
        <w:t>[110]</w:t>
      </w:r>
      <w:r w:rsidRPr="00BA4F0F">
        <w:fldChar w:fldCharType="end"/>
      </w:r>
      <w:r w:rsidRPr="00BA4F0F">
        <w:t>.</w:t>
      </w:r>
    </w:p>
    <w:p w14:paraId="6FFEA6FE" w14:textId="5A3FA2FF" w:rsidR="00E83B26" w:rsidRPr="00BA4F0F" w:rsidRDefault="00E83B26" w:rsidP="00E83B26">
      <w:pPr>
        <w:ind w:firstLine="567"/>
      </w:pPr>
      <w:r w:rsidRPr="00BA4F0F">
        <w:t xml:space="preserve">В клинической практике рекомбинантные препараты Г-КСФ получили наиболее широкое распространение в качестве стимуляторов лейкопоэза. В настоящее время применение Г-КСФ является стандартом при мобилизации ГСК. </w:t>
      </w:r>
    </w:p>
    <w:p w14:paraId="17594FDE" w14:textId="77777777" w:rsidR="00E83B26" w:rsidRPr="00BA4F0F" w:rsidRDefault="00E83B26" w:rsidP="00E83B26">
      <w:pPr>
        <w:ind w:firstLine="567"/>
      </w:pPr>
      <w:r w:rsidRPr="00BA4F0F">
        <w:t xml:space="preserve">Разработано несколько схем мобилизации ГСК, используемых в онкогематологии, в каждой из которых применяется Г-КСФ. </w:t>
      </w:r>
    </w:p>
    <w:p w14:paraId="5859C4C0" w14:textId="77777777" w:rsidR="00E83B26" w:rsidRPr="00BA4F0F" w:rsidRDefault="00E83B26" w:rsidP="00E83B26">
      <w:pPr>
        <w:pStyle w:val="11"/>
        <w:spacing w:before="0"/>
      </w:pPr>
      <w:bookmarkStart w:id="131" w:name="_Toc44926601"/>
    </w:p>
    <w:p w14:paraId="06DDD012" w14:textId="77777777" w:rsidR="00E83B26" w:rsidRPr="00BA4F0F" w:rsidRDefault="00E83B26" w:rsidP="00E83B26">
      <w:pPr>
        <w:rPr>
          <w:b/>
        </w:rPr>
      </w:pPr>
      <w:r w:rsidRPr="00BA4F0F">
        <w:rPr>
          <w:b/>
        </w:rPr>
        <w:t>Алгоритм принятия решения перед мобилизацией ГСК</w:t>
      </w:r>
      <w:bookmarkEnd w:id="131"/>
    </w:p>
    <w:p w14:paraId="0683FF9C" w14:textId="77777777" w:rsidR="00E83B26" w:rsidRPr="00BA4F0F" w:rsidRDefault="00E83B26" w:rsidP="00A555B2">
      <w:pPr>
        <w:pStyle w:val="afe"/>
        <w:numPr>
          <w:ilvl w:val="0"/>
          <w:numId w:val="214"/>
        </w:numPr>
        <w:rPr>
          <w:rFonts w:cs="Times New Roman"/>
          <w:szCs w:val="24"/>
        </w:rPr>
      </w:pPr>
      <w:r w:rsidRPr="00BA4F0F">
        <w:rPr>
          <w:rFonts w:cs="Times New Roman"/>
          <w:szCs w:val="24"/>
        </w:rPr>
        <w:t>оценка статуса больного (наличие показаний для трансплантации аутологичных гемопоэтических стволовых клеток (ауто-ТГСК), стандартное обследование для исключения факторов, препятствующих проведению высокодозного лечения, коморбидность, согласие больного, изучение предшествующей терапии - количество курсов и сроки окончания лечения, использование лучевой терапии)</w:t>
      </w:r>
    </w:p>
    <w:p w14:paraId="10F1B893" w14:textId="77777777" w:rsidR="00E83B26" w:rsidRPr="00BA4F0F" w:rsidRDefault="00E83B26" w:rsidP="00A555B2">
      <w:pPr>
        <w:pStyle w:val="afe"/>
        <w:numPr>
          <w:ilvl w:val="0"/>
          <w:numId w:val="214"/>
        </w:numPr>
        <w:rPr>
          <w:rFonts w:cs="Times New Roman"/>
          <w:szCs w:val="24"/>
        </w:rPr>
      </w:pPr>
      <w:r w:rsidRPr="00BA4F0F">
        <w:rPr>
          <w:rFonts w:cs="Times New Roman"/>
          <w:szCs w:val="24"/>
        </w:rPr>
        <w:t>оценка статуса болезни - глубина противоопухолевого ответа, наличие ремиссии, сроки ее достижения;</w:t>
      </w:r>
    </w:p>
    <w:p w14:paraId="24429C05" w14:textId="77777777" w:rsidR="00E83B26" w:rsidRPr="00BA4F0F" w:rsidRDefault="00E83B26" w:rsidP="00A555B2">
      <w:pPr>
        <w:pStyle w:val="afe"/>
        <w:numPr>
          <w:ilvl w:val="0"/>
          <w:numId w:val="214"/>
        </w:numPr>
        <w:rPr>
          <w:rFonts w:cs="Times New Roman"/>
          <w:szCs w:val="24"/>
        </w:rPr>
      </w:pPr>
      <w:r w:rsidRPr="00BA4F0F">
        <w:rPr>
          <w:rFonts w:cs="Times New Roman"/>
          <w:szCs w:val="24"/>
        </w:rPr>
        <w:t>оценка состояния кроветворения (гистологическое исследование костного мозга позволит выявить угнетение ростков кроветворения, а также инфильтрацию костного мозга опухолевыми клетками)</w:t>
      </w:r>
    </w:p>
    <w:p w14:paraId="2A6843A2" w14:textId="77777777" w:rsidR="00E83B26" w:rsidRPr="00BA4F0F" w:rsidRDefault="00E83B26" w:rsidP="00E83B26">
      <w:pPr>
        <w:ind w:firstLine="567"/>
      </w:pPr>
      <w:r w:rsidRPr="00BA4F0F">
        <w:t>Наиболее доступным иммунологическим маркером кроветворных предшественников является экспрессия антигена СD34. Эта молекула присутствует как на наиболее примитивных стволовых клетках, так и на дифференцированных предшественниках, однако на зрелых гемопоэтических клетках экспрессии CD34 нет.</w:t>
      </w:r>
    </w:p>
    <w:p w14:paraId="7CF77331" w14:textId="66ADEFE8" w:rsidR="00E83B26" w:rsidRPr="00BA4F0F" w:rsidRDefault="00E83B26" w:rsidP="00E83B26">
      <w:pPr>
        <w:ind w:firstLine="567"/>
      </w:pPr>
      <w:r w:rsidRPr="00BA4F0F">
        <w:t xml:space="preserve">Именно суммарный пул CD34+ клеток определяет сроки восстановления кроветворения после трансплантации </w:t>
      </w:r>
      <w:r w:rsidRPr="00BA4F0F">
        <w:fldChar w:fldCharType="begin" w:fldLock="1"/>
      </w:r>
      <w:r w:rsidR="003B39A6">
        <w:instrText>ADDIN CSL_CITATION {"citationItems":[{"id":"ITEM-1","itemData":{"DOI":"10.1182/blood.v87.1.1.bloodjournal8711","ISSN":"00064971","PMID":"8547630","author":[{"dropping-particle":"","family":"Krause","given":"Diane S.","non-dropping-particle":"","parse-names":false,"suffix":""},{"dropping-particle":"","family":"Fackler","given":"Mary Jo","non-dropping-particle":"","parse-names":false,"suffix":""},{"dropping-particle":"","family":"Civin","given":"Curt I.","non-dropping-particle":"","parse-names":false,"suffix":""},{"dropping-particle":"","family":"May","given":"W. Stratford","non-dropping-particle":"","parse-names":false,"suffix":""}],"container-title":"Blood","id":"ITEM-1","issue":"1","issued":{"date-parts":[["1996","1"]]},"page":"1-13","publisher":"American Society of Hematology","title":"CD34: Structure, biology, and clinical utility","type":"article","volume":"87"},"uris":["http://www.mendeley.com/documents/?uuid=e4a53186-d5a2-35ce-9c02-67bfa05e0886","http://www.mendeley.com/documents/?uuid=1a71f447-44fb-4b59-ac8a-1da92d0990b3","http://www.mendeley.com/documents/?uuid=518c4307-6db7-4716-894c-8d6c14cf80db","http://www.mendeley.com/documents/?uuid=c05ac1ea-efeb-4341-9a99-2e75eb37db1e","http://www.mendeley.com/documents/?uuid=95496d3c-b097-411f-9ec4-45c1036c6a68","http://www.mendeley.com/documents/?uuid=f461ab1d-9e2e-41ce-99d7-7c0f5d907eb5","http://www.mendeley.com/documents/?uuid=6bac5d54-b1f3-4ac8-a201-bb7356545600"]},{"id":"ITEM-2","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Transplantation","id":"ITEM-2","issue":"3","issued":{"date-parts":[["2014","3"]]},"page":"295-308","publisher":"Elsevier","title":"Optimizing autologous stem cell mobilization strategies to improve patient outcomes: Consensus guidelines and recommendations","type":"article","volume":"20"},"uris":["http://www.mendeley.com/documents/?uuid=f0ad3abd-ce55-3df5-b4f9-e8598b8d0fa8","http://www.mendeley.com/documents/?uuid=aa3272db-ed0f-40c1-949a-b78843f4ce67","http://www.mendeley.com/documents/?uuid=cf158ac3-8f92-4973-85ea-fed641e1f9aa","http://www.mendeley.com/documents/?uuid=312e78a3-0bac-4bd4-bc5d-4ab2db1ceb87","http://www.mendeley.com/documents/?uuid=e4bbc320-ed80-4839-8759-9919ec753098","http://www.mendeley.com/documents/?uuid=43c5883b-a94a-435d-a102-5bbe11f4e704","http://www.mendeley.com/documents/?uuid=43ce11fb-9802-4761-b036-0d546f3d6abf"]}],"mendeley":{"formattedCitation":"[111,112]","plainTextFormattedCitation":"[111,112]","previouslyFormattedCitation":"[111,112]"},"properties":{"noteIndex":0},"schema":"https://github.com/citation-style-language/schema/raw/master/csl-citation.json"}</w:instrText>
      </w:r>
      <w:r w:rsidRPr="00BA4F0F">
        <w:fldChar w:fldCharType="separate"/>
      </w:r>
      <w:r w:rsidRPr="00E83B26">
        <w:rPr>
          <w:noProof/>
        </w:rPr>
        <w:t>[111,112]</w:t>
      </w:r>
      <w:r w:rsidRPr="00BA4F0F">
        <w:fldChar w:fldCharType="end"/>
      </w:r>
      <w:r w:rsidRPr="00BA4F0F">
        <w:t>. Неоднократно предпринимались попытки установить количество CD34+ клеток, необходимое для быстрого и успешного восстановления гемопоэза после трансплантации</w:t>
      </w:r>
      <w:r w:rsidRPr="00BA4F0F">
        <w:fldChar w:fldCharType="begin" w:fldLock="1"/>
      </w:r>
      <w:r w:rsidR="003B39A6">
        <w:instrText>ADDIN CSL_CITATION {"citationItems":[{"id":"ITEM-1","itemData":{"DOI":"10.1016/j.bbmt.2010.11.021","ISSN":"10838791","abstract":"Autologous hematopoietic stem cell transplantation (ASCT) is an established treatment for patients with hematologic malignancies, yet the impact of transplanted CD34 + cell dose on clinical outcomes is unresolved. We conducted post hoc analyses of transplanted CD34 + cell dose and hematopoietic recovery following ASCT in 438 patients with non-Hodgkin lymphoma (NHL) or multiple myeloma (MM), using data from 2 multicenter phase 3 clinical studies that compared plerixafor plus granulocyte-colony stimulating factor (G-CSF) versus placebo plus G-CSF as stem cell mobilization regimens. Days to engraftment and the proportion of patients who reached predetermined blood count thresholds were compared across 3 CD34 + cell dose levels: 2-4 × 10 6 cells/kg, 4-6 × 10 6 cells/kg, and &gt;6 × 10 6 cells/kg, regardless of mobilization treatment. Short-term neutrophil and platelet engraftment times were similar regardless of cell dose. A significant linear trend was observed between transplanted CD34 + cell dose and the proportion of patients with platelet count &gt;150 × 10 9/L at 100 days (P &lt; .001), 6 months (P = 026), and 12 months (P = 020) in patients with NHL, and at 100 days in patients with MM (P = 004). A linear trend was also observed between transplanted cell dose and the proportion of patients with platelet count &gt;100 × 10 9/L at 100 days (P &lt; .001) and 6 months (P = 023) in patients with NHL. A higher cell dose was associated with a lower percentage of NHL patients requiring red blood cell transfusions (P = 006). Our analyses confirm previous findings that transplanted CD34 + cell dose may be associated with better long-term platelet recovery after ASCT. © 2011 American Society for Blood and Marrow Transplantation.","author":[{"dropping-particle":"","family":"Stiff","given":"Patrick J.","non-dropping-particle":"","parse-names":false,"suffix":""},{"dropping-particle":"","family":"Micallef","given":"Ivana","non-dropping-particle":"","parse-names":false,"suffix":""},{"dropping-particle":"","family":"Nademanee","given":"Auayporn P.","non-dropping-particle":"","parse-names":false,"suffix":""},{"dropping-particle":"","family":"Stadtmauer","given":"Edward A.","non-dropping-particle":"","parse-names":false,"suffix":""},{"dropping-particle":"","family":"Maziarz","given":"Richard T.","non-dropping-particle":"","parse-names":false,"suffix":""},{"dropping-particle":"","family":"Bolwell","given":"Brian J.","non-dropping-particle":"","parse-names":false,"suffix":""},{"dropping-particle":"","family":"Bridger","given":"Gary","non-dropping-particle":"","parse-names":false,"suffix":""},{"dropping-particle":"","family":"Marulkar","given":"Sachin","non-dropping-particle":"","parse-names":false,"suffix":""},{"dropping-particle":"","family":"Hsu","given":"Frank J.","non-dropping-particle":"","parse-names":false,"suffix":""},{"dropping-particle":"","family":"DiPersio","given":"John F.","non-dropping-particle":"","parse-names":false,"suffix":""}],"container-title":"Biology of Blood and Marrow Transplantation","id":"ITEM-1","issue":"8","issued":{"date-parts":[["2011","8"]]},"page":"1146-1153","publisher":"Biol Blood Marrow Transplant","title":"Transplanted CD34 + Cell Dose Is Associated with Long-Term Platelet Count Recovery following Autologous Peripheral Blood Stem Cell Transplant in Patients with Non-Hodgkin Lymphoma or Multiple Myeloma","type":"article-journal","volume":"17"},"uris":["http://www.mendeley.com/documents/?uuid=48a19164-f2f4-3c72-92ac-75035529f84f","http://www.mendeley.com/documents/?uuid=0a6d07c9-82c9-4733-a748-4fde4ac355bf","http://www.mendeley.com/documents/?uuid=bf0d8f8a-f914-4a58-91b3-f9ddad3e5687","http://www.mendeley.com/documents/?uuid=b1384089-6533-4d2c-bd79-0f7357070e64","http://www.mendeley.com/documents/?uuid=58d20dd0-b39a-406e-8082-76a20c05645c","http://www.mendeley.com/documents/?uuid=cfbf2990-7580-4b9a-af63-5c87bebbc637","http://www.mendeley.com/documents/?uuid=aeec743f-aab0-4ef2-b5a9-bcb8a120b592"]},{"id":"ITEM-2","itemData":{"DOI":"10.1200/JCO.1995.13.3.705","ISSN":"0732183X","abstract":"Purpose: (1) To study the ability of mobilized peripheral-blood progenitor cells (PBPC) collected in a single large-volume leukapheresis performed on a predetermined date to accelerate engraftment after high-dose cyclophosphamide and thiotepa; (2) to establish the minimum dose of PBPC associated with early engraftment; and (3) to identify parameters predictive of collection of large numbers of PBPC. Patients and Methods: Twenty-three patients with breast cancer received cyclophosphamide (4 g/m2) and granulocyte-macrophage colony- stimulating factor ([GM-CSF] 5 μg/kg/d x 15 days) for PBPC mobilization. A single leukapheresis was performed 15 days after cyclophosphamide administration. Then, patients received high-dose cyclophosphamide and thiotepa followed by reinfusion of PBPC and 4-hydroperoxycyclophosphamide (4HC)-purged bone marrow. PBPC concentration was measured in serial peripheral-blood samples and in the leukapheresis product. Correlation analysis between PBPC dose and engraftment and between leukapheresis yield and patient characteristics was attempted. Results: A single leukapheresis processed a median 36 L (range, 24 to 46) blood and collected 5 x 106 CD34+ cells/kg (&lt; 0.3 to 24) and 6.2 x 105 colony-forming units granulocyte- macrophage (CFU-GM)/kg (&lt; 0.001 to 29). All sixteen patients (70%) reinfused with ≥ 2.9 x 106 CD34+ cells/kg reached a level of greater than 1,000 leukocytes/μL by day 13 and greater than 50,000 platelets/μL by day 15. All of these patients had a percentage of peripheral-blood CD34+ cells ≥ 0.5%, and all but one, a level of greater than 100,000 platelets/μL, on the day of leukapheresis. The bone marrow CD34+ cell percentage at study entry predicted the number of CD34+ cells collected after PBPC mobilization (R2 = .42, P = .002). All patients with ≥ 2.5% bone marrow CD34+ cells experienced early engraftment. Conclusion: Reinfusion of PBPC collected in a single leukapheresis accelerates engraftment in the majority of patients. Pretreatment bone marrow CD34+ cell content determines PBPC mobilization capacity and may help select hematopoietic rescue strategies.","author":[{"dropping-particle":"","family":"Passos-Coelho","given":"J. L.","non-dropping-particle":"","parse-names":false,"suffix":""},{"dropping-particle":"","family":"Braine","given":"H. G.","non-dropping-particle":"","parse-names":false,"suffix":""},{"dropping-particle":"","family":"Davis","given":"J. M.","non-dropping-particle":"","parse-names":false,"suffix":""},{"dropping-particle":"","family":"Huelskamp","given":"A. M.","non-dropping-particle":"","parse-names":false,"suffix":""},{"dropping-particle":"","family":"Schepers","given":"K. G.","non-dropping-particle":"","parse-names":false,"suffix":""},{"dropping-particle":"","family":"Ohly","given":"K.","non-dropping-particle":"","parse-names":false,"suffix":""},{"dropping-particle":"","family":"Clarke","given":"B.","non-dropping-particle":"","parse-names":false,"suffix":""},{"dropping-particle":"","family":"Wright","given":"S. K.","non-dropping-particle":"","parse-names":false,"suffix":""},{"dropping-particle":"","family":"Noga","given":"S. J.","non-dropping-particle":"","parse-names":false,"suffix":""},{"dropping-particle":"","family":"Davidson","given":"N. E.","non-dropping-particle":"","parse-names":false,"suffix":""},{"dropping-particle":"","family":"Kennedy","given":"M. J.","non-dropping-particle":"","parse-names":false,"suffix":""}],"container-title":"Journal of Clinical Oncology","id":"ITEM-2","issue":"3","issued":{"date-parts":[["1995"]]},"page":"705-714","publisher":"American Society of Clinical Oncology","title":"Predictive factors for peripheral-blood progenitor-cell collections using a single large-volume leukapheresis after cyclophosphamide and granulocyte- macrophage colony-stimulating factor mobilization","type":"article-journal","volume":"13"},"uris":["http://www.mendeley.com/documents/?uuid=9f936e14-dfc0-3b69-9eaa-703ea91a9517","http://www.mendeley.com/documents/?uuid=9bed808d-d71c-46a0-b6d7-9d6ce13e9c7d","http://www.mendeley.com/documents/?uuid=3706d09b-9023-490d-be3b-1e194d3fc1e4","http://www.mendeley.com/documents/?uuid=b899bbef-369f-4f35-8bd0-80f8725dd530","http://www.mendeley.com/documents/?uuid=32153687-438a-4c6a-ac63-3b5dbfa89f35","http://www.mendeley.com/documents/?uuid=69a86837-0dbe-4f8c-a0e9-040b7ce7c64b","http://www.mendeley.com/documents/?uuid=0a886e27-4a35-4e92-a56e-e7808e952669"]},{"id":"ITEM-3","itemData":{"ISSN":"0301-472X","PMID":"7681782","abstract":"High-dose conditioning therapy followed by autografting with blood stem cells rather than bone marrow has become an increasingly used transplantation modality for patients with chemosensitive malignancies. We treated 10 patients with malignant lymphoma in sensitive relapse with recombinant human granulocyte colony-stimulating factor (rhG-CSF) following salvage therapy. rhG-CSF was given subcutaneously (5 micrograms/kg/day) starting 24 hours after chemotherapy and stem cell collection was performed by repeated leukaphereses during leukocyte recovery. The yield of myeloid progenitors varied between 0.79 and 38.36 x 10(4) CFU-GM/kg body weight (median 4.1 x 10(4). A strong correlation was found between the number of granulocyte-macrophage colony-forming cells (CFU-GM) plus blast-forming erythroid cells (BFU-E) and CD34-positive (CD34+) cells (R = 0.80; p &lt; 0.001). The majority of CD34+ cells (&gt; 95%) strongly coexpressed human lymphocyte antigen-DR (HLA-DR) and CD38, whereas CD33 varied between 20% and 94%. Costaining of CD34+ cells for CD19 above the control level could not be detected, suggesting that early B lymphoid progenitors are not expanded or released into the circulation by rhG-CSF. Following total body irradiation (TBI)/cyclophosphamide or the CBV regimen (cyclophosphamide, BCNU, VP-16), all patients achieved complete engraftment with a median of 14 days for 1.0 x 10(9)/L white blood cells (WBC), 15 days for 0.5 x 10(9)/L polymorphonuclear cells (PMN) and 22 days for 20 x 10(9)/L platelets. The quantity of CFU-GM/kg transplanted was predictive for neutrophil and platelet recovery. The strongest correlation, however, was found between the number of CD34+ cells/kg autografted and platelet recovery (R = -0.86; p &lt; 0.001). The patients transplanted with more than 5 x 10(6)/kg CD34+ cells reached an unsubstituted platelet count &gt; 20 x 10(9)/L within 8 to 12 days. Our data demonstrate that rapid and complete engraftment can be achieved following myeloablative conditioning therapy with rhG-CSF-exposed blood stem cells without the need for additional bone marrow support or growth factor administration posttransplantation.","author":[{"dropping-particle":"","family":"Hohaus","given":"S","non-dropping-particle":"","parse-names":false,"suffix":""},{"dropping-particle":"","family":"Goldschmidt","given":"H","non-dropping-particle":"","parse-names":false,"suffix":""},{"dropping-particle":"","family":"Ehrhardt","given":"R","non-dropping-particle":"","parse-names":false,"suffix":""},{"dropping-particle":"","family":"Haas","given":"R","non-dropping-particle":"","parse-names":false,"suffix":""}],"container-title":"Experimental hematology","id":"ITEM-3","issue":"4","issued":{"date-parts":[["1993","4"]]},"page":"508-14","title":"Successful autografting following myeloablative conditioning therapy with blood stem cells mobilized by chemotherapy plus rhG-CSF.","type":"article-journal","volume":"21"},"uris":["http://www.mendeley.com/documents/?uuid=93812be1-7e65-3951-a468-4e3845502bab","http://www.mendeley.com/documents/?uuid=5b122eed-6453-4084-bfc7-422828bb1ccd","http://www.mendeley.com/documents/?uuid=b7c9c36c-a1b4-443e-870d-da0340dfc5f8","http://www.mendeley.com/documents/?uuid=80050e51-5010-4c71-a36b-97f1521bf43a","http://www.mendeley.com/documents/?uuid=38148a1c-e077-4358-ba14-0dc030862937","http://www.mendeley.com/documents/?uuid=7bc7df1c-3342-4a37-b645-1fd9957bd694","http://www.mendeley.com/documents/?uuid=841a47c1-56d9-4183-95e4-12fced0a860d"]},{"id":"ITEM-4","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Transplantation","id":"ITEM-4","issue":"3","issued":{"date-parts":[["2014","3"]]},"page":"295-308","publisher":"Elsevier","title":"Optimizing autologous stem cell mobilization strategies to improve patient outcomes: Consensus guidelines and recommendations","type":"article","volume":"20"},"uris":["http://www.mendeley.com/documents/?uuid=43ce11fb-9802-4761-b036-0d546f3d6abf","http://www.mendeley.com/documents/?uuid=43c5883b-a94a-435d-a102-5bbe11f4e704","http://www.mendeley.com/documents/?uuid=e4bbc320-ed80-4839-8759-9919ec753098","http://www.mendeley.com/documents/?uuid=312e78a3-0bac-4bd4-bc5d-4ab2db1ceb87","http://www.mendeley.com/documents/?uuid=cf158ac3-8f92-4973-85ea-fed641e1f9aa","http://www.mendeley.com/documents/?uuid=aa3272db-ed0f-40c1-949a-b78843f4ce67","http://www.mendeley.com/documents/?uuid=f0ad3abd-ce55-3df5-b4f9-e8598b8d0fa8"]}],"mendeley":{"formattedCitation":"[112–115]","plainTextFormattedCitation":"[112–115]","previouslyFormattedCitation":"[112–115]"},"properties":{"noteIndex":0},"schema":"https://github.com/citation-style-language/schema/raw/master/csl-citation.json"}</w:instrText>
      </w:r>
      <w:r w:rsidRPr="00BA4F0F">
        <w:fldChar w:fldCharType="separate"/>
      </w:r>
      <w:r w:rsidRPr="00E83B26">
        <w:rPr>
          <w:noProof/>
        </w:rPr>
        <w:t>[112–115]</w:t>
      </w:r>
      <w:r w:rsidRPr="00BA4F0F">
        <w:fldChar w:fldCharType="end"/>
      </w:r>
      <w:r w:rsidRPr="00BA4F0F">
        <w:t xml:space="preserve">. </w:t>
      </w:r>
    </w:p>
    <w:p w14:paraId="3C0B1ABC" w14:textId="77777777" w:rsidR="00E83B26" w:rsidRPr="00BA4F0F" w:rsidRDefault="00E83B26" w:rsidP="00E83B26">
      <w:pPr>
        <w:ind w:firstLine="567"/>
      </w:pPr>
      <w:r w:rsidRPr="00BA4F0F">
        <w:t>В настоящее время принято считать, что минимальным количеством клеток, необходимым для проведения одной аутологичной трансплантации, является 2×10</w:t>
      </w:r>
      <w:r w:rsidRPr="00BA4F0F">
        <w:rPr>
          <w:vertAlign w:val="superscript"/>
        </w:rPr>
        <w:t xml:space="preserve">6 </w:t>
      </w:r>
      <w:r w:rsidRPr="00BA4F0F">
        <w:t>CD34+ клеток/кг веса больного, а оптимальным количеством – значение 3 – 5 × 10</w:t>
      </w:r>
      <w:r w:rsidRPr="00BA4F0F">
        <w:rPr>
          <w:vertAlign w:val="superscript"/>
        </w:rPr>
        <w:t xml:space="preserve">6 </w:t>
      </w:r>
      <w:r w:rsidRPr="00BA4F0F">
        <w:t>CD34+ клеток/кг. В некоторых работах представлено, что при использовании трансплантата, содержащего более 5х10</w:t>
      </w:r>
      <w:r w:rsidRPr="00BA4F0F">
        <w:rPr>
          <w:vertAlign w:val="superscript"/>
        </w:rPr>
        <w:t xml:space="preserve">6 </w:t>
      </w:r>
      <w:r w:rsidRPr="00BA4F0F">
        <w:t xml:space="preserve">CD34+клеток/кг, отмечается меньшая длительность нейтропении и тромбоцитопении. </w:t>
      </w:r>
    </w:p>
    <w:p w14:paraId="110D628F" w14:textId="01BA0412" w:rsidR="00E83B26" w:rsidRPr="00BA4F0F" w:rsidRDefault="00E83B26" w:rsidP="00E83B26">
      <w:pPr>
        <w:ind w:firstLine="567"/>
      </w:pPr>
      <w:r w:rsidRPr="00BA4F0F">
        <w:t xml:space="preserve">Однако тщательно спланированных проспективных рандомизированных исследований не проводилось, поэтому определить влияние высоких доз CD34+ клеток на кинетику приживления не представляется возможным </w:t>
      </w:r>
      <w:r w:rsidRPr="00BA4F0F">
        <w:fldChar w:fldCharType="begin" w:fldLock="1"/>
      </w:r>
      <w:r w:rsidR="003B39A6">
        <w:instrText>ADDIN CSL_CITATION {"citationItems":[{"id":"ITEM-1","itemData":{"DOI":"10.1016/j.bbmt.2013.10.013","ISSN":"10838791","abstract":"Autologous hematopoietic stem cell transplantation (aHSCT) is a well-established treatment for malignancies such as multiple myeloma (MM) and lymphomas. Various changes in the field over the past decade, including the frequent use of tandem aHSCT in MM, the advent of novel therapies for the treatment of MM and lymphoma, and the addition of new stem cell mobilization techniques, have led to the need to reassess current stem cell mobilization strategies. Mobilization failures with traditional strategies are common and result in delays in treatment and increased cost and resource utilization. Recently, plerixafor-containing strategies have been shown to significantly reduce mobilization failure rates, but the ideal method to maximize stem cell yields and minimize costs associated with collection has not yet been determined. A panel of experts convened to discuss the currently available data on autologous hematopoietic stem cell mobilization and transplantation and to devise guidelines to optimize mobilization strategies. Herein is a summary of their discussion and consensus. © 2014 American Society for Blood and Marrow Transplantation.","author":[{"dropping-particle":"","family":"Giralt","given":"Sergio","non-dropping-particle":"","parse-names":false,"suffix":""},{"dropping-particle":"","family":"Costa","given":"Luciano","non-dropping-particle":"","parse-names":false,"suffix":""},{"dropping-particle":"","family":"Schriber","given":"Jeffrey","non-dropping-particle":"","parse-names":false,"suffix":""},{"dropping-particle":"","family":"DiPersio","given":"John","non-dropping-particle":"","parse-names":false,"suffix":""},{"dropping-particle":"","family":"Maziarz","given":"Richard","non-dropping-particle":"","parse-names":false,"suffix":""},{"dropping-particle":"","family":"McCarty","given":"John","non-dropping-particle":"","parse-names":false,"suffix":""},{"dropping-particle":"","family":"Shaughnessy","given":"Paul","non-dropping-particle":"","parse-names":false,"suffix":""},{"dropping-particle":"","family":"Snyder","given":"Edward","non-dropping-particle":"","parse-names":false,"suffix":""},{"dropping-particle":"","family":"Bensinger","given":"William","non-dropping-particle":"","parse-names":false,"suffix":""},{"dropping-particle":"","family":"Copelan","given":"Edward","non-dropping-particle":"","parse-names":false,"suffix":""},{"dropping-particle":"","family":"Hosing","given":"Chitra","non-dropping-particle":"","parse-names":false,"suffix":""},{"dropping-particle":"","family":"Negrin","given":"Robert","non-dropping-particle":"","parse-names":false,"suffix":""},{"dropping-particle":"","family":"Petersen","given":"Finn Bo","non-dropping-particle":"","parse-names":false,"suffix":""},{"dropping-particle":"","family":"Rondelli","given":"Damiano","non-dropping-particle":"","parse-names":false,"suffix":""},{"dropping-particle":"","family":"Soiffer","given":"Robert","non-dropping-particle":"","parse-names":false,"suffix":""},{"dropping-particle":"","family":"Leather","given":"Helen","non-dropping-particle":"","parse-names":false,"suffix":""},{"dropping-particle":"","family":"Pazzalia","given":"Amy","non-dropping-particle":"","parse-names":false,"suffix":""},{"dropping-particle":"","family":"Devine","given":"Steven","non-dropping-particle":"","parse-names":false,"suffix":""}],"container-title":"Biology of Blood and Marrow Transplantation","id":"ITEM-1","issue":"3","issued":{"date-parts":[["2014","3"]]},"page":"295-308","publisher":"Elsevier","title":"Optimizing autologous stem cell mobilization strategies to improve patient outcomes: Consensus guidelines and recommendations","type":"article","volume":"20"},"uris":["http://www.mendeley.com/documents/?uuid=43ce11fb-9802-4761-b036-0d546f3d6abf","http://www.mendeley.com/documents/?uuid=43c5883b-a94a-435d-a102-5bbe11f4e704","http://www.mendeley.com/documents/?uuid=e4bbc320-ed80-4839-8759-9919ec753098","http://www.mendeley.com/documents/?uuid=312e78a3-0bac-4bd4-bc5d-4ab2db1ceb87","http://www.mendeley.com/documents/?uuid=cf158ac3-8f92-4973-85ea-fed641e1f9aa","http://www.mendeley.com/documents/?uuid=aa3272db-ed0f-40c1-949a-b78843f4ce67","http://www.mendeley.com/documents/?uuid=f0ad3abd-ce55-3df5-b4f9-e8598b8d0fa8"]}],"mendeley":{"formattedCitation":"[112]","plainTextFormattedCitation":"[112]","previouslyFormattedCitation":"[112]"},"properties":{"noteIndex":0},"schema":"https://github.com/citation-style-language/schema/raw/master/csl-citation.json"}</w:instrText>
      </w:r>
      <w:r w:rsidRPr="00BA4F0F">
        <w:fldChar w:fldCharType="separate"/>
      </w:r>
      <w:r w:rsidRPr="00E83B26">
        <w:rPr>
          <w:noProof/>
        </w:rPr>
        <w:t>[112]</w:t>
      </w:r>
      <w:r w:rsidRPr="00BA4F0F">
        <w:fldChar w:fldCharType="end"/>
      </w:r>
      <w:r w:rsidRPr="00BA4F0F">
        <w:t>.</w:t>
      </w:r>
    </w:p>
    <w:p w14:paraId="498ACDA2" w14:textId="77777777" w:rsidR="00E83B26" w:rsidRPr="00BA4F0F" w:rsidRDefault="00E83B26" w:rsidP="00E83B26">
      <w:pPr>
        <w:pStyle w:val="11"/>
        <w:spacing w:before="0"/>
      </w:pPr>
      <w:bookmarkStart w:id="132" w:name="_Toc44926602"/>
    </w:p>
    <w:p w14:paraId="6CFF96D7" w14:textId="77777777" w:rsidR="00E83B26" w:rsidRPr="00BA4F0F" w:rsidRDefault="00E83B26" w:rsidP="00E83B26">
      <w:pPr>
        <w:rPr>
          <w:b/>
          <w:bCs/>
        </w:rPr>
      </w:pPr>
      <w:r w:rsidRPr="00BA4F0F">
        <w:rPr>
          <w:b/>
          <w:bCs/>
        </w:rPr>
        <w:t>Факторы риска неэффективной мобилизации ГСК</w:t>
      </w:r>
      <w:bookmarkEnd w:id="132"/>
    </w:p>
    <w:p w14:paraId="244AB1E4" w14:textId="28098C8F" w:rsidR="00E83B26" w:rsidRPr="00BA4F0F" w:rsidRDefault="00E83B26" w:rsidP="00E83B26">
      <w:pPr>
        <w:ind w:firstLine="567"/>
      </w:pPr>
      <w:r w:rsidRPr="00BA4F0F">
        <w:t xml:space="preserve">Несмотря на совершенствование методик и появление новых препаратов, неудача мобилизации ГСК остается проблемой для пациентов с онкогематологическими заболеваниями </w:t>
      </w:r>
      <w:r w:rsidRPr="00BA4F0F">
        <w:fldChar w:fldCharType="begin" w:fldLock="1"/>
      </w:r>
      <w:r w:rsidR="003B39A6">
        <w:instrText>ADDIN CSL_CITATION {"citationItems":[{"id":"ITEM-1","itemData":{"author":[{"dropping-particle":"","family":"Покровская О.С., Менделеева Л.П., Гальцева И.В., Варламова Е.Ю., Капланская И.Б., Воробьев И.А., Грецов Е.М., Калинин Н.Н., Варламова С.В., Клясова Г.А., Тихонова Л.Ю.","given":"Савченко В.Г.","non-dropping-particle":"","parse-names":false,"suffix":""}],"container-title":"Проблемы гематологии и переливания","id":"ITEM-1","issued":{"date-parts":[["2003"]]},"page":"55-56","title":"Мобилизация гемопоэтических клеток крови у больных миеломной болезнью","type":"article-journal"},"uris":["http://www.mendeley.com/documents/?uuid=ffac3994-c2e2-36fa-a30d-0feb13f9a7fd","http://www.mendeley.com/documents/?uuid=8770f689-e379-4f05-bd8a-15cddd1006fb"]}],"mendeley":{"formattedCitation":"[116]","plainTextFormattedCitation":"[116]","previouslyFormattedCitation":"[116]"},"properties":{"noteIndex":0},"schema":"https://github.com/citation-style-language/schema/raw/master/csl-citation.json"}</w:instrText>
      </w:r>
      <w:r w:rsidRPr="00BA4F0F">
        <w:fldChar w:fldCharType="separate"/>
      </w:r>
      <w:r w:rsidRPr="00E83B26">
        <w:rPr>
          <w:noProof/>
        </w:rPr>
        <w:t>[116]</w:t>
      </w:r>
      <w:r w:rsidRPr="00BA4F0F">
        <w:fldChar w:fldCharType="end"/>
      </w:r>
      <w:r w:rsidRPr="00BA4F0F">
        <w:t>. Группа итальянских исследователей GITIMO определила критерии доказанного и вероятного риска неудачи мобилизации ГСК у больных ММ и НХЛ.</w:t>
      </w:r>
    </w:p>
    <w:p w14:paraId="60972E00" w14:textId="77777777" w:rsidR="00E83B26" w:rsidRPr="00BA4F0F" w:rsidRDefault="00E83B26" w:rsidP="00E83B26">
      <w:pPr>
        <w:ind w:firstLine="567"/>
      </w:pPr>
      <w:r w:rsidRPr="00BA4F0F">
        <w:t>К факторам доказанного риска неудачи относятся два параметра: если показатели циркулирующих в крови СD34+ не достигают 20 клеток в 1 мкл. на 4-6-й дни после старта Г–КСФ или же заготовлено менее 2х10</w:t>
      </w:r>
      <w:r w:rsidRPr="00BA4F0F">
        <w:rPr>
          <w:vertAlign w:val="superscript"/>
        </w:rPr>
        <w:t xml:space="preserve">6 </w:t>
      </w:r>
      <w:r w:rsidRPr="00BA4F0F">
        <w:t>CD34+ клеток/кг за 3 лейкафереза.</w:t>
      </w:r>
    </w:p>
    <w:p w14:paraId="22CC9C5B" w14:textId="0E2D7643" w:rsidR="00E83B26" w:rsidRPr="00BA4F0F" w:rsidRDefault="00E83B26" w:rsidP="00E83B26">
      <w:pPr>
        <w:ind w:firstLine="567"/>
      </w:pPr>
      <w:r w:rsidRPr="00BA4F0F">
        <w:t xml:space="preserve">Критериями вероятного риска неудачи мобилизации ГСК является наличие предшествующей неэффективной мобилизации ГСК; длительной ХТ или лучевой терапии, использование флюдарабина, мелфалана, леналидомида на предыдущих этапах лечения; продвинутая фаза болезни, потребовавшая проведения как минимум двух линий ХТ. Клеточность костного мозга менее 30% на момент мобилизации и возраст старше 65 лет также являются факторами риска неэффективной мобилизации </w:t>
      </w:r>
      <w:r w:rsidRPr="00BA4F0F">
        <w:fldChar w:fldCharType="begin" w:fldLock="1"/>
      </w:r>
      <w:r w:rsidR="003B39A6">
        <w:instrText>ADDIN CSL_CITATION {"citationItems":[{"id":"ITEM-1","itemData":{"DOI":"10.1038/bmt.2011.82","ISSN":"02683369","abstract":"Many lymphoma and myeloma patients fail to undergo ASCT owing to poor mobilization. Identification of poor mobilizers (PMs) would provide a tool for early intervention with new mobilization agents. The Gruppo italianoTrapianto di Midollo Osseo working group proposed a definition of PMs applicable to clinical trials and clinical practice. The analytic hierarchy process, a method for group decision making, was used in setting prioritized criteria. Lymphoma or myeloma patients were defined as 'proven PM' when: (1) after adequate mobilization (G-CSF 10 μg/kg if used alone or ≥5 μg/kg after chemotherapy) circulating CD34 + cell peak is &lt;20/μL up to 6 days after mobilization with G-CSF or up to 20 days after chemotherapy and G-CSF or (2) they yielded &lt;2.0 × 10 6 CD34 + cells per kg in ≤3 apheresis. Patients were defined as predicted PMs if: (1) they failed a previous collection attempt (not otherwise specified); (2) they previously received extensive radiotherapy or full courses of therapy affecting SC mobilization; and (3) they met two of the following criteria: advanced disease (≥2 lines of chemotherapy), refractory disease, extensive BM involvement or cellularity &lt;30% at the time of mobilization; age ≥65 years. This definition of proven and predicted PMs should be validated in clinical trials and common clinical practice. © 2012 Macmillan Publishers Limited All rights reserved.","author":[{"dropping-particle":"","family":"Olivieri","given":"A.","non-dropping-particle":"","parse-names":false,"suffix":""},{"dropping-particle":"","family":"Marchetti","given":"M.","non-dropping-particle":"","parse-names":false,"suffix":""},{"dropping-particle":"","family":"Lemoli","given":"R.","non-dropping-particle":"","parse-names":false,"suffix":""},{"dropping-particle":"","family":"Tarella","given":"C.","non-dropping-particle":"","parse-names":false,"suffix":""},{"dropping-particle":"","family":"Iacone","given":"A.","non-dropping-particle":"","parse-names":false,"suffix":""},{"dropping-particle":"","family":"Lanza","given":"F.","non-dropping-particle":"","parse-names":false,"suffix":""},{"dropping-particle":"","family":"Rambaldi","given":"A.","non-dropping-particle":"","parse-names":false,"suffix":""},{"dropping-particle":"","family":"Bosi","given":"A.","non-dropping-particle":"","parse-names":false,"suffix":""}],"container-title":"Bone Marrow Transplantation","id":"ITEM-1","issue":"3","issued":{"date-parts":[["2012","3"]]},"page":"342-351","publisher":"Bone Marrow Transplant","title":"Proposed definition of 'poor mobilizer' in lymphoma and multiple myeloma: An analytic hierarchy process by ad hoc working group Gruppo ItalianoTrapianto di Midollo Osseo","type":"article-journal","volume":"47"},"uris":["http://www.mendeley.com/documents/?uuid=ba171d2e-11ed-30e4-8419-628863ccc7d5","http://www.mendeley.com/documents/?uuid=889b327f-5a75-4546-9a08-eda1f05160e3","http://www.mendeley.com/documents/?uuid=8da75729-e2dd-4c45-a604-256ab831ad9d","http://www.mendeley.com/documents/?uuid=5f9c85d8-eabb-4b72-a615-ad332ceb6a28","http://www.mendeley.com/documents/?uuid=77a1aded-f417-40b5-92fe-c81e7ab18493","http://www.mendeley.com/documents/?uuid=8ccbbe36-8201-44c0-91bf-f8fc6344c830","http://www.mendeley.com/documents/?uuid=39d3b635-3780-462d-8abb-b71c080a2618"]}],"mendeley":{"formattedCitation":"[117]","plainTextFormattedCitation":"[117]","previouslyFormattedCitation":"[117]"},"properties":{"noteIndex":0},"schema":"https://github.com/citation-style-language/schema/raw/master/csl-citation.json"}</w:instrText>
      </w:r>
      <w:r w:rsidRPr="00BA4F0F">
        <w:fldChar w:fldCharType="separate"/>
      </w:r>
      <w:r w:rsidRPr="00E83B26">
        <w:rPr>
          <w:noProof/>
        </w:rPr>
        <w:t>[117]</w:t>
      </w:r>
      <w:r w:rsidRPr="00BA4F0F">
        <w:fldChar w:fldCharType="end"/>
      </w:r>
      <w:r w:rsidRPr="00BA4F0F">
        <w:t>.</w:t>
      </w:r>
    </w:p>
    <w:p w14:paraId="1E97072F" w14:textId="77777777" w:rsidR="00E83B26" w:rsidRPr="00BA4F0F" w:rsidRDefault="00E83B26" w:rsidP="00E83B26">
      <w:pPr>
        <w:ind w:firstLine="567"/>
      </w:pPr>
      <w:r w:rsidRPr="00BA4F0F">
        <w:t>В случае недостаточного количества заготовленных ГСК обсуждается вопрос об эскалации дозы ростового фактора, проведении повторной мобилизации по другой схеме, эксфузии костного мозга. В настоящее время трансплантация ГСК, полученных из периферической крови, вытесняет трансплантацию костного мозга. Это связанно с тем, что методы сбора клеток из периферической крови менее инвазивны, а восстановление гемопоэза после трансплантации ГСК происходит быстрее, чем после трансплантации костного мозга.</w:t>
      </w:r>
    </w:p>
    <w:p w14:paraId="22FB4B6D" w14:textId="77777777" w:rsidR="00E83B26" w:rsidRPr="00BA4F0F" w:rsidRDefault="00E83B26" w:rsidP="00E83B26">
      <w:pPr>
        <w:ind w:firstLine="567"/>
      </w:pPr>
      <w:r w:rsidRPr="00BA4F0F">
        <w:t>Цель мобилизации – заготовка адекватного количества CD34+клеток, достаточного для выполнения одной или двух трансплантаций.</w:t>
      </w:r>
    </w:p>
    <w:p w14:paraId="1D8954AA" w14:textId="77777777" w:rsidR="00E83B26" w:rsidRPr="00BA4F0F" w:rsidRDefault="00E83B26" w:rsidP="00E83B26">
      <w:pPr>
        <w:ind w:firstLine="567"/>
      </w:pPr>
      <w:r w:rsidRPr="00BA4F0F">
        <w:t>Далее представлена подробная характеристика препаратов, стимулирующих выброс ГСК в периферическую кровь.</w:t>
      </w:r>
    </w:p>
    <w:p w14:paraId="3881BCD9" w14:textId="77777777" w:rsidR="00E83B26" w:rsidRPr="00BA4F0F" w:rsidRDefault="00E83B26" w:rsidP="00E83B26">
      <w:pPr>
        <w:pStyle w:val="11"/>
        <w:spacing w:before="0"/>
      </w:pPr>
      <w:bookmarkStart w:id="133" w:name="_Toc44926603"/>
    </w:p>
    <w:p w14:paraId="6436A86C" w14:textId="77777777" w:rsidR="00E83B26" w:rsidRPr="00BA4F0F" w:rsidRDefault="00E83B26" w:rsidP="00E83B26">
      <w:pPr>
        <w:rPr>
          <w:b/>
          <w:bCs/>
        </w:rPr>
      </w:pPr>
      <w:r w:rsidRPr="00BA4F0F">
        <w:rPr>
          <w:b/>
          <w:bCs/>
        </w:rPr>
        <w:t>Препараты, используемые для мобилизации ГСК.</w:t>
      </w:r>
      <w:bookmarkEnd w:id="133"/>
    </w:p>
    <w:p w14:paraId="1FE81E0A" w14:textId="77777777" w:rsidR="00E83B26" w:rsidRPr="00BA4F0F" w:rsidRDefault="00E83B26" w:rsidP="00E83B26">
      <w:pPr>
        <w:pStyle w:val="afe"/>
        <w:ind w:left="0"/>
        <w:rPr>
          <w:rFonts w:cs="Times New Roman"/>
          <w:szCs w:val="24"/>
          <w:u w:val="single"/>
        </w:rPr>
      </w:pPr>
      <w:r w:rsidRPr="00BA4F0F">
        <w:rPr>
          <w:rFonts w:cs="Times New Roman"/>
          <w:szCs w:val="24"/>
          <w:u w:val="single"/>
        </w:rPr>
        <w:t>Гранулоцитарный колониестимулирующий фактор</w:t>
      </w:r>
    </w:p>
    <w:p w14:paraId="26D52134" w14:textId="77777777" w:rsidR="00E83B26" w:rsidRPr="00BA4F0F" w:rsidRDefault="00E83B26" w:rsidP="00E83B26">
      <w:pPr>
        <w:ind w:firstLine="567"/>
      </w:pPr>
      <w:r w:rsidRPr="00BA4F0F">
        <w:t xml:space="preserve">Г-КСФ – гликопротеин, ускоряющий пролиферацию гранулоцитарных клеток-предшественников нейтрофильного ростка костного мозга, дифференцировку в направлении зрелых нейтрофилов и их выход из костного мозга в периферическую кровь. Применение Г-КСФ как после курса химиотерапии (ХТ), так и независимо от нее, приводит к мобилизации в периферическую кровь клеток-предшественниц гемопоэза. </w:t>
      </w:r>
    </w:p>
    <w:p w14:paraId="59678AE0" w14:textId="77777777" w:rsidR="00E83B26" w:rsidRPr="00BA4F0F" w:rsidRDefault="00E83B26" w:rsidP="00E83B26">
      <w:pPr>
        <w:ind w:firstLine="567"/>
      </w:pPr>
      <w:r w:rsidRPr="00BA4F0F">
        <w:t xml:space="preserve">Г-КСФ значительно увеличивает число нейтрофилов в периферической крови уже в первые 24 часа после введения. После окончания применения Г-КСФ число нейтрофилов в периферической крови снижается на 50% в течение 1-2 дней и возвращается к нормальным значениям в течение 1-7 дней. </w:t>
      </w:r>
    </w:p>
    <w:p w14:paraId="74479C0C" w14:textId="5E8D59B0" w:rsidR="00E83B26" w:rsidRPr="00BA4F0F" w:rsidRDefault="00E83B26" w:rsidP="00E83B26">
      <w:pPr>
        <w:ind w:firstLine="567"/>
      </w:pPr>
      <w:r w:rsidRPr="00BA4F0F">
        <w:t xml:space="preserve">Изучение фармакокинетики Г-КСФ показало, что препарат быстро выводится из организма, что требует применения многократных инъекций. С целью пролонгации действия разработана иммобилизованная на полиэтиленгликоле (ПЭГ) форма Г-КСФ. В иммобилизованном препарате ПЭГ присоединяется ковалентной связью к N-концевому пептиду молекулы, увеличивая ее размер, что приводит к замедлению почечного клиренса. Время циркуляции в крови пэгилированной формы увеличивается с 3,5 ч. до 42ч. После одной инъекции препарата высокий уровень нейтрофилов поддерживается в крови в течение 9 дней </w:t>
      </w:r>
      <w:r w:rsidRPr="00BA4F0F">
        <w:fldChar w:fldCharType="begin" w:fldLock="1"/>
      </w:r>
      <w:r w:rsidR="003B39A6">
        <w:instrText>ADDIN CSL_CITATION {"citationItems":[{"id":"ITEM-1","itemData":{"DOI":"10.2165/11586040-000000000-00000","ISSN":"03125963","abstract":"Pegfilgrastim is a sustained-duration form of filgrastim, a recombinant methionyl form of human granulocyte colony-stimulating factor (G-CSF), to which a 20kDa polyethylene glycol molecule is covalently bound to the N-terminal methionine residue. Similar to filgrastim, pegfilgrastim increases the proliferation and differentiation of neutrophils from committed progenitor cells, induces maturation, and enhances the survival and function of mature neutrophils, resulting in dose-dependent increases in neutrophils.After subcutaneous administration, pegfilgrastim exhibits nonlinear pharmacokinetics and exposure to pegfilgrastim increases in more than a dose-proportional manner, suggesting that the clearance of pegfilgrastim decreases with increased dosing. Filgrastim is primarily eliminated by the kidney and neutrophilsneutrophil precursors; the latter presumably involves binding of the growth factor to the G-CSF receptor on the cell surface, internalization of the growth factor-receptor complexes via endocytosis, and subsequent degradation inside the cells. Pegylation of filgrastim renders renal clearance insignificant, which was demonstrated in bilaterally nephrectomized rats and confirmed in subjects with renal impairment. As a result, the neutrophil-mediated clearance is the predominant elimination pathway for pegfilgrastim.During chemotherapy-induced neutropenia, the clearance of pegfilgrastim is significantly reduced and the concentration of pegfilgrastim is sustained until onset of neutrophil recovery. Pegfilgrastim concentrations are sustained longer in patients with profound neutropenia. Evidence supports the use of a postnadir absolute neutrophil count (ANC) of ≥1×109/L as a surrogate marker threshold for the clearance of pegfilgrastim to subtherapeutic levels. After repeated administration of pegfilgrastim, the peak concentrations of pegfilgrastim decrease, likely due to increased neutrophil and neutrophil precursor mass.A pharmacokinetic-pharmacodynamic model was developed to describe the pharmacokinetic and ANC profiles of pegfilgrastim; the analysis supported that 100μgkg was an adequate weight-based dose of pegfilgrastim and predicted that 6mg would be an optimal fixed dose of pegfilgrastim to simplify treatment. Data from a pivotal study confirmed that a once-per-chemotherapy-cycle injection of pegfilgrastim at 6mg was as safe and effective as 11 daily injections of filgrastim at 5μgkg in reducing neutropenia and its complications in patients …","author":[{"dropping-particle":"","family":"Yang","given":"Bing Bing","non-dropping-particle":"","parse-names":false,"suffix":""},{"dropping-particle":"","family":"Kido","given":"Anna","non-dropping-particle":"","parse-names":false,"suffix":""}],"container-title":"Clinical Pharmacokinetics","id":"ITEM-1","issue":"5","issued":{"date-parts":[["2011"]]},"page":"295-306","publisher":"Clin Pharmacokinet","title":"Pharmacokinetics and pharmacodynamics of pegfilgrastim","type":"article","volume":"50"},"uris":["http://www.mendeley.com/documents/?uuid=445b8605-4444-3286-9533-f890634da33f","http://www.mendeley.com/documents/?uuid=8c131309-d633-4467-9e52-e36f2f6739d8","http://www.mendeley.com/documents/?uuid=d0ae95d8-455a-466d-b2b7-1cf20c6911c3","http://www.mendeley.com/documents/?uuid=350f69c3-8670-4b28-9ce6-bbf7bbe95719","http://www.mendeley.com/documents/?uuid=aed192a7-bd44-4087-8c83-7bb80ed986b5","http://www.mendeley.com/documents/?uuid=4fb6ef40-750e-4e26-80f5-5d3e68016e6f","http://www.mendeley.com/documents/?uuid=ec9d7c0f-5da5-47cd-a932-c0af1a9d94a0"]}],"mendeley":{"formattedCitation":"[118]","plainTextFormattedCitation":"[118]","previouslyFormattedCitation":"[118]"},"properties":{"noteIndex":0},"schema":"https://github.com/citation-style-language/schema/raw/master/csl-citation.json"}</w:instrText>
      </w:r>
      <w:r w:rsidRPr="00BA4F0F">
        <w:fldChar w:fldCharType="separate"/>
      </w:r>
      <w:r w:rsidRPr="00E83B26">
        <w:rPr>
          <w:noProof/>
        </w:rPr>
        <w:t>[118]</w:t>
      </w:r>
      <w:r w:rsidRPr="00BA4F0F">
        <w:fldChar w:fldCharType="end"/>
      </w:r>
      <w:r w:rsidRPr="00BA4F0F">
        <w:t>.</w:t>
      </w:r>
    </w:p>
    <w:p w14:paraId="7A3A6F0B" w14:textId="77777777" w:rsidR="00E83B26" w:rsidRPr="00BA4F0F" w:rsidRDefault="00E83B26" w:rsidP="00E83B26">
      <w:pPr>
        <w:rPr>
          <w:i/>
        </w:rPr>
      </w:pPr>
    </w:p>
    <w:p w14:paraId="2EC2EE69" w14:textId="77777777" w:rsidR="00E83B26" w:rsidRPr="00BA4F0F" w:rsidRDefault="00E83B26" w:rsidP="00E83B26">
      <w:pPr>
        <w:rPr>
          <w:b/>
          <w:i/>
        </w:rPr>
      </w:pPr>
      <w:r w:rsidRPr="00BA4F0F">
        <w:rPr>
          <w:b/>
          <w:i/>
          <w:lang w:val="en-US"/>
        </w:rPr>
        <w:t>P</w:t>
      </w:r>
      <w:r w:rsidRPr="00BA4F0F">
        <w:rPr>
          <w:b/>
          <w:i/>
        </w:rPr>
        <w:t xml:space="preserve">ежим дозирования Г-КСФ для мобилизации СКК </w:t>
      </w:r>
    </w:p>
    <w:p w14:paraId="0740FDE7" w14:textId="54EC552F" w:rsidR="00E83B26" w:rsidRPr="00BA4F0F" w:rsidRDefault="00E83B26" w:rsidP="00E83B26">
      <w:pPr>
        <w:ind w:firstLine="567"/>
      </w:pPr>
      <w:r w:rsidRPr="00BA4F0F">
        <w:t xml:space="preserve">Г-КСФ вводится в дозе 5 или 10 мкг/кг/сутки подкожно в зависимости от режима мобилизации ГСК. Пегилированный Г-КСФ вводится однократно в дозе 12 мг подкожно </w:t>
      </w:r>
      <w:r w:rsidRPr="00BA4F0F">
        <w:fldChar w:fldCharType="begin" w:fldLock="1"/>
      </w:r>
      <w:r w:rsidR="003B39A6">
        <w:instrText>ADDIN CSL_CITATION {"citationItems":[{"id":"ITEM-1","itemData":{"DOI":"10.1111/j.1537-2995.2012.03579.x","ISSN":"00411132","abstract":"Background: Plerixafor enhances the ability of filgrastim (FIL) to mobilize CD34+ cells but adds cost to the mobilization. We hypothesized that replacing weight-based FIL with flat-dose pegfilgrastim (PEG) in a validated cost-based mobilization algorithm for patient-adapted use of plerixafor would add convenience without increased cost. Study design and methods: A single-center retrospective analysis compared two consecutive cohorts undergoing FIL or PEG mobilization before autologous hematopoietic stem cell transplantation for multiple myeloma or lymphoma. FIL dose was 10 Âμg/kg/day continuing until completion of collection and a 12-mg flat dose of PEG. Peripheral blood CD34+ cells (PB-CD34+) enumeration was performed on the fourth day after initiation of growth factor. Subjects surpassing a certain target-specific threshold of PB-CD34+ started apheresis immediately while subjects with lower PB-CD34+ received plerixafor with apheresis starting on the fifth day. Results: Overall 68 of 74 in the FIL group and 52 of 57 patients in the PEG group met the mobilization target. Only one patient in each cohort required remobilization. Median PB-CD34+ on Day 4 was significantly higher in patients in the PEG group (18.1 × 106 vs. 28.7 × 106 cells/L, p = 0.01). Consequently, patients in the PEG group were less likely to require administration of plerixafor (67.5% vs. 45.6%, p = 0.01). Cohorts had near identical mean number of apheresis sessions and comparable CD34+ yield. The estimated cost associated with growth factor was higher in patients in the PEG group, but it was counterbalanced by lower cost associated with use of plerixafor. Conclusion: Single administration of 12 mg of PEG is associated with better CD34+ mobilization than FIL allowing for effective, convenient mobilization with less frequent use of plerixafor. © 2012 American Association of Blood Banks.","author":[{"dropping-particle":"","family":"Costa","given":"Luciano J.","non-dropping-particle":"","parse-names":false,"suffix":""},{"dropping-particle":"","family":"Kramer","given":"Cindy","non-dropping-particle":"","parse-names":false,"suffix":""},{"dropping-particle":"","family":"Hogan","given":"Kathy R.","non-dropping-particle":"","parse-names":false,"suffix":""},{"dropping-particle":"","family":"Butcher","given":"Coleen D.","non-dropping-particle":"","parse-names":false,"suffix":""},{"dropping-particle":"","family":"Littleton","given":"Amanda L.","non-dropping-particle":"","parse-names":false,"suffix":""},{"dropping-particle":"","family":"Shoptaw","given":"Katie B.","non-dropping-particle":"","parse-names":false,"suffix":""},{"dropping-particle":"","family":"Kang","given":"Yubin","non-dropping-particle":"","parse-names":false,"suffix":""},{"dropping-particle":"","family":"Stuart","given":"Robert K.","non-dropping-particle":"","parse-names":false,"suffix":""}],"container-title":"Transfusion","id":"ITEM-1","issue":"11","issued":{"date-parts":[["2012","11"]]},"page":"2375-2381","publisher":"Transfusion","title":"Pegfilgrastim-versus filgrastim-based autologous hematopoietic stem cell mobilization in the setting of preemptive use of plerixafor: Efficacy and cost analysis","type":"article-journal","volume":"52"},"uris":["http://www.mendeley.com/documents/?uuid=c9b6d466-e5cf-3a1f-9950-47a4a1f2595f","http://www.mendeley.com/documents/?uuid=5869ab33-84d0-4d40-9e0a-c68492375302","http://www.mendeley.com/documents/?uuid=da79130c-3245-4bb6-b0b1-d1a74f3c45ce","http://www.mendeley.com/documents/?uuid=23c5daaf-4836-423a-a293-5308de4b05a8","http://www.mendeley.com/documents/?uuid=5bc9223b-2a8e-4a1d-a5ea-925322f33fc0","http://www.mendeley.com/documents/?uuid=cfca06c2-6f99-4d09-bcd1-d6e958d0398f","http://www.mendeley.com/documents/?uuid=f71837f6-2c18-4b5c-aa96-74199fe38ec4"]}],"mendeley":{"formattedCitation":"[119]","plainTextFormattedCitation":"[119]","previouslyFormattedCitation":"[119]"},"properties":{"noteIndex":0},"schema":"https://github.com/citation-style-language/schema/raw/master/csl-citation.json"}</w:instrText>
      </w:r>
      <w:r w:rsidRPr="00BA4F0F">
        <w:fldChar w:fldCharType="separate"/>
      </w:r>
      <w:r w:rsidRPr="00E83B26">
        <w:rPr>
          <w:noProof/>
        </w:rPr>
        <w:t>[119]</w:t>
      </w:r>
      <w:r w:rsidRPr="00BA4F0F">
        <w:fldChar w:fldCharType="end"/>
      </w:r>
      <w:r w:rsidRPr="00BA4F0F">
        <w:t>.</w:t>
      </w:r>
    </w:p>
    <w:p w14:paraId="63592C88" w14:textId="77777777" w:rsidR="00E83B26" w:rsidRPr="00BA4F0F" w:rsidRDefault="00E83B26" w:rsidP="00E83B26">
      <w:pPr>
        <w:rPr>
          <w:b/>
          <w:i/>
        </w:rPr>
      </w:pPr>
    </w:p>
    <w:p w14:paraId="6F0E3E49" w14:textId="77777777" w:rsidR="00E83B26" w:rsidRPr="00BA4F0F" w:rsidRDefault="00E83B26" w:rsidP="00E83B26">
      <w:pPr>
        <w:rPr>
          <w:b/>
          <w:i/>
        </w:rPr>
      </w:pPr>
      <w:r w:rsidRPr="00BA4F0F">
        <w:rPr>
          <w:b/>
          <w:i/>
        </w:rPr>
        <w:t xml:space="preserve">Особые указания при применении Г-КСФ </w:t>
      </w:r>
    </w:p>
    <w:p w14:paraId="10787168" w14:textId="77777777" w:rsidR="00E83B26" w:rsidRPr="00BA4F0F" w:rsidRDefault="00E83B26" w:rsidP="00E83B26">
      <w:pPr>
        <w:ind w:firstLine="567"/>
      </w:pPr>
      <w:r w:rsidRPr="00BA4F0F">
        <w:t>На фоне терапии Г-КСФ отмечается увеличение размеров селезенки. Во время клинических исследований у 31% больных с тяжелой хронической нейтропенией пальпаторно обнаруживалась спленомегалия. При рентгенографии увеличение селезенки выявлялось вскоре после назначения Г-КСФ и далее имело тенденцию к стабилизации. Установлено, что уменьшение дозы препарата останавливало спленомегалию; спленэктомия потребовалась 3% больных. Необходимо регулярно контролировать размеры селезенки при проведении мобилизации ГКС.</w:t>
      </w:r>
    </w:p>
    <w:p w14:paraId="77A3520F" w14:textId="2FFEAFF2" w:rsidR="00E83B26" w:rsidRPr="00BA4F0F" w:rsidRDefault="00E83B26" w:rsidP="00E83B26">
      <w:pPr>
        <w:ind w:firstLine="567"/>
      </w:pPr>
      <w:r w:rsidRPr="00BA4F0F">
        <w:t xml:space="preserve">Эффективность и безопасность Г-КСФ у пациентов с тяжелыми нарушениями функции почек или печени не изучена, поэтому при использовании препарата у данной категории больных нужно соблюдать осторожность </w:t>
      </w:r>
      <w:r w:rsidRPr="00BA4F0F">
        <w:fldChar w:fldCharType="begin" w:fldLock="1"/>
      </w:r>
      <w:r w:rsidR="003B39A6">
        <w:instrText>ADDIN CSL_CITATION {"citationItems":[{"id":"ITEM-1","itemData":{"DOI":"10.1007/s00520-017-3854-x","ISSN":"14337339","abstract":"Purpose: Filgrastim (NEUPOGEN®) is the originator recombinant human granulocyte colony-stimulating factor widely used for preventing neutropenia-related infections and mobilizing hematopoietic stem cells. This report presents findings of a systematic literature review and meta-analysis of efficacy and safety of originator filgrastim to update previous reports. Methods: A literature search of electronic databases, congress abstracts, and bibliographies of recent reviews was conducted to identify English-language reports of clinical trials and observational studies evaluating filgrastim in its US-approved indications up to February 2015. Two independent reviewers assessed titles/abstracts and full texts of publications, and extracted data from studies that compared originator filgrastim vs placebo or no treatment. For outcomes with sufficient homogeneous data reported across studies, meta-analysis was performed and relative risk (RR) determined. Data were summarized descriptively for all other evaluated outcomes. Results: A total of 1194 unique articles evaluating originator filgrastim were identified, with 25 meeting eligibility criteria for data extraction: 18 randomized controlled trials, 2 nonrandomized clinical trials, and 5 observational studies. In chemotherapy-induced neutropenia (CIN), filgrastim vs placebo or no treatment significantly reduced febrile neutropenia incidence (RR 0.63, 95% CI 0.53–0.75) and grade 3 or 4 neutropenia incidence (RR 0.50, 95% CI 0.37–0.68). The most commonly reported adverse event (AE) with filgrastim was bone pain (RR 2.61, 95% CI 1.29–5.27 in CIN). Additional efficacy and safety outcomes are described within indications. Conclusions: This systematic literature review and meta-analysis confirms and updates previous reports on the efficacy and safety of originator filgrastim. Bone pain was the commonly reported AE associated with filgrastim use.","author":[{"dropping-particle":"","family":"Dale","given":"David C.","non-dropping-particle":"","parse-names":false,"suffix":""},{"dropping-particle":"","family":"Crawford","given":"Jeffrey","non-dropping-particle":"","parse-names":false,"suffix":""},{"dropping-particle":"","family":"Klippel","given":"Zandra","non-dropping-particle":"","parse-names":false,"suffix":""},{"dropping-particle":"","family":"Reiner","given":"Maureen","non-dropping-particle":"","parse-names":false,"suffix":""},{"dropping-particle":"","family":"Osslund","given":"Timothy","non-dropping-particle":"","parse-names":false,"suffix":""},{"dropping-particle":"","family":"Fan","given":"Ellen","non-dropping-particle":"","parse-names":false,"suffix":""},{"dropping-particle":"","family":"Morrow","given":"Phuong Khanh","non-dropping-particle":"","parse-names":false,"suffix":""},{"dropping-particle":"","family":"Allcott","given":"Kim","non-dropping-particle":"","parse-names":false,"suffix":""},{"dropping-particle":"","family":"Lyman","given":"Gary H.","non-dropping-particle":"","parse-names":false,"suffix":""}],"container-title":"Supportive Care in Cancer","id":"ITEM-1","issue":"1","issued":{"date-parts":[["2018","1"]]},"page":"7-20","publisher":"Springer Verlag","title":"A systematic literature review of the efficacy, effectiveness, and safety of filgrastim","type":"article","volume":"26"},"uris":["http://www.mendeley.com/documents/?uuid=550ab93e-65c6-3635-bdec-ce1335957f6b","http://www.mendeley.com/documents/?uuid=81154266-ebc4-4411-a600-130a38d299b0","http://www.mendeley.com/documents/?uuid=c2be01fc-c6e8-4713-b92d-b16c6c5c4162","http://www.mendeley.com/documents/?uuid=51012d54-9729-4c59-8188-bd27dd02ced0","http://www.mendeley.com/documents/?uuid=7b228875-1c78-4dc7-aa5d-6018d173c1d5","http://www.mendeley.com/documents/?uuid=330cd959-497b-4a4c-b7a0-3a2c812989a6","http://www.mendeley.com/documents/?uuid=5ddce061-fa65-466f-9706-626067ecf30d"]}],"mendeley":{"formattedCitation":"[120]","plainTextFormattedCitation":"[120]","previouslyFormattedCitation":"[120]"},"properties":{"noteIndex":0},"schema":"https://github.com/citation-style-language/schema/raw/master/csl-citation.json"}</w:instrText>
      </w:r>
      <w:r w:rsidRPr="00BA4F0F">
        <w:fldChar w:fldCharType="separate"/>
      </w:r>
      <w:r w:rsidRPr="00E83B26">
        <w:rPr>
          <w:noProof/>
        </w:rPr>
        <w:t>[120]</w:t>
      </w:r>
      <w:r w:rsidRPr="00BA4F0F">
        <w:fldChar w:fldCharType="end"/>
      </w:r>
      <w:r w:rsidRPr="00BA4F0F">
        <w:t xml:space="preserve">. </w:t>
      </w:r>
    </w:p>
    <w:p w14:paraId="4F8FFAE4" w14:textId="77777777" w:rsidR="00E83B26" w:rsidRPr="00BA4F0F" w:rsidRDefault="00E83B26" w:rsidP="00E83B26">
      <w:pPr>
        <w:rPr>
          <w:b/>
          <w:i/>
        </w:rPr>
      </w:pPr>
    </w:p>
    <w:p w14:paraId="6198D6F7" w14:textId="77777777" w:rsidR="00E83B26" w:rsidRPr="00BA4F0F" w:rsidRDefault="00E83B26" w:rsidP="00E83B26">
      <w:pPr>
        <w:rPr>
          <w:b/>
          <w:i/>
        </w:rPr>
      </w:pPr>
      <w:r w:rsidRPr="00BA4F0F">
        <w:rPr>
          <w:b/>
          <w:i/>
        </w:rPr>
        <w:t>Побочные эффекты Г-КСФ</w:t>
      </w:r>
    </w:p>
    <w:p w14:paraId="3F7BAF47" w14:textId="77777777" w:rsidR="00E83B26" w:rsidRPr="00BA4F0F" w:rsidRDefault="00E83B26" w:rsidP="00E83B26">
      <w:pPr>
        <w:ind w:firstLine="567"/>
      </w:pPr>
      <w:r w:rsidRPr="00BA4F0F">
        <w:t>Нежелательные явления после назначения встречаются в 30% случаев, как у пациентов, так и у здоровых доноров.</w:t>
      </w:r>
    </w:p>
    <w:p w14:paraId="06FFFFB4" w14:textId="152564E7" w:rsidR="00E83B26" w:rsidRPr="00BA4F0F" w:rsidRDefault="00E83B26" w:rsidP="00E83B26">
      <w:pPr>
        <w:ind w:firstLine="567"/>
      </w:pPr>
      <w:r w:rsidRPr="00BA4F0F">
        <w:t xml:space="preserve">Наиболее частые осложнения: боли в костях, головные боли, общая слабость. Реже встречаются миалгии, тревога, бессонница, гипергидроз, лихорадка, тошнота, кожные реакции в месте введения </w:t>
      </w:r>
      <w:r w:rsidRPr="00BA4F0F">
        <w:fldChar w:fldCharType="begin" w:fldLock="1"/>
      </w:r>
      <w:r w:rsidR="003B39A6">
        <w:instrText>ADDIN CSL_CITATION {"citationItems":[{"id":"ITEM-1","itemData":{"DOI":"10.1200/JCO.2015.62.3488","ISSN":"15277755","PMID":"26169616","abstract":"Purpose To update the 2006 American Society of Clinical Oncology guideline on the use of hematopoietic colony-stimulating factors (CSFs). Methods The American Society of Clinical Oncology convened an Update Committee and conducted a systematic review of randomized clinical trials, meta-analyses, and systematic reviews from October 2005 through September 2014. Guideline recommendations were based on the review of the evidence by the Update Committee. Results Changes to previous recommendations include the addition of tbo-filgrastim and filgrastim-sndz, moderation of the recommendation regarding routine use of CSFs in older patients with diffuse aggressive lymphoma, and addition of recommendations against routine dose-dense chemotherapy in lymphoma and in favor of high- dose-intensity chemotherapy in urothelial cancer. The Update Committee did not address recommendations regarding use of CSFs in acute myeloid leukemia or myelodysplastic syndromes in adults. Recommendations Prophylactic use of CSFs to reduce the risk of febrile neutropenia is warranted when the risk of febrile neutropenia is approximately 20% or higher and no other equally effective and safe regimen that does not require CSFs is available. Primary prophylaxis is recommended for the prevention of febrile neutropenia in patients who are at high risk on the basis of age, medical history, disease characteristics, and myelotoxicity of the chemotherapy regimen. Dose-dense regimens that require CSFs should only be used within an appropriately designed clinical trial or if supported by convincing efficacy data. Current recommendations for the management of patients exposed to lethal doses of total-body radiotherapy, but not doses high enough to lead to certain death as a result of injury to other organs, include the prompt administration of CSFs.","author":[{"dropping-particle":"","family":"Smith","given":"Thomas J.","non-dropping-particle":"","parse-names":false,"suffix":""},{"dropping-particle":"","family":"Bohlke","given":"Kari","non-dropping-particle":"","parse-names":false,"suffix":""},{"dropping-particle":"","family":"Lyman","given":"Gary H.","non-dropping-particle":"","parse-names":false,"suffix":""},{"dropping-particle":"","family":"Carson","given":"Kenneth R.","non-dropping-particle":"","parse-names":false,"suffix":""},{"dropping-particle":"","family":"Crawford","given":"Jeffrey","non-dropping-particle":"","parse-names":false,"suffix":""},{"dropping-particle":"","family":"Cross","given":"Scott J.","non-dropping-particle":"","parse-names":false,"suffix":""},{"dropping-particle":"","family":"Goldberg","given":"John M.","non-dropping-particle":"","parse-names":false,"suffix":""},{"dropping-particle":"","family":"Khatcheressian","given":"James L.","non-dropping-particle":"","parse-names":false,"suffix":""},{"dropping-particle":"","family":"Leighl","given":"Natasha B.","non-dropping-particle":"","parse-names":false,"suffix":""},{"dropping-particle":"","family":"Perkins","given":"Cheryl L.","non-dropping-particle":"","parse-names":false,"suffix":""},{"dropping-particle":"","family":"Somlo","given":"George","non-dropping-particle":"","parse-names":false,"suffix":""},{"dropping-particle":"","family":"Wade","given":"James L.","non-dropping-particle":"","parse-names":false,"suffix":""},{"dropping-particle":"","family":"Wozniak","given":"Antoinette J.","non-dropping-particle":"","parse-names":false,"suffix":""},{"dropping-particle":"","family":"Armitage","given":"James O.","non-dropping-particle":"","parse-names":false,"suffix":""}],"container-title":"Journal of Clinical Oncology","id":"ITEM-1","issue":"28","issued":{"date-parts":[["2015","10"]]},"page":"3199-3212","publisher":"American Society of Clinical Oncology","title":"Recommendations for the use of WBC growth factors: American society of clinical oncology clinical practice guideline update","type":"article-journal","volume":"33"},"uris":["http://www.mendeley.com/documents/?uuid=996f59f3-1fa6-3fdf-aac4-35481ffe75e2","http://www.mendeley.com/documents/?uuid=77b4204a-c7e8-425a-b269-9b71b8f10079","http://www.mendeley.com/documents/?uuid=baf8a5c7-f217-426b-bdd6-7823d15881a5","http://www.mendeley.com/documents/?uuid=029b05a4-3aab-45bc-848d-3c17ab334b1a","http://www.mendeley.com/documents/?uuid=c4b68753-8af0-43d3-9c09-5a220cdb4e31","http://www.mendeley.com/documents/?uuid=aea3c5b8-ada6-45f7-8bc1-f029c0318fdc","http://www.mendeley.com/documents/?uuid=0f204161-3323-434c-b1c0-eb5ffafca3ca"]}],"mendeley":{"formattedCitation":"[121]","plainTextFormattedCitation":"[121]","previouslyFormattedCitation":"[121]"},"properties":{"noteIndex":0},"schema":"https://github.com/citation-style-language/schema/raw/master/csl-citation.json"}</w:instrText>
      </w:r>
      <w:r w:rsidRPr="00BA4F0F">
        <w:fldChar w:fldCharType="separate"/>
      </w:r>
      <w:r w:rsidRPr="00E83B26">
        <w:rPr>
          <w:noProof/>
        </w:rPr>
        <w:t>[121]</w:t>
      </w:r>
      <w:r w:rsidRPr="00BA4F0F">
        <w:fldChar w:fldCharType="end"/>
      </w:r>
      <w:r w:rsidRPr="00BA4F0F">
        <w:t xml:space="preserve">. </w:t>
      </w:r>
    </w:p>
    <w:p w14:paraId="260145C1" w14:textId="77777777" w:rsidR="00E83B26" w:rsidRPr="00BA4F0F" w:rsidRDefault="00E83B26" w:rsidP="00E83B26">
      <w:pPr>
        <w:ind w:firstLine="567"/>
      </w:pPr>
      <w:r w:rsidRPr="00BA4F0F">
        <w:t>Оссалгии связаны с изменением метаболизма костной ткани под действием Г-КСФ. Боли могут быть интенсивными, пульсирующего характера, чаще локализованы в позвоночнике, костях таза. Выраженный болевой синдром в костях во время мобилизации ГСК требует адекватной аналгезии.</w:t>
      </w:r>
    </w:p>
    <w:p w14:paraId="19DDBAC8" w14:textId="77777777" w:rsidR="00E83B26" w:rsidRPr="00BA4F0F" w:rsidRDefault="00E83B26" w:rsidP="00E83B26">
      <w:pPr>
        <w:pStyle w:val="afe"/>
        <w:ind w:left="0"/>
        <w:rPr>
          <w:rFonts w:cs="Times New Roman"/>
          <w:b/>
          <w:szCs w:val="24"/>
        </w:rPr>
      </w:pPr>
    </w:p>
    <w:p w14:paraId="6A5350F0" w14:textId="77777777" w:rsidR="00E83B26" w:rsidRPr="00BA4F0F" w:rsidRDefault="00E83B26" w:rsidP="00E83B26">
      <w:pPr>
        <w:pStyle w:val="afe"/>
        <w:ind w:left="0"/>
        <w:rPr>
          <w:rFonts w:cs="Times New Roman"/>
          <w:szCs w:val="24"/>
          <w:u w:val="single"/>
        </w:rPr>
      </w:pPr>
      <w:r w:rsidRPr="00BA4F0F">
        <w:rPr>
          <w:rFonts w:cs="Times New Roman"/>
          <w:szCs w:val="24"/>
          <w:u w:val="single"/>
        </w:rPr>
        <w:t>Плериксафор</w:t>
      </w:r>
    </w:p>
    <w:p w14:paraId="1954EF91" w14:textId="77777777" w:rsidR="00E83B26" w:rsidRPr="00BA4F0F" w:rsidRDefault="00E83B26" w:rsidP="00E83B26">
      <w:pPr>
        <w:ind w:firstLine="567"/>
      </w:pPr>
      <w:r w:rsidRPr="00BA4F0F">
        <w:t xml:space="preserve">Клетки стромы костного мозга секретируют стромальный фактор роста-1α (SDF-1α, CXCL12). Рецептором SDF-1α является CXCR4, который присутствует на поверхности ГСК. Взаимодействие между SDF-1α и его рецептором CXCR4 является необходимым для «удержания» стволовой клетки в костном мозге. </w:t>
      </w:r>
    </w:p>
    <w:p w14:paraId="6A774220" w14:textId="77777777" w:rsidR="00E83B26" w:rsidRPr="00BA4F0F" w:rsidRDefault="00E83B26" w:rsidP="00E83B26">
      <w:pPr>
        <w:ind w:firstLine="567"/>
      </w:pPr>
      <w:r w:rsidRPr="00BA4F0F">
        <w:t xml:space="preserve">Плериксафор –селективный обратимый антагонист хемокинового рецептора CXCR4. Он блокирует CXCR4 за счет связывания с фактором SDF-1α, в результате чего ГСК «отрывается» от стромы костного мозга и выходит в периферическую кровь. </w:t>
      </w:r>
    </w:p>
    <w:p w14:paraId="7C30A528" w14:textId="2AE2DCA3" w:rsidR="00E83B26" w:rsidRPr="00BA4F0F" w:rsidRDefault="00E83B26" w:rsidP="00E83B26">
      <w:pPr>
        <w:ind w:firstLine="567"/>
      </w:pPr>
      <w:r w:rsidRPr="00BA4F0F">
        <w:t xml:space="preserve">Считается, что индуцированный плериксафором лейкоцитоз и увеличение количества циркулирующих гемопоэтических прогениторных клеток является результатом нарушения связи между CXCR4 и его лигандом, которое приводит к появлению в системном кровотоке как зрелых, так и полипотентных клеток. CD34+ клетки, мобилизованные с помощью плериксафора, являются функциональными и способными к приживлению, с долгосрочным потенциалом восстановления популяции </w:t>
      </w:r>
      <w:r w:rsidRPr="00BA4F0F">
        <w:fldChar w:fldCharType="begin" w:fldLock="1"/>
      </w:r>
      <w:r w:rsidR="003B39A6">
        <w:instrText>ADDIN CSL_CITATION {"citationItems":[{"id":"ITEM-1","itemData":{"DOI":"10.1097/MOH.0000000000000200","ISSN":"15317048","abstract":"Purpose of review Nowadays, plerixafor is approved for patients who fail to mobilize sufficient CD34+ cells for an autologous stem cell transplantation. Plerixafor is effective in the majority of these patients, who otherwise could not be treated adequately. We discussed in this review the current status of the optimal use of plerixafor in different clinical diagnoses and settings. Recent findings Plerixafor seems to be more effective in patients with multiple myeloma than in lymphoma. Even patients who had very low circulating CD34+ cells before administration of plerixafor have an important benefit. Several strategies in different clinical settings showed an effective response after administration of plerixafor, without the superiority of one strategy. Plerixafor is well tolerated with acceptable toxicity; however, it is an expensive drug. Summary Plerixafor is an effective drug in patients who fail to mobilize with conventional strategy. No strategy seems superior for the optimal use of plerixafor. More studies focusing on the kinetics and cost-effectiveness are needed.","author":[{"dropping-particle":"","family":"Bilgin","given":"Yavuz M.","non-dropping-particle":"","parse-names":false,"suffix":""},{"dropping-particle":"","family":"Greef","given":"Georgine E.","non-dropping-particle":"De","parse-names":false,"suffix":""}],"container-title":"Current Opinion in Hematology","id":"ITEM-1","issue":"1","issued":{"date-parts":[["2016"]]},"page":"67-71","publisher":"Lippincott Williams and Wilkins","title":"Plerixafor for stem cell mobilization: The current status","type":"article","volume":"23"},"uris":["http://www.mendeley.com/documents/?uuid=772496d3-3f49-3543-8e45-953927e66576","http://www.mendeley.com/documents/?uuid=0e6ef96a-3564-45dd-86c9-2dcce383b7dc","http://www.mendeley.com/documents/?uuid=80ac083b-a6cc-43ec-ac5c-5dd1106427cb","http://www.mendeley.com/documents/?uuid=d683afc4-05d3-4238-aa1a-cbd32aa0e13a","http://www.mendeley.com/documents/?uuid=b4dd41b8-108e-46be-ac3b-33a16d49ba72","http://www.mendeley.com/documents/?uuid=4631457b-a0e4-4adb-98c7-81b6f793c719","http://www.mendeley.com/documents/?uuid=2945107f-96a2-4ce6-a467-54c0b3287fab"]}],"mendeley":{"formattedCitation":"[122]","plainTextFormattedCitation":"[122]","previouslyFormattedCitation":"[122]"},"properties":{"noteIndex":0},"schema":"https://github.com/citation-style-language/schema/raw/master/csl-citation.json"}</w:instrText>
      </w:r>
      <w:r w:rsidRPr="00BA4F0F">
        <w:fldChar w:fldCharType="separate"/>
      </w:r>
      <w:r w:rsidRPr="00E83B26">
        <w:rPr>
          <w:noProof/>
        </w:rPr>
        <w:t>[122]</w:t>
      </w:r>
      <w:r w:rsidRPr="00BA4F0F">
        <w:fldChar w:fldCharType="end"/>
      </w:r>
      <w:r w:rsidRPr="00BA4F0F">
        <w:t>.</w:t>
      </w:r>
    </w:p>
    <w:p w14:paraId="713CE012" w14:textId="77777777" w:rsidR="00E83B26" w:rsidRPr="00BA4F0F" w:rsidRDefault="00E83B26" w:rsidP="00E83B26">
      <w:pPr>
        <w:ind w:firstLine="567"/>
      </w:pPr>
      <w:r w:rsidRPr="00BA4F0F">
        <w:t>Плериксафор применяется для усиления мобилизации гемопоэтических стволовых клеток в периферический кровоток с целью их сбора и последующей ауто-ТГСК пациентам с лимфомой и множественной миеломой в сочетании с Г-КСФ.</w:t>
      </w:r>
    </w:p>
    <w:p w14:paraId="476D0C26" w14:textId="77777777" w:rsidR="00E83B26" w:rsidRPr="00BA4F0F" w:rsidRDefault="00E83B26" w:rsidP="00E83B26">
      <w:pPr>
        <w:pStyle w:val="afe"/>
        <w:rPr>
          <w:rFonts w:cs="Times New Roman"/>
          <w:b/>
          <w:szCs w:val="24"/>
        </w:rPr>
      </w:pPr>
    </w:p>
    <w:p w14:paraId="3D77E027" w14:textId="77777777" w:rsidR="00E83B26" w:rsidRPr="00BA4F0F" w:rsidRDefault="00E83B26" w:rsidP="00E83B26">
      <w:pPr>
        <w:rPr>
          <w:b/>
          <w:i/>
        </w:rPr>
      </w:pPr>
      <w:r w:rsidRPr="00BA4F0F">
        <w:rPr>
          <w:b/>
          <w:i/>
          <w:lang w:val="en-US"/>
        </w:rPr>
        <w:t>P</w:t>
      </w:r>
      <w:r w:rsidRPr="00BA4F0F">
        <w:rPr>
          <w:b/>
          <w:i/>
        </w:rPr>
        <w:t>ежим дозирования плериксафора</w:t>
      </w:r>
    </w:p>
    <w:p w14:paraId="3ADF038C" w14:textId="77777777" w:rsidR="00E83B26" w:rsidRPr="00BA4F0F" w:rsidRDefault="00E83B26" w:rsidP="00E83B26">
      <w:pPr>
        <w:ind w:firstLine="567"/>
      </w:pPr>
      <w:r w:rsidRPr="00BA4F0F">
        <w:t>Рекомендованная доза плериксафора составляет 0,24 мг/кг/сут. Препарат вводят подкожно за 6-11 ч до начала афереза после предварительной 4-дневной терапии Г-КСФ. В клинических исследованиях препарат обычно использовался в течение 2-4 дней подряд (до 7 дней непрерывного применения).</w:t>
      </w:r>
    </w:p>
    <w:p w14:paraId="1897E15C" w14:textId="77777777" w:rsidR="00E83B26" w:rsidRPr="00BA4F0F" w:rsidRDefault="00E83B26" w:rsidP="00E83B26">
      <w:pPr>
        <w:ind w:firstLine="567"/>
      </w:pPr>
      <w:r w:rsidRPr="00BA4F0F">
        <w:t>У пациентов с нарушением функции почек при скорости клубочковой фильтрации (СКФ) менее 50 мл/мин дозу плериксафора следует уменьшить на 1/3 до 0,16 мг/кг/сут. Клинические данные по применению скорректированной дозы препарата ограничены. Имеющийся опыт клинического применения плериксафора не позволяет дать рекомендаций по дозированию препарата при СКФ менее 20 мл/мин.</w:t>
      </w:r>
    </w:p>
    <w:p w14:paraId="15AD558D" w14:textId="77777777" w:rsidR="00E83B26" w:rsidRPr="00BA4F0F" w:rsidRDefault="00E83B26" w:rsidP="00E83B26">
      <w:pPr>
        <w:pStyle w:val="afe"/>
        <w:rPr>
          <w:rFonts w:cs="Times New Roman"/>
          <w:b/>
          <w:szCs w:val="24"/>
        </w:rPr>
      </w:pPr>
    </w:p>
    <w:p w14:paraId="35B7AE82" w14:textId="77777777" w:rsidR="00E83B26" w:rsidRPr="00BA4F0F" w:rsidRDefault="00E83B26" w:rsidP="00E83B26">
      <w:pPr>
        <w:rPr>
          <w:b/>
          <w:i/>
        </w:rPr>
      </w:pPr>
      <w:r w:rsidRPr="00BA4F0F">
        <w:rPr>
          <w:b/>
          <w:i/>
        </w:rPr>
        <w:t>Особые указания при применении плериксафора</w:t>
      </w:r>
    </w:p>
    <w:p w14:paraId="62AE721D" w14:textId="77777777" w:rsidR="00E83B26" w:rsidRPr="00BA4F0F" w:rsidRDefault="00E83B26" w:rsidP="00E83B26">
      <w:pPr>
        <w:ind w:firstLine="567"/>
        <w:rPr>
          <w:i/>
        </w:rPr>
      </w:pPr>
      <w:r w:rsidRPr="00BA4F0F">
        <w:rPr>
          <w:i/>
        </w:rPr>
        <w:t>Мобилизация опухолевых клеток у пациентов с лейкозами.</w:t>
      </w:r>
    </w:p>
    <w:p w14:paraId="595CA7E9" w14:textId="77777777" w:rsidR="00E83B26" w:rsidRPr="00BA4F0F" w:rsidRDefault="00E83B26" w:rsidP="00E83B26">
      <w:pPr>
        <w:ind w:firstLine="567"/>
      </w:pPr>
      <w:r w:rsidRPr="00BA4F0F">
        <w:t>Плериксафор и Г-КСФ назначали при остром миелоидном и плазмоцитарном лейкозах в рамках программы по применению исследуемого препарата в индивидуальном порядке. При этом в отдельных случаях наблюдалось увеличение числа циркулирующих лейкемических клеток. Поэтому плериксафор не рекомендуется применять при лейкозах для мобилизации гемопоэтических стволовых клеток и их последующего забора.</w:t>
      </w:r>
    </w:p>
    <w:p w14:paraId="52A28CA1" w14:textId="77777777" w:rsidR="00E83B26" w:rsidRPr="00BA4F0F" w:rsidRDefault="00E83B26" w:rsidP="00E83B26">
      <w:pPr>
        <w:ind w:firstLine="567"/>
        <w:rPr>
          <w:i/>
        </w:rPr>
      </w:pPr>
      <w:r w:rsidRPr="00BA4F0F">
        <w:rPr>
          <w:i/>
        </w:rPr>
        <w:t xml:space="preserve">Тромбоцитопения. </w:t>
      </w:r>
    </w:p>
    <w:p w14:paraId="40F9E769" w14:textId="77777777" w:rsidR="00E83B26" w:rsidRPr="00BA4F0F" w:rsidRDefault="00E83B26" w:rsidP="00E83B26">
      <w:pPr>
        <w:ind w:firstLine="567"/>
      </w:pPr>
      <w:r w:rsidRPr="00BA4F0F">
        <w:t xml:space="preserve">Тромбоцитопения является известным осложнением афереза и наблюдается у пациентов, получающих как Г-КСФ, так и плериксафор. </w:t>
      </w:r>
    </w:p>
    <w:p w14:paraId="4E2F88B3" w14:textId="77777777" w:rsidR="00E83B26" w:rsidRPr="00BA4F0F" w:rsidRDefault="00E83B26" w:rsidP="00E83B26">
      <w:pPr>
        <w:ind w:firstLine="567"/>
        <w:rPr>
          <w:i/>
        </w:rPr>
      </w:pPr>
      <w:r w:rsidRPr="00BA4F0F">
        <w:rPr>
          <w:i/>
        </w:rPr>
        <w:t>Возможность мобилизации опухолевых клеток у пациентов с лимфомой и множественной миеломой.</w:t>
      </w:r>
    </w:p>
    <w:p w14:paraId="109C27E7" w14:textId="77777777" w:rsidR="00E83B26" w:rsidRPr="00BA4F0F" w:rsidRDefault="00E83B26" w:rsidP="00E83B26">
      <w:pPr>
        <w:ind w:firstLine="567"/>
      </w:pPr>
      <w:r w:rsidRPr="00BA4F0F">
        <w:t>Последствия потенциальной реинфузии опухолевых клеток должным образом не изучены. При применении плериксафора в сочетании с Г-КСФ для мобилизации гемопоэтических стволовых клеток при лимфоме или множественной миеломе (ММ) возможно высвобождение опухолевых клеток из костного мозга и их последующий забор при лейкаферезе. Клиническое значение возможного риска мобилизации опухолевых клеток определено не полностью. В клинических исследованиях с участием пациентов с неходжкинской лимфомой и множественной миеломой не наблюдалось мобилизации клеток опухоли при применении плериксафора.</w:t>
      </w:r>
    </w:p>
    <w:p w14:paraId="51B37979" w14:textId="77777777" w:rsidR="00E83B26" w:rsidRPr="00BA4F0F" w:rsidRDefault="00E83B26" w:rsidP="00E83B26">
      <w:pPr>
        <w:ind w:firstLine="567"/>
        <w:rPr>
          <w:i/>
        </w:rPr>
      </w:pPr>
      <w:r w:rsidRPr="00BA4F0F">
        <w:rPr>
          <w:i/>
        </w:rPr>
        <w:t>Вазовагальные реакции</w:t>
      </w:r>
    </w:p>
    <w:p w14:paraId="6D47E568" w14:textId="77777777" w:rsidR="00E83B26" w:rsidRPr="00BA4F0F" w:rsidRDefault="00E83B26" w:rsidP="00E83B26">
      <w:pPr>
        <w:ind w:firstLine="567"/>
      </w:pPr>
      <w:r w:rsidRPr="00BA4F0F">
        <w:t>После подкожной инъекций препарата могут отмечаться вазовагальные реакции, ортостатическая гипотензия и/или синкопе.</w:t>
      </w:r>
    </w:p>
    <w:p w14:paraId="7A38A76F" w14:textId="77777777" w:rsidR="00E83B26" w:rsidRPr="00BA4F0F" w:rsidRDefault="00E83B26" w:rsidP="00E83B26">
      <w:pPr>
        <w:ind w:firstLine="567"/>
        <w:rPr>
          <w:i/>
        </w:rPr>
      </w:pPr>
      <w:r w:rsidRPr="00BA4F0F">
        <w:rPr>
          <w:i/>
        </w:rPr>
        <w:t>Спленомегалия</w:t>
      </w:r>
    </w:p>
    <w:p w14:paraId="6A7C59D0" w14:textId="77777777" w:rsidR="00E83B26" w:rsidRPr="00BA4F0F" w:rsidRDefault="00E83B26" w:rsidP="00E83B26">
      <w:pPr>
        <w:ind w:firstLine="567"/>
      </w:pPr>
      <w:r w:rsidRPr="00BA4F0F">
        <w:t>В клинических исследованиях влияние плериксафора на размер селезенки специально не оценивалось. Учитывая, что использование Г-КСФ может провоцировать спленомегалию, а также сочетанное применение плериксафора и Г-КСФ, необходимо регулярно контролировать размеры селезенки.</w:t>
      </w:r>
    </w:p>
    <w:p w14:paraId="3F8E7095" w14:textId="77777777" w:rsidR="00E83B26" w:rsidRPr="00BA4F0F" w:rsidRDefault="00E83B26" w:rsidP="00E83B26">
      <w:pPr>
        <w:pStyle w:val="afe"/>
        <w:rPr>
          <w:rFonts w:cs="Times New Roman"/>
          <w:b/>
          <w:szCs w:val="24"/>
        </w:rPr>
      </w:pPr>
    </w:p>
    <w:p w14:paraId="5681CCCF" w14:textId="77777777" w:rsidR="00E83B26" w:rsidRPr="00BA4F0F" w:rsidRDefault="00E83B26" w:rsidP="00E83B26">
      <w:pPr>
        <w:rPr>
          <w:b/>
          <w:i/>
        </w:rPr>
      </w:pPr>
      <w:r w:rsidRPr="00BA4F0F">
        <w:rPr>
          <w:b/>
          <w:i/>
        </w:rPr>
        <w:t>Побочные эффекты плериксафора</w:t>
      </w:r>
    </w:p>
    <w:p w14:paraId="4C9B0261" w14:textId="77777777" w:rsidR="00E83B26" w:rsidRPr="00BA4F0F" w:rsidRDefault="00E83B26" w:rsidP="00E83B26">
      <w:pPr>
        <w:ind w:firstLine="567"/>
      </w:pPr>
      <w:r w:rsidRPr="00BA4F0F">
        <w:t>Наиболее частые осложнения: скелетно-мышечная боль, головные боли, головокружение, бессонница, общая слабость, диарея, тошнота. Также встречаются метеоризм, запор, сухость во рту, гипергидроз, кожные реакции в месте введения</w:t>
      </w:r>
    </w:p>
    <w:p w14:paraId="71B733A1" w14:textId="77777777" w:rsidR="00E83B26" w:rsidRPr="00BA4F0F" w:rsidRDefault="00E83B26" w:rsidP="00E83B26">
      <w:pPr>
        <w:pStyle w:val="11"/>
        <w:spacing w:before="0"/>
        <w:ind w:left="480"/>
      </w:pPr>
      <w:bookmarkStart w:id="134" w:name="_Toc44926604"/>
    </w:p>
    <w:p w14:paraId="1C449303" w14:textId="77777777" w:rsidR="00E83B26" w:rsidRPr="00143DAF" w:rsidRDefault="00E83B26" w:rsidP="00E83B26">
      <w:pPr>
        <w:pStyle w:val="1ff0"/>
        <w:spacing w:beforeAutospacing="0" w:afterAutospacing="0" w:line="360" w:lineRule="auto"/>
        <w:rPr>
          <w:rFonts w:eastAsiaTheme="minorHAnsi"/>
          <w:i/>
          <w:iCs/>
          <w:u w:val="single"/>
        </w:rPr>
      </w:pPr>
      <w:bookmarkStart w:id="135" w:name="_Toc64475919"/>
      <w:r w:rsidRPr="00143DAF">
        <w:rPr>
          <w:rFonts w:eastAsiaTheme="minorHAnsi"/>
          <w:i/>
          <w:iCs/>
          <w:u w:val="single"/>
        </w:rPr>
        <w:t>Режимы мобилизации ГСК</w:t>
      </w:r>
      <w:bookmarkEnd w:id="134"/>
      <w:bookmarkEnd w:id="135"/>
    </w:p>
    <w:p w14:paraId="0DC8A6BF" w14:textId="77777777" w:rsidR="00E83B26" w:rsidRPr="00BA4F0F" w:rsidRDefault="00E83B26" w:rsidP="00E83B26">
      <w:pPr>
        <w:autoSpaceDE w:val="0"/>
        <w:autoSpaceDN w:val="0"/>
        <w:adjustRightInd w:val="0"/>
        <w:ind w:firstLine="567"/>
      </w:pPr>
      <w:r w:rsidRPr="00BA4F0F">
        <w:t>В настоящее время в онкогематологии широкое распространение получили следующие режимы мобилизации ГСК:</w:t>
      </w:r>
    </w:p>
    <w:p w14:paraId="65B199E4" w14:textId="77777777" w:rsidR="00E83B26" w:rsidRPr="00BA4F0F" w:rsidRDefault="00E83B26" w:rsidP="00A555B2">
      <w:pPr>
        <w:numPr>
          <w:ilvl w:val="0"/>
          <w:numId w:val="113"/>
        </w:numPr>
        <w:contextualSpacing/>
      </w:pPr>
      <w:r w:rsidRPr="00BA4F0F">
        <w:t>Г-КСФ в монорежиме</w:t>
      </w:r>
    </w:p>
    <w:p w14:paraId="6969BBFB" w14:textId="77777777" w:rsidR="00E83B26" w:rsidRPr="00BA4F0F" w:rsidRDefault="00E83B26" w:rsidP="00A555B2">
      <w:pPr>
        <w:numPr>
          <w:ilvl w:val="0"/>
          <w:numId w:val="113"/>
        </w:numPr>
        <w:contextualSpacing/>
      </w:pPr>
      <w:r w:rsidRPr="00BA4F0F">
        <w:t>Г-КСФ после миелосупрессивной химиотерапии (ХТ + Г-КСФ)</w:t>
      </w:r>
    </w:p>
    <w:p w14:paraId="185D8B90" w14:textId="77777777" w:rsidR="00E83B26" w:rsidRPr="00BA4F0F" w:rsidRDefault="00E83B26" w:rsidP="00A555B2">
      <w:pPr>
        <w:numPr>
          <w:ilvl w:val="0"/>
          <w:numId w:val="113"/>
        </w:numPr>
        <w:contextualSpacing/>
      </w:pPr>
      <w:r w:rsidRPr="00BA4F0F">
        <w:t>Г-КСФ в сочетании с плериксафором</w:t>
      </w:r>
    </w:p>
    <w:p w14:paraId="57BFE50F" w14:textId="77777777" w:rsidR="00E83B26" w:rsidRPr="00BA4F0F" w:rsidRDefault="00E83B26" w:rsidP="00E83B26">
      <w:pPr>
        <w:pStyle w:val="afe"/>
        <w:ind w:left="0"/>
        <w:rPr>
          <w:rFonts w:cs="Times New Roman"/>
          <w:szCs w:val="24"/>
          <w:u w:val="single"/>
        </w:rPr>
      </w:pPr>
      <w:bookmarkStart w:id="136" w:name="_Toc44926605"/>
    </w:p>
    <w:p w14:paraId="77C350CE" w14:textId="77777777" w:rsidR="00E83B26" w:rsidRPr="00BA4F0F" w:rsidRDefault="00E83B26" w:rsidP="00E83B26">
      <w:pPr>
        <w:pStyle w:val="afe"/>
        <w:ind w:left="0"/>
        <w:rPr>
          <w:rFonts w:cs="Times New Roman"/>
          <w:szCs w:val="24"/>
          <w:u w:val="single"/>
        </w:rPr>
      </w:pPr>
      <w:r w:rsidRPr="00BA4F0F">
        <w:rPr>
          <w:rFonts w:cs="Times New Roman"/>
          <w:szCs w:val="24"/>
          <w:u w:val="single"/>
        </w:rPr>
        <w:t>Г-КСФ в монорежиме</w:t>
      </w:r>
      <w:bookmarkEnd w:id="136"/>
    </w:p>
    <w:p w14:paraId="1AFFDF4E" w14:textId="77777777" w:rsidR="00E83B26" w:rsidRPr="00BA4F0F" w:rsidRDefault="00E83B26" w:rsidP="00E83B26">
      <w:pPr>
        <w:ind w:firstLine="567"/>
      </w:pPr>
      <w:r w:rsidRPr="00BA4F0F">
        <w:t>Данный режим также называют «мобилизация на стабильном состоянии кроветворения», так как у пациента не развивается миелотоксический агранулоцитоз (МТА).</w:t>
      </w:r>
    </w:p>
    <w:p w14:paraId="65267F89" w14:textId="77777777" w:rsidR="00E83B26" w:rsidRPr="00BA4F0F" w:rsidRDefault="00E83B26" w:rsidP="00E83B26">
      <w:pPr>
        <w:contextualSpacing/>
        <w:rPr>
          <w:b/>
        </w:rPr>
      </w:pPr>
      <w:r w:rsidRPr="00BA4F0F">
        <w:rPr>
          <w:b/>
        </w:rPr>
        <w:t xml:space="preserve">Показания </w:t>
      </w:r>
    </w:p>
    <w:p w14:paraId="10F7A08F" w14:textId="77777777" w:rsidR="00E83B26" w:rsidRPr="00BA4F0F" w:rsidRDefault="00E83B26" w:rsidP="00A555B2">
      <w:pPr>
        <w:numPr>
          <w:ilvl w:val="0"/>
          <w:numId w:val="205"/>
        </w:numPr>
        <w:ind w:left="426"/>
        <w:contextualSpacing/>
      </w:pPr>
      <w:r w:rsidRPr="00BA4F0F">
        <w:t>Мобилизация ГСК у здоровых доноров;</w:t>
      </w:r>
    </w:p>
    <w:p w14:paraId="06D7561C" w14:textId="77777777" w:rsidR="00E83B26" w:rsidRPr="00BA4F0F" w:rsidRDefault="00E83B26" w:rsidP="00A555B2">
      <w:pPr>
        <w:numPr>
          <w:ilvl w:val="0"/>
          <w:numId w:val="205"/>
        </w:numPr>
        <w:ind w:left="426"/>
        <w:contextualSpacing/>
      </w:pPr>
      <w:r w:rsidRPr="00BA4F0F">
        <w:t xml:space="preserve"> Мобилизация ГСК у пациентов с онкогематологическими заболеваниями;</w:t>
      </w:r>
    </w:p>
    <w:p w14:paraId="0E0F2094" w14:textId="77777777" w:rsidR="00E83B26" w:rsidRPr="00BA4F0F" w:rsidRDefault="00E83B26" w:rsidP="00A555B2">
      <w:pPr>
        <w:numPr>
          <w:ilvl w:val="0"/>
          <w:numId w:val="205"/>
        </w:numPr>
        <w:ind w:left="426"/>
        <w:contextualSpacing/>
      </w:pPr>
      <w:r w:rsidRPr="00BA4F0F">
        <w:t>Мобилизация ГСК у пациентов, проведение которым режима «ХТ+ Г-КСФ» не является безопасным (при наличии коморбидности, кардиальной патологии, диализ-зависимой почечной недостаточности);</w:t>
      </w:r>
    </w:p>
    <w:p w14:paraId="75618E47" w14:textId="77777777" w:rsidR="00E83B26" w:rsidRPr="00BA4F0F" w:rsidRDefault="00E83B26" w:rsidP="00A555B2">
      <w:pPr>
        <w:numPr>
          <w:ilvl w:val="0"/>
          <w:numId w:val="205"/>
        </w:numPr>
        <w:ind w:left="426"/>
        <w:contextualSpacing/>
      </w:pPr>
      <w:r w:rsidRPr="00BA4F0F">
        <w:t>Повторная мобилизация после неудачи первой мобилизации ГСК схемами, включающими миелосупрессивные препараты.</w:t>
      </w:r>
    </w:p>
    <w:p w14:paraId="3A9C22B1" w14:textId="77777777" w:rsidR="00E83B26" w:rsidRPr="00BA4F0F" w:rsidRDefault="00E83B26" w:rsidP="00E83B26">
      <w:pPr>
        <w:contextualSpacing/>
        <w:rPr>
          <w:b/>
        </w:rPr>
      </w:pPr>
      <w:r w:rsidRPr="00BA4F0F">
        <w:rPr>
          <w:b/>
        </w:rPr>
        <w:t>Схема мобилизации ГСК</w:t>
      </w:r>
    </w:p>
    <w:p w14:paraId="12EBC588" w14:textId="77777777" w:rsidR="00E83B26" w:rsidRPr="00BA4F0F" w:rsidRDefault="00E83B26" w:rsidP="00E83B26">
      <w:pPr>
        <w:ind w:firstLine="426"/>
      </w:pPr>
      <w:r w:rsidRPr="00BA4F0F">
        <w:t xml:space="preserve">Г-КСФ назначают в дозе 10 мкг/кг/сутки, вводят подкожно утром (или по 5 мкг 2 раза в сутки). Лейкаферез начинается на четвертый день введения Г-КСФ при наличии адекватного количества </w:t>
      </w:r>
      <w:r w:rsidRPr="00BA4F0F">
        <w:rPr>
          <w:lang w:val="en-US"/>
        </w:rPr>
        <w:t>CD</w:t>
      </w:r>
      <w:r w:rsidRPr="00BA4F0F">
        <w:t xml:space="preserve">34+ клеток в периферической крови. При их количестве более 10-20 клеток/мкл начинают сепарацию клеток. Если </w:t>
      </w:r>
      <w:r w:rsidRPr="00BA4F0F">
        <w:rPr>
          <w:lang w:val="en-US"/>
        </w:rPr>
        <w:t>CD</w:t>
      </w:r>
      <w:r w:rsidRPr="00BA4F0F">
        <w:t>34+ в периферической крови менее 10 клеток/мкл, необходимо отказаться от лейкафереза и повторить подсчет клеток на следующий день. Число сеансов лейкафереза зависит от результатов сбора ГСК, для заготовки оптимального  количества CD34+ клеток необходимо 2 - 4 процедуры (от 1 до 5). В заключительный день проведения лейкафереза Г-КСФ не вводится (таблица 1).</w:t>
      </w:r>
    </w:p>
    <w:p w14:paraId="7A05B517" w14:textId="77777777" w:rsidR="00E83B26" w:rsidRPr="00BA4F0F" w:rsidRDefault="00E83B26" w:rsidP="00E83B26"/>
    <w:p w14:paraId="48012685" w14:textId="77777777" w:rsidR="00E83B26" w:rsidRPr="00BA4F0F" w:rsidRDefault="00E83B26" w:rsidP="00E83B26">
      <w:r w:rsidRPr="00BA4F0F">
        <w:t xml:space="preserve">Таблица 1 . Схема мобилизации ГСК «Г-КСФ в монорежиме» </w:t>
      </w:r>
    </w:p>
    <w:tbl>
      <w:tblPr>
        <w:tblStyle w:val="1f3"/>
        <w:tblW w:w="8930" w:type="dxa"/>
        <w:tblInd w:w="108" w:type="dxa"/>
        <w:tblLook w:val="04A0" w:firstRow="1" w:lastRow="0" w:firstColumn="1" w:lastColumn="0" w:noHBand="0" w:noVBand="1"/>
      </w:tblPr>
      <w:tblGrid>
        <w:gridCol w:w="1583"/>
        <w:gridCol w:w="1142"/>
        <w:gridCol w:w="1139"/>
        <w:gridCol w:w="1139"/>
        <w:gridCol w:w="1142"/>
        <w:gridCol w:w="1143"/>
        <w:gridCol w:w="1642"/>
      </w:tblGrid>
      <w:tr w:rsidR="00E83B26" w:rsidRPr="00BA4F0F" w14:paraId="33EF5576" w14:textId="77777777" w:rsidTr="002D3EBF">
        <w:tc>
          <w:tcPr>
            <w:tcW w:w="1583" w:type="dxa"/>
          </w:tcPr>
          <w:p w14:paraId="6F2F9D32" w14:textId="77777777" w:rsidR="00E83B26" w:rsidRPr="00BA4F0F" w:rsidRDefault="00E83B26" w:rsidP="002D3EBF">
            <w:pPr>
              <w:ind w:firstLine="0"/>
            </w:pPr>
            <w:r w:rsidRPr="00BA4F0F">
              <w:t>Дни</w:t>
            </w:r>
          </w:p>
        </w:tc>
        <w:tc>
          <w:tcPr>
            <w:tcW w:w="1142" w:type="dxa"/>
          </w:tcPr>
          <w:p w14:paraId="10AE820D" w14:textId="77777777" w:rsidR="00E83B26" w:rsidRPr="00BA4F0F" w:rsidRDefault="00E83B26" w:rsidP="002D3EBF">
            <w:pPr>
              <w:ind w:firstLine="0"/>
            </w:pPr>
            <w:r w:rsidRPr="00BA4F0F">
              <w:t>1</w:t>
            </w:r>
          </w:p>
        </w:tc>
        <w:tc>
          <w:tcPr>
            <w:tcW w:w="1139" w:type="dxa"/>
          </w:tcPr>
          <w:p w14:paraId="11BFDC01" w14:textId="77777777" w:rsidR="00E83B26" w:rsidRPr="00BA4F0F" w:rsidRDefault="00E83B26" w:rsidP="002D3EBF">
            <w:pPr>
              <w:ind w:firstLine="0"/>
            </w:pPr>
            <w:r w:rsidRPr="00BA4F0F">
              <w:t>2</w:t>
            </w:r>
          </w:p>
        </w:tc>
        <w:tc>
          <w:tcPr>
            <w:tcW w:w="1139" w:type="dxa"/>
          </w:tcPr>
          <w:p w14:paraId="0867DD72" w14:textId="77777777" w:rsidR="00E83B26" w:rsidRPr="00BA4F0F" w:rsidRDefault="00E83B26" w:rsidP="002D3EBF">
            <w:pPr>
              <w:ind w:firstLine="0"/>
            </w:pPr>
            <w:r w:rsidRPr="00BA4F0F">
              <w:t>3</w:t>
            </w:r>
          </w:p>
        </w:tc>
        <w:tc>
          <w:tcPr>
            <w:tcW w:w="1142" w:type="dxa"/>
          </w:tcPr>
          <w:p w14:paraId="13A7120B" w14:textId="77777777" w:rsidR="00E83B26" w:rsidRPr="00BA4F0F" w:rsidRDefault="00E83B26" w:rsidP="002D3EBF">
            <w:pPr>
              <w:ind w:firstLine="0"/>
            </w:pPr>
            <w:r w:rsidRPr="00BA4F0F">
              <w:t>4</w:t>
            </w:r>
          </w:p>
        </w:tc>
        <w:tc>
          <w:tcPr>
            <w:tcW w:w="1143" w:type="dxa"/>
          </w:tcPr>
          <w:p w14:paraId="0B6BE93F" w14:textId="77777777" w:rsidR="00E83B26" w:rsidRPr="00BA4F0F" w:rsidRDefault="00E83B26" w:rsidP="002D3EBF">
            <w:pPr>
              <w:ind w:firstLine="0"/>
            </w:pPr>
            <w:r w:rsidRPr="00BA4F0F">
              <w:t>5</w:t>
            </w:r>
          </w:p>
        </w:tc>
        <w:tc>
          <w:tcPr>
            <w:tcW w:w="1642" w:type="dxa"/>
          </w:tcPr>
          <w:p w14:paraId="45DFC0AC" w14:textId="77777777" w:rsidR="00E83B26" w:rsidRPr="00BA4F0F" w:rsidRDefault="00E83B26" w:rsidP="002D3EBF">
            <w:pPr>
              <w:ind w:firstLine="0"/>
            </w:pPr>
            <w:r w:rsidRPr="00BA4F0F">
              <w:t>6</w:t>
            </w:r>
          </w:p>
        </w:tc>
      </w:tr>
      <w:tr w:rsidR="00E83B26" w:rsidRPr="00BA4F0F" w14:paraId="3883D46B" w14:textId="77777777" w:rsidTr="002D3EBF">
        <w:tc>
          <w:tcPr>
            <w:tcW w:w="1583" w:type="dxa"/>
          </w:tcPr>
          <w:p w14:paraId="7FAE5493" w14:textId="77777777" w:rsidR="00E83B26" w:rsidRPr="00BA4F0F" w:rsidRDefault="00E83B26" w:rsidP="002D3EBF">
            <w:pPr>
              <w:ind w:firstLine="0"/>
            </w:pPr>
            <w:r w:rsidRPr="00BA4F0F">
              <w:t xml:space="preserve">Г-КСФ, </w:t>
            </w:r>
          </w:p>
          <w:p w14:paraId="5DEF7AE5" w14:textId="77777777" w:rsidR="00E83B26" w:rsidRPr="00BA4F0F" w:rsidRDefault="00E83B26" w:rsidP="002D3EBF">
            <w:pPr>
              <w:ind w:firstLine="0"/>
            </w:pPr>
            <w:r w:rsidRPr="00BA4F0F">
              <w:t>10 мкг/кг</w:t>
            </w:r>
          </w:p>
        </w:tc>
        <w:tc>
          <w:tcPr>
            <w:tcW w:w="1142" w:type="dxa"/>
          </w:tcPr>
          <w:p w14:paraId="474A87D2" w14:textId="77777777" w:rsidR="00E83B26" w:rsidRPr="00BA4F0F" w:rsidRDefault="00E83B26" w:rsidP="002D3EBF">
            <w:pPr>
              <w:ind w:firstLine="0"/>
            </w:pPr>
            <w:r w:rsidRPr="00BA4F0F">
              <w:t>Х</w:t>
            </w:r>
          </w:p>
        </w:tc>
        <w:tc>
          <w:tcPr>
            <w:tcW w:w="1139" w:type="dxa"/>
          </w:tcPr>
          <w:p w14:paraId="11495AF5" w14:textId="77777777" w:rsidR="00E83B26" w:rsidRPr="00BA4F0F" w:rsidRDefault="00E83B26" w:rsidP="002D3EBF">
            <w:pPr>
              <w:ind w:firstLine="0"/>
            </w:pPr>
            <w:r w:rsidRPr="00BA4F0F">
              <w:t>Х</w:t>
            </w:r>
          </w:p>
        </w:tc>
        <w:tc>
          <w:tcPr>
            <w:tcW w:w="1139" w:type="dxa"/>
          </w:tcPr>
          <w:p w14:paraId="46333069" w14:textId="77777777" w:rsidR="00E83B26" w:rsidRPr="00BA4F0F" w:rsidRDefault="00E83B26" w:rsidP="002D3EBF">
            <w:pPr>
              <w:ind w:firstLine="0"/>
            </w:pPr>
            <w:r w:rsidRPr="00BA4F0F">
              <w:t>Х</w:t>
            </w:r>
          </w:p>
        </w:tc>
        <w:tc>
          <w:tcPr>
            <w:tcW w:w="1142" w:type="dxa"/>
          </w:tcPr>
          <w:p w14:paraId="34D509F5" w14:textId="77777777" w:rsidR="00E83B26" w:rsidRPr="00BA4F0F" w:rsidRDefault="00E83B26" w:rsidP="002D3EBF">
            <w:pPr>
              <w:ind w:firstLine="0"/>
            </w:pPr>
            <w:r w:rsidRPr="00BA4F0F">
              <w:t>Х</w:t>
            </w:r>
          </w:p>
        </w:tc>
        <w:tc>
          <w:tcPr>
            <w:tcW w:w="1143" w:type="dxa"/>
          </w:tcPr>
          <w:p w14:paraId="6BEBBF5D" w14:textId="77777777" w:rsidR="00E83B26" w:rsidRPr="00BA4F0F" w:rsidRDefault="00E83B26" w:rsidP="002D3EBF">
            <w:pPr>
              <w:ind w:firstLine="0"/>
            </w:pPr>
            <w:r w:rsidRPr="00BA4F0F">
              <w:t>Х</w:t>
            </w:r>
          </w:p>
        </w:tc>
        <w:tc>
          <w:tcPr>
            <w:tcW w:w="1642" w:type="dxa"/>
          </w:tcPr>
          <w:p w14:paraId="4E1937F0" w14:textId="77777777" w:rsidR="00E83B26" w:rsidRPr="00BA4F0F" w:rsidRDefault="00E83B26" w:rsidP="002D3EBF">
            <w:pPr>
              <w:ind w:firstLine="0"/>
            </w:pPr>
            <w:r w:rsidRPr="00BA4F0F">
              <w:t>отмена</w:t>
            </w:r>
          </w:p>
        </w:tc>
      </w:tr>
      <w:tr w:rsidR="00E83B26" w:rsidRPr="00BA4F0F" w14:paraId="1D278630" w14:textId="77777777" w:rsidTr="002D3EBF">
        <w:tc>
          <w:tcPr>
            <w:tcW w:w="1583" w:type="dxa"/>
          </w:tcPr>
          <w:p w14:paraId="3478EBBB" w14:textId="77777777" w:rsidR="00E83B26" w:rsidRPr="00BA4F0F" w:rsidRDefault="00E83B26" w:rsidP="002D3EBF">
            <w:pPr>
              <w:ind w:firstLine="0"/>
            </w:pPr>
            <w:r w:rsidRPr="00BA4F0F">
              <w:t>Лейкаферез</w:t>
            </w:r>
          </w:p>
        </w:tc>
        <w:tc>
          <w:tcPr>
            <w:tcW w:w="1142" w:type="dxa"/>
          </w:tcPr>
          <w:p w14:paraId="1DF83D20" w14:textId="77777777" w:rsidR="00E83B26" w:rsidRPr="00BA4F0F" w:rsidRDefault="00E83B26" w:rsidP="002D3EBF">
            <w:pPr>
              <w:ind w:firstLine="0"/>
            </w:pPr>
          </w:p>
        </w:tc>
        <w:tc>
          <w:tcPr>
            <w:tcW w:w="1139" w:type="dxa"/>
          </w:tcPr>
          <w:p w14:paraId="574DC672" w14:textId="77777777" w:rsidR="00E83B26" w:rsidRPr="00BA4F0F" w:rsidRDefault="00E83B26" w:rsidP="002D3EBF">
            <w:pPr>
              <w:ind w:firstLine="0"/>
            </w:pPr>
          </w:p>
        </w:tc>
        <w:tc>
          <w:tcPr>
            <w:tcW w:w="1139" w:type="dxa"/>
          </w:tcPr>
          <w:p w14:paraId="5DC2EABD" w14:textId="77777777" w:rsidR="00E83B26" w:rsidRPr="00BA4F0F" w:rsidRDefault="00E83B26" w:rsidP="002D3EBF">
            <w:pPr>
              <w:ind w:firstLine="0"/>
            </w:pPr>
          </w:p>
        </w:tc>
        <w:tc>
          <w:tcPr>
            <w:tcW w:w="1142" w:type="dxa"/>
          </w:tcPr>
          <w:p w14:paraId="19B44102" w14:textId="77777777" w:rsidR="00E83B26" w:rsidRPr="00BA4F0F" w:rsidRDefault="00E83B26" w:rsidP="002D3EBF">
            <w:pPr>
              <w:ind w:firstLine="0"/>
              <w:rPr>
                <w:lang w:val="en-US"/>
              </w:rPr>
            </w:pPr>
            <w:r w:rsidRPr="00BA4F0F">
              <w:rPr>
                <w:lang w:val="en-US"/>
              </w:rPr>
              <w:t>V</w:t>
            </w:r>
          </w:p>
        </w:tc>
        <w:tc>
          <w:tcPr>
            <w:tcW w:w="1143" w:type="dxa"/>
          </w:tcPr>
          <w:p w14:paraId="332EB63B" w14:textId="77777777" w:rsidR="00E83B26" w:rsidRPr="00BA4F0F" w:rsidRDefault="00E83B26" w:rsidP="002D3EBF">
            <w:pPr>
              <w:ind w:firstLine="0"/>
              <w:rPr>
                <w:lang w:val="en-US"/>
              </w:rPr>
            </w:pPr>
            <w:r w:rsidRPr="00BA4F0F">
              <w:rPr>
                <w:lang w:val="en-US"/>
              </w:rPr>
              <w:t>V</w:t>
            </w:r>
          </w:p>
        </w:tc>
        <w:tc>
          <w:tcPr>
            <w:tcW w:w="1642" w:type="dxa"/>
          </w:tcPr>
          <w:p w14:paraId="2211BA5F" w14:textId="77777777" w:rsidR="00E83B26" w:rsidRPr="00BA4F0F" w:rsidRDefault="00E83B26" w:rsidP="002D3EBF">
            <w:pPr>
              <w:ind w:firstLine="0"/>
              <w:rPr>
                <w:lang w:val="en-US"/>
              </w:rPr>
            </w:pPr>
            <w:r w:rsidRPr="00BA4F0F">
              <w:rPr>
                <w:lang w:val="en-US"/>
              </w:rPr>
              <w:t>V</w:t>
            </w:r>
          </w:p>
        </w:tc>
      </w:tr>
    </w:tbl>
    <w:p w14:paraId="10539158" w14:textId="77777777" w:rsidR="00E83B26" w:rsidRPr="00BA4F0F" w:rsidRDefault="00E83B26" w:rsidP="00E83B26">
      <w:pPr>
        <w:pStyle w:val="11"/>
        <w:spacing w:before="0"/>
      </w:pPr>
      <w:bookmarkStart w:id="137" w:name="_Toc44926606"/>
    </w:p>
    <w:p w14:paraId="70FB8F65" w14:textId="77777777" w:rsidR="00E83B26" w:rsidRPr="00BA4F0F" w:rsidRDefault="00E83B26" w:rsidP="00E83B26">
      <w:pPr>
        <w:pStyle w:val="afe"/>
        <w:ind w:left="0"/>
        <w:rPr>
          <w:rFonts w:cs="Times New Roman"/>
          <w:szCs w:val="24"/>
          <w:u w:val="single"/>
        </w:rPr>
      </w:pPr>
      <w:r w:rsidRPr="00BA4F0F">
        <w:rPr>
          <w:rFonts w:cs="Times New Roman"/>
          <w:szCs w:val="24"/>
          <w:u w:val="single"/>
        </w:rPr>
        <w:t>Г-КСФ после миелосупрессивной химиотерапии</w:t>
      </w:r>
      <w:bookmarkEnd w:id="137"/>
    </w:p>
    <w:p w14:paraId="7DB8F8E5" w14:textId="77777777" w:rsidR="00E83B26" w:rsidRPr="00BA4F0F" w:rsidRDefault="00E83B26" w:rsidP="00E83B26">
      <w:pPr>
        <w:rPr>
          <w:b/>
          <w:i/>
          <w:lang w:val="en-US"/>
        </w:rPr>
      </w:pPr>
      <w:r w:rsidRPr="00BA4F0F">
        <w:rPr>
          <w:b/>
          <w:i/>
          <w:lang w:val="en-US"/>
        </w:rPr>
        <w:t xml:space="preserve">Показания </w:t>
      </w:r>
    </w:p>
    <w:p w14:paraId="3C3155EA" w14:textId="77777777" w:rsidR="00E83B26" w:rsidRPr="00BA4F0F" w:rsidRDefault="00E83B26" w:rsidP="00A555B2">
      <w:pPr>
        <w:numPr>
          <w:ilvl w:val="0"/>
          <w:numId w:val="206"/>
        </w:numPr>
        <w:contextualSpacing/>
        <w:rPr>
          <w:b/>
        </w:rPr>
      </w:pPr>
      <w:r w:rsidRPr="00BA4F0F">
        <w:t>Мобилизация ГСК у пациентов с онкогематологическими заболеваниями</w:t>
      </w:r>
    </w:p>
    <w:p w14:paraId="4BB9BB10" w14:textId="77777777" w:rsidR="00E83B26" w:rsidRPr="00BA4F0F" w:rsidRDefault="00E83B26" w:rsidP="00E83B26">
      <w:pPr>
        <w:rPr>
          <w:b/>
          <w:i/>
        </w:rPr>
      </w:pPr>
    </w:p>
    <w:p w14:paraId="2F4A3279" w14:textId="77777777" w:rsidR="00E83B26" w:rsidRPr="00BA4F0F" w:rsidRDefault="00E83B26" w:rsidP="00E83B26">
      <w:pPr>
        <w:rPr>
          <w:b/>
          <w:i/>
        </w:rPr>
      </w:pPr>
      <w:r w:rsidRPr="00BA4F0F">
        <w:rPr>
          <w:b/>
          <w:i/>
        </w:rPr>
        <w:t>Схема мобилизации ГСК «ХТ + Г-КСФ»</w:t>
      </w:r>
    </w:p>
    <w:p w14:paraId="4C7F27BE" w14:textId="77777777" w:rsidR="00E83B26" w:rsidRPr="00BA4F0F" w:rsidRDefault="00E83B26" w:rsidP="00E83B26">
      <w:r w:rsidRPr="00BA4F0F">
        <w:t>Миелосупрессивная ХТ стимулирует пролиферацию стволовых клеток и клеток-предшественниц, что приводит к увеличению выброса ГСК из костного мозга в кровь. Принцип данного режима мобилизации ГСК: пациенту вводится химиопрепарат (или несколько препаратов) согласно соответствующему протоколу лечения, а затем, после развития МТА, начинается стимуляция лейкопоэза Г-КСФ в дозе 5 мг/кг/сут.</w:t>
      </w:r>
    </w:p>
    <w:p w14:paraId="4524916B" w14:textId="77777777" w:rsidR="00E83B26" w:rsidRPr="00BA4F0F" w:rsidRDefault="00E83B26" w:rsidP="00E83B26">
      <w:r w:rsidRPr="00BA4F0F">
        <w:t xml:space="preserve">При условии восстановления лейкоцитов периферической крови и адекватного количества среди них </w:t>
      </w:r>
      <w:r w:rsidRPr="00BA4F0F">
        <w:rPr>
          <w:lang w:val="en-US"/>
        </w:rPr>
        <w:t>CD</w:t>
      </w:r>
      <w:r w:rsidRPr="00BA4F0F">
        <w:t xml:space="preserve">34+ клеток начинаются процедуры сбора ГСК (как правило, на 6-8 день введения Г-КСФ). </w:t>
      </w:r>
    </w:p>
    <w:p w14:paraId="26EB9734" w14:textId="77777777" w:rsidR="00E83B26" w:rsidRPr="00BA4F0F" w:rsidRDefault="00E83B26" w:rsidP="00E83B26">
      <w:r w:rsidRPr="00BA4F0F">
        <w:t xml:space="preserve">На рисунке 1 представлен алгоритм определения показаний к проведению первого лейкафереза. Количество лейкаферезов зависит от результата сбора ГСК (от 1 до 5). В заключительный день проведения лейкафереза Г-КСФ не вводится. </w:t>
      </w:r>
    </w:p>
    <w:p w14:paraId="37147DDB" w14:textId="77777777" w:rsidR="00E83B26" w:rsidRPr="00BA4F0F" w:rsidRDefault="00E83B26" w:rsidP="00E83B26">
      <w:pPr>
        <w:jc w:val="center"/>
      </w:pPr>
      <w:r w:rsidRPr="00BA4F0F">
        <w:rPr>
          <w:noProof/>
          <w:lang w:eastAsia="ru-RU"/>
        </w:rPr>
        <w:drawing>
          <wp:inline distT="0" distB="0" distL="0" distR="0" wp14:anchorId="35180F44" wp14:editId="770E6E2E">
            <wp:extent cx="4177990" cy="2665737"/>
            <wp:effectExtent l="0" t="0" r="0" b="1270"/>
            <wp:docPr id="3" name="Picture 3" descr="Изображение выглядит как текст&#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Изображение выглядит как текст&#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76702" cy="2664915"/>
                    </a:xfrm>
                    <a:prstGeom prst="rect">
                      <a:avLst/>
                    </a:prstGeom>
                    <a:noFill/>
                    <a:ln>
                      <a:noFill/>
                    </a:ln>
                    <a:effectLst/>
                  </pic:spPr>
                </pic:pic>
              </a:graphicData>
            </a:graphic>
          </wp:inline>
        </w:drawing>
      </w:r>
    </w:p>
    <w:p w14:paraId="282D1DD7" w14:textId="77777777" w:rsidR="00E83B26" w:rsidRPr="00BA4F0F" w:rsidRDefault="00E83B26" w:rsidP="00E83B26">
      <w:pPr>
        <w:jc w:val="center"/>
        <w:rPr>
          <w:i/>
        </w:rPr>
      </w:pPr>
      <w:r w:rsidRPr="00BA4F0F">
        <w:t xml:space="preserve">Рисунок 1. Алгоритм определения показаний к проведению первого лейкафереза при мобилизации ГСК в режиме «ХТ+ Г-КСФ». </w:t>
      </w:r>
      <w:r w:rsidRPr="00BA4F0F">
        <w:rPr>
          <w:i/>
        </w:rPr>
        <w:t>ХТ – химиотерапия, МТА – миелотоксический агранулоцитоз</w:t>
      </w:r>
    </w:p>
    <w:p w14:paraId="65DE8E6E" w14:textId="77777777" w:rsidR="00E83B26" w:rsidRPr="00BA4F0F" w:rsidRDefault="00E83B26" w:rsidP="00E83B26"/>
    <w:p w14:paraId="260AFD2F" w14:textId="25F3AB6A" w:rsidR="00E83B26" w:rsidRPr="00BA4F0F" w:rsidRDefault="00E83B26" w:rsidP="00E83B26">
      <w:r w:rsidRPr="00BA4F0F">
        <w:t xml:space="preserve">Данная схема мобилизации ГСК применяется в период индукции первой или второй ремиссии при ММ, НХЛ, лимфоме Ходжкина; при острых лейкозах в период ремиссии. Выбор химиотерапевтических препаратов зависит от конкретной нозологии и протокола терапии. Так, при ММ чаще используется циклофосфан, также возможны схемы </w:t>
      </w:r>
      <w:r w:rsidRPr="00BA4F0F">
        <w:rPr>
          <w:lang w:val="en-US"/>
        </w:rPr>
        <w:t>VD</w:t>
      </w:r>
      <w:r w:rsidRPr="00BA4F0F">
        <w:t>-</w:t>
      </w:r>
      <w:r w:rsidRPr="00BA4F0F">
        <w:rPr>
          <w:lang w:val="en-US"/>
        </w:rPr>
        <w:t>PACE</w:t>
      </w:r>
      <w:r w:rsidRPr="00BA4F0F">
        <w:t xml:space="preserve">, </w:t>
      </w:r>
      <w:r w:rsidRPr="00BA4F0F">
        <w:rPr>
          <w:lang w:val="en-US"/>
        </w:rPr>
        <w:t>DHAP</w:t>
      </w:r>
      <w:r w:rsidRPr="00BA4F0F">
        <w:t>, средние дозы цитарабина (1,6 мг/м</w:t>
      </w:r>
      <w:r w:rsidRPr="00BA4F0F">
        <w:rPr>
          <w:vertAlign w:val="superscript"/>
        </w:rPr>
        <w:t>2</w:t>
      </w:r>
      <w:r w:rsidRPr="00BA4F0F">
        <w:t xml:space="preserve">) </w:t>
      </w:r>
      <w:r w:rsidRPr="00BA4F0F">
        <w:fldChar w:fldCharType="begin" w:fldLock="1"/>
      </w:r>
      <w:r w:rsidR="003B39A6">
        <w:instrText>ADDIN CSL_CITATION {"citationItems":[{"id":"ITEM-1","itemData":{"DOI":"http://dx.doi.org/10.18821/0234-5730-2017-62-4-180-187","author":[{"dropping-particle":"","family":"Бабенецкая Д.В., Моторин Д.В., Петров А.В., Алексеева Ю.А.","given":"Зарицкий А.Ю.","non-dropping-particle":"","parse-names":false,"suffix":""}],"container-title":"Гематология и трансфузиология.","id":"ITEM-1","issue":"62(4)","issued":{"date-parts":[["2017"]]},"page":"180-187.","title":"Мобилизация гемопоэтических стволовых клеток препаратами циклофосфамид и цитарабин в сочетании с колониестимулирующим фактором у больных множественной миеломой, кандидатов для проведения трансплантации аутологичных гемопоэтических стволовых клеток","type":"article-journal"},"uris":["http://www.mendeley.com/documents/?uuid=ac290ab9-3704-3deb-9ee1-a77054689a23","http://www.mendeley.com/documents/?uuid=18434bdd-f835-497e-85ae-9a174b52514e"]}],"mendeley":{"formattedCitation":"[123]","plainTextFormattedCitation":"[123]","previouslyFormattedCitation":"[123]"},"properties":{"noteIndex":0},"schema":"https://github.com/citation-style-language/schema/raw/master/csl-citation.json"}</w:instrText>
      </w:r>
      <w:r w:rsidRPr="00BA4F0F">
        <w:fldChar w:fldCharType="separate"/>
      </w:r>
      <w:r w:rsidRPr="00E83B26">
        <w:rPr>
          <w:noProof/>
        </w:rPr>
        <w:t>[123]</w:t>
      </w:r>
      <w:r w:rsidRPr="00BA4F0F">
        <w:fldChar w:fldCharType="end"/>
      </w:r>
      <w:r w:rsidRPr="00BA4F0F">
        <w:t xml:space="preserve">. При агрессивных лимфопролиферативных заболеваниях мобилизация клеток осуществляется после блоков ЛБ-М-04, </w:t>
      </w:r>
      <w:r w:rsidRPr="00BA4F0F">
        <w:rPr>
          <w:lang w:val="en-US"/>
        </w:rPr>
        <w:t>DA</w:t>
      </w:r>
      <w:r w:rsidRPr="00BA4F0F">
        <w:t>-</w:t>
      </w:r>
      <w:r w:rsidRPr="00BA4F0F">
        <w:rPr>
          <w:lang w:val="en-US"/>
        </w:rPr>
        <w:t>R</w:t>
      </w:r>
      <w:r w:rsidRPr="00BA4F0F">
        <w:t>-</w:t>
      </w:r>
      <w:r w:rsidRPr="00BA4F0F">
        <w:rPr>
          <w:lang w:val="en-US"/>
        </w:rPr>
        <w:t>EPOCH</w:t>
      </w:r>
      <w:r w:rsidRPr="00BA4F0F">
        <w:t xml:space="preserve">, </w:t>
      </w:r>
      <w:r w:rsidRPr="00BA4F0F">
        <w:rPr>
          <w:lang w:val="en-US"/>
        </w:rPr>
        <w:t>ESGAP</w:t>
      </w:r>
      <w:r w:rsidRPr="00BA4F0F">
        <w:t xml:space="preserve">, </w:t>
      </w:r>
      <w:r w:rsidRPr="00BA4F0F">
        <w:rPr>
          <w:lang w:val="en-US"/>
        </w:rPr>
        <w:t>IGEV</w:t>
      </w:r>
      <w:r w:rsidRPr="00BA4F0F">
        <w:t xml:space="preserve">, </w:t>
      </w:r>
      <w:r w:rsidRPr="00BA4F0F">
        <w:rPr>
          <w:lang w:val="en-US"/>
        </w:rPr>
        <w:t>NHL</w:t>
      </w:r>
      <w:r w:rsidRPr="00BA4F0F">
        <w:t>-</w:t>
      </w:r>
      <w:r w:rsidRPr="00BA4F0F">
        <w:rPr>
          <w:lang w:val="en-US"/>
        </w:rPr>
        <w:t>BFM</w:t>
      </w:r>
      <w:r w:rsidRPr="00BA4F0F">
        <w:t xml:space="preserve">-90, </w:t>
      </w:r>
      <w:r w:rsidRPr="00BA4F0F">
        <w:rPr>
          <w:lang w:val="en-US"/>
        </w:rPr>
        <w:t>SMILE</w:t>
      </w:r>
      <w:r w:rsidRPr="00BA4F0F">
        <w:t xml:space="preserve">, </w:t>
      </w:r>
      <w:r w:rsidRPr="00BA4F0F">
        <w:rPr>
          <w:lang w:val="en-US"/>
        </w:rPr>
        <w:t>TL</w:t>
      </w:r>
      <w:r w:rsidRPr="00BA4F0F">
        <w:t>-</w:t>
      </w:r>
      <w:r w:rsidRPr="00BA4F0F">
        <w:rPr>
          <w:lang w:val="en-US"/>
        </w:rPr>
        <w:t>REZ</w:t>
      </w:r>
      <w:r w:rsidRPr="00BA4F0F">
        <w:t xml:space="preserve">-09, R-HМA, R-BAC, </w:t>
      </w:r>
      <w:r w:rsidRPr="00BA4F0F">
        <w:rPr>
          <w:lang w:val="en-US"/>
        </w:rPr>
        <w:t>DHAP</w:t>
      </w:r>
      <w:r w:rsidRPr="00BA4F0F">
        <w:t xml:space="preserve">, </w:t>
      </w:r>
      <w:r w:rsidRPr="00BA4F0F">
        <w:rPr>
          <w:lang w:val="en-US"/>
        </w:rPr>
        <w:t>R</w:t>
      </w:r>
      <w:r w:rsidRPr="00BA4F0F">
        <w:t>-</w:t>
      </w:r>
      <w:r w:rsidRPr="00BA4F0F">
        <w:rPr>
          <w:lang w:val="en-US"/>
        </w:rPr>
        <w:t>ICE</w:t>
      </w:r>
      <w:r w:rsidRPr="00BA4F0F">
        <w:t xml:space="preserve"> (приложение 1).</w:t>
      </w:r>
    </w:p>
    <w:p w14:paraId="0E9FCB25" w14:textId="77777777" w:rsidR="00E83B26" w:rsidRPr="00BA4F0F" w:rsidRDefault="00E83B26" w:rsidP="00E83B26">
      <w:r w:rsidRPr="00BA4F0F">
        <w:t xml:space="preserve">При </w:t>
      </w:r>
      <w:r w:rsidRPr="00BA4F0F">
        <w:rPr>
          <w:lang w:val="en-US"/>
        </w:rPr>
        <w:t>Ph</w:t>
      </w:r>
      <w:r w:rsidRPr="00BA4F0F">
        <w:t>-позитивных острых лимфобластных лейкозах проведение мобилизации ГСК возможно после подтверждения полной молекулярной ремиссии, при остром промиелоцитарном лейкозе – при подтверждении второй полной молекулярной ремиссии на терапии по протоколу «Риск-адаптированная программа терапии больных ОПЛ (</w:t>
      </w:r>
      <w:r w:rsidRPr="00BA4F0F">
        <w:rPr>
          <w:lang w:val="en-US"/>
        </w:rPr>
        <w:t>ATRA</w:t>
      </w:r>
      <w:r w:rsidRPr="00BA4F0F">
        <w:t>-</w:t>
      </w:r>
      <w:r w:rsidRPr="00BA4F0F">
        <w:rPr>
          <w:lang w:val="en-US"/>
        </w:rPr>
        <w:t>ATO</w:t>
      </w:r>
      <w:r w:rsidRPr="00BA4F0F">
        <w:t>-</w:t>
      </w:r>
      <w:r w:rsidRPr="00BA4F0F">
        <w:rPr>
          <w:lang w:val="en-US"/>
        </w:rPr>
        <w:t>CT</w:t>
      </w:r>
      <w:r w:rsidRPr="00BA4F0F">
        <w:t xml:space="preserve">) с обязательным молекулярным мониторингом», при ОМЛ (благоприятный и промежуточный риск) в случае достижения МРБ негативной ремиссии в возрасте до 40 лет рассматривается вопрос о выполнении мобилизации с последующей ауто-ТГСК. </w:t>
      </w:r>
    </w:p>
    <w:p w14:paraId="23410077" w14:textId="77777777" w:rsidR="00E83B26" w:rsidRPr="00BA4F0F" w:rsidRDefault="00E83B26" w:rsidP="00E83B26">
      <w:r w:rsidRPr="00BA4F0F">
        <w:t>Если период МТА осложнился тяжелым инфекционным процессом и к моменту сбора ГСК сохраняются осложнения, угрожающие жизни, от лейкафереза следует воздержаться. Если состояние стабилизировано, мобилизация и сбор ГСК продолжаются.</w:t>
      </w:r>
    </w:p>
    <w:p w14:paraId="0FBBADA6" w14:textId="2DAD461A" w:rsidR="00E83B26" w:rsidRPr="00BA4F0F" w:rsidRDefault="00E83B26" w:rsidP="00E83B26">
      <w:r w:rsidRPr="00BA4F0F">
        <w:t>При ММ циклофосфамид применяется как в качестве противоопухолевого средства, так и для усиления эффекта мобилизации ГСК. Применяются высокие дозы циклофосфана (6-7 г/м</w:t>
      </w:r>
      <w:r w:rsidRPr="00BA4F0F">
        <w:rPr>
          <w:vertAlign w:val="superscript"/>
        </w:rPr>
        <w:t>2</w:t>
      </w:r>
      <w:r w:rsidRPr="00BA4F0F">
        <w:t>), промежуточные (3-4 г/м</w:t>
      </w:r>
      <w:r w:rsidRPr="00BA4F0F">
        <w:rPr>
          <w:vertAlign w:val="superscript"/>
        </w:rPr>
        <w:t>2</w:t>
      </w:r>
      <w:r w:rsidRPr="00BA4F0F">
        <w:t>), и низкие (1,2-2 г/м</w:t>
      </w:r>
      <w:r w:rsidRPr="00BA4F0F">
        <w:rPr>
          <w:vertAlign w:val="superscript"/>
        </w:rPr>
        <w:t>2</w:t>
      </w:r>
      <w:r w:rsidRPr="00BA4F0F">
        <w:t>). По данным ретроспективного исследования, сравнивающего эффективность и переносимость высоких и промежуточных доз циклофосфана, оказалось, что доза 4 г/м</w:t>
      </w:r>
      <w:r w:rsidRPr="00BA4F0F">
        <w:rPr>
          <w:vertAlign w:val="superscript"/>
        </w:rPr>
        <w:t>2</w:t>
      </w:r>
      <w:r w:rsidRPr="00BA4F0F">
        <w:t xml:space="preserve"> является оптимальной. При использовании данной дозы удавалось собрать необходимое для двух трансплантаций количество </w:t>
      </w:r>
      <w:r w:rsidRPr="00BA4F0F">
        <w:rPr>
          <w:lang w:val="en-US"/>
        </w:rPr>
        <w:t>CD</w:t>
      </w:r>
      <w:r w:rsidRPr="00BA4F0F">
        <w:t>34+ клеток, при этом тромбоцитопения была кратковременной, что способствовало меньшей потребности в заместительно</w:t>
      </w:r>
      <w:r w:rsidRPr="00BA4F0F">
        <w:tab/>
        <w:t xml:space="preserve">й трансфузионной терапии, по сравнению с применением высоких доз циклофосфана </w:t>
      </w:r>
      <w:r w:rsidRPr="00BA4F0F">
        <w:fldChar w:fldCharType="begin" w:fldLock="1"/>
      </w:r>
      <w:r w:rsidR="003B39A6">
        <w:instrText>ADDIN CSL_CITATION {"citationItems":[{"id":"ITEM-1","itemData":{"author":[{"dropping-particle":"","family":"Покровская","given":"О.С.","non-dropping-particle":"","parse-names":false,"suffix":""}],"id":"ITEM-1","issued":{"date-parts":[["2011"]]},"number-of-pages":"29","title":"Кроветворная ткань и стромальное микроокружение в процессе интенсивной терапии и мобилизации гемопоэтических стволовых клеток у больных множественной миеломой: Автореф. дис.канд.мед.наук.","type":"book","volume":"153"},"uris":["http://www.mendeley.com/documents/?uuid=31091715-13d1-4b36-acd3-bca783c58345","http://www.mendeley.com/documents/?uuid=a016ab64-5d26-4905-b085-fc6d0ca143d0","http://www.mendeley.com/documents/?uuid=6158326c-b49e-4b3d-9638-c661a40fa88b","http://www.mendeley.com/documents/?uuid=4a2a3881-134d-4851-9770-aa58ad4c9728","http://www.mendeley.com/documents/?uuid=179afc56-227d-482c-af90-308ef68f889a","http://www.mendeley.com/documents/?uuid=171c99f1-9907-4fc7-9260-90f70ac873fa","http://www.mendeley.com/documents/?uuid=df9a843f-a2d8-42ee-9e40-dfba104520d3"]}],"mendeley":{"formattedCitation":"[124]","plainTextFormattedCitation":"[124]","previouslyFormattedCitation":"[124]"},"properties":{"noteIndex":0},"schema":"https://github.com/citation-style-language/schema/raw/master/csl-citation.json"}</w:instrText>
      </w:r>
      <w:r w:rsidRPr="00BA4F0F">
        <w:fldChar w:fldCharType="separate"/>
      </w:r>
      <w:r w:rsidRPr="00E83B26">
        <w:rPr>
          <w:noProof/>
        </w:rPr>
        <w:t>[124]</w:t>
      </w:r>
      <w:r w:rsidRPr="00BA4F0F">
        <w:fldChar w:fldCharType="end"/>
      </w:r>
      <w:r w:rsidRPr="00BA4F0F">
        <w:t xml:space="preserve">. </w:t>
      </w:r>
    </w:p>
    <w:p w14:paraId="2E0179AB" w14:textId="77777777" w:rsidR="00E83B26" w:rsidRPr="00BA4F0F" w:rsidRDefault="00E83B26" w:rsidP="00E83B26">
      <w:r w:rsidRPr="00BA4F0F">
        <w:t>Стандартная схема мобилизации ГСК при ММ, применяемая в настоящее время: циклофосфан 4 г/м</w:t>
      </w:r>
      <w:r w:rsidRPr="00BA4F0F">
        <w:rPr>
          <w:vertAlign w:val="superscript"/>
        </w:rPr>
        <w:t>2</w:t>
      </w:r>
      <w:r w:rsidRPr="00BA4F0F">
        <w:t xml:space="preserve"> + Г-КСФ в дозе 5 мкг/кг/сут (табл. 2).</w:t>
      </w:r>
    </w:p>
    <w:p w14:paraId="09A57016" w14:textId="77777777" w:rsidR="00E83B26" w:rsidRPr="00BA4F0F" w:rsidRDefault="00E83B26" w:rsidP="00E83B26">
      <w:r w:rsidRPr="00BA4F0F">
        <w:t>Ориентировочно через 7 дней после введения химиопрепарата отмечается развитие МТА, что является показанием для назначения Г-КСФ в дозе 5 мкг/кг/сут. В случае если МТА не развивается, доза Г-КСФ увеличивается до 10 мкг/кг/сут. На 6-8 день введения Г-КСФ начинаются процедуры лейкафереза. Медиана даты первого сбора ГСК – 15 день после введения циклофосфамида.</w:t>
      </w:r>
    </w:p>
    <w:p w14:paraId="2AC9C31A" w14:textId="77777777" w:rsidR="00E83B26" w:rsidRPr="00BA4F0F" w:rsidRDefault="00E83B26" w:rsidP="00E83B26"/>
    <w:p w14:paraId="194E7E63" w14:textId="77777777" w:rsidR="00E83B26" w:rsidRPr="00BA4F0F" w:rsidRDefault="00E83B26" w:rsidP="00E83B26">
      <w:pPr>
        <w:rPr>
          <w:bCs/>
        </w:rPr>
      </w:pPr>
      <w:r w:rsidRPr="00BA4F0F">
        <w:rPr>
          <w:bCs/>
        </w:rPr>
        <w:t>Таблица 2. Высокодозный циклофосфамид 4 г/м</w:t>
      </w:r>
      <w:r w:rsidRPr="00BA4F0F">
        <w:rPr>
          <w:bCs/>
          <w:vertAlign w:val="superscript"/>
        </w:rPr>
        <w:t xml:space="preserve">2 </w:t>
      </w:r>
      <w:r w:rsidRPr="00BA4F0F">
        <w:rPr>
          <w:bCs/>
        </w:rPr>
        <w:t>+ Г-КСФ 5 мкг/кг с сопроводительной терапией.</w:t>
      </w:r>
    </w:p>
    <w:tbl>
      <w:tblPr>
        <w:tblStyle w:val="aff9"/>
        <w:tblW w:w="0" w:type="auto"/>
        <w:tblLook w:val="04A0" w:firstRow="1" w:lastRow="0" w:firstColumn="1" w:lastColumn="0" w:noHBand="0" w:noVBand="1"/>
      </w:tblPr>
      <w:tblGrid>
        <w:gridCol w:w="2911"/>
        <w:gridCol w:w="3567"/>
        <w:gridCol w:w="2867"/>
      </w:tblGrid>
      <w:tr w:rsidR="00E83B26" w:rsidRPr="00BA4F0F" w14:paraId="6B2DC053" w14:textId="77777777" w:rsidTr="002D3EBF">
        <w:tc>
          <w:tcPr>
            <w:tcW w:w="2943" w:type="dxa"/>
          </w:tcPr>
          <w:p w14:paraId="73534972" w14:textId="77777777" w:rsidR="00E83B26" w:rsidRPr="00BA4F0F" w:rsidRDefault="00E83B26" w:rsidP="002D3EBF">
            <w:pPr>
              <w:ind w:firstLine="0"/>
              <w:rPr>
                <w:b/>
              </w:rPr>
            </w:pPr>
            <w:r w:rsidRPr="00BA4F0F">
              <w:rPr>
                <w:b/>
              </w:rPr>
              <w:t xml:space="preserve">Препарат </w:t>
            </w:r>
          </w:p>
        </w:tc>
        <w:tc>
          <w:tcPr>
            <w:tcW w:w="3686" w:type="dxa"/>
          </w:tcPr>
          <w:p w14:paraId="5D357E11" w14:textId="77777777" w:rsidR="00E83B26" w:rsidRPr="00BA4F0F" w:rsidRDefault="00E83B26" w:rsidP="002D3EBF">
            <w:pPr>
              <w:ind w:firstLine="0"/>
              <w:rPr>
                <w:b/>
              </w:rPr>
            </w:pPr>
            <w:r w:rsidRPr="00BA4F0F">
              <w:rPr>
                <w:b/>
              </w:rPr>
              <w:t>Дозировка, путь введения</w:t>
            </w:r>
          </w:p>
        </w:tc>
        <w:tc>
          <w:tcPr>
            <w:tcW w:w="2942" w:type="dxa"/>
          </w:tcPr>
          <w:p w14:paraId="6832427E" w14:textId="77777777" w:rsidR="00E83B26" w:rsidRPr="00BA4F0F" w:rsidRDefault="00E83B26" w:rsidP="002D3EBF">
            <w:pPr>
              <w:ind w:firstLine="0"/>
              <w:rPr>
                <w:b/>
              </w:rPr>
            </w:pPr>
            <w:r w:rsidRPr="00BA4F0F">
              <w:rPr>
                <w:b/>
              </w:rPr>
              <w:t>День введения</w:t>
            </w:r>
          </w:p>
        </w:tc>
      </w:tr>
      <w:tr w:rsidR="00E83B26" w:rsidRPr="00BA4F0F" w14:paraId="07FF1C89" w14:textId="77777777" w:rsidTr="002D3EBF">
        <w:tc>
          <w:tcPr>
            <w:tcW w:w="2943" w:type="dxa"/>
          </w:tcPr>
          <w:p w14:paraId="55382736" w14:textId="77777777" w:rsidR="00E83B26" w:rsidRPr="00BA4F0F" w:rsidRDefault="00E83B26" w:rsidP="002D3EBF">
            <w:pPr>
              <w:ind w:firstLine="0"/>
            </w:pPr>
            <w:r w:rsidRPr="00BA4F0F">
              <w:t>Внутривенные инфузии:</w:t>
            </w:r>
          </w:p>
        </w:tc>
        <w:tc>
          <w:tcPr>
            <w:tcW w:w="6628" w:type="dxa"/>
            <w:gridSpan w:val="2"/>
          </w:tcPr>
          <w:p w14:paraId="66453495" w14:textId="77777777" w:rsidR="00E83B26" w:rsidRPr="00BA4F0F" w:rsidRDefault="00E83B26" w:rsidP="002D3EBF">
            <w:pPr>
              <w:ind w:firstLine="0"/>
            </w:pPr>
          </w:p>
        </w:tc>
      </w:tr>
      <w:tr w:rsidR="00E83B26" w:rsidRPr="00BA4F0F" w14:paraId="69636131" w14:textId="77777777" w:rsidTr="002D3EBF">
        <w:tc>
          <w:tcPr>
            <w:tcW w:w="2943" w:type="dxa"/>
          </w:tcPr>
          <w:p w14:paraId="60F67687" w14:textId="77777777" w:rsidR="00E83B26" w:rsidRPr="00BA4F0F" w:rsidRDefault="00E83B26" w:rsidP="002D3EBF">
            <w:pPr>
              <w:ind w:firstLine="0"/>
            </w:pPr>
            <w:r w:rsidRPr="00BA4F0F">
              <w:t>Циклофосфамид</w:t>
            </w:r>
          </w:p>
        </w:tc>
        <w:tc>
          <w:tcPr>
            <w:tcW w:w="3686" w:type="dxa"/>
          </w:tcPr>
          <w:p w14:paraId="6A2E132D" w14:textId="77777777" w:rsidR="00E83B26" w:rsidRPr="00BA4F0F" w:rsidRDefault="00E83B26" w:rsidP="002D3EBF">
            <w:pPr>
              <w:ind w:firstLine="0"/>
            </w:pPr>
            <w:r w:rsidRPr="00BA4F0F">
              <w:t>4 г/м</w:t>
            </w:r>
            <w:r w:rsidRPr="00BA4F0F">
              <w:rPr>
                <w:vertAlign w:val="superscript"/>
              </w:rPr>
              <w:t>2</w:t>
            </w:r>
            <w:r w:rsidRPr="00BA4F0F">
              <w:t xml:space="preserve"> в/в капельно 5 раз в сутки (по 0,8 г/м</w:t>
            </w:r>
            <w:r w:rsidRPr="00BA4F0F">
              <w:rPr>
                <w:vertAlign w:val="superscript"/>
              </w:rPr>
              <w:t>2</w:t>
            </w:r>
            <w:r w:rsidRPr="00BA4F0F">
              <w:t>)</w:t>
            </w:r>
          </w:p>
        </w:tc>
        <w:tc>
          <w:tcPr>
            <w:tcW w:w="2942" w:type="dxa"/>
          </w:tcPr>
          <w:p w14:paraId="04A2820A" w14:textId="77777777" w:rsidR="00E83B26" w:rsidRPr="00BA4F0F" w:rsidRDefault="00E83B26" w:rsidP="002D3EBF">
            <w:pPr>
              <w:ind w:firstLine="0"/>
            </w:pPr>
            <w:r w:rsidRPr="00BA4F0F">
              <w:t>+1</w:t>
            </w:r>
          </w:p>
        </w:tc>
      </w:tr>
      <w:tr w:rsidR="00E83B26" w:rsidRPr="00BA4F0F" w14:paraId="5F00E2F6" w14:textId="77777777" w:rsidTr="002D3EBF">
        <w:tc>
          <w:tcPr>
            <w:tcW w:w="2943" w:type="dxa"/>
          </w:tcPr>
          <w:p w14:paraId="24949169" w14:textId="77777777" w:rsidR="00E83B26" w:rsidRPr="00BA4F0F" w:rsidRDefault="00E83B26" w:rsidP="002D3EBF">
            <w:pPr>
              <w:ind w:firstLine="0"/>
            </w:pPr>
            <w:r w:rsidRPr="00BA4F0F">
              <w:t>Уромитексан</w:t>
            </w:r>
          </w:p>
        </w:tc>
        <w:tc>
          <w:tcPr>
            <w:tcW w:w="3686" w:type="dxa"/>
          </w:tcPr>
          <w:p w14:paraId="729B1F3D" w14:textId="77777777" w:rsidR="00E83B26" w:rsidRPr="00BA4F0F" w:rsidRDefault="00E83B26" w:rsidP="002D3EBF">
            <w:pPr>
              <w:ind w:firstLine="0"/>
            </w:pPr>
            <w:r w:rsidRPr="00BA4F0F">
              <w:t>2,4 мг/м</w:t>
            </w:r>
            <w:r w:rsidRPr="00BA4F0F">
              <w:rPr>
                <w:vertAlign w:val="superscript"/>
              </w:rPr>
              <w:t>2</w:t>
            </w:r>
            <w:r w:rsidRPr="00BA4F0F">
              <w:t xml:space="preserve"> в/в через инфузомат на 24 часа</w:t>
            </w:r>
          </w:p>
        </w:tc>
        <w:tc>
          <w:tcPr>
            <w:tcW w:w="2942" w:type="dxa"/>
          </w:tcPr>
          <w:p w14:paraId="440A6CE8" w14:textId="77777777" w:rsidR="00E83B26" w:rsidRPr="00BA4F0F" w:rsidRDefault="00E83B26" w:rsidP="002D3EBF">
            <w:pPr>
              <w:ind w:firstLine="0"/>
            </w:pPr>
            <w:r w:rsidRPr="00BA4F0F">
              <w:t>+1</w:t>
            </w:r>
          </w:p>
        </w:tc>
      </w:tr>
      <w:tr w:rsidR="00E83B26" w:rsidRPr="00BA4F0F" w14:paraId="514C208C" w14:textId="77777777" w:rsidTr="002D3EBF">
        <w:tc>
          <w:tcPr>
            <w:tcW w:w="2943" w:type="dxa"/>
          </w:tcPr>
          <w:p w14:paraId="400FD9AC" w14:textId="77777777" w:rsidR="00E83B26" w:rsidRPr="00BA4F0F" w:rsidRDefault="00E83B26" w:rsidP="002D3EBF">
            <w:pPr>
              <w:ind w:firstLine="0"/>
            </w:pPr>
            <w:r w:rsidRPr="00BA4F0F">
              <w:t xml:space="preserve">Солевые растворы </w:t>
            </w:r>
          </w:p>
        </w:tc>
        <w:tc>
          <w:tcPr>
            <w:tcW w:w="3686" w:type="dxa"/>
          </w:tcPr>
          <w:p w14:paraId="3B1E8150" w14:textId="77777777" w:rsidR="00E83B26" w:rsidRPr="00BA4F0F" w:rsidRDefault="00E83B26" w:rsidP="002D3EBF">
            <w:pPr>
              <w:ind w:firstLine="0"/>
            </w:pPr>
            <w:r w:rsidRPr="00BA4F0F">
              <w:t>3л/м</w:t>
            </w:r>
            <w:r w:rsidRPr="00BA4F0F">
              <w:rPr>
                <w:vertAlign w:val="superscript"/>
              </w:rPr>
              <w:t xml:space="preserve">2 </w:t>
            </w:r>
            <w:r w:rsidRPr="00BA4F0F">
              <w:t>в/в капельно 4 раза в сутки</w:t>
            </w:r>
            <w:r w:rsidRPr="00BA4F0F">
              <w:rPr>
                <w:vertAlign w:val="superscript"/>
              </w:rPr>
              <w:t>*</w:t>
            </w:r>
          </w:p>
        </w:tc>
        <w:tc>
          <w:tcPr>
            <w:tcW w:w="2942" w:type="dxa"/>
          </w:tcPr>
          <w:p w14:paraId="1C53AE22" w14:textId="77777777" w:rsidR="00E83B26" w:rsidRPr="00BA4F0F" w:rsidRDefault="00E83B26" w:rsidP="002D3EBF">
            <w:pPr>
              <w:ind w:firstLine="0"/>
            </w:pPr>
            <w:r w:rsidRPr="00BA4F0F">
              <w:t>+1 - +5 (далее по показаниям)</w:t>
            </w:r>
          </w:p>
        </w:tc>
      </w:tr>
      <w:tr w:rsidR="00E83B26" w:rsidRPr="00BA4F0F" w14:paraId="6636E7CD" w14:textId="77777777" w:rsidTr="002D3EBF">
        <w:tc>
          <w:tcPr>
            <w:tcW w:w="2943" w:type="dxa"/>
          </w:tcPr>
          <w:p w14:paraId="70897EA9" w14:textId="77777777" w:rsidR="00E83B26" w:rsidRPr="00BA4F0F" w:rsidRDefault="00E83B26" w:rsidP="002D3EBF">
            <w:pPr>
              <w:ind w:firstLine="0"/>
            </w:pPr>
            <w:r w:rsidRPr="00BA4F0F">
              <w:t>Противорвотные средства:</w:t>
            </w:r>
          </w:p>
          <w:p w14:paraId="65CD177F" w14:textId="77777777" w:rsidR="00E83B26" w:rsidRPr="00BA4F0F" w:rsidRDefault="00E83B26" w:rsidP="002D3EBF">
            <w:pPr>
              <w:ind w:firstLine="0"/>
            </w:pPr>
            <w:r w:rsidRPr="00BA4F0F">
              <w:t xml:space="preserve">ондансетрон </w:t>
            </w:r>
          </w:p>
        </w:tc>
        <w:tc>
          <w:tcPr>
            <w:tcW w:w="3686" w:type="dxa"/>
          </w:tcPr>
          <w:p w14:paraId="080B57F4" w14:textId="77777777" w:rsidR="00E83B26" w:rsidRPr="00BA4F0F" w:rsidRDefault="00E83B26" w:rsidP="002D3EBF">
            <w:pPr>
              <w:ind w:firstLine="0"/>
            </w:pPr>
            <w:r w:rsidRPr="00BA4F0F">
              <w:t xml:space="preserve">8 мг в/в капельно 3 раза в сутки </w:t>
            </w:r>
          </w:p>
        </w:tc>
        <w:tc>
          <w:tcPr>
            <w:tcW w:w="2942" w:type="dxa"/>
          </w:tcPr>
          <w:p w14:paraId="3639E5F0" w14:textId="77777777" w:rsidR="00E83B26" w:rsidRPr="00BA4F0F" w:rsidRDefault="00E83B26" w:rsidP="002D3EBF">
            <w:pPr>
              <w:ind w:firstLine="0"/>
            </w:pPr>
            <w:r w:rsidRPr="00BA4F0F">
              <w:t>-1 - +2 (далее по показаниям)</w:t>
            </w:r>
          </w:p>
        </w:tc>
      </w:tr>
      <w:tr w:rsidR="00E83B26" w:rsidRPr="00BA4F0F" w14:paraId="11875444" w14:textId="77777777" w:rsidTr="002D3EBF">
        <w:tc>
          <w:tcPr>
            <w:tcW w:w="2943" w:type="dxa"/>
          </w:tcPr>
          <w:p w14:paraId="6367857A" w14:textId="77777777" w:rsidR="00E83B26" w:rsidRPr="00BA4F0F" w:rsidRDefault="00E83B26" w:rsidP="002D3EBF">
            <w:pPr>
              <w:ind w:firstLine="0"/>
            </w:pPr>
            <w:r w:rsidRPr="00BA4F0F">
              <w:t>Гепарин</w:t>
            </w:r>
          </w:p>
        </w:tc>
        <w:tc>
          <w:tcPr>
            <w:tcW w:w="3686" w:type="dxa"/>
          </w:tcPr>
          <w:p w14:paraId="157889A4" w14:textId="77777777" w:rsidR="00E83B26" w:rsidRPr="00BA4F0F" w:rsidRDefault="00E83B26" w:rsidP="002D3EBF">
            <w:pPr>
              <w:ind w:firstLine="0"/>
            </w:pPr>
            <w:r w:rsidRPr="00BA4F0F">
              <w:t>12000 ЕД в/в через инфузомат на 24 часа</w:t>
            </w:r>
          </w:p>
        </w:tc>
        <w:tc>
          <w:tcPr>
            <w:tcW w:w="2942" w:type="dxa"/>
          </w:tcPr>
          <w:p w14:paraId="4C4516C5" w14:textId="77777777" w:rsidR="00E83B26" w:rsidRPr="00BA4F0F" w:rsidRDefault="00E83B26" w:rsidP="002D3EBF">
            <w:pPr>
              <w:ind w:firstLine="0"/>
            </w:pPr>
            <w:r w:rsidRPr="00BA4F0F">
              <w:t xml:space="preserve">-1 - +14 </w:t>
            </w:r>
          </w:p>
        </w:tc>
      </w:tr>
      <w:tr w:rsidR="00E83B26" w:rsidRPr="00BA4F0F" w14:paraId="5EC5C596" w14:textId="77777777" w:rsidTr="002D3EBF">
        <w:tc>
          <w:tcPr>
            <w:tcW w:w="2943" w:type="dxa"/>
          </w:tcPr>
          <w:p w14:paraId="0FB8803C" w14:textId="77777777" w:rsidR="00E83B26" w:rsidRPr="00BA4F0F" w:rsidRDefault="00E83B26" w:rsidP="002D3EBF">
            <w:pPr>
              <w:ind w:firstLine="0"/>
            </w:pPr>
            <w:r w:rsidRPr="00BA4F0F">
              <w:t>Допамин 4%</w:t>
            </w:r>
          </w:p>
        </w:tc>
        <w:tc>
          <w:tcPr>
            <w:tcW w:w="3686" w:type="dxa"/>
          </w:tcPr>
          <w:p w14:paraId="341C34DF" w14:textId="77777777" w:rsidR="00E83B26" w:rsidRPr="00BA4F0F" w:rsidRDefault="00E83B26" w:rsidP="002D3EBF">
            <w:pPr>
              <w:ind w:firstLine="0"/>
            </w:pPr>
            <w:r w:rsidRPr="00BA4F0F">
              <w:t>0,5 мг в/в через инфузомат на 24 часа</w:t>
            </w:r>
          </w:p>
        </w:tc>
        <w:tc>
          <w:tcPr>
            <w:tcW w:w="2942" w:type="dxa"/>
          </w:tcPr>
          <w:p w14:paraId="392515E5" w14:textId="77777777" w:rsidR="00E83B26" w:rsidRPr="00BA4F0F" w:rsidRDefault="00E83B26" w:rsidP="002D3EBF">
            <w:pPr>
              <w:ind w:firstLine="0"/>
            </w:pPr>
            <w:r w:rsidRPr="00BA4F0F">
              <w:t>-1 - +1</w:t>
            </w:r>
          </w:p>
        </w:tc>
      </w:tr>
      <w:tr w:rsidR="00E83B26" w:rsidRPr="00BA4F0F" w14:paraId="1FDEBF7F" w14:textId="77777777" w:rsidTr="002D3EBF">
        <w:tc>
          <w:tcPr>
            <w:tcW w:w="2943" w:type="dxa"/>
          </w:tcPr>
          <w:p w14:paraId="6439EBB3" w14:textId="77777777" w:rsidR="00E83B26" w:rsidRPr="00BA4F0F" w:rsidRDefault="00E83B26" w:rsidP="002D3EBF">
            <w:pPr>
              <w:ind w:firstLine="0"/>
            </w:pPr>
            <w:r w:rsidRPr="00BA4F0F">
              <w:t>Фуросемид</w:t>
            </w:r>
          </w:p>
        </w:tc>
        <w:tc>
          <w:tcPr>
            <w:tcW w:w="3686" w:type="dxa"/>
          </w:tcPr>
          <w:p w14:paraId="1D14148F" w14:textId="77777777" w:rsidR="00E83B26" w:rsidRPr="00BA4F0F" w:rsidRDefault="00E83B26" w:rsidP="002D3EBF">
            <w:pPr>
              <w:ind w:firstLine="0"/>
            </w:pPr>
            <w:r w:rsidRPr="00BA4F0F">
              <w:t>20 мг в/в струйно 3 раза в сутки</w:t>
            </w:r>
          </w:p>
        </w:tc>
        <w:tc>
          <w:tcPr>
            <w:tcW w:w="2942" w:type="dxa"/>
          </w:tcPr>
          <w:p w14:paraId="26658652" w14:textId="77777777" w:rsidR="00E83B26" w:rsidRPr="00BA4F0F" w:rsidRDefault="00E83B26" w:rsidP="002D3EBF">
            <w:pPr>
              <w:ind w:firstLine="0"/>
            </w:pPr>
            <w:r w:rsidRPr="00BA4F0F">
              <w:t>+1 - +3</w:t>
            </w:r>
          </w:p>
        </w:tc>
      </w:tr>
      <w:tr w:rsidR="00E83B26" w:rsidRPr="00BA4F0F" w14:paraId="3EDC4AAD" w14:textId="77777777" w:rsidTr="002D3EBF">
        <w:tc>
          <w:tcPr>
            <w:tcW w:w="2943" w:type="dxa"/>
          </w:tcPr>
          <w:p w14:paraId="3F653E75" w14:textId="77777777" w:rsidR="00E83B26" w:rsidRPr="00BA4F0F" w:rsidRDefault="00E83B26" w:rsidP="002D3EBF">
            <w:pPr>
              <w:ind w:firstLine="0"/>
            </w:pPr>
            <w:r w:rsidRPr="00BA4F0F">
              <w:t>Таблетированные препараты:</w:t>
            </w:r>
          </w:p>
        </w:tc>
        <w:tc>
          <w:tcPr>
            <w:tcW w:w="6628" w:type="dxa"/>
            <w:gridSpan w:val="2"/>
          </w:tcPr>
          <w:p w14:paraId="2A19E7BF" w14:textId="77777777" w:rsidR="00E83B26" w:rsidRPr="00BA4F0F" w:rsidRDefault="00E83B26" w:rsidP="002D3EBF">
            <w:pPr>
              <w:ind w:firstLine="0"/>
            </w:pPr>
          </w:p>
        </w:tc>
      </w:tr>
      <w:tr w:rsidR="00E83B26" w:rsidRPr="00BA4F0F" w14:paraId="5E96974C" w14:textId="77777777" w:rsidTr="002D3EBF">
        <w:tc>
          <w:tcPr>
            <w:tcW w:w="2943" w:type="dxa"/>
          </w:tcPr>
          <w:p w14:paraId="2429A2D8" w14:textId="77777777" w:rsidR="00E83B26" w:rsidRPr="00BA4F0F" w:rsidRDefault="00E83B26" w:rsidP="002D3EBF">
            <w:pPr>
              <w:ind w:firstLine="0"/>
            </w:pPr>
            <w:r w:rsidRPr="00BA4F0F">
              <w:t>Аллопуринол</w:t>
            </w:r>
          </w:p>
        </w:tc>
        <w:tc>
          <w:tcPr>
            <w:tcW w:w="3686" w:type="dxa"/>
          </w:tcPr>
          <w:p w14:paraId="6C5903B2" w14:textId="77777777" w:rsidR="00E83B26" w:rsidRPr="00BA4F0F" w:rsidRDefault="00E83B26" w:rsidP="002D3EBF">
            <w:pPr>
              <w:ind w:firstLine="0"/>
            </w:pPr>
            <w:r w:rsidRPr="00BA4F0F">
              <w:t>200 мг/м</w:t>
            </w:r>
            <w:r w:rsidRPr="00BA4F0F">
              <w:rPr>
                <w:vertAlign w:val="superscript"/>
              </w:rPr>
              <w:t>2</w:t>
            </w:r>
            <w:r w:rsidRPr="00BA4F0F">
              <w:t xml:space="preserve"> внутрь </w:t>
            </w:r>
          </w:p>
        </w:tc>
        <w:tc>
          <w:tcPr>
            <w:tcW w:w="2942" w:type="dxa"/>
          </w:tcPr>
          <w:p w14:paraId="2DEFAB97" w14:textId="77777777" w:rsidR="00E83B26" w:rsidRPr="00BA4F0F" w:rsidRDefault="00E83B26" w:rsidP="002D3EBF">
            <w:pPr>
              <w:ind w:firstLine="0"/>
            </w:pPr>
            <w:r w:rsidRPr="00BA4F0F">
              <w:t xml:space="preserve">+1 - +3 </w:t>
            </w:r>
          </w:p>
        </w:tc>
      </w:tr>
      <w:tr w:rsidR="00E83B26" w:rsidRPr="00BA4F0F" w14:paraId="563658BF" w14:textId="77777777" w:rsidTr="002D3EBF">
        <w:tc>
          <w:tcPr>
            <w:tcW w:w="2943" w:type="dxa"/>
          </w:tcPr>
          <w:p w14:paraId="52371779" w14:textId="77777777" w:rsidR="00E83B26" w:rsidRPr="00BA4F0F" w:rsidRDefault="00E83B26" w:rsidP="002D3EBF">
            <w:pPr>
              <w:ind w:firstLine="0"/>
            </w:pPr>
            <w:r w:rsidRPr="00BA4F0F">
              <w:t>Противосудорожные средства:</w:t>
            </w:r>
          </w:p>
          <w:p w14:paraId="268C6722" w14:textId="77777777" w:rsidR="00E83B26" w:rsidRPr="00BA4F0F" w:rsidRDefault="00E83B26" w:rsidP="002D3EBF">
            <w:pPr>
              <w:ind w:firstLine="0"/>
            </w:pPr>
            <w:r w:rsidRPr="00BA4F0F">
              <w:t>карбамазепин</w:t>
            </w:r>
          </w:p>
        </w:tc>
        <w:tc>
          <w:tcPr>
            <w:tcW w:w="3686" w:type="dxa"/>
          </w:tcPr>
          <w:p w14:paraId="735D4596" w14:textId="77777777" w:rsidR="00E83B26" w:rsidRPr="00BA4F0F" w:rsidRDefault="00E83B26" w:rsidP="002D3EBF">
            <w:pPr>
              <w:ind w:firstLine="0"/>
            </w:pPr>
          </w:p>
          <w:p w14:paraId="5C437B35" w14:textId="77777777" w:rsidR="00E83B26" w:rsidRPr="00BA4F0F" w:rsidRDefault="00E83B26" w:rsidP="002D3EBF">
            <w:pPr>
              <w:ind w:firstLine="0"/>
            </w:pPr>
          </w:p>
          <w:p w14:paraId="23DA99DD" w14:textId="77777777" w:rsidR="00E83B26" w:rsidRPr="00BA4F0F" w:rsidRDefault="00E83B26" w:rsidP="002D3EBF">
            <w:pPr>
              <w:ind w:firstLine="0"/>
            </w:pPr>
            <w:r w:rsidRPr="00BA4F0F">
              <w:t xml:space="preserve">200 мг внутрь на ночь </w:t>
            </w:r>
          </w:p>
        </w:tc>
        <w:tc>
          <w:tcPr>
            <w:tcW w:w="2942" w:type="dxa"/>
          </w:tcPr>
          <w:p w14:paraId="144D858F" w14:textId="77777777" w:rsidR="00E83B26" w:rsidRPr="00BA4F0F" w:rsidRDefault="00E83B26" w:rsidP="002D3EBF">
            <w:pPr>
              <w:ind w:firstLine="0"/>
            </w:pPr>
          </w:p>
          <w:p w14:paraId="7D09835B" w14:textId="77777777" w:rsidR="00E83B26" w:rsidRPr="00BA4F0F" w:rsidRDefault="00E83B26" w:rsidP="002D3EBF">
            <w:pPr>
              <w:ind w:firstLine="0"/>
            </w:pPr>
          </w:p>
          <w:p w14:paraId="7101340A" w14:textId="77777777" w:rsidR="00E83B26" w:rsidRPr="00BA4F0F" w:rsidRDefault="00E83B26" w:rsidP="002D3EBF">
            <w:pPr>
              <w:ind w:firstLine="0"/>
            </w:pPr>
            <w:r w:rsidRPr="00BA4F0F">
              <w:t>-1 - +1</w:t>
            </w:r>
          </w:p>
        </w:tc>
      </w:tr>
      <w:tr w:rsidR="00E83B26" w:rsidRPr="00BA4F0F" w14:paraId="08FC77BF" w14:textId="77777777" w:rsidTr="002D3EBF">
        <w:tc>
          <w:tcPr>
            <w:tcW w:w="2943" w:type="dxa"/>
          </w:tcPr>
          <w:p w14:paraId="7DF76DA0" w14:textId="77777777" w:rsidR="00E83B26" w:rsidRPr="00BA4F0F" w:rsidRDefault="00E83B26" w:rsidP="002D3EBF">
            <w:pPr>
              <w:ind w:firstLine="0"/>
            </w:pPr>
            <w:r w:rsidRPr="00BA4F0F">
              <w:t xml:space="preserve">Обработка полости рта растворами антисептиков </w:t>
            </w:r>
          </w:p>
        </w:tc>
        <w:tc>
          <w:tcPr>
            <w:tcW w:w="3686" w:type="dxa"/>
          </w:tcPr>
          <w:p w14:paraId="183595F4" w14:textId="77777777" w:rsidR="00E83B26" w:rsidRPr="00BA4F0F" w:rsidRDefault="00E83B26" w:rsidP="002D3EBF">
            <w:pPr>
              <w:ind w:firstLine="0"/>
            </w:pPr>
            <w:r w:rsidRPr="00BA4F0F">
              <w:t>многократно</w:t>
            </w:r>
          </w:p>
        </w:tc>
        <w:tc>
          <w:tcPr>
            <w:tcW w:w="2942" w:type="dxa"/>
          </w:tcPr>
          <w:p w14:paraId="5AC66ACF" w14:textId="77777777" w:rsidR="00E83B26" w:rsidRPr="00BA4F0F" w:rsidRDefault="00E83B26" w:rsidP="002D3EBF">
            <w:pPr>
              <w:ind w:firstLine="0"/>
            </w:pPr>
            <w:r w:rsidRPr="00BA4F0F">
              <w:t>весь период мобилизации</w:t>
            </w:r>
          </w:p>
        </w:tc>
      </w:tr>
      <w:tr w:rsidR="00E83B26" w:rsidRPr="00BA4F0F" w14:paraId="097BDE3D" w14:textId="77777777" w:rsidTr="002D3EBF">
        <w:tc>
          <w:tcPr>
            <w:tcW w:w="2943" w:type="dxa"/>
          </w:tcPr>
          <w:p w14:paraId="588A871E" w14:textId="77777777" w:rsidR="00E83B26" w:rsidRPr="00BA4F0F" w:rsidRDefault="00E83B26" w:rsidP="002D3EBF">
            <w:pPr>
              <w:ind w:firstLine="0"/>
            </w:pPr>
            <w:r w:rsidRPr="00BA4F0F">
              <w:t>Стимуляция:</w:t>
            </w:r>
          </w:p>
        </w:tc>
        <w:tc>
          <w:tcPr>
            <w:tcW w:w="6628" w:type="dxa"/>
            <w:gridSpan w:val="2"/>
          </w:tcPr>
          <w:p w14:paraId="556E7498" w14:textId="77777777" w:rsidR="00E83B26" w:rsidRPr="00BA4F0F" w:rsidRDefault="00E83B26" w:rsidP="002D3EBF">
            <w:pPr>
              <w:ind w:firstLine="0"/>
            </w:pPr>
          </w:p>
        </w:tc>
      </w:tr>
      <w:tr w:rsidR="00E83B26" w:rsidRPr="00BA4F0F" w14:paraId="6F26C4CB" w14:textId="77777777" w:rsidTr="002D3EBF">
        <w:tc>
          <w:tcPr>
            <w:tcW w:w="2943" w:type="dxa"/>
          </w:tcPr>
          <w:p w14:paraId="700976AA" w14:textId="77777777" w:rsidR="00E83B26" w:rsidRPr="00BA4F0F" w:rsidRDefault="00E83B26" w:rsidP="002D3EBF">
            <w:pPr>
              <w:ind w:firstLine="0"/>
            </w:pPr>
            <w:r w:rsidRPr="00BA4F0F">
              <w:t>Г-КСФ</w:t>
            </w:r>
          </w:p>
        </w:tc>
        <w:tc>
          <w:tcPr>
            <w:tcW w:w="3686" w:type="dxa"/>
          </w:tcPr>
          <w:p w14:paraId="361A53EA" w14:textId="77777777" w:rsidR="00E83B26" w:rsidRPr="00BA4F0F" w:rsidRDefault="00E83B26" w:rsidP="002D3EBF">
            <w:pPr>
              <w:ind w:firstLine="0"/>
            </w:pPr>
            <w:r w:rsidRPr="00BA4F0F">
              <w:t>5 мкг/кг в сутки подкожно</w:t>
            </w:r>
            <w:r w:rsidRPr="00BA4F0F">
              <w:rPr>
                <w:vertAlign w:val="superscript"/>
              </w:rPr>
              <w:t>**</w:t>
            </w:r>
          </w:p>
        </w:tc>
        <w:tc>
          <w:tcPr>
            <w:tcW w:w="2942" w:type="dxa"/>
          </w:tcPr>
          <w:p w14:paraId="2B121119" w14:textId="77777777" w:rsidR="00E83B26" w:rsidRPr="00BA4F0F" w:rsidRDefault="00E83B26" w:rsidP="002D3EBF">
            <w:pPr>
              <w:ind w:firstLine="0"/>
            </w:pPr>
            <w:r w:rsidRPr="00BA4F0F">
              <w:t>с момента снижения числа лейкоцитов менее 1х10</w:t>
            </w:r>
            <w:r w:rsidRPr="00BA4F0F">
              <w:rPr>
                <w:vertAlign w:val="superscript"/>
              </w:rPr>
              <w:t>9</w:t>
            </w:r>
            <w:r w:rsidRPr="00BA4F0F">
              <w:t>/л.</w:t>
            </w:r>
          </w:p>
        </w:tc>
      </w:tr>
    </w:tbl>
    <w:p w14:paraId="3D58A259" w14:textId="77777777" w:rsidR="00E83B26" w:rsidRPr="00BA4F0F" w:rsidRDefault="00E83B26" w:rsidP="00E83B26">
      <w:r w:rsidRPr="00BA4F0F">
        <w:rPr>
          <w:i/>
        </w:rPr>
        <w:t xml:space="preserve">Примечание: </w:t>
      </w:r>
      <w:r w:rsidRPr="00BA4F0F">
        <w:rPr>
          <w:i/>
          <w:vertAlign w:val="superscript"/>
        </w:rPr>
        <w:t>*</w:t>
      </w:r>
      <w:r w:rsidRPr="00BA4F0F">
        <w:rPr>
          <w:i/>
        </w:rPr>
        <w:t xml:space="preserve"> </w:t>
      </w:r>
      <w:r w:rsidRPr="00BA4F0F">
        <w:t xml:space="preserve">с +3 дня терапии объем вводимых растворов уменьшается в 2 раза. </w:t>
      </w:r>
    </w:p>
    <w:p w14:paraId="0C58FAE4" w14:textId="77777777" w:rsidR="00E83B26" w:rsidRPr="00BA4F0F" w:rsidRDefault="00E83B26" w:rsidP="00E83B26">
      <w:r w:rsidRPr="00BA4F0F">
        <w:t xml:space="preserve">                       </w:t>
      </w:r>
      <w:r w:rsidRPr="00BA4F0F">
        <w:rPr>
          <w:vertAlign w:val="superscript"/>
        </w:rPr>
        <w:t>**</w:t>
      </w:r>
      <w:r w:rsidRPr="00BA4F0F">
        <w:t xml:space="preserve"> при отсутствии снижения числа лейкоцитов возможно увеличение дозы Г-КСФ до 10 мкг/кг/сут.</w:t>
      </w:r>
    </w:p>
    <w:p w14:paraId="4C9DA60A" w14:textId="77777777" w:rsidR="00E83B26" w:rsidRPr="00BA4F0F" w:rsidRDefault="00E83B26" w:rsidP="00E83B26">
      <w:pPr>
        <w:rPr>
          <w:b/>
        </w:rPr>
      </w:pPr>
    </w:p>
    <w:p w14:paraId="56F7A3B9" w14:textId="77777777" w:rsidR="00E83B26" w:rsidRPr="00BA4F0F" w:rsidRDefault="00E83B26" w:rsidP="00E83B26">
      <w:pPr>
        <w:pStyle w:val="afe"/>
        <w:ind w:left="0"/>
        <w:rPr>
          <w:rFonts w:cs="Times New Roman"/>
          <w:szCs w:val="24"/>
          <w:u w:val="single"/>
        </w:rPr>
      </w:pPr>
      <w:bookmarkStart w:id="138" w:name="_Toc44926607"/>
      <w:r w:rsidRPr="00BA4F0F">
        <w:rPr>
          <w:rFonts w:cs="Times New Roman"/>
          <w:szCs w:val="24"/>
          <w:u w:val="single"/>
        </w:rPr>
        <w:t>Г-КСФ в сочетании с плериксафором</w:t>
      </w:r>
      <w:bookmarkEnd w:id="138"/>
    </w:p>
    <w:p w14:paraId="7550E518" w14:textId="77777777" w:rsidR="00E83B26" w:rsidRPr="00BA4F0F" w:rsidRDefault="00E83B26" w:rsidP="00E83B26">
      <w:pPr>
        <w:rPr>
          <w:b/>
          <w:i/>
          <w:lang w:val="en-US"/>
        </w:rPr>
      </w:pPr>
      <w:r w:rsidRPr="00BA4F0F">
        <w:rPr>
          <w:b/>
          <w:i/>
          <w:lang w:val="en-US"/>
        </w:rPr>
        <w:t>Показания</w:t>
      </w:r>
    </w:p>
    <w:p w14:paraId="3B71B158" w14:textId="77777777" w:rsidR="00E83B26" w:rsidRPr="00BA4F0F" w:rsidRDefault="00E83B26" w:rsidP="00A555B2">
      <w:pPr>
        <w:numPr>
          <w:ilvl w:val="0"/>
          <w:numId w:val="206"/>
        </w:numPr>
        <w:ind w:left="0" w:firstLine="0"/>
        <w:contextualSpacing/>
      </w:pPr>
      <w:r w:rsidRPr="00BA4F0F">
        <w:t>Повторная мобилизация после неудачи первой мобилизации ГСК схемами, включающими миелосупрессивные препараты в сочетании с Г-КСФ или применения Г-КСФ в монорежиме у пациентов с лимфомами и ММ;</w:t>
      </w:r>
    </w:p>
    <w:p w14:paraId="13AD5EE7" w14:textId="77777777" w:rsidR="00E83B26" w:rsidRPr="00BA4F0F" w:rsidRDefault="00E83B26" w:rsidP="00A555B2">
      <w:pPr>
        <w:numPr>
          <w:ilvl w:val="0"/>
          <w:numId w:val="206"/>
        </w:numPr>
        <w:ind w:left="0" w:firstLine="0"/>
        <w:contextualSpacing/>
      </w:pPr>
      <w:r w:rsidRPr="00BA4F0F">
        <w:t>Неудовлетворительные результаты текущей мобилизации у пациентов с лимфомами и ММ.</w:t>
      </w:r>
    </w:p>
    <w:p w14:paraId="7D1E86E7" w14:textId="77777777" w:rsidR="00E83B26" w:rsidRPr="00BA4F0F" w:rsidRDefault="00E83B26" w:rsidP="00E83B26">
      <w:r w:rsidRPr="00BA4F0F">
        <w:t>Неудовлетворительные результаты текущей мобилизации:</w:t>
      </w:r>
    </w:p>
    <w:p w14:paraId="172A3498" w14:textId="77777777" w:rsidR="00E83B26" w:rsidRPr="00BA4F0F" w:rsidRDefault="00E83B26" w:rsidP="00E83B26">
      <w:r w:rsidRPr="00BA4F0F">
        <w:t>а) количество CD34+ клеток в периферической крови в день предполагаемого первого лейкафереза менее 10 клеток/мкл (при планируемой одной аутотрансплантации) и 10-20 клеток/мкл (при планируемой тандемной аутотрансплантации);</w:t>
      </w:r>
    </w:p>
    <w:p w14:paraId="49307B9E" w14:textId="77777777" w:rsidR="00E83B26" w:rsidRPr="00BA4F0F" w:rsidRDefault="00E83B26" w:rsidP="00E83B26">
      <w:r w:rsidRPr="00BA4F0F">
        <w:t>б) за первый лейкаферез заготовлено менее 30-50% от необходимого количества CD34+ клеток.</w:t>
      </w:r>
    </w:p>
    <w:p w14:paraId="6403326A" w14:textId="77777777" w:rsidR="00E83B26" w:rsidRPr="00BA4F0F" w:rsidRDefault="00E83B26" w:rsidP="00E83B26">
      <w:pPr>
        <w:contextualSpacing/>
        <w:rPr>
          <w:b/>
        </w:rPr>
      </w:pPr>
    </w:p>
    <w:p w14:paraId="69B1FA6D" w14:textId="77777777" w:rsidR="00E83B26" w:rsidRPr="00BA4F0F" w:rsidRDefault="00E83B26" w:rsidP="00E83B26">
      <w:pPr>
        <w:rPr>
          <w:b/>
          <w:i/>
        </w:rPr>
      </w:pPr>
      <w:r w:rsidRPr="00BA4F0F">
        <w:rPr>
          <w:b/>
          <w:i/>
        </w:rPr>
        <w:t>Схема мобилизации ГСК</w:t>
      </w:r>
    </w:p>
    <w:p w14:paraId="6BE11358" w14:textId="77777777" w:rsidR="00E83B26" w:rsidRPr="00BA4F0F" w:rsidRDefault="00E83B26" w:rsidP="00E83B26">
      <w:r w:rsidRPr="00BA4F0F">
        <w:t>Г-КСФ назначают в дозе 10 мкг/кг/сутки, вводят подкожно утром. На четвертый день введения Г-КСФ плериксафор назначается за 12 часов до лейкафереза в дозе 240 мкг/кг подкожно. По результатам лейкафереза решается вопрос о необходимости повторного введения плериксафора (таблица 3). Возможно применение нескольких введений плериксафора.</w:t>
      </w:r>
    </w:p>
    <w:p w14:paraId="34AFF874" w14:textId="77777777" w:rsidR="00E83B26" w:rsidRPr="00BA4F0F" w:rsidRDefault="00E83B26" w:rsidP="00E83B26"/>
    <w:p w14:paraId="5DDB39C1" w14:textId="77777777" w:rsidR="00E83B26" w:rsidRPr="00BA4F0F" w:rsidRDefault="00E83B26" w:rsidP="00E83B26">
      <w:r w:rsidRPr="00BA4F0F">
        <w:t xml:space="preserve">Таблица 3. Схема мобилизации ГСК «Г-КСФ + плериксафор» </w:t>
      </w:r>
    </w:p>
    <w:tbl>
      <w:tblPr>
        <w:tblStyle w:val="1f3"/>
        <w:tblW w:w="0" w:type="auto"/>
        <w:jc w:val="center"/>
        <w:tblLook w:val="04A0" w:firstRow="1" w:lastRow="0" w:firstColumn="1" w:lastColumn="0" w:noHBand="0" w:noVBand="1"/>
      </w:tblPr>
      <w:tblGrid>
        <w:gridCol w:w="1651"/>
        <w:gridCol w:w="1133"/>
        <w:gridCol w:w="1129"/>
        <w:gridCol w:w="1129"/>
        <w:gridCol w:w="1132"/>
        <w:gridCol w:w="1133"/>
        <w:gridCol w:w="1133"/>
      </w:tblGrid>
      <w:tr w:rsidR="00E83B26" w:rsidRPr="00BA4F0F" w14:paraId="3DA9EA22" w14:textId="77777777" w:rsidTr="002D3EBF">
        <w:trPr>
          <w:jc w:val="center"/>
        </w:trPr>
        <w:tc>
          <w:tcPr>
            <w:tcW w:w="1651" w:type="dxa"/>
          </w:tcPr>
          <w:p w14:paraId="3E43831F" w14:textId="77777777" w:rsidR="00E83B26" w:rsidRPr="00BA4F0F" w:rsidRDefault="00E83B26" w:rsidP="002D3EBF">
            <w:pPr>
              <w:ind w:firstLine="0"/>
            </w:pPr>
            <w:r w:rsidRPr="00BA4F0F">
              <w:t>Дни</w:t>
            </w:r>
          </w:p>
        </w:tc>
        <w:tc>
          <w:tcPr>
            <w:tcW w:w="1133" w:type="dxa"/>
          </w:tcPr>
          <w:p w14:paraId="3F0A0637" w14:textId="77777777" w:rsidR="00E83B26" w:rsidRPr="00BA4F0F" w:rsidRDefault="00E83B26" w:rsidP="002D3EBF">
            <w:pPr>
              <w:ind w:firstLine="0"/>
            </w:pPr>
            <w:r w:rsidRPr="00BA4F0F">
              <w:t>1</w:t>
            </w:r>
          </w:p>
        </w:tc>
        <w:tc>
          <w:tcPr>
            <w:tcW w:w="1129" w:type="dxa"/>
          </w:tcPr>
          <w:p w14:paraId="7E9D5088" w14:textId="77777777" w:rsidR="00E83B26" w:rsidRPr="00BA4F0F" w:rsidRDefault="00E83B26" w:rsidP="002D3EBF">
            <w:pPr>
              <w:ind w:firstLine="0"/>
            </w:pPr>
            <w:r w:rsidRPr="00BA4F0F">
              <w:t>2</w:t>
            </w:r>
          </w:p>
        </w:tc>
        <w:tc>
          <w:tcPr>
            <w:tcW w:w="1129" w:type="dxa"/>
          </w:tcPr>
          <w:p w14:paraId="74276877" w14:textId="77777777" w:rsidR="00E83B26" w:rsidRPr="00BA4F0F" w:rsidRDefault="00E83B26" w:rsidP="002D3EBF">
            <w:pPr>
              <w:ind w:firstLine="0"/>
            </w:pPr>
            <w:r w:rsidRPr="00BA4F0F">
              <w:t>3</w:t>
            </w:r>
          </w:p>
        </w:tc>
        <w:tc>
          <w:tcPr>
            <w:tcW w:w="1132" w:type="dxa"/>
          </w:tcPr>
          <w:p w14:paraId="26DF8F33" w14:textId="77777777" w:rsidR="00E83B26" w:rsidRPr="00BA4F0F" w:rsidRDefault="00E83B26" w:rsidP="002D3EBF">
            <w:pPr>
              <w:ind w:firstLine="0"/>
            </w:pPr>
            <w:r w:rsidRPr="00BA4F0F">
              <w:t>4</w:t>
            </w:r>
          </w:p>
        </w:tc>
        <w:tc>
          <w:tcPr>
            <w:tcW w:w="1133" w:type="dxa"/>
          </w:tcPr>
          <w:p w14:paraId="698555A4" w14:textId="77777777" w:rsidR="00E83B26" w:rsidRPr="00BA4F0F" w:rsidRDefault="00E83B26" w:rsidP="002D3EBF">
            <w:pPr>
              <w:ind w:firstLine="0"/>
            </w:pPr>
            <w:r w:rsidRPr="00BA4F0F">
              <w:t>5</w:t>
            </w:r>
          </w:p>
        </w:tc>
        <w:tc>
          <w:tcPr>
            <w:tcW w:w="1133" w:type="dxa"/>
          </w:tcPr>
          <w:p w14:paraId="3B3364AC" w14:textId="77777777" w:rsidR="00E83B26" w:rsidRPr="00BA4F0F" w:rsidRDefault="00E83B26" w:rsidP="002D3EBF">
            <w:pPr>
              <w:ind w:firstLine="0"/>
            </w:pPr>
            <w:r w:rsidRPr="00BA4F0F">
              <w:t>6</w:t>
            </w:r>
          </w:p>
        </w:tc>
      </w:tr>
      <w:tr w:rsidR="00E83B26" w:rsidRPr="00BA4F0F" w14:paraId="4D819262" w14:textId="77777777" w:rsidTr="002D3EBF">
        <w:trPr>
          <w:jc w:val="center"/>
        </w:trPr>
        <w:tc>
          <w:tcPr>
            <w:tcW w:w="1651" w:type="dxa"/>
          </w:tcPr>
          <w:p w14:paraId="3A87F76A" w14:textId="77777777" w:rsidR="00E83B26" w:rsidRPr="00BA4F0F" w:rsidRDefault="00E83B26" w:rsidP="002D3EBF">
            <w:pPr>
              <w:ind w:firstLine="0"/>
            </w:pPr>
            <w:r w:rsidRPr="00BA4F0F">
              <w:t xml:space="preserve">Г-КСФ, </w:t>
            </w:r>
          </w:p>
          <w:p w14:paraId="0D2B67EA" w14:textId="77777777" w:rsidR="00E83B26" w:rsidRPr="00BA4F0F" w:rsidRDefault="00E83B26" w:rsidP="002D3EBF">
            <w:pPr>
              <w:ind w:firstLine="0"/>
            </w:pPr>
            <w:r w:rsidRPr="00BA4F0F">
              <w:t>10 мкг/кг</w:t>
            </w:r>
          </w:p>
        </w:tc>
        <w:tc>
          <w:tcPr>
            <w:tcW w:w="1133" w:type="dxa"/>
          </w:tcPr>
          <w:p w14:paraId="553E3DA5" w14:textId="77777777" w:rsidR="00E83B26" w:rsidRPr="00BA4F0F" w:rsidRDefault="00E83B26" w:rsidP="002D3EBF">
            <w:pPr>
              <w:ind w:firstLine="0"/>
            </w:pPr>
            <w:r w:rsidRPr="00BA4F0F">
              <w:t>Х</w:t>
            </w:r>
          </w:p>
        </w:tc>
        <w:tc>
          <w:tcPr>
            <w:tcW w:w="1129" w:type="dxa"/>
          </w:tcPr>
          <w:p w14:paraId="4FCFC147" w14:textId="77777777" w:rsidR="00E83B26" w:rsidRPr="00BA4F0F" w:rsidRDefault="00E83B26" w:rsidP="002D3EBF">
            <w:pPr>
              <w:ind w:firstLine="0"/>
            </w:pPr>
            <w:r w:rsidRPr="00BA4F0F">
              <w:t>Х</w:t>
            </w:r>
          </w:p>
        </w:tc>
        <w:tc>
          <w:tcPr>
            <w:tcW w:w="1129" w:type="dxa"/>
          </w:tcPr>
          <w:p w14:paraId="70368E91" w14:textId="77777777" w:rsidR="00E83B26" w:rsidRPr="00BA4F0F" w:rsidRDefault="00E83B26" w:rsidP="002D3EBF">
            <w:pPr>
              <w:ind w:firstLine="0"/>
            </w:pPr>
            <w:r w:rsidRPr="00BA4F0F">
              <w:t>Х</w:t>
            </w:r>
          </w:p>
        </w:tc>
        <w:tc>
          <w:tcPr>
            <w:tcW w:w="1132" w:type="dxa"/>
          </w:tcPr>
          <w:p w14:paraId="78083F57" w14:textId="77777777" w:rsidR="00E83B26" w:rsidRPr="00BA4F0F" w:rsidRDefault="00E83B26" w:rsidP="002D3EBF">
            <w:pPr>
              <w:ind w:firstLine="0"/>
            </w:pPr>
            <w:r w:rsidRPr="00BA4F0F">
              <w:t>Х</w:t>
            </w:r>
          </w:p>
        </w:tc>
        <w:tc>
          <w:tcPr>
            <w:tcW w:w="1133" w:type="dxa"/>
          </w:tcPr>
          <w:p w14:paraId="6F72F7BF" w14:textId="77777777" w:rsidR="00E83B26" w:rsidRPr="00BA4F0F" w:rsidRDefault="00E83B26" w:rsidP="002D3EBF">
            <w:pPr>
              <w:ind w:firstLine="0"/>
            </w:pPr>
            <w:r w:rsidRPr="00BA4F0F">
              <w:t>Х</w:t>
            </w:r>
          </w:p>
        </w:tc>
        <w:tc>
          <w:tcPr>
            <w:tcW w:w="1133" w:type="dxa"/>
          </w:tcPr>
          <w:p w14:paraId="28974011" w14:textId="77777777" w:rsidR="00E83B26" w:rsidRPr="00BA4F0F" w:rsidRDefault="00E83B26" w:rsidP="002D3EBF">
            <w:pPr>
              <w:ind w:firstLine="0"/>
            </w:pPr>
          </w:p>
        </w:tc>
      </w:tr>
      <w:tr w:rsidR="00E83B26" w:rsidRPr="00BA4F0F" w14:paraId="008C4C1F" w14:textId="77777777" w:rsidTr="002D3EBF">
        <w:trPr>
          <w:jc w:val="center"/>
        </w:trPr>
        <w:tc>
          <w:tcPr>
            <w:tcW w:w="1651" w:type="dxa"/>
          </w:tcPr>
          <w:p w14:paraId="7ED99B01" w14:textId="77777777" w:rsidR="00E83B26" w:rsidRPr="00BA4F0F" w:rsidRDefault="00E83B26" w:rsidP="002D3EBF">
            <w:pPr>
              <w:ind w:firstLine="0"/>
            </w:pPr>
            <w:r w:rsidRPr="00BA4F0F">
              <w:t>Плериксафор, 240 мкг/кг</w:t>
            </w:r>
          </w:p>
        </w:tc>
        <w:tc>
          <w:tcPr>
            <w:tcW w:w="1133" w:type="dxa"/>
          </w:tcPr>
          <w:p w14:paraId="7D1C7AA8" w14:textId="77777777" w:rsidR="00E83B26" w:rsidRPr="00BA4F0F" w:rsidRDefault="00E83B26" w:rsidP="002D3EBF">
            <w:pPr>
              <w:ind w:firstLine="0"/>
            </w:pPr>
          </w:p>
        </w:tc>
        <w:tc>
          <w:tcPr>
            <w:tcW w:w="1129" w:type="dxa"/>
          </w:tcPr>
          <w:p w14:paraId="489A84A1" w14:textId="77777777" w:rsidR="00E83B26" w:rsidRPr="00BA4F0F" w:rsidRDefault="00E83B26" w:rsidP="002D3EBF">
            <w:pPr>
              <w:ind w:firstLine="0"/>
            </w:pPr>
          </w:p>
        </w:tc>
        <w:tc>
          <w:tcPr>
            <w:tcW w:w="1129" w:type="dxa"/>
          </w:tcPr>
          <w:p w14:paraId="6ADEE93B" w14:textId="77777777" w:rsidR="00E83B26" w:rsidRPr="00BA4F0F" w:rsidRDefault="00E83B26" w:rsidP="002D3EBF">
            <w:pPr>
              <w:ind w:firstLine="0"/>
            </w:pPr>
          </w:p>
        </w:tc>
        <w:tc>
          <w:tcPr>
            <w:tcW w:w="1132" w:type="dxa"/>
          </w:tcPr>
          <w:p w14:paraId="04A666FC" w14:textId="77777777" w:rsidR="00E83B26" w:rsidRPr="00BA4F0F" w:rsidRDefault="00E83B26" w:rsidP="002D3EBF">
            <w:pPr>
              <w:ind w:firstLine="0"/>
            </w:pPr>
            <w:r w:rsidRPr="00BA4F0F">
              <w:t>Х</w:t>
            </w:r>
          </w:p>
        </w:tc>
        <w:tc>
          <w:tcPr>
            <w:tcW w:w="1133" w:type="dxa"/>
          </w:tcPr>
          <w:p w14:paraId="7EC99069" w14:textId="77777777" w:rsidR="00E83B26" w:rsidRPr="00BA4F0F" w:rsidRDefault="00E83B26" w:rsidP="002D3EBF">
            <w:pPr>
              <w:ind w:firstLine="0"/>
            </w:pPr>
            <w:r w:rsidRPr="00BA4F0F">
              <w:t>(Х)</w:t>
            </w:r>
          </w:p>
        </w:tc>
        <w:tc>
          <w:tcPr>
            <w:tcW w:w="1133" w:type="dxa"/>
          </w:tcPr>
          <w:p w14:paraId="15B5F532" w14:textId="77777777" w:rsidR="00E83B26" w:rsidRPr="00BA4F0F" w:rsidRDefault="00E83B26" w:rsidP="002D3EBF">
            <w:pPr>
              <w:ind w:firstLine="0"/>
            </w:pPr>
          </w:p>
        </w:tc>
      </w:tr>
      <w:tr w:rsidR="00E83B26" w:rsidRPr="00BA4F0F" w14:paraId="4956E348" w14:textId="77777777" w:rsidTr="002D3EBF">
        <w:trPr>
          <w:jc w:val="center"/>
        </w:trPr>
        <w:tc>
          <w:tcPr>
            <w:tcW w:w="1651" w:type="dxa"/>
          </w:tcPr>
          <w:p w14:paraId="2150E348" w14:textId="77777777" w:rsidR="00E83B26" w:rsidRPr="00BA4F0F" w:rsidRDefault="00E83B26" w:rsidP="002D3EBF">
            <w:pPr>
              <w:ind w:firstLine="0"/>
            </w:pPr>
            <w:r w:rsidRPr="00BA4F0F">
              <w:t>Лейкаферез</w:t>
            </w:r>
          </w:p>
        </w:tc>
        <w:tc>
          <w:tcPr>
            <w:tcW w:w="1133" w:type="dxa"/>
          </w:tcPr>
          <w:p w14:paraId="372C0678" w14:textId="77777777" w:rsidR="00E83B26" w:rsidRPr="00BA4F0F" w:rsidRDefault="00E83B26" w:rsidP="002D3EBF">
            <w:pPr>
              <w:ind w:firstLine="0"/>
            </w:pPr>
          </w:p>
        </w:tc>
        <w:tc>
          <w:tcPr>
            <w:tcW w:w="1129" w:type="dxa"/>
          </w:tcPr>
          <w:p w14:paraId="2F00E93F" w14:textId="77777777" w:rsidR="00E83B26" w:rsidRPr="00BA4F0F" w:rsidRDefault="00E83B26" w:rsidP="002D3EBF">
            <w:pPr>
              <w:ind w:firstLine="0"/>
            </w:pPr>
          </w:p>
        </w:tc>
        <w:tc>
          <w:tcPr>
            <w:tcW w:w="1129" w:type="dxa"/>
          </w:tcPr>
          <w:p w14:paraId="5100E828" w14:textId="77777777" w:rsidR="00E83B26" w:rsidRPr="00BA4F0F" w:rsidRDefault="00E83B26" w:rsidP="002D3EBF">
            <w:pPr>
              <w:ind w:firstLine="0"/>
            </w:pPr>
          </w:p>
        </w:tc>
        <w:tc>
          <w:tcPr>
            <w:tcW w:w="1132" w:type="dxa"/>
          </w:tcPr>
          <w:p w14:paraId="2AD7314E" w14:textId="77777777" w:rsidR="00E83B26" w:rsidRPr="00BA4F0F" w:rsidRDefault="00E83B26" w:rsidP="002D3EBF">
            <w:pPr>
              <w:ind w:firstLine="0"/>
            </w:pPr>
          </w:p>
        </w:tc>
        <w:tc>
          <w:tcPr>
            <w:tcW w:w="1133" w:type="dxa"/>
          </w:tcPr>
          <w:p w14:paraId="1C8B50F5" w14:textId="77777777" w:rsidR="00E83B26" w:rsidRPr="00BA4F0F" w:rsidRDefault="00E83B26" w:rsidP="002D3EBF">
            <w:pPr>
              <w:ind w:firstLine="0"/>
              <w:rPr>
                <w:lang w:val="en-US"/>
              </w:rPr>
            </w:pPr>
            <w:r w:rsidRPr="00BA4F0F">
              <w:rPr>
                <w:lang w:val="en-US"/>
              </w:rPr>
              <w:t>V</w:t>
            </w:r>
          </w:p>
        </w:tc>
        <w:tc>
          <w:tcPr>
            <w:tcW w:w="1133" w:type="dxa"/>
          </w:tcPr>
          <w:p w14:paraId="27AD95C1" w14:textId="77777777" w:rsidR="00E83B26" w:rsidRPr="00BA4F0F" w:rsidRDefault="00E83B26" w:rsidP="002D3EBF">
            <w:pPr>
              <w:ind w:firstLine="0"/>
              <w:rPr>
                <w:lang w:val="en-US"/>
              </w:rPr>
            </w:pPr>
            <w:r w:rsidRPr="00BA4F0F">
              <w:rPr>
                <w:lang w:val="en-US"/>
              </w:rPr>
              <w:t>V</w:t>
            </w:r>
          </w:p>
        </w:tc>
      </w:tr>
    </w:tbl>
    <w:p w14:paraId="255A16A7" w14:textId="77777777" w:rsidR="00E83B26" w:rsidRPr="00BA4F0F" w:rsidRDefault="00E83B26" w:rsidP="00E83B26">
      <w:pPr>
        <w:pStyle w:val="11"/>
        <w:spacing w:before="0"/>
        <w:ind w:left="840"/>
      </w:pPr>
    </w:p>
    <w:p w14:paraId="0C23C1D0" w14:textId="77777777" w:rsidR="00E83B26" w:rsidRPr="00BA4F0F" w:rsidRDefault="00E83B26" w:rsidP="00E83B26">
      <w:pPr>
        <w:pStyle w:val="afe"/>
        <w:ind w:left="0"/>
        <w:rPr>
          <w:rFonts w:cs="Times New Roman"/>
          <w:szCs w:val="24"/>
          <w:u w:val="single"/>
        </w:rPr>
      </w:pPr>
      <w:bookmarkStart w:id="139" w:name="_Toc44926608"/>
      <w:r w:rsidRPr="00BA4F0F">
        <w:rPr>
          <w:rFonts w:cs="Times New Roman"/>
          <w:szCs w:val="24"/>
          <w:u w:val="single"/>
        </w:rPr>
        <w:t>Сравнительная характеристика режимов мобилизации ГСК</w:t>
      </w:r>
      <w:bookmarkEnd w:id="139"/>
    </w:p>
    <w:p w14:paraId="52CF046E" w14:textId="77777777" w:rsidR="00E83B26" w:rsidRPr="00BA4F0F" w:rsidRDefault="00E83B26" w:rsidP="00E83B26">
      <w:r w:rsidRPr="00BA4F0F">
        <w:t xml:space="preserve">Проспективных рандомизированных исследований, сравнивающих методы мобилизации (только ростовой фактор или сочетание Г-КСФ с миелосупрессивной химиотерапией) на одном и том же контингенте больных не проводилось, а прямое сравнение различных исследований затруднено. В связи с этим оптимальный метод мобилизации ГСК определить невозможно. </w:t>
      </w:r>
    </w:p>
    <w:p w14:paraId="6AE9CED1" w14:textId="77777777" w:rsidR="00E83B26" w:rsidRPr="00BA4F0F" w:rsidRDefault="00E83B26" w:rsidP="00E83B26">
      <w:r w:rsidRPr="00BA4F0F">
        <w:t xml:space="preserve">У каждого режима мобилизации ГСК есть определенные преимущества и недостатки, поэтому существует индивидуальный подход в выборе лечебной схемы в каждой конкретной ситуации (таблица 4). Так, при использовании Г-КСФ в монорежиме уменьшаются сроки госпитализации, не наблюдаются осложнения, характерные для периода МТА, нет потребности в трансфузионной терапии. Применение этого режима является относительно безопасным у больных с диализ-зависимой почечной недостаточностью, пациентов с кардиальной патологией. </w:t>
      </w:r>
    </w:p>
    <w:p w14:paraId="26B0267B" w14:textId="77777777" w:rsidR="00E83B26" w:rsidRPr="00BA4F0F" w:rsidRDefault="00E83B26" w:rsidP="00E83B26">
      <w:r w:rsidRPr="00BA4F0F">
        <w:t xml:space="preserve">Но у больных с длительным анамнезом лечения велика вероятность неудовлетворительного результата сбора ГСК. Использование режима «ХТ+ Г-КСФ» часто позволяет заготовить адекватное количество клеток, однако сопряжено с развитием инфекционных и токсических осложнений в период МТА, требует назначения массивной сопроводительной терапии, что удлиняет сроки госпитализации. </w:t>
      </w:r>
    </w:p>
    <w:p w14:paraId="4EC10E94" w14:textId="77777777" w:rsidR="00E83B26" w:rsidRPr="00BA4F0F" w:rsidRDefault="00E83B26" w:rsidP="00E83B26"/>
    <w:p w14:paraId="5F59320F" w14:textId="77777777" w:rsidR="00E83B26" w:rsidRPr="00BA4F0F" w:rsidRDefault="00E83B26" w:rsidP="00E83B26">
      <w:r w:rsidRPr="00BA4F0F">
        <w:t>Таблица 4. Сравнительная характеристика режимов мобилизации ГСК</w:t>
      </w:r>
    </w:p>
    <w:tbl>
      <w:tblPr>
        <w:tblStyle w:val="1f3"/>
        <w:tblW w:w="0" w:type="auto"/>
        <w:tblInd w:w="108" w:type="dxa"/>
        <w:tblLook w:val="04A0" w:firstRow="1" w:lastRow="0" w:firstColumn="1" w:lastColumn="0" w:noHBand="0" w:noVBand="1"/>
      </w:tblPr>
      <w:tblGrid>
        <w:gridCol w:w="1835"/>
        <w:gridCol w:w="3912"/>
        <w:gridCol w:w="3490"/>
      </w:tblGrid>
      <w:tr w:rsidR="00E83B26" w:rsidRPr="00BA4F0F" w14:paraId="6D6A42B7" w14:textId="77777777" w:rsidTr="002D3EBF">
        <w:trPr>
          <w:trHeight w:val="896"/>
        </w:trPr>
        <w:tc>
          <w:tcPr>
            <w:tcW w:w="1843" w:type="dxa"/>
          </w:tcPr>
          <w:p w14:paraId="7BE251AC" w14:textId="77777777" w:rsidR="00E83B26" w:rsidRPr="00BA4F0F" w:rsidRDefault="00E83B26" w:rsidP="002D3EBF">
            <w:pPr>
              <w:ind w:firstLine="0"/>
            </w:pPr>
            <w:r w:rsidRPr="00BA4F0F">
              <w:rPr>
                <w:b/>
                <w:bCs/>
              </w:rPr>
              <w:t>Режим мобилизации</w:t>
            </w:r>
          </w:p>
        </w:tc>
        <w:tc>
          <w:tcPr>
            <w:tcW w:w="3969" w:type="dxa"/>
          </w:tcPr>
          <w:p w14:paraId="346426BA" w14:textId="77777777" w:rsidR="00E83B26" w:rsidRPr="00BA4F0F" w:rsidRDefault="00E83B26" w:rsidP="002D3EBF">
            <w:pPr>
              <w:ind w:left="720" w:firstLine="0"/>
              <w:contextualSpacing/>
            </w:pPr>
            <w:r w:rsidRPr="00BA4F0F">
              <w:rPr>
                <w:b/>
                <w:bCs/>
              </w:rPr>
              <w:t>Преимущества</w:t>
            </w:r>
          </w:p>
        </w:tc>
        <w:tc>
          <w:tcPr>
            <w:tcW w:w="3544" w:type="dxa"/>
          </w:tcPr>
          <w:p w14:paraId="012E6F23" w14:textId="77777777" w:rsidR="00E83B26" w:rsidRPr="00BA4F0F" w:rsidRDefault="00E83B26" w:rsidP="002D3EBF">
            <w:pPr>
              <w:ind w:left="720" w:firstLine="0"/>
              <w:contextualSpacing/>
            </w:pPr>
            <w:r w:rsidRPr="00BA4F0F">
              <w:rPr>
                <w:b/>
                <w:bCs/>
              </w:rPr>
              <w:t>Недостатки</w:t>
            </w:r>
          </w:p>
        </w:tc>
      </w:tr>
      <w:tr w:rsidR="00E83B26" w:rsidRPr="00BA4F0F" w14:paraId="55E1EEE2" w14:textId="77777777" w:rsidTr="002D3EBF">
        <w:tc>
          <w:tcPr>
            <w:tcW w:w="1843" w:type="dxa"/>
          </w:tcPr>
          <w:p w14:paraId="208E5EBE" w14:textId="77777777" w:rsidR="00E83B26" w:rsidRPr="00BA4F0F" w:rsidRDefault="00E83B26" w:rsidP="002D3EBF">
            <w:pPr>
              <w:ind w:firstLine="0"/>
              <w:rPr>
                <w:b/>
              </w:rPr>
            </w:pPr>
            <w:r w:rsidRPr="00BA4F0F">
              <w:rPr>
                <w:b/>
              </w:rPr>
              <w:t>Г-КСФ в монорежиме</w:t>
            </w:r>
          </w:p>
        </w:tc>
        <w:tc>
          <w:tcPr>
            <w:tcW w:w="3969" w:type="dxa"/>
          </w:tcPr>
          <w:p w14:paraId="10D57292" w14:textId="77777777" w:rsidR="00E83B26" w:rsidRPr="00BA4F0F" w:rsidRDefault="00E83B26" w:rsidP="002D3EBF">
            <w:pPr>
              <w:ind w:firstLine="0"/>
            </w:pPr>
            <w:r w:rsidRPr="00BA4F0F">
              <w:t>Уменьшение сроков госпитализации, четко планируемые сроки лейкаферезов, отсутствие антибиотикотерапии, заместительной трансфузионной терапии</w:t>
            </w:r>
          </w:p>
          <w:p w14:paraId="679912D1" w14:textId="77777777" w:rsidR="00E83B26" w:rsidRPr="00BA4F0F" w:rsidRDefault="00E83B26" w:rsidP="002D3EBF">
            <w:pPr>
              <w:ind w:firstLine="0"/>
            </w:pPr>
          </w:p>
        </w:tc>
        <w:tc>
          <w:tcPr>
            <w:tcW w:w="3544" w:type="dxa"/>
          </w:tcPr>
          <w:p w14:paraId="7673DC93" w14:textId="77777777" w:rsidR="00E83B26" w:rsidRPr="00BA4F0F" w:rsidRDefault="00E83B26" w:rsidP="002D3EBF">
            <w:pPr>
              <w:ind w:firstLine="0"/>
            </w:pPr>
            <w:r w:rsidRPr="00BA4F0F">
              <w:t>Неэффективна у предлеченных больных</w:t>
            </w:r>
          </w:p>
        </w:tc>
      </w:tr>
      <w:tr w:rsidR="00E83B26" w:rsidRPr="00BA4F0F" w14:paraId="0DBBF376" w14:textId="77777777" w:rsidTr="002D3EBF">
        <w:tc>
          <w:tcPr>
            <w:tcW w:w="1843" w:type="dxa"/>
          </w:tcPr>
          <w:p w14:paraId="57963B20" w14:textId="77777777" w:rsidR="00E83B26" w:rsidRPr="00BA4F0F" w:rsidRDefault="00E83B26" w:rsidP="002D3EBF">
            <w:pPr>
              <w:ind w:firstLine="0"/>
              <w:rPr>
                <w:b/>
              </w:rPr>
            </w:pPr>
            <w:r w:rsidRPr="00BA4F0F">
              <w:rPr>
                <w:b/>
              </w:rPr>
              <w:t>ХТ+ Г-КСФ</w:t>
            </w:r>
          </w:p>
        </w:tc>
        <w:tc>
          <w:tcPr>
            <w:tcW w:w="3969" w:type="dxa"/>
          </w:tcPr>
          <w:p w14:paraId="39673176" w14:textId="77777777" w:rsidR="00E83B26" w:rsidRPr="00BA4F0F" w:rsidRDefault="00E83B26" w:rsidP="002D3EBF">
            <w:pPr>
              <w:ind w:firstLine="0"/>
            </w:pPr>
            <w:r w:rsidRPr="00BA4F0F">
              <w:t>Высокая эффективность  мобилизации</w:t>
            </w:r>
          </w:p>
        </w:tc>
        <w:tc>
          <w:tcPr>
            <w:tcW w:w="3544" w:type="dxa"/>
          </w:tcPr>
          <w:p w14:paraId="46E158DA" w14:textId="77777777" w:rsidR="00E83B26" w:rsidRPr="00BA4F0F" w:rsidRDefault="00E83B26" w:rsidP="002D3EBF">
            <w:pPr>
              <w:ind w:firstLine="0"/>
            </w:pPr>
            <w:r w:rsidRPr="00BA4F0F">
              <w:t>Цитопения</w:t>
            </w:r>
          </w:p>
          <w:p w14:paraId="4E1A8CFE" w14:textId="77777777" w:rsidR="00E83B26" w:rsidRPr="00BA4F0F" w:rsidRDefault="00E83B26" w:rsidP="002D3EBF">
            <w:pPr>
              <w:ind w:firstLine="0"/>
            </w:pPr>
            <w:r w:rsidRPr="00BA4F0F">
              <w:t xml:space="preserve">Инфекционные осложнения </w:t>
            </w:r>
          </w:p>
          <w:p w14:paraId="6B9FD865" w14:textId="77777777" w:rsidR="00E83B26" w:rsidRPr="00BA4F0F" w:rsidRDefault="00E83B26" w:rsidP="002D3EBF">
            <w:pPr>
              <w:ind w:firstLine="0"/>
            </w:pPr>
            <w:r w:rsidRPr="00BA4F0F">
              <w:t>Трансфузии компонентов крови</w:t>
            </w:r>
          </w:p>
          <w:p w14:paraId="6E3D78A6" w14:textId="77777777" w:rsidR="00E83B26" w:rsidRPr="00BA4F0F" w:rsidRDefault="00E83B26" w:rsidP="002D3EBF">
            <w:pPr>
              <w:ind w:firstLine="0"/>
            </w:pPr>
            <w:r w:rsidRPr="00BA4F0F">
              <w:t>Нет четкого планирования сроков лейкаферезов</w:t>
            </w:r>
          </w:p>
          <w:p w14:paraId="474A701D" w14:textId="77777777" w:rsidR="00E83B26" w:rsidRPr="00BA4F0F" w:rsidRDefault="00E83B26" w:rsidP="002D3EBF">
            <w:pPr>
              <w:ind w:firstLine="0"/>
            </w:pPr>
            <w:r w:rsidRPr="00BA4F0F">
              <w:t>Небезопасна при коморбидности</w:t>
            </w:r>
          </w:p>
        </w:tc>
      </w:tr>
    </w:tbl>
    <w:p w14:paraId="7E77B10F" w14:textId="77777777" w:rsidR="00E83B26" w:rsidRPr="00BA4F0F" w:rsidRDefault="00E83B26" w:rsidP="00E83B26">
      <w:pPr>
        <w:rPr>
          <w:i/>
        </w:rPr>
      </w:pPr>
      <w:r w:rsidRPr="00BA4F0F">
        <w:rPr>
          <w:i/>
        </w:rPr>
        <w:t>ХТ – химиотерапия, ЛЛТ – локальная лучевая терапия</w:t>
      </w:r>
    </w:p>
    <w:p w14:paraId="50D07952" w14:textId="77777777" w:rsidR="00E83B26" w:rsidRPr="00BA4F0F" w:rsidRDefault="00E83B26" w:rsidP="00E83B26">
      <w:r w:rsidRPr="00BA4F0F">
        <w:t xml:space="preserve">Продолжаются многочисленные исследования, направленные на оптимизацию режимов мобилизации стволовых клеток, обсуждаются возможности применения новых ростовых факторов, апробируются различные дозы цитостатических препаратов. </w:t>
      </w:r>
    </w:p>
    <w:p w14:paraId="68CB15C7" w14:textId="77777777" w:rsidR="00E83B26" w:rsidRPr="00BA4F0F" w:rsidRDefault="00E83B26" w:rsidP="00E83B26">
      <w:bookmarkStart w:id="140" w:name="_Toc44926609"/>
    </w:p>
    <w:p w14:paraId="520F6F13" w14:textId="77777777" w:rsidR="00E83B26" w:rsidRPr="00BA4F0F" w:rsidRDefault="00E83B26" w:rsidP="00E83B26">
      <w:pPr>
        <w:rPr>
          <w:b/>
        </w:rPr>
      </w:pPr>
      <w:r w:rsidRPr="00BA4F0F">
        <w:rPr>
          <w:b/>
        </w:rPr>
        <w:t>Особенности сопроводительной терапии при мобилизации ГСК</w:t>
      </w:r>
      <w:bookmarkEnd w:id="140"/>
    </w:p>
    <w:p w14:paraId="35250871" w14:textId="77777777" w:rsidR="00E83B26" w:rsidRPr="00BA4F0F" w:rsidRDefault="00E83B26" w:rsidP="00E83B26">
      <w:pPr>
        <w:pStyle w:val="afe"/>
        <w:ind w:left="0"/>
        <w:rPr>
          <w:rFonts w:cs="Times New Roman"/>
          <w:szCs w:val="24"/>
          <w:u w:val="single"/>
        </w:rPr>
      </w:pPr>
      <w:r w:rsidRPr="00BA4F0F">
        <w:rPr>
          <w:rFonts w:cs="Times New Roman"/>
          <w:szCs w:val="24"/>
          <w:u w:val="single"/>
        </w:rPr>
        <w:t>Г-КСФ в монорежиме и Г-КСФ в сочетании с плериксафором</w:t>
      </w:r>
    </w:p>
    <w:p w14:paraId="68C1970A" w14:textId="77777777" w:rsidR="00E83B26" w:rsidRPr="00BA4F0F" w:rsidRDefault="00E83B26" w:rsidP="00A555B2">
      <w:pPr>
        <w:numPr>
          <w:ilvl w:val="0"/>
          <w:numId w:val="204"/>
        </w:numPr>
        <w:ind w:left="0" w:firstLine="0"/>
      </w:pPr>
      <w:r w:rsidRPr="00BA4F0F">
        <w:t>Если есть сложности с доступом к периферическим венам, перед началом сбора ГСК устанавливается перфузионный катетер в центральную вену;</w:t>
      </w:r>
    </w:p>
    <w:p w14:paraId="65CC391E" w14:textId="77777777" w:rsidR="00E83B26" w:rsidRPr="00BA4F0F" w:rsidRDefault="00E83B26" w:rsidP="00A555B2">
      <w:pPr>
        <w:numPr>
          <w:ilvl w:val="0"/>
          <w:numId w:val="204"/>
        </w:numPr>
        <w:ind w:left="0" w:firstLine="0"/>
      </w:pPr>
      <w:r w:rsidRPr="00BA4F0F">
        <w:t>С целью профилактики тромботических осложнений проводится введение низкомолекулярных гепаринов (эноксапарин 40 мг или эквивалент) в профилактической дозе подкожно один раз в сутки на фоне введения Г-КСФ и в течение 2-3 суток после его отмены;</w:t>
      </w:r>
    </w:p>
    <w:p w14:paraId="66B80F9C" w14:textId="77777777" w:rsidR="00E83B26" w:rsidRPr="00BA4F0F" w:rsidRDefault="00E83B26" w:rsidP="00A555B2">
      <w:pPr>
        <w:numPr>
          <w:ilvl w:val="0"/>
          <w:numId w:val="204"/>
        </w:numPr>
        <w:ind w:left="0" w:firstLine="0"/>
      </w:pPr>
      <w:r w:rsidRPr="00BA4F0F">
        <w:t xml:space="preserve">Адекватное обезболивание при болевом синдроме в костях, вызванном введением Г-КСФ. Предпочтение отдается наркотическим аналгетикам (промедол 10 мг в/в, трамадол 100 мг в/в, фентанил 25 мкг/час трансдермально), при отсутствии миелотксического агранулоцитоза возможно использование нестероидных противовоспалительных препаратов. </w:t>
      </w:r>
    </w:p>
    <w:p w14:paraId="3E3BBA19" w14:textId="77777777" w:rsidR="00E83B26" w:rsidRPr="00BA4F0F" w:rsidRDefault="00E83B26" w:rsidP="00E83B26">
      <w:pPr>
        <w:rPr>
          <w:b/>
          <w:i/>
        </w:rPr>
      </w:pPr>
    </w:p>
    <w:p w14:paraId="145F368A" w14:textId="77777777" w:rsidR="00E83B26" w:rsidRPr="00BA4F0F" w:rsidRDefault="00E83B26" w:rsidP="00E83B26">
      <w:pPr>
        <w:pStyle w:val="afe"/>
        <w:ind w:left="0"/>
        <w:rPr>
          <w:rFonts w:cs="Times New Roman"/>
          <w:szCs w:val="24"/>
          <w:u w:val="single"/>
        </w:rPr>
      </w:pPr>
      <w:r w:rsidRPr="00BA4F0F">
        <w:rPr>
          <w:rFonts w:cs="Times New Roman"/>
          <w:szCs w:val="24"/>
          <w:u w:val="single"/>
        </w:rPr>
        <w:t>Режим «ХТ + Г-КСФ»</w:t>
      </w:r>
    </w:p>
    <w:p w14:paraId="23BBFD5D" w14:textId="77777777" w:rsidR="00E83B26" w:rsidRPr="00BA4F0F" w:rsidRDefault="00E83B26" w:rsidP="00A555B2">
      <w:pPr>
        <w:numPr>
          <w:ilvl w:val="0"/>
          <w:numId w:val="204"/>
        </w:numPr>
        <w:ind w:left="0" w:firstLine="0"/>
      </w:pPr>
      <w:r w:rsidRPr="00BA4F0F">
        <w:t>Необходима установка центрального венозного катетера (ЦВК) для обеспечения сосудистого доступа. Если есть сложности с доступом к периферическим венам, перед началом сбора ГСК центральный катетер меняют на перфузионный;</w:t>
      </w:r>
    </w:p>
    <w:p w14:paraId="7DF39938" w14:textId="77777777" w:rsidR="00E83B26" w:rsidRPr="00BA4F0F" w:rsidRDefault="00E83B26" w:rsidP="00A555B2">
      <w:pPr>
        <w:numPr>
          <w:ilvl w:val="0"/>
          <w:numId w:val="204"/>
        </w:numPr>
        <w:ind w:left="0" w:firstLine="0"/>
      </w:pPr>
      <w:r w:rsidRPr="00BA4F0F">
        <w:t>Круглосуточное введение гепарина с целью профилактики тромботических осложнений. Начальная доза гепарина 12 000 ЕД/сут., далее - под контролем АЧТВ (АЧТВ 1,5-2 нормы);</w:t>
      </w:r>
    </w:p>
    <w:p w14:paraId="054A01A4" w14:textId="77777777" w:rsidR="00E83B26" w:rsidRPr="00BA4F0F" w:rsidRDefault="00E83B26" w:rsidP="00A555B2">
      <w:pPr>
        <w:numPr>
          <w:ilvl w:val="0"/>
          <w:numId w:val="204"/>
        </w:numPr>
        <w:ind w:left="0" w:firstLine="0"/>
      </w:pPr>
      <w:r w:rsidRPr="00BA4F0F">
        <w:t>Введение химиопрепаратов сопровождается массивной гидратацией из расчета 1,5-3 л/м</w:t>
      </w:r>
      <w:r w:rsidRPr="00BA4F0F">
        <w:rPr>
          <w:vertAlign w:val="superscript"/>
        </w:rPr>
        <w:t>2</w:t>
      </w:r>
      <w:r w:rsidRPr="00BA4F0F">
        <w:t>, гипоурикемической терапией аллопуринолом 400 - 600 мг/сут. (за исключением схем, содержащих метотрексат), диуретической терапией (фуросемид 20 мг болюсно 3 р/сут)</w:t>
      </w:r>
    </w:p>
    <w:p w14:paraId="032DB3A5" w14:textId="77777777" w:rsidR="00E83B26" w:rsidRPr="00BA4F0F" w:rsidRDefault="00E83B26" w:rsidP="00A555B2">
      <w:pPr>
        <w:numPr>
          <w:ilvl w:val="0"/>
          <w:numId w:val="204"/>
        </w:numPr>
        <w:ind w:left="0" w:firstLine="0"/>
      </w:pPr>
      <w:r w:rsidRPr="00BA4F0F">
        <w:t>При наличии в схеме ХТ ифосфамида, циклофосфамида для защиты слизистой мочевого пузыря и мочевыводящих путей назначается уромитексан в дозе 2,4 г/м</w:t>
      </w:r>
      <w:r w:rsidRPr="00BA4F0F">
        <w:rPr>
          <w:vertAlign w:val="superscript"/>
        </w:rPr>
        <w:t>2</w:t>
      </w:r>
      <w:r w:rsidRPr="00BA4F0F">
        <w:t xml:space="preserve"> круглосуточно в день введения цитостатика;</w:t>
      </w:r>
    </w:p>
    <w:p w14:paraId="0B5163DD" w14:textId="77777777" w:rsidR="00E83B26" w:rsidRPr="00BA4F0F" w:rsidRDefault="00E83B26" w:rsidP="00A555B2">
      <w:pPr>
        <w:numPr>
          <w:ilvl w:val="0"/>
          <w:numId w:val="204"/>
        </w:numPr>
        <w:ind w:left="0" w:firstLine="0"/>
      </w:pPr>
      <w:r w:rsidRPr="00BA4F0F">
        <w:t>При наличии в схеме ХТ метотрексата через 12 ч. после окончания его введения назначается лейковорин в дозе 25 мг внутрь и внутривенно 6 раз в сутки 4 дня или до достижения концентрации метотрексата в крови менее 0,1 мкмоль/л.</w:t>
      </w:r>
    </w:p>
    <w:p w14:paraId="4C70BB20" w14:textId="77777777" w:rsidR="00E83B26" w:rsidRPr="00BA4F0F" w:rsidRDefault="00E83B26" w:rsidP="00A555B2">
      <w:pPr>
        <w:numPr>
          <w:ilvl w:val="0"/>
          <w:numId w:val="204"/>
        </w:numPr>
        <w:ind w:left="0" w:firstLine="0"/>
      </w:pPr>
      <w:r w:rsidRPr="00BA4F0F">
        <w:t>Противосудорожная профилактика, если применяется бусульфан, циклофосфан (карбамазепин 200 мг+ диазепам 10 мг);</w:t>
      </w:r>
    </w:p>
    <w:p w14:paraId="1BC7A10C" w14:textId="77777777" w:rsidR="00E83B26" w:rsidRPr="00BA4F0F" w:rsidRDefault="00E83B26" w:rsidP="00A555B2">
      <w:pPr>
        <w:numPr>
          <w:ilvl w:val="0"/>
          <w:numId w:val="204"/>
        </w:numPr>
        <w:ind w:left="0" w:firstLine="0"/>
      </w:pPr>
      <w:r w:rsidRPr="00BA4F0F">
        <w:t>Противорвотная терапия по стандартным схемам (ондансетрон 8 мг, метоклопрамид 10 мг и тд.);</w:t>
      </w:r>
    </w:p>
    <w:p w14:paraId="5479F92A" w14:textId="77777777" w:rsidR="00E83B26" w:rsidRPr="00BA4F0F" w:rsidRDefault="00E83B26" w:rsidP="00A555B2">
      <w:pPr>
        <w:numPr>
          <w:ilvl w:val="0"/>
          <w:numId w:val="204"/>
        </w:numPr>
        <w:ind w:left="0" w:firstLine="0"/>
      </w:pPr>
      <w:r w:rsidRPr="00BA4F0F">
        <w:t xml:space="preserve">Противоязвенная терапия по стандартным схемам (омепразол 20 мг или ранитидин 150 мг) </w:t>
      </w:r>
    </w:p>
    <w:p w14:paraId="665895C0" w14:textId="77777777" w:rsidR="00E83B26" w:rsidRPr="00BA4F0F" w:rsidRDefault="00E83B26" w:rsidP="00A555B2">
      <w:pPr>
        <w:numPr>
          <w:ilvl w:val="0"/>
          <w:numId w:val="204"/>
        </w:numPr>
        <w:ind w:left="0" w:firstLine="0"/>
      </w:pPr>
      <w:r w:rsidRPr="00BA4F0F">
        <w:t>Овариопротекция проводится женщинам фертильного возраста по показаниям</w:t>
      </w:r>
    </w:p>
    <w:p w14:paraId="6F75CA41" w14:textId="77777777" w:rsidR="00E83B26" w:rsidRPr="00BA4F0F" w:rsidRDefault="00E83B26" w:rsidP="00E83B26">
      <w:pPr>
        <w:rPr>
          <w:b/>
        </w:rPr>
      </w:pPr>
      <w:bookmarkStart w:id="141" w:name="_Toc44926610"/>
    </w:p>
    <w:p w14:paraId="14DD01D9" w14:textId="77777777" w:rsidR="00E83B26" w:rsidRPr="00BA4F0F" w:rsidRDefault="00E83B26" w:rsidP="00E83B26">
      <w:pPr>
        <w:rPr>
          <w:b/>
        </w:rPr>
      </w:pPr>
      <w:r w:rsidRPr="00BA4F0F">
        <w:rPr>
          <w:b/>
        </w:rPr>
        <w:t>Лейкаферез и криоконсервирование</w:t>
      </w:r>
      <w:bookmarkEnd w:id="141"/>
    </w:p>
    <w:p w14:paraId="7D9C9A66" w14:textId="77777777" w:rsidR="00E83B26" w:rsidRPr="00BA4F0F" w:rsidRDefault="00E83B26" w:rsidP="00E83B26">
      <w:pPr>
        <w:pStyle w:val="afe"/>
        <w:ind w:left="0"/>
        <w:rPr>
          <w:rFonts w:cs="Times New Roman"/>
          <w:szCs w:val="24"/>
          <w:u w:val="single"/>
        </w:rPr>
      </w:pPr>
      <w:bookmarkStart w:id="142" w:name="_Toc44926611"/>
      <w:r w:rsidRPr="00BA4F0F">
        <w:rPr>
          <w:rFonts w:cs="Times New Roman"/>
          <w:szCs w:val="24"/>
          <w:u w:val="single"/>
        </w:rPr>
        <w:t>Лейкоцитаферез</w:t>
      </w:r>
      <w:bookmarkEnd w:id="142"/>
    </w:p>
    <w:p w14:paraId="7BDC4093" w14:textId="67379BCB" w:rsidR="00E83B26" w:rsidRPr="00BA4F0F" w:rsidRDefault="00E83B26" w:rsidP="00E83B26">
      <w:r w:rsidRPr="00BA4F0F">
        <w:t xml:space="preserve">Лейкаферез – полуселективный метод экстракорпоральной гемокоррекции, основанный на разделении плазмы и клеток крови под воздействием центробежной силы и выделении из крови фракции лейкоцитов </w:t>
      </w:r>
      <w:r w:rsidRPr="00BA4F0F">
        <w:fldChar w:fldCharType="begin" w:fldLock="1"/>
      </w:r>
      <w:r w:rsidR="003B39A6">
        <w:instrText>ADDIN CSL_CITATION {"citationItems":[{"id":"ITEM-1","itemData":{"author":[{"dropping-particle":"","family":"Афанасьева О.И., Воинов В.А.","given":"Гольдфарб Ю.С.","non-dropping-particle":"","parse-names":false,"suffix":""}],"id":"ITEM-1","issued":{"date-parts":[["2016"]]},"page":"7-15","publisher-place":"СПб","title":"Экстракорпоральная гемокоррекция: терминология, языковые соответствия","type":"paper-conference"},"uris":["http://www.mendeley.com/documents/?uuid=dd794081-f883-4721-812b-15ca1118ea10","http://www.mendeley.com/documents/?uuid=e6fbe91e-84b6-4e21-8e03-046ee3f21147","http://www.mendeley.com/documents/?uuid=97018312-9d9b-48d4-8675-1e409d0ed713","http://www.mendeley.com/documents/?uuid=282ee115-b097-474e-a9bb-520be3f26e12","http://www.mendeley.com/documents/?uuid=27217d21-2275-40b2-ad81-407c9211ec51","http://www.mendeley.com/documents/?uuid=caa1a6ba-88e1-4c61-a222-974128ef3624","http://www.mendeley.com/documents/?uuid=3b79c5e9-e873-4ee1-a644-2cc9d177aaa6"]}],"mendeley":{"formattedCitation":"[125]","plainTextFormattedCitation":"[125]","previouslyFormattedCitation":"[125]"},"properties":{"noteIndex":0},"schema":"https://github.com/citation-style-language/schema/raw/master/csl-citation.json"}</w:instrText>
      </w:r>
      <w:r w:rsidRPr="00BA4F0F">
        <w:fldChar w:fldCharType="separate"/>
      </w:r>
      <w:r w:rsidRPr="00E83B26">
        <w:rPr>
          <w:noProof/>
        </w:rPr>
        <w:t>[125]</w:t>
      </w:r>
      <w:r w:rsidRPr="00BA4F0F">
        <w:fldChar w:fldCharType="end"/>
      </w:r>
      <w:r w:rsidRPr="00BA4F0F">
        <w:t xml:space="preserve">. </w:t>
      </w:r>
    </w:p>
    <w:p w14:paraId="4BA63B9E" w14:textId="6DB3C4FB" w:rsidR="00E83B26" w:rsidRPr="00BA4F0F" w:rsidRDefault="00E83B26" w:rsidP="00E83B26">
      <w:r w:rsidRPr="00BA4F0F">
        <w:t xml:space="preserve">Как уже упоминалось выше, основным критерием, позволяющим прогнозировать успешный сбор ГСК, является содержание СD34+ клеток в периферической крови в день проведения предполагаемого первого лейкафереза. Если сбор ГСК начат рано, потребуются большее количество процедур, что приводит к увеличению финансовых и трудозатрат. Кроме того, увеличение числа лейкаферезов приводит к возрастанию общего объема заготовленного продукта. Соответственно, применяется большее количество криопротектора (диметилсульфоксида – ДМСО), который при дальнейшем внутривенном введении во время ауто-ТГСК может вызывать побочные явления </w:t>
      </w:r>
      <w:r w:rsidRPr="00BA4F0F">
        <w:fldChar w:fldCharType="begin" w:fldLock="1"/>
      </w:r>
      <w:r w:rsidR="003B39A6">
        <w:instrText>ADDIN CSL_CITATION {"citationItems":[{"id":"ITEM-1","itemData":{"DOI":"10.1016/j.tmrv.2018.05.005","ISSN":"15329496","abstract":"Adverse events (AEs) associated with blood transfusions, including component-specific red cell, platelet, and plasma products, have been extensively surveyed. In contrast, surveillance of AEs associated with hematopoietic stem cell (HSC) products in HSC transplantation (HSCT) has been less rigorous, even though HSC products include a diversity of immature and mature hematopoietic cells, substantial plasma, and dimethyl sulfoxide (DMSO) in the case of cryopreserved HSC products. HSC infusion-related AEs have been attributed to DMSO toxicity, but AEs associated with the infusion of noncryopreserved HSC products are not uncommon. To quantify the frequencies, types, and risk factors of HSC infusion-related AEs, we implemented national surveillance for AEs observed within 24 hours after infusion. Herein we report on 1125 HSCTs, including 570 peripheral blood stem cell transplantations (PBSCTs) (290 autologous [auto-] and 280 allogeneic [allo-]), 332 allo-bone marrow transplantations (allo-BMTs) and 223 allo-cord blood transplantations (allo-CBTs). Unexpectedly, incidences of grade ≥ 2 AEs were most frequent in allo-BMTs (37.7%) with no DMSO in any product compared with auto-/allo-PBSCTs (20.9%, P &lt;.001) and allo-CBTs (19.3%, P &lt;.001) typically cryopreserved with DMSO. Hypertension was most often noted in BMTs, whereas nausea/vomiting, fever, and allergic reactions were most frequent in allo-PBSCTs. In a multivariate analysis, a history of transfusion reactions was a risk factor for overall AEs in all HSCTs (odds ratio [OR] = 1.459, P =.045). For grade ≥ 2 AEs in allo-HSCTs, a history of transfusion reactions (OR = 1.551, P =.044) for overall AEs, and high infusion volume (OR = 7.544, P =.005) and allo-PBSCTs (versus BMTs, OR = 9.948, P =.002) for allergic reactions were identified as risk factors. These findings suggest that some factors unrelated to DMSO, such as allo-antigens, contribute to HSC infusion-related AEs. As severe AEs, a total of 117 grade ≥ 3 AEs were reported in 1125 HSCTs, including life-threatening complications in 3 (0.3%) HSCTs: 1 allo-CBT (anaphylaxis) and 2 allo-PBSCTs (hypoxia, kidney injury) with cryopreserved product. Our data show that HSC infusion risks vary by product, can be severe, and should be monitored with the same rigor as modern transfusion hemovigilance programs.","author":[{"dropping-particle":"","family":"Ikeda","given":"Kazuhiko","non-dropping-particle":"","parse-names":false,"suffix":""},{"dropping-particle":"","family":"Ohto","given":"Hitoshi","non-dropping-particle":"","parse-names":false,"suffix":""},{"dropping-particle":"","family":"Okuyama","given":"Yoshiki","non-dropping-particle":"","parse-names":false,"suffix":""},{"dropping-particle":"","family":"Yamada-Fujiwara","given":"Minami","non-dropping-particle":"","parse-names":false,"suffix":""},{"dropping-particle":"","family":"Kanamori","given":"Heiwa","non-dropping-particle":"","parse-names":false,"suffix":""},{"dropping-particle":"","family":"Fujiwara","given":"Shin ichiro","non-dropping-particle":"","parse-names":false,"suffix":""},{"dropping-particle":"","family":"Muroi","given":"Kazuo","non-dropping-particle":"","parse-names":false,"suffix":""},{"dropping-particle":"","family":"Mori","given":"Takehiko","non-dropping-particle":"","parse-names":false,"suffix":""},{"dropping-particle":"","family":"Kasama","given":"Kinuyo","non-dropping-particle":"","parse-names":false,"suffix":""},{"dropping-particle":"","family":"Iseki","given":"Tohru","non-dropping-particle":"","parse-names":false,"suffix":""},{"dropping-particle":"","family":"Nagamura-Inoue","given":"Tokiko","non-dropping-particle":"","parse-names":false,"suffix":""},{"dropping-particle":"","family":"Fujii","given":"Nobuharu","non-dropping-particle":"","parse-names":false,"suffix":""},{"dropping-particle":"","family":"Ashida","given":"Takashi","non-dropping-particle":"","parse-names":false,"suffix":""},{"dropping-particle":"","family":"Kameda","given":"Kazuaki","non-dropping-particle":"","parse-names":false,"suffix":""},{"dropping-particle":"","family":"Kanda","given":"Junya","non-dropping-particle":"","parse-names":false,"suffix":""},{"dropping-particle":"","family":"Hirose","given":"Asao","non-dropping-particle":"","parse-names":false,"suffix":""},{"dropping-particle":"","family":"Takahashi","given":"Tsutomu","non-dropping-particle":"","parse-names":false,"suffix":""},{"dropping-particle":"","family":"Nagai","given":"Kazuhiro","non-dropping-particle":"","parse-names":false,"suffix":""},{"dropping-particle":"","family":"Minakawa","given":"Keiji","non-dropping-particle":"","parse-names":false,"suffix":""},{"dropping-particle":"","family":"Tanosaki","given":"Ryuji","non-dropping-particle":"","parse-names":false,"suffix":""}],"container-title":"Transfusion Medicine Reviews","id":"ITEM-1","issue":"3","issued":{"date-parts":[["2018","7"]]},"page":"186-194","publisher":"W.B. Saunders","title":"Adverse Events Associated With Infusion of Hematopoietic Stem Cell Products: A Prospective and Multicenter Surveillance Study","type":"article","volume":"32"},"uris":["http://www.mendeley.com/documents/?uuid=2e13cd0a-f7bd-3f0b-9f56-84feb90b58e3","http://www.mendeley.com/documents/?uuid=a903b5b4-4cb1-456e-bc41-559a068a0277","http://www.mendeley.com/documents/?uuid=201cecad-134f-4334-bb07-0660edb2e18c","http://www.mendeley.com/documents/?uuid=cc644c52-3cf9-41a4-b48f-f140f5d4382f","http://www.mendeley.com/documents/?uuid=f5fc6f3f-947c-4a93-beef-6bc30e68b9fb","http://www.mendeley.com/documents/?uuid=6bcbd89e-0776-47b7-ab98-6c90c4abb14e","http://www.mendeley.com/documents/?uuid=bfeee95e-b93a-4f49-832f-3b7dd952e5b5"]}],"mendeley":{"formattedCitation":"[126]","plainTextFormattedCitation":"[126]","previouslyFormattedCitation":"[126]"},"properties":{"noteIndex":0},"schema":"https://github.com/citation-style-language/schema/raw/master/csl-citation.json"}</w:instrText>
      </w:r>
      <w:r w:rsidRPr="00BA4F0F">
        <w:fldChar w:fldCharType="separate"/>
      </w:r>
      <w:r w:rsidRPr="00E83B26">
        <w:rPr>
          <w:noProof/>
        </w:rPr>
        <w:t>[126]</w:t>
      </w:r>
      <w:r w:rsidRPr="00BA4F0F">
        <w:fldChar w:fldCharType="end"/>
      </w:r>
      <w:r w:rsidRPr="00BA4F0F">
        <w:t>.</w:t>
      </w:r>
    </w:p>
    <w:p w14:paraId="4349EBBF" w14:textId="77777777" w:rsidR="00E83B26" w:rsidRPr="00BA4F0F" w:rsidRDefault="00E83B26" w:rsidP="00E83B26">
      <w:r w:rsidRPr="00BA4F0F">
        <w:t>Оценивая число клеток-предшественников, следует уделить особое внимание методу количественного определения. Результаты проточного цитометрического анализа числа CD34+клеток различаются в зависимости от конкретной методологии, и следует с осторожностью относиться к рекомендациям по их числу, основанным на исследованиях, проведенных в других лабораториях.</w:t>
      </w:r>
    </w:p>
    <w:p w14:paraId="05E5E5F1" w14:textId="77777777" w:rsidR="00E83B26" w:rsidRPr="00BA4F0F" w:rsidRDefault="00E83B26" w:rsidP="00E83B26">
      <w:r w:rsidRPr="00BA4F0F">
        <w:t xml:space="preserve">В день первого предполагаемого сбора выполняется общий анализ крови и подсчет </w:t>
      </w:r>
      <w:r w:rsidRPr="00BA4F0F">
        <w:rPr>
          <w:lang w:val="en-US"/>
        </w:rPr>
        <w:t>CD</w:t>
      </w:r>
      <w:r w:rsidRPr="00BA4F0F">
        <w:t xml:space="preserve">34+ в крови методом проточной цитометрии. </w:t>
      </w:r>
    </w:p>
    <w:p w14:paraId="5FB30313" w14:textId="77777777" w:rsidR="00E83B26" w:rsidRPr="00BA4F0F" w:rsidRDefault="00E83B26" w:rsidP="00E83B26">
      <w:r w:rsidRPr="00BA4F0F">
        <w:t xml:space="preserve">Подсчет абсолютного количества </w:t>
      </w:r>
      <w:r w:rsidRPr="00BA4F0F">
        <w:rPr>
          <w:lang w:val="en-US"/>
        </w:rPr>
        <w:t>CD</w:t>
      </w:r>
      <w:r w:rsidRPr="00BA4F0F">
        <w:t xml:space="preserve">34+ ГСК в крови проводится по формуле: </w:t>
      </w:r>
    </w:p>
    <w:p w14:paraId="7189D667" w14:textId="77777777" w:rsidR="00E83B26" w:rsidRPr="00BA4F0F" w:rsidRDefault="00E83B26" w:rsidP="00E83B26">
      <w:pPr>
        <w:jc w:val="center"/>
        <w:rPr>
          <w:i/>
        </w:rPr>
      </w:pPr>
      <w:r w:rsidRPr="00BA4F0F">
        <w:rPr>
          <w:i/>
        </w:rPr>
        <w:t xml:space="preserve">Абсолютное содержание </w:t>
      </w:r>
      <w:r w:rsidRPr="00BA4F0F">
        <w:rPr>
          <w:i/>
          <w:lang w:val="en-US"/>
        </w:rPr>
        <w:t>CD</w:t>
      </w:r>
      <w:r w:rsidRPr="00BA4F0F">
        <w:rPr>
          <w:i/>
        </w:rPr>
        <w:t>34+ клеток в крови (клеток/мкл) =</w:t>
      </w:r>
    </w:p>
    <w:p w14:paraId="4FF319D7" w14:textId="77777777" w:rsidR="00E83B26" w:rsidRPr="00BA4F0F" w:rsidRDefault="00E83B26" w:rsidP="00E83B26">
      <w:pPr>
        <w:jc w:val="center"/>
        <w:rPr>
          <w:i/>
        </w:rPr>
      </w:pPr>
      <w:r w:rsidRPr="00BA4F0F">
        <w:rPr>
          <w:i/>
        </w:rPr>
        <w:t xml:space="preserve">доля </w:t>
      </w:r>
      <w:r w:rsidRPr="00BA4F0F">
        <w:rPr>
          <w:i/>
          <w:lang w:val="en-US"/>
        </w:rPr>
        <w:t>CD</w:t>
      </w:r>
      <w:r w:rsidRPr="00BA4F0F">
        <w:rPr>
          <w:i/>
        </w:rPr>
        <w:t>34+ клеток (%) × количество лейкоцитов (10</w:t>
      </w:r>
      <w:r w:rsidRPr="00BA4F0F">
        <w:rPr>
          <w:i/>
          <w:vertAlign w:val="superscript"/>
        </w:rPr>
        <w:t>9</w:t>
      </w:r>
      <w:r w:rsidRPr="00BA4F0F">
        <w:rPr>
          <w:i/>
        </w:rPr>
        <w:t>/л) × 10</w:t>
      </w:r>
    </w:p>
    <w:p w14:paraId="3C3320A7" w14:textId="77777777" w:rsidR="00E83B26" w:rsidRPr="00BA4F0F" w:rsidRDefault="00E83B26" w:rsidP="00E83B26">
      <w:r w:rsidRPr="00BA4F0F">
        <w:t xml:space="preserve">При содержании </w:t>
      </w:r>
      <w:r w:rsidRPr="00BA4F0F">
        <w:rPr>
          <w:lang w:val="en-US"/>
        </w:rPr>
        <w:t>CD</w:t>
      </w:r>
      <w:r w:rsidRPr="00BA4F0F">
        <w:t>34+ клеток в периферической крови более 10-20 в 1 мкл. можно начинать первый лейкаферез.</w:t>
      </w:r>
    </w:p>
    <w:p w14:paraId="10786E74" w14:textId="77777777" w:rsidR="00E83B26" w:rsidRPr="00BA4F0F" w:rsidRDefault="00E83B26" w:rsidP="00E83B26">
      <w:r w:rsidRPr="00BA4F0F">
        <w:t xml:space="preserve">Если абсолютное количество </w:t>
      </w:r>
      <w:r w:rsidRPr="00BA4F0F">
        <w:rPr>
          <w:lang w:val="en-US"/>
        </w:rPr>
        <w:t>CD</w:t>
      </w:r>
      <w:r w:rsidRPr="00BA4F0F">
        <w:t>34+ клеток в крови более 20 в 1 мкл., высока вероятность заготовки трансплантата за 1-2 процедуры лейкафкереза.</w:t>
      </w:r>
    </w:p>
    <w:p w14:paraId="77320C10" w14:textId="77777777" w:rsidR="00E83B26" w:rsidRPr="00BA4F0F" w:rsidRDefault="00E83B26" w:rsidP="00E83B26">
      <w:r w:rsidRPr="00BA4F0F">
        <w:t xml:space="preserve">При обнаружении </w:t>
      </w:r>
      <w:r w:rsidRPr="00BA4F0F">
        <w:rPr>
          <w:lang w:val="en-US"/>
        </w:rPr>
        <w:t>CD</w:t>
      </w:r>
      <w:r w:rsidRPr="00BA4F0F">
        <w:t>34+ клеток в крови в количе</w:t>
      </w:r>
      <w:r w:rsidRPr="00BA4F0F">
        <w:rPr>
          <w:lang w:val="en-US"/>
        </w:rPr>
        <w:t>c</w:t>
      </w:r>
      <w:r w:rsidRPr="00BA4F0F">
        <w:t xml:space="preserve">тве 10-20 в 1 мкл. обычно необходимо 2-4 процедуры лейкафереза. </w:t>
      </w:r>
    </w:p>
    <w:p w14:paraId="5605BD4B" w14:textId="77777777" w:rsidR="00E83B26" w:rsidRPr="00BA4F0F" w:rsidRDefault="00E83B26" w:rsidP="00E83B26">
      <w:r w:rsidRPr="00BA4F0F">
        <w:t xml:space="preserve">Если содержание </w:t>
      </w:r>
      <w:r w:rsidRPr="00BA4F0F">
        <w:rPr>
          <w:lang w:val="en-US"/>
        </w:rPr>
        <w:t>CD</w:t>
      </w:r>
      <w:r w:rsidRPr="00BA4F0F">
        <w:t>34+ клеток менее 10 в 1 мкл., желательно воздержаться от сбора клеток в этот день и повторить анализ на следующий день.</w:t>
      </w:r>
    </w:p>
    <w:p w14:paraId="353BCD46" w14:textId="77777777" w:rsidR="00E83B26" w:rsidRPr="00BA4F0F" w:rsidRDefault="00E83B26" w:rsidP="00E83B26">
      <w:r w:rsidRPr="00BA4F0F">
        <w:t xml:space="preserve">При содержании </w:t>
      </w:r>
      <w:r w:rsidRPr="00BA4F0F">
        <w:rPr>
          <w:lang w:val="en-US"/>
        </w:rPr>
        <w:t>CD</w:t>
      </w:r>
      <w:r w:rsidRPr="00BA4F0F">
        <w:t>34+ клеток менее 5 в 1 мкл. необходимо обсудить вопрос об отказе от продолжения мобилизации или же возможности применения плериксафора.</w:t>
      </w:r>
    </w:p>
    <w:p w14:paraId="523EC6E7" w14:textId="77777777" w:rsidR="00E83B26" w:rsidRPr="00BA4F0F" w:rsidRDefault="00E83B26" w:rsidP="00E83B26">
      <w:r w:rsidRPr="00BA4F0F">
        <w:t>Процедура лейкафереза может осуществлятъся как в автоматическом, так и в полуавтоматическом режиме. При количестве лейкоцитов более 20 ×10</w:t>
      </w:r>
      <w:r w:rsidRPr="00BA4F0F">
        <w:rPr>
          <w:vertAlign w:val="superscript"/>
        </w:rPr>
        <w:t>9</w:t>
      </w:r>
      <w:r w:rsidRPr="00BA4F0F">
        <w:t xml:space="preserve">/л предпочтителен полуавтоматический режим для возможности ручной регулировки границы раздела сред. </w:t>
      </w:r>
    </w:p>
    <w:p w14:paraId="4D6168E7" w14:textId="77777777" w:rsidR="00E83B26" w:rsidRPr="00BA4F0F" w:rsidRDefault="00E83B26" w:rsidP="00E83B26">
      <w:r w:rsidRPr="00BA4F0F">
        <w:t>Абсолютными противопоказаниями для проведения процедуры лейкафереза являются тяжелые соматические заболевания в стадии декомпенсации, угрожающие жизни состояния.</w:t>
      </w:r>
    </w:p>
    <w:p w14:paraId="2D024FB8" w14:textId="77777777" w:rsidR="00E83B26" w:rsidRPr="00BA4F0F" w:rsidRDefault="00E83B26" w:rsidP="00E83B26">
      <w:r w:rsidRPr="00BA4F0F">
        <w:t>Примерами относительных противопоказаний может быть значимое снижение гемоглобина или тромбоцитов, что компенсируется трансфузионной поддержкой до процедуры. Непосредственно перед процедурой необходимо измерить артериальное давление, оценить общее состояние пациента, ознакомиться с результатами биохимического анализа крови и коагулограммы.</w:t>
      </w:r>
    </w:p>
    <w:p w14:paraId="4CB90B9A" w14:textId="77777777" w:rsidR="00E83B26" w:rsidRPr="00BA4F0F" w:rsidRDefault="00E83B26" w:rsidP="00E83B26">
      <w:r w:rsidRPr="00BA4F0F">
        <w:t>Процедура сбора ГСК длится около 3-4 часов. Во время проведения лейкафереза при развитии гипокальцемии (проявляется парестезией губ, языка, кончиков пальцев) необходимо замедлить скорость возврата крови. Для профилактики цитратной реакции рекомендуется введение 10 мл 10% раствора кальция глюконата или 5 мл 10% раствора кальция хлорида на каждые 200 мл цитратного раствора при массе тела пациента &lt; 60 кг или на каждые 400 мл при массе тела &gt; 70 кг.</w:t>
      </w:r>
    </w:p>
    <w:p w14:paraId="71FEF0E7" w14:textId="488FCCA1" w:rsidR="00E83B26" w:rsidRPr="00BA4F0F" w:rsidRDefault="00E83B26" w:rsidP="00E83B26">
      <w:r w:rsidRPr="00BA4F0F">
        <w:t>Из полученного продукта берут пробу ГСК для определения содержания С</w:t>
      </w:r>
      <w:r w:rsidRPr="00BA4F0F">
        <w:rPr>
          <w:lang w:val="en-US"/>
        </w:rPr>
        <w:t>D</w:t>
      </w:r>
      <w:r w:rsidRPr="00BA4F0F">
        <w:t xml:space="preserve">34+ клеток при помощи проточного цитофлуориметра. Существует множество рекомендуемых схем по подсчету </w:t>
      </w:r>
      <w:r w:rsidRPr="00BA4F0F">
        <w:rPr>
          <w:lang w:val="en-US"/>
        </w:rPr>
        <w:t>CD</w:t>
      </w:r>
      <w:r w:rsidRPr="00BA4F0F">
        <w:t xml:space="preserve">34+ ГСК, наиболее известен </w:t>
      </w:r>
      <w:r w:rsidRPr="00BA4F0F">
        <w:rPr>
          <w:lang w:val="en-US"/>
        </w:rPr>
        <w:t>ISHAGE</w:t>
      </w:r>
      <w:r w:rsidRPr="00BA4F0F">
        <w:t xml:space="preserve">-протокол (International Society of Hematotherapy and Graft Engineering) </w:t>
      </w:r>
      <w:r w:rsidRPr="00BA4F0F">
        <w:fldChar w:fldCharType="begin" w:fldLock="1"/>
      </w:r>
      <w:r w:rsidR="003B39A6">
        <w:instrText>ADDIN CSL_CITATION {"citationItems":[{"id":"ITEM-1","itemData":{"DOI":"10.1089/scd.1.1996.5.213","ISSN":"15258165","abstract":"The increased use of Peripheral Blood Stem Cells (PBSC) to reconstitute hematopoiesis in autotransplant and, more recently, allotransplant settings has not been associated with a consensus means to quality control the PBSC product. Since the small population of cells that bear the CD34 antigen are thought to be responsible for multilineage engraftment, graft assessment by flow cytometric quantitation of CD34+ cells should provide a rapid, reliable, and reproducible assay. Unfortunately, although a number of flow cytometric assays for CD34 enumeration have been described, the lack of a standardized method has led to the generation of widely divergent data. Furthermore, none of these assays has been validated as to interlaboratory reproducibility and suitability for widespread clinical application. In early 1995, the International Society of Hematotherapy and Graft Engineering (ISHAGE) established a Stem Cell Enumeration Committee, the mandate of which was to validate a simple, rapid, and sensitive flow cytometric method to quantitate CD34+ cells in peripheral blood and apheresis products. We also sought to establish its utility on a variety of flow cytometers in clinical laboratories and its reproducibility between transplant centers. Here, we describe the four-parameter flow methodology adopted by ISHAGE for validation in a multicenter study in North America.","author":[{"dropping-particle":"","family":"Sutherland","given":"D. Robert","non-dropping-particle":"","parse-names":false,"suffix":""},{"dropping-particle":"","family":"Anderson","given":"Lori","non-dropping-particle":"","parse-names":false,"suffix":""},{"dropping-particle":"","family":"Keeney","given":"Michael","non-dropping-particle":"","parse-names":false,"suffix":""},{"dropping-particle":"","family":"Nayar","given":"Rakash","non-dropping-particle":"","parse-names":false,"suffix":""},{"dropping-particle":"","family":"Chin-Yee","given":"Ian","non-dropping-particle":"","parse-names":false,"suffix":""}],"container-title":"Journal of Hematotherapy and Stem Cell Research","id":"ITEM-1","issue":"3","issued":{"date-parts":[["1996","6"]]},"page":"213-226","publisher":"J Hematother","title":"The ISHAGE guidelines for CD34+ cell determination by flow cytometry","type":"article","volume":"5"},"uris":["http://www.mendeley.com/documents/?uuid=af6aeaab-986b-3c29-a268-8b3298a087ff","http://www.mendeley.com/documents/?uuid=9e9b6059-b96a-40ee-8392-9fa21aa556d8","http://www.mendeley.com/documents/?uuid=396368c5-3715-4315-9d9f-b0f985c72f2e","http://www.mendeley.com/documents/?uuid=832a537d-2a1a-436d-b363-a2a1b60dd4aa","http://www.mendeley.com/documents/?uuid=d76426e4-3e5f-4355-ae7b-509de6e06dd4","http://www.mendeley.com/documents/?uuid=022d11d0-3e2a-46a4-9f7c-deed4443ec90","http://www.mendeley.com/documents/?uuid=3b63824f-4c14-4eba-b990-62e0bcaea90c"]}],"mendeley":{"formattedCitation":"[127]","plainTextFormattedCitation":"[127]","previouslyFormattedCitation":"[127]"},"properties":{"noteIndex":0},"schema":"https://github.com/citation-style-language/schema/raw/master/csl-citation.json"}</w:instrText>
      </w:r>
      <w:r w:rsidRPr="00BA4F0F">
        <w:fldChar w:fldCharType="separate"/>
      </w:r>
      <w:r w:rsidRPr="00E83B26">
        <w:rPr>
          <w:noProof/>
        </w:rPr>
        <w:t>[127]</w:t>
      </w:r>
      <w:r w:rsidRPr="00BA4F0F">
        <w:fldChar w:fldCharType="end"/>
      </w:r>
      <w:r w:rsidRPr="00BA4F0F">
        <w:t xml:space="preserve">. </w:t>
      </w:r>
    </w:p>
    <w:p w14:paraId="5C6CC594" w14:textId="77777777" w:rsidR="00E83B26" w:rsidRPr="00BA4F0F" w:rsidRDefault="00E83B26" w:rsidP="00E83B26">
      <w:r w:rsidRPr="00BA4F0F">
        <w:t xml:space="preserve">Таким образом, для успешного сбора ГСК важны своевременное начало первой процедуры лейкафереза и отлаженная лабораторная методика, включающая цитофлуориметрический анализ. </w:t>
      </w:r>
    </w:p>
    <w:p w14:paraId="53E49BC0" w14:textId="77777777" w:rsidR="00E83B26" w:rsidRPr="00BA4F0F" w:rsidRDefault="00E83B26" w:rsidP="00E83B26">
      <w:pPr>
        <w:pStyle w:val="afe"/>
        <w:ind w:left="0"/>
        <w:rPr>
          <w:rFonts w:cs="Times New Roman"/>
          <w:szCs w:val="24"/>
          <w:u w:val="single"/>
        </w:rPr>
      </w:pPr>
      <w:bookmarkStart w:id="143" w:name="_Toc44926612"/>
    </w:p>
    <w:p w14:paraId="0437FE8D" w14:textId="77777777" w:rsidR="00E83B26" w:rsidRPr="00BA4F0F" w:rsidRDefault="00E83B26" w:rsidP="00E83B26">
      <w:pPr>
        <w:pStyle w:val="afe"/>
        <w:ind w:left="0"/>
        <w:rPr>
          <w:rFonts w:cs="Times New Roman"/>
          <w:szCs w:val="24"/>
          <w:u w:val="single"/>
        </w:rPr>
      </w:pPr>
      <w:r w:rsidRPr="00BA4F0F">
        <w:rPr>
          <w:rFonts w:cs="Times New Roman"/>
          <w:szCs w:val="24"/>
          <w:u w:val="single"/>
        </w:rPr>
        <w:t>Криоконсервирование трансплантата</w:t>
      </w:r>
      <w:bookmarkEnd w:id="143"/>
    </w:p>
    <w:p w14:paraId="732D2CFA" w14:textId="77777777" w:rsidR="00E83B26" w:rsidRPr="00BA4F0F" w:rsidRDefault="00E83B26" w:rsidP="00E83B26">
      <w:r w:rsidRPr="00BA4F0F">
        <w:t xml:space="preserve">Параллельно с подсчетом CD34+ клеток проводится фракционирование полученного продукта лейкафереза. Сначала маркируют полимерный двухкамерный контейнер (первая камера - «плазма», вторая - «гемопоэтические стволовые клетки»), переносят лейкоконцентрат в контейнер для ГСК в асептических условиях и проводят центрифугирование (2000 об/мин) в течение 15 мин. </w:t>
      </w:r>
    </w:p>
    <w:p w14:paraId="27237725" w14:textId="77777777" w:rsidR="00E83B26" w:rsidRPr="00BA4F0F" w:rsidRDefault="00E83B26" w:rsidP="00E83B26">
      <w:r w:rsidRPr="00BA4F0F">
        <w:t xml:space="preserve">Фракционирование проводят в асептических условиях, например, в условиях ламинарного шкафа биологической безопасности </w:t>
      </w:r>
      <w:r w:rsidRPr="00BA4F0F">
        <w:rPr>
          <w:lang w:val="en-US"/>
        </w:rPr>
        <w:t>II</w:t>
      </w:r>
      <w:r w:rsidRPr="00BA4F0F">
        <w:t xml:space="preserve"> класса. Далее осуществляется подсчет </w:t>
      </w:r>
      <w:r w:rsidRPr="00BA4F0F">
        <w:rPr>
          <w:lang w:val="en-US"/>
        </w:rPr>
        <w:t>CD</w:t>
      </w:r>
      <w:r w:rsidRPr="00BA4F0F">
        <w:t>34+ клеток в полученном лейкоконцентрате. Получив долю CD34+ клеток от всех лейкоцитов в лейкоконцентрате, подсчитывают количество CD34+ клеток на 1 кг массы тела пациента.</w:t>
      </w:r>
    </w:p>
    <w:p w14:paraId="169E97E4" w14:textId="77777777" w:rsidR="00E83B26" w:rsidRPr="00BA4F0F" w:rsidRDefault="00E83B26" w:rsidP="00E83B26">
      <w:r w:rsidRPr="00BA4F0F">
        <w:t xml:space="preserve">Процесс криоконсервирования включает несколько этапов. Сначала проводят расчет необходимого количества раствора ДМСО, который нужно добавить к ГСК. Полученный биоматериал с криопротектором переносят в контейнер для криоконсервирования и тщательно удаляют пузыри воздуха. </w:t>
      </w:r>
    </w:p>
    <w:p w14:paraId="5D35CA50" w14:textId="77777777" w:rsidR="00E83B26" w:rsidRPr="00BA4F0F" w:rsidRDefault="00E83B26" w:rsidP="00E83B26">
      <w:r w:rsidRPr="00BA4F0F">
        <w:t xml:space="preserve">Заморозку и хранение биоматериала производят в емкости с парами жидкого азота. </w:t>
      </w:r>
    </w:p>
    <w:p w14:paraId="739F39A6" w14:textId="77777777" w:rsidR="00E83B26" w:rsidRPr="00BA4F0F" w:rsidRDefault="00E83B26" w:rsidP="00E83B26">
      <w:pPr>
        <w:rPr>
          <w:b/>
        </w:rPr>
      </w:pPr>
      <w:bookmarkStart w:id="144" w:name="_Toc44926613"/>
    </w:p>
    <w:p w14:paraId="3E73864C" w14:textId="77777777" w:rsidR="00E83B26" w:rsidRPr="00BA4F0F" w:rsidRDefault="00E83B26" w:rsidP="00E83B26">
      <w:pPr>
        <w:rPr>
          <w:b/>
        </w:rPr>
      </w:pPr>
      <w:r w:rsidRPr="00BA4F0F">
        <w:rPr>
          <w:b/>
        </w:rPr>
        <w:t>Обследование пациентов перед мобилизацией и сбором ГСК</w:t>
      </w:r>
      <w:bookmarkEnd w:id="144"/>
    </w:p>
    <w:p w14:paraId="70F3E826" w14:textId="77777777" w:rsidR="00E83B26" w:rsidRPr="00BA4F0F" w:rsidRDefault="00E83B26" w:rsidP="00E83B26">
      <w:pPr>
        <w:ind w:firstLine="284"/>
      </w:pPr>
      <w:r w:rsidRPr="00BA4F0F">
        <w:t>Перед началом мобилизации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581DF223" w14:textId="77777777" w:rsidR="00E83B26" w:rsidRPr="00BA4F0F" w:rsidRDefault="00E83B26" w:rsidP="00E83B26">
      <w:pPr>
        <w:pStyle w:val="afe"/>
        <w:ind w:left="0"/>
        <w:rPr>
          <w:rFonts w:cs="Times New Roman"/>
          <w:szCs w:val="24"/>
          <w:u w:val="single"/>
        </w:rPr>
      </w:pPr>
      <w:bookmarkStart w:id="145" w:name="_Toc44926614"/>
    </w:p>
    <w:p w14:paraId="0FDF1E21" w14:textId="77777777" w:rsidR="00E83B26" w:rsidRPr="00BA4F0F" w:rsidRDefault="00E83B26" w:rsidP="00E83B26">
      <w:pPr>
        <w:pStyle w:val="afe"/>
        <w:ind w:left="0"/>
        <w:rPr>
          <w:rFonts w:cs="Times New Roman"/>
          <w:szCs w:val="24"/>
          <w:u w:val="single"/>
        </w:rPr>
      </w:pPr>
      <w:r w:rsidRPr="00BA4F0F">
        <w:rPr>
          <w:rFonts w:cs="Times New Roman"/>
          <w:szCs w:val="24"/>
          <w:u w:val="single"/>
        </w:rPr>
        <w:t>Общие методы обследования</w:t>
      </w:r>
      <w:bookmarkEnd w:id="145"/>
    </w:p>
    <w:p w14:paraId="7D93A3AA"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Развернутый анализ крови.</w:t>
      </w:r>
    </w:p>
    <w:p w14:paraId="23FA9C22"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Биохимический анализ крови с обязательным определением: уровней общего белка, альбумина, креатинина, мочевой кислоты, калия, кальция, активности ЛДГ.</w:t>
      </w:r>
    </w:p>
    <w:p w14:paraId="60448311"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Общий анализ мочи.</w:t>
      </w:r>
    </w:p>
    <w:p w14:paraId="3F64FE4A"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Глюкоза крови.</w:t>
      </w:r>
    </w:p>
    <w:p w14:paraId="207C31EE"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Определение скорости клубочковой фильтрации.</w:t>
      </w:r>
    </w:p>
    <w:p w14:paraId="57943128"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6B2EA01F"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Пункция костного мозга с подсчетом миелограммы.</w:t>
      </w:r>
    </w:p>
    <w:p w14:paraId="76C1C83C"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для оценки состояния кроветворения.</w:t>
      </w:r>
    </w:p>
    <w:p w14:paraId="032B931F"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с применением иммуногистохимических методов для оценки состояния кроветворения и инфильтрации костного мозга опухолевыми клетками.</w:t>
      </w:r>
    </w:p>
    <w:p w14:paraId="39B7C056"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Иммунофенотипическое исследование костного мозга методом проточной цитометрии для определения маркеров минимальной остаточной болезни.</w:t>
      </w:r>
    </w:p>
    <w:p w14:paraId="595A864C"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Определение группы крови (</w:t>
      </w:r>
      <w:r w:rsidRPr="00BA4F0F">
        <w:rPr>
          <w:lang w:val="en-US"/>
        </w:rPr>
        <w:t>ABO</w:t>
      </w:r>
      <w:r w:rsidRPr="00BA4F0F">
        <w:t>, Резус, фенотип по антигенам C, c, E, e, Cw, K, k, а также определение антиэритроцитарных антител).</w:t>
      </w:r>
    </w:p>
    <w:p w14:paraId="00DF0767"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Исследование на маркеры вирусов гепатитов</w:t>
      </w:r>
      <w:r w:rsidRPr="00BA4F0F">
        <w:rPr>
          <w:lang w:val="en-US"/>
        </w:rPr>
        <w:t> B</w:t>
      </w:r>
      <w:r w:rsidRPr="00BA4F0F">
        <w:t xml:space="preserve"> и </w:t>
      </w:r>
      <w:r w:rsidRPr="00BA4F0F">
        <w:rPr>
          <w:lang w:val="en-US"/>
        </w:rPr>
        <w:t>C</w:t>
      </w:r>
      <w:r w:rsidRPr="00BA4F0F">
        <w:t xml:space="preserve">, ВИЧ, </w:t>
      </w:r>
      <w:r w:rsidRPr="00BA4F0F">
        <w:rPr>
          <w:lang w:val="en-US"/>
        </w:rPr>
        <w:t>RW</w:t>
      </w:r>
      <w:r w:rsidRPr="00BA4F0F">
        <w:t>.</w:t>
      </w:r>
    </w:p>
    <w:p w14:paraId="072B9C37"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Электрокардиограмма.</w:t>
      </w:r>
    </w:p>
    <w:p w14:paraId="2F149A63"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Эхокардиография.</w:t>
      </w:r>
    </w:p>
    <w:p w14:paraId="447393FB"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Холтеровское мониторирование сердечного ритма – при выявлении нарушений ритма и проводимости на ЭКГ.</w:t>
      </w:r>
    </w:p>
    <w:p w14:paraId="2100D55F"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УЗИ брюшной полости (комплексное).</w:t>
      </w:r>
    </w:p>
    <w:p w14:paraId="38065CC1"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Ультразвуковая допплерография сосудов (артерий и вен) нижних конечностей - при необходимости.</w:t>
      </w:r>
    </w:p>
    <w:p w14:paraId="67211747"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Эзофагогастродуоденоскопия с биопсией – при наличии диспепсических расстройств или язвенной болезни желудка/ двенадцатиперстной кишки в анамнезе.</w:t>
      </w:r>
    </w:p>
    <w:p w14:paraId="7B86DD59"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МРТ головного мозга.</w:t>
      </w:r>
    </w:p>
    <w:p w14:paraId="7FE6A85F"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КТ органов грудной полости.</w:t>
      </w:r>
    </w:p>
    <w:p w14:paraId="4ED64D41"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14:paraId="0E5EA37D" w14:textId="77777777" w:rsidR="00E83B26" w:rsidRPr="00BA4F0F" w:rsidRDefault="00E83B26" w:rsidP="00A555B2">
      <w:pPr>
        <w:pStyle w:val="Numlist"/>
        <w:numPr>
          <w:ilvl w:val="0"/>
          <w:numId w:val="114"/>
        </w:numPr>
        <w:tabs>
          <w:tab w:val="left" w:pos="284"/>
        </w:tabs>
        <w:autoSpaceDE w:val="0"/>
        <w:autoSpaceDN w:val="0"/>
        <w:adjustRightInd w:val="0"/>
        <w:spacing w:line="360" w:lineRule="auto"/>
        <w:ind w:left="0" w:firstLine="284"/>
        <w:jc w:val="both"/>
      </w:pPr>
      <w:r w:rsidRPr="00BA4F0F">
        <w:t>Осмотр гинеколога и УЗИ органов малого таза - для женщин.</w:t>
      </w:r>
    </w:p>
    <w:p w14:paraId="5FB2A2F6" w14:textId="77777777" w:rsidR="00E83B26" w:rsidRPr="00BA4F0F" w:rsidRDefault="00E83B26" w:rsidP="00E83B26">
      <w:pPr>
        <w:pStyle w:val="afe"/>
        <w:ind w:left="0"/>
        <w:rPr>
          <w:rFonts w:cs="Times New Roman"/>
          <w:szCs w:val="24"/>
          <w:u w:val="single"/>
        </w:rPr>
      </w:pPr>
      <w:bookmarkStart w:id="146" w:name="_Toc44926615"/>
    </w:p>
    <w:p w14:paraId="6322AC2E" w14:textId="77777777" w:rsidR="00E83B26" w:rsidRPr="00BA4F0F" w:rsidRDefault="00E83B26" w:rsidP="00E83B26">
      <w:pPr>
        <w:pStyle w:val="afe"/>
        <w:ind w:left="0"/>
        <w:rPr>
          <w:rFonts w:cs="Times New Roman"/>
          <w:szCs w:val="24"/>
          <w:u w:val="single"/>
        </w:rPr>
      </w:pPr>
      <w:r w:rsidRPr="00BA4F0F">
        <w:rPr>
          <w:rFonts w:cs="Times New Roman"/>
          <w:szCs w:val="24"/>
          <w:u w:val="single"/>
        </w:rPr>
        <w:t>Специальные методы обследования при различных вариантах гемобластозов</w:t>
      </w:r>
      <w:bookmarkEnd w:id="146"/>
    </w:p>
    <w:p w14:paraId="4434415E" w14:textId="77777777" w:rsidR="00E83B26" w:rsidRPr="00BA4F0F" w:rsidRDefault="00E83B26" w:rsidP="00E83B26">
      <w:pPr>
        <w:rPr>
          <w:b/>
          <w:i/>
          <w:lang w:val="en-US"/>
        </w:rPr>
      </w:pPr>
      <w:r w:rsidRPr="000638F3">
        <w:rPr>
          <w:b/>
          <w:i/>
          <w:lang w:val="en-US"/>
        </w:rPr>
        <w:t>Лимфопролиферативные заболевания</w:t>
      </w:r>
      <w:r w:rsidRPr="00BA4F0F">
        <w:rPr>
          <w:b/>
          <w:i/>
          <w:lang w:val="en-US"/>
        </w:rPr>
        <w:t xml:space="preserve"> </w:t>
      </w:r>
    </w:p>
    <w:p w14:paraId="23BC9921" w14:textId="77777777" w:rsidR="00E83B26" w:rsidRPr="00BA4F0F" w:rsidRDefault="00E83B26" w:rsidP="00A555B2">
      <w:pPr>
        <w:pStyle w:val="Numlist"/>
        <w:numPr>
          <w:ilvl w:val="0"/>
          <w:numId w:val="115"/>
        </w:numPr>
        <w:tabs>
          <w:tab w:val="left" w:pos="284"/>
        </w:tabs>
        <w:autoSpaceDE w:val="0"/>
        <w:autoSpaceDN w:val="0"/>
        <w:adjustRightInd w:val="0"/>
        <w:spacing w:line="360" w:lineRule="auto"/>
        <w:ind w:left="0" w:firstLine="284"/>
        <w:jc w:val="both"/>
      </w:pPr>
      <w:r w:rsidRPr="00BA4F0F">
        <w:t>Позитронно-эмиссионная томография, совмещенная с КТ.</w:t>
      </w:r>
    </w:p>
    <w:p w14:paraId="154B42A2" w14:textId="77777777" w:rsidR="00E83B26" w:rsidRPr="00BA4F0F" w:rsidRDefault="00E83B26" w:rsidP="00A555B2">
      <w:pPr>
        <w:pStyle w:val="Numlist"/>
        <w:numPr>
          <w:ilvl w:val="0"/>
          <w:numId w:val="115"/>
        </w:numPr>
        <w:tabs>
          <w:tab w:val="left" w:pos="284"/>
        </w:tabs>
        <w:autoSpaceDE w:val="0"/>
        <w:autoSpaceDN w:val="0"/>
        <w:adjustRightInd w:val="0"/>
        <w:spacing w:line="360" w:lineRule="auto"/>
        <w:ind w:left="0" w:firstLine="284"/>
        <w:jc w:val="both"/>
      </w:pPr>
      <w:r w:rsidRPr="00BA4F0F">
        <w:t>Исследование клональности (В/Т в зависимости от варианта заболевания) в периферической крови, костном мозге методом полимеразной цепной реакции.</w:t>
      </w:r>
    </w:p>
    <w:p w14:paraId="03480ACF" w14:textId="77777777" w:rsidR="00E83B26" w:rsidRPr="00BA4F0F" w:rsidRDefault="00E83B26" w:rsidP="00A555B2">
      <w:pPr>
        <w:pStyle w:val="Numlist"/>
        <w:numPr>
          <w:ilvl w:val="0"/>
          <w:numId w:val="115"/>
        </w:numPr>
        <w:tabs>
          <w:tab w:val="left" w:pos="284"/>
        </w:tabs>
        <w:autoSpaceDE w:val="0"/>
        <w:autoSpaceDN w:val="0"/>
        <w:adjustRightInd w:val="0"/>
        <w:spacing w:line="360" w:lineRule="auto"/>
        <w:ind w:left="0" w:firstLine="284"/>
        <w:jc w:val="both"/>
      </w:pPr>
      <w:r w:rsidRPr="00BA4F0F">
        <w:t>Определение уровня поликлональных иммуноглобулинов (A, G,M).</w:t>
      </w:r>
    </w:p>
    <w:p w14:paraId="7DD36563" w14:textId="77777777" w:rsidR="00E83B26" w:rsidRPr="00BA4F0F" w:rsidRDefault="00E83B26" w:rsidP="00A555B2">
      <w:pPr>
        <w:pStyle w:val="Numlist"/>
        <w:numPr>
          <w:ilvl w:val="0"/>
          <w:numId w:val="115"/>
        </w:numPr>
        <w:tabs>
          <w:tab w:val="left" w:pos="284"/>
        </w:tabs>
        <w:autoSpaceDE w:val="0"/>
        <w:autoSpaceDN w:val="0"/>
        <w:adjustRightInd w:val="0"/>
        <w:spacing w:line="360" w:lineRule="auto"/>
        <w:ind w:left="0" w:firstLine="284"/>
        <w:jc w:val="both"/>
      </w:pPr>
      <w:r w:rsidRPr="00BA4F0F">
        <w:t>КТ органов грудной полости с контрастированием при первичном вовлечении средостения.</w:t>
      </w:r>
    </w:p>
    <w:p w14:paraId="31E57E08" w14:textId="77777777" w:rsidR="00E83B26" w:rsidRPr="00BA4F0F" w:rsidRDefault="00E83B26" w:rsidP="00A555B2">
      <w:pPr>
        <w:pStyle w:val="Numlist"/>
        <w:numPr>
          <w:ilvl w:val="0"/>
          <w:numId w:val="115"/>
        </w:numPr>
        <w:tabs>
          <w:tab w:val="left" w:pos="284"/>
        </w:tabs>
        <w:autoSpaceDE w:val="0"/>
        <w:autoSpaceDN w:val="0"/>
        <w:adjustRightInd w:val="0"/>
        <w:spacing w:line="360" w:lineRule="auto"/>
        <w:ind w:left="0" w:firstLine="284"/>
        <w:jc w:val="both"/>
      </w:pPr>
      <w:r w:rsidRPr="00BA4F0F">
        <w:t>УЗИ периферических лимфоузлов.</w:t>
      </w:r>
    </w:p>
    <w:p w14:paraId="4C20B513" w14:textId="77777777" w:rsidR="00E83B26" w:rsidRPr="00BA4F0F" w:rsidRDefault="00E83B26" w:rsidP="00A555B2">
      <w:pPr>
        <w:pStyle w:val="Numlist"/>
        <w:numPr>
          <w:ilvl w:val="0"/>
          <w:numId w:val="115"/>
        </w:numPr>
        <w:tabs>
          <w:tab w:val="left" w:pos="284"/>
        </w:tabs>
        <w:autoSpaceDE w:val="0"/>
        <w:autoSpaceDN w:val="0"/>
        <w:adjustRightInd w:val="0"/>
        <w:spacing w:line="360" w:lineRule="auto"/>
        <w:ind w:left="0" w:firstLine="284"/>
        <w:jc w:val="both"/>
      </w:pPr>
      <w:r w:rsidRPr="00BA4F0F">
        <w:t>Активность лактатдегидрогеназы.</w:t>
      </w:r>
    </w:p>
    <w:p w14:paraId="1DCF6E46" w14:textId="77777777" w:rsidR="00E83B26" w:rsidRPr="00BA4F0F" w:rsidRDefault="00E83B26" w:rsidP="00A555B2">
      <w:pPr>
        <w:pStyle w:val="Numlist"/>
        <w:numPr>
          <w:ilvl w:val="0"/>
          <w:numId w:val="115"/>
        </w:numPr>
        <w:tabs>
          <w:tab w:val="left" w:pos="284"/>
        </w:tabs>
        <w:autoSpaceDE w:val="0"/>
        <w:autoSpaceDN w:val="0"/>
        <w:adjustRightInd w:val="0"/>
        <w:spacing w:line="360" w:lineRule="auto"/>
        <w:ind w:left="0" w:firstLine="284"/>
        <w:jc w:val="both"/>
      </w:pPr>
      <w:r w:rsidRPr="00BA4F0F">
        <w:t>КТ грудной полости/ брюшной полости/ таза – для оценки противоопухолевого ответа при отсутствии возможности выполнить ПЭТ/КТ или наличии противопоказаний.</w:t>
      </w:r>
    </w:p>
    <w:p w14:paraId="39C63B23" w14:textId="77777777" w:rsidR="00E83B26" w:rsidRPr="00BA4F0F" w:rsidRDefault="00E83B26" w:rsidP="00E83B26">
      <w:pPr>
        <w:rPr>
          <w:i/>
          <w:u w:val="single"/>
        </w:rPr>
      </w:pPr>
      <w:bookmarkStart w:id="147" w:name="_Toc44926616"/>
    </w:p>
    <w:p w14:paraId="04D7810A" w14:textId="77777777" w:rsidR="00E83B26" w:rsidRPr="00BA4F0F" w:rsidRDefault="00E83B26" w:rsidP="00E83B26">
      <w:pPr>
        <w:rPr>
          <w:b/>
        </w:rPr>
      </w:pPr>
      <w:bookmarkStart w:id="148" w:name="_Toc44926621"/>
      <w:bookmarkEnd w:id="147"/>
      <w:r w:rsidRPr="00BA4F0F">
        <w:rPr>
          <w:b/>
        </w:rPr>
        <w:t>Противопоказания к выполнению ауто-ТГСК</w:t>
      </w:r>
      <w:bookmarkEnd w:id="148"/>
    </w:p>
    <w:p w14:paraId="5A7E0F82" w14:textId="77777777" w:rsidR="00E83B26" w:rsidRPr="00BA4F0F" w:rsidRDefault="00E83B26" w:rsidP="00E83B26">
      <w:pPr>
        <w:pStyle w:val="afe"/>
        <w:ind w:left="0"/>
        <w:rPr>
          <w:rFonts w:cs="Times New Roman"/>
          <w:szCs w:val="24"/>
          <w:u w:val="single"/>
        </w:rPr>
      </w:pPr>
      <w:bookmarkStart w:id="149" w:name="_Toc44926622"/>
      <w:r w:rsidRPr="00BA4F0F">
        <w:rPr>
          <w:rFonts w:cs="Times New Roman"/>
          <w:szCs w:val="24"/>
          <w:u w:val="single"/>
        </w:rPr>
        <w:t>Абсолютные противопоказания к выполнению ауто-ТГСК</w:t>
      </w:r>
      <w:bookmarkEnd w:id="149"/>
    </w:p>
    <w:p w14:paraId="3125D4E1" w14:textId="77777777" w:rsidR="00E83B26" w:rsidRPr="00BA4F0F" w:rsidRDefault="00E83B26" w:rsidP="00E83B26">
      <w:pPr>
        <w:ind w:firstLine="567"/>
      </w:pPr>
      <w:r w:rsidRPr="00BA4F0F">
        <w:t>- прогрессия/рецидив основного заболевания;</w:t>
      </w:r>
    </w:p>
    <w:p w14:paraId="13648FBC" w14:textId="77777777" w:rsidR="00E83B26" w:rsidRPr="00BA4F0F" w:rsidRDefault="00E83B26" w:rsidP="00E83B26">
      <w:pPr>
        <w:ind w:firstLine="567"/>
      </w:pPr>
      <w:r w:rsidRPr="00BA4F0F">
        <w:t>- инфекционные заболевания в стадии обострения;</w:t>
      </w:r>
    </w:p>
    <w:p w14:paraId="13EAEA87" w14:textId="77777777" w:rsidR="00E83B26" w:rsidRPr="00BA4F0F" w:rsidRDefault="00E83B26" w:rsidP="00E83B26">
      <w:pPr>
        <w:ind w:firstLine="567"/>
      </w:pPr>
      <w:r w:rsidRPr="00BA4F0F">
        <w:t>- заболевания опорно-двигательного аппарата, системы кровообращения, органов пищеварения и дыхания, мочеполовой, эндокринной и нервной систем, а также заболевания других органов и систем в стадии обострения и сопровождающиеся стойким расстройством функций;</w:t>
      </w:r>
    </w:p>
    <w:p w14:paraId="3633FE9B" w14:textId="77777777" w:rsidR="00E83B26" w:rsidRPr="00BA4F0F" w:rsidRDefault="00E83B26" w:rsidP="00E83B26">
      <w:pPr>
        <w:ind w:firstLine="567"/>
      </w:pPr>
      <w:r w:rsidRPr="00BA4F0F">
        <w:t>- наличие «вторых» злокачественных новообразований вне ремиссии;</w:t>
      </w:r>
    </w:p>
    <w:p w14:paraId="03BB57AE" w14:textId="77777777" w:rsidR="00E83B26" w:rsidRPr="00BA4F0F" w:rsidRDefault="00E83B26" w:rsidP="00E83B26">
      <w:pPr>
        <w:ind w:firstLine="567"/>
      </w:pPr>
      <w:r w:rsidRPr="00BA4F0F">
        <w:t>- терапия иммуносупрессивными или иными лекарственными препаратами, которые могут повлиять на способность к самоподдержанию собственной популяции и полипотентность гемопоэтических стволовых клеток;</w:t>
      </w:r>
    </w:p>
    <w:p w14:paraId="451F59BF" w14:textId="77777777" w:rsidR="00E83B26" w:rsidRPr="00BA4F0F" w:rsidRDefault="00E83B26" w:rsidP="00E83B26">
      <w:pPr>
        <w:ind w:firstLine="567"/>
      </w:pPr>
      <w:r w:rsidRPr="00BA4F0F">
        <w:t>- психические расстройства и расстройства поведения в состоянии обострения и (или) представляющие опасность для больного и окружающих;</w:t>
      </w:r>
    </w:p>
    <w:p w14:paraId="5EC2BC51" w14:textId="77777777" w:rsidR="00E83B26" w:rsidRPr="00BA4F0F" w:rsidRDefault="00E83B26" w:rsidP="00E83B26">
      <w:pPr>
        <w:ind w:firstLine="567"/>
      </w:pPr>
      <w:r w:rsidRPr="00BA4F0F">
        <w:t>- психические расстройства и расстройства поведения, вызванные употреблением психоактивных веществ;</w:t>
      </w:r>
    </w:p>
    <w:p w14:paraId="6FBF57A6" w14:textId="77777777" w:rsidR="00E83B26" w:rsidRPr="00BA4F0F" w:rsidRDefault="00E83B26" w:rsidP="00E83B26">
      <w:pPr>
        <w:ind w:firstLine="567"/>
      </w:pPr>
      <w:r w:rsidRPr="00BA4F0F">
        <w:t>- кахексия;</w:t>
      </w:r>
    </w:p>
    <w:p w14:paraId="1A926E8C" w14:textId="77777777" w:rsidR="00E83B26" w:rsidRPr="00BA4F0F" w:rsidRDefault="00E83B26" w:rsidP="00E83B26">
      <w:pPr>
        <w:ind w:firstLine="567"/>
      </w:pPr>
      <w:r w:rsidRPr="00BA4F0F">
        <w:t>- беременность;</w:t>
      </w:r>
    </w:p>
    <w:p w14:paraId="7EA7B26B" w14:textId="77777777" w:rsidR="00E83B26" w:rsidRPr="00BA4F0F" w:rsidRDefault="00E83B26" w:rsidP="00E83B26">
      <w:pPr>
        <w:ind w:firstLine="567"/>
      </w:pPr>
      <w:r w:rsidRPr="00BA4F0F">
        <w:t>- ранний послеоперационный период с наличием потенциальных рисков инфицирования послеоперационных ран в период миелотоксического агранулоцитоза.</w:t>
      </w:r>
    </w:p>
    <w:p w14:paraId="0274B09B" w14:textId="77777777" w:rsidR="00E83B26" w:rsidRPr="00BA4F0F" w:rsidRDefault="00E83B26" w:rsidP="00E83B26">
      <w:pPr>
        <w:ind w:firstLine="567"/>
      </w:pPr>
      <w:r w:rsidRPr="00BA4F0F">
        <w:t>- отсутствие подписанного информированного согласия на выполнение трансплантации.</w:t>
      </w:r>
    </w:p>
    <w:p w14:paraId="51A7D5FE" w14:textId="77777777" w:rsidR="00E83B26" w:rsidRPr="00BA4F0F" w:rsidRDefault="00E83B26" w:rsidP="00E83B26">
      <w:pPr>
        <w:pStyle w:val="11"/>
        <w:spacing w:before="0"/>
      </w:pPr>
      <w:bookmarkStart w:id="150" w:name="_Toc44926623"/>
    </w:p>
    <w:p w14:paraId="2EC94725" w14:textId="77777777" w:rsidR="00E83B26" w:rsidRPr="00BA4F0F" w:rsidRDefault="00E83B26" w:rsidP="00E83B26">
      <w:pPr>
        <w:pStyle w:val="afe"/>
        <w:ind w:left="0"/>
        <w:rPr>
          <w:rFonts w:cs="Times New Roman"/>
          <w:szCs w:val="24"/>
          <w:u w:val="single"/>
        </w:rPr>
      </w:pPr>
      <w:r w:rsidRPr="00BA4F0F">
        <w:rPr>
          <w:rFonts w:cs="Times New Roman"/>
          <w:szCs w:val="24"/>
          <w:u w:val="single"/>
        </w:rPr>
        <w:t>Относительные противопоказания к выполнению ауто-ТГСК</w:t>
      </w:r>
      <w:bookmarkEnd w:id="150"/>
    </w:p>
    <w:p w14:paraId="7ABB2710" w14:textId="77777777" w:rsidR="00E83B26" w:rsidRPr="00BA4F0F" w:rsidRDefault="00E83B26" w:rsidP="00E83B26">
      <w:pPr>
        <w:ind w:firstLine="567"/>
      </w:pPr>
      <w:r w:rsidRPr="00BA4F0F">
        <w:t>- инфекционные заболевания вне обострения (очаги инфекций, требующие санации);</w:t>
      </w:r>
    </w:p>
    <w:p w14:paraId="78D67BBB" w14:textId="77777777" w:rsidR="00E83B26" w:rsidRPr="00BA4F0F" w:rsidRDefault="00E83B26" w:rsidP="00E83B26">
      <w:pPr>
        <w:ind w:firstLine="567"/>
      </w:pPr>
      <w:r w:rsidRPr="00BA4F0F">
        <w:t>- заболевания опорно-двигательного аппарата, системы кровообращения, органов пищеварения и дыхания, мочеполовой, эндокринной и нервной систем, а также заболевания других органов и систем в стадии компенсации;</w:t>
      </w:r>
    </w:p>
    <w:p w14:paraId="5755BCED" w14:textId="77777777" w:rsidR="00E83B26" w:rsidRPr="00BA4F0F" w:rsidRDefault="00E83B26" w:rsidP="00E83B26">
      <w:pPr>
        <w:ind w:firstLine="567"/>
      </w:pPr>
      <w:r w:rsidRPr="00BA4F0F">
        <w:t>- возраст старше 65 лет.</w:t>
      </w:r>
    </w:p>
    <w:p w14:paraId="0F3DC404" w14:textId="77777777" w:rsidR="00E83B26" w:rsidRPr="00BA4F0F" w:rsidRDefault="00E83B26" w:rsidP="00E83B26">
      <w:pPr>
        <w:ind w:firstLine="567"/>
      </w:pPr>
      <w:r w:rsidRPr="00BA4F0F">
        <w:t>- наличие в крови маркеров вируса иммунодефицита человека;</w:t>
      </w:r>
    </w:p>
    <w:p w14:paraId="4F9580DA" w14:textId="77777777" w:rsidR="00E83B26" w:rsidRPr="00BA4F0F" w:rsidRDefault="00E83B26" w:rsidP="00E83B26">
      <w:pPr>
        <w:rPr>
          <w:b/>
        </w:rPr>
      </w:pPr>
      <w:bookmarkStart w:id="151" w:name="_Toc44926624"/>
    </w:p>
    <w:p w14:paraId="357D1C43" w14:textId="77777777" w:rsidR="00E83B26" w:rsidRPr="00BA4F0F" w:rsidRDefault="00E83B26" w:rsidP="00E83B26">
      <w:pPr>
        <w:rPr>
          <w:b/>
        </w:rPr>
      </w:pPr>
      <w:r w:rsidRPr="00BA4F0F">
        <w:rPr>
          <w:b/>
        </w:rPr>
        <w:t>Обследование пациентов перед ауто-ТГСК</w:t>
      </w:r>
      <w:bookmarkEnd w:id="151"/>
    </w:p>
    <w:p w14:paraId="1BB213DA" w14:textId="77777777" w:rsidR="00E83B26" w:rsidRPr="00BA4F0F" w:rsidRDefault="00E83B26" w:rsidP="00E83B26">
      <w:pPr>
        <w:ind w:firstLine="284"/>
      </w:pPr>
      <w:r w:rsidRPr="00BA4F0F">
        <w:t>Перед выполнением трансплантации аутологичных гемопоэтических стволовых клеток необходимо определить фазу заболевания, оценить соматический статус пациента и состояние кроветворения. Для этого всем пациентам проводится рутинный комплекс обследования, включающий как лабораторные, так и инструментальные методы.</w:t>
      </w:r>
    </w:p>
    <w:p w14:paraId="19B0600C" w14:textId="77777777" w:rsidR="00E83B26" w:rsidRPr="00BA4F0F" w:rsidRDefault="00E83B26" w:rsidP="00E83B26">
      <w:pPr>
        <w:pStyle w:val="afe"/>
        <w:ind w:left="0"/>
        <w:rPr>
          <w:rFonts w:cs="Times New Roman"/>
          <w:szCs w:val="24"/>
          <w:u w:val="single"/>
        </w:rPr>
      </w:pPr>
      <w:bookmarkStart w:id="152" w:name="_Toc44926625"/>
    </w:p>
    <w:p w14:paraId="1E617BA3" w14:textId="77777777" w:rsidR="00E83B26" w:rsidRPr="00BA4F0F" w:rsidRDefault="00E83B26" w:rsidP="00E83B26">
      <w:pPr>
        <w:pStyle w:val="afe"/>
        <w:ind w:left="0"/>
        <w:rPr>
          <w:rFonts w:cs="Times New Roman"/>
          <w:szCs w:val="24"/>
          <w:u w:val="single"/>
        </w:rPr>
      </w:pPr>
      <w:r w:rsidRPr="00BA4F0F">
        <w:rPr>
          <w:rFonts w:cs="Times New Roman"/>
          <w:szCs w:val="24"/>
          <w:u w:val="single"/>
        </w:rPr>
        <w:t>Общие методы обследования</w:t>
      </w:r>
      <w:bookmarkEnd w:id="152"/>
    </w:p>
    <w:p w14:paraId="1CD0D670"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Развернутый анализ крови.</w:t>
      </w:r>
    </w:p>
    <w:p w14:paraId="12BF3F56"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Биохимический анализ крови с обязательным определением: уровней общего белка, альбумина, креатинина, мочевой кислоты, калия, кальция, активности ЛДГ.</w:t>
      </w:r>
    </w:p>
    <w:p w14:paraId="4DED8601"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Общий анализ мочи.</w:t>
      </w:r>
    </w:p>
    <w:p w14:paraId="2C3AC44F"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Глюкоза крови.</w:t>
      </w:r>
    </w:p>
    <w:p w14:paraId="6589CC69"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Определение скорости клубочковой фильтрации.</w:t>
      </w:r>
    </w:p>
    <w:p w14:paraId="7273BD72"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Коагулограмма (протромбин, международное нормализованное отношение, активированное частичное тромбопластиновое время, фибриноген, тромбиновое время, антитромбин III, плазминоген).</w:t>
      </w:r>
    </w:p>
    <w:p w14:paraId="5D37AE6E"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Пункция костного мозга с подсчетом миелограммы.</w:t>
      </w:r>
    </w:p>
    <w:p w14:paraId="3C2BA115"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для оценки кроветворения.</w:t>
      </w:r>
    </w:p>
    <w:p w14:paraId="70CF646A"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Гистологическое исследование биопсийного материала костного мозга с применением иммуногистохимических методов для оценки состояния кроветворения и инфильтрации костного мозга опухолевыми клетками.</w:t>
      </w:r>
    </w:p>
    <w:p w14:paraId="5F4C22C7"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Иммунофенотипическое исследование костного мозга методом проточной цитометрии для определения маркеров минимальной остаточной болезни.</w:t>
      </w:r>
    </w:p>
    <w:p w14:paraId="06DF1845"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Определение группы крови (</w:t>
      </w:r>
      <w:r w:rsidRPr="00BA4F0F">
        <w:rPr>
          <w:lang w:val="en-US"/>
        </w:rPr>
        <w:t>ABO</w:t>
      </w:r>
      <w:r w:rsidRPr="00BA4F0F">
        <w:t>, Резус, фенотип по антигенам C, c, E, e, Cw, K, k, а также определение антиэритроцитарных антител).</w:t>
      </w:r>
    </w:p>
    <w:p w14:paraId="37B2B8BA"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Исследование на маркеры вирусов гепатитов</w:t>
      </w:r>
      <w:r w:rsidRPr="00BA4F0F">
        <w:rPr>
          <w:lang w:val="en-US"/>
        </w:rPr>
        <w:t> B</w:t>
      </w:r>
      <w:r w:rsidRPr="00BA4F0F">
        <w:t xml:space="preserve"> и </w:t>
      </w:r>
      <w:r w:rsidRPr="00BA4F0F">
        <w:rPr>
          <w:lang w:val="en-US"/>
        </w:rPr>
        <w:t>C</w:t>
      </w:r>
      <w:r w:rsidRPr="00BA4F0F">
        <w:t xml:space="preserve">, ВИЧ, </w:t>
      </w:r>
      <w:r w:rsidRPr="00BA4F0F">
        <w:rPr>
          <w:lang w:val="en-US"/>
        </w:rPr>
        <w:t>RW</w:t>
      </w:r>
      <w:r w:rsidRPr="00BA4F0F">
        <w:t>, ЦМВ, ЭБВ, при возможности токсоплазмы.</w:t>
      </w:r>
    </w:p>
    <w:p w14:paraId="5E65911C"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Электрокардиограмма.</w:t>
      </w:r>
    </w:p>
    <w:p w14:paraId="797CBB55"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Эхокардиография.</w:t>
      </w:r>
    </w:p>
    <w:p w14:paraId="412B95C1"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Функция внешнего дыхания.</w:t>
      </w:r>
    </w:p>
    <w:p w14:paraId="401CD9EA"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Холтеровское мониторирование сердечного ритма – при выявлении нарушений ритма и проводимости на ЭКГ.</w:t>
      </w:r>
    </w:p>
    <w:p w14:paraId="2DE0C6D1"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УЗИ брюшной полости (комплексное).</w:t>
      </w:r>
    </w:p>
    <w:p w14:paraId="23380D7B"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Ультразвуковая допплерография сосудов (артерий и вен) нижних конечностей - при необходимости.</w:t>
      </w:r>
    </w:p>
    <w:p w14:paraId="3869DB16"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Эзофагогастродуоденоскопия с биопсией – при наличии диспепсических расстройств или язвенной болезни желудка/ двенадцатиперстной кишки в анамнезе.</w:t>
      </w:r>
    </w:p>
    <w:p w14:paraId="5006A5B2"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МРТ головного мозга, придаточных пазух носа с целью выявления скрытых очагов инфекций.</w:t>
      </w:r>
    </w:p>
    <w:p w14:paraId="2A0F7B2D"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КТ органов грудной полости.</w:t>
      </w:r>
    </w:p>
    <w:p w14:paraId="2EF53B33"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Люмбальная пункция с последующим цитологическим, комплексным иммунохимическим и иммунофенотипическим исследованием ликвора при подозрении на вовлечение в патологический процесс центральной нервной системы.</w:t>
      </w:r>
    </w:p>
    <w:p w14:paraId="10ECE2CE"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Осмотр стоматолога.</w:t>
      </w:r>
    </w:p>
    <w:p w14:paraId="6AC5B30E" w14:textId="77777777" w:rsidR="00E83B26" w:rsidRPr="00BA4F0F" w:rsidRDefault="00E83B26" w:rsidP="00A555B2">
      <w:pPr>
        <w:pStyle w:val="Numlist"/>
        <w:numPr>
          <w:ilvl w:val="0"/>
          <w:numId w:val="116"/>
        </w:numPr>
        <w:tabs>
          <w:tab w:val="left" w:pos="284"/>
        </w:tabs>
        <w:autoSpaceDE w:val="0"/>
        <w:autoSpaceDN w:val="0"/>
        <w:adjustRightInd w:val="0"/>
        <w:spacing w:line="360" w:lineRule="auto"/>
        <w:ind w:left="0" w:firstLine="284"/>
        <w:jc w:val="both"/>
      </w:pPr>
      <w:r w:rsidRPr="00BA4F0F">
        <w:t>Осмотр гинеколога и УЗИ органов малого таза - для женщин.</w:t>
      </w:r>
    </w:p>
    <w:p w14:paraId="3D72FF18" w14:textId="77777777" w:rsidR="00E83B26" w:rsidRPr="00BA4F0F" w:rsidRDefault="00E83B26" w:rsidP="00E83B26">
      <w:pPr>
        <w:pStyle w:val="afe"/>
        <w:ind w:left="0"/>
        <w:rPr>
          <w:rFonts w:cs="Times New Roman"/>
          <w:szCs w:val="24"/>
          <w:u w:val="single"/>
        </w:rPr>
      </w:pPr>
      <w:bookmarkStart w:id="153" w:name="_Toc44926626"/>
    </w:p>
    <w:p w14:paraId="7FB121D8" w14:textId="77777777" w:rsidR="00E83B26" w:rsidRPr="00BA4F0F" w:rsidRDefault="00E83B26" w:rsidP="00E83B26">
      <w:pPr>
        <w:pStyle w:val="afe"/>
        <w:ind w:left="0"/>
        <w:rPr>
          <w:rFonts w:cs="Times New Roman"/>
          <w:szCs w:val="24"/>
          <w:u w:val="single"/>
        </w:rPr>
      </w:pPr>
      <w:r w:rsidRPr="00BA4F0F">
        <w:rPr>
          <w:rFonts w:cs="Times New Roman"/>
          <w:szCs w:val="24"/>
          <w:u w:val="single"/>
        </w:rPr>
        <w:t>Специальные методы обследования при различных вариантах гемобластозов</w:t>
      </w:r>
      <w:bookmarkEnd w:id="153"/>
    </w:p>
    <w:p w14:paraId="496C4B69" w14:textId="77777777" w:rsidR="00E83B26" w:rsidRPr="00BA4F0F" w:rsidRDefault="00E83B26" w:rsidP="00E83B26">
      <w:pPr>
        <w:rPr>
          <w:b/>
          <w:i/>
          <w:lang w:val="en-US"/>
        </w:rPr>
      </w:pPr>
      <w:r w:rsidRPr="00193D82">
        <w:rPr>
          <w:b/>
          <w:i/>
          <w:lang w:val="en-US"/>
        </w:rPr>
        <w:t>Лимфопролиферативные заболевания</w:t>
      </w:r>
      <w:r w:rsidRPr="00BA4F0F">
        <w:rPr>
          <w:b/>
          <w:i/>
          <w:lang w:val="en-US"/>
        </w:rPr>
        <w:t xml:space="preserve"> </w:t>
      </w:r>
    </w:p>
    <w:p w14:paraId="5A95E35E" w14:textId="77777777" w:rsidR="00E83B26" w:rsidRPr="00BA4F0F" w:rsidRDefault="00E83B26" w:rsidP="00A555B2">
      <w:pPr>
        <w:pStyle w:val="Numlist"/>
        <w:numPr>
          <w:ilvl w:val="0"/>
          <w:numId w:val="117"/>
        </w:numPr>
        <w:tabs>
          <w:tab w:val="left" w:pos="284"/>
        </w:tabs>
        <w:autoSpaceDE w:val="0"/>
        <w:autoSpaceDN w:val="0"/>
        <w:adjustRightInd w:val="0"/>
        <w:spacing w:line="360" w:lineRule="auto"/>
        <w:ind w:left="0" w:firstLine="284"/>
        <w:jc w:val="both"/>
      </w:pPr>
      <w:r w:rsidRPr="00BA4F0F">
        <w:t>Позитронно-эмиссионная томография, совмещенная с КТ.</w:t>
      </w:r>
    </w:p>
    <w:p w14:paraId="43408063" w14:textId="77777777" w:rsidR="00E83B26" w:rsidRPr="00BA4F0F" w:rsidRDefault="00E83B26" w:rsidP="00A555B2">
      <w:pPr>
        <w:pStyle w:val="Numlist"/>
        <w:numPr>
          <w:ilvl w:val="0"/>
          <w:numId w:val="117"/>
        </w:numPr>
        <w:tabs>
          <w:tab w:val="left" w:pos="284"/>
        </w:tabs>
        <w:autoSpaceDE w:val="0"/>
        <w:autoSpaceDN w:val="0"/>
        <w:adjustRightInd w:val="0"/>
        <w:spacing w:line="360" w:lineRule="auto"/>
        <w:ind w:left="0" w:firstLine="284"/>
        <w:jc w:val="both"/>
      </w:pPr>
      <w:r w:rsidRPr="00BA4F0F">
        <w:t>Исследование клональности (В/Т в зависимости от варианта заболевания) в периферической крови, костном мозге методом полимеразной цепной реакции.</w:t>
      </w:r>
    </w:p>
    <w:p w14:paraId="1C8A3DBE" w14:textId="77777777" w:rsidR="00E83B26" w:rsidRPr="00BA4F0F" w:rsidRDefault="00E83B26" w:rsidP="00A555B2">
      <w:pPr>
        <w:pStyle w:val="Numlist"/>
        <w:numPr>
          <w:ilvl w:val="0"/>
          <w:numId w:val="117"/>
        </w:numPr>
        <w:tabs>
          <w:tab w:val="left" w:pos="284"/>
        </w:tabs>
        <w:autoSpaceDE w:val="0"/>
        <w:autoSpaceDN w:val="0"/>
        <w:adjustRightInd w:val="0"/>
        <w:spacing w:line="360" w:lineRule="auto"/>
        <w:ind w:left="0" w:firstLine="284"/>
        <w:jc w:val="both"/>
      </w:pPr>
      <w:r w:rsidRPr="00BA4F0F">
        <w:t>Определение уровня поликлональных иммуноглобулинов (A, G,M).</w:t>
      </w:r>
    </w:p>
    <w:p w14:paraId="7E6F6B73" w14:textId="77777777" w:rsidR="00E83B26" w:rsidRPr="00BA4F0F" w:rsidRDefault="00E83B26" w:rsidP="00A555B2">
      <w:pPr>
        <w:pStyle w:val="Numlist"/>
        <w:numPr>
          <w:ilvl w:val="0"/>
          <w:numId w:val="117"/>
        </w:numPr>
        <w:tabs>
          <w:tab w:val="left" w:pos="284"/>
        </w:tabs>
        <w:autoSpaceDE w:val="0"/>
        <w:autoSpaceDN w:val="0"/>
        <w:adjustRightInd w:val="0"/>
        <w:spacing w:line="360" w:lineRule="auto"/>
        <w:ind w:left="0" w:firstLine="284"/>
        <w:jc w:val="both"/>
      </w:pPr>
      <w:r w:rsidRPr="00BA4F0F">
        <w:t>КТ органов грудной полости с контрастированием при первичном вовлечении средостения.</w:t>
      </w:r>
    </w:p>
    <w:p w14:paraId="137A1B48" w14:textId="77777777" w:rsidR="00E83B26" w:rsidRPr="00BA4F0F" w:rsidRDefault="00E83B26" w:rsidP="00A555B2">
      <w:pPr>
        <w:pStyle w:val="Numlist"/>
        <w:numPr>
          <w:ilvl w:val="0"/>
          <w:numId w:val="117"/>
        </w:numPr>
        <w:tabs>
          <w:tab w:val="left" w:pos="284"/>
        </w:tabs>
        <w:autoSpaceDE w:val="0"/>
        <w:autoSpaceDN w:val="0"/>
        <w:adjustRightInd w:val="0"/>
        <w:spacing w:line="360" w:lineRule="auto"/>
        <w:ind w:left="0" w:firstLine="284"/>
        <w:jc w:val="both"/>
      </w:pPr>
      <w:r w:rsidRPr="00BA4F0F">
        <w:t>УЗИ периферических лимфоузлов.</w:t>
      </w:r>
    </w:p>
    <w:p w14:paraId="4E75606A" w14:textId="77777777" w:rsidR="00E83B26" w:rsidRPr="00BA4F0F" w:rsidRDefault="00E83B26" w:rsidP="00A555B2">
      <w:pPr>
        <w:pStyle w:val="Numlist"/>
        <w:numPr>
          <w:ilvl w:val="0"/>
          <w:numId w:val="117"/>
        </w:numPr>
        <w:tabs>
          <w:tab w:val="left" w:pos="284"/>
        </w:tabs>
        <w:autoSpaceDE w:val="0"/>
        <w:autoSpaceDN w:val="0"/>
        <w:adjustRightInd w:val="0"/>
        <w:spacing w:line="360" w:lineRule="auto"/>
        <w:ind w:left="0" w:firstLine="284"/>
        <w:jc w:val="both"/>
      </w:pPr>
      <w:r w:rsidRPr="00BA4F0F">
        <w:t>Активность лактатдегидрогеназы.</w:t>
      </w:r>
    </w:p>
    <w:p w14:paraId="08009263" w14:textId="77777777" w:rsidR="00E83B26" w:rsidRPr="00BA4F0F" w:rsidRDefault="00E83B26" w:rsidP="00A555B2">
      <w:pPr>
        <w:pStyle w:val="Numlist"/>
        <w:numPr>
          <w:ilvl w:val="0"/>
          <w:numId w:val="117"/>
        </w:numPr>
        <w:tabs>
          <w:tab w:val="left" w:pos="284"/>
        </w:tabs>
        <w:autoSpaceDE w:val="0"/>
        <w:autoSpaceDN w:val="0"/>
        <w:adjustRightInd w:val="0"/>
        <w:spacing w:line="360" w:lineRule="auto"/>
        <w:ind w:left="0" w:firstLine="284"/>
        <w:jc w:val="both"/>
      </w:pPr>
      <w:r w:rsidRPr="00BA4F0F">
        <w:t>КТ грудной полости/ брюшной полости/ таза – для оценки противоопухолевого ответа при отсутствии возможности выполнить ПЭТ/КТ или наличии противопоказаний.</w:t>
      </w:r>
    </w:p>
    <w:p w14:paraId="18FC8535" w14:textId="77777777" w:rsidR="00E83B26" w:rsidRPr="00BA4F0F" w:rsidRDefault="00E83B26" w:rsidP="00E83B26">
      <w:pPr>
        <w:rPr>
          <w:b/>
        </w:rPr>
      </w:pPr>
      <w:bookmarkStart w:id="154" w:name="_Toc44926627"/>
    </w:p>
    <w:p w14:paraId="2A8F004C" w14:textId="77777777" w:rsidR="00E83B26" w:rsidRPr="00BA4F0F" w:rsidRDefault="00E83B26" w:rsidP="00E83B26">
      <w:pPr>
        <w:rPr>
          <w:b/>
        </w:rPr>
      </w:pPr>
      <w:r w:rsidRPr="00BA4F0F">
        <w:rPr>
          <w:b/>
        </w:rPr>
        <w:t>Режимы предтрансплантационной подготовки при ауто-ТГСК</w:t>
      </w:r>
      <w:bookmarkEnd w:id="154"/>
      <w:r w:rsidRPr="00BA4F0F">
        <w:rPr>
          <w:b/>
        </w:rPr>
        <w:t xml:space="preserve"> </w:t>
      </w:r>
    </w:p>
    <w:p w14:paraId="4B0B265F" w14:textId="77777777" w:rsidR="00E83B26" w:rsidRPr="00BA4F0F" w:rsidRDefault="00E83B26" w:rsidP="00E83B26">
      <w:pPr>
        <w:ind w:firstLine="426"/>
      </w:pPr>
      <w:r w:rsidRPr="00BA4F0F">
        <w:t>Цель высокодозной химиотерапии - устранение оставшихся после противоопухолевой терапии опухолевых клеток с минимальным токсическим воздействием на системы органов.</w:t>
      </w:r>
    </w:p>
    <w:p w14:paraId="05CBDE49" w14:textId="4B3581B2" w:rsidR="00E83B26" w:rsidRPr="006E60A8" w:rsidRDefault="00E83B26" w:rsidP="00E83B26">
      <w:pPr>
        <w:ind w:firstLine="426"/>
      </w:pPr>
      <w:r w:rsidRPr="00BA4F0F">
        <w:t>Для предтрансплантационной подготовки при НХЛ, ЛХ, плазмобластной лимфоме используют режим кондиционирования BEAM, который, состоит из BCNU (300 мг / м</w:t>
      </w:r>
      <w:r w:rsidRPr="00BA4F0F">
        <w:rPr>
          <w:vertAlign w:val="superscript"/>
        </w:rPr>
        <w:t>2</w:t>
      </w:r>
      <w:r w:rsidRPr="00BA4F0F">
        <w:t xml:space="preserve"> × 1, день-6), VP (200 мг / м</w:t>
      </w:r>
      <w:r w:rsidRPr="00BA4F0F">
        <w:rPr>
          <w:vertAlign w:val="superscript"/>
        </w:rPr>
        <w:t>2</w:t>
      </w:r>
      <w:r w:rsidRPr="00BA4F0F">
        <w:t>, дни от -5 до -2), Ara-C (200 мг/м</w:t>
      </w:r>
      <w:r w:rsidRPr="00BA4F0F">
        <w:rPr>
          <w:vertAlign w:val="superscript"/>
        </w:rPr>
        <w:t xml:space="preserve">2 </w:t>
      </w:r>
      <w:r w:rsidRPr="00BA4F0F">
        <w:t>х дважды в день, дни от -5 до - 2), и MEL (140 мг / м</w:t>
      </w:r>
      <w:r w:rsidRPr="00BA4F0F">
        <w:rPr>
          <w:vertAlign w:val="superscript"/>
        </w:rPr>
        <w:t>2</w:t>
      </w:r>
      <w:r w:rsidRPr="00BA4F0F">
        <w:t xml:space="preserve">/ день × 1, дни -1) </w:t>
      </w:r>
      <w:r w:rsidRPr="00BA4F0F">
        <w:fldChar w:fldCharType="begin" w:fldLock="1"/>
      </w:r>
      <w:r w:rsidR="003B39A6">
        <w:instrText>ADDIN CSL_CITATION {"citationItems":[{"id":"ITEM-1","itemData":{"ISBN":"9783030022778","author":[{"dropping-particle":"","family":"Enric Carreras","given":"Dufour Carlo","non-dropping-particle":"","parse-names":false,"suffix":""},{"dropping-particle":"","family":"Mohty Mohamad","given":"Kröger Nicolaus","non-dropping-particle":"","parse-names":false,"suffix":""}],"id":"ITEM-1","issued":{"date-parts":[["2019"]]},"number-of-pages":"702","title":"Hematopoietic Stem Cell Transplantation and Cellular Therapies","type":"book"},"uris":["http://www.mendeley.com/documents/?uuid=891fa663-7797-4301-8893-3b0a5d75b173","http://www.mendeley.com/documents/?uuid=b2895edd-cfbd-4cbf-8d9b-e50422d61d71"]},{"id":"ITEM-2","itemData":{"DOI":"10.5114/wo.2018.77046","ISSN":"1428-2526","PMID":"30150889","abstract":"Introduction BEAM (carmustine, etoposide, cytarabine, melphalan) is the most frequently used high-dose chemotherapy regimen for patients with lymphoma referred for autologous haematopoietic cell transplantation (autoHCT). Recently, a novel conditioning protocol containing bendamustine instead of carmustine (BeEAM) has been proposed to potentially increase the efficacy. Aim of the study The aim of this study was to retrospectively compare the safety profile of BEAM and BeEAM based on single-centre experience. Material and methods A total of 237 consecutive patients with lymphoma treated with either BEAM (n = 174) or BeEAM (n = 63), between the years 2011 and 2016, were included in the analysis. Clinical characteristics of both groups were comparable. Patients with Hodgkin's lymphoma (HL) constituted 49% of the BEAM group and 40% of the BeEAM group. Results Median time to neutrophil &gt; 0.5 × 109/l recovery was 10 days in both groups (p = 0.29), while median time to platelet &gt; 50 × 109/l recovery was 13 and 14 days after BEAM and BeEAM, respectively (p = 0.12). The toxicity profile was comparable except for arterial hypertension and severe hypokalaemia, which occurred more frequently after BeEAM compared to BEAM (p = 0.02 and p = 0.004, respectively). The rate of early mortality was 1.7% and 1.6%, respectively. The probabilities of the overall and progression-free survival were comparable for both groups (p = 0.73 and p = 0.55, respectively). Conclusions Administration of bendamustine instead of carmustine as part of conditioning does not affect the engraftment or the toxicity profile of the regimen. Therefore, BeEAM may be safely used in patients with lymphoma undergoing autoHCT. Its efficacy requires evaluation in prospective studies.","author":[{"dropping-particle":"","family":"Frankiewicz","given":"Andrzej","non-dropping-particle":"","parse-names":false,"suffix":""},{"dropping-particle":"","family":"Saduś-Wojciechowska","given":"Maria","non-dropping-particle":"","parse-names":false,"suffix":""},{"dropping-particle":"","family":"Najda","given":"Jacek","non-dropping-particle":"","parse-names":false,"suffix":""},{"dropping-particle":"","family":"Czerw","given":"Tomasz","non-dropping-particle":"","parse-names":false,"suffix":""},{"dropping-particle":"","family":"Mendrek","given":"Włodzimierz","non-dropping-particle":"","parse-names":false,"suffix":""},{"dropping-particle":"","family":"Sobczyk-Kruszelnicka","given":"Małgorzata","non-dropping-particle":"","parse-names":false,"suffix":""},{"dropping-particle":"","family":"Soska","given":"Katarzyna","non-dropping-particle":"","parse-names":false,"suffix":""},{"dropping-particle":"","family":"Ociepa","given":"Małgorzata","non-dropping-particle":"","parse-names":false,"suffix":""},{"dropping-particle":"","family":"Hołowiecki","given":"Jerzy","non-dropping-particle":"","parse-names":false,"suffix":""},{"dropping-particle":"","family":"Giebel","given":"Sebastian","non-dropping-particle":"","parse-names":false,"suffix":""}],"container-title":"Contemporary oncology (Poznan, Poland)","id":"ITEM-2","issue":"2","issued":{"date-parts":[["2018"]]},"page":"113-117","publisher":"Termedia Publishing","title":"Comparable safety profile of BeEAM (bendamustine, etoposide, cytarabine, melphalan) and BEAM (carmustine, etoposide, cytarabine, melphalan) as conditioning before autologous haematopoietic cell transplantation.","type":"article-journal","volume":"22"},"uris":["http://www.mendeley.com/documents/?uuid=5cbf9ec0-cb46-34bb-9da8-ba263a19a7fa","http://www.mendeley.com/documents/?uuid=fae33e18-ab1d-4ae6-86c6-c9c239bca9c9"]},{"id":"ITEM-3","itemData":{"DOI":"10.1038/sj.bmt.1700913","ISSN":"0268-3369","PMID":"9313877","abstract":"In the present paper, we evaluate tolerability, outcome and prognostic factors in patients with poor prognosis non-Hodgkin's lymphoma (NHL) and Hodgkin's disease (HD) when uniformly treated with BCNU, etoposide, cytarabine and melphalan (BEAM) and autologous stem cell transplant (ASCT). On hundred and forty-eight patients with NHL (n = 112) or HD (n = 36) received BEAM followed by infusion of bone marrow (n = 55), peripheral blood stem cells (n = 79) or both (n = 14). Twenty-eight patients had low-grade lymphoma (LGL), 68 intermediate- and 16 high-grade lymphoma (IGL). Within the NHL group, 21 patients were in 2nd or subsequent complete remission (CR) at transplant, 34 had sensitive disease and 11 resistant disease; 46 patients were transplanted in 1st CR due to the presence of &gt; or = 2 adverse prognostic features at diagnosis or to a slow CR. Of the HD patients at transplant 17 had active disease, 16 were in &gt; or = 2 CR and three in 1st CR. The overall percentage of toxic deaths was 5.4%, while in the group of patients transplanted with PBSC it was only 1.3%. NHL patients: 78% were in CR following ASCT, including 25 out of 45 patients (56%) who were transplanted with active disease. Only two of the 11 patients transplanted with resistant disease achieved CR. Incidence of overall survival (OS) and disease-free survival (DFS) at 3 years was 65 and 75%, respectively. As far as histology was concerned, OS was significantly better for patients with LGL in comparison with IGL (88 vs 56%) (P = 0.002). DFS was significantly higher for patients transplanted in first CR or first partial remission (PR) than it was for those transplanted in a later CR or PR (86 vs 53%) (P = 0.02). Multivariate analysis for OS showed that histology, bulky disease, poor performance status at transplant and achievement of CR were independent prognostic factors. In addition, a high number of infused MNC was associated with poor DFS. HD patients: 30 (83%) were in CR after transplantation, with 25 maintaining CR at the end of the study. Only one of the four patients transplanted with resistant disease reached CR. Incidence of OS and DFS at 3 years was 78 and 81%. DFS was similar for patients transplanted with early or late relapse (95 and 93%). With multivariate analysis, the only independent variable for OS was CR after transplant. In conclusion, the present results demonstrate the efficacy and low toxicity of the BEAM regimen in high-risk lymphoma patients with sensitive disease. Othe…","author":[{"dropping-particle":"","family":"Caballero","given":"M D","non-dropping-particle":"","parse-names":false,"suffix":""},{"dropping-particle":"","family":"Rubio","given":"V","non-dropping-particle":"","parse-names":false,"suffix":""},{"dropping-particle":"","family":"Rifon","given":"J","non-dropping-particle":"","parse-names":false,"suffix":""},{"dropping-particle":"","family":"Heras","given":"I","non-dropping-particle":"","parse-names":false,"suffix":""},{"dropping-particle":"","family":"García-Sanz","given":"R","non-dropping-particle":"","parse-names":false,"suffix":""},{"dropping-particle":"","family":"Vázquez","given":"L","non-dropping-particle":"","parse-names":false,"suffix":""},{"dropping-particle":"","family":"Vidriales","given":"B","non-dropping-particle":"","parse-names":false,"suffix":""},{"dropping-particle":"","family":"Cañizo","given":"M C","non-dropping-particle":"del","parse-names":false,"suffix":""},{"dropping-particle":"","family":"Corral","given":"M","non-dropping-particle":"","parse-names":false,"suffix":""},{"dropping-particle":"","family":"Gonzalez","given":"M","non-dropping-particle":"","parse-names":false,"suffix":""},{"dropping-particle":"","family":"León","given":"A","non-dropping-particle":"","parse-names":false,"suffix":""},{"dropping-particle":"","family":"Jean-Paul","given":"E","non-dropping-particle":"","parse-names":false,"suffix":""},{"dropping-particle":"","family":"Rocha","given":"E","non-dropping-particle":"","parse-names":false,"suffix":""},{"dropping-particle":"","family":"Moraleda","given":"J M","non-dropping-particle":"","parse-names":false,"suffix":""},{"dropping-particle":"","family":"San Miguel","given":"J F","non-dropping-particle":"","parse-names":false,"suffix":""}],"container-title":"Bone marrow transplantation","id":"ITEM-3","issue":"6","issued":{"date-parts":[["1997","9"]]},"page":"451-8","publisher":"Bone Marrow Transplant","title":"BEAM chemotherapy followed by autologous stem cell support in lymphoma patients: analysis of efficacy, toxicity and prognostic factors.","type":"article-journal","volume":"20"},"uris":["http://www.mendeley.com/documents/?uuid=83d43668-9134-3bde-8ac7-eb055fb3d2a1","http://www.mendeley.com/documents/?uuid=2b94cb18-5ce5-4ed6-a557-5d87d182dcc3"]}],"mendeley":{"formattedCitation":"[128–130]","plainTextFormattedCitation":"[128–130]","previouslyFormattedCitation":"[128–130]"},"properties":{"noteIndex":0},"schema":"https://github.com/citation-style-language/schema/raw/master/csl-citation.json"}</w:instrText>
      </w:r>
      <w:r w:rsidRPr="00BA4F0F">
        <w:fldChar w:fldCharType="separate"/>
      </w:r>
      <w:r w:rsidRPr="00E83B26">
        <w:rPr>
          <w:noProof/>
        </w:rPr>
        <w:t>[128–130]</w:t>
      </w:r>
      <w:r w:rsidRPr="00BA4F0F">
        <w:fldChar w:fldCharType="end"/>
      </w:r>
      <w:r w:rsidRPr="00BA4F0F">
        <w:t xml:space="preserve">. Схемы введения </w:t>
      </w:r>
      <w:r w:rsidRPr="006E60A8">
        <w:t>препаратов и дозы представлены в таблице 5.</w:t>
      </w:r>
    </w:p>
    <w:p w14:paraId="791B4CD7" w14:textId="77777777" w:rsidR="00E83B26" w:rsidRPr="006E60A8" w:rsidRDefault="00E83B26" w:rsidP="00E83B26">
      <w:pPr>
        <w:ind w:firstLine="426"/>
      </w:pPr>
      <w:r w:rsidRPr="006E60A8">
        <w:t>Ранняя токсичность режима BEAM включает тяжелый мукозит, тошноту и рвоту, диарею, гепатотоксичность, нефротоксичность и неинфекционные легочные осложнения.</w:t>
      </w:r>
    </w:p>
    <w:p w14:paraId="275FC865" w14:textId="77777777" w:rsidR="00E83B26" w:rsidRPr="006E60A8" w:rsidRDefault="00E83B26" w:rsidP="00E83B26">
      <w:pPr>
        <w:ind w:firstLine="426"/>
      </w:pPr>
      <w:r w:rsidRPr="006E60A8">
        <w:t>Поздняя токсичность включает легочные осложнения, такие как хронический интерстициальный фиброз и снижение диффузионной способности легких (21%), инфекция (30%), метаболический синдром (17%), сердечно-сосудистые осложнения (12%), вторичные опухоли (20%).</w:t>
      </w:r>
    </w:p>
    <w:p w14:paraId="2097A0F0" w14:textId="77777777" w:rsidR="00E83B26" w:rsidRPr="006E60A8" w:rsidRDefault="00E83B26" w:rsidP="00E83B26">
      <w:pPr>
        <w:ind w:firstLine="426"/>
        <w:rPr>
          <w:b/>
        </w:rPr>
      </w:pPr>
    </w:p>
    <w:p w14:paraId="7405CD48" w14:textId="02E2D581" w:rsidR="00E83B26" w:rsidRPr="002407AE" w:rsidRDefault="00E83B26" w:rsidP="00E83B26">
      <w:pPr>
        <w:ind w:firstLine="426"/>
        <w:rPr>
          <w:lang w:val="en-US"/>
        </w:rPr>
      </w:pPr>
      <w:r w:rsidRPr="006E60A8">
        <w:t xml:space="preserve">Таблица 5. Схема предтрансплантационного кондиционирования </w:t>
      </w:r>
      <w:r w:rsidRPr="006E60A8">
        <w:rPr>
          <w:lang w:val="en-US"/>
        </w:rPr>
        <w:t>BEAM</w:t>
      </w:r>
      <w:r w:rsidRPr="006E60A8">
        <w:t xml:space="preserve"> </w:t>
      </w:r>
      <w:r w:rsidRPr="006E60A8">
        <w:rPr>
          <w:lang w:val="en-US"/>
        </w:rPr>
        <w:fldChar w:fldCharType="begin" w:fldLock="1"/>
      </w:r>
      <w:r w:rsidR="003B39A6">
        <w:rPr>
          <w:lang w:val="en-US"/>
        </w:rPr>
        <w:instrText>ADDIN CSL_CITATION {"citationItems":[{"id":"ITEM-1","itemData":{"DOI":"10.1200/JCO.1995.13.3.588","ISSN":"0732-183X","PMID":"7884420","abstract":"PURPOSE To evaluate the outcome of patients with relapsed or resistant non-Hodgkin's lymphoma (NHL) undergoing high-dose chemotherapy and autologous bone marrow transplantation (ABMT) and to determine the main prognostic factors. PATIENTS AND METHODS One hundred seven patients with relapsed or resistant intermediate-/high-grade NHL underwent high-dose carmustine, etoposide, cytarabine, and melphalan (BEAM) chemotherapy and ABMT at University College Hospitals between September 1981 and February 1993. The minimum follow-up duration of all patients is 6 months. RESULTS At 3 months, the overall response rate to BEAM and ABMT was 73% (41% complete response and 32% partial response). The 5-year actuarial overall survival and progression-free survival rates were 41% and 35%, respectively. The early procedure-related mortality rate was 7% (eight of 107 patients). On multivariate analysis, the main prognostic factor was disease status at the time of ABMT. Patients with chemosensitive disease had an actuarial 5-year survival rate of 49% at 5 years compared with 13% for those with chemoresistant disease (P &lt; .001). For patients considered to have chemosensitive disease at the time of transplantation, there is a significant difference in the actuarial progression-free survival rates for those who received high-dose therapy after attaining a partial response to first-line therapy (69% at 5 years) as compared with those with sensitive but relapsed disease (32% at 5 years) (P = .003). CONCLUSION Patients with chemosensitive disease benefit most from high-dose chemotherapy, and those who receive such therapy early after achieving a partial response to first-line therapy have a high rate of cure.","author":[{"dropping-particle":"","family":"Mills","given":"W","non-dropping-particle":"","parse-names":false,"suffix":""},{"dropping-particle":"","family":"Chopra","given":"R","non-dropping-particle":"","parse-names":false,"suffix":""},{"dropping-particle":"","family":"McMillan","given":"A","non-dropping-particle":"","parse-names":false,"suffix":""},{"dropping-particle":"","family":"Pearce","given":"R","non-dropping-particle":"","parse-names":false,"suffix":""},{"dropping-particle":"","family":"Linch","given":"D C","non-dropping-particle":"","parse-names":false,"suffix":""},{"dropping-particle":"","family":"Goldstone","given":"A H","non-dropping-particle":"","parse-names":false,"suffix":""}],"container-title":"Journal of clinical oncology : official journal of the American Society of Clinical Oncology","id":"ITEM-1","issue":"3","issued":{"date-parts":[["1995","3"]]},"page":"588-95","publisher":"J Clin Oncol","title":"BEAM chemotherapy and autologous bone marrow transplantation for patients with relapsed or refractory non-Hodgkin's lymphoma.","type":"article-journal","volume":"13"},"uris":["http://www.mendeley.com/documents/?uuid=31ee3b3b-7e9b-351f-9bed-caba68be2117","http://www.mendeley.com/documents/?uuid=d7dd3d81-9258-4d54-8bba-a07894a41483"]},{"id":"ITEM-2","itemData":{"DOI":"10.3389/fonc.2019.00892","ISSN":"2234-943X","PMID":"31552193","abstract":"High-dose chemotherapy (HDT) followed by autologous hematopoietic stem cell transplantation (ASCT) is widely used in patients with malignant lymphomas. In Europe over 8,000 ASCTs for lymphoma were performed out of a total of 40,000 transplants according to the European Bone Marrow Transplant (EBMT) activity survey in 2017. ASCT is considered the standard treatment for eligible patients failing to achieve remission after first line chemotherapy or patients with relapsed or refractory lymphomas, including classical Hodkin's lymphoma, diffuse large B-cell lymphoma, mantle cell lymphoma, and follicular lymphoma, as well as consolidation therapy in first remission in mantle cell lymphoma. BEAM (BCNU/carmustine, etoposide, cytarabine, and melphalan) is the most commonly used conditioning regimen for ASCT in patients with relapsed/refractory (R/R) lymphomas in Europe, whereas the CBV (cyclophosphamide, BCNU, and etoposide) regimen is also widely used in North America. Recently, concerns regarding BCNU toxicity as well as restricted availability of BCNU and melphalan has determined an increasing number of transplant centers to use alternative conditioning regimens. Currently, only a few comparative studies, most of them retrospective, between different conditioning protocols regarding efficacy and toxicity have been published. Thus, in the current manuscript, we report the experience of 2 transplant centers in ASCT in R/R lymphomas with three types of conditioning: BEAM, CLV (cyclophosphamide, lomustine, etoposide) and LEAM (lomustine, etoposide, cytarabine, and melphalan), with the aim to evaluate the results of alternative conditioning regimens using lomustine (LEAM and CLV) and compare them with the standard BEAM regarding early toxicity, engraftment, and transplant related mortality (TRM). All patients developed grade IV neutropenia, anemia with/without transfusion necessity. Severe thrombocytopenia with transfusion requirements is reported in most cases. Median time to platelet engraftment and neutrophil engraftment was 13 days (range) and 10 days (range), respectively. Gastrointestinal toxicity was the most common non-hematologic toxicity after all three conditioning regimens. Oral mucositis in various grades from I to IV was diagnosed in most cases. Other side effects include vomiting, diarrhea, colitis, and skin rash but with low severity grades. For the LEAM arm, one patient died after transplant, before engrafting, one patient didn't achieve platelet …","author":[{"dropping-particle":"","family":"Colita","given":"Andrei","non-dropping-particle":"","parse-names":false,"suffix":""},{"dropping-particle":"","family":"Colita","given":"Anca","non-dropping-particle":"","parse-names":false,"suffix":""},{"dropping-particle":"","family":"Bumbea","given":"Horia","non-dropping-particle":"","parse-names":false,"suffix":""},{"dropping-particle":"","family":"Croitoru","given":"Adina","non-dropping-particle":"","parse-names":false,"suffix":""},{"dropping-particle":"","family":"Orban","given":"Carmen","non-dropping-particle":"","parse-names":false,"suffix":""},{"dropping-particle":"","family":"Lipan","given":"Lavinia Eugenia","non-dropping-particle":"","parse-names":false,"suffix":""},{"dropping-particle":"","family":"Craciun","given":"Oana-Gabriela","non-dropping-particle":"","parse-names":false,"suffix":""},{"dropping-particle":"","family":"Soare","given":"Dan","non-dropping-particle":"","parse-names":false,"suffix":""},{"dropping-particle":"","family":"Ghimici","given":"Cecilia","non-dropping-particle":"","parse-names":false,"suffix":""},{"dropping-particle":"","family":"Manolache","given":"Raluca","non-dropping-particle":"","parse-names":false,"suffix":""},{"dropping-particle":"","family":"Gelatu","given":"Ionel","non-dropping-particle":"","parse-names":false,"suffix":""},{"dropping-particle":"","family":"Vladareanu","given":"Ana-Maria","non-dropping-particle":"","parse-names":false,"suffix":""},{"dropping-particle":"","family":"Pasca","given":"Sergiu","non-dropping-particle":"","parse-names":false,"suffix":""},{"dropping-particle":"","family":"Teodorescu","given":"Patric","non-dropping-particle":"","parse-names":false,"suffix":""},{"dropping-particle":"","family":"Dima","given":"Delia","non-dropping-particle":"","parse-names":false,"suffix":""},{"dropping-particle":"","family":"Lupu","given":"Anca","non-dropping-particle":"","parse-names":false,"suffix":""},{"dropping-particle":"","family":"Coriu","given":"Daniel","non-dropping-particle":"","parse-names":false,"suffix":""},{"dropping-particle":"","family":"Tomuleasa","given":"Ciprian","non-dropping-particle":"","parse-names":false,"suffix":""},{"dropping-particle":"","family":"Tanase","given":"Alina","non-dropping-particle":"","parse-names":false,"suffix":""}],"container-title":"Frontiers in oncology","id":"ITEM-2","issued":{"date-parts":[["2019","9"]]},"page":"892","title":"LEAM vs. BEAM vs. CLV Conditioning Regimen for Autologous Stem Cell Transplantation in Malignant Lymphomas. Retrospective Comparison of Toxicity and Efficacy on 222 Patients in the First 100 Days After Transplant, On Behalf of the Romanian Society for Bon","type":"article-journal","volume":"9"},"uris":["http://www.mendeley.com/documents/?uuid=f0950c98-e48f-3e46-9b59-e92d523f0b5d","http://www.mendeley.com/documents/?uuid=1a8d312b-cff1-42d2-81dd-d36c0430abd5"]},{"id":"ITEM-3","itemData":{"ISBN":"9783030022778","author":[{"dropping-particle":"","family":"Enric Carreras","given":"Dufour Carlo","non-dropping-particle":"","parse-names":false,"suffix":""},{"dropping-particle":"","family":"Mohty Mohamad","given":"Kröger Nicolaus","non-dropping-particle":"","parse-names":false,"suffix":""}],"id":"ITEM-3","issued":{"date-parts":[["2019"]]},"number-of-pages":"702","title":"Hematopoietic Stem Cell Transplantation and Cellular Therapies","type":"book"},"uris":["http://www.mendeley.com/documents/?uuid=b2895edd-cfbd-4cbf-8d9b-e50422d61d71","http://www.mendeley.com/documents/?uuid=891fa663-7797-4301-8893-3b0a5d75b173"]},{"id":"ITEM-4","itemData":{"DOI":"10.5114/wo.2018.77046","ISSN":"1428-2526","PMID":"30150889","abstract":"Introduction BEAM (carmustine, etoposide, cytarabine, melphalan) is the most frequently used high-dose chemotherapy regimen for patients with lymphoma referred for autologous haematopoietic cell transplantation (autoHCT). Recently, a novel conditioning protocol containing bendamustine instead of carmustine (BeEAM) has been proposed to potentially increase the efficacy. Aim of the study The aim of this study was to retrospectively compare the safety profile of BEAM and BeEAM based on single-centre experience. Material and methods A total of 237 consecutive patients with lymphoma treated with either BEAM (n = 174) or BeEAM (n = 63), between the years 2011 and 2016, were included in the analysis. Clinical characteristics of both groups were comparable. Patients with Hodgkin's lymphoma (HL) constituted 49% of the BEAM group and 40% of the BeEAM group. Results Median time to neutrophil &gt; 0.5 × 109/l recovery was 10 days in both groups (p = 0.29), while median time to platelet &gt; 50 × 109/l recovery was 13 and 14 days after BEAM and BeEAM, respectively (p = 0.12). The toxicity profile was comparable except for arterial hypertension and severe hypokalaemia, which occurred more frequently after BeEAM compared to BEAM (p = 0.02 and p = 0.004, respectively). The rate of early mortality was 1.7% and 1.6%, respectively. The probabilities of the overall and progression-free survival were comparable for both groups (p = 0.73 and p = 0.55, respectively). Conclusions Administration of bendamustine instead of carmustine as part of conditioning does not affect the engraftment or the toxicity profile of the regimen. Therefore, BeEAM may be safely used in patients with lymphoma undergoing autoHCT. Its efficacy requires evaluation in prospective studies.","author":[{"dropping-particle":"","family":"Frankiewicz","given":"Andrzej","non-dropping-particle":"","parse-names":false,"suffix":""},{"dropping-particle":"","family":"Saduś-Wojciechowska","given":"Maria","non-dropping-particle":"","parse-names":false,"suffix":""},{"dropping-particle":"","family":"Najda","given":"Jacek","non-dropping-particle":"","parse-names":false,"suffix":""},{"dropping-particle":"","family":"Czerw","given":"Tomasz","non-dropping-particle":"","parse-names":false,"suffix":""},{"dropping-particle":"","family":"Mendrek","given":"Włodzimierz","non-dropping-particle":"","parse-names":false,"suffix":""},{"dropping-particle":"","family":"Sobczyk-Kruszelnicka","given":"Małgorzata","non-dropping-particle":"","parse-names":false,"suffix":""},{"dropping-particle":"","family":"Soska","given":"Katarzyna","non-dropping-particle":"","parse-names":false,"suffix":""},{"dropping-particle":"","family":"Ociepa","given":"Małgorzata","non-dropping-particle":"","parse-names":false,"suffix":""},{"dropping-particle":"","family":"Hołowiecki","given":"Jerzy","non-dropping-particle":"","parse-names":false,"suffix":""},{"dropping-particle":"","family":"Giebel","given":"Sebastian","non-dropping-particle":"","parse-names":false,"suffix":""}],"container-title":"Contemporary oncology (Poznan, Poland)","id":"ITEM-4","issue":"2","issued":{"date-parts":[["2018"]]},"page":"113-117","publisher":"Termedia Publishing","title":"Comparable safety profile of BeEAM (bendamustine, etoposide, cytarabine, melphalan) and BEAM (carmustine, etoposide, cytarabine, melphalan) as conditioning before autologous haematopoietic cell transplantation.","type":"article-journal","volume":"22"},"uris":["http://www.mendeley.com/documents/?uuid=fae33e18-ab1d-4ae6-86c6-c9c239bca9c9","http://www.mendeley.com/documents/?uuid=5cbf9ec0-cb46-34bb-9da8-ba263a19a7fa","http://www.mendeley.com/documents/?uuid=16329f66-6ee6-49a6-bcf0-a4309ffb9b19"]},{"id":"ITEM-5","itemData":{"DOI":"10.1038/sj.bmt.1700913","ISSN":"0268-3369","PMID":"9313877","abstract":"In the present paper, we evaluate tolerability, outcome and prognostic factors in patients with poor prognosis non-Hodgkin's lymphoma (NHL) and Hodgkin's disease (HD) when uniformly treated with BCNU, etoposide, cytarabine and melphalan (BEAM) and autologous stem cell transplant (ASCT). On hundred and forty-eight patients with NHL (n = 112) or HD (n = 36) received BEAM followed by infusion of bone marrow (n = 55), peripheral blood stem cells (n = 79) or both (n = 14). Twenty-eight patients had low-grade lymphoma (LGL), 68 intermediate- and 16 high-grade lymphoma (IGL). Within the NHL group, 21 patients were in 2nd or subsequent complete remission (CR) at transplant, 34 had sensitive disease and 11 resistant disease; 46 patients were transplanted in 1st CR due to the presence of &gt; or = 2 adverse prognostic features at diagnosis or to a slow CR. Of the HD patients at transplant 17 had active disease, 16 were in &gt; or = 2 CR and three in 1st CR. The overall percentage of toxic deaths was 5.4%, while in the group of patients transplanted with PBSC it was only 1.3%. NHL patients: 78% were in CR following ASCT, including 25 out of 45 patients (56%) who were transplanted with active disease. Only two of the 11 patients transplanted with resistant disease achieved CR. Incidence of overall survival (OS) and disease-free survival (DFS) at 3 years was 65 and 75%, respectively. As far as histology was concerned, OS was significantly better for patients with LGL in comparison with IGL (88 vs 56%) (P = 0.002). DFS was significantly higher for patients transplanted in first CR or first partial remission (PR) than it was for those transplanted in a later CR or PR (86 vs 53%) (P = 0.02). Multivariate analysis for OS showed that histology, bulky disease, poor performance status at transplant and achievement of CR were independent prognostic factors. In addition, a high number of infused MNC was associated with poor DFS. HD patients: 30 (83%) were in CR after transplantation, with 25 maintaining CR at the end of the study. Only one of the four patients transplanted with resistant disease reached CR. Incidence of OS and DFS at 3 years was 78 and 81%. DFS was similar for patients transplanted with early or late relapse (95 and 93%). With multivariate analysis, the only independent variable for OS was CR after transplant. In conclusion, the present results demonstrate the efficacy and low toxicity of the BEAM regimen in high-risk lymphoma patients with sensitive disease. Othe…","author":[{"dropping-particle":"","family":"Caballero","given":"M D","non-dropping-particle":"","parse-names":false,"suffix":""},{"dropping-particle":"","family":"Rubio","given":"V","non-dropping-particle":"","parse-names":false,"suffix":""},{"dropping-particle":"","family":"Rifon","given":"J","non-dropping-particle":"","parse-names":false,"suffix":""},{"dropping-particle":"","family":"Heras","given":"I","non-dropping-particle":"","parse-names":false,"suffix":""},{"dropping-particle":"","family":"García-Sanz","given":"R","non-dropping-particle":"","parse-names":false,"suffix":""},{"dropping-particle":"","family":"Vázquez","given":"L","non-dropping-particle":"","parse-names":false,"suffix":""},{"dropping-particle":"","family":"Vidriales","given":"B","non-dropping-particle":"","parse-names":false,"suffix":""},{"dropping-particle":"","family":"Cañizo","given":"M C","non-dropping-particle":"del","parse-names":false,"suffix":""},{"dropping-particle":"","family":"Corral","given":"M","non-dropping-particle":"","parse-names":false,"suffix":""},{"dropping-particle":"","family":"Gonzalez","given":"M","non-dropping-particle":"","parse-names":false,"suffix":""},{"dropping-particle":"","family":"León","given":"A","non-dropping-particle":"","parse-names":false,"suffix":""},{"dropping-particle":"","family":"Jean-Paul","given":"E","non-dropping-particle":"","parse-names":false,"suffix":""},{"dropping-particle":"","family":"Rocha","given":"E","non-dropping-particle":"","parse-names":false,"suffix":""},{"dropping-particle":"","family":"Moraleda","given":"J M","non-dropping-particle":"","parse-names":false,"suffix":""},{"dropping-particle":"","family":"San Miguel","given":"J F","non-dropping-particle":"","parse-names":false,"suffix":""}],"container-title":"Bone marrow transplantation","id":"ITEM-5","issue":"6","issued":{"date-parts":[["1997","9"]]},"page":"451-8","publisher":"Bone Marrow Transplant","title":"BEAM chemotherapy followed by autologous stem cell support in lymphoma patients: analysis of efficacy, toxicity and prognostic factors.","type":"article-journal","volume":"20"},"uris":["http://www.mendeley.com/documents/?uuid=2b94cb18-5ce5-4ed6-a557-5d87d182dcc3","http://www.mendeley.com/documents/?uuid=83d43668-9134-3bde-8ac7-eb055fb3d2a1","http://www.mendeley.com/documents/?uuid=45bc2ec5-b853-48e8-a5e0-d90f0a5a885e"]}],"mendeley":{"formattedCitation":"[128–132]","plainTextFormattedCitation":"[128–132]","previouslyFormattedCitation":"[128–132]"},"properties":{"noteIndex":0},"schema":"https://github.com/citation-style-language/schema/raw/master/csl-citation.json"}</w:instrText>
      </w:r>
      <w:r w:rsidRPr="006E60A8">
        <w:rPr>
          <w:lang w:val="en-US"/>
        </w:rPr>
        <w:fldChar w:fldCharType="separate"/>
      </w:r>
      <w:r w:rsidRPr="002407AE">
        <w:rPr>
          <w:noProof/>
          <w:lang w:val="en-US"/>
        </w:rPr>
        <w:t>[128–132]</w:t>
      </w:r>
      <w:r w:rsidRPr="006E60A8">
        <w:rPr>
          <w:lang w:val="en-US"/>
        </w:rPr>
        <w:fldChar w:fldCharType="end"/>
      </w:r>
    </w:p>
    <w:tbl>
      <w:tblPr>
        <w:tblStyle w:val="aff9"/>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E83B26" w:rsidRPr="002407AE" w14:paraId="427F2A91" w14:textId="77777777" w:rsidTr="002D3EBF">
        <w:tc>
          <w:tcPr>
            <w:tcW w:w="1418" w:type="dxa"/>
          </w:tcPr>
          <w:p w14:paraId="1DA148E8" w14:textId="77777777" w:rsidR="00E83B26" w:rsidRPr="002407AE" w:rsidRDefault="00E83B26" w:rsidP="002D3EBF">
            <w:pPr>
              <w:pStyle w:val="afe"/>
              <w:ind w:left="0" w:firstLine="0"/>
              <w:rPr>
                <w:rFonts w:cs="Times New Roman"/>
                <w:szCs w:val="24"/>
                <w:lang w:val="en-US"/>
              </w:rPr>
            </w:pPr>
            <w:r w:rsidRPr="00BA4F0F">
              <w:rPr>
                <w:rFonts w:cs="Times New Roman"/>
                <w:szCs w:val="24"/>
              </w:rPr>
              <w:t>Препарат</w:t>
            </w:r>
          </w:p>
        </w:tc>
        <w:tc>
          <w:tcPr>
            <w:tcW w:w="1701" w:type="dxa"/>
          </w:tcPr>
          <w:p w14:paraId="4F76A899" w14:textId="77777777" w:rsidR="00E83B26" w:rsidRPr="002407AE" w:rsidRDefault="00E83B26" w:rsidP="002D3EBF">
            <w:pPr>
              <w:pStyle w:val="afe"/>
              <w:ind w:left="0" w:firstLine="0"/>
              <w:rPr>
                <w:rFonts w:cs="Times New Roman"/>
                <w:szCs w:val="24"/>
                <w:lang w:val="en-US"/>
              </w:rPr>
            </w:pPr>
            <w:r w:rsidRPr="00BA4F0F">
              <w:rPr>
                <w:rFonts w:cs="Times New Roman"/>
                <w:szCs w:val="24"/>
              </w:rPr>
              <w:t>Дни</w:t>
            </w:r>
            <w:r w:rsidRPr="002407AE">
              <w:rPr>
                <w:rFonts w:cs="Times New Roman"/>
                <w:szCs w:val="24"/>
                <w:lang w:val="en-US"/>
              </w:rPr>
              <w:t xml:space="preserve"> </w:t>
            </w:r>
            <w:r w:rsidRPr="00BA4F0F">
              <w:rPr>
                <w:rFonts w:cs="Times New Roman"/>
                <w:szCs w:val="24"/>
              </w:rPr>
              <w:t>введения</w:t>
            </w:r>
            <w:r w:rsidRPr="002407AE">
              <w:rPr>
                <w:rFonts w:cs="Times New Roman"/>
                <w:szCs w:val="24"/>
                <w:lang w:val="en-US"/>
              </w:rPr>
              <w:t xml:space="preserve"> </w:t>
            </w:r>
            <w:r w:rsidRPr="00BA4F0F">
              <w:rPr>
                <w:rFonts w:cs="Times New Roman"/>
                <w:szCs w:val="24"/>
              </w:rPr>
              <w:t>перед</w:t>
            </w:r>
            <w:r w:rsidRPr="002407AE">
              <w:rPr>
                <w:rFonts w:cs="Times New Roman"/>
                <w:szCs w:val="24"/>
                <w:lang w:val="en-US"/>
              </w:rPr>
              <w:t xml:space="preserve"> </w:t>
            </w:r>
            <w:r w:rsidRPr="00BA4F0F">
              <w:rPr>
                <w:rFonts w:cs="Times New Roman"/>
                <w:szCs w:val="24"/>
              </w:rPr>
              <w:t>ауто</w:t>
            </w:r>
            <w:r w:rsidRPr="002407AE">
              <w:rPr>
                <w:rFonts w:cs="Times New Roman"/>
                <w:szCs w:val="24"/>
                <w:lang w:val="en-US"/>
              </w:rPr>
              <w:t>-</w:t>
            </w:r>
            <w:r w:rsidRPr="00BA4F0F">
              <w:rPr>
                <w:rFonts w:cs="Times New Roman"/>
                <w:szCs w:val="24"/>
              </w:rPr>
              <w:t>ТГСК</w:t>
            </w:r>
          </w:p>
        </w:tc>
        <w:tc>
          <w:tcPr>
            <w:tcW w:w="1134" w:type="dxa"/>
          </w:tcPr>
          <w:p w14:paraId="162ED7E4" w14:textId="77777777" w:rsidR="00E83B26" w:rsidRPr="002407AE" w:rsidRDefault="00E83B26" w:rsidP="002D3EBF">
            <w:pPr>
              <w:pStyle w:val="afe"/>
              <w:ind w:left="0" w:firstLine="0"/>
              <w:rPr>
                <w:rFonts w:cs="Times New Roman"/>
                <w:szCs w:val="24"/>
                <w:lang w:val="en-US"/>
              </w:rPr>
            </w:pPr>
            <w:r w:rsidRPr="00BA4F0F">
              <w:rPr>
                <w:rFonts w:cs="Times New Roman"/>
                <w:szCs w:val="24"/>
              </w:rPr>
              <w:t>Разовая</w:t>
            </w:r>
            <w:r w:rsidRPr="002407AE">
              <w:rPr>
                <w:rFonts w:cs="Times New Roman"/>
                <w:szCs w:val="24"/>
                <w:lang w:val="en-US"/>
              </w:rPr>
              <w:t xml:space="preserve"> </w:t>
            </w:r>
            <w:r w:rsidRPr="00BA4F0F">
              <w:rPr>
                <w:rFonts w:cs="Times New Roman"/>
                <w:szCs w:val="24"/>
              </w:rPr>
              <w:t>доза</w:t>
            </w:r>
          </w:p>
        </w:tc>
        <w:tc>
          <w:tcPr>
            <w:tcW w:w="1276" w:type="dxa"/>
          </w:tcPr>
          <w:p w14:paraId="1E1D054B" w14:textId="77777777" w:rsidR="00E83B26" w:rsidRPr="002407AE" w:rsidRDefault="00E83B26" w:rsidP="002D3EBF">
            <w:pPr>
              <w:pStyle w:val="afe"/>
              <w:ind w:left="0" w:firstLine="0"/>
              <w:rPr>
                <w:rFonts w:cs="Times New Roman"/>
                <w:szCs w:val="24"/>
                <w:lang w:val="en-US"/>
              </w:rPr>
            </w:pPr>
            <w:r w:rsidRPr="00BA4F0F">
              <w:rPr>
                <w:rFonts w:cs="Times New Roman"/>
                <w:szCs w:val="24"/>
              </w:rPr>
              <w:t>Суточная</w:t>
            </w:r>
            <w:r w:rsidRPr="002407AE">
              <w:rPr>
                <w:rFonts w:cs="Times New Roman"/>
                <w:szCs w:val="24"/>
                <w:lang w:val="en-US"/>
              </w:rPr>
              <w:t xml:space="preserve"> </w:t>
            </w:r>
            <w:r w:rsidRPr="00BA4F0F">
              <w:rPr>
                <w:rFonts w:cs="Times New Roman"/>
                <w:szCs w:val="24"/>
              </w:rPr>
              <w:t>доза</w:t>
            </w:r>
          </w:p>
        </w:tc>
        <w:tc>
          <w:tcPr>
            <w:tcW w:w="1275" w:type="dxa"/>
          </w:tcPr>
          <w:p w14:paraId="5A60E250" w14:textId="77777777" w:rsidR="00E83B26" w:rsidRPr="002407AE" w:rsidRDefault="00E83B26" w:rsidP="002D3EBF">
            <w:pPr>
              <w:pStyle w:val="afe"/>
              <w:ind w:left="0" w:firstLine="0"/>
              <w:rPr>
                <w:rFonts w:cs="Times New Roman"/>
                <w:szCs w:val="24"/>
                <w:lang w:val="en-US"/>
              </w:rPr>
            </w:pPr>
            <w:r w:rsidRPr="00BA4F0F">
              <w:rPr>
                <w:rFonts w:cs="Times New Roman"/>
                <w:szCs w:val="24"/>
              </w:rPr>
              <w:t>Курсовая</w:t>
            </w:r>
            <w:r w:rsidRPr="002407AE">
              <w:rPr>
                <w:rFonts w:cs="Times New Roman"/>
                <w:szCs w:val="24"/>
                <w:lang w:val="en-US"/>
              </w:rPr>
              <w:t xml:space="preserve"> </w:t>
            </w:r>
            <w:r w:rsidRPr="00BA4F0F">
              <w:rPr>
                <w:rFonts w:cs="Times New Roman"/>
                <w:szCs w:val="24"/>
              </w:rPr>
              <w:t>доза</w:t>
            </w:r>
          </w:p>
        </w:tc>
        <w:tc>
          <w:tcPr>
            <w:tcW w:w="2659" w:type="dxa"/>
          </w:tcPr>
          <w:p w14:paraId="51D70F9F" w14:textId="77777777" w:rsidR="00E83B26" w:rsidRPr="002407AE" w:rsidRDefault="00E83B26" w:rsidP="002D3EBF">
            <w:pPr>
              <w:pStyle w:val="afe"/>
              <w:ind w:left="0" w:firstLine="0"/>
              <w:rPr>
                <w:rFonts w:cs="Times New Roman"/>
                <w:szCs w:val="24"/>
                <w:lang w:val="en-US"/>
              </w:rPr>
            </w:pPr>
            <w:r w:rsidRPr="00BA4F0F">
              <w:rPr>
                <w:rFonts w:cs="Times New Roman"/>
                <w:szCs w:val="24"/>
              </w:rPr>
              <w:t>Особенности</w:t>
            </w:r>
            <w:r w:rsidRPr="002407AE">
              <w:rPr>
                <w:rFonts w:cs="Times New Roman"/>
                <w:szCs w:val="24"/>
                <w:lang w:val="en-US"/>
              </w:rPr>
              <w:t xml:space="preserve"> </w:t>
            </w:r>
            <w:r w:rsidRPr="00BA4F0F">
              <w:rPr>
                <w:rFonts w:cs="Times New Roman"/>
                <w:szCs w:val="24"/>
              </w:rPr>
              <w:t>введения</w:t>
            </w:r>
          </w:p>
        </w:tc>
      </w:tr>
      <w:tr w:rsidR="00E83B26" w:rsidRPr="002407AE" w14:paraId="7F9236CF" w14:textId="77777777" w:rsidTr="002D3EBF">
        <w:tc>
          <w:tcPr>
            <w:tcW w:w="1418" w:type="dxa"/>
          </w:tcPr>
          <w:p w14:paraId="2390D46B" w14:textId="77777777" w:rsidR="00E83B26" w:rsidRPr="002407AE" w:rsidRDefault="00E83B26" w:rsidP="002D3EBF">
            <w:pPr>
              <w:pStyle w:val="afe"/>
              <w:ind w:left="0" w:firstLine="0"/>
              <w:jc w:val="center"/>
              <w:rPr>
                <w:rFonts w:cs="Times New Roman"/>
                <w:szCs w:val="24"/>
                <w:lang w:val="en-US"/>
              </w:rPr>
            </w:pPr>
            <w:r w:rsidRPr="00BA4F0F">
              <w:rPr>
                <w:rFonts w:cs="Times New Roman"/>
                <w:szCs w:val="24"/>
              </w:rPr>
              <w:t>Кармустин</w:t>
            </w:r>
          </w:p>
        </w:tc>
        <w:tc>
          <w:tcPr>
            <w:tcW w:w="1701" w:type="dxa"/>
          </w:tcPr>
          <w:p w14:paraId="0631DB40" w14:textId="77777777" w:rsidR="00E83B26" w:rsidRPr="002407AE" w:rsidRDefault="00E83B26" w:rsidP="002D3EBF">
            <w:pPr>
              <w:pStyle w:val="afe"/>
              <w:ind w:left="0" w:firstLine="0"/>
              <w:jc w:val="center"/>
              <w:rPr>
                <w:rFonts w:cs="Times New Roman"/>
                <w:szCs w:val="24"/>
                <w:lang w:val="en-US"/>
              </w:rPr>
            </w:pPr>
            <w:r w:rsidRPr="002407AE">
              <w:rPr>
                <w:rFonts w:cs="Times New Roman"/>
                <w:szCs w:val="24"/>
                <w:lang w:val="en-US"/>
              </w:rPr>
              <w:t xml:space="preserve">-6 </w:t>
            </w:r>
            <w:r w:rsidRPr="00BA4F0F">
              <w:rPr>
                <w:rFonts w:cs="Times New Roman"/>
                <w:szCs w:val="24"/>
              </w:rPr>
              <w:t>день</w:t>
            </w:r>
          </w:p>
        </w:tc>
        <w:tc>
          <w:tcPr>
            <w:tcW w:w="1134" w:type="dxa"/>
          </w:tcPr>
          <w:p w14:paraId="41B4D993" w14:textId="77777777" w:rsidR="00E83B26" w:rsidRPr="002407AE" w:rsidRDefault="00E83B26" w:rsidP="002D3EBF">
            <w:pPr>
              <w:pStyle w:val="afe"/>
              <w:ind w:left="0" w:firstLine="0"/>
              <w:jc w:val="center"/>
              <w:rPr>
                <w:rFonts w:cs="Times New Roman"/>
                <w:szCs w:val="24"/>
                <w:lang w:val="en-US"/>
              </w:rPr>
            </w:pPr>
            <w:r w:rsidRPr="002407AE">
              <w:rPr>
                <w:rFonts w:cs="Times New Roman"/>
                <w:szCs w:val="24"/>
                <w:lang w:val="en-US"/>
              </w:rPr>
              <w:t>300</w:t>
            </w:r>
            <w:r w:rsidRPr="00BA4F0F">
              <w:rPr>
                <w:rFonts w:cs="Times New Roman"/>
                <w:szCs w:val="24"/>
              </w:rPr>
              <w:t>мг</w:t>
            </w:r>
            <w:r w:rsidRPr="002407AE">
              <w:rPr>
                <w:rFonts w:cs="Times New Roman"/>
                <w:szCs w:val="24"/>
                <w:lang w:val="en-US"/>
              </w:rPr>
              <w:t>/</w:t>
            </w:r>
            <w:r w:rsidRPr="00BA4F0F">
              <w:rPr>
                <w:rFonts w:cs="Times New Roman"/>
                <w:szCs w:val="24"/>
              </w:rPr>
              <w:t>м</w:t>
            </w:r>
            <w:r w:rsidRPr="002407AE">
              <w:rPr>
                <w:rFonts w:cs="Times New Roman"/>
                <w:szCs w:val="24"/>
                <w:vertAlign w:val="superscript"/>
                <w:lang w:val="en-US"/>
              </w:rPr>
              <w:t>2</w:t>
            </w:r>
          </w:p>
        </w:tc>
        <w:tc>
          <w:tcPr>
            <w:tcW w:w="1276" w:type="dxa"/>
          </w:tcPr>
          <w:p w14:paraId="520BC680" w14:textId="77777777" w:rsidR="00E83B26" w:rsidRPr="002407AE" w:rsidRDefault="00E83B26" w:rsidP="002D3EBF">
            <w:pPr>
              <w:pStyle w:val="afe"/>
              <w:ind w:left="0" w:firstLine="0"/>
              <w:jc w:val="center"/>
              <w:rPr>
                <w:rFonts w:cs="Times New Roman"/>
                <w:szCs w:val="24"/>
                <w:lang w:val="en-US"/>
              </w:rPr>
            </w:pPr>
            <w:r w:rsidRPr="002407AE">
              <w:rPr>
                <w:rFonts w:cs="Times New Roman"/>
                <w:szCs w:val="24"/>
                <w:lang w:val="en-US"/>
              </w:rPr>
              <w:t xml:space="preserve">300 </w:t>
            </w:r>
            <w:r w:rsidRPr="00BA4F0F">
              <w:rPr>
                <w:rFonts w:cs="Times New Roman"/>
                <w:szCs w:val="24"/>
              </w:rPr>
              <w:t>мг</w:t>
            </w:r>
            <w:r w:rsidRPr="002407AE">
              <w:rPr>
                <w:rFonts w:cs="Times New Roman"/>
                <w:szCs w:val="24"/>
                <w:lang w:val="en-US"/>
              </w:rPr>
              <w:t>/</w:t>
            </w:r>
            <w:r w:rsidRPr="00BA4F0F">
              <w:rPr>
                <w:rFonts w:cs="Times New Roman"/>
                <w:szCs w:val="24"/>
              </w:rPr>
              <w:t>м</w:t>
            </w:r>
            <w:r w:rsidRPr="002407AE">
              <w:rPr>
                <w:rFonts w:cs="Times New Roman"/>
                <w:szCs w:val="24"/>
                <w:vertAlign w:val="superscript"/>
                <w:lang w:val="en-US"/>
              </w:rPr>
              <w:t>2</w:t>
            </w:r>
          </w:p>
        </w:tc>
        <w:tc>
          <w:tcPr>
            <w:tcW w:w="1275" w:type="dxa"/>
          </w:tcPr>
          <w:p w14:paraId="28CAFE22" w14:textId="77777777" w:rsidR="00E83B26" w:rsidRPr="002407AE" w:rsidRDefault="00E83B26" w:rsidP="002D3EBF">
            <w:pPr>
              <w:pStyle w:val="afe"/>
              <w:ind w:left="0" w:firstLine="0"/>
              <w:jc w:val="center"/>
              <w:rPr>
                <w:rFonts w:cs="Times New Roman"/>
                <w:szCs w:val="24"/>
                <w:lang w:val="en-US"/>
              </w:rPr>
            </w:pPr>
            <w:r w:rsidRPr="002407AE">
              <w:rPr>
                <w:rFonts w:cs="Times New Roman"/>
                <w:szCs w:val="24"/>
                <w:lang w:val="en-US"/>
              </w:rPr>
              <w:t xml:space="preserve">300 </w:t>
            </w:r>
            <w:r w:rsidRPr="00BA4F0F">
              <w:rPr>
                <w:rFonts w:cs="Times New Roman"/>
                <w:szCs w:val="24"/>
              </w:rPr>
              <w:t>мг</w:t>
            </w:r>
            <w:r w:rsidRPr="002407AE">
              <w:rPr>
                <w:rFonts w:cs="Times New Roman"/>
                <w:szCs w:val="24"/>
                <w:lang w:val="en-US"/>
              </w:rPr>
              <w:t>/</w:t>
            </w:r>
            <w:r w:rsidRPr="00BA4F0F">
              <w:rPr>
                <w:rFonts w:cs="Times New Roman"/>
                <w:szCs w:val="24"/>
              </w:rPr>
              <w:t>м</w:t>
            </w:r>
            <w:r w:rsidRPr="002407AE">
              <w:rPr>
                <w:rFonts w:cs="Times New Roman"/>
                <w:szCs w:val="24"/>
                <w:vertAlign w:val="superscript"/>
                <w:lang w:val="en-US"/>
              </w:rPr>
              <w:t>2</w:t>
            </w:r>
          </w:p>
        </w:tc>
        <w:tc>
          <w:tcPr>
            <w:tcW w:w="2659" w:type="dxa"/>
          </w:tcPr>
          <w:p w14:paraId="0E842BD5" w14:textId="77777777" w:rsidR="00E83B26" w:rsidRPr="002407AE" w:rsidRDefault="00E83B26" w:rsidP="002D3EBF">
            <w:pPr>
              <w:pStyle w:val="afe"/>
              <w:ind w:left="0" w:firstLine="0"/>
              <w:rPr>
                <w:rFonts w:cs="Times New Roman"/>
                <w:szCs w:val="24"/>
                <w:lang w:val="en-US"/>
              </w:rPr>
            </w:pPr>
            <w:r w:rsidRPr="00BA4F0F">
              <w:rPr>
                <w:rFonts w:cs="Times New Roman"/>
                <w:szCs w:val="24"/>
              </w:rPr>
              <w:t>Вводится</w:t>
            </w:r>
            <w:r w:rsidRPr="002407AE">
              <w:rPr>
                <w:rFonts w:cs="Times New Roman"/>
                <w:szCs w:val="24"/>
                <w:lang w:val="en-US"/>
              </w:rPr>
              <w:t xml:space="preserve"> </w:t>
            </w:r>
            <w:r w:rsidRPr="00BA4F0F">
              <w:rPr>
                <w:rFonts w:cs="Times New Roman"/>
                <w:szCs w:val="24"/>
              </w:rPr>
              <w:t>в</w:t>
            </w:r>
            <w:r w:rsidRPr="002407AE">
              <w:rPr>
                <w:rFonts w:cs="Times New Roman"/>
                <w:szCs w:val="24"/>
                <w:lang w:val="en-US"/>
              </w:rPr>
              <w:t>/</w:t>
            </w:r>
            <w:r w:rsidRPr="00BA4F0F">
              <w:rPr>
                <w:rFonts w:cs="Times New Roman"/>
                <w:szCs w:val="24"/>
              </w:rPr>
              <w:t>в</w:t>
            </w:r>
            <w:r w:rsidRPr="002407AE">
              <w:rPr>
                <w:rFonts w:cs="Times New Roman"/>
                <w:szCs w:val="24"/>
                <w:lang w:val="en-US"/>
              </w:rPr>
              <w:t xml:space="preserve"> </w:t>
            </w:r>
            <w:r w:rsidRPr="00BA4F0F">
              <w:rPr>
                <w:rFonts w:cs="Times New Roman"/>
                <w:szCs w:val="24"/>
              </w:rPr>
              <w:t>в</w:t>
            </w:r>
            <w:r w:rsidRPr="002407AE">
              <w:rPr>
                <w:rFonts w:cs="Times New Roman"/>
                <w:szCs w:val="24"/>
                <w:lang w:val="en-US"/>
              </w:rPr>
              <w:t xml:space="preserve"> </w:t>
            </w:r>
            <w:r w:rsidRPr="00BA4F0F">
              <w:rPr>
                <w:rFonts w:cs="Times New Roman"/>
                <w:szCs w:val="24"/>
              </w:rPr>
              <w:t>виде</w:t>
            </w:r>
            <w:r w:rsidRPr="002407AE">
              <w:rPr>
                <w:rFonts w:cs="Times New Roman"/>
                <w:szCs w:val="24"/>
                <w:lang w:val="en-US"/>
              </w:rPr>
              <w:t xml:space="preserve"> </w:t>
            </w:r>
            <w:r w:rsidRPr="00BA4F0F">
              <w:rPr>
                <w:rFonts w:cs="Times New Roman"/>
                <w:szCs w:val="24"/>
              </w:rPr>
              <w:t>инфузии</w:t>
            </w:r>
            <w:r w:rsidRPr="002407AE">
              <w:rPr>
                <w:rFonts w:cs="Times New Roman"/>
                <w:szCs w:val="24"/>
                <w:lang w:val="en-US"/>
              </w:rPr>
              <w:t xml:space="preserve"> </w:t>
            </w:r>
            <w:r w:rsidRPr="00BA4F0F">
              <w:rPr>
                <w:rFonts w:cs="Times New Roman"/>
                <w:szCs w:val="24"/>
              </w:rPr>
              <w:t>в</w:t>
            </w:r>
            <w:r w:rsidRPr="002407AE">
              <w:rPr>
                <w:rFonts w:cs="Times New Roman"/>
                <w:szCs w:val="24"/>
                <w:lang w:val="en-US"/>
              </w:rPr>
              <w:t xml:space="preserve"> </w:t>
            </w:r>
            <w:r w:rsidRPr="00BA4F0F">
              <w:rPr>
                <w:rFonts w:cs="Times New Roman"/>
                <w:szCs w:val="24"/>
              </w:rPr>
              <w:t>течение</w:t>
            </w:r>
            <w:r w:rsidRPr="002407AE">
              <w:rPr>
                <w:rFonts w:cs="Times New Roman"/>
                <w:szCs w:val="24"/>
                <w:lang w:val="en-US"/>
              </w:rPr>
              <w:t xml:space="preserve"> 2 </w:t>
            </w:r>
            <w:r w:rsidRPr="00BA4F0F">
              <w:rPr>
                <w:rFonts w:cs="Times New Roman"/>
                <w:szCs w:val="24"/>
              </w:rPr>
              <w:t>ч</w:t>
            </w:r>
            <w:r w:rsidRPr="002407AE">
              <w:rPr>
                <w:rFonts w:cs="Times New Roman"/>
                <w:szCs w:val="24"/>
                <w:lang w:val="en-US"/>
              </w:rPr>
              <w:t xml:space="preserve"> </w:t>
            </w:r>
            <w:r w:rsidRPr="00BA4F0F">
              <w:rPr>
                <w:rFonts w:cs="Times New Roman"/>
                <w:szCs w:val="24"/>
              </w:rPr>
              <w:t>в</w:t>
            </w:r>
            <w:r w:rsidRPr="002407AE">
              <w:rPr>
                <w:rFonts w:cs="Times New Roman"/>
                <w:szCs w:val="24"/>
                <w:lang w:val="en-US"/>
              </w:rPr>
              <w:t xml:space="preserve"> 500 </w:t>
            </w:r>
            <w:r w:rsidRPr="00BA4F0F">
              <w:rPr>
                <w:rFonts w:cs="Times New Roman"/>
                <w:szCs w:val="24"/>
              </w:rPr>
              <w:t>мл</w:t>
            </w:r>
            <w:r w:rsidRPr="002407AE">
              <w:rPr>
                <w:rFonts w:cs="Times New Roman"/>
                <w:szCs w:val="24"/>
                <w:lang w:val="en-US"/>
              </w:rPr>
              <w:t xml:space="preserve"> 0,9% </w:t>
            </w:r>
            <w:r w:rsidRPr="00BA4F0F">
              <w:rPr>
                <w:rFonts w:cs="Times New Roman"/>
                <w:szCs w:val="24"/>
                <w:lang w:val="en-US"/>
              </w:rPr>
              <w:t>NaCl</w:t>
            </w:r>
          </w:p>
        </w:tc>
      </w:tr>
      <w:tr w:rsidR="00E83B26" w:rsidRPr="00BA4F0F" w14:paraId="62C456AC" w14:textId="77777777" w:rsidTr="002D3EBF">
        <w:tc>
          <w:tcPr>
            <w:tcW w:w="1418" w:type="dxa"/>
          </w:tcPr>
          <w:p w14:paraId="274D9864" w14:textId="77777777" w:rsidR="00E83B26" w:rsidRPr="002407AE" w:rsidRDefault="00E83B26" w:rsidP="002D3EBF">
            <w:pPr>
              <w:pStyle w:val="afe"/>
              <w:ind w:left="0" w:firstLine="0"/>
              <w:jc w:val="center"/>
              <w:rPr>
                <w:rFonts w:cs="Times New Roman"/>
                <w:szCs w:val="24"/>
                <w:lang w:val="en-US"/>
              </w:rPr>
            </w:pPr>
            <w:r w:rsidRPr="00BA4F0F">
              <w:rPr>
                <w:rFonts w:cs="Times New Roman"/>
                <w:szCs w:val="24"/>
              </w:rPr>
              <w:t>Этопозид</w:t>
            </w:r>
          </w:p>
        </w:tc>
        <w:tc>
          <w:tcPr>
            <w:tcW w:w="1701" w:type="dxa"/>
          </w:tcPr>
          <w:p w14:paraId="66DBEB19" w14:textId="77777777" w:rsidR="00E83B26" w:rsidRPr="00BA4F0F" w:rsidRDefault="00E83B26" w:rsidP="002D3EBF">
            <w:pPr>
              <w:pStyle w:val="afe"/>
              <w:ind w:left="0" w:firstLine="0"/>
              <w:jc w:val="center"/>
              <w:rPr>
                <w:rFonts w:cs="Times New Roman"/>
                <w:szCs w:val="24"/>
              </w:rPr>
            </w:pPr>
            <w:r w:rsidRPr="002407AE">
              <w:rPr>
                <w:rFonts w:cs="Times New Roman"/>
                <w:szCs w:val="24"/>
                <w:lang w:val="en-US"/>
              </w:rPr>
              <w:t xml:space="preserve">-5, </w:t>
            </w:r>
            <w:r w:rsidRPr="00BA4F0F">
              <w:rPr>
                <w:rFonts w:cs="Times New Roman"/>
                <w:szCs w:val="24"/>
              </w:rPr>
              <w:t>-4, -3, -2 дни</w:t>
            </w:r>
          </w:p>
        </w:tc>
        <w:tc>
          <w:tcPr>
            <w:tcW w:w="1134" w:type="dxa"/>
          </w:tcPr>
          <w:p w14:paraId="1DD715D2" w14:textId="77777777" w:rsidR="00E83B26" w:rsidRPr="00BA4F0F" w:rsidRDefault="00E83B26" w:rsidP="002D3EBF">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5F6CD6CE" w14:textId="77777777" w:rsidR="00E83B26" w:rsidRPr="00BA4F0F" w:rsidRDefault="00E83B26" w:rsidP="002D3EBF">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6D797B8B" w14:textId="77777777" w:rsidR="00E83B26" w:rsidRPr="00BA4F0F" w:rsidRDefault="00E83B26" w:rsidP="002D3EBF">
            <w:pPr>
              <w:pStyle w:val="afe"/>
              <w:ind w:left="0" w:firstLine="0"/>
              <w:jc w:val="center"/>
              <w:rPr>
                <w:rFonts w:cs="Times New Roman"/>
                <w:szCs w:val="24"/>
              </w:rPr>
            </w:pPr>
            <w:r w:rsidRPr="00BA4F0F">
              <w:rPr>
                <w:rFonts w:cs="Times New Roman"/>
                <w:szCs w:val="24"/>
              </w:rPr>
              <w:t>800 мг/м</w:t>
            </w:r>
            <w:r w:rsidRPr="00BA4F0F">
              <w:rPr>
                <w:rFonts w:cs="Times New Roman"/>
                <w:szCs w:val="24"/>
                <w:vertAlign w:val="superscript"/>
              </w:rPr>
              <w:t>2</w:t>
            </w:r>
          </w:p>
        </w:tc>
        <w:tc>
          <w:tcPr>
            <w:tcW w:w="2659" w:type="dxa"/>
          </w:tcPr>
          <w:p w14:paraId="6885741C" w14:textId="77777777" w:rsidR="00E83B26" w:rsidRPr="00BA4F0F" w:rsidRDefault="00E83B26" w:rsidP="002D3EBF">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E83B26" w:rsidRPr="00BA4F0F" w14:paraId="46F196F9" w14:textId="77777777" w:rsidTr="002D3EBF">
        <w:tc>
          <w:tcPr>
            <w:tcW w:w="1418" w:type="dxa"/>
          </w:tcPr>
          <w:p w14:paraId="213DF208" w14:textId="77777777" w:rsidR="00E83B26" w:rsidRPr="00BA4F0F" w:rsidRDefault="00E83B26" w:rsidP="002D3EBF">
            <w:pPr>
              <w:pStyle w:val="afe"/>
              <w:ind w:left="0" w:firstLine="0"/>
              <w:jc w:val="center"/>
              <w:rPr>
                <w:rFonts w:cs="Times New Roman"/>
                <w:szCs w:val="24"/>
              </w:rPr>
            </w:pPr>
            <w:r w:rsidRPr="00BA4F0F">
              <w:rPr>
                <w:rFonts w:cs="Times New Roman"/>
                <w:szCs w:val="24"/>
              </w:rPr>
              <w:t>Цитарабин</w:t>
            </w:r>
          </w:p>
        </w:tc>
        <w:tc>
          <w:tcPr>
            <w:tcW w:w="1701" w:type="dxa"/>
          </w:tcPr>
          <w:p w14:paraId="607AE5CF" w14:textId="77777777" w:rsidR="00E83B26" w:rsidRPr="00BA4F0F" w:rsidRDefault="00E83B26" w:rsidP="002D3EBF">
            <w:pPr>
              <w:pStyle w:val="afe"/>
              <w:ind w:left="0" w:firstLine="0"/>
              <w:jc w:val="center"/>
              <w:rPr>
                <w:rFonts w:cs="Times New Roman"/>
                <w:szCs w:val="24"/>
              </w:rPr>
            </w:pPr>
            <w:r w:rsidRPr="00BA4F0F">
              <w:rPr>
                <w:rFonts w:cs="Times New Roman"/>
                <w:szCs w:val="24"/>
              </w:rPr>
              <w:t>-5, -4, -3, -2 дни</w:t>
            </w:r>
          </w:p>
        </w:tc>
        <w:tc>
          <w:tcPr>
            <w:tcW w:w="1134" w:type="dxa"/>
          </w:tcPr>
          <w:p w14:paraId="65CF2C49" w14:textId="77777777" w:rsidR="00E83B26" w:rsidRPr="00BA4F0F" w:rsidRDefault="00E83B26" w:rsidP="002D3EBF">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57E2D08C" w14:textId="77777777" w:rsidR="00E83B26" w:rsidRPr="00BA4F0F" w:rsidRDefault="00E83B26" w:rsidP="002D3EBF">
            <w:pPr>
              <w:pStyle w:val="afe"/>
              <w:ind w:left="0" w:firstLine="0"/>
              <w:jc w:val="center"/>
              <w:rPr>
                <w:rFonts w:cs="Times New Roman"/>
                <w:szCs w:val="24"/>
              </w:rPr>
            </w:pPr>
            <w:r w:rsidRPr="00BA4F0F">
              <w:rPr>
                <w:rFonts w:cs="Times New Roman"/>
                <w:szCs w:val="24"/>
              </w:rPr>
              <w:t>400 мг/ м</w:t>
            </w:r>
            <w:r w:rsidRPr="00BA4F0F">
              <w:rPr>
                <w:rFonts w:cs="Times New Roman"/>
                <w:szCs w:val="24"/>
                <w:vertAlign w:val="superscript"/>
              </w:rPr>
              <w:t>2</w:t>
            </w:r>
          </w:p>
        </w:tc>
        <w:tc>
          <w:tcPr>
            <w:tcW w:w="1275" w:type="dxa"/>
          </w:tcPr>
          <w:p w14:paraId="33677782" w14:textId="77777777" w:rsidR="00E83B26" w:rsidRPr="00BA4F0F" w:rsidRDefault="00E83B26" w:rsidP="002D3EBF">
            <w:pPr>
              <w:pStyle w:val="afe"/>
              <w:ind w:left="0" w:firstLine="0"/>
              <w:jc w:val="center"/>
              <w:rPr>
                <w:rFonts w:cs="Times New Roman"/>
                <w:szCs w:val="24"/>
              </w:rPr>
            </w:pPr>
            <w:r w:rsidRPr="00BA4F0F">
              <w:rPr>
                <w:rFonts w:cs="Times New Roman"/>
                <w:szCs w:val="24"/>
              </w:rPr>
              <w:t>1600 мг/м</w:t>
            </w:r>
            <w:r w:rsidRPr="00BA4F0F">
              <w:rPr>
                <w:rFonts w:cs="Times New Roman"/>
                <w:szCs w:val="24"/>
                <w:vertAlign w:val="superscript"/>
              </w:rPr>
              <w:t>2</w:t>
            </w:r>
          </w:p>
        </w:tc>
        <w:tc>
          <w:tcPr>
            <w:tcW w:w="2659" w:type="dxa"/>
          </w:tcPr>
          <w:p w14:paraId="2360783E" w14:textId="77777777" w:rsidR="00E83B26" w:rsidRPr="00BA4F0F" w:rsidRDefault="00E83B26" w:rsidP="002D3EBF">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E83B26" w:rsidRPr="00BA4F0F" w14:paraId="08D74369" w14:textId="77777777" w:rsidTr="002D3EBF">
        <w:tc>
          <w:tcPr>
            <w:tcW w:w="1418" w:type="dxa"/>
          </w:tcPr>
          <w:p w14:paraId="3D39ADFE" w14:textId="77777777" w:rsidR="00E83B26" w:rsidRPr="00BA4F0F" w:rsidRDefault="00E83B26" w:rsidP="002D3EBF">
            <w:pPr>
              <w:pStyle w:val="afe"/>
              <w:ind w:left="0" w:firstLine="0"/>
              <w:jc w:val="center"/>
              <w:rPr>
                <w:rFonts w:cs="Times New Roman"/>
                <w:szCs w:val="24"/>
              </w:rPr>
            </w:pPr>
            <w:r w:rsidRPr="00BA4F0F">
              <w:rPr>
                <w:rFonts w:cs="Times New Roman"/>
                <w:szCs w:val="24"/>
              </w:rPr>
              <w:t>Мелфалан</w:t>
            </w:r>
          </w:p>
        </w:tc>
        <w:tc>
          <w:tcPr>
            <w:tcW w:w="1701" w:type="dxa"/>
          </w:tcPr>
          <w:p w14:paraId="68D4B373" w14:textId="77777777" w:rsidR="00E83B26" w:rsidRPr="00BA4F0F" w:rsidRDefault="00E83B26" w:rsidP="002D3EBF">
            <w:pPr>
              <w:pStyle w:val="afe"/>
              <w:ind w:left="0" w:firstLine="0"/>
              <w:jc w:val="center"/>
              <w:rPr>
                <w:rFonts w:cs="Times New Roman"/>
                <w:szCs w:val="24"/>
              </w:rPr>
            </w:pPr>
            <w:r w:rsidRPr="00BA4F0F">
              <w:rPr>
                <w:rFonts w:cs="Times New Roman"/>
                <w:szCs w:val="24"/>
              </w:rPr>
              <w:t>- 1 день</w:t>
            </w:r>
          </w:p>
        </w:tc>
        <w:tc>
          <w:tcPr>
            <w:tcW w:w="1134" w:type="dxa"/>
          </w:tcPr>
          <w:p w14:paraId="42F53C3C" w14:textId="77777777" w:rsidR="00E83B26" w:rsidRPr="00BA4F0F" w:rsidRDefault="00E83B26" w:rsidP="002D3EBF">
            <w:pPr>
              <w:pStyle w:val="afe"/>
              <w:ind w:left="0" w:firstLine="0"/>
              <w:jc w:val="center"/>
              <w:rPr>
                <w:rFonts w:cs="Times New Roman"/>
                <w:szCs w:val="24"/>
              </w:rPr>
            </w:pPr>
            <w:r w:rsidRPr="00BA4F0F">
              <w:rPr>
                <w:rFonts w:cs="Times New Roman"/>
                <w:szCs w:val="24"/>
              </w:rPr>
              <w:t>140мг/м</w:t>
            </w:r>
            <w:r w:rsidRPr="00BA4F0F">
              <w:rPr>
                <w:rFonts w:cs="Times New Roman"/>
                <w:szCs w:val="24"/>
                <w:vertAlign w:val="superscript"/>
              </w:rPr>
              <w:t>2</w:t>
            </w:r>
          </w:p>
        </w:tc>
        <w:tc>
          <w:tcPr>
            <w:tcW w:w="1276" w:type="dxa"/>
          </w:tcPr>
          <w:p w14:paraId="5514B47E" w14:textId="77777777" w:rsidR="00E83B26" w:rsidRPr="00BA4F0F" w:rsidRDefault="00E83B26" w:rsidP="002D3EBF">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1275" w:type="dxa"/>
          </w:tcPr>
          <w:p w14:paraId="165D38CB" w14:textId="77777777" w:rsidR="00E83B26" w:rsidRPr="00BA4F0F" w:rsidRDefault="00E83B26" w:rsidP="002D3EBF">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2659" w:type="dxa"/>
          </w:tcPr>
          <w:p w14:paraId="11587042" w14:textId="77777777" w:rsidR="00E83B26" w:rsidRPr="00BA4F0F" w:rsidRDefault="00E83B26" w:rsidP="002D3EBF">
            <w:pPr>
              <w:pStyle w:val="afe"/>
              <w:ind w:left="0" w:firstLine="0"/>
              <w:rPr>
                <w:rFonts w:cs="Times New Roman"/>
                <w:szCs w:val="24"/>
              </w:rPr>
            </w:pPr>
            <w:r w:rsidRPr="00BA4F0F">
              <w:rPr>
                <w:rFonts w:cs="Times New Roman"/>
                <w:szCs w:val="24"/>
              </w:rPr>
              <w:t xml:space="preserve">Вводится в/в в виде инфузии в течение 1ч в 500 мл 0,9% </w:t>
            </w:r>
            <w:r w:rsidRPr="00BA4F0F">
              <w:rPr>
                <w:rFonts w:cs="Times New Roman"/>
                <w:szCs w:val="24"/>
                <w:lang w:val="en-US"/>
              </w:rPr>
              <w:t>NaCl</w:t>
            </w:r>
          </w:p>
        </w:tc>
      </w:tr>
    </w:tbl>
    <w:p w14:paraId="4541C5CC" w14:textId="77777777" w:rsidR="00E83B26" w:rsidRPr="006E60A8" w:rsidRDefault="00E83B26" w:rsidP="00E83B26">
      <w:pPr>
        <w:ind w:firstLine="426"/>
      </w:pPr>
      <w:r w:rsidRPr="00BA4F0F">
        <w:t xml:space="preserve">Для снижения токсичности режима предтрансплантационной подготовки </w:t>
      </w:r>
      <w:r w:rsidRPr="00BA4F0F">
        <w:rPr>
          <w:lang w:val="en-US"/>
        </w:rPr>
        <w:t>BEAM</w:t>
      </w:r>
      <w:r w:rsidRPr="00BA4F0F">
        <w:t xml:space="preserve"> в ряде случаев вместо кармустина используется ломустин (</w:t>
      </w:r>
      <w:r w:rsidRPr="00BA4F0F">
        <w:rPr>
          <w:lang w:val="en-US"/>
        </w:rPr>
        <w:t>CEAM</w:t>
      </w:r>
      <w:r w:rsidRPr="00BA4F0F">
        <w:t xml:space="preserve"> / </w:t>
      </w:r>
      <w:r w:rsidRPr="00BA4F0F">
        <w:rPr>
          <w:lang w:val="en-US"/>
        </w:rPr>
        <w:t>LEAM</w:t>
      </w:r>
      <w:r w:rsidRPr="00BA4F0F">
        <w:t xml:space="preserve">). Схема </w:t>
      </w:r>
      <w:r w:rsidRPr="006E60A8">
        <w:t>введения препаратов и дозы представлены в таблице 6.</w:t>
      </w:r>
    </w:p>
    <w:p w14:paraId="074DF4DC" w14:textId="77777777" w:rsidR="00E83B26" w:rsidRPr="006E60A8" w:rsidRDefault="00E83B26" w:rsidP="00E83B26">
      <w:pPr>
        <w:ind w:firstLine="426"/>
        <w:rPr>
          <w:b/>
        </w:rPr>
      </w:pPr>
    </w:p>
    <w:p w14:paraId="54B755EA" w14:textId="082F3AD5" w:rsidR="00E83B26" w:rsidRPr="00193D82" w:rsidRDefault="00E83B26" w:rsidP="00E83B26">
      <w:pPr>
        <w:ind w:firstLine="426"/>
      </w:pPr>
      <w:r w:rsidRPr="006E60A8">
        <w:t xml:space="preserve">Таблица 6. Схема предтрансплантационного кондиционирования </w:t>
      </w:r>
      <w:r w:rsidRPr="006E60A8">
        <w:rPr>
          <w:lang w:val="en-US"/>
        </w:rPr>
        <w:t>CEAM</w:t>
      </w:r>
      <w:r w:rsidRPr="006E60A8">
        <w:t>/</w:t>
      </w:r>
      <w:r w:rsidRPr="006E60A8">
        <w:rPr>
          <w:lang w:val="en-US"/>
        </w:rPr>
        <w:t>LEAM</w:t>
      </w:r>
      <w:r w:rsidRPr="00BA4F0F">
        <w:rPr>
          <w:b/>
        </w:rPr>
        <w:t xml:space="preserve"> </w:t>
      </w:r>
      <w:r w:rsidRPr="00BA4F0F">
        <w:fldChar w:fldCharType="begin" w:fldLock="1"/>
      </w:r>
      <w:r w:rsidR="003B39A6">
        <w:rPr>
          <w:lang w:val="en-US"/>
        </w:rPr>
        <w:instrText>ADDIN CSL_CITATION {"citationItems":[{"id":"ITEM-1","itemData":{"DOI":"10.1186/2193-1801-2-489","ISSN":"2193-1801","PMID":"25674395","abstract":"BEAM (BCNU, etoposide, cytrabine, melphalan) is the most widely used high dose chemotherapy regimen for autologous transplant in lymphoid malignancies. We report our early experience with an alternative regimen LEAM where BCNU was replaced with the oral analogue CCNU (lomustine) to tide over the non-availability of BCNU. Fifty one patients of relapsed or refractory lymphoma who received BEAM (n= 34) and LEAM (n= 17) from September 2001 to February 2012 were analyzed. From October 2009 onwards LEAM was used as the conditioning regimen instead of conventional BEAM. Patients in the LEAM group had more chemorefractory disease (35% vs 9%, p = 0.045) and high risk comorbidity score (24% vs 0%, p = 0.019). Grade 3 and 4 oral mucositis (67.6% vs. 64.7%, p = 0.834) and diarrhea (47% vs. 41.1%, p = 0.691) were similar. No difference was noted between the two groups in terms of engraftment, documented infections, antibiotic use, cumulative toxicity risk, length of hospital stay and 100 day transplant related mortality. The estimated 2 year overall survival (61.7% vs. 62.7%, p = 0.928) and event free survival (44.6% vs. 41.1%, p = 0.510) of the regimens BEAM and LEAM respectively were comparable. Thus LEAM appeared equivalent to BEAM in terms of toxicity and efficacy and can be used as an alternative to BEAM.","author":[{"dropping-particle":"","family":"Sharma","given":"Atul","non-dropping-particle":"","parse-names":false,"suffix":""},{"dropping-particle":"","family":"Kayal","given":"Smita","non-dropping-particle":"","parse-names":false,"suffix":""},{"dropping-particle":"","family":"Iqbal","given":"Sobuhi","non-dropping-particle":"","parse-names":false,"suffix":""},{"dropping-particle":"","family":"Malik","given":"Prabhat Singh","non-dropping-particle":"","parse-names":false,"suffix":""},{"dropping-particle":"","family":"Raina","given":"Vinod","non-dropping-particle":"","parse-names":false,"suffix":""}],"container-title":"SpringerPlus","id":"ITEM-1","issued":{"date-parts":[["2013"]]},"page":"489","publisher":"Springerplus","title":"Comparison of BEAM vs. LEAM regimen in autologous transplant for lymphoma at AIIMS.","type":"article-journal","volume":"2"},"uris":["http://www.mendeley.com/documents/?uuid=21a4d437-7f12-381a-b742-56143dfb3da9","http://www.mendeley.com/documents/?uuid=101407b9-4546-4cbb-9ac0-735f0dacc33c"]},{"id":"ITEM-2","itemData":{"DOI":"10.1038/sj.bmt.1705544","ISSN":"0268-3369","PMID":"17115062","abstract":"High-dose chemotherapy followed by autologous stem cell transplantation (ASCT) is a recognized treatment option for patients with relapsed Hodgkin's lymphoma. We have analysed 67 patients who underwent ASCT after LACE (lomustine (CCNU), cytarabine (Ara-C), cyclophosphamide, etoposide) conditioning for relapsed (n=61) or primary refractory (n=6) Hodgkin's lymphoma. The 100-day treatment-related mortality was 3%. With a median follow-up of 67 months (range 3.3-161.0) the probabilities of overall survival (OS) and progression-free survival (PFS) at 5 years were 68 and 64%, respectively. Probabilities for OS and PFS at 5 years for patients with chemosensitive relapse (n=40) were 81 and 78% versus 50 and 35%, respectively, for patients (n=27) with chemoresistant relapse (P=0.012 for OS, P=0.002 for PFS). In multivariate analysis mixed cellularity classical or lymphocyte-depleted classical histology subtype and haemoglobin level of 10 g/dl or less at the time of ASCT were identified as risk factors for worse OS, whereas stage III or IV disease at diagnosis and disease status at ASCT other than complete or partial remission predicted inferior PFS. LACE followed by ASCT is an effective treatment for the majority of patients with chemosensitive relapsed Hodgkin's lymphoma and a proportion of chemorefractory patients also benefit.","author":[{"dropping-particle":"","family":"Perz","given":"J B","non-dropping-particle":"","parse-names":false,"suffix":""},{"dropping-particle":"","family":"Giles","given":"C","non-dropping-particle":"","parse-names":false,"suffix":""},{"dropping-particle":"","family":"Szydlo","given":"R","non-dropping-particle":"","parse-names":false,"suffix":""},{"dropping-particle":"","family":"O'Shea","given":"D","non-dropping-particle":"","parse-names":false,"suffix":""},{"dropping-particle":"","family":"Sanz","given":"J","non-dropping-particle":"","parse-names":false,"suffix":""},{"dropping-particle":"","family":"Chaidos","given":"A","non-dropping-particle":"","parse-names":false,"suffix":""},{"dropping-particle":"","family":"Wagner","given":"S","non-dropping-particle":"","parse-names":false,"suffix":""},{"dropping-particle":"","family":"Davis","given":"J","non-dropping-particle":"","parse-names":false,"suffix":""},{"dropping-particle":"","family":"Loaiza","given":"S","non-dropping-particle":"","parse-names":false,"suffix":""},{"dropping-particle":"","family":"Marin","given":"D","non-dropping-particle":"","parse-names":false,"suffix":""},{"dropping-particle":"","family":"Apperley","given":"J","non-dropping-particle":"","parse-names":false,"suffix":""},{"dropping-particle":"","family":"Olavarria","given":"E","non-dropping-particle":"","parse-names":false,"suffix":""},{"dropping-particle":"","family":"Rahemtulla","given":"A","non-dropping-particle":"","parse-names":false,"suffix":""},{"dropping-particle":"","family":"Lampert","given":"I","non-dropping-particle":"","parse-names":false,"suffix":""},{"dropping-particle":"","family":"Naresh","given":"K","non-dropping-particle":"","parse-names":false,"suffix":""},{"dropping-particle":"","family":"Samson","given":"D","non-dropping-particle":"","parse-names":false,"suffix":""},{"dropping-particle":"","family":"MacDonald","given":"D","non-dropping-particle":"","parse-names":false,"suffix":""},{"dropping-particle":"","family":"Kanfer","given":"E J","non-dropping-particle":"","parse-names":false,"suffix":""}],"container-title":"Bone marrow transplantation","id":"ITEM-2","issue":"1","issued":{"date-parts":[["2007","1"]]},"page":"41-7","publisher":"Bone Marrow Transplant","title":"LACE-conditioned autologous stem cell transplantation for relapsed or refractory Hodgkin's lymphoma: treatment outcome and risk factor analysis in 67 patients from a single centre.","type":"article-journal","volume":"39"},"uris":["http://www.mendeley.com/documents/?uuid=a8c80dd3-9f3f-3bd3-8ad8-c4b068fdf579","http://www.mendeley.com/documents/?uuid=1b0196ad-e3d1-415d-9222-3686ef87b016"]},{"id":"ITEM-3","itemData":{"DOI":"10.6002/ect.2011.0092","ISSN":"2146-8427","PMID":"22432762","abstract":"OBJECTIVES A BEAM regimen including carmustine (BiCNU: bis-chloroethyl nitrosourea), etoposide, cytarabine (cytosine arabinoside), and melphalan is a widely used conditioning regimen for autologous stem cell transplant in patients with Hodgkin lymphoma. We report the results of noncryopreserved autologous stem cell transplant of 45 patients with Hodgkin lymphoma given an alternative regimen, modified BEAM-like regimen (CEAM regimen: lomustine, etoposide, cytarabine, and melphalan), in which carmustine (BiCNU IV) was substituted by oral lomustine (CCNU: 2 chloroethyl cyclohexyl nitrosourea). PATIENTS AND METHODS Forty-five eligible patients with relapsed/refractory Hodgkin lymphoma were consecutively enrolled and underwent conditioning regimen with BEAM-like regimen protocol as follows: Lomustine 200 mg/m(2) on day -3; etoposide 1000 mg/m(2) on day -3 and -2; cytarabine 1000 mg/m(2) on days -3, -2; and Melphalan 140 mg/m(2) on day -1. RESULTS All 45 patients showed engraftment of infused stem cell, and there was no graft failure in the study group. The median mononuclear cell dose was 3.4 × 10(8). The median time to absolute neutrophil count &gt; 0.5 × 10(9)/L was 11 days, and the median time to platelet count &gt; 20 × 10(9) was 14 days. Grade 2 and grade 3 mucositis was seen in 64.5% our patients. Transplant-related mortality at 100 days occurred in 1 patient (2.2%). With a median follow-up of 27 months, median disease-free survival was 20 months, mean overall survival was 27 months, and median overall survival has not yet been reached. CONCLUSIONS These data demonstrate the safety and feasibility of BEAM-like regimen as a new and modified regimen; longer follow-up is required to evaluate fully efficacy and long-term safety of our method.","author":[{"dropping-particle":"","family":"Ramzi","given":"Mani","non-dropping-particle":"","parse-names":false,"suffix":""},{"dropping-particle":"","family":"Mohamadian","given":"Mohsen","non-dropping-particle":"","parse-names":false,"suffix":""},{"dropping-particle":"","family":"Vojdani","given":"Reza","non-dropping-particle":"","parse-names":false,"suffix":""},{"dropping-particle":"","family":"Dehghani","given":"Mehdi","non-dropping-particle":"","parse-names":false,"suffix":""},{"dropping-particle":"","family":"Nourani","given":"Habib","non-dropping-particle":"","parse-names":false,"suffix":""},{"dropping-particle":"","family":"Zakerinia","given":"Maryam","non-dropping-particle":"","parse-names":false,"suffix":""},{"dropping-particle":"","family":"Haghighinejad","given":"Hoorvash","non-dropping-particle":"","parse-names":false,"suffix":""}],"container-title":"Experimental and clinical transplantation : official journal of the Middle East Society for Organ Transplantation","id":"ITEM-3","issue":"2","issued":{"date-parts":[["2012","4"]]},"page":"163-7","publisher":"Exp Clin Transplant","title":"Autologous noncryopreserved hematopoietic stem cell transplant with CEAM as a modified conditioning regimen in patients with Hodgkin lymphoma: a single-center experience with a new protocol.","type":"article-journal","volume":"10"},"uris":["http://www.mendeley.com/documents/?uuid=4fa47866-15e7-323f-bafd-68fc7216a752","http://www.mendeley.com/documents/?uuid=9ca20e06-5e69-4a38-956e-4d81d8214f0a"]},{"id":"ITEM-4","itemData":{"DOI":"10.3389/fonc.2019.00892","ISSN":"2234-943X","PMID":"31552193","abstract":"High-dose chemotherapy (HDT) followed by autologous hematopoietic stem cell transplantation (ASCT) is widely used in patients with malignant lymphomas. In Europe over 8,000 ASCTs for lymphoma were performed out of a total of 40,000 transplants according to the European Bone Marrow Transplant (EBMT) activity survey in 2017. ASCT is considered the standard treatment for eligible patients failing to achieve remission after first line chemotherapy or patients with relapsed or refractory lymphomas, including classical Hodkin's lymphoma, diffuse large B-cell lymphoma, mantle cell lymphoma, and follicular lymphoma, as well as consolidation therapy in first remission in mantle cell lymphoma. BEAM (BCNU/carmustine, etoposide, cytarabine, and melphalan) is the most commonly used conditioning regimen for ASCT in patients with relapsed/refractory (R/R) lymphomas in Europe, whereas the CBV (cyclophosphamide, BCNU, and etoposide) regimen is also widely used in North America. Recently, concerns regarding BCNU toxicity as well as restricted availability of BCNU and melphalan has determined an increasing number of transplant centers to use alternative conditioning regimens. Currently, only a few comparative studies, most of them retrospective, between different conditioning protocols regarding efficacy and toxicity have been published. Thus, in the current manuscript, we report the experience of 2 transplant centers in ASCT in R/R lymphomas with three types of conditioning: BEAM, CLV (cyclophosphamide, lomustine, etoposide) and LEAM (lomustine, etoposide, cytarabine, and melphalan), with the aim to evaluate the results of alternative conditioning regimens using lomustine (LEAM and CLV) and compare them with the standard BEAM regarding early toxicity, engraftment, and transplant related mortality (TRM). All patients developed grade IV neutropenia, anemia with/without transfusion necessity. Severe thrombocytopenia with transfusion requirements is reported in most cases. Median time to platelet engraftment and neutrophil engraftment was 13 days (range) and 10 days (range), respectively. Gastrointestinal toxicity was the most common non-hematologic toxicity after all three conditioning regimens. Oral mucositis in various grades from I to IV was diagnosed in most cases. Other side effects include vomiting, diarrhea, colitis, and skin rash but with low severity grades. For the LEAM arm, one patient died after transplant, before engrafting, one patient didn't achieve platelet …","author":[{"dropping-particle":"","family":"Colita","given":"Andrei","non-dropping-particle":"","parse-names":false,"suffix":""},{"dropping-particle":"","family":"Colita","given":"Anca","non-dropping-particle":"","parse-names":false,"suffix":""},{"dropping-particle":"","family":"Bumbea","given":"Horia","non-dropping-particle":"","parse-names":false,"suffix":""},{"dropping-particle":"","family":"Croitoru","given":"Adina","non-dropping-particle":"","parse-names":false,"suffix":""},{"dropping-particle":"","family":"Orban","given":"Carmen","non-dropping-particle":"","parse-names":false,"suffix":""},{"dropping-particle":"","family":"Lipan","given":"Lavinia Eugenia","non-dropping-particle":"","parse-names":false,"suffix":""},{"dropping-particle":"","family":"Craciun","given":"Oana-Gabriela","non-dropping-particle":"","parse-names":false,"suffix":""},{"dropping-particle":"","family":"Soare","given":"Dan","non-dropping-particle":"","parse-names":false,"suffix":""},{"dropping-particle":"","family":"Ghimici","given":"Cecilia","non-dropping-particle":"","parse-names":false,"suffix":""},{"dropping-particle":"","family":"Manolache","given":"Raluca","non-dropping-particle":"","parse-names":false,"suffix":""},{"dropping-particle":"","family":"Gelatu","given":"Ionel","non-dropping-particle":"","parse-names":false,"suffix":""},{"dropping-particle":"","family":"Vladareanu","given":"Ana-Maria","non-dropping-particle":"","parse-names":false,"suffix":""},{"dropping-particle":"","family":"Pasca","given":"Sergiu","non-dropping-particle":"","parse-names":false,"suffix":""},{"dropping-particle":"","family":"Teodorescu","given":"Patric","non-dropping-particle":"","parse-names":false,"suffix":""},{"dropping-particle":"","family":"Dima","given":"Delia","non-dropping-particle":"","parse-names":false,"suffix":""},{"dropping-particle":"","family":"Lupu","given":"Anca","non-dropping-particle":"","parse-names":false,"suffix":""},{"dropping-particle":"","family":"Coriu","given":"Daniel","non-dropping-particle":"","parse-names":false,"suffix":""},{"dropping-particle":"","family":"Tomuleasa","given":"Ciprian","non-dropping-particle":"","parse-names":false,"suffix":""},{"dropping-particle":"","family":"Tanase","given":"Alina","non-dropping-particle":"","parse-names":false,"suffix":""}],"container-title":"Frontiers in oncology","id":"ITEM-4","issued":{"date-parts":[["2019","9"]]},"page":"892","title":"LEAM vs. BEAM vs. CLV Conditioning Regimen for Autologous Stem Cell Transplantation in Malignant Lymphomas. Retrospective Comparison of Toxicity and Efficacy on 222 Patients in the First 100 Days After Transplant, On Behalf of the Romanian Society for Bon","type":"article-journal","volume":"9"},"uris":["http://www.mendeley.com/documents/?uuid=1a8d312b-cff1-42d2-81dd-d36c0430abd5","http://www.mendeley.com/documents/?uuid=ad47bb84-1f12-3f23-9753-d1c2161ab990"]},{"id":"ITEM-5","itemData":{"ISBN":"9783030022778","author":[{"dropping-particle":"","family":"Enric Carreras","given":"Dufour Carlo","non-dropping-particle":"","parse-names":false,"suffix":""},{"dropping-particle":"","family":"Mohty Mohamad","given":"Kröger Nicolaus","non-dropping-particle":"","parse-names":false,"suffix":""}],"id":"ITEM-5","issued":{"date-parts":[["2019"]]},"number-of-pages":"702","title":"Hematopoietic Stem Cell Transplantation and Cellular Therapies","type":"book"},"uris":["http://www.mendeley.com/documents/?uuid=b2895edd-cfbd-4cbf-8d9b-e50422d61d71","http://www.mendeley.com/documents/?uuid=891fa663-7797-4301-8893-3b0a5d75b173","http://www.mendeley.com/documents/?uuid=a3640929-94cd-4fb4-896e-6145e0e14c8e"]}],"mendeley":{"formattedCitation":"[128,132–135]","plainTextFormattedCitation":"[128,132–135]","previouslyFormattedCitation":"[128,132–135]"},"properties":{"noteIndex":0},"schema":"https://github.com/citation-style-language/schema/raw/master/csl-citation.json"}</w:instrText>
      </w:r>
      <w:r w:rsidRPr="00BA4F0F">
        <w:fldChar w:fldCharType="separate"/>
      </w:r>
      <w:r w:rsidRPr="00E83B26">
        <w:rPr>
          <w:noProof/>
        </w:rPr>
        <w:t>[128,132–135]</w:t>
      </w:r>
      <w:r w:rsidRPr="00BA4F0F">
        <w:fldChar w:fldCharType="end"/>
      </w:r>
    </w:p>
    <w:tbl>
      <w:tblPr>
        <w:tblStyle w:val="aff9"/>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E83B26" w:rsidRPr="00BA4F0F" w14:paraId="69D0CEF4" w14:textId="77777777" w:rsidTr="002D3EBF">
        <w:tc>
          <w:tcPr>
            <w:tcW w:w="1418" w:type="dxa"/>
          </w:tcPr>
          <w:p w14:paraId="1867E27A" w14:textId="77777777" w:rsidR="00E83B26" w:rsidRPr="00193D82" w:rsidRDefault="00E83B26" w:rsidP="002D3EBF">
            <w:pPr>
              <w:pStyle w:val="afe"/>
              <w:ind w:left="0" w:firstLine="0"/>
              <w:rPr>
                <w:rFonts w:cs="Times New Roman"/>
                <w:szCs w:val="24"/>
              </w:rPr>
            </w:pPr>
            <w:r w:rsidRPr="00BA4F0F">
              <w:rPr>
                <w:rFonts w:cs="Times New Roman"/>
                <w:szCs w:val="24"/>
              </w:rPr>
              <w:t>Препарат</w:t>
            </w:r>
          </w:p>
        </w:tc>
        <w:tc>
          <w:tcPr>
            <w:tcW w:w="1701" w:type="dxa"/>
          </w:tcPr>
          <w:p w14:paraId="64682E72" w14:textId="77777777" w:rsidR="00E83B26" w:rsidRPr="00193D82" w:rsidRDefault="00E83B26" w:rsidP="002D3EBF">
            <w:pPr>
              <w:pStyle w:val="afe"/>
              <w:ind w:left="0" w:firstLine="0"/>
              <w:rPr>
                <w:rFonts w:cs="Times New Roman"/>
                <w:szCs w:val="24"/>
              </w:rPr>
            </w:pPr>
            <w:r w:rsidRPr="00BA4F0F">
              <w:rPr>
                <w:rFonts w:cs="Times New Roman"/>
                <w:szCs w:val="24"/>
              </w:rPr>
              <w:t>Дни</w:t>
            </w:r>
            <w:r w:rsidRPr="00193D82">
              <w:rPr>
                <w:rFonts w:cs="Times New Roman"/>
                <w:szCs w:val="24"/>
              </w:rPr>
              <w:t xml:space="preserve"> </w:t>
            </w:r>
            <w:r w:rsidRPr="00BA4F0F">
              <w:rPr>
                <w:rFonts w:cs="Times New Roman"/>
                <w:szCs w:val="24"/>
              </w:rPr>
              <w:t>введения</w:t>
            </w:r>
            <w:r w:rsidRPr="00193D82">
              <w:rPr>
                <w:rFonts w:cs="Times New Roman"/>
                <w:szCs w:val="24"/>
              </w:rPr>
              <w:t xml:space="preserve"> </w:t>
            </w:r>
            <w:r w:rsidRPr="00BA4F0F">
              <w:rPr>
                <w:rFonts w:cs="Times New Roman"/>
                <w:szCs w:val="24"/>
              </w:rPr>
              <w:t>перед</w:t>
            </w:r>
            <w:r w:rsidRPr="00193D82">
              <w:rPr>
                <w:rFonts w:cs="Times New Roman"/>
                <w:szCs w:val="24"/>
              </w:rPr>
              <w:t xml:space="preserve"> </w:t>
            </w:r>
            <w:r w:rsidRPr="00BA4F0F">
              <w:rPr>
                <w:rFonts w:cs="Times New Roman"/>
                <w:szCs w:val="24"/>
              </w:rPr>
              <w:t>ауто</w:t>
            </w:r>
            <w:r w:rsidRPr="00193D82">
              <w:rPr>
                <w:rFonts w:cs="Times New Roman"/>
                <w:szCs w:val="24"/>
              </w:rPr>
              <w:t>-</w:t>
            </w:r>
            <w:r w:rsidRPr="00BA4F0F">
              <w:rPr>
                <w:rFonts w:cs="Times New Roman"/>
                <w:szCs w:val="24"/>
              </w:rPr>
              <w:t>ТГСК</w:t>
            </w:r>
          </w:p>
        </w:tc>
        <w:tc>
          <w:tcPr>
            <w:tcW w:w="1134" w:type="dxa"/>
          </w:tcPr>
          <w:p w14:paraId="0BCABA3D" w14:textId="77777777" w:rsidR="00E83B26" w:rsidRPr="00193D82" w:rsidRDefault="00E83B26" w:rsidP="002D3EBF">
            <w:pPr>
              <w:pStyle w:val="afe"/>
              <w:ind w:left="0" w:firstLine="0"/>
              <w:rPr>
                <w:rFonts w:cs="Times New Roman"/>
                <w:szCs w:val="24"/>
              </w:rPr>
            </w:pPr>
            <w:r w:rsidRPr="00BA4F0F">
              <w:rPr>
                <w:rFonts w:cs="Times New Roman"/>
                <w:szCs w:val="24"/>
              </w:rPr>
              <w:t>Разовая</w:t>
            </w:r>
            <w:r w:rsidRPr="00193D82">
              <w:rPr>
                <w:rFonts w:cs="Times New Roman"/>
                <w:szCs w:val="24"/>
              </w:rPr>
              <w:t xml:space="preserve"> </w:t>
            </w:r>
            <w:r w:rsidRPr="00BA4F0F">
              <w:rPr>
                <w:rFonts w:cs="Times New Roman"/>
                <w:szCs w:val="24"/>
              </w:rPr>
              <w:t>доза</w:t>
            </w:r>
          </w:p>
        </w:tc>
        <w:tc>
          <w:tcPr>
            <w:tcW w:w="1276" w:type="dxa"/>
          </w:tcPr>
          <w:p w14:paraId="7B575C12" w14:textId="77777777" w:rsidR="00E83B26" w:rsidRPr="00193D82" w:rsidRDefault="00E83B26" w:rsidP="002D3EBF">
            <w:pPr>
              <w:pStyle w:val="afe"/>
              <w:ind w:left="0" w:firstLine="0"/>
              <w:rPr>
                <w:rFonts w:cs="Times New Roman"/>
                <w:szCs w:val="24"/>
              </w:rPr>
            </w:pPr>
            <w:r w:rsidRPr="00BA4F0F">
              <w:rPr>
                <w:rFonts w:cs="Times New Roman"/>
                <w:szCs w:val="24"/>
              </w:rPr>
              <w:t>Суточная</w:t>
            </w:r>
            <w:r w:rsidRPr="00193D82">
              <w:rPr>
                <w:rFonts w:cs="Times New Roman"/>
                <w:szCs w:val="24"/>
              </w:rPr>
              <w:t xml:space="preserve"> </w:t>
            </w:r>
            <w:r w:rsidRPr="00BA4F0F">
              <w:rPr>
                <w:rFonts w:cs="Times New Roman"/>
                <w:szCs w:val="24"/>
              </w:rPr>
              <w:t>доза</w:t>
            </w:r>
          </w:p>
        </w:tc>
        <w:tc>
          <w:tcPr>
            <w:tcW w:w="1275" w:type="dxa"/>
          </w:tcPr>
          <w:p w14:paraId="61741B4B" w14:textId="77777777" w:rsidR="00E83B26" w:rsidRPr="00BA4F0F" w:rsidRDefault="00E83B26" w:rsidP="002D3EBF">
            <w:pPr>
              <w:pStyle w:val="afe"/>
              <w:ind w:left="0" w:firstLine="0"/>
              <w:rPr>
                <w:rFonts w:cs="Times New Roman"/>
                <w:szCs w:val="24"/>
              </w:rPr>
            </w:pPr>
            <w:r w:rsidRPr="00BA4F0F">
              <w:rPr>
                <w:rFonts w:cs="Times New Roman"/>
                <w:szCs w:val="24"/>
              </w:rPr>
              <w:t>Курсовая доза</w:t>
            </w:r>
          </w:p>
        </w:tc>
        <w:tc>
          <w:tcPr>
            <w:tcW w:w="2659" w:type="dxa"/>
          </w:tcPr>
          <w:p w14:paraId="3E47F6B8" w14:textId="77777777" w:rsidR="00E83B26" w:rsidRPr="00BA4F0F" w:rsidRDefault="00E83B26" w:rsidP="002D3EBF">
            <w:pPr>
              <w:pStyle w:val="afe"/>
              <w:ind w:left="0" w:firstLine="0"/>
              <w:rPr>
                <w:rFonts w:cs="Times New Roman"/>
                <w:szCs w:val="24"/>
              </w:rPr>
            </w:pPr>
            <w:r w:rsidRPr="00BA4F0F">
              <w:rPr>
                <w:rFonts w:cs="Times New Roman"/>
                <w:szCs w:val="24"/>
              </w:rPr>
              <w:t>Особенности введения</w:t>
            </w:r>
          </w:p>
        </w:tc>
      </w:tr>
      <w:tr w:rsidR="00E83B26" w:rsidRPr="00BA4F0F" w14:paraId="0B9A4F88" w14:textId="77777777" w:rsidTr="002D3EBF">
        <w:tc>
          <w:tcPr>
            <w:tcW w:w="1418" w:type="dxa"/>
          </w:tcPr>
          <w:p w14:paraId="0AA045E1" w14:textId="77777777" w:rsidR="00E83B26" w:rsidRPr="00BA4F0F" w:rsidRDefault="00E83B26" w:rsidP="002D3EBF">
            <w:pPr>
              <w:pStyle w:val="afe"/>
              <w:ind w:left="0" w:firstLine="0"/>
              <w:jc w:val="center"/>
              <w:rPr>
                <w:rFonts w:cs="Times New Roman"/>
                <w:szCs w:val="24"/>
              </w:rPr>
            </w:pPr>
            <w:r w:rsidRPr="00BA4F0F">
              <w:rPr>
                <w:rFonts w:cs="Times New Roman"/>
                <w:szCs w:val="24"/>
              </w:rPr>
              <w:t>Ломустин</w:t>
            </w:r>
          </w:p>
        </w:tc>
        <w:tc>
          <w:tcPr>
            <w:tcW w:w="1701" w:type="dxa"/>
          </w:tcPr>
          <w:p w14:paraId="41A5770B" w14:textId="77777777" w:rsidR="00E83B26" w:rsidRPr="00BA4F0F" w:rsidRDefault="00E83B26" w:rsidP="002D3EBF">
            <w:pPr>
              <w:pStyle w:val="afe"/>
              <w:ind w:left="0" w:firstLine="0"/>
              <w:jc w:val="center"/>
              <w:rPr>
                <w:rFonts w:cs="Times New Roman"/>
                <w:szCs w:val="24"/>
              </w:rPr>
            </w:pPr>
            <w:r w:rsidRPr="00BA4F0F">
              <w:rPr>
                <w:rFonts w:cs="Times New Roman"/>
                <w:szCs w:val="24"/>
              </w:rPr>
              <w:t>-6 день</w:t>
            </w:r>
          </w:p>
        </w:tc>
        <w:tc>
          <w:tcPr>
            <w:tcW w:w="1134" w:type="dxa"/>
          </w:tcPr>
          <w:p w14:paraId="03D4C494" w14:textId="77777777" w:rsidR="00E83B26" w:rsidRPr="00BA4F0F" w:rsidRDefault="00E83B26" w:rsidP="002D3EBF">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1486249B" w14:textId="77777777" w:rsidR="00E83B26" w:rsidRPr="00BA4F0F" w:rsidRDefault="00E83B26" w:rsidP="002D3EBF">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793702AE" w14:textId="77777777" w:rsidR="00E83B26" w:rsidRPr="00BA4F0F" w:rsidRDefault="00E83B26" w:rsidP="002D3EBF">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2659" w:type="dxa"/>
          </w:tcPr>
          <w:p w14:paraId="4E6ECC24" w14:textId="77777777" w:rsidR="00E83B26" w:rsidRPr="00BA4F0F" w:rsidRDefault="00E83B26" w:rsidP="002D3EBF">
            <w:pPr>
              <w:pStyle w:val="afe"/>
              <w:ind w:left="0" w:firstLine="0"/>
              <w:rPr>
                <w:rFonts w:cs="Times New Roman"/>
                <w:szCs w:val="24"/>
              </w:rPr>
            </w:pPr>
            <w:r w:rsidRPr="00BA4F0F">
              <w:rPr>
                <w:rFonts w:cs="Times New Roman"/>
                <w:szCs w:val="24"/>
              </w:rPr>
              <w:t>Внутрь</w:t>
            </w:r>
          </w:p>
        </w:tc>
      </w:tr>
      <w:tr w:rsidR="00E83B26" w:rsidRPr="00BA4F0F" w14:paraId="76D97B72" w14:textId="77777777" w:rsidTr="002D3EBF">
        <w:tc>
          <w:tcPr>
            <w:tcW w:w="1418" w:type="dxa"/>
          </w:tcPr>
          <w:p w14:paraId="39E9CEB3" w14:textId="77777777" w:rsidR="00E83B26" w:rsidRPr="00BA4F0F" w:rsidRDefault="00E83B26" w:rsidP="002D3EBF">
            <w:pPr>
              <w:pStyle w:val="afe"/>
              <w:ind w:left="0" w:firstLine="0"/>
              <w:jc w:val="center"/>
              <w:rPr>
                <w:rFonts w:cs="Times New Roman"/>
                <w:szCs w:val="24"/>
              </w:rPr>
            </w:pPr>
            <w:r w:rsidRPr="00BA4F0F">
              <w:rPr>
                <w:rFonts w:cs="Times New Roman"/>
                <w:szCs w:val="24"/>
              </w:rPr>
              <w:t>Этопозид</w:t>
            </w:r>
          </w:p>
        </w:tc>
        <w:tc>
          <w:tcPr>
            <w:tcW w:w="1701" w:type="dxa"/>
          </w:tcPr>
          <w:p w14:paraId="59AB8F01" w14:textId="77777777" w:rsidR="00E83B26" w:rsidRPr="00BA4F0F" w:rsidRDefault="00E83B26" w:rsidP="002D3EBF">
            <w:pPr>
              <w:pStyle w:val="afe"/>
              <w:ind w:left="0" w:firstLine="0"/>
              <w:jc w:val="center"/>
              <w:rPr>
                <w:rFonts w:cs="Times New Roman"/>
                <w:szCs w:val="24"/>
              </w:rPr>
            </w:pPr>
            <w:r w:rsidRPr="00BA4F0F">
              <w:rPr>
                <w:rFonts w:cs="Times New Roman"/>
                <w:szCs w:val="24"/>
              </w:rPr>
              <w:t>-5, -4, -3, -2 дни</w:t>
            </w:r>
          </w:p>
        </w:tc>
        <w:tc>
          <w:tcPr>
            <w:tcW w:w="1134" w:type="dxa"/>
          </w:tcPr>
          <w:p w14:paraId="2599FB5F" w14:textId="77777777" w:rsidR="00E83B26" w:rsidRPr="00BA4F0F" w:rsidRDefault="00E83B26" w:rsidP="002D3EBF">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1F4D3578" w14:textId="77777777" w:rsidR="00E83B26" w:rsidRPr="00BA4F0F" w:rsidRDefault="00E83B26" w:rsidP="002D3EBF">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7008FAC8" w14:textId="77777777" w:rsidR="00E83B26" w:rsidRPr="00BA4F0F" w:rsidRDefault="00E83B26" w:rsidP="002D3EBF">
            <w:pPr>
              <w:pStyle w:val="afe"/>
              <w:ind w:left="0" w:firstLine="0"/>
              <w:jc w:val="center"/>
              <w:rPr>
                <w:rFonts w:cs="Times New Roman"/>
                <w:szCs w:val="24"/>
              </w:rPr>
            </w:pPr>
            <w:r w:rsidRPr="00BA4F0F">
              <w:rPr>
                <w:rFonts w:cs="Times New Roman"/>
                <w:szCs w:val="24"/>
              </w:rPr>
              <w:t>800 мг/м</w:t>
            </w:r>
            <w:r w:rsidRPr="00BA4F0F">
              <w:rPr>
                <w:rFonts w:cs="Times New Roman"/>
                <w:szCs w:val="24"/>
                <w:vertAlign w:val="superscript"/>
              </w:rPr>
              <w:t>2</w:t>
            </w:r>
          </w:p>
        </w:tc>
        <w:tc>
          <w:tcPr>
            <w:tcW w:w="2659" w:type="dxa"/>
          </w:tcPr>
          <w:p w14:paraId="2389C1B8" w14:textId="77777777" w:rsidR="00E83B26" w:rsidRPr="00BA4F0F" w:rsidRDefault="00E83B26" w:rsidP="002D3EBF">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E83B26" w:rsidRPr="00BA4F0F" w14:paraId="64232272" w14:textId="77777777" w:rsidTr="002D3EBF">
        <w:tc>
          <w:tcPr>
            <w:tcW w:w="1418" w:type="dxa"/>
          </w:tcPr>
          <w:p w14:paraId="1061A8D2" w14:textId="77777777" w:rsidR="00E83B26" w:rsidRPr="00BA4F0F" w:rsidRDefault="00E83B26" w:rsidP="002D3EBF">
            <w:pPr>
              <w:pStyle w:val="afe"/>
              <w:ind w:left="0" w:firstLine="0"/>
              <w:jc w:val="center"/>
              <w:rPr>
                <w:rFonts w:cs="Times New Roman"/>
                <w:szCs w:val="24"/>
              </w:rPr>
            </w:pPr>
            <w:r w:rsidRPr="00BA4F0F">
              <w:rPr>
                <w:rFonts w:cs="Times New Roman"/>
                <w:szCs w:val="24"/>
              </w:rPr>
              <w:t>Цитарабин</w:t>
            </w:r>
          </w:p>
        </w:tc>
        <w:tc>
          <w:tcPr>
            <w:tcW w:w="1701" w:type="dxa"/>
          </w:tcPr>
          <w:p w14:paraId="0D96430E" w14:textId="77777777" w:rsidR="00E83B26" w:rsidRPr="00BA4F0F" w:rsidRDefault="00E83B26" w:rsidP="002D3EBF">
            <w:pPr>
              <w:pStyle w:val="afe"/>
              <w:ind w:left="0" w:firstLine="0"/>
              <w:jc w:val="center"/>
              <w:rPr>
                <w:rFonts w:cs="Times New Roman"/>
                <w:szCs w:val="24"/>
              </w:rPr>
            </w:pPr>
            <w:r w:rsidRPr="00BA4F0F">
              <w:rPr>
                <w:rFonts w:cs="Times New Roman"/>
                <w:szCs w:val="24"/>
              </w:rPr>
              <w:t>-5, -4, -3, -2 дни</w:t>
            </w:r>
          </w:p>
        </w:tc>
        <w:tc>
          <w:tcPr>
            <w:tcW w:w="1134" w:type="dxa"/>
          </w:tcPr>
          <w:p w14:paraId="58971D7E" w14:textId="77777777" w:rsidR="00E83B26" w:rsidRPr="00BA4F0F" w:rsidRDefault="00E83B26" w:rsidP="002D3EBF">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38534776" w14:textId="77777777" w:rsidR="00E83B26" w:rsidRPr="00BA4F0F" w:rsidRDefault="00E83B26" w:rsidP="002D3EBF">
            <w:pPr>
              <w:pStyle w:val="afe"/>
              <w:ind w:left="0" w:firstLine="0"/>
              <w:jc w:val="center"/>
              <w:rPr>
                <w:rFonts w:cs="Times New Roman"/>
                <w:szCs w:val="24"/>
              </w:rPr>
            </w:pPr>
            <w:r w:rsidRPr="00BA4F0F">
              <w:rPr>
                <w:rFonts w:cs="Times New Roman"/>
                <w:szCs w:val="24"/>
              </w:rPr>
              <w:t>400 мг/ м</w:t>
            </w:r>
            <w:r w:rsidRPr="00BA4F0F">
              <w:rPr>
                <w:rFonts w:cs="Times New Roman"/>
                <w:szCs w:val="24"/>
                <w:vertAlign w:val="superscript"/>
              </w:rPr>
              <w:t>2</w:t>
            </w:r>
          </w:p>
        </w:tc>
        <w:tc>
          <w:tcPr>
            <w:tcW w:w="1275" w:type="dxa"/>
          </w:tcPr>
          <w:p w14:paraId="6DE947CA" w14:textId="77777777" w:rsidR="00E83B26" w:rsidRPr="00BA4F0F" w:rsidRDefault="00E83B26" w:rsidP="002D3EBF">
            <w:pPr>
              <w:pStyle w:val="afe"/>
              <w:ind w:left="0" w:firstLine="0"/>
              <w:jc w:val="center"/>
              <w:rPr>
                <w:rFonts w:cs="Times New Roman"/>
                <w:szCs w:val="24"/>
              </w:rPr>
            </w:pPr>
            <w:r w:rsidRPr="00BA4F0F">
              <w:rPr>
                <w:rFonts w:cs="Times New Roman"/>
                <w:szCs w:val="24"/>
              </w:rPr>
              <w:t>1600 мг/м</w:t>
            </w:r>
            <w:r w:rsidRPr="00BA4F0F">
              <w:rPr>
                <w:rFonts w:cs="Times New Roman"/>
                <w:szCs w:val="24"/>
                <w:vertAlign w:val="superscript"/>
              </w:rPr>
              <w:t>2</w:t>
            </w:r>
          </w:p>
        </w:tc>
        <w:tc>
          <w:tcPr>
            <w:tcW w:w="2659" w:type="dxa"/>
          </w:tcPr>
          <w:p w14:paraId="29740CFE" w14:textId="77777777" w:rsidR="00E83B26" w:rsidRPr="00BA4F0F" w:rsidRDefault="00E83B26" w:rsidP="002D3EBF">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E83B26" w:rsidRPr="00BA4F0F" w14:paraId="15D25964" w14:textId="77777777" w:rsidTr="002D3EBF">
        <w:tc>
          <w:tcPr>
            <w:tcW w:w="1418" w:type="dxa"/>
          </w:tcPr>
          <w:p w14:paraId="32ED55C4" w14:textId="77777777" w:rsidR="00E83B26" w:rsidRPr="00BA4F0F" w:rsidRDefault="00E83B26" w:rsidP="002D3EBF">
            <w:pPr>
              <w:pStyle w:val="afe"/>
              <w:ind w:left="0" w:firstLine="0"/>
              <w:jc w:val="center"/>
              <w:rPr>
                <w:rFonts w:cs="Times New Roman"/>
                <w:szCs w:val="24"/>
              </w:rPr>
            </w:pPr>
            <w:r w:rsidRPr="00BA4F0F">
              <w:rPr>
                <w:rFonts w:cs="Times New Roman"/>
                <w:szCs w:val="24"/>
              </w:rPr>
              <w:t>Мелфалан</w:t>
            </w:r>
          </w:p>
        </w:tc>
        <w:tc>
          <w:tcPr>
            <w:tcW w:w="1701" w:type="dxa"/>
          </w:tcPr>
          <w:p w14:paraId="56001EB0" w14:textId="77777777" w:rsidR="00E83B26" w:rsidRPr="00BA4F0F" w:rsidRDefault="00E83B26" w:rsidP="002D3EBF">
            <w:pPr>
              <w:pStyle w:val="afe"/>
              <w:ind w:left="0" w:firstLine="0"/>
              <w:jc w:val="center"/>
              <w:rPr>
                <w:rFonts w:cs="Times New Roman"/>
                <w:szCs w:val="24"/>
              </w:rPr>
            </w:pPr>
            <w:r w:rsidRPr="00BA4F0F">
              <w:rPr>
                <w:rFonts w:cs="Times New Roman"/>
                <w:szCs w:val="24"/>
              </w:rPr>
              <w:t>- 1 день</w:t>
            </w:r>
          </w:p>
        </w:tc>
        <w:tc>
          <w:tcPr>
            <w:tcW w:w="1134" w:type="dxa"/>
          </w:tcPr>
          <w:p w14:paraId="5DA621A6" w14:textId="77777777" w:rsidR="00E83B26" w:rsidRPr="00BA4F0F" w:rsidRDefault="00E83B26" w:rsidP="002D3EBF">
            <w:pPr>
              <w:pStyle w:val="afe"/>
              <w:ind w:left="0" w:firstLine="0"/>
              <w:jc w:val="center"/>
              <w:rPr>
                <w:rFonts w:cs="Times New Roman"/>
                <w:szCs w:val="24"/>
              </w:rPr>
            </w:pPr>
            <w:r w:rsidRPr="00BA4F0F">
              <w:rPr>
                <w:rFonts w:cs="Times New Roman"/>
                <w:szCs w:val="24"/>
              </w:rPr>
              <w:t>140мг/м</w:t>
            </w:r>
            <w:r w:rsidRPr="00BA4F0F">
              <w:rPr>
                <w:rFonts w:cs="Times New Roman"/>
                <w:szCs w:val="24"/>
                <w:vertAlign w:val="superscript"/>
              </w:rPr>
              <w:t>2</w:t>
            </w:r>
          </w:p>
        </w:tc>
        <w:tc>
          <w:tcPr>
            <w:tcW w:w="1276" w:type="dxa"/>
          </w:tcPr>
          <w:p w14:paraId="4965C3BB" w14:textId="77777777" w:rsidR="00E83B26" w:rsidRPr="00BA4F0F" w:rsidRDefault="00E83B26" w:rsidP="002D3EBF">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1275" w:type="dxa"/>
          </w:tcPr>
          <w:p w14:paraId="6012C263" w14:textId="77777777" w:rsidR="00E83B26" w:rsidRPr="00BA4F0F" w:rsidRDefault="00E83B26" w:rsidP="002D3EBF">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2659" w:type="dxa"/>
          </w:tcPr>
          <w:p w14:paraId="4AB8278E" w14:textId="77777777" w:rsidR="00E83B26" w:rsidRPr="00BA4F0F" w:rsidRDefault="00E83B26" w:rsidP="002D3EBF">
            <w:pPr>
              <w:pStyle w:val="afe"/>
              <w:ind w:left="0" w:firstLine="0"/>
              <w:rPr>
                <w:rFonts w:cs="Times New Roman"/>
                <w:szCs w:val="24"/>
              </w:rPr>
            </w:pPr>
            <w:r w:rsidRPr="00BA4F0F">
              <w:rPr>
                <w:rFonts w:cs="Times New Roman"/>
                <w:szCs w:val="24"/>
              </w:rPr>
              <w:t xml:space="preserve">Вводится в/в в виде инфузии в течение 1ч в 500 мл 0,9% </w:t>
            </w:r>
            <w:r w:rsidRPr="00BA4F0F">
              <w:rPr>
                <w:rFonts w:cs="Times New Roman"/>
                <w:szCs w:val="24"/>
                <w:lang w:val="en-US"/>
              </w:rPr>
              <w:t>NaCl</w:t>
            </w:r>
          </w:p>
        </w:tc>
      </w:tr>
    </w:tbl>
    <w:p w14:paraId="41BC0CE5" w14:textId="77777777" w:rsidR="00E83B26" w:rsidRPr="00BA4F0F" w:rsidRDefault="00E83B26" w:rsidP="00E83B26">
      <w:pPr>
        <w:ind w:firstLine="426"/>
      </w:pPr>
    </w:p>
    <w:p w14:paraId="6647968A" w14:textId="77777777" w:rsidR="00E83B26" w:rsidRPr="006E60A8" w:rsidRDefault="00E83B26" w:rsidP="00E83B26">
      <w:pPr>
        <w:ind w:firstLine="426"/>
      </w:pPr>
      <w:r w:rsidRPr="00BA4F0F">
        <w:t xml:space="preserve">В ряде клинических исследований была подтверждена эффективность режима предтрансплантационного кондиционирования </w:t>
      </w:r>
      <w:r w:rsidRPr="00BA4F0F">
        <w:rPr>
          <w:lang w:val="en-US"/>
        </w:rPr>
        <w:t>Benda</w:t>
      </w:r>
      <w:r w:rsidRPr="00BA4F0F">
        <w:t>-</w:t>
      </w:r>
      <w:r w:rsidRPr="00BA4F0F">
        <w:rPr>
          <w:lang w:val="en-US"/>
        </w:rPr>
        <w:t>EAM</w:t>
      </w:r>
      <w:r w:rsidRPr="00BA4F0F">
        <w:t xml:space="preserve"> при </w:t>
      </w:r>
      <w:r w:rsidRPr="006E60A8">
        <w:t>лимфопролиферативных заболеваниях. Схема введения препаратов и дозы представлены в таблице 7.</w:t>
      </w:r>
    </w:p>
    <w:p w14:paraId="636714CE" w14:textId="77777777" w:rsidR="00E83B26" w:rsidRPr="006E60A8" w:rsidRDefault="00E83B26" w:rsidP="00E83B26">
      <w:pPr>
        <w:ind w:firstLine="426"/>
        <w:rPr>
          <w:b/>
        </w:rPr>
      </w:pPr>
    </w:p>
    <w:p w14:paraId="04961987" w14:textId="7AFDB311" w:rsidR="00E83B26" w:rsidRPr="00BA4F0F" w:rsidRDefault="00E83B26" w:rsidP="00E83B26">
      <w:pPr>
        <w:ind w:firstLine="426"/>
      </w:pPr>
      <w:r w:rsidRPr="006E60A8">
        <w:t>Таблица 7. Схема предтрансплантационного кондиционирования Benda-EAM</w:t>
      </w:r>
      <w:r w:rsidRPr="00BA4F0F">
        <w:t xml:space="preserve"> </w:t>
      </w:r>
      <w:r w:rsidRPr="00BA4F0F">
        <w:fldChar w:fldCharType="begin" w:fldLock="1"/>
      </w:r>
      <w:r w:rsidR="003B39A6">
        <w:instrText>ADDIN CSL_CITATION {"citationItems":[{"id":"ITEM-1","itemData":{"DOI":"10.1038/s41409-019-0572-7","ISSN":"0268-3369","author":[{"dropping-particle":"","family":"Visani","given":"Giuseppe","non-dropping-particle":"","parse-names":false,"suffix":""},{"dropping-particle":"","family":"Loscocco","given":"Federica","non-dropping-particle":"","parse-names":false,"suffix":""},{"dropping-particle":"","family":"Bagaloni","given":"Irene","non-dropping-particle":"","parse-names":false,"suffix":""},{"dropping-particle":"","family":"Ruzzo","given":"Annamaria","non-dropping-particle":"","parse-names":false,"suffix":""},{"dropping-particle":"","family":"Fuligni","given":"Fabio","non-dropping-particle":"","parse-names":false,"suffix":""},{"dropping-particle":"","family":"Graziano","given":"Francesco","non-dropping-particle":"","parse-names":false,"suffix":""},{"dropping-particle":"","family":"Magnani","given":"Mauro","non-dropping-particle":"","parse-names":false,"suffix":""},{"dropping-particle":"","family":"Isidori","given":"Alessandro","non-dropping-particle":"","parse-names":false,"suffix":""}],"container-title":"Bone Marrow Transplantation","id":"ITEM-1","issue":"4","issued":{"date-parts":[["2020","4"]]},"page":"818-820","publisher":"Nature Publishing Group","title":"XRCC1 399GG genotype predicts significantly longer overall survival in resistant lymphoma patients treated with Benda-EAM and ASCT","type":"article-journal","volume":"55"},"uris":["http://www.mendeley.com/documents/?uuid=91fbd7c4-108e-3fa6-a12d-7807a539235e","http://www.mendeley.com/documents/?uuid=e90b652d-5001-4921-8b90-45d74510ea4a"]},{"id":"ITEM-2","itemData":{"DOI":"10.1182/blood-2011-04-351924","ISSN":"1528-0020","PMID":"21816830","abstract":"We designed a phase 1-2 study to evaluate the safety and the efficacy of increasing doses of bendamustine (160 mg/m², 180 mg/m², and 200 mg/m² given on days -7 and -6) coupled with fixed doses of etoposide, cytarabine, and melphalan (BeEAM regimen) as the conditioning regimen to autologous stem cell transplantation for resistant/relapsed lymphoma patients. Forty-three patients (median age, 47 years) with non-Hodgkin (n = 28) or Hodgkin (n = 15) lymphoma were consecutively treated. Nine patients entered the phase 1 study; no patients experienced a dose-limiting toxicity. Thirty-four additional patients were then treated in the phase 2. A median number of 6 × 10⁶ CD34(+) cells/kg (range, 2.4-15.5) were reinfused. All patients engrafted, with a median time to absolute neutrophil count &gt; 0.5 × 10⁹/L of 10 days. The 100-day transplantation-related mortality was 0%. After a median follow-up of 18 months, 35 of 43 patients (81%) are in complete remission, whereas 6 of 43 relapsed and 2 of 43 did not respond. Disease type (non-Hodgkin lymphomas vs Hodgkin disease) and disease status at transplantation (chemosensitive vs chemoresistant) significantly influenced DFS (P = .01; P = .007). Remarkably, 4 of 43 (9%) patients achieved the first complete remission after receiving the high-dose therapy with autologous stem cell transplantation. In conclusion, the new BeEAM regimen is safe and effective for heavily pretreated lymphoma patients. The study was registered at European Medicines Agency (EudraCT number 2008-002736-15).","author":[{"dropping-particle":"","family":"Visani","given":"Giuseppe","non-dropping-particle":"","parse-names":false,"suffix":""},{"dropping-particle":"","family":"Malerba","given":"Lara","non-dropping-particle":"","parse-names":false,"suffix":""},{"dropping-particle":"","family":"Stefani","given":"Pietro Maria","non-dropping-particle":"","parse-names":false,"suffix":""},{"dropping-particle":"","family":"Capria","given":"Saveria","non-dropping-particle":"","parse-names":false,"suffix":""},{"dropping-particle":"","family":"Galieni","given":"Piero","non-dropping-particle":"","parse-names":false,"suffix":""},{"dropping-particle":"","family":"Gaudio","given":"Francesco","non-dropping-particle":"","parse-names":false,"suffix":""},{"dropping-particle":"","family":"Specchia","given":"Giorgina","non-dropping-particle":"","parse-names":false,"suffix":""},{"dropping-particle":"","family":"Meloni","given":"Giovanna","non-dropping-particle":"","parse-names":false,"suffix":""},{"dropping-particle":"","family":"Gherlinzoni","given":"Filippo","non-dropping-particle":"","parse-names":false,"suffix":""},{"dropping-particle":"","family":"Giardini","given":"Claudio","non-dropping-particle":"","parse-names":false,"suffix":""},{"dropping-particle":"","family":"Falcioni","given":"Sadia","non-dropping-particle":"","parse-names":false,"suffix":""},{"dropping-particle":"","family":"Cuberli","given":"Francesca","non-dropping-particle":"","parse-names":false,"suffix":""},{"dropping-particle":"","family":"Gobbi","given":"Marco","non-dropping-particle":"","parse-names":false,"suffix":""},{"dropping-particle":"","family":"Sarina","given":"Barbara","non-dropping-particle":"","parse-names":false,"suffix":""},{"dropping-particle":"","family":"Santoro","given":"Armando","non-dropping-particle":"","parse-names":false,"suffix":""},{"dropping-particle":"","family":"Ferrara","given":"Felicetto","non-dropping-particle":"","parse-names":false,"suffix":""},{"dropping-particle":"","family":"Rocchi","given":"Marco","non-dropping-particle":"","parse-names":false,"suffix":""},{"dropping-particle":"","family":"Ocio","given":"Enrique M","non-dropping-particle":"","parse-names":false,"suffix":""},{"dropping-particle":"","family":"Caballero","given":"Maria Dolores","non-dropping-particle":"","parse-names":false,"suffix":""},{"dropping-particle":"","family":"Isidori","given":"Alessandro","non-dropping-particle":"","parse-names":false,"suffix":""}],"container-title":"Blood","id":"ITEM-2","issue":"12","issued":{"date-parts":[["2011","9","22"]]},"page":"3419-25","title":"BeEAM (bendamustine, etoposide, cytarabine, melphalan) before autologous stem cell transplantation is safe and effective for resistant/relapsed lymphoma patients.","type":"article-journal","volume":"118"},"uris":["http://www.mendeley.com/documents/?uuid=ab79b1d2-22d1-3d69-b3cc-3774a11bbd10"]}],"mendeley":{"formattedCitation":"[136,137]","plainTextFormattedCitation":"[136,137]","previouslyFormattedCitation":"[136,137]"},"properties":{"noteIndex":0},"schema":"https://github.com/citation-style-language/schema/raw/master/csl-citation.json"}</w:instrText>
      </w:r>
      <w:r w:rsidRPr="00BA4F0F">
        <w:fldChar w:fldCharType="separate"/>
      </w:r>
      <w:r w:rsidRPr="00E83B26">
        <w:rPr>
          <w:noProof/>
        </w:rPr>
        <w:t>[136,137]</w:t>
      </w:r>
      <w:r w:rsidRPr="00BA4F0F">
        <w:fldChar w:fldCharType="end"/>
      </w:r>
    </w:p>
    <w:tbl>
      <w:tblPr>
        <w:tblStyle w:val="aff9"/>
        <w:tblW w:w="0" w:type="auto"/>
        <w:tblInd w:w="108" w:type="dxa"/>
        <w:tblLayout w:type="fixed"/>
        <w:tblLook w:val="04A0" w:firstRow="1" w:lastRow="0" w:firstColumn="1" w:lastColumn="0" w:noHBand="0" w:noVBand="1"/>
      </w:tblPr>
      <w:tblGrid>
        <w:gridCol w:w="1418"/>
        <w:gridCol w:w="1701"/>
        <w:gridCol w:w="1134"/>
        <w:gridCol w:w="1276"/>
        <w:gridCol w:w="1275"/>
        <w:gridCol w:w="2659"/>
      </w:tblGrid>
      <w:tr w:rsidR="00E83B26" w:rsidRPr="00BA4F0F" w14:paraId="714A59FD" w14:textId="77777777" w:rsidTr="002D3EBF">
        <w:tc>
          <w:tcPr>
            <w:tcW w:w="1418" w:type="dxa"/>
          </w:tcPr>
          <w:p w14:paraId="0D5DF8BC" w14:textId="77777777" w:rsidR="00E83B26" w:rsidRPr="00BA4F0F" w:rsidRDefault="00E83B26" w:rsidP="002D3EBF">
            <w:pPr>
              <w:pStyle w:val="afe"/>
              <w:ind w:left="0" w:firstLine="0"/>
              <w:rPr>
                <w:rFonts w:cs="Times New Roman"/>
                <w:szCs w:val="24"/>
              </w:rPr>
            </w:pPr>
            <w:r w:rsidRPr="00BA4F0F">
              <w:rPr>
                <w:rFonts w:cs="Times New Roman"/>
                <w:szCs w:val="24"/>
              </w:rPr>
              <w:t>Препарат</w:t>
            </w:r>
          </w:p>
        </w:tc>
        <w:tc>
          <w:tcPr>
            <w:tcW w:w="1701" w:type="dxa"/>
          </w:tcPr>
          <w:p w14:paraId="691BE99C" w14:textId="77777777" w:rsidR="00E83B26" w:rsidRPr="00BA4F0F" w:rsidRDefault="00E83B26" w:rsidP="002D3EBF">
            <w:pPr>
              <w:pStyle w:val="afe"/>
              <w:ind w:left="0" w:firstLine="0"/>
              <w:rPr>
                <w:rFonts w:cs="Times New Roman"/>
                <w:szCs w:val="24"/>
              </w:rPr>
            </w:pPr>
            <w:r w:rsidRPr="00BA4F0F">
              <w:rPr>
                <w:rFonts w:cs="Times New Roman"/>
                <w:szCs w:val="24"/>
              </w:rPr>
              <w:t>Дни введения перед ауто-ТГСК</w:t>
            </w:r>
          </w:p>
        </w:tc>
        <w:tc>
          <w:tcPr>
            <w:tcW w:w="1134" w:type="dxa"/>
          </w:tcPr>
          <w:p w14:paraId="6EDDF10B" w14:textId="77777777" w:rsidR="00E83B26" w:rsidRPr="00BA4F0F" w:rsidRDefault="00E83B26" w:rsidP="002D3EBF">
            <w:pPr>
              <w:pStyle w:val="afe"/>
              <w:ind w:left="0" w:firstLine="0"/>
              <w:rPr>
                <w:rFonts w:cs="Times New Roman"/>
                <w:szCs w:val="24"/>
              </w:rPr>
            </w:pPr>
            <w:r w:rsidRPr="00BA4F0F">
              <w:rPr>
                <w:rFonts w:cs="Times New Roman"/>
                <w:szCs w:val="24"/>
              </w:rPr>
              <w:t>Разовая доза</w:t>
            </w:r>
          </w:p>
        </w:tc>
        <w:tc>
          <w:tcPr>
            <w:tcW w:w="1276" w:type="dxa"/>
          </w:tcPr>
          <w:p w14:paraId="53751800" w14:textId="77777777" w:rsidR="00E83B26" w:rsidRPr="00BA4F0F" w:rsidRDefault="00E83B26" w:rsidP="002D3EBF">
            <w:pPr>
              <w:pStyle w:val="afe"/>
              <w:ind w:left="0" w:firstLine="0"/>
              <w:rPr>
                <w:rFonts w:cs="Times New Roman"/>
                <w:szCs w:val="24"/>
              </w:rPr>
            </w:pPr>
            <w:r w:rsidRPr="00BA4F0F">
              <w:rPr>
                <w:rFonts w:cs="Times New Roman"/>
                <w:szCs w:val="24"/>
              </w:rPr>
              <w:t>Суточная доза</w:t>
            </w:r>
          </w:p>
        </w:tc>
        <w:tc>
          <w:tcPr>
            <w:tcW w:w="1275" w:type="dxa"/>
          </w:tcPr>
          <w:p w14:paraId="4E268C25" w14:textId="77777777" w:rsidR="00E83B26" w:rsidRPr="00BA4F0F" w:rsidRDefault="00E83B26" w:rsidP="002D3EBF">
            <w:pPr>
              <w:pStyle w:val="afe"/>
              <w:ind w:left="0" w:firstLine="0"/>
              <w:rPr>
                <w:rFonts w:cs="Times New Roman"/>
                <w:szCs w:val="24"/>
              </w:rPr>
            </w:pPr>
            <w:r w:rsidRPr="00BA4F0F">
              <w:rPr>
                <w:rFonts w:cs="Times New Roman"/>
                <w:szCs w:val="24"/>
              </w:rPr>
              <w:t>Курсовая доза</w:t>
            </w:r>
          </w:p>
        </w:tc>
        <w:tc>
          <w:tcPr>
            <w:tcW w:w="2659" w:type="dxa"/>
          </w:tcPr>
          <w:p w14:paraId="37DB409B" w14:textId="77777777" w:rsidR="00E83B26" w:rsidRPr="00BA4F0F" w:rsidRDefault="00E83B26" w:rsidP="002D3EBF">
            <w:pPr>
              <w:pStyle w:val="afe"/>
              <w:ind w:left="0" w:firstLine="0"/>
              <w:rPr>
                <w:rFonts w:cs="Times New Roman"/>
                <w:szCs w:val="24"/>
              </w:rPr>
            </w:pPr>
            <w:r w:rsidRPr="00BA4F0F">
              <w:rPr>
                <w:rFonts w:cs="Times New Roman"/>
                <w:szCs w:val="24"/>
              </w:rPr>
              <w:t>Особенности введения</w:t>
            </w:r>
          </w:p>
        </w:tc>
      </w:tr>
      <w:tr w:rsidR="00E83B26" w:rsidRPr="00BA4F0F" w14:paraId="1CC77E87" w14:textId="77777777" w:rsidTr="002D3EBF">
        <w:tc>
          <w:tcPr>
            <w:tcW w:w="1418" w:type="dxa"/>
          </w:tcPr>
          <w:p w14:paraId="4C6B3D64" w14:textId="77777777" w:rsidR="00E83B26" w:rsidRPr="00BA4F0F" w:rsidRDefault="00E83B26" w:rsidP="002D3EBF">
            <w:pPr>
              <w:pStyle w:val="afe"/>
              <w:ind w:left="0" w:firstLine="0"/>
              <w:jc w:val="center"/>
              <w:rPr>
                <w:rFonts w:cs="Times New Roman"/>
                <w:szCs w:val="24"/>
              </w:rPr>
            </w:pPr>
            <w:r w:rsidRPr="00BA4F0F">
              <w:rPr>
                <w:rFonts w:cs="Times New Roman"/>
                <w:szCs w:val="24"/>
              </w:rPr>
              <w:t>Бендамустин</w:t>
            </w:r>
          </w:p>
        </w:tc>
        <w:tc>
          <w:tcPr>
            <w:tcW w:w="1701" w:type="dxa"/>
          </w:tcPr>
          <w:p w14:paraId="491EF02E" w14:textId="77777777" w:rsidR="00E83B26" w:rsidRPr="00BA4F0F" w:rsidRDefault="00E83B26" w:rsidP="002D3EBF">
            <w:pPr>
              <w:pStyle w:val="afe"/>
              <w:ind w:left="0" w:firstLine="0"/>
              <w:jc w:val="center"/>
              <w:rPr>
                <w:rFonts w:cs="Times New Roman"/>
                <w:szCs w:val="24"/>
              </w:rPr>
            </w:pPr>
            <w:r w:rsidRPr="00BA4F0F">
              <w:rPr>
                <w:rFonts w:cs="Times New Roman"/>
                <w:szCs w:val="24"/>
              </w:rPr>
              <w:t>-7, -6 день</w:t>
            </w:r>
          </w:p>
        </w:tc>
        <w:tc>
          <w:tcPr>
            <w:tcW w:w="1134" w:type="dxa"/>
          </w:tcPr>
          <w:p w14:paraId="42F10029" w14:textId="77777777" w:rsidR="00E83B26" w:rsidRPr="00BA4F0F" w:rsidRDefault="00E83B26" w:rsidP="002D3EBF">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329FEA81" w14:textId="77777777" w:rsidR="00E83B26" w:rsidRPr="00BA4F0F" w:rsidRDefault="00E83B26" w:rsidP="002D3EBF">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3BF426E3" w14:textId="77777777" w:rsidR="00E83B26" w:rsidRPr="00BA4F0F" w:rsidRDefault="00E83B26" w:rsidP="002D3EBF">
            <w:pPr>
              <w:pStyle w:val="afe"/>
              <w:ind w:left="0" w:firstLine="0"/>
              <w:jc w:val="center"/>
              <w:rPr>
                <w:rFonts w:cs="Times New Roman"/>
                <w:szCs w:val="24"/>
              </w:rPr>
            </w:pPr>
            <w:r w:rsidRPr="00BA4F0F">
              <w:rPr>
                <w:rFonts w:cs="Times New Roman"/>
                <w:szCs w:val="24"/>
              </w:rPr>
              <w:t>400 мг/м</w:t>
            </w:r>
            <w:r w:rsidRPr="00BA4F0F">
              <w:rPr>
                <w:rFonts w:cs="Times New Roman"/>
                <w:szCs w:val="24"/>
                <w:vertAlign w:val="superscript"/>
              </w:rPr>
              <w:t>2</w:t>
            </w:r>
          </w:p>
        </w:tc>
        <w:tc>
          <w:tcPr>
            <w:tcW w:w="2659" w:type="dxa"/>
          </w:tcPr>
          <w:p w14:paraId="2084AC02" w14:textId="77777777" w:rsidR="00E83B26" w:rsidRPr="00BA4F0F" w:rsidRDefault="00E83B26" w:rsidP="002D3EBF">
            <w:pPr>
              <w:pStyle w:val="afe"/>
              <w:ind w:left="0" w:firstLine="0"/>
              <w:rPr>
                <w:rFonts w:cs="Times New Roman"/>
                <w:szCs w:val="24"/>
              </w:rPr>
            </w:pPr>
            <w:r w:rsidRPr="00BA4F0F">
              <w:rPr>
                <w:rFonts w:cs="Times New Roman"/>
                <w:szCs w:val="24"/>
              </w:rPr>
              <w:t xml:space="preserve">Вводится в/в в виде инфузии в течение 30-60 минут в 500 мл 0,9% </w:t>
            </w:r>
            <w:r w:rsidRPr="00BA4F0F">
              <w:rPr>
                <w:rFonts w:cs="Times New Roman"/>
                <w:szCs w:val="24"/>
                <w:lang w:val="en-US"/>
              </w:rPr>
              <w:t>NaCl</w:t>
            </w:r>
          </w:p>
        </w:tc>
      </w:tr>
      <w:tr w:rsidR="00E83B26" w:rsidRPr="00BA4F0F" w14:paraId="27142E12" w14:textId="77777777" w:rsidTr="002D3EBF">
        <w:tc>
          <w:tcPr>
            <w:tcW w:w="1418" w:type="dxa"/>
          </w:tcPr>
          <w:p w14:paraId="2C4DC48E" w14:textId="77777777" w:rsidR="00E83B26" w:rsidRPr="00BA4F0F" w:rsidRDefault="00E83B26" w:rsidP="002D3EBF">
            <w:pPr>
              <w:pStyle w:val="afe"/>
              <w:ind w:left="0" w:firstLine="0"/>
              <w:jc w:val="center"/>
              <w:rPr>
                <w:rFonts w:cs="Times New Roman"/>
                <w:szCs w:val="24"/>
              </w:rPr>
            </w:pPr>
            <w:r w:rsidRPr="00BA4F0F">
              <w:rPr>
                <w:rFonts w:cs="Times New Roman"/>
                <w:szCs w:val="24"/>
              </w:rPr>
              <w:t>Этопозид</w:t>
            </w:r>
          </w:p>
        </w:tc>
        <w:tc>
          <w:tcPr>
            <w:tcW w:w="1701" w:type="dxa"/>
          </w:tcPr>
          <w:p w14:paraId="3E7A4850" w14:textId="77777777" w:rsidR="00E83B26" w:rsidRPr="00BA4F0F" w:rsidRDefault="00E83B26" w:rsidP="002D3EBF">
            <w:pPr>
              <w:pStyle w:val="afe"/>
              <w:ind w:left="0" w:firstLine="0"/>
              <w:jc w:val="center"/>
              <w:rPr>
                <w:rFonts w:cs="Times New Roman"/>
                <w:szCs w:val="24"/>
              </w:rPr>
            </w:pPr>
            <w:r w:rsidRPr="00BA4F0F">
              <w:rPr>
                <w:rFonts w:cs="Times New Roman"/>
                <w:szCs w:val="24"/>
              </w:rPr>
              <w:t>-5, -4, -3, -2 дни</w:t>
            </w:r>
          </w:p>
        </w:tc>
        <w:tc>
          <w:tcPr>
            <w:tcW w:w="1134" w:type="dxa"/>
          </w:tcPr>
          <w:p w14:paraId="7434FEE6" w14:textId="77777777" w:rsidR="00E83B26" w:rsidRPr="00BA4F0F" w:rsidRDefault="00E83B26" w:rsidP="002D3EBF">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3023B597" w14:textId="77777777" w:rsidR="00E83B26" w:rsidRPr="00BA4F0F" w:rsidRDefault="00E83B26" w:rsidP="002D3EBF">
            <w:pPr>
              <w:pStyle w:val="afe"/>
              <w:ind w:left="0" w:firstLine="0"/>
              <w:jc w:val="center"/>
              <w:rPr>
                <w:rFonts w:cs="Times New Roman"/>
                <w:szCs w:val="24"/>
              </w:rPr>
            </w:pPr>
            <w:r w:rsidRPr="00BA4F0F">
              <w:rPr>
                <w:rFonts w:cs="Times New Roman"/>
                <w:szCs w:val="24"/>
              </w:rPr>
              <w:t>200 мг/м</w:t>
            </w:r>
            <w:r w:rsidRPr="00BA4F0F">
              <w:rPr>
                <w:rFonts w:cs="Times New Roman"/>
                <w:szCs w:val="24"/>
                <w:vertAlign w:val="superscript"/>
              </w:rPr>
              <w:t>2</w:t>
            </w:r>
          </w:p>
        </w:tc>
        <w:tc>
          <w:tcPr>
            <w:tcW w:w="1275" w:type="dxa"/>
          </w:tcPr>
          <w:p w14:paraId="64FA3B65" w14:textId="77777777" w:rsidR="00E83B26" w:rsidRPr="00BA4F0F" w:rsidRDefault="00E83B26" w:rsidP="002D3EBF">
            <w:pPr>
              <w:pStyle w:val="afe"/>
              <w:ind w:left="0" w:firstLine="0"/>
              <w:jc w:val="center"/>
              <w:rPr>
                <w:rFonts w:cs="Times New Roman"/>
                <w:szCs w:val="24"/>
              </w:rPr>
            </w:pPr>
            <w:r w:rsidRPr="00BA4F0F">
              <w:rPr>
                <w:rFonts w:cs="Times New Roman"/>
                <w:szCs w:val="24"/>
              </w:rPr>
              <w:t>800 мг/м</w:t>
            </w:r>
            <w:r w:rsidRPr="00BA4F0F">
              <w:rPr>
                <w:rFonts w:cs="Times New Roman"/>
                <w:szCs w:val="24"/>
                <w:vertAlign w:val="superscript"/>
              </w:rPr>
              <w:t>2</w:t>
            </w:r>
          </w:p>
        </w:tc>
        <w:tc>
          <w:tcPr>
            <w:tcW w:w="2659" w:type="dxa"/>
          </w:tcPr>
          <w:p w14:paraId="6EC56DDA" w14:textId="77777777" w:rsidR="00E83B26" w:rsidRPr="00BA4F0F" w:rsidRDefault="00E83B26" w:rsidP="002D3EBF">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E83B26" w:rsidRPr="00BA4F0F" w14:paraId="738AB8D7" w14:textId="77777777" w:rsidTr="002D3EBF">
        <w:tc>
          <w:tcPr>
            <w:tcW w:w="1418" w:type="dxa"/>
          </w:tcPr>
          <w:p w14:paraId="4C383557" w14:textId="77777777" w:rsidR="00E83B26" w:rsidRPr="00BA4F0F" w:rsidRDefault="00E83B26" w:rsidP="002D3EBF">
            <w:pPr>
              <w:pStyle w:val="afe"/>
              <w:ind w:left="0" w:firstLine="0"/>
              <w:jc w:val="center"/>
              <w:rPr>
                <w:rFonts w:cs="Times New Roman"/>
                <w:szCs w:val="24"/>
              </w:rPr>
            </w:pPr>
            <w:r w:rsidRPr="00BA4F0F">
              <w:rPr>
                <w:rFonts w:cs="Times New Roman"/>
                <w:szCs w:val="24"/>
              </w:rPr>
              <w:t>Цитарабин</w:t>
            </w:r>
          </w:p>
        </w:tc>
        <w:tc>
          <w:tcPr>
            <w:tcW w:w="1701" w:type="dxa"/>
          </w:tcPr>
          <w:p w14:paraId="23632B6A" w14:textId="77777777" w:rsidR="00E83B26" w:rsidRPr="00BA4F0F" w:rsidRDefault="00E83B26" w:rsidP="002D3EBF">
            <w:pPr>
              <w:pStyle w:val="afe"/>
              <w:ind w:left="0" w:firstLine="0"/>
              <w:jc w:val="center"/>
              <w:rPr>
                <w:rFonts w:cs="Times New Roman"/>
                <w:szCs w:val="24"/>
              </w:rPr>
            </w:pPr>
            <w:r w:rsidRPr="00BA4F0F">
              <w:rPr>
                <w:rFonts w:cs="Times New Roman"/>
                <w:szCs w:val="24"/>
              </w:rPr>
              <w:t>-5, -4, -3, -2 дни</w:t>
            </w:r>
          </w:p>
        </w:tc>
        <w:tc>
          <w:tcPr>
            <w:tcW w:w="1134" w:type="dxa"/>
          </w:tcPr>
          <w:p w14:paraId="2E854F0F" w14:textId="77777777" w:rsidR="00E83B26" w:rsidRPr="00BA4F0F" w:rsidRDefault="00E83B26" w:rsidP="002D3EBF">
            <w:pPr>
              <w:pStyle w:val="afe"/>
              <w:ind w:left="0" w:firstLine="0"/>
              <w:jc w:val="center"/>
              <w:rPr>
                <w:rFonts w:cs="Times New Roman"/>
                <w:szCs w:val="24"/>
              </w:rPr>
            </w:pPr>
            <w:r w:rsidRPr="00BA4F0F">
              <w:rPr>
                <w:rFonts w:cs="Times New Roman"/>
                <w:szCs w:val="24"/>
              </w:rPr>
              <w:t>200мг/м</w:t>
            </w:r>
            <w:r w:rsidRPr="00BA4F0F">
              <w:rPr>
                <w:rFonts w:cs="Times New Roman"/>
                <w:szCs w:val="24"/>
                <w:vertAlign w:val="superscript"/>
              </w:rPr>
              <w:t>2</w:t>
            </w:r>
          </w:p>
        </w:tc>
        <w:tc>
          <w:tcPr>
            <w:tcW w:w="1276" w:type="dxa"/>
          </w:tcPr>
          <w:p w14:paraId="4B36CC37" w14:textId="77777777" w:rsidR="00E83B26" w:rsidRPr="00BA4F0F" w:rsidRDefault="00E83B26" w:rsidP="002D3EBF">
            <w:pPr>
              <w:pStyle w:val="afe"/>
              <w:ind w:left="0" w:firstLine="0"/>
              <w:jc w:val="center"/>
              <w:rPr>
                <w:rFonts w:cs="Times New Roman"/>
                <w:szCs w:val="24"/>
              </w:rPr>
            </w:pPr>
            <w:r w:rsidRPr="00BA4F0F">
              <w:rPr>
                <w:rFonts w:cs="Times New Roman"/>
                <w:szCs w:val="24"/>
              </w:rPr>
              <w:t>400 мг/ м</w:t>
            </w:r>
            <w:r w:rsidRPr="00BA4F0F">
              <w:rPr>
                <w:rFonts w:cs="Times New Roman"/>
                <w:szCs w:val="24"/>
                <w:vertAlign w:val="superscript"/>
              </w:rPr>
              <w:t>2</w:t>
            </w:r>
          </w:p>
        </w:tc>
        <w:tc>
          <w:tcPr>
            <w:tcW w:w="1275" w:type="dxa"/>
          </w:tcPr>
          <w:p w14:paraId="104524B0" w14:textId="77777777" w:rsidR="00E83B26" w:rsidRPr="00BA4F0F" w:rsidRDefault="00E83B26" w:rsidP="002D3EBF">
            <w:pPr>
              <w:pStyle w:val="afe"/>
              <w:ind w:left="0" w:firstLine="0"/>
              <w:jc w:val="center"/>
              <w:rPr>
                <w:rFonts w:cs="Times New Roman"/>
                <w:szCs w:val="24"/>
              </w:rPr>
            </w:pPr>
            <w:r w:rsidRPr="00BA4F0F">
              <w:rPr>
                <w:rFonts w:cs="Times New Roman"/>
                <w:szCs w:val="24"/>
              </w:rPr>
              <w:t>1600 мг/м</w:t>
            </w:r>
            <w:r w:rsidRPr="00BA4F0F">
              <w:rPr>
                <w:rFonts w:cs="Times New Roman"/>
                <w:szCs w:val="24"/>
                <w:vertAlign w:val="superscript"/>
              </w:rPr>
              <w:t>2</w:t>
            </w:r>
          </w:p>
        </w:tc>
        <w:tc>
          <w:tcPr>
            <w:tcW w:w="2659" w:type="dxa"/>
          </w:tcPr>
          <w:p w14:paraId="479D2B16" w14:textId="77777777" w:rsidR="00E83B26" w:rsidRPr="00BA4F0F" w:rsidRDefault="00E83B26" w:rsidP="002D3EBF">
            <w:pPr>
              <w:pStyle w:val="afe"/>
              <w:ind w:left="0" w:firstLine="0"/>
              <w:rPr>
                <w:rFonts w:cs="Times New Roman"/>
                <w:szCs w:val="24"/>
              </w:rPr>
            </w:pPr>
            <w:r w:rsidRPr="00BA4F0F">
              <w:rPr>
                <w:rFonts w:cs="Times New Roman"/>
                <w:szCs w:val="24"/>
              </w:rPr>
              <w:t xml:space="preserve">Вводится в/в в виде инфузии в течение 30 минут в 500 мл 0,9% </w:t>
            </w:r>
            <w:r w:rsidRPr="00BA4F0F">
              <w:rPr>
                <w:rFonts w:cs="Times New Roman"/>
                <w:szCs w:val="24"/>
                <w:lang w:val="en-US"/>
              </w:rPr>
              <w:t>NaCl</w:t>
            </w:r>
          </w:p>
        </w:tc>
      </w:tr>
      <w:tr w:rsidR="00E83B26" w:rsidRPr="00BA4F0F" w14:paraId="55907FFE" w14:textId="77777777" w:rsidTr="002D3EBF">
        <w:tc>
          <w:tcPr>
            <w:tcW w:w="1418" w:type="dxa"/>
          </w:tcPr>
          <w:p w14:paraId="2BE205BF" w14:textId="77777777" w:rsidR="00E83B26" w:rsidRPr="00BA4F0F" w:rsidRDefault="00E83B26" w:rsidP="002D3EBF">
            <w:pPr>
              <w:pStyle w:val="afe"/>
              <w:ind w:left="0" w:firstLine="0"/>
              <w:jc w:val="center"/>
              <w:rPr>
                <w:rFonts w:cs="Times New Roman"/>
                <w:szCs w:val="24"/>
              </w:rPr>
            </w:pPr>
            <w:r w:rsidRPr="00BA4F0F">
              <w:rPr>
                <w:rFonts w:cs="Times New Roman"/>
                <w:szCs w:val="24"/>
              </w:rPr>
              <w:t>Мелфалан</w:t>
            </w:r>
          </w:p>
        </w:tc>
        <w:tc>
          <w:tcPr>
            <w:tcW w:w="1701" w:type="dxa"/>
          </w:tcPr>
          <w:p w14:paraId="19032AC2" w14:textId="77777777" w:rsidR="00E83B26" w:rsidRPr="00BA4F0F" w:rsidRDefault="00E83B26" w:rsidP="002D3EBF">
            <w:pPr>
              <w:pStyle w:val="afe"/>
              <w:ind w:left="0" w:firstLine="0"/>
              <w:jc w:val="center"/>
              <w:rPr>
                <w:rFonts w:cs="Times New Roman"/>
                <w:szCs w:val="24"/>
              </w:rPr>
            </w:pPr>
            <w:r w:rsidRPr="00BA4F0F">
              <w:rPr>
                <w:rFonts w:cs="Times New Roman"/>
                <w:szCs w:val="24"/>
              </w:rPr>
              <w:t>- 1 день</w:t>
            </w:r>
          </w:p>
        </w:tc>
        <w:tc>
          <w:tcPr>
            <w:tcW w:w="1134" w:type="dxa"/>
          </w:tcPr>
          <w:p w14:paraId="298C1B10" w14:textId="77777777" w:rsidR="00E83B26" w:rsidRPr="00BA4F0F" w:rsidRDefault="00E83B26" w:rsidP="002D3EBF">
            <w:pPr>
              <w:pStyle w:val="afe"/>
              <w:ind w:left="0" w:firstLine="0"/>
              <w:jc w:val="center"/>
              <w:rPr>
                <w:rFonts w:cs="Times New Roman"/>
                <w:szCs w:val="24"/>
              </w:rPr>
            </w:pPr>
            <w:r w:rsidRPr="00BA4F0F">
              <w:rPr>
                <w:rFonts w:cs="Times New Roman"/>
                <w:szCs w:val="24"/>
              </w:rPr>
              <w:t>140мг/м</w:t>
            </w:r>
            <w:r w:rsidRPr="00BA4F0F">
              <w:rPr>
                <w:rFonts w:cs="Times New Roman"/>
                <w:szCs w:val="24"/>
                <w:vertAlign w:val="superscript"/>
              </w:rPr>
              <w:t>2</w:t>
            </w:r>
          </w:p>
        </w:tc>
        <w:tc>
          <w:tcPr>
            <w:tcW w:w="1276" w:type="dxa"/>
          </w:tcPr>
          <w:p w14:paraId="7EF6EC55" w14:textId="77777777" w:rsidR="00E83B26" w:rsidRPr="00BA4F0F" w:rsidRDefault="00E83B26" w:rsidP="002D3EBF">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1275" w:type="dxa"/>
          </w:tcPr>
          <w:p w14:paraId="61D56992" w14:textId="77777777" w:rsidR="00E83B26" w:rsidRPr="00BA4F0F" w:rsidRDefault="00E83B26" w:rsidP="002D3EBF">
            <w:pPr>
              <w:pStyle w:val="afe"/>
              <w:ind w:left="0" w:firstLine="0"/>
              <w:jc w:val="center"/>
              <w:rPr>
                <w:rFonts w:cs="Times New Roman"/>
                <w:szCs w:val="24"/>
              </w:rPr>
            </w:pPr>
            <w:r w:rsidRPr="00BA4F0F">
              <w:rPr>
                <w:rFonts w:cs="Times New Roman"/>
                <w:szCs w:val="24"/>
              </w:rPr>
              <w:t>140 мг/м</w:t>
            </w:r>
            <w:r w:rsidRPr="00BA4F0F">
              <w:rPr>
                <w:rFonts w:cs="Times New Roman"/>
                <w:szCs w:val="24"/>
                <w:vertAlign w:val="superscript"/>
              </w:rPr>
              <w:t>2</w:t>
            </w:r>
          </w:p>
        </w:tc>
        <w:tc>
          <w:tcPr>
            <w:tcW w:w="2659" w:type="dxa"/>
          </w:tcPr>
          <w:p w14:paraId="533FE712" w14:textId="77777777" w:rsidR="00E83B26" w:rsidRPr="00BA4F0F" w:rsidRDefault="00E83B26" w:rsidP="002D3EBF">
            <w:pPr>
              <w:pStyle w:val="afe"/>
              <w:ind w:left="0" w:firstLine="0"/>
              <w:rPr>
                <w:rFonts w:cs="Times New Roman"/>
                <w:szCs w:val="24"/>
              </w:rPr>
            </w:pPr>
            <w:r w:rsidRPr="00BA4F0F">
              <w:rPr>
                <w:rFonts w:cs="Times New Roman"/>
                <w:szCs w:val="24"/>
              </w:rPr>
              <w:t xml:space="preserve">Вводится в/в в виде инфузии в течение 1ч в 500 мл 0,9% </w:t>
            </w:r>
            <w:r w:rsidRPr="00BA4F0F">
              <w:rPr>
                <w:rFonts w:cs="Times New Roman"/>
                <w:szCs w:val="24"/>
                <w:lang w:val="en-US"/>
              </w:rPr>
              <w:t>NaCl</w:t>
            </w:r>
          </w:p>
        </w:tc>
      </w:tr>
    </w:tbl>
    <w:p w14:paraId="238B270A" w14:textId="77777777" w:rsidR="00E83B26" w:rsidRPr="00BA4F0F" w:rsidRDefault="00E83B26" w:rsidP="00E83B26">
      <w:pPr>
        <w:pStyle w:val="afe"/>
        <w:ind w:left="0"/>
        <w:rPr>
          <w:rFonts w:cs="Times New Roman"/>
          <w:szCs w:val="24"/>
          <w:u w:val="single"/>
        </w:rPr>
      </w:pPr>
      <w:bookmarkStart w:id="155" w:name="_Toc44926630"/>
    </w:p>
    <w:p w14:paraId="2C657676" w14:textId="77777777" w:rsidR="00E83B26" w:rsidRPr="00BA4F0F" w:rsidRDefault="00E83B26" w:rsidP="00E83B26">
      <w:pPr>
        <w:rPr>
          <w:b/>
        </w:rPr>
      </w:pPr>
      <w:bookmarkStart w:id="156" w:name="_Toc44926632"/>
      <w:bookmarkEnd w:id="155"/>
      <w:r w:rsidRPr="00BA4F0F">
        <w:rPr>
          <w:b/>
        </w:rPr>
        <w:t>Инфузия аутологичных гемопоэтических стволовых клеток.</w:t>
      </w:r>
      <w:bookmarkEnd w:id="156"/>
    </w:p>
    <w:p w14:paraId="4B7E5FD0" w14:textId="77777777" w:rsidR="00E83B26" w:rsidRPr="00BA4F0F" w:rsidRDefault="00E83B26" w:rsidP="00E83B26">
      <w:r w:rsidRPr="00BA4F0F">
        <w:t>Инфузия гемопоэтических стволовых клеток осуществляется в центральный венозный катетер с соблюдением принципов асептики и антисептики.</w:t>
      </w:r>
    </w:p>
    <w:p w14:paraId="4A2E8B53" w14:textId="77777777" w:rsidR="00E83B26" w:rsidRPr="00BA4F0F" w:rsidRDefault="00E83B26" w:rsidP="00E83B26">
      <w:r w:rsidRPr="00BA4F0F">
        <w:t>Временной интервал после оканчание химиотерапии до инфузии ГСК не менее 24ч.</w:t>
      </w:r>
    </w:p>
    <w:p w14:paraId="76A3C40B" w14:textId="77777777" w:rsidR="00E83B26" w:rsidRPr="00BA4F0F" w:rsidRDefault="00E83B26" w:rsidP="00E83B26">
      <w:r w:rsidRPr="00BA4F0F">
        <w:t>Перед началом процедуры трансплантации врач обязан осмотреть криоконсервированные мешки, содержащие ГСК, убедиться в целостности упаковки и отсутствии повреждений, сравнить идентификационные данные, указанные на упаковке с данными пациента.</w:t>
      </w:r>
    </w:p>
    <w:p w14:paraId="03A4D27C" w14:textId="77777777" w:rsidR="00E83B26" w:rsidRPr="00BA4F0F" w:rsidRDefault="00E83B26" w:rsidP="00E83B26">
      <w:r w:rsidRPr="00BA4F0F">
        <w:t>Для первого введения выбирают мешок с максимальной клеточностью. При манипуляциях с мешком запрещается использовать металлические предметы (зажимы, пинцеты и т.</w:t>
      </w:r>
      <w:r>
        <w:t> </w:t>
      </w:r>
      <w:r w:rsidRPr="00BA4F0F">
        <w:t>д.). При наличии нескольких пакетов криоконсервированных ГСК между инфузиями целесообразно делать перерывы. В ряде случаев допустимо введение ГСК в течение 2 дней (пожилые, ослабленные пациенты).</w:t>
      </w:r>
    </w:p>
    <w:p w14:paraId="652B9585" w14:textId="77777777" w:rsidR="00E83B26" w:rsidRPr="00BA4F0F" w:rsidRDefault="00E83B26" w:rsidP="00E83B26">
      <w:r w:rsidRPr="00BA4F0F">
        <w:t>Криоконсервированные ГСК размораживают на водяной бане или программном размораживателе при температуре 37</w:t>
      </w:r>
      <w:r w:rsidRPr="00BA4F0F">
        <w:rPr>
          <w:vertAlign w:val="superscript"/>
        </w:rPr>
        <w:t>о</w:t>
      </w:r>
      <w:r w:rsidRPr="00BA4F0F">
        <w:t>С. После разморозки врач должен убедиться в том, что в мешке отсутствуют фрагменты льда или сгустки. После этого врач присоединяет мешок к системе для инфузии.</w:t>
      </w:r>
    </w:p>
    <w:p w14:paraId="5413EB2D" w14:textId="77777777" w:rsidR="00E83B26" w:rsidRPr="00BA4F0F" w:rsidRDefault="00E83B26" w:rsidP="00E83B26">
      <w:r w:rsidRPr="00BA4F0F">
        <w:t>В ряде случаев перед введением лейкоконцентрата в центральный венозный катетер проводится премедикация, для которой используется промедол в стандартной дозировке.</w:t>
      </w:r>
    </w:p>
    <w:p w14:paraId="1B3211B7" w14:textId="77777777" w:rsidR="00E83B26" w:rsidRPr="00BA4F0F" w:rsidRDefault="00E83B26" w:rsidP="00E83B26">
      <w:r w:rsidRPr="00BA4F0F">
        <w:t xml:space="preserve">Начальная скорость введения ГСК составляет 3-5 мл/мин (4-5 минут), после чего скорость можно увеличить до максимально возможной. Во время и после инфузий ГСК осуществляется мониторинг жизненно-важных показателей: АД, ЧСС, ЧД. </w:t>
      </w:r>
    </w:p>
    <w:p w14:paraId="6ADE5053" w14:textId="77777777" w:rsidR="00E83B26" w:rsidRPr="00BA4F0F" w:rsidRDefault="00E83B26" w:rsidP="00E83B26">
      <w:r w:rsidRPr="00BA4F0F">
        <w:t xml:space="preserve">В случае развития гемолиза, инфузия следующего мешка приостанавливается до купирования осложнений. </w:t>
      </w:r>
    </w:p>
    <w:p w14:paraId="6DBC7EDB" w14:textId="77777777" w:rsidR="00E83B26" w:rsidRPr="00BA4F0F" w:rsidRDefault="00E83B26" w:rsidP="00E83B26">
      <w:r w:rsidRPr="00BA4F0F">
        <w:t xml:space="preserve">После завершения инфузии ход ЦВК промывают физиологическим раствором. </w:t>
      </w:r>
    </w:p>
    <w:p w14:paraId="735B7764" w14:textId="77777777" w:rsidR="00E83B26" w:rsidRPr="00BA4F0F" w:rsidRDefault="00E83B26" w:rsidP="00E83B26">
      <w:r w:rsidRPr="00BA4F0F">
        <w:t>Через 2 часа после завершения инфузии выполняют биохимическое исследование крови (оценка электролитов), оценивают цвет мочи для исключения гемолиза.</w:t>
      </w:r>
    </w:p>
    <w:p w14:paraId="17001D75" w14:textId="77777777" w:rsidR="00E83B26" w:rsidRPr="00BA4F0F" w:rsidRDefault="00E83B26" w:rsidP="00E83B26">
      <w:r w:rsidRPr="00BA4F0F">
        <w:t xml:space="preserve">В истории болезни оформляется протокол операции, с указанием этапов введения ГСК, временных интервалов и состояния пациента. </w:t>
      </w:r>
    </w:p>
    <w:p w14:paraId="7A76DB28" w14:textId="77777777" w:rsidR="00E83B26" w:rsidRPr="00BA4F0F" w:rsidRDefault="00E83B26" w:rsidP="00E83B26">
      <w:r w:rsidRPr="00BA4F0F">
        <w:t xml:space="preserve">На следующий день выполняется общий анализ мочи. </w:t>
      </w:r>
    </w:p>
    <w:p w14:paraId="3CC27C93" w14:textId="77777777" w:rsidR="00E83B26" w:rsidRPr="00BA4F0F" w:rsidRDefault="00E83B26" w:rsidP="00E83B26">
      <w:pPr>
        <w:rPr>
          <w:rFonts w:eastAsiaTheme="majorEastAsia"/>
          <w:b/>
          <w:bCs/>
        </w:rPr>
      </w:pPr>
      <w:bookmarkStart w:id="157" w:name="_Toc44926633"/>
    </w:p>
    <w:p w14:paraId="0C31F4BD" w14:textId="77777777" w:rsidR="00E83B26" w:rsidRPr="00BA4F0F" w:rsidRDefault="00E83B26" w:rsidP="00E83B26">
      <w:pPr>
        <w:rPr>
          <w:i/>
          <w:u w:val="single"/>
        </w:rPr>
      </w:pPr>
      <w:r w:rsidRPr="00BA4F0F">
        <w:rPr>
          <w:i/>
          <w:u w:val="single"/>
        </w:rPr>
        <w:t>Сопроводительная терапия при ауто-ТГСК.</w:t>
      </w:r>
      <w:bookmarkEnd w:id="157"/>
    </w:p>
    <w:p w14:paraId="7386A843" w14:textId="77777777" w:rsidR="00E83B26" w:rsidRPr="00BA4F0F" w:rsidRDefault="00E83B26" w:rsidP="00E83B26">
      <w:pPr>
        <w:rPr>
          <w:b/>
        </w:rPr>
      </w:pPr>
      <w:bookmarkStart w:id="158" w:name="_Toc44926634"/>
      <w:r w:rsidRPr="00BA4F0F">
        <w:rPr>
          <w:b/>
        </w:rPr>
        <w:t>Инфузионная терапия</w:t>
      </w:r>
      <w:bookmarkEnd w:id="158"/>
    </w:p>
    <w:p w14:paraId="0FF1F5A0" w14:textId="77777777" w:rsidR="00E83B26" w:rsidRPr="00BA4F0F" w:rsidRDefault="00E83B26" w:rsidP="00E83B26">
      <w:pPr>
        <w:pStyle w:val="afe"/>
        <w:ind w:left="0" w:firstLine="567"/>
        <w:rPr>
          <w:rFonts w:cs="Times New Roman"/>
          <w:szCs w:val="24"/>
        </w:rPr>
      </w:pPr>
      <w:r w:rsidRPr="00BA4F0F">
        <w:rPr>
          <w:rFonts w:cs="Times New Roman"/>
          <w:szCs w:val="24"/>
        </w:rPr>
        <w:t>С целью уменьшения токсичности кондиционирования и профилактики синдрома лизиса опухоли всем пациентам проводится инфузионная терапия.</w:t>
      </w:r>
    </w:p>
    <w:p w14:paraId="5068A229" w14:textId="77777777" w:rsidR="00E83B26" w:rsidRPr="00BA4F0F" w:rsidRDefault="00E83B26" w:rsidP="00E83B26">
      <w:pPr>
        <w:pStyle w:val="afe"/>
        <w:ind w:left="0" w:firstLine="567"/>
        <w:rPr>
          <w:rFonts w:cs="Times New Roman"/>
          <w:szCs w:val="24"/>
        </w:rPr>
      </w:pPr>
      <w:r w:rsidRPr="00BA4F0F">
        <w:rPr>
          <w:rFonts w:cs="Times New Roman"/>
          <w:szCs w:val="24"/>
        </w:rPr>
        <w:t>Основные принципы инфузионной терапии во время ауто-ТГСК:</w:t>
      </w:r>
    </w:p>
    <w:p w14:paraId="5921F116" w14:textId="77777777" w:rsidR="00E83B26" w:rsidRPr="00BA4F0F" w:rsidRDefault="00E83B26" w:rsidP="00A555B2">
      <w:pPr>
        <w:pStyle w:val="afe"/>
        <w:numPr>
          <w:ilvl w:val="0"/>
          <w:numId w:val="208"/>
        </w:numPr>
        <w:ind w:left="0" w:firstLine="0"/>
        <w:rPr>
          <w:rFonts w:cs="Times New Roman"/>
          <w:szCs w:val="24"/>
        </w:rPr>
      </w:pPr>
      <w:r w:rsidRPr="00BA4F0F">
        <w:rPr>
          <w:rFonts w:cs="Times New Roman"/>
          <w:szCs w:val="24"/>
        </w:rPr>
        <w:t>Все инфузии проводятся в центральный венозный катетер</w:t>
      </w:r>
    </w:p>
    <w:p w14:paraId="062AABF1" w14:textId="77777777" w:rsidR="00E83B26" w:rsidRPr="00BA4F0F" w:rsidRDefault="00E83B26" w:rsidP="00A555B2">
      <w:pPr>
        <w:pStyle w:val="afe"/>
        <w:numPr>
          <w:ilvl w:val="0"/>
          <w:numId w:val="208"/>
        </w:numPr>
        <w:ind w:left="0" w:firstLine="0"/>
        <w:rPr>
          <w:rFonts w:cs="Times New Roman"/>
          <w:szCs w:val="24"/>
        </w:rPr>
      </w:pPr>
      <w:r w:rsidRPr="00BA4F0F">
        <w:rPr>
          <w:rFonts w:cs="Times New Roman"/>
          <w:szCs w:val="24"/>
        </w:rPr>
        <w:t xml:space="preserve">На этапе предтрансплантационного кондиционирования объем инфузионной терапии составляет 2-3 литра в сутки, после трансплантации объем инфузий должен составлять не менее 1,5 литров в сутки, водная нагрузка распределяется равномерно в течение суток. Чаще всего применяются кристаллоидные растворы: изотонический раствор хлорида натрия (0,9% </w:t>
      </w:r>
      <w:r w:rsidRPr="00BA4F0F">
        <w:rPr>
          <w:rFonts w:cs="Times New Roman"/>
          <w:szCs w:val="24"/>
          <w:lang w:val="en-US"/>
        </w:rPr>
        <w:t>NaCl</w:t>
      </w:r>
      <w:r w:rsidRPr="00BA4F0F">
        <w:rPr>
          <w:rFonts w:cs="Times New Roman"/>
          <w:szCs w:val="24"/>
        </w:rPr>
        <w:t>), раствор 5% глюкозы,</w:t>
      </w:r>
      <w:r w:rsidRPr="00BA4F0F">
        <w:rPr>
          <w:szCs w:val="24"/>
        </w:rPr>
        <w:t xml:space="preserve"> </w:t>
      </w:r>
      <w:r w:rsidRPr="00BA4F0F">
        <w:rPr>
          <w:rFonts w:cs="Times New Roman"/>
          <w:szCs w:val="24"/>
        </w:rPr>
        <w:t>раствор Рингера, калия и магния аспарагинат. Для коррекции ацидоза используют 5% раствор натрия гидрокарбоната. В случае выраженной гипоальбумиемии, отечного синдрома безбелкового генеза применяются коллоидные растворы (5-20% растворы альбумина человеческого).</w:t>
      </w:r>
    </w:p>
    <w:p w14:paraId="2E12F2F3" w14:textId="77777777" w:rsidR="00E83B26" w:rsidRPr="00BA4F0F" w:rsidRDefault="00E83B26" w:rsidP="00A555B2">
      <w:pPr>
        <w:pStyle w:val="afe"/>
        <w:numPr>
          <w:ilvl w:val="0"/>
          <w:numId w:val="208"/>
        </w:numPr>
        <w:ind w:left="0" w:firstLine="0"/>
        <w:rPr>
          <w:rFonts w:cs="Times New Roman"/>
          <w:szCs w:val="24"/>
        </w:rPr>
      </w:pPr>
      <w:r w:rsidRPr="00BA4F0F">
        <w:rPr>
          <w:rFonts w:cs="Times New Roman"/>
          <w:szCs w:val="24"/>
        </w:rPr>
        <w:t>В состав солевого раствора, как правило, входят раствор 5% глюкозы и 4% хлорида калия (</w:t>
      </w:r>
      <w:r w:rsidRPr="00BA4F0F">
        <w:rPr>
          <w:rFonts w:cs="Times New Roman"/>
          <w:szCs w:val="24"/>
          <w:lang w:val="en-US"/>
        </w:rPr>
        <w:t>KCl</w:t>
      </w:r>
      <w:r w:rsidRPr="00BA4F0F">
        <w:rPr>
          <w:rFonts w:cs="Times New Roman"/>
          <w:szCs w:val="24"/>
        </w:rPr>
        <w:t xml:space="preserve">). На этапе предтрансплантационного кондиционирования суточное количество 4% </w:t>
      </w:r>
      <w:r w:rsidRPr="00BA4F0F">
        <w:rPr>
          <w:rFonts w:cs="Times New Roman"/>
          <w:szCs w:val="24"/>
          <w:lang w:val="en-US"/>
        </w:rPr>
        <w:t>KCl</w:t>
      </w:r>
      <w:r w:rsidRPr="00BA4F0F">
        <w:rPr>
          <w:rFonts w:cs="Times New Roman"/>
          <w:szCs w:val="24"/>
        </w:rPr>
        <w:t xml:space="preserve"> составляет 120-150 мл, в дальнейшем доза титруется в зависимости от концентрации калия в крови. При значительной гипокалиемии, которая может быть обусловлена выраженной диарей, рвотой, применяется круглосуточное введение 4% раствора </w:t>
      </w:r>
      <w:r w:rsidRPr="00BA4F0F">
        <w:rPr>
          <w:rFonts w:cs="Times New Roman"/>
          <w:szCs w:val="24"/>
          <w:lang w:val="en-US"/>
        </w:rPr>
        <w:t>KCl</w:t>
      </w:r>
      <w:r w:rsidRPr="00BA4F0F">
        <w:rPr>
          <w:rFonts w:cs="Times New Roman"/>
          <w:szCs w:val="24"/>
        </w:rPr>
        <w:t>, скорость инфузии корректируется с учетом данных биохимического анализа крови.</w:t>
      </w:r>
    </w:p>
    <w:p w14:paraId="27FF292C" w14:textId="77777777" w:rsidR="00E83B26" w:rsidRPr="00BA4F0F" w:rsidRDefault="00E83B26" w:rsidP="00A555B2">
      <w:pPr>
        <w:pStyle w:val="afe"/>
        <w:numPr>
          <w:ilvl w:val="0"/>
          <w:numId w:val="208"/>
        </w:numPr>
        <w:ind w:left="0" w:firstLine="0"/>
        <w:rPr>
          <w:rFonts w:cs="Times New Roman"/>
          <w:szCs w:val="24"/>
        </w:rPr>
      </w:pPr>
      <w:r w:rsidRPr="00BA4F0F">
        <w:rPr>
          <w:rFonts w:cs="Times New Roman"/>
          <w:szCs w:val="24"/>
        </w:rPr>
        <w:t>У пациентов на гемодиализе объем солевых растворов не должен превышать 1 литр в сутки, при этом хлорид калия назначается только при развитии гипокалиемии.</w:t>
      </w:r>
    </w:p>
    <w:p w14:paraId="02DB4F1C" w14:textId="77777777" w:rsidR="00E83B26" w:rsidRPr="00BA4F0F" w:rsidRDefault="00E83B26" w:rsidP="00A555B2">
      <w:pPr>
        <w:pStyle w:val="afe"/>
        <w:numPr>
          <w:ilvl w:val="0"/>
          <w:numId w:val="208"/>
        </w:numPr>
        <w:ind w:left="0" w:firstLine="0"/>
        <w:rPr>
          <w:rFonts w:cs="Times New Roman"/>
          <w:szCs w:val="24"/>
        </w:rPr>
      </w:pPr>
      <w:r w:rsidRPr="00BA4F0F">
        <w:rPr>
          <w:rFonts w:cs="Times New Roman"/>
          <w:szCs w:val="24"/>
        </w:rPr>
        <w:t>Для оценки состояния водного баланса, предотвращения объемной перегрузки следует ежедневно взвешивать пациента, контролировать центральное венозное давление, артериальное давление, диурез и баланс жидкости.</w:t>
      </w:r>
    </w:p>
    <w:p w14:paraId="32769BA5" w14:textId="77777777" w:rsidR="00E83B26" w:rsidRPr="00BA4F0F" w:rsidRDefault="00E83B26" w:rsidP="00A555B2">
      <w:pPr>
        <w:pStyle w:val="afe"/>
        <w:numPr>
          <w:ilvl w:val="0"/>
          <w:numId w:val="208"/>
        </w:numPr>
        <w:ind w:left="0" w:firstLine="0"/>
        <w:rPr>
          <w:rFonts w:cs="Times New Roman"/>
          <w:szCs w:val="24"/>
        </w:rPr>
      </w:pPr>
      <w:r w:rsidRPr="00BA4F0F">
        <w:rPr>
          <w:rFonts w:cs="Times New Roman"/>
          <w:szCs w:val="24"/>
        </w:rPr>
        <w:t>При развитии фебрильной лихорадки объем инфузионной терапии должен быть увеличен до 3-4 литров в сутки под контролем водного баланса.</w:t>
      </w:r>
    </w:p>
    <w:p w14:paraId="0B3DE4CF" w14:textId="77777777" w:rsidR="00E83B26" w:rsidRPr="00BA4F0F" w:rsidRDefault="00E83B26" w:rsidP="00A555B2">
      <w:pPr>
        <w:pStyle w:val="afe"/>
        <w:numPr>
          <w:ilvl w:val="0"/>
          <w:numId w:val="208"/>
        </w:numPr>
        <w:ind w:left="0" w:firstLine="0"/>
        <w:rPr>
          <w:rFonts w:cs="Times New Roman"/>
          <w:szCs w:val="24"/>
        </w:rPr>
      </w:pPr>
      <w:r w:rsidRPr="00BA4F0F">
        <w:rPr>
          <w:rFonts w:cs="Times New Roman"/>
          <w:szCs w:val="24"/>
        </w:rPr>
        <w:t>Регулярный контроль электролитов (калия, натрия, кальция, хлора, магния) необходим для коррекции инфузионной терапии, при выраженной гипокальциемии, гипомагниемии назначается внутривенное введение препаратов кальция, магния.</w:t>
      </w:r>
    </w:p>
    <w:p w14:paraId="607F97D6" w14:textId="77777777" w:rsidR="00E83B26" w:rsidRPr="00BA4F0F" w:rsidRDefault="00E83B26" w:rsidP="00A555B2">
      <w:pPr>
        <w:pStyle w:val="afe"/>
        <w:numPr>
          <w:ilvl w:val="0"/>
          <w:numId w:val="208"/>
        </w:numPr>
        <w:ind w:left="0" w:firstLine="0"/>
        <w:rPr>
          <w:rFonts w:cs="Times New Roman"/>
          <w:szCs w:val="24"/>
        </w:rPr>
      </w:pPr>
      <w:r w:rsidRPr="00BA4F0F">
        <w:rPr>
          <w:rFonts w:cs="Times New Roman"/>
          <w:szCs w:val="24"/>
        </w:rPr>
        <w:t>Во время предтрансплантационного кондиционирования проводится гипоурикемическая терапия аллопуринолом в суточной дозе 200 мг/м</w:t>
      </w:r>
      <w:r w:rsidRPr="00BA4F0F">
        <w:rPr>
          <w:rFonts w:cs="Times New Roman"/>
          <w:szCs w:val="24"/>
          <w:vertAlign w:val="superscript"/>
        </w:rPr>
        <w:t>2</w:t>
      </w:r>
      <w:r w:rsidRPr="00BA4F0F">
        <w:rPr>
          <w:rFonts w:cs="Times New Roman"/>
          <w:szCs w:val="24"/>
        </w:rPr>
        <w:t xml:space="preserve"> .</w:t>
      </w:r>
    </w:p>
    <w:p w14:paraId="19F0E741" w14:textId="77777777" w:rsidR="00E83B26" w:rsidRPr="00BA4F0F" w:rsidRDefault="00E83B26" w:rsidP="00A555B2">
      <w:pPr>
        <w:pStyle w:val="afe"/>
        <w:numPr>
          <w:ilvl w:val="0"/>
          <w:numId w:val="208"/>
        </w:numPr>
        <w:ind w:left="0" w:firstLine="0"/>
        <w:rPr>
          <w:rFonts w:cs="Times New Roman"/>
          <w:szCs w:val="24"/>
        </w:rPr>
      </w:pPr>
      <w:r w:rsidRPr="00BA4F0F">
        <w:rPr>
          <w:rFonts w:cs="Times New Roman"/>
          <w:szCs w:val="24"/>
        </w:rPr>
        <w:t>Во время предтрансплантационного кондиционирования рекомендуется назначение мочегонных средств для форсированного диуреза (фуросемид 20-60 мг/сут).</w:t>
      </w:r>
    </w:p>
    <w:p w14:paraId="49E45B6A" w14:textId="77777777" w:rsidR="00E83B26" w:rsidRPr="00BA4F0F" w:rsidRDefault="00E83B26" w:rsidP="00E83B26">
      <w:pPr>
        <w:rPr>
          <w:b/>
        </w:rPr>
      </w:pPr>
      <w:bookmarkStart w:id="159" w:name="_Toc44926635"/>
    </w:p>
    <w:p w14:paraId="5893D131" w14:textId="77777777" w:rsidR="00E83B26" w:rsidRPr="00BA4F0F" w:rsidRDefault="00E83B26" w:rsidP="00E83B26">
      <w:pPr>
        <w:rPr>
          <w:b/>
        </w:rPr>
      </w:pPr>
      <w:bookmarkStart w:id="160" w:name="_Toc44926637"/>
      <w:bookmarkEnd w:id="159"/>
      <w:r w:rsidRPr="00BA4F0F">
        <w:rPr>
          <w:b/>
        </w:rPr>
        <w:t>Антисекреторная терапия</w:t>
      </w:r>
      <w:bookmarkEnd w:id="160"/>
    </w:p>
    <w:p w14:paraId="39CD1CEB" w14:textId="68E91E2D" w:rsidR="00E83B26" w:rsidRPr="00BA4F0F" w:rsidRDefault="00E83B26" w:rsidP="00E83B26">
      <w:pPr>
        <w:shd w:val="clear" w:color="auto" w:fill="FFFFFF"/>
        <w:tabs>
          <w:tab w:val="left" w:pos="0"/>
          <w:tab w:val="left" w:pos="394"/>
        </w:tabs>
        <w:rPr>
          <w:rFonts w:eastAsia="Arial Unicode MS"/>
          <w:color w:val="000000"/>
          <w:spacing w:val="4"/>
          <w:u w:color="000000"/>
        </w:rPr>
      </w:pPr>
      <w:r w:rsidRPr="00BA4F0F">
        <w:rPr>
          <w:rFonts w:eastAsia="Arial Unicode MS"/>
          <w:color w:val="000000"/>
          <w:spacing w:val="4"/>
          <w:u w:color="000000"/>
          <w:shd w:val="clear" w:color="auto" w:fill="FFFFFF"/>
        </w:rPr>
        <w:t>В настоящее время с антисекреторной целью применяются два класса п</w:t>
      </w:r>
      <w:r w:rsidRPr="00BA4F0F">
        <w:rPr>
          <w:rFonts w:eastAsia="Arial Unicode MS"/>
          <w:color w:val="000000"/>
          <w:spacing w:val="4"/>
          <w:u w:color="000000"/>
        </w:rPr>
        <w:t xml:space="preserve">репаратов: ингибиторы протонной помпы и блокаторы Н2-гистаминовых рецепторов </w:t>
      </w:r>
      <w:r w:rsidRPr="00BA4F0F">
        <w:rPr>
          <w:rFonts w:eastAsia="Arial Unicode MS"/>
          <w:color w:val="000000"/>
          <w:spacing w:val="4"/>
          <w:u w:color="000000"/>
        </w:rPr>
        <w:fldChar w:fldCharType="begin" w:fldLock="1"/>
      </w:r>
      <w:r w:rsidR="003B39A6">
        <w:rPr>
          <w:rFonts w:eastAsia="Arial Unicode MS"/>
          <w:color w:val="000000"/>
          <w:spacing w:val="4"/>
          <w:u w:color="000000"/>
        </w:rPr>
        <w:instrText>ADDIN CSL_CITATION {"citationItems":[{"id":"ITEM-1","itemData":{"DOI":"10.1136/bmjopen-2013-004587","ISSN":"20446055","PMID":"24833682","abstract":"Objective: To assess whether corticosteroids are associated with increased risk of gastrointestinal bleeding or perforation. Design: Systematic review and meta-analysis of randomised, double-blind, controlled trials comparing a corticosteroid to placebo for any medical condition or in healthy participants. Studies with steroids given either locally, as a single dose, or in crossover studies were excluded. Data sources: Literature search using MEDLINE, EMBASE and Cochrane Database of Systematic Reviews between 1983 and 22 May 2013. Outcome measure: Outcome measures were the occurrence of gastrointestinal bleeding or perforation. Predefined subgroup analyses were carried out for disease severity, use of non-steroidal anti-inflammatory drugs (NSAIDs) or gastroprotective drugs, and history of peptic ulcer. Results: 159 studies (N=33 253) were included. In total, 804 (2.4%) patients had a gastrointestinal bleeding or perforation (2.9% and 2.0% for corticosteroids and placebo). Corticosteroids increased the risk of gastrointestinal bleeding or perforation by 40% (OR 1.43, 95% CI 1.22 to 1.66). The risk was increased for hospitalised patients (OR 1.42, 95% CI 1.22 to 1.66). For patients in ambulatory care, the increased risk was not statistically significant (OR 1.63, 95% CI 0.42 to 6.34). Only 11 gastrointestinal bleeds or perforations occurred among 8651 patients in ambulatory care (0.13%). Increased risk was still present in subgroup analyses (studies with NSAID use excluded; OR 1.44, 95% CI 1.20 to 1.71, peptic ulcer as an exclusion criterion excluded; OR 1.47, 95% CI 1.21 to 1.78, and use of gastroprotective drugs excluded; OR 1.42, 95% CI 1.21 to 1.67). Conclusions: Corticosteroid use was associated with increased risk of gastrointestinal bleeding and perforation. The increased risk was statistically significant for hospitalised patients only. For patients in ambulatory care, the total occurrence of bleeding or perforation was very low, and the increased risk was not statistically significant.","author":[{"dropping-particle":"","family":"Narum","given":"Sigrid","non-dropping-particle":"","parse-names":false,"suffix":""},{"dropping-particle":"","family":"Westergren","given":"Tone","non-dropping-particle":"","parse-names":false,"suffix":""},{"dropping-particle":"","family":"Klemp","given":"Marianne","non-dropping-particle":"","parse-names":false,"suffix":""}],"container-title":"BMJ Open","id":"ITEM-1","issue":"5","issued":{"date-parts":[["2014"]]},"publisher":"BMJ Publishing Group","title":"Corticosteroids and risk of gastrointestinal bleeding: A systematic review and meta-analysis","type":"article-journal","volume":"4"},"uris":["http://www.mendeley.com/documents/?uuid=e701298a-dc65-3059-b1f1-21f394625ffe"]},{"id":"ITEM-2","itemData":{"DOI":"10.1111/j.1365-2796.1994.tb00855.x","ISSN":"0954-6820","PMID":"7989897","abstract":"OBJECTIVES This meta-analysis was performed to determine whether corticosteroid therapy induces the development of peptic ulcer and other putative complications of steroid therapy. DESIGN A retrospective investigation in which we analysed all the randomized, double-blind, controlled trials (RDBCT) in which steroids had been administered that we were able to identify. The number of episodes of peptic ulcer, dermatological effects, sepsis, diabetes, hypertension, osteoporosis, psychosis and tuberculosis reported in both the placebo and steroid groups were compared. SETTING The international medical literature was analysed for any RDBCT in which any steroid or ACTH had been administered in any dosage for any duration, and any putative complication of steroid therapy was reported. SUBJECTS Of 1857 articles, 93 satisfied our requirements and were analysed by the meta-analytic techniques of Peto, DerSimonian and Laird. A total of 6602 patients were included. MAIN OUTCOME MEASURES The relative frequencies of each of these eight 'complications' were compared in the placebo and steroid groups using conventional statistics and meta-analysis. The relative frequencies of 'annualized' subgroups of patients who received treatment for 1 to 7 days, 1 week to 1 month, 1 to 3 months and more than 3 months, were similarly analysed. RESULTS Nine of 3267 patients in the placebo group (0.3%) and 13 of 3335 patients in the steroid group (0.4%) were reported to develop peptic ulcer (P &gt; 0.05). The dermatological cosmetic effects of steroid therapy were observed more frequently in the steroid group (P &lt; 0.001), as was diabetes (P &lt; 0.001), hypertension (P &lt; 0.01) and psychosis (P &lt; 0.001). Sepsis, osteoporosis and tuberculosis all occurred more frequently in the steroid than in the placebo group, but the differences are not statistically significant. CONCLUSIONS Peptic ulcer is a rare complication of corticosteroid therapy that should not be considered a contraindication when steroid therapy is indicated.","author":[{"dropping-particle":"","family":"Conn","given":"H O","non-dropping-particle":"","parse-names":false,"suffix":""},{"dropping-particle":"","family":"Poynard","given":"T","non-dropping-particle":"","parse-names":false,"suffix":""}],"container-title":"Journal of internal medicine","id":"ITEM-2","issue":"6","issued":{"date-parts":[["1994","12"]]},"page":"619-32","publisher":"J Intern Med","title":"Corticosteroids and peptic ulcer: meta-analysis of adverse events during steroid therapy.","type":"article-journal","volume":"236"},"uris":["http://www.mendeley.com/documents/?uuid=84af1729-7cf0-45a4-828e-6c0ee9132476"]}],"mendeley":{"formattedCitation":"[75,76]","plainTextFormattedCitation":"[75,76]","previouslyFormattedCitation":"[75,76]"},"properties":{"noteIndex":0},"schema":"https://github.com/citation-style-language/schema/raw/master/csl-citation.json"}</w:instrText>
      </w:r>
      <w:r w:rsidRPr="00BA4F0F">
        <w:rPr>
          <w:rFonts w:eastAsia="Arial Unicode MS"/>
          <w:color w:val="000000"/>
          <w:spacing w:val="4"/>
          <w:u w:color="000000"/>
        </w:rPr>
        <w:fldChar w:fldCharType="separate"/>
      </w:r>
      <w:r w:rsidRPr="00E83B26">
        <w:rPr>
          <w:rFonts w:eastAsia="Arial Unicode MS"/>
          <w:noProof/>
          <w:color w:val="000000"/>
          <w:spacing w:val="4"/>
          <w:u w:color="000000"/>
        </w:rPr>
        <w:t>[75,76]</w:t>
      </w:r>
      <w:r w:rsidRPr="00BA4F0F">
        <w:rPr>
          <w:rFonts w:eastAsia="Arial Unicode MS"/>
          <w:color w:val="000000"/>
          <w:spacing w:val="4"/>
          <w:u w:color="000000"/>
        </w:rPr>
        <w:fldChar w:fldCharType="end"/>
      </w:r>
      <w:r w:rsidRPr="00BA4F0F">
        <w:rPr>
          <w:rFonts w:eastAsia="Arial Unicode MS"/>
          <w:color w:val="000000"/>
          <w:spacing w:val="4"/>
          <w:u w:color="000000"/>
        </w:rPr>
        <w:t>.</w:t>
      </w:r>
    </w:p>
    <w:p w14:paraId="0CDB2E3A" w14:textId="77777777" w:rsidR="00E83B26" w:rsidRPr="00BA4F0F" w:rsidRDefault="00E83B26" w:rsidP="00E83B26">
      <w:pPr>
        <w:pStyle w:val="afe"/>
        <w:ind w:left="0"/>
        <w:rPr>
          <w:rFonts w:cs="Times New Roman"/>
          <w:szCs w:val="24"/>
          <w:u w:val="single"/>
        </w:rPr>
      </w:pPr>
    </w:p>
    <w:p w14:paraId="4F892C27" w14:textId="77777777" w:rsidR="00E83B26" w:rsidRPr="00BA4F0F" w:rsidRDefault="00E83B26" w:rsidP="00E83B26">
      <w:pPr>
        <w:pStyle w:val="afe"/>
        <w:ind w:left="0"/>
        <w:rPr>
          <w:rFonts w:cs="Times New Roman"/>
          <w:szCs w:val="24"/>
          <w:u w:val="single"/>
        </w:rPr>
      </w:pPr>
      <w:r w:rsidRPr="00BA4F0F">
        <w:rPr>
          <w:rFonts w:cs="Times New Roman"/>
          <w:szCs w:val="24"/>
          <w:u w:val="single"/>
        </w:rPr>
        <w:t>Ингибиторы протонной помпы (ИПП)</w:t>
      </w:r>
    </w:p>
    <w:p w14:paraId="5C6FC023" w14:textId="77777777" w:rsidR="00E83B26" w:rsidRPr="00BA4F0F" w:rsidRDefault="00E83B26" w:rsidP="00E83B26">
      <w:pPr>
        <w:shd w:val="clear" w:color="auto" w:fill="FFFFFF"/>
        <w:tabs>
          <w:tab w:val="left" w:pos="0"/>
          <w:tab w:val="left" w:pos="394"/>
        </w:tabs>
        <w:rPr>
          <w:rFonts w:eastAsia="Arial Unicode MS"/>
          <w:b/>
          <w:color w:val="000000"/>
          <w:spacing w:val="4"/>
          <w:u w:color="000000"/>
        </w:rPr>
      </w:pPr>
      <w:r w:rsidRPr="00BA4F0F">
        <w:rPr>
          <w:rFonts w:eastAsia="Arial Unicode MS"/>
          <w:b/>
          <w:color w:val="000000"/>
          <w:spacing w:val="4"/>
          <w:u w:color="000000"/>
        </w:rPr>
        <w:t xml:space="preserve">Фармакологическое действие </w:t>
      </w:r>
    </w:p>
    <w:p w14:paraId="462AF51A" w14:textId="77777777" w:rsidR="00E83B26" w:rsidRPr="00BA4F0F" w:rsidRDefault="00E83B26" w:rsidP="00E83B26">
      <w:pPr>
        <w:shd w:val="clear" w:color="auto" w:fill="FFFFFF"/>
        <w:tabs>
          <w:tab w:val="left" w:pos="0"/>
          <w:tab w:val="left" w:pos="394"/>
        </w:tabs>
        <w:rPr>
          <w:rFonts w:eastAsia="Arial Unicode MS"/>
          <w:color w:val="000000"/>
          <w:spacing w:val="4"/>
          <w:u w:color="000000"/>
        </w:rPr>
      </w:pPr>
      <w:r w:rsidRPr="00BA4F0F">
        <w:rPr>
          <w:rFonts w:eastAsia="Arial Unicode MS"/>
          <w:color w:val="000000"/>
          <w:spacing w:val="4"/>
          <w:u w:color="000000"/>
        </w:rPr>
        <w:t>Ингибиторы протоновой помпы (ингибиторы протонового насоса, блокаторы протонного насоса, блокаторы Н+/К+-АТФазы, блокаторы водородной помпы) — антисекреторные лекарственные препараты, блокирующие Н+/К+-АТФазу обкладочных (париетальных) клеток слизистой оболочки желудка и уменьшающие секрецию соляной кислоты.</w:t>
      </w:r>
    </w:p>
    <w:p w14:paraId="7909BFFB" w14:textId="58743766" w:rsidR="00E83B26" w:rsidRPr="00BA4F0F" w:rsidRDefault="00E83B26" w:rsidP="00E83B26">
      <w:pPr>
        <w:shd w:val="clear" w:color="auto" w:fill="FFFFFF"/>
        <w:tabs>
          <w:tab w:val="left" w:pos="0"/>
          <w:tab w:val="left" w:pos="394"/>
        </w:tabs>
        <w:rPr>
          <w:rFonts w:eastAsia="Arial Unicode MS"/>
          <w:color w:val="000000"/>
          <w:spacing w:val="4"/>
          <w:u w:color="000000"/>
        </w:rPr>
      </w:pPr>
      <w:r w:rsidRPr="00BA4F0F">
        <w:rPr>
          <w:rFonts w:eastAsia="Arial Unicode MS"/>
          <w:color w:val="000000"/>
          <w:spacing w:val="4"/>
          <w:u w:color="000000"/>
        </w:rPr>
        <w:t>ИПП, после прохождения желудка, попадают в тонкую кишку, где растворяются, после чего по кровотоку поступают в печень, а затем проникают через мембрану в париетальные клетки слизистой оболочки желудка, где концентрируются в секреторных канальцах. Здесь, при кислом значении рН, ингибиторы протонного насоса активируются. В этой форме ИПП образуют прочные ковалентные связи с меркаптогруппами цистеиновых остатков Н+/К+-АТФазы, что блокирует действие протонной помпы, она становится необратимо исключенной из процесса секреции соляной кислоты. Влияние ИПП на последнюю стадию процесса образования соляной кислоты в желудке является дозозависимым и обеспечивает высокоэффективное ингибирование базальной и стимулированной секреции соляной кислоты независимо от фактора его вызывающего</w:t>
      </w:r>
      <w:r w:rsidRPr="00BA4F0F">
        <w:rPr>
          <w:rFonts w:eastAsia="Arial Unicode MS"/>
          <w:color w:val="000000"/>
          <w:spacing w:val="4"/>
          <w:u w:color="000000"/>
        </w:rPr>
        <w:fldChar w:fldCharType="begin" w:fldLock="1"/>
      </w:r>
      <w:r w:rsidR="003B39A6">
        <w:rPr>
          <w:rFonts w:eastAsia="Arial Unicode MS"/>
          <w:color w:val="000000"/>
          <w:spacing w:val="4"/>
          <w:u w:color="000000"/>
        </w:rPr>
        <w:instrText>ADDIN CSL_CITATION {"citationItems":[{"id":"ITEM-1","itemData":{"author":[{"dropping-particle":"","family":"Ивашкин","given":"В.Т.","non-dropping-particle":"","parse-names":false,"suffix":""},{"dropping-particle":"","family":"Маев","given":"И.В.","non-dropping-particle":"","parse-names":false,"suffix":""},{"dropping-particle":"","family":"Царьков","given":"П.В.","non-dropping-particle":"","parse-names":false,"suffix":""},{"dropping-particle":"","family":"Королев","given":"М.П.","non-dropping-particle":"","parse-names":false,"suffix":""},{"dropping-particle":"","family":"Андреев","given":"Д.Н.","non-dropping-particle":"","parse-names":false,"suffix":""},{"dropping-particle":"","family":"Баранская","given":"Е.К.","non-dropping-particle":"","parse-names":false,"suffix":""},{"dropping-particle":"","family":"Бурков","given":"С.Г.","non-dropping-particle":"","parse-names":false,"suffix":""},{"dropping-particle":"","family":"Деринов","given":"А.А.","non-dropping-particle":"","parse-names":false,"suffix":""},{"dropping-particle":"","family":"Ефетов","given":"С.К.","non-dropping-particle":"","parse-names":false,"suffix":""},{"dropping-particle":"","family":"Лапина","given":"Т.Л.","non-dropping-particle":"","parse-names":false,"suffix":""},{"dropping-particle":"","family":"Павлов","given":"П.В.","non-dropping-particle":"","parse-names":false,"suffix":""},{"dropping-particle":"","family":"Пирогов","given":"С.С.","non-dropping-particle":"","parse-names":false,"suffix":""},{"dropping-particle":"","family":"Ткачев","given":"А.В.","non-dropping-particle":"","parse-names":false,"suffix":""},{"dropping-particle":"","family":"Трухманов","given":"А.С.","non-dropping-particle":"","parse-names":false,"suffix":""},{"dropping-particle":"","family":"Федоров","given":"Е.Д.","non-dropping-particle":"","parse-names":false,"suffix":""},{"dropping-particle":"","family":"Шептулин","given":"А.А.","non-dropping-particle":"","parse-names":false,"suffix":""}],"container-title":"Российский журнал гастроэнтерологии, гепатологии, колопроктологии.","id":"ITEM-1","issue":"1","issued":{"date-parts":[["2020"]]},"page":"49-70","title":"Диагностика и лечение язвенной болезни у взрослых (Клинические рекомендации Российской гастроэнтерологической ассоциации, Российского общества колоректальных хирургов и Российского эндоскопического общества).","type":"article-journal","volume":"30"},"uris":["http://www.mendeley.com/documents/?uuid=858a1835-2f3b-419a-91b4-8a8e3ef10cc9"]}],"mendeley":{"formattedCitation":"[78]","plainTextFormattedCitation":"[78]","previouslyFormattedCitation":"[78]"},"properties":{"noteIndex":0},"schema":"https://github.com/citation-style-language/schema/raw/master/csl-citation.json"}</w:instrText>
      </w:r>
      <w:r w:rsidRPr="00BA4F0F">
        <w:rPr>
          <w:rFonts w:eastAsia="Arial Unicode MS"/>
          <w:color w:val="000000"/>
          <w:spacing w:val="4"/>
          <w:u w:color="000000"/>
        </w:rPr>
        <w:fldChar w:fldCharType="separate"/>
      </w:r>
      <w:r w:rsidRPr="00E83B26">
        <w:rPr>
          <w:rFonts w:eastAsia="Arial Unicode MS"/>
          <w:noProof/>
          <w:color w:val="000000"/>
          <w:spacing w:val="4"/>
          <w:u w:color="000000"/>
        </w:rPr>
        <w:t>[78]</w:t>
      </w:r>
      <w:r w:rsidRPr="00BA4F0F">
        <w:rPr>
          <w:rFonts w:eastAsia="Arial Unicode MS"/>
          <w:color w:val="000000"/>
          <w:spacing w:val="4"/>
          <w:u w:color="000000"/>
        </w:rPr>
        <w:fldChar w:fldCharType="end"/>
      </w:r>
      <w:r w:rsidRPr="00BA4F0F">
        <w:rPr>
          <w:rFonts w:eastAsia="Arial Unicode MS"/>
          <w:color w:val="000000"/>
          <w:spacing w:val="4"/>
          <w:u w:color="000000"/>
        </w:rPr>
        <w:t>.</w:t>
      </w:r>
    </w:p>
    <w:p w14:paraId="061702B6" w14:textId="77777777" w:rsidR="00E83B26" w:rsidRPr="00BA4F0F" w:rsidRDefault="00E83B26" w:rsidP="00E83B26">
      <w:pPr>
        <w:shd w:val="clear" w:color="auto" w:fill="FFFFFF"/>
        <w:tabs>
          <w:tab w:val="left" w:pos="0"/>
          <w:tab w:val="left" w:pos="394"/>
        </w:tabs>
        <w:ind w:left="709"/>
        <w:rPr>
          <w:rFonts w:eastAsia="Arial Unicode MS"/>
          <w:b/>
          <w:color w:val="000000"/>
          <w:spacing w:val="4"/>
          <w:u w:color="000000"/>
        </w:rPr>
      </w:pPr>
      <w:r w:rsidRPr="00BA4F0F">
        <w:rPr>
          <w:rFonts w:eastAsia="Arial Unicode MS"/>
          <w:color w:val="000000"/>
          <w:spacing w:val="4"/>
          <w:u w:color="000000"/>
        </w:rPr>
        <w:t>Показания</w:t>
      </w:r>
    </w:p>
    <w:p w14:paraId="3BCFC3C7" w14:textId="77777777" w:rsidR="00E83B26" w:rsidRPr="00BA4F0F" w:rsidRDefault="00E83B26" w:rsidP="00A555B2">
      <w:pPr>
        <w:numPr>
          <w:ilvl w:val="0"/>
          <w:numId w:val="207"/>
        </w:numPr>
        <w:tabs>
          <w:tab w:val="left" w:pos="0"/>
        </w:tabs>
        <w:ind w:left="0" w:firstLine="709"/>
        <w:contextualSpacing/>
      </w:pPr>
      <w:r w:rsidRPr="00BA4F0F">
        <w:t>Профилактика/лечение язвенной болезни желудка и двенадцатиперстной кишки, в том числе на фоне терапии глюкокортикостероидами</w:t>
      </w:r>
    </w:p>
    <w:p w14:paraId="2C9683F5" w14:textId="77777777" w:rsidR="00E83B26" w:rsidRPr="00BA4F0F" w:rsidRDefault="00E83B26" w:rsidP="00E83B26">
      <w:pPr>
        <w:shd w:val="clear" w:color="auto" w:fill="FFFFFF"/>
        <w:tabs>
          <w:tab w:val="left" w:pos="0"/>
          <w:tab w:val="left" w:pos="394"/>
        </w:tabs>
        <w:ind w:left="709"/>
        <w:rPr>
          <w:rFonts w:eastAsia="Arial Unicode MS"/>
          <w:b/>
          <w:color w:val="000000"/>
          <w:spacing w:val="4"/>
          <w:u w:color="000000"/>
        </w:rPr>
      </w:pPr>
      <w:r w:rsidRPr="00BA4F0F">
        <w:rPr>
          <w:rFonts w:eastAsia="Arial Unicode MS"/>
          <w:b/>
          <w:color w:val="000000"/>
          <w:spacing w:val="4"/>
          <w:u w:color="000000"/>
          <w:shd w:val="clear" w:color="auto" w:fill="FFFFFF"/>
        </w:rPr>
        <w:t>Режим дозирования</w:t>
      </w:r>
    </w:p>
    <w:p w14:paraId="25511F9A" w14:textId="77777777" w:rsidR="00E83B26" w:rsidRPr="00BA4F0F" w:rsidRDefault="00E83B26" w:rsidP="00E83B26">
      <w:pPr>
        <w:shd w:val="clear" w:color="auto" w:fill="FFFFFF"/>
        <w:tabs>
          <w:tab w:val="left" w:pos="0"/>
          <w:tab w:val="left" w:pos="394"/>
        </w:tabs>
        <w:rPr>
          <w:rFonts w:eastAsia="Arial Unicode MS"/>
          <w:color w:val="000000"/>
          <w:spacing w:val="4"/>
          <w:u w:color="000000"/>
        </w:rPr>
      </w:pPr>
      <w:r w:rsidRPr="00BA4F0F">
        <w:rPr>
          <w:rFonts w:eastAsia="Arial Unicode MS"/>
          <w:color w:val="000000"/>
          <w:spacing w:val="4"/>
          <w:u w:color="000000"/>
        </w:rPr>
        <w:t xml:space="preserve">Пациентам во время проведения курсов специфической противоопухолевой терапии, рекомендован прием ИПП в указанных в таблице </w:t>
      </w:r>
      <w:r>
        <w:rPr>
          <w:rFonts w:eastAsia="Arial Unicode MS"/>
          <w:color w:val="000000"/>
          <w:spacing w:val="4"/>
          <w:u w:color="000000"/>
        </w:rPr>
        <w:t>9</w:t>
      </w:r>
      <w:r w:rsidRPr="00BA4F0F">
        <w:rPr>
          <w:rFonts w:eastAsia="Arial Unicode MS"/>
          <w:color w:val="000000"/>
          <w:spacing w:val="4"/>
          <w:u w:color="000000"/>
        </w:rPr>
        <w:t xml:space="preserve"> дозах. </w:t>
      </w:r>
    </w:p>
    <w:p w14:paraId="3436295E" w14:textId="77777777" w:rsidR="00E83B26" w:rsidRPr="00BA4F0F" w:rsidRDefault="00E83B26" w:rsidP="00E83B26">
      <w:pPr>
        <w:shd w:val="clear" w:color="auto" w:fill="FFFFFF"/>
        <w:tabs>
          <w:tab w:val="left" w:pos="0"/>
          <w:tab w:val="left" w:pos="394"/>
        </w:tabs>
        <w:rPr>
          <w:rFonts w:eastAsia="Arial Unicode MS"/>
          <w:color w:val="000000"/>
          <w:spacing w:val="4"/>
          <w:u w:color="000000"/>
        </w:rPr>
      </w:pPr>
    </w:p>
    <w:p w14:paraId="1CDDCD7F" w14:textId="77777777" w:rsidR="00E83B26" w:rsidRPr="00BA4F0F" w:rsidRDefault="00E83B26" w:rsidP="00E83B26">
      <w:pPr>
        <w:shd w:val="clear" w:color="auto" w:fill="FFFFFF"/>
        <w:tabs>
          <w:tab w:val="left" w:pos="0"/>
          <w:tab w:val="left" w:pos="394"/>
        </w:tabs>
        <w:rPr>
          <w:rFonts w:eastAsia="Arial Unicode MS"/>
          <w:color w:val="000000"/>
          <w:spacing w:val="4"/>
          <w:u w:color="000000"/>
        </w:rPr>
      </w:pPr>
      <w:r w:rsidRPr="006E1ADA">
        <w:rPr>
          <w:rFonts w:eastAsia="Arial Unicode MS"/>
          <w:color w:val="000000"/>
          <w:spacing w:val="4"/>
          <w:u w:color="000000"/>
        </w:rPr>
        <w:t>Таблица 9. Режим дозирования ИПП с профилактической целью</w:t>
      </w:r>
    </w:p>
    <w:tbl>
      <w:tblPr>
        <w:tblStyle w:val="31"/>
        <w:tblW w:w="0" w:type="auto"/>
        <w:jc w:val="center"/>
        <w:tblLook w:val="04A0" w:firstRow="1" w:lastRow="0" w:firstColumn="1" w:lastColumn="0" w:noHBand="0" w:noVBand="1"/>
      </w:tblPr>
      <w:tblGrid>
        <w:gridCol w:w="2220"/>
        <w:gridCol w:w="1857"/>
        <w:gridCol w:w="4200"/>
      </w:tblGrid>
      <w:tr w:rsidR="00E83B26" w:rsidRPr="00BA4F0F" w14:paraId="316CDB5A" w14:textId="77777777" w:rsidTr="002D3EBF">
        <w:trPr>
          <w:jc w:val="center"/>
        </w:trPr>
        <w:tc>
          <w:tcPr>
            <w:tcW w:w="2220" w:type="dxa"/>
          </w:tcPr>
          <w:p w14:paraId="04214C85" w14:textId="77777777" w:rsidR="00E83B26" w:rsidRPr="00BA4F0F" w:rsidRDefault="00E83B26" w:rsidP="002D3EBF">
            <w:pPr>
              <w:tabs>
                <w:tab w:val="left" w:pos="0"/>
              </w:tabs>
              <w:ind w:firstLine="0"/>
              <w:jc w:val="center"/>
              <w:rPr>
                <w:b/>
              </w:rPr>
            </w:pPr>
            <w:r w:rsidRPr="00BA4F0F">
              <w:rPr>
                <w:b/>
              </w:rPr>
              <w:t>Препарат</w:t>
            </w:r>
          </w:p>
        </w:tc>
        <w:tc>
          <w:tcPr>
            <w:tcW w:w="1857" w:type="dxa"/>
          </w:tcPr>
          <w:p w14:paraId="0C813375" w14:textId="77777777" w:rsidR="00E83B26" w:rsidRPr="00BA4F0F" w:rsidRDefault="00E83B26" w:rsidP="002D3EBF">
            <w:pPr>
              <w:tabs>
                <w:tab w:val="left" w:pos="0"/>
              </w:tabs>
              <w:ind w:firstLine="0"/>
              <w:jc w:val="center"/>
              <w:rPr>
                <w:b/>
              </w:rPr>
            </w:pPr>
            <w:r w:rsidRPr="00BA4F0F">
              <w:rPr>
                <w:b/>
              </w:rPr>
              <w:t>Суточная доза, мг</w:t>
            </w:r>
          </w:p>
        </w:tc>
        <w:tc>
          <w:tcPr>
            <w:tcW w:w="4200" w:type="dxa"/>
          </w:tcPr>
          <w:p w14:paraId="539FB844" w14:textId="77777777" w:rsidR="00E83B26" w:rsidRPr="00BA4F0F" w:rsidRDefault="00E83B26" w:rsidP="002D3EBF">
            <w:pPr>
              <w:tabs>
                <w:tab w:val="left" w:pos="0"/>
              </w:tabs>
              <w:ind w:firstLine="0"/>
              <w:jc w:val="center"/>
              <w:rPr>
                <w:b/>
              </w:rPr>
            </w:pPr>
            <w:r w:rsidRPr="00BA4F0F">
              <w:rPr>
                <w:b/>
              </w:rPr>
              <w:t>Режим дозирования</w:t>
            </w:r>
          </w:p>
        </w:tc>
      </w:tr>
      <w:tr w:rsidR="00E83B26" w:rsidRPr="00BA4F0F" w14:paraId="45F50924" w14:textId="77777777" w:rsidTr="002D3EBF">
        <w:trPr>
          <w:jc w:val="center"/>
        </w:trPr>
        <w:tc>
          <w:tcPr>
            <w:tcW w:w="2220" w:type="dxa"/>
          </w:tcPr>
          <w:p w14:paraId="3827CC96" w14:textId="77777777" w:rsidR="00E83B26" w:rsidRPr="00BA4F0F" w:rsidRDefault="00E83B26" w:rsidP="002D3EBF">
            <w:pPr>
              <w:tabs>
                <w:tab w:val="left" w:pos="0"/>
              </w:tabs>
              <w:ind w:firstLine="0"/>
            </w:pPr>
            <w:r w:rsidRPr="00BA4F0F">
              <w:t>Омепразол</w:t>
            </w:r>
          </w:p>
        </w:tc>
        <w:tc>
          <w:tcPr>
            <w:tcW w:w="1857" w:type="dxa"/>
          </w:tcPr>
          <w:p w14:paraId="69E05581" w14:textId="77777777" w:rsidR="00E83B26" w:rsidRPr="00BA4F0F" w:rsidRDefault="00E83B26" w:rsidP="002D3EBF">
            <w:pPr>
              <w:tabs>
                <w:tab w:val="left" w:pos="0"/>
              </w:tabs>
              <w:ind w:firstLine="0"/>
            </w:pPr>
            <w:r w:rsidRPr="00BA4F0F">
              <w:t xml:space="preserve">20 </w:t>
            </w:r>
          </w:p>
          <w:p w14:paraId="5E3D2CD9" w14:textId="77777777" w:rsidR="00E83B26" w:rsidRPr="00BA4F0F" w:rsidRDefault="00E83B26" w:rsidP="002D3EBF">
            <w:pPr>
              <w:tabs>
                <w:tab w:val="left" w:pos="0"/>
              </w:tabs>
              <w:ind w:firstLine="0"/>
            </w:pPr>
            <w:r w:rsidRPr="00BA4F0F">
              <w:t>40</w:t>
            </w:r>
          </w:p>
        </w:tc>
        <w:tc>
          <w:tcPr>
            <w:tcW w:w="4200" w:type="dxa"/>
          </w:tcPr>
          <w:p w14:paraId="6BEE6BC1" w14:textId="77777777" w:rsidR="00E83B26" w:rsidRPr="00BA4F0F" w:rsidRDefault="00E83B26" w:rsidP="002D3EBF">
            <w:pPr>
              <w:tabs>
                <w:tab w:val="left" w:pos="0"/>
              </w:tabs>
              <w:ind w:firstLine="0"/>
            </w:pPr>
            <w:r w:rsidRPr="00BA4F0F">
              <w:t>Внутрь, 1 раз в сутки;</w:t>
            </w:r>
          </w:p>
          <w:p w14:paraId="34A8ACAC" w14:textId="77777777" w:rsidR="00E83B26" w:rsidRPr="00BA4F0F" w:rsidRDefault="00E83B26" w:rsidP="002D3EBF">
            <w:pPr>
              <w:tabs>
                <w:tab w:val="left" w:pos="0"/>
              </w:tabs>
              <w:ind w:firstLine="0"/>
            </w:pPr>
            <w:r w:rsidRPr="00BA4F0F">
              <w:t xml:space="preserve"> в/в, 1 раз в сутки</w:t>
            </w:r>
          </w:p>
        </w:tc>
      </w:tr>
      <w:tr w:rsidR="00E83B26" w:rsidRPr="00BA4F0F" w14:paraId="36DE74FF" w14:textId="77777777" w:rsidTr="002D3EBF">
        <w:trPr>
          <w:jc w:val="center"/>
        </w:trPr>
        <w:tc>
          <w:tcPr>
            <w:tcW w:w="2220" w:type="dxa"/>
          </w:tcPr>
          <w:p w14:paraId="646C8EEE" w14:textId="77777777" w:rsidR="00E83B26" w:rsidRPr="00BA4F0F" w:rsidRDefault="00E83B26" w:rsidP="002D3EBF">
            <w:pPr>
              <w:tabs>
                <w:tab w:val="left" w:pos="0"/>
              </w:tabs>
              <w:ind w:firstLine="0"/>
            </w:pPr>
            <w:r w:rsidRPr="00BA4F0F">
              <w:t>Лансопразол</w:t>
            </w:r>
          </w:p>
        </w:tc>
        <w:tc>
          <w:tcPr>
            <w:tcW w:w="1857" w:type="dxa"/>
          </w:tcPr>
          <w:p w14:paraId="33B42D08" w14:textId="77777777" w:rsidR="00E83B26" w:rsidRPr="00BA4F0F" w:rsidRDefault="00E83B26" w:rsidP="002D3EBF">
            <w:pPr>
              <w:tabs>
                <w:tab w:val="left" w:pos="0"/>
              </w:tabs>
              <w:ind w:firstLine="0"/>
            </w:pPr>
            <w:r w:rsidRPr="00BA4F0F">
              <w:t xml:space="preserve">30 </w:t>
            </w:r>
          </w:p>
        </w:tc>
        <w:tc>
          <w:tcPr>
            <w:tcW w:w="4200" w:type="dxa"/>
          </w:tcPr>
          <w:p w14:paraId="22306D51" w14:textId="77777777" w:rsidR="00E83B26" w:rsidRPr="00BA4F0F" w:rsidRDefault="00E83B26" w:rsidP="002D3EBF">
            <w:pPr>
              <w:ind w:firstLine="0"/>
            </w:pPr>
            <w:r w:rsidRPr="00BA4F0F">
              <w:t>Внутрь, 1 раз в сутки</w:t>
            </w:r>
          </w:p>
        </w:tc>
      </w:tr>
      <w:tr w:rsidR="00E83B26" w:rsidRPr="00BA4F0F" w14:paraId="460CD061" w14:textId="77777777" w:rsidTr="002D3EBF">
        <w:trPr>
          <w:jc w:val="center"/>
        </w:trPr>
        <w:tc>
          <w:tcPr>
            <w:tcW w:w="2220" w:type="dxa"/>
          </w:tcPr>
          <w:p w14:paraId="0F3B39CD" w14:textId="77777777" w:rsidR="00E83B26" w:rsidRPr="00BA4F0F" w:rsidRDefault="00E83B26" w:rsidP="002D3EBF">
            <w:pPr>
              <w:tabs>
                <w:tab w:val="left" w:pos="0"/>
              </w:tabs>
              <w:ind w:firstLine="0"/>
            </w:pPr>
            <w:r w:rsidRPr="00BA4F0F">
              <w:t>Пантопразол</w:t>
            </w:r>
          </w:p>
        </w:tc>
        <w:tc>
          <w:tcPr>
            <w:tcW w:w="1857" w:type="dxa"/>
          </w:tcPr>
          <w:p w14:paraId="6E2514CF" w14:textId="77777777" w:rsidR="00E83B26" w:rsidRPr="00BA4F0F" w:rsidRDefault="00E83B26" w:rsidP="002D3EBF">
            <w:pPr>
              <w:tabs>
                <w:tab w:val="left" w:pos="0"/>
              </w:tabs>
              <w:ind w:firstLine="0"/>
            </w:pPr>
            <w:r w:rsidRPr="00BA4F0F">
              <w:t xml:space="preserve">40 </w:t>
            </w:r>
          </w:p>
        </w:tc>
        <w:tc>
          <w:tcPr>
            <w:tcW w:w="4200" w:type="dxa"/>
          </w:tcPr>
          <w:p w14:paraId="1F9C30E7" w14:textId="77777777" w:rsidR="00E83B26" w:rsidRPr="00BA4F0F" w:rsidRDefault="00E83B26" w:rsidP="002D3EBF">
            <w:pPr>
              <w:ind w:firstLine="0"/>
            </w:pPr>
            <w:r w:rsidRPr="00BA4F0F">
              <w:t>Внутрь, 1 раз в сутки</w:t>
            </w:r>
          </w:p>
        </w:tc>
      </w:tr>
      <w:tr w:rsidR="00E83B26" w:rsidRPr="00BA4F0F" w14:paraId="7758F6D2" w14:textId="77777777" w:rsidTr="002D3EBF">
        <w:trPr>
          <w:jc w:val="center"/>
        </w:trPr>
        <w:tc>
          <w:tcPr>
            <w:tcW w:w="2220" w:type="dxa"/>
          </w:tcPr>
          <w:p w14:paraId="74A2F77F" w14:textId="77777777" w:rsidR="00E83B26" w:rsidRPr="00BA4F0F" w:rsidRDefault="00E83B26" w:rsidP="002D3EBF">
            <w:pPr>
              <w:tabs>
                <w:tab w:val="left" w:pos="0"/>
              </w:tabs>
              <w:ind w:firstLine="0"/>
            </w:pPr>
            <w:r w:rsidRPr="00BA4F0F">
              <w:t>Рабепразол</w:t>
            </w:r>
          </w:p>
        </w:tc>
        <w:tc>
          <w:tcPr>
            <w:tcW w:w="1857" w:type="dxa"/>
          </w:tcPr>
          <w:p w14:paraId="2AFDB04F" w14:textId="77777777" w:rsidR="00E83B26" w:rsidRPr="00BA4F0F" w:rsidRDefault="00E83B26" w:rsidP="002D3EBF">
            <w:pPr>
              <w:tabs>
                <w:tab w:val="left" w:pos="0"/>
              </w:tabs>
              <w:ind w:firstLine="0"/>
            </w:pPr>
            <w:r w:rsidRPr="00BA4F0F">
              <w:t>20</w:t>
            </w:r>
          </w:p>
        </w:tc>
        <w:tc>
          <w:tcPr>
            <w:tcW w:w="4200" w:type="dxa"/>
          </w:tcPr>
          <w:p w14:paraId="61619333" w14:textId="77777777" w:rsidR="00E83B26" w:rsidRPr="00BA4F0F" w:rsidRDefault="00E83B26" w:rsidP="002D3EBF">
            <w:pPr>
              <w:ind w:firstLine="0"/>
            </w:pPr>
            <w:r w:rsidRPr="00BA4F0F">
              <w:t>Внутрь, 1 раз в сутки</w:t>
            </w:r>
          </w:p>
        </w:tc>
      </w:tr>
      <w:tr w:rsidR="00E83B26" w:rsidRPr="00BA4F0F" w14:paraId="759AD14E" w14:textId="77777777" w:rsidTr="002D3EBF">
        <w:trPr>
          <w:jc w:val="center"/>
        </w:trPr>
        <w:tc>
          <w:tcPr>
            <w:tcW w:w="2220" w:type="dxa"/>
          </w:tcPr>
          <w:p w14:paraId="2B01DAB0" w14:textId="77777777" w:rsidR="00E83B26" w:rsidRPr="00BA4F0F" w:rsidRDefault="00E83B26" w:rsidP="002D3EBF">
            <w:pPr>
              <w:tabs>
                <w:tab w:val="left" w:pos="0"/>
              </w:tabs>
              <w:ind w:firstLine="0"/>
            </w:pPr>
            <w:r w:rsidRPr="00BA4F0F">
              <w:t>Эзомепразол</w:t>
            </w:r>
          </w:p>
        </w:tc>
        <w:tc>
          <w:tcPr>
            <w:tcW w:w="1857" w:type="dxa"/>
          </w:tcPr>
          <w:p w14:paraId="012F6A48" w14:textId="77777777" w:rsidR="00E83B26" w:rsidRPr="00BA4F0F" w:rsidRDefault="00E83B26" w:rsidP="002D3EBF">
            <w:pPr>
              <w:tabs>
                <w:tab w:val="left" w:pos="0"/>
              </w:tabs>
              <w:ind w:firstLine="0"/>
            </w:pPr>
            <w:r w:rsidRPr="00BA4F0F">
              <w:t>20</w:t>
            </w:r>
          </w:p>
        </w:tc>
        <w:tc>
          <w:tcPr>
            <w:tcW w:w="4200" w:type="dxa"/>
          </w:tcPr>
          <w:p w14:paraId="130D058E" w14:textId="77777777" w:rsidR="00E83B26" w:rsidRPr="00BA4F0F" w:rsidRDefault="00E83B26" w:rsidP="002D3EBF">
            <w:pPr>
              <w:ind w:firstLine="0"/>
            </w:pPr>
            <w:r w:rsidRPr="00BA4F0F">
              <w:t>Внутрь или в/в, 1 раз в сутки</w:t>
            </w:r>
          </w:p>
        </w:tc>
      </w:tr>
    </w:tbl>
    <w:p w14:paraId="4F5C95EF" w14:textId="77777777" w:rsidR="00E83B26" w:rsidRPr="00BA4F0F" w:rsidRDefault="00E83B26" w:rsidP="00E83B26">
      <w:pPr>
        <w:shd w:val="clear" w:color="auto" w:fill="FFFFFF"/>
        <w:tabs>
          <w:tab w:val="left" w:pos="0"/>
          <w:tab w:val="left" w:pos="394"/>
        </w:tabs>
        <w:rPr>
          <w:rFonts w:eastAsia="Arial Unicode MS"/>
          <w:color w:val="000000"/>
          <w:spacing w:val="4"/>
          <w:u w:color="000000"/>
        </w:rPr>
      </w:pPr>
    </w:p>
    <w:p w14:paraId="2DF0C5F8" w14:textId="77777777" w:rsidR="00E83B26" w:rsidRPr="00BA4F0F" w:rsidRDefault="00E83B26" w:rsidP="00E83B26">
      <w:pPr>
        <w:shd w:val="clear" w:color="auto" w:fill="FFFFFF"/>
        <w:tabs>
          <w:tab w:val="left" w:pos="0"/>
          <w:tab w:val="left" w:pos="394"/>
        </w:tabs>
        <w:rPr>
          <w:rFonts w:eastAsia="Arial Unicode MS"/>
          <w:color w:val="000000"/>
          <w:spacing w:val="4"/>
          <w:u w:color="000000"/>
        </w:rPr>
      </w:pPr>
      <w:r w:rsidRPr="00BA4F0F">
        <w:rPr>
          <w:rFonts w:eastAsia="Arial Unicode MS"/>
          <w:color w:val="000000"/>
          <w:spacing w:val="4"/>
          <w:u w:color="000000"/>
        </w:rPr>
        <w:t>Время суток и прием пищи не влияют на активность ИПП. Коррекции дозы при почечной недостаточности не требуется. При невозможности перорального приема ИПП вводятся внутривенно.</w:t>
      </w:r>
    </w:p>
    <w:p w14:paraId="08E79443" w14:textId="6CDB3E90" w:rsidR="00E83B26" w:rsidRPr="00BA4F0F" w:rsidRDefault="00E83B26" w:rsidP="00E83B26">
      <w:r w:rsidRPr="00BA4F0F">
        <w:t xml:space="preserve">В 1990 г. Burget и соавторы опубликовали результаты мета-анализа 300 работ, установившего, что язвы желудка и двенадцатиперстной кишки рубцуются практически во всех случаях, если рН внутрижелудочного содержимого поддерживается более 3 в течение суток на протяжении 18 часов </w:t>
      </w:r>
      <w:r w:rsidRPr="00BA4F0F">
        <w:fldChar w:fldCharType="begin" w:fldLock="1"/>
      </w:r>
      <w:r w:rsidR="003B39A6">
        <w:instrText>ADDIN CSL_CITATION {"citationItems":[{"id":"ITEM-1","itemData":{"DOI":"10.1016/0016-5085(90)91015-X","ISSN":"00165085","PMID":"2142113","abstract":"The optimal degree and duration of suppression of gastric acidity required for the healing of peptic ulcers has never been established. Although very potent inhibitors of acid secretion are now available, the need for this degree of suppression has not been shown, and there is a possibility of adverse effects because of pronounced acid inhibition. Therefore, a model has been constructed that defines the relationship between duodenal ulcer healing and antisecretory therapy. Acid suppression data were obtained directly from investigators as raw data from 24-hour studies of acid secretion. Twenty-one experiments from seven investigators provided 490 24-hour studies using 19 different treatment regimens. Healing data were collected from a metaanalysis of published clinical trials of duodenal ulcer healing. A total of 144 published trials in 14,208 patients provided healing data at several endoscopic endpoints for the 19 drug regimens for which acidity data were provided. Weighted least-squares polynomial regression analysis was used to define those parameters of antisecretory therapy that contributed most to duodenal ulcer healing and to define the shape of the response surface. A highly significant correlation (r = 0.9814) was found between healing and the degree of acid suppression, the duration of acid suppression, and the length of therapy. The shape of the contour expressing this relationship shows that healing increases as the duration of suppression increases and as gastric pH increases. However, suppression that increased pH beyond 3.0 was not found to increase ulcer healing further. It is concluded that a longer duration of antisecretory effect and/or a longer duration of therapy are of greater importance than potency for duodenal ulcer healing. © 1990.","author":[{"dropping-particle":"","family":"Burget","given":"Douglas W.","non-dropping-particle":"","parse-names":false,"suffix":""},{"dropping-particle":"","family":"Chiverton","given":"Stephen G.","non-dropping-particle":"","parse-names":false,"suffix":""},{"dropping-particle":"","family":"Hunt","given":"Richard H.","non-dropping-particle":"","parse-names":false,"suffix":""}],"container-title":"Gastroenterology","id":"ITEM-1","issue":"2","issued":{"date-parts":[["1990","8"]]},"page":"345-351","publisher":"Gastroenterology","title":"Is there an optimal degree of acid suppression for healing of duodenal ulcers? A model of the relationship between ulcer healing and acid suppression","type":"article-journal","volume":"99"},"uris":["http://www.mendeley.com/documents/?uuid=55c5fe56-6faa-4e55-bfe2-e8e5c51854a2"]}],"mendeley":{"formattedCitation":"[77]","plainTextFormattedCitation":"[77]","previouslyFormattedCitation":"[77]"},"properties":{"noteIndex":0},"schema":"https://github.com/citation-style-language/schema/raw/master/csl-citation.json"}</w:instrText>
      </w:r>
      <w:r w:rsidRPr="00BA4F0F">
        <w:fldChar w:fldCharType="separate"/>
      </w:r>
      <w:r w:rsidRPr="00E83B26">
        <w:rPr>
          <w:noProof/>
        </w:rPr>
        <w:t>[77]</w:t>
      </w:r>
      <w:r w:rsidRPr="00BA4F0F">
        <w:fldChar w:fldCharType="end"/>
      </w:r>
      <w:r w:rsidRPr="00BA4F0F">
        <w:t xml:space="preserve">. С учетом указанного правила в качестве противоязвенной терапии в настоящее время могут рассматриваться антациды, Н2-блокаторы и ИПП. Согласно одному из последних мета-анализов, при использовании ИПП или Н2-блокаторов достоверно эффективнее достигается рубцевание язвенного дефекта, а также снижается риск повторного кровотечения, по сравнению с плацебо </w:t>
      </w:r>
      <w:r w:rsidRPr="00BA4F0F">
        <w:fldChar w:fldCharType="begin" w:fldLock="1"/>
      </w:r>
      <w:r w:rsidR="003B39A6">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[79]","plainTextFormattedCitation":"[79]","previouslyFormattedCitation":"[79]"},"properties":{"noteIndex":0},"schema":"https://github.com/citation-style-language/schema/raw/master/csl-citation.json"}</w:instrText>
      </w:r>
      <w:r w:rsidRPr="00BA4F0F">
        <w:fldChar w:fldCharType="separate"/>
      </w:r>
      <w:r w:rsidRPr="00E83B26">
        <w:rPr>
          <w:noProof/>
        </w:rPr>
        <w:t>[79]</w:t>
      </w:r>
      <w:r w:rsidRPr="00BA4F0F">
        <w:fldChar w:fldCharType="end"/>
      </w:r>
      <w:r w:rsidRPr="00BA4F0F">
        <w:t xml:space="preserve">. Лишь препараты этих двух групп позволяют достигать и поддерживать необходимую рН-среду желудка, при которой происходит заживление гастродуоденальных язв. </w:t>
      </w:r>
    </w:p>
    <w:p w14:paraId="372F87A9" w14:textId="7A56782A" w:rsidR="00E83B26" w:rsidRPr="00BA4F0F" w:rsidRDefault="00E83B26" w:rsidP="00E83B26">
      <w:r w:rsidRPr="00BA4F0F">
        <w:t xml:space="preserve">В настоящее время ИПП являются средством базисной терапии. Результаты рандомизированных сравнительных исследований свидетельствуют о высокой эффективности ИПП по сравнению с Н2-блокаторами </w:t>
      </w:r>
      <w:r w:rsidRPr="00BA4F0F">
        <w:fldChar w:fldCharType="begin" w:fldLock="1"/>
      </w:r>
      <w:r w:rsidR="003B39A6">
        <w:instrText>ADDIN CSL_CITATION {"citationItems":[{"id":"ITEM-1","itemData":{"DOI":"10.4103/1319-3767.199117","ISSN":"1319-3767","abstract":"Background/Aim: To compare the efficacy and tolerance of different proton pump inhibitors (PPIs) in different doses for patients with duodenal ulcers. Materials and Methods: An electronic database was searched to collect all randomized clinical trials (RCTs), and a pairwise and network meta-analysis were performed. Results: A total of 24 RCTs involving 6188 patients were included. The network meta-analysis showed that there were no significant differences for the 4-week healing rate of duodenal ulcer treated with different PPI regimens except pantoprazle 40 mg/d versus lansoprazole 15 mg/d [Relative risk (RR) = 3.57; 95% confidence interval (CI) = 1.36-10.31)] and lansoprazole 30 mg/d versus lansoprazole 15 mg/d (RR = 2.45; 95% CI = 1.01-6.14). In comparison with H2receptor antagonists (H2RA), pantoprazole 40 mg/d and lansoprazole 30 mg/d significantly increase the healing rate (RR = 2.96; 95% CI = 1.78-5.14 and RR = 2.04; 95% CI = 1.13-3.53, respectively). There was no significant difference for the rate of adverse events between different regimens, including H2RA for a duration of 4-week of follow up. Conclusion: There was no significant difference for the efficacy and tolerance between the ordinary doses of different PPIs with the exception of lansoprazle 15 mg/d.","author":[{"dropping-particle":"","family":"Hu","given":"Zhan-Hong","non-dropping-particle":"","parse-names":false,"suffix":""},{"dropping-particle":"","family":"Shi","given":"Ai-Ming","non-dropping-particle":"","parse-names":false,"suffix":""},{"dropping-particle":"","family":"Hu","given":"Duan-Min","non-dropping-particle":"","parse-names":false,"suffix":""},{"dropping-particle":"","family":"Bao","given":"Jun-Jie","non-dropping-particle":"","parse-names":false,"suffix":""}],"container-title":"Saudi Journal of Gastroenterology","id":"ITEM-1","issue":"1","issued":{"date-parts":[["2017","1","1"]]},"page":"11","publisher":"Medknow Publications","title":"Efficacy of proton pump inhibitors for patients with duodenal ulcers: A pairwise and network meta-analysis of randomized controlled trials","type":"article-journal","volume":"23"},"uris":["http://www.mendeley.com/documents/?uuid=d523d0fc-026a-365d-b2ac-773ed8aed036"]}],"mendeley":{"formattedCitation":"[80]","plainTextFormattedCitation":"[80]","previouslyFormattedCitation":"[80]"},"properties":{"noteIndex":0},"schema":"https://github.com/citation-style-language/schema/raw/master/csl-citation.json"}</w:instrText>
      </w:r>
      <w:r w:rsidRPr="00BA4F0F">
        <w:fldChar w:fldCharType="separate"/>
      </w:r>
      <w:r w:rsidRPr="00E83B26">
        <w:rPr>
          <w:noProof/>
        </w:rPr>
        <w:t>[80]</w:t>
      </w:r>
      <w:r w:rsidRPr="00BA4F0F">
        <w:fldChar w:fldCharType="end"/>
      </w:r>
      <w:r w:rsidRPr="00BA4F0F">
        <w:t>. ИПП практически в 1,5 раза эффективнее Н2-блокаторов в отношении эпителизации язвенного дефекта</w:t>
      </w:r>
      <w:r w:rsidRPr="00BA4F0F">
        <w:fldChar w:fldCharType="begin" w:fldLock="1"/>
      </w:r>
      <w:r w:rsidR="003B39A6">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[79]","plainTextFormattedCitation":"[79]","previouslyFormattedCitation":"[79]"},"properties":{"noteIndex":0},"schema":"https://github.com/citation-style-language/schema/raw/master/csl-citation.json"}</w:instrText>
      </w:r>
      <w:r w:rsidRPr="00BA4F0F">
        <w:fldChar w:fldCharType="separate"/>
      </w:r>
      <w:r w:rsidRPr="00E83B26">
        <w:rPr>
          <w:noProof/>
        </w:rPr>
        <w:t>[79]</w:t>
      </w:r>
      <w:r w:rsidRPr="00BA4F0F">
        <w:fldChar w:fldCharType="end"/>
      </w:r>
      <w:r w:rsidRPr="00BA4F0F">
        <w:t>.</w:t>
      </w:r>
    </w:p>
    <w:p w14:paraId="35743683" w14:textId="77777777" w:rsidR="00E83B26" w:rsidRPr="00BA4F0F" w:rsidRDefault="00E83B26" w:rsidP="00E83B26">
      <w:pPr>
        <w:tabs>
          <w:tab w:val="left" w:pos="0"/>
        </w:tabs>
        <w:rPr>
          <w:b/>
        </w:rPr>
      </w:pPr>
    </w:p>
    <w:p w14:paraId="465C0A71" w14:textId="77777777" w:rsidR="00E83B26" w:rsidRPr="00BA4F0F" w:rsidRDefault="00E83B26" w:rsidP="00E83B26">
      <w:pPr>
        <w:pStyle w:val="afe"/>
        <w:ind w:left="0"/>
        <w:rPr>
          <w:rFonts w:cs="Times New Roman"/>
          <w:szCs w:val="24"/>
          <w:u w:val="single"/>
        </w:rPr>
      </w:pPr>
      <w:r w:rsidRPr="00BA4F0F">
        <w:rPr>
          <w:rFonts w:cs="Times New Roman"/>
          <w:szCs w:val="24"/>
          <w:u w:val="single"/>
        </w:rPr>
        <w:t xml:space="preserve">Блокаторы Н2-гистаминовых рецепторов </w:t>
      </w:r>
    </w:p>
    <w:p w14:paraId="54097C7F" w14:textId="77777777" w:rsidR="00E83B26" w:rsidRPr="00BA4F0F" w:rsidRDefault="00E83B26" w:rsidP="00E83B26">
      <w:pPr>
        <w:tabs>
          <w:tab w:val="left" w:pos="0"/>
        </w:tabs>
        <w:rPr>
          <w:b/>
        </w:rPr>
      </w:pPr>
      <w:r w:rsidRPr="00BA4F0F">
        <w:rPr>
          <w:b/>
        </w:rPr>
        <w:t>Фармакологическое действие</w:t>
      </w:r>
    </w:p>
    <w:p w14:paraId="0AFA001D" w14:textId="77777777" w:rsidR="00E83B26" w:rsidRPr="00BA4F0F" w:rsidRDefault="00E83B26" w:rsidP="00E83B26">
      <w:pPr>
        <w:tabs>
          <w:tab w:val="left" w:pos="0"/>
        </w:tabs>
      </w:pPr>
      <w:r w:rsidRPr="00BA4F0F">
        <w:t xml:space="preserve">Препараты, блокирующие гистаминовые Н2-рецепторы – лекарственные средства, устраняющие физиологические эффекты гистамина, блокируя рецепторы чувствительных к нему клеток. </w:t>
      </w:r>
    </w:p>
    <w:p w14:paraId="33E30232" w14:textId="77777777" w:rsidR="00E83B26" w:rsidRPr="00BA4F0F" w:rsidRDefault="00E83B26" w:rsidP="00E83B26">
      <w:pPr>
        <w:tabs>
          <w:tab w:val="left" w:pos="0"/>
        </w:tabs>
      </w:pPr>
      <w:r w:rsidRPr="00BA4F0F">
        <w:t xml:space="preserve">Популяция гистаминорецепторов состоит из 2-х подтипов, названных Н (Н1- и Н2-гистаминорецепторы). Секреторные реакции желудка при действии экзогенного или эндогенного гистамина реализуются через Н2-гистаминорецепторы. Блокаторы гистаминовых Н2-рецепторов являются конкурентными антагонистами гистамина. Наиболее выраженный эффект ассоциирован с влиянием на секрецию желез слизистой оболочки желудка. Препараты воздействуют на гистаминовые Н2-рецепторы париетальных клеток и значительно уменьшают вызванную различными раздражителями секрецию соляной кислоты. </w:t>
      </w:r>
    </w:p>
    <w:p w14:paraId="26D811B5" w14:textId="77777777" w:rsidR="00E83B26" w:rsidRPr="00BA4F0F" w:rsidRDefault="00E83B26" w:rsidP="00E83B26">
      <w:pPr>
        <w:tabs>
          <w:tab w:val="left" w:pos="0"/>
        </w:tabs>
        <w:rPr>
          <w:b/>
        </w:rPr>
      </w:pPr>
      <w:r w:rsidRPr="00BA4F0F">
        <w:rPr>
          <w:b/>
        </w:rPr>
        <w:t>Показания</w:t>
      </w:r>
    </w:p>
    <w:p w14:paraId="4A2C028D" w14:textId="77777777" w:rsidR="00E83B26" w:rsidRPr="00BA4F0F" w:rsidRDefault="00E83B26" w:rsidP="00A555B2">
      <w:pPr>
        <w:numPr>
          <w:ilvl w:val="0"/>
          <w:numId w:val="207"/>
        </w:numPr>
        <w:tabs>
          <w:tab w:val="left" w:pos="0"/>
        </w:tabs>
        <w:ind w:left="0" w:firstLine="709"/>
        <w:contextualSpacing/>
      </w:pPr>
      <w:r w:rsidRPr="00BA4F0F">
        <w:t>Профилактика/лечение язвенной болезни желудка и двенадцатиперстной кишки, в том числе на фоне высокодозной химиотерапии</w:t>
      </w:r>
    </w:p>
    <w:p w14:paraId="156AC519" w14:textId="77777777" w:rsidR="00E83B26" w:rsidRPr="00BA4F0F" w:rsidRDefault="00E83B26" w:rsidP="00E83B26">
      <w:pPr>
        <w:tabs>
          <w:tab w:val="left" w:pos="0"/>
        </w:tabs>
        <w:rPr>
          <w:b/>
        </w:rPr>
      </w:pPr>
      <w:r w:rsidRPr="00BA4F0F">
        <w:rPr>
          <w:b/>
        </w:rPr>
        <w:t>5.3. Режим дозирования</w:t>
      </w:r>
    </w:p>
    <w:p w14:paraId="3C181CCF" w14:textId="77777777" w:rsidR="00E83B26" w:rsidRPr="006E1ADA" w:rsidRDefault="00E83B26" w:rsidP="00E83B26">
      <w:pPr>
        <w:tabs>
          <w:tab w:val="left" w:pos="0"/>
        </w:tabs>
      </w:pPr>
      <w:r w:rsidRPr="00BA4F0F">
        <w:t>Пациентам во время проведения курсов специфической противоопухолевой терапии, с профилактической целью рекомендован прием блокаторов Н2-</w:t>
      </w:r>
      <w:r w:rsidRPr="006E1ADA">
        <w:t>гистаминовых рецепторов в указанных в таблице 10 дозах.</w:t>
      </w:r>
    </w:p>
    <w:p w14:paraId="04160B0B" w14:textId="77777777" w:rsidR="00E83B26" w:rsidRPr="006E1ADA" w:rsidRDefault="00E83B26" w:rsidP="00E83B26">
      <w:pPr>
        <w:tabs>
          <w:tab w:val="left" w:pos="0"/>
        </w:tabs>
      </w:pPr>
    </w:p>
    <w:p w14:paraId="5CB2504E" w14:textId="77777777" w:rsidR="00E83B26" w:rsidRPr="00BA4F0F" w:rsidRDefault="00E83B26" w:rsidP="00E83B26">
      <w:pPr>
        <w:tabs>
          <w:tab w:val="left" w:pos="0"/>
        </w:tabs>
      </w:pPr>
      <w:r w:rsidRPr="006E1ADA">
        <w:t>Таблица 10. Режим дозирования блокаторов Н2-гистаминовых рецепторов</w:t>
      </w:r>
      <w:r w:rsidRPr="00BA4F0F">
        <w:t xml:space="preserve"> </w:t>
      </w:r>
    </w:p>
    <w:tbl>
      <w:tblPr>
        <w:tblStyle w:val="31"/>
        <w:tblW w:w="0" w:type="auto"/>
        <w:jc w:val="center"/>
        <w:tblLook w:val="04A0" w:firstRow="1" w:lastRow="0" w:firstColumn="1" w:lastColumn="0" w:noHBand="0" w:noVBand="1"/>
      </w:tblPr>
      <w:tblGrid>
        <w:gridCol w:w="2220"/>
        <w:gridCol w:w="1857"/>
        <w:gridCol w:w="3491"/>
      </w:tblGrid>
      <w:tr w:rsidR="00E83B26" w:rsidRPr="00BA4F0F" w14:paraId="60AB8543" w14:textId="77777777" w:rsidTr="002D3EBF">
        <w:trPr>
          <w:jc w:val="center"/>
        </w:trPr>
        <w:tc>
          <w:tcPr>
            <w:tcW w:w="2220" w:type="dxa"/>
          </w:tcPr>
          <w:p w14:paraId="3FBF99BA" w14:textId="77777777" w:rsidR="00E83B26" w:rsidRPr="00BA4F0F" w:rsidRDefault="00E83B26" w:rsidP="002D3EBF">
            <w:pPr>
              <w:tabs>
                <w:tab w:val="left" w:pos="0"/>
              </w:tabs>
              <w:ind w:firstLine="0"/>
              <w:jc w:val="center"/>
              <w:rPr>
                <w:b/>
              </w:rPr>
            </w:pPr>
            <w:r w:rsidRPr="00BA4F0F">
              <w:rPr>
                <w:b/>
              </w:rPr>
              <w:t>Препараты</w:t>
            </w:r>
          </w:p>
        </w:tc>
        <w:tc>
          <w:tcPr>
            <w:tcW w:w="1857" w:type="dxa"/>
          </w:tcPr>
          <w:p w14:paraId="347942CC" w14:textId="77777777" w:rsidR="00E83B26" w:rsidRPr="00BA4F0F" w:rsidRDefault="00E83B26" w:rsidP="002D3EBF">
            <w:pPr>
              <w:tabs>
                <w:tab w:val="left" w:pos="0"/>
              </w:tabs>
              <w:ind w:firstLine="0"/>
              <w:jc w:val="center"/>
              <w:rPr>
                <w:b/>
              </w:rPr>
            </w:pPr>
            <w:r w:rsidRPr="00BA4F0F">
              <w:rPr>
                <w:b/>
              </w:rPr>
              <w:t>Суточная доза, мг</w:t>
            </w:r>
          </w:p>
        </w:tc>
        <w:tc>
          <w:tcPr>
            <w:tcW w:w="3491" w:type="dxa"/>
          </w:tcPr>
          <w:p w14:paraId="2B0457DD" w14:textId="77777777" w:rsidR="00E83B26" w:rsidRPr="00BA4F0F" w:rsidRDefault="00E83B26" w:rsidP="002D3EBF">
            <w:pPr>
              <w:tabs>
                <w:tab w:val="left" w:pos="0"/>
              </w:tabs>
              <w:ind w:firstLine="0"/>
              <w:jc w:val="center"/>
              <w:rPr>
                <w:b/>
              </w:rPr>
            </w:pPr>
            <w:r w:rsidRPr="00BA4F0F">
              <w:rPr>
                <w:b/>
              </w:rPr>
              <w:t>Режим дозирования</w:t>
            </w:r>
          </w:p>
        </w:tc>
      </w:tr>
      <w:tr w:rsidR="00E83B26" w:rsidRPr="00BA4F0F" w14:paraId="3E5DA88F" w14:textId="77777777" w:rsidTr="002D3EBF">
        <w:trPr>
          <w:jc w:val="center"/>
        </w:trPr>
        <w:tc>
          <w:tcPr>
            <w:tcW w:w="2220" w:type="dxa"/>
          </w:tcPr>
          <w:p w14:paraId="2F243C39" w14:textId="77777777" w:rsidR="00E83B26" w:rsidRPr="00BA4F0F" w:rsidRDefault="00E83B26" w:rsidP="002D3EBF">
            <w:pPr>
              <w:tabs>
                <w:tab w:val="left" w:pos="0"/>
              </w:tabs>
              <w:ind w:firstLine="0"/>
            </w:pPr>
            <w:r w:rsidRPr="00BA4F0F">
              <w:t>Ранитидин</w:t>
            </w:r>
          </w:p>
        </w:tc>
        <w:tc>
          <w:tcPr>
            <w:tcW w:w="1857" w:type="dxa"/>
          </w:tcPr>
          <w:p w14:paraId="1C272B3B" w14:textId="77777777" w:rsidR="00E83B26" w:rsidRPr="00BA4F0F" w:rsidRDefault="00E83B26" w:rsidP="002D3EBF">
            <w:pPr>
              <w:tabs>
                <w:tab w:val="left" w:pos="0"/>
              </w:tabs>
              <w:ind w:firstLine="0"/>
            </w:pPr>
            <w:r w:rsidRPr="00BA4F0F">
              <w:t>150</w:t>
            </w:r>
          </w:p>
        </w:tc>
        <w:tc>
          <w:tcPr>
            <w:tcW w:w="3491" w:type="dxa"/>
          </w:tcPr>
          <w:p w14:paraId="25B225B7" w14:textId="77777777" w:rsidR="00E83B26" w:rsidRPr="00BA4F0F" w:rsidRDefault="00E83B26" w:rsidP="002D3EBF">
            <w:pPr>
              <w:tabs>
                <w:tab w:val="left" w:pos="0"/>
              </w:tabs>
              <w:ind w:firstLine="0"/>
            </w:pPr>
            <w:r w:rsidRPr="00BA4F0F">
              <w:t>Внутрь, 1 раз в сутки, на ночь</w:t>
            </w:r>
          </w:p>
        </w:tc>
      </w:tr>
      <w:tr w:rsidR="00E83B26" w:rsidRPr="00BA4F0F" w14:paraId="69133AF3" w14:textId="77777777" w:rsidTr="002D3EBF">
        <w:trPr>
          <w:jc w:val="center"/>
        </w:trPr>
        <w:tc>
          <w:tcPr>
            <w:tcW w:w="2220" w:type="dxa"/>
          </w:tcPr>
          <w:p w14:paraId="2A184FF1" w14:textId="77777777" w:rsidR="00E83B26" w:rsidRPr="00BA4F0F" w:rsidRDefault="00E83B26" w:rsidP="002D3EBF">
            <w:pPr>
              <w:tabs>
                <w:tab w:val="left" w:pos="0"/>
              </w:tabs>
              <w:ind w:firstLine="0"/>
            </w:pPr>
            <w:r w:rsidRPr="00BA4F0F">
              <w:t>Фамотидин</w:t>
            </w:r>
          </w:p>
        </w:tc>
        <w:tc>
          <w:tcPr>
            <w:tcW w:w="1857" w:type="dxa"/>
          </w:tcPr>
          <w:p w14:paraId="01BF89CD" w14:textId="77777777" w:rsidR="00E83B26" w:rsidRPr="00BA4F0F" w:rsidRDefault="00E83B26" w:rsidP="002D3EBF">
            <w:pPr>
              <w:tabs>
                <w:tab w:val="left" w:pos="0"/>
              </w:tabs>
              <w:ind w:firstLine="0"/>
            </w:pPr>
            <w:r w:rsidRPr="00BA4F0F">
              <w:t xml:space="preserve">20 </w:t>
            </w:r>
          </w:p>
        </w:tc>
        <w:tc>
          <w:tcPr>
            <w:tcW w:w="3491" w:type="dxa"/>
          </w:tcPr>
          <w:p w14:paraId="2C162842" w14:textId="77777777" w:rsidR="00E83B26" w:rsidRPr="00BA4F0F" w:rsidRDefault="00E83B26" w:rsidP="002D3EBF">
            <w:pPr>
              <w:ind w:firstLine="0"/>
            </w:pPr>
            <w:r w:rsidRPr="00BA4F0F">
              <w:t>Внутрь, 1 раз в сутки, на ночь</w:t>
            </w:r>
          </w:p>
        </w:tc>
      </w:tr>
    </w:tbl>
    <w:p w14:paraId="21C97E5B" w14:textId="77777777" w:rsidR="00E83B26" w:rsidRPr="00BA4F0F" w:rsidRDefault="00E83B26" w:rsidP="00E83B26">
      <w:pPr>
        <w:autoSpaceDE w:val="0"/>
        <w:autoSpaceDN w:val="0"/>
        <w:adjustRightInd w:val="0"/>
        <w:rPr>
          <w:iCs/>
        </w:rPr>
      </w:pPr>
    </w:p>
    <w:p w14:paraId="4A01291F" w14:textId="26A91D3D" w:rsidR="00E83B26" w:rsidRPr="00BA4F0F" w:rsidRDefault="00E83B26" w:rsidP="00E83B26">
      <w:pPr>
        <w:autoSpaceDE w:val="0"/>
        <w:autoSpaceDN w:val="0"/>
        <w:adjustRightInd w:val="0"/>
        <w:rPr>
          <w:iCs/>
        </w:rPr>
      </w:pPr>
      <w:r w:rsidRPr="00BA4F0F">
        <w:rPr>
          <w:iCs/>
        </w:rPr>
        <w:t xml:space="preserve">Н2-блокаторы гистамина подавляют секрецию соляной кислоты за счет вытеснения гистамина из связи с Н2-рецепторами париетальных клеток. Препараты этой группы поддерживают показатели внутрижелудочного рН &gt; 3 на протяжении суток. Проведенные исследования показали, что применение Н2-блокаторов в течение 1-1,5 месяца приводит к рубцеванию язвенного дефекта у 70–80 % пациентов с дуоденальными язвами и у 55–60 % пациентов с язвами желудка </w:t>
      </w:r>
      <w:r w:rsidRPr="00BA4F0F">
        <w:rPr>
          <w:iCs/>
        </w:rPr>
        <w:fldChar w:fldCharType="begin" w:fldLock="1"/>
      </w:r>
      <w:r w:rsidR="003B39A6">
        <w:rPr>
          <w:iCs/>
        </w:rPr>
        <w:instrText>ADDIN CSL_CITATION {"citationItems":[{"id":"ITEM-1","itemData":{"DOI":"10.1016/S0140-6736(16)32404-7","ISSN":"1474-547X","PMID":"28242110","abstract":"The rapidly declining prevalence of Helicobacter pylori infection and widespread use of potent anti-secretory drugs means peptic ulcer disease has become substantially less prevalent than it was two decades ago. Management has, however, become more challenging than ever because of the threat of increasing antimicrobial resistance worldwide and widespread use of complex anti-thrombotic therapy in the ageing population. Peptic ulcers not associated with H pylori infection or the use of non-steroidal anti-inflammatory drugs are now also imposing substantial diagnostic and therapeutic challenges. This Seminar aims to provide a balanced overview of the latest advances in the pathogenetic mechanisms of peptic ulcers, guidelines on therapies targeting H pylori infection, approaches to treatment of peptic ulcer complications associated with anti-inflammatory analgesics and anti-thrombotic agents, and the unmet needs in terms of our knowledge and management of this increasingly challenging condition.","author":[{"dropping-particle":"","family":"Lanas","given":"Angel","non-dropping-particle":"","parse-names":false,"suffix":""},{"dropping-particle":"","family":"Chan","given":"Francis K L","non-dropping-particle":"","parse-names":false,"suffix":""}],"container-title":"Lancet (London, England)","id":"ITEM-1","issue":"10094","issued":{"date-parts":[["2017"]]},"page":"613-624","publisher":"Lancet","title":"Peptic ulcer disease.","type":"article-journal","volume":"390"},"uris":["http://www.mendeley.com/documents/?uuid=dcbc625a-2314-3bed-910d-92b1cdf9da49","http://www.mendeley.com/documents/?uuid=624fee9b-1b8b-4f2d-a0e5-4146c75dcad9"]}],"mendeley":{"formattedCitation":"[138]","plainTextFormattedCitation":"[138]","previouslyFormattedCitation":"[138]"},"properties":{"noteIndex":0},"schema":"https://github.com/citation-style-language/schema/raw/master/csl-citation.json"}</w:instrText>
      </w:r>
      <w:r w:rsidRPr="00BA4F0F">
        <w:rPr>
          <w:iCs/>
        </w:rPr>
        <w:fldChar w:fldCharType="separate"/>
      </w:r>
      <w:r w:rsidRPr="00E83B26">
        <w:rPr>
          <w:iCs/>
          <w:noProof/>
        </w:rPr>
        <w:t>[138]</w:t>
      </w:r>
      <w:r w:rsidRPr="00BA4F0F">
        <w:rPr>
          <w:iCs/>
        </w:rPr>
        <w:fldChar w:fldCharType="end"/>
      </w:r>
      <w:r w:rsidRPr="00BA4F0F">
        <w:rPr>
          <w:iCs/>
        </w:rPr>
        <w:t xml:space="preserve">. Н2-блокаторы значительно эффективнее плацебо в достижении рубцевания язвенного дефекта </w:t>
      </w:r>
      <w:r w:rsidRPr="00BA4F0F">
        <w:rPr>
          <w:iCs/>
        </w:rPr>
        <w:fldChar w:fldCharType="begin" w:fldLock="1"/>
      </w:r>
      <w:r w:rsidR="003B39A6">
        <w:rPr>
          <w:iCs/>
        </w:rPr>
        <w:instrText>ADDIN CSL_CITATION {"citationItems":[{"id":"ITEM-1","itemData":{"DOI":"10.1016/S2468-1253(18)30037-2","ISSN":"24681253","PMID":"29475806","abstract":"Background: Gastroprotectant drugs are used for the prevention and treatment of peptic ulcer disease and might reduce its associated complications, but reliable estimates of the effects of gastroprotectants in different clinical settings are scarce. We aimed to examine the effects of proton-pump inhibitors (PPIs), prostaglandin analogues, and histamine-2 receptor antagonists (H2RAs) in different clinical circumstances by doing meta-analyses of tabular data from all relevant unconfounded randomised trials of gastroprotectant drugs. Methods: We searched MEDLINE and Embase from Jan 1, 1950, to Dec 31, 2015, to identify unconfounded, randomised trials of a gastroprotectant drug (defined as a PPI, prostaglandin analogue, or H2RA) versus control, or versus another gastroprotectant. Two independent researchers reviewed the search results and extracted the prespecified outcomes and key characteristics for each trial. We did meta-analyses of the effects of gastroprotectant drugs on ulcer development, bleeding, and mortality overall, according to the class of gastroprotectant, and according to the individual drug within a gastroprotectant class. Findings: We identified comparisons of gastroprotectant versus control in 849 trials (142 485 participants): 580 prevention trials (110 626 participants), 233 healing trials (24 033 participants), and 36 trials for the treatment of acute upper gastrointestinal bleeding (7826 participants). Comparisons of one gastroprotectant drug versus another were available in 345 trials (64 905 participants), comprising 160 prevention trials (32 959 participants), 167 healing trials (28 306 participants), and 18 trials for treatment of acute upper gastrointestinal bleeding (3640 participants). The median number of patients in each trial was 78 (IQR 44·0–210·5) and the median duration was 1·4 months (0·9–2·8). In prevention trials, gastroprotectant drugs reduced development of endoscopic ulcers (odds ratio [OR] 0·27, 95% CI 0·25–0·29; p&lt;0·0001), symptomatic ulcers (0·25, 0·22–0·29; p&lt;0·0001), and upper gastrointestinal bleeding (0·40, 0·32–0·50; p&lt;0·0001), but did not significantly reduce mortality (0·85, 0·69–1·04; p=0·11). Larger proportional reductions in upper gastrointestinal bleeding were observed for PPIs than for other gastroprotectant drugs (PPIs 0·21, 99% CI 0·12–0·36; prostaglandin analogues 0·63, 0·35–1·12; H2RAs 0·49, 0·30–0·80; phet=0·0005). Gastroprotectant drugs were effective in preventing bleeding irrespective of the u…","author":[{"dropping-particle":"","family":"Scally","given":"Benjamin","non-dropping-particle":"","parse-names":false,"suffix":""},{"dropping-particle":"","family":"Emberson","given":"Jonathan R.","non-dropping-particle":"","parse-names":false,"suffix":""},{"dropping-particle":"","family":"Spata","given":"Enti","non-dropping-particle":"","parse-names":false,"suffix":""},{"dropping-particle":"","family":"Reith","given":"Christina","non-dropping-particle":"","parse-names":false,"suffix":""},{"dropping-particle":"","family":"Davies","given":"Kelly","non-dropping-particle":"","parse-names":false,"suffix":""},{"dropping-particle":"","family":"Halls","given":"Heather","non-dropping-particle":"","parse-names":false,"suffix":""},{"dropping-particle":"","family":"Holland","given":"Lisa","non-dropping-particle":"","parse-names":false,"suffix":""},{"dropping-particle":"","family":"Wilson","given":"Kate","non-dropping-particle":"","parse-names":false,"suffix":""},{"dropping-particle":"","family":"Bhala","given":"Neeraj","non-dropping-particle":"","parse-names":false,"suffix":""},{"dropping-particle":"","family":"Hawkey","given":"Christopher","non-dropping-particle":"","parse-names":false,"suffix":""},{"dropping-particle":"","family":"Hochberg","given":"Marc","non-dropping-particle":"","parse-names":false,"suffix":""},{"dropping-particle":"","family":"Hunt","given":"Richard","non-dropping-particle":"","parse-names":false,"suffix":""},{"dropping-particle":"","family":"Laine","given":"Loren","non-dropping-particle":"","parse-names":false,"suffix":""},{"dropping-particle":"","family":"Lanas","given":"Angel","non-dropping-particle":"","parse-names":false,"suffix":""},{"dropping-particle":"","family":"Patrono","given":"Carlo","non-dropping-particle":"","parse-names":false,"suffix":""},{"dropping-particle":"","family":"Baigent","given":"Colin","non-dropping-particle":"","parse-names":false,"suffix":""}],"container-title":"The Lancet Gastroenterology and Hepatology","id":"ITEM-1","issue":"4","issued":{"date-parts":[["2018","4","1"]]},"page":"231-241","publisher":"Elsevier Ltd","title":"Effects of gastroprotectant drugs for the prevention and treatment of peptic ulcer disease and its complications: a meta-analysis of randomised trials","type":"article-journal","volume":"3"},"uris":["http://www.mendeley.com/documents/?uuid=f1962b3a-e3e6-3474-95a8-4fc5245efa04"]}],"mendeley":{"formattedCitation":"[79]","plainTextFormattedCitation":"[79]","previouslyFormattedCitation":"[79]"},"properties":{"noteIndex":0},"schema":"https://github.com/citation-style-language/schema/raw/master/csl-citation.json"}</w:instrText>
      </w:r>
      <w:r w:rsidRPr="00BA4F0F">
        <w:rPr>
          <w:iCs/>
        </w:rPr>
        <w:fldChar w:fldCharType="separate"/>
      </w:r>
      <w:r w:rsidRPr="00E83B26">
        <w:rPr>
          <w:iCs/>
          <w:noProof/>
        </w:rPr>
        <w:t>[79]</w:t>
      </w:r>
      <w:r w:rsidRPr="00BA4F0F">
        <w:rPr>
          <w:iCs/>
        </w:rPr>
        <w:fldChar w:fldCharType="end"/>
      </w:r>
      <w:r w:rsidRPr="00BA4F0F">
        <w:rPr>
          <w:iCs/>
        </w:rPr>
        <w:t>. Тем не менее, после внедрения ИПП в клиническую практику в качестве базисной антисекреторной терапии, Н2-блокаторы применяются реже, главным образом при невозможности применения ИПП.</w:t>
      </w:r>
    </w:p>
    <w:p w14:paraId="29936FB7" w14:textId="77777777" w:rsidR="00E83B26" w:rsidRPr="00BA4F0F" w:rsidRDefault="00E83B26" w:rsidP="00E83B26">
      <w:pPr>
        <w:rPr>
          <w:b/>
          <w:highlight w:val="green"/>
        </w:rPr>
      </w:pPr>
      <w:bookmarkStart w:id="161" w:name="_Toc44926638"/>
    </w:p>
    <w:p w14:paraId="18319713" w14:textId="77777777" w:rsidR="00E83B26" w:rsidRPr="00BA4F0F" w:rsidRDefault="00E83B26" w:rsidP="00E83B26">
      <w:pPr>
        <w:rPr>
          <w:b/>
        </w:rPr>
      </w:pPr>
      <w:r w:rsidRPr="00BA4F0F">
        <w:rPr>
          <w:b/>
        </w:rPr>
        <w:t>Антимикробная терапия</w:t>
      </w:r>
      <w:bookmarkEnd w:id="161"/>
    </w:p>
    <w:p w14:paraId="417D7457" w14:textId="1EA7C7F1" w:rsidR="00E83B26" w:rsidRPr="00BA4F0F" w:rsidRDefault="00E83B26" w:rsidP="00E83B26">
      <w:pPr>
        <w:tabs>
          <w:tab w:val="left" w:pos="0"/>
          <w:tab w:val="left" w:pos="567"/>
        </w:tabs>
      </w:pPr>
      <w:r w:rsidRPr="00BA4F0F">
        <w:t xml:space="preserve">Применение высокодозной химиотерапии с последующей трансплантацией аутологичных стволовых клеток крови по данным различных авторов приводит к развитию инфекционных осложнений более чем у 90 % больных </w:t>
      </w:r>
      <w:r w:rsidRPr="00BA4F0F">
        <w:fldChar w:fldCharType="begin" w:fldLock="1"/>
      </w:r>
      <w:r w:rsidR="003B39A6">
        <w:instrText>ADDIN CSL_CITATION {"citationItems":[{"id":"ITEM-1","itemData":{"DOI":"10.1007/s00277-002-0484-1","ISSN":"09395555","abstract":"It is yet undetermined whether patients with different hematological malignancies have different pro-pensities to infectious complications after high-dose chemotherapy (HDC) and autologous hematopoietic stem cell transplantation (HSCT). We retrospectively analyzed 136 cycles of HDC and autologous HSCT in 114 patients with acute myeloid leukemia (AML, 24 cycles), non-Hodgkin's lymphoma/Hodgkin's disease (NHL/HD, 55 cycles), and multiple myeloma (MM, 57 cycles) with respect to early infectious complications. Median duration of neutropenia was longer in patients with AML and NHL/HD than in patients with MM (11 days vs 8 days) and after conditioning including total body irradiation (TBI) compared with chemotherapy only preparative regimens (11 days vs 7 days). Fever requiring antimicrobial therapy was observed in 88% of cycles, with fever of unknown origin (FUO) accounting for 60% of febrile episodes. There was no proven fungal infection, but one case of probable invasive pulmonary aspergillosis. Microbiologically documented infections were seen in 29% and clinically documented infections in 11%. Response to first-line empirical antibiotic therapy was better for FUO than for documented infections (70% vs 40%). Patients with TBI as part of their conditioning regimen had more overall infections than patients without TBI (96% vs 82%). There were no differences with respect to the type or incidence of infections between patients with AML, NHL/HD, and MM. Patients with different hematological malignancies have similar rates of early infectious complications after HDC and autologous HSCT. TBI may be associated with an increased risk for infections in the early post-transplant period.","author":[{"dropping-particle":"","family":"Auner","given":"H. W.","non-dropping-particle":"","parse-names":false,"suffix":""},{"dropping-particle":"","family":"Sill","given":"H.","non-dropping-particle":"","parse-names":false,"suffix":""},{"dropping-particle":"","family":"Mulabecirovic","given":"A.","non-dropping-particle":"","parse-names":false,"suffix":""},{"dropping-particle":"","family":"Linkesch","given":"W.","non-dropping-particle":"","parse-names":false,"suffix":""},{"dropping-particle":"","family":"Krause","given":"R.","non-dropping-particle":"","parse-names":false,"suffix":""}],"container-title":"Annals of Hematology","id":"ITEM-1","issue":"7","issued":{"date-parts":[["2002"]]},"page":"374-377","publisher":"Ann Hematol","title":"Infectious complications after autologous hematopoietic stem cell transplantation: Comparison of patients with acute myeloid leukemia, malignant lymphoma, and multiple myeloma","type":"article-journal","volume":"81"},"uris":["http://www.mendeley.com/documents/?uuid=f1a86368-84b1-3c12-a8de-28ac6a6f005c","http://www.mendeley.com/documents/?uuid=4fdc9fd0-5eb8-4b96-b6b8-9b8085bef2b6","http://www.mendeley.com/documents/?uuid=81487a63-368f-45a3-96bd-a065db655523","http://www.mendeley.com/documents/?uuid=3f2b3f0f-80f0-426a-b243-a2231ace928a","http://www.mendeley.com/documents/?uuid=9ea48387-c84f-41f8-868e-392b32d4973d","http://www.mendeley.com/documents/?uuid=214eabb8-c545-489f-ad37-bd70dd8865a6","http://www.mendeley.com/documents/?uuid=f9b66049-e8d5-49d2-9034-b13f690ee446","http://www.mendeley.com/documents/?uuid=dc5e0773-1562-4dba-8594-e4550238c737"]},{"id":"ITEM-2","itemData":{"DOI":"10.1007/s15010-007-6350-2","ISSN":"03008126","abstract":"Background: Infectious complications occur in most of the patients receiving high-dose therapy (HDT) and autologous hematopoietic stem cell transplantation (HSCT). The objective of the study was to analyze of the type and incidence of infectious complications during neutropenia after HDT and autologous HSCT with respect to risk factors related to stem cell transplant setting in patients treated for hematological malignancies in a single center. Patients and Methods: A total number of 314 patients diagnosed for Hodgkin's disease (HD), non-Hodgkin's lymphoma (NHL), acute myeloid leukemia (AML), multiple myeloma (MM) or acute lymphoblastic leukemia (ALL) were included in the study. Analysis of risk factors and outcome of infections after HDT and autologous HSCT was performed. Results: Infectious complications during neutropenia after HDT occurred in 92.3% patients. Microbiologically documented infections (MDI) accounted for 38.9% of febrile episodes, clinically documented infections (CDI) for 9.3%, and fever of unknown origin (FUO) for 51.7% cases. Median time to defervescence with antibiotic therapy was seven days for FUO and nine days for documented infections (p &lt; 0.001). Duration of infection correlated with the length of very severe neutropenia (p &lt; 0.001). Response to first-line antibiotic therapy was seen in 34% patients. Infections were fatal in 12 (3.8%) patients. The highest probability of infection was observed for ALL and AML patients, especially these conditioned with total body irradiation (TBI). Conclusion: Patients at high risk of infection after autologous HSCT were identified as those with acute leukemia and those after conditioning with TBI, all with prolonged neutropenia. We suggest that newer prophylactic strategies should be administered to these groups of patients. © 2007 Urban &amp; Vogel.","author":[{"dropping-particle":"","family":"Gil","given":"L.","non-dropping-particle":"","parse-names":false,"suffix":""},{"dropping-particle":"","family":"Styczynski","given":"J.","non-dropping-particle":"","parse-names":false,"suffix":""},{"dropping-particle":"","family":"Komarnicki","given":"M.","non-dropping-particle":"","parse-names":false,"suffix":""}],"container-title":"Infection","id":"ITEM-2","issue":"6","issued":{"date-parts":[["2007","12"]]},"page":"421-427","publisher":"Infection","title":"Infectious complication in 314 patients after high-dose therapy and autologous hematopoietic stem cell transplantation: Risk factors analysis and outcome","type":"article-journal","volume":"35"},"uris":["http://www.mendeley.com/documents/?uuid=2484101e-8b0b-3a5f-a697-4baf2d1f00ec","http://www.mendeley.com/documents/?uuid=4b9974a2-0e3e-44ce-ac02-f3dad90354f7","http://www.mendeley.com/documents/?uuid=621597e4-9f72-47a3-98b8-f1cb6c6ec284","http://www.mendeley.com/documents/?uuid=2a53cc22-2809-49ef-869c-a3d053a9fe19","http://www.mendeley.com/documents/?uuid=9f0564c3-3b67-41ba-875e-02194c8b103f","http://www.mendeley.com/documents/?uuid=02c86a55-b501-43b0-aca1-e8355618aa56","http://www.mendeley.com/documents/?uuid=aa713873-711b-4840-84ae-7ab465fc9da8","http://www.mendeley.com/documents/?uuid=7e6ea6ab-47bd-4208-9803-60b645a808e3"]},{"id":"ITEM-3","itemData":{"DOI":"10.1002/ajh.21855","ISSN":"03618609","abstract":"One hundred and fifty-seven patients undergoing high-dose chemotherapy (HDT) and autologous stem-cell transplantation (ASCT) for hematopoietic malignancies and solid tumors were randomly assigned to receive (Group A) or not (Group B) prophylaxis with ciprofloxacin, orally, and vancomycin, intravenously. Prophylactic antibiotics were given from day 0 until resolution of neutropenia or the appearance of a febrile event. Furthermore, patients in both groups received once a day fluconazole, orally. The primary end-point of our study was the incidence of neutropenic febrile episodes attributed to infection. One hundred and twelve (71.3%) patients developed neutropenic fever, 50 (56.2%) in Group A and 62 (91.2%) in Group B (P &lt; 0.001) with the majority (82%) of patients developing fever of unknown origin. Patients on prophylactic antibiotics had a significantly lower rate of bacteremias (5.6%) than did those randomized to no prophylaxis (29.4%) (P = 0.005) and, when developing neutropenic fever, they had a lower probability of response to first-line empirical antibiotics (P = 0.025). Prophylactic administration of ciprofloxacin and vancomycin reduced the incidence of neutropenic fever in patients receiving HDT with ASCT, however, without affecting the total interval of hospitalization, time to engraftment, or all-cause mortality. Therefore, our results do not support the use of antibiotic prophylaxis for patients undergoing HDT and ASCT. © 2010 Wiley-Liss, Inc.","author":[{"dropping-particle":"","family":"Eleutherakis-Papaiakovou","given":"Evangelos","non-dropping-particle":"","parse-names":false,"suffix":""},{"dropping-particle":"","family":"Kostis","given":"Evangelos","non-dropping-particle":"","parse-names":false,"suffix":""},{"dropping-particle":"","family":"Migkou","given":"Magda","non-dropping-particle":"","parse-names":false,"suffix":""},{"dropping-particle":"","family":"Christoulas","given":"Dimitrios","non-dropping-particle":"","parse-names":false,"suffix":""},{"dropping-particle":"","family":"Terpos","given":"Evangelos","non-dropping-particle":"","parse-names":false,"suffix":""},{"dropping-particle":"","family":"Gavriatopoulou","given":"Maria","non-dropping-particle":"","parse-names":false,"suffix":""},{"dropping-particle":"","family":"Roussou","given":"Maria","non-dropping-particle":"","parse-names":false,"suffix":""},{"dropping-particle":"","family":"Bournakis","given":"Evangelos","non-dropping-particle":"","parse-names":false,"suffix":""},{"dropping-particle":"","family":"Kastritis","given":"Efstathios","non-dropping-particle":"","parse-names":false,"suffix":""},{"dropping-particle":"","family":"Efstathiou","given":"Eleni","non-dropping-particle":"","parse-names":false,"suffix":""},{"dropping-particle":"","family":"Dimopoulos","given":"Meletios A.","non-dropping-particle":"","parse-names":false,"suffix":""},{"dropping-particle":"","family":"Papadimitriou","given":"Christos A.","non-dropping-particle":"","parse-names":false,"suffix":""}],"container-title":"American Journal of Hematology","id":"ITEM-3","issue":"11","issued":{"date-parts":[["2010","11"]]},"page":"863-867","publisher":"Am J Hematol","title":"Prophylactic antibiotics for the prevention of neutropenic fever in patients undergoing autologous stem-cell transplantation: Results of a single institution, randomized phase 2 trial","type":"article-journal","volume":"85"},"uris":["http://www.mendeley.com/documents/?uuid=e9c8d6a3-bf24-3a10-be69-dbf56d33e220","http://www.mendeley.com/documents/?uuid=53d1d1c5-dcbb-4103-80be-837e10537355","http://www.mendeley.com/documents/?uuid=6e7642af-251b-4056-bc76-4c25fd6ab0e5","http://www.mendeley.com/documents/?uuid=16f62455-5dc2-4a1d-b988-18db9ac13408","http://www.mendeley.com/documents/?uuid=4c4353f2-c724-4054-bfb5-29023200ae81","http://www.mendeley.com/documents/?uuid=9a4fea57-5691-4c44-8c79-67124536a57e","http://www.mendeley.com/documents/?uuid=dc975761-e88a-4365-8582-efe82fb0848d","http://www.mendeley.com/documents/?uuid=d790a518-2556-405a-9e4a-e8c3041eb741"]},{"id":"ITEM-4","itemData":{"DOI":"10.1007/s00277-013-1698-0","ISSN":"09395555","abstract":"Bacterial infections are the most common cause for treatment-related mortality in patients with neutropenia after chemotherapy. Here, we discuss the use of antibacterial prophylaxis against bacteria and Pneumocystis pneumonia (PCP) in neutropenic cancer patients and offer guidance towards the choice of drug. A literature search was performed to screen all articles published between September 2000 and January 2012 on antibiotic prophylaxis in neutropenic cancer patients. The authors assembled original reports and meta-analysis from the literature and drew conclusions, which were discussed and approved in a consensus conference of the Infectious Disease Working Party of the German Society of Hematology and Oncology (AGIHO). Antibacterial prophylaxis has led to a reduction of febrile events and infections. A significant reduction of overall mortality could only be shown in a meta-analysis. Fluoroquinolones are preferred for antibacterial and trimethoprim-sulfamethoxazole for PCP prophylaxis. Due to serious concerns about an increase of resistant pathogens, only patients at high risk of severe infections should be considered for antibiotic prophylaxis. Risk factors of individual patients and local resistance patterns must be taken into account. Risk factors, choice of drug for antibacterial and PCP prophylaxis and concerns regarding the use of prophylactic antibiotics are discussed in the review. © 2013 The Author(s).","author":[{"dropping-particle":"","family":"Neumann","given":"S.","non-dropping-particle":"","parse-names":false,"suffix":""},{"dropping-particle":"","family":"Krause","given":"S. W.","non-dropping-particle":"","parse-names":false,"suffix":""},{"dropping-particle":"","family":"Maschmeyer","given":"G.","non-dropping-particle":"","parse-names":false,"suffix":""},{"dropping-particle":"","family":"Schiel","given":"X.","non-dropping-particle":"","parse-names":false,"suffix":""},{"dropping-particle":"","family":"Lilienfeld-Toal","given":"M.","non-dropping-particle":"Von","parse-names":false,"suffix":""}],"container-title":"Annals of Hematology","id":"ITEM-4","issue":"4","issued":{"date-parts":[["2013","4"]]},"page":"433-442","publisher":"Ann Hematol","title":"Primary prophylaxis of bacterial infections and Pneumocystis jirovecii pneumonia in patients with hematological malignancies and solid tumors: Guidelines of the Infectious Diseases Working Party (AGIHO) of the German Society of Hematology and Oncology (DG","type":"article","volume":"92"},"uris":["http://www.mendeley.com/documents/?uuid=5d017807-56d5-3c29-9e5b-06adbcf241d7","http://www.mendeley.com/documents/?uuid=0c431f2d-f131-4475-bc03-927c20fc8427","http://www.mendeley.com/documents/?uuid=cb8a28f6-34d3-47b6-aac5-75eae4c6597a","http://www.mendeley.com/documents/?uuid=1da004eb-c4a8-438d-8229-3b75c2c05578","http://www.mendeley.com/documents/?uuid=447ce80b-5ffd-4f72-a842-6d050b4c0058","http://www.mendeley.com/documents/?uuid=75718eaf-f3e7-47ed-a437-a0877b2432c4","http://www.mendeley.com/documents/?uuid=92ffaa87-61f2-4a29-ab3b-0229b7e2d3b0","http://www.mendeley.com/documents/?uuid=300b3a3c-d6fd-4873-aabf-5d8646d68ed5"]},{"id":"ITEM-5","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-5","issue":"6","issued":{"date-parts":[["2018"]]},"publisher":"Urban und Vogel GmbH","title":"Bacteraemia post-autologous haematopoietic stem cell transplantation in the absence of antibacterial prophylaxis: a decade’s experience from Lebanon","type":"article-journal","volume":"46"},"uris":["http://www.mendeley.com/documents/?uuid=ae672191-2fc7-35b4-bb6f-de9083ec561f","http://www.mendeley.com/documents/?uuid=3eb7eca1-f810-48f1-8c56-0b2d965d8011","http://www.mendeley.com/documents/?uuid=5ebcf890-5e16-4450-9634-3c05a12d76c0","http://www.mendeley.com/documents/?uuid=853c0c3e-4b77-4603-bf23-18587d4490b6","http://www.mendeley.com/documents/?uuid=26920eda-53a6-4a84-9487-903994067277","http://www.mendeley.com/documents/?uuid=dd8b341d-4c23-4bd9-9d5d-3dceeb3afe7c","http://www.mendeley.com/documents/?uuid=994064a7-7ad5-46d6-af07-2b010e03da9d","http://www.mendeley.com/documents/?uuid=fcf50596-2552-44da-a965-28f05137efeb"]}],"mendeley":{"formattedCitation":"[139–143]","plainTextFormattedCitation":"[139–143]","previouslyFormattedCitation":"[139–143]"},"properties":{"noteIndex":0},"schema":"https://github.com/citation-style-language/schema/raw/master/csl-citation.json"}</w:instrText>
      </w:r>
      <w:r w:rsidRPr="00BA4F0F">
        <w:fldChar w:fldCharType="separate"/>
      </w:r>
      <w:r w:rsidRPr="00E83B26">
        <w:rPr>
          <w:noProof/>
        </w:rPr>
        <w:t>[139–143]</w:t>
      </w:r>
      <w:r w:rsidRPr="00BA4F0F">
        <w:fldChar w:fldCharType="end"/>
      </w:r>
      <w:r w:rsidRPr="00BA4F0F">
        <w:t>.</w:t>
      </w:r>
    </w:p>
    <w:p w14:paraId="04E50F8A" w14:textId="77777777" w:rsidR="00E83B26" w:rsidRPr="00BA4F0F" w:rsidRDefault="00E83B26" w:rsidP="00E83B26">
      <w:pPr>
        <w:tabs>
          <w:tab w:val="left" w:pos="0"/>
          <w:tab w:val="left" w:pos="567"/>
        </w:tabs>
      </w:pPr>
      <w:r w:rsidRPr="00BA4F0F">
        <w:t>Основными факторами, определяющими развитие инфекций у иммунокомпрометированных больных, являются нейтропения (глубина, длительность и быстрота развития), нарушения клеточного и гуморального иммунитета, повреждение слизистой желудочно-кишечного тракта, наличие центрального венозного катетера (ЦВК).</w:t>
      </w:r>
    </w:p>
    <w:p w14:paraId="6291E41E" w14:textId="1FFBBC34" w:rsidR="00E83B26" w:rsidRPr="00BA4F0F" w:rsidRDefault="00E83B26" w:rsidP="00E83B26">
      <w:pPr>
        <w:tabs>
          <w:tab w:val="left" w:pos="0"/>
          <w:tab w:val="left" w:pos="567"/>
        </w:tabs>
      </w:pPr>
      <w:r w:rsidRPr="00BA4F0F">
        <w:t xml:space="preserve">Наиболее высокая частота инфекционных осложнений наблюдается у больных с длительностью нейтропении от 10 дней и более </w:t>
      </w:r>
      <w:r w:rsidRPr="00BA4F0F">
        <w:fldChar w:fldCharType="begin" w:fldLock="1"/>
      </w:r>
      <w:r w:rsidR="003B39A6">
        <w:instrText>ADDIN CSL_CITATION {"citationItems":[{"id":"ITEM-1","itemData":{"DOI":"10.1007/s15010-018-1200-y","ISSN":"14390973","abstract":"Purpose: In this study, we assessed the incidence, contributing factors and outcome of prolonged neutropenia above 7 days and of bacteraemia in patients with lymphoma and multiple myeloma who underwent autologous haematopoietic stem cell transplantation (AHSCT) without antibacterial prophylaxis. Methods: This is a retrospective chart review of 190 adult patients who underwent AHSCT between 2005 and 2015 at a Lebanese hospital. Results: Neutropenia of 7 days duration and longer was documented in 66% of the patient population. Through univariate analysis, patients with lymphoma were significantly more likely to have prolonged neutropenia (≥ 7 days) compared to those with myeloma. Mucositis above grade 3, diarrhoea and fever were more likely to occur in patients with prolonged neutropenia. Bacteraemia was documented in 12.6% of the patients. Total mortality rate was 3.7%, and that attributed to bacteraemia was 12.5% in the bacteraemia subgroup. Among bacterial isolates recovered from clinical specimens (89 isolates), 70% were Gram-negative, of which 57% were fluoroquinolone susceptible. Ninety-five percent of the Gram-negative bacteria causing bacteraemia were susceptible to fluoroquinolones. Conclusion: Bacterial pathogens causing bacteraemia were still highly susceptible to fluoroquinolones, despite the high prevalence of fluoroquinolone-resistant strains in the general bacterial ecology. Accordingly, the pertinence of fluoroquinolone prophylaxis in the AHSCT setting warrants further investigation. Moreover, continuous surveillance of local antibiograms in this patient population has become a must in an era of preponderant antibiotic resistance.","author":[{"dropping-particle":"","family":"Moghnieh","given":"Rima","non-dropping-particle":"","parse-names":false,"suffix":""},{"dropping-particle":"","family":"Abdallah","given":"Dania","non-dropping-particle":"","parse-names":false,"suffix":""},{"dropping-particle":"","family":"Awad","given":"Lyn","non-dropping-particle":"","parse-names":false,"suffix":""},{"dropping-particle":"","family":"Jisr","given":"Tamima","non-dropping-particle":"","parse-names":false,"suffix":""},{"dropping-particle":"","family":"Mugharbil","given":"Anas","non-dropping-particle":"","parse-names":false,"suffix":""},{"dropping-particle":"","family":"Youssef","given":"Ali","non-dropping-particle":"","parse-names":false,"suffix":""},{"dropping-particle":"","family":"Tamim","given":"Hani","non-dropping-particle":"","parse-names":false,"suffix":""},{"dropping-particle":"","family":"Khaldieh","given":"Samer","non-dropping-particle":"","parse-names":false,"suffix":""},{"dropping-particle":"","family":"Massri","given":"Oula","non-dropping-particle":"","parse-names":false,"suffix":""},{"dropping-particle":"","family":"Rashini","given":"Najat","non-dropping-particle":"","parse-names":false,"suffix":""},{"dropping-particle":"","family":"Hamdan","given":"Youssef","non-dropping-particle":"","parse-names":false,"suffix":""},{"dropping-particle":"","family":"Ibrahim","given":"Ahmad","non-dropping-particle":"","parse-names":false,"suffix":""}],"container-title":"Infection","id":"ITEM-1","issue":"6","issued":{"date-parts":[["2018"]]},"publisher":"Urban und Vogel GmbH","title":"Bacteraemia post-autologous haematopoietic stem cell transplantation in the absence of antibacterial prophylaxis: a decade’s experience from Lebanon","type":"article-journal","volume":"46"},"uris":["http://www.mendeley.com/documents/?uuid=fcf50596-2552-44da-a965-28f05137efeb","http://www.mendeley.com/documents/?uuid=994064a7-7ad5-46d6-af07-2b010e03da9d","http://www.mendeley.com/documents/?uuid=dd8b341d-4c23-4bd9-9d5d-3dceeb3afe7c","http://www.mendeley.com/documents/?uuid=26920eda-53a6-4a84-9487-903994067277","http://www.mendeley.com/documents/?uuid=853c0c3e-4b77-4603-bf23-18587d4490b6","http://www.mendeley.com/documents/?uuid=5ebcf890-5e16-4450-9634-3c05a12d76c0","http://www.mendeley.com/documents/?uuid=3eb7eca1-f810-48f1-8c56-0b2d965d8011","http://www.mendeley.com/documents/?uuid=ae672191-2fc7-35b4-bb6f-de9083ec561f"]}],"mendeley":{"formattedCitation":"[143]","plainTextFormattedCitation":"[143]","previouslyFormattedCitation":"[143]"},"properties":{"noteIndex":0},"schema":"https://github.com/citation-style-language/schema/raw/master/csl-citation.json"}</w:instrText>
      </w:r>
      <w:r w:rsidRPr="00BA4F0F">
        <w:fldChar w:fldCharType="separate"/>
      </w:r>
      <w:r w:rsidRPr="00E83B26">
        <w:rPr>
          <w:noProof/>
        </w:rPr>
        <w:t>[143]</w:t>
      </w:r>
      <w:r w:rsidRPr="00BA4F0F">
        <w:fldChar w:fldCharType="end"/>
      </w:r>
      <w:r w:rsidRPr="00BA4F0F">
        <w:t>.</w:t>
      </w:r>
    </w:p>
    <w:p w14:paraId="11E93B94" w14:textId="60C5F367" w:rsidR="00E83B26" w:rsidRPr="00BA4F0F" w:rsidRDefault="00E83B26" w:rsidP="00E83B26">
      <w:pPr>
        <w:tabs>
          <w:tab w:val="left" w:pos="0"/>
          <w:tab w:val="left" w:pos="567"/>
        </w:tabs>
      </w:pPr>
      <w:r w:rsidRPr="00BA4F0F">
        <w:t xml:space="preserve">Клинические проявления инфекционного процесса у этой категории пациентов, особенно в период нейтропении, крайне скудные. Ранее лихорадка неясной этиологии (повышение температуры тела без каких-либо других проявлений инфекции) являлась наиболее частым проявлением фебрильной нейтропении (≈ 50% случаев) </w:t>
      </w:r>
      <w:r w:rsidRPr="00BA4F0F">
        <w:fldChar w:fldCharType="begin" w:fldLock="1"/>
      </w:r>
      <w:r w:rsidR="003B39A6">
        <w:instrText>ADDIN CSL_CITATION {"citationItems":[{"id":"ITEM-1","itemData":{"author":[{"dropping-particle":"","family":"Клясова","given":"Г.А.","non-dropping-particle":"","parse-names":false,"suffix":""},{"dropping-particle":"","family":"Савченко","given":"В.Г.","non-dropping-particle":"","parse-names":false,"suffix":""},{"dropping-particle":"","family":"Паровичникова","given":"Е.Н.","non-dropping-particle":"","parse-names":false,"suffix":""},{"dropping-particle":"","family":"Исаев","given":"В.Г.","non-dropping-particle":"","parse-names":false,"suffix":""},{"dropping-particle":"","family":"Толкачева","given":"Т.В.","non-dropping-particle":"","parse-names":false,"suffix":""},{"dropping-particle":"","family":"Маслова","given":"Е.Р.","non-dropping-particle":"","parse-names":false,"suffix":""}],"container-title":"Терапевтический архив","id":"ITEM-1","issue":"7","issued":{"date-parts":[["1998"]]},"page":"15-21","title":"Эмпирическая антимикробная терапия у больных острыми лейкозами: итоги многоцентрового исследования","type":"article-journal","volume":"70"},"uris":["http://www.mendeley.com/documents/?uuid=8c0ade5e-966e-4a67-abb0-83bf29a0c9b4"]}],"mendeley":{"formattedCitation":"[144]","plainTextFormattedCitation":"[144]","previouslyFormattedCitation":"[144]"},"properties":{"noteIndex":0},"schema":"https://github.com/citation-style-language/schema/raw/master/csl-citation.json"}</w:instrText>
      </w:r>
      <w:r w:rsidRPr="00BA4F0F">
        <w:fldChar w:fldCharType="separate"/>
      </w:r>
      <w:r w:rsidRPr="00E83B26">
        <w:rPr>
          <w:noProof/>
        </w:rPr>
        <w:t>[144]</w:t>
      </w:r>
      <w:r w:rsidRPr="00BA4F0F">
        <w:fldChar w:fldCharType="end"/>
      </w:r>
      <w:r w:rsidRPr="00BA4F0F">
        <w:t>.</w:t>
      </w:r>
    </w:p>
    <w:p w14:paraId="3B9F46BA" w14:textId="77777777" w:rsidR="00E83B26" w:rsidRPr="00BA4F0F" w:rsidRDefault="00E83B26" w:rsidP="00E83B26">
      <w:pPr>
        <w:tabs>
          <w:tab w:val="left" w:pos="0"/>
          <w:tab w:val="left" w:pos="567"/>
        </w:tabs>
      </w:pPr>
      <w:r w:rsidRPr="00BA4F0F">
        <w:t xml:space="preserve">Микробиологически и клинически доказанные инфекции встречались реже. К клинически доказанным инфекциям относят те, которые удается верифицировать с помощью физикальных или инструментальных методов диагностики при отсутствии микробиологического подтверждения. Микробиологическим подтверждением наличия инфекции в период гранулоцитопении в большинстве случаев является выделение микроорганизмов из гемокультуры. </w:t>
      </w:r>
    </w:p>
    <w:p w14:paraId="68691C9E" w14:textId="77777777" w:rsidR="00E83B26" w:rsidRPr="00BA4F0F" w:rsidRDefault="00E83B26" w:rsidP="00E83B26">
      <w:pPr>
        <w:tabs>
          <w:tab w:val="left" w:pos="0"/>
          <w:tab w:val="left" w:pos="567"/>
        </w:tabs>
      </w:pPr>
      <w:r w:rsidRPr="00BA4F0F">
        <w:t xml:space="preserve">В последнее время возможности по диагностике инфекционных осложнений существенно расширились как за счет внедрения новых и совершенствования ранее используемых методов, так и сокращения времени исследования в микробиологии благодаря введению в лабораторную практику автоматических анализаторов и новых технологий дли идентификации микроорганизмов. </w:t>
      </w:r>
    </w:p>
    <w:p w14:paraId="237BCB71" w14:textId="77777777" w:rsidR="00E83B26" w:rsidRPr="00BA4F0F" w:rsidRDefault="00E83B26" w:rsidP="00E83B26">
      <w:pPr>
        <w:tabs>
          <w:tab w:val="left" w:pos="0"/>
          <w:tab w:val="left" w:pos="567"/>
        </w:tabs>
      </w:pPr>
      <w:r w:rsidRPr="00BA4F0F">
        <w:t xml:space="preserve">В первые сутки, как правило, единственным симптомом бывает лишь повышение температуры,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больных с фебрильной нейтропенией 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5F38730F" w14:textId="77777777" w:rsidR="00E83B26" w:rsidRPr="00BA4F0F" w:rsidRDefault="00E83B26" w:rsidP="00E83B26">
      <w:pPr>
        <w:pStyle w:val="afe"/>
        <w:ind w:left="0"/>
        <w:rPr>
          <w:rFonts w:cs="Times New Roman"/>
          <w:szCs w:val="24"/>
          <w:u w:val="single"/>
        </w:rPr>
      </w:pPr>
    </w:p>
    <w:p w14:paraId="13A2EB75" w14:textId="3A91FCAF" w:rsidR="00E83B26" w:rsidRPr="00BA4F0F" w:rsidRDefault="00E83B26" w:rsidP="00E83B26">
      <w:pPr>
        <w:pStyle w:val="afe"/>
        <w:ind w:left="0"/>
        <w:rPr>
          <w:rFonts w:cs="Times New Roman"/>
          <w:szCs w:val="24"/>
          <w:u w:val="single"/>
        </w:rPr>
      </w:pPr>
      <w:r w:rsidRPr="00BA4F0F">
        <w:rPr>
          <w:rFonts w:cs="Times New Roman"/>
          <w:szCs w:val="24"/>
          <w:u w:val="single"/>
        </w:rPr>
        <w:t xml:space="preserve">Диагностические исследования, проводимые при лихорадке у больных гемобластозами </w:t>
      </w:r>
      <w:r w:rsidRPr="00BA4F0F">
        <w:rPr>
          <w:rFonts w:cs="Times New Roman"/>
          <w:szCs w:val="24"/>
          <w:u w:val="single"/>
        </w:rPr>
        <w:fldChar w:fldCharType="begin" w:fldLock="1"/>
      </w:r>
      <w:r w:rsidR="003B39A6">
        <w:rPr>
          <w:rFonts w:cs="Times New Roman"/>
          <w:szCs w:val="24"/>
          <w:u w:val="single"/>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c0eae3a3-34ee-40e1-8813-566cb7fa2b4a","http://www.mendeley.com/documents/?uuid=9cac36ab-7685-4894-b1cb-f141a1797526","http://www.mendeley.com/documents/?uuid=478d6ce1-e425-4912-87db-adfee39f1ce9","http://www.mendeley.com/documents/?uuid=a1e2f5d6-ef05-4351-9481-13fad4fd103b","http://www.mendeley.com/documents/?uuid=26da25a5-bd21-4509-8e88-e4e6744fab98","http://www.mendeley.com/documents/?uuid=fe583573-532c-46dc-b4f4-f9d01345e27c","http://www.mendeley.com/documents/?uuid=2cd270b2-efaf-4da9-a95d-66324661ea35"]}],"mendeley":{"formattedCitation":"[145]","plainTextFormattedCitation":"[145]","previouslyFormattedCitation":"[145]"},"properties":{"noteIndex":0},"schema":"https://github.com/citation-style-language/schema/raw/master/csl-citation.json"}</w:instrText>
      </w:r>
      <w:r w:rsidRPr="00BA4F0F">
        <w:rPr>
          <w:rFonts w:cs="Times New Roman"/>
          <w:szCs w:val="24"/>
          <w:u w:val="single"/>
        </w:rPr>
        <w:fldChar w:fldCharType="separate"/>
      </w:r>
      <w:r w:rsidRPr="00E83B26">
        <w:rPr>
          <w:rFonts w:cs="Times New Roman"/>
          <w:noProof/>
          <w:szCs w:val="24"/>
        </w:rPr>
        <w:t>[145]</w:t>
      </w:r>
      <w:r w:rsidRPr="00BA4F0F">
        <w:rPr>
          <w:rFonts w:cs="Times New Roman"/>
          <w:szCs w:val="24"/>
          <w:u w:val="single"/>
        </w:rPr>
        <w:fldChar w:fldCharType="end"/>
      </w:r>
    </w:p>
    <w:p w14:paraId="6C2F9548" w14:textId="77777777" w:rsidR="00E83B26" w:rsidRPr="00BA4F0F" w:rsidRDefault="00E83B26" w:rsidP="00E83B26">
      <w:pPr>
        <w:tabs>
          <w:tab w:val="left" w:pos="0"/>
          <w:tab w:val="left" w:pos="567"/>
        </w:tabs>
      </w:pPr>
      <w:r w:rsidRPr="00BA4F0F">
        <w:t>Во всех случаях инфекционного процесса следует активно проводить диагностику, направленную на выявление, как очагов инфекции, так и этиологических агентов.</w:t>
      </w:r>
    </w:p>
    <w:p w14:paraId="787EEAAE" w14:textId="77777777" w:rsidR="00E83B26" w:rsidRPr="00BA4F0F" w:rsidRDefault="00E83B26" w:rsidP="00E83B26">
      <w:pPr>
        <w:tabs>
          <w:tab w:val="left" w:pos="0"/>
          <w:tab w:val="left" w:pos="567"/>
        </w:tabs>
      </w:pPr>
      <w:r w:rsidRPr="00BA4F0F">
        <w:t>При подозрении на инфекцию образцы клинического материала от больных должны быть взяты незамедлительно. Особо следует подчеркнуть необходимость пристального внимания и проведения тщательных микробиологических исследований у больных, принимающих глюкокортикоиды, и у лиц пожилого возраста.</w:t>
      </w:r>
    </w:p>
    <w:p w14:paraId="37FE1B69" w14:textId="77777777" w:rsidR="00E83B26" w:rsidRPr="00BA4F0F" w:rsidRDefault="00E83B26" w:rsidP="00E83B26">
      <w:pPr>
        <w:tabs>
          <w:tab w:val="left" w:pos="0"/>
          <w:tab w:val="left" w:pos="567"/>
        </w:tabs>
      </w:pPr>
      <w:r w:rsidRPr="00BA4F0F">
        <w:t xml:space="preserve">У этой группы пациентов септицемия может протекать без температуры, что бывает у 70% тяжелобольных в возрасте от 66 лет и старше, или лихорадка может быть лишь субфебрильной. </w:t>
      </w:r>
    </w:p>
    <w:p w14:paraId="2A6E4AE9" w14:textId="77777777" w:rsidR="00E83B26" w:rsidRPr="00BA4F0F" w:rsidRDefault="00E83B26" w:rsidP="00E83B26">
      <w:pPr>
        <w:tabs>
          <w:tab w:val="left" w:pos="0"/>
          <w:tab w:val="left" w:pos="567"/>
        </w:tabs>
      </w:pPr>
    </w:p>
    <w:p w14:paraId="643C9639" w14:textId="77777777" w:rsidR="00E83B26" w:rsidRPr="00BA4F0F" w:rsidRDefault="00E83B26" w:rsidP="00E83B26">
      <w:pPr>
        <w:tabs>
          <w:tab w:val="left" w:pos="284"/>
        </w:tabs>
      </w:pPr>
      <w:r w:rsidRPr="006E1ADA">
        <w:t>Таблица 11. Алгоритм диагностики инфекционных осложнений у больных гемобластозами в период ауто-ТГСК.</w:t>
      </w:r>
    </w:p>
    <w:tbl>
      <w:tblPr>
        <w:tblStyle w:val="aff9"/>
        <w:tblW w:w="0" w:type="auto"/>
        <w:tblInd w:w="108" w:type="dxa"/>
        <w:tblLook w:val="04A0" w:firstRow="1" w:lastRow="0" w:firstColumn="1" w:lastColumn="0" w:noHBand="0" w:noVBand="1"/>
      </w:tblPr>
      <w:tblGrid>
        <w:gridCol w:w="4556"/>
        <w:gridCol w:w="4681"/>
      </w:tblGrid>
      <w:tr w:rsidR="00E83B26" w:rsidRPr="00BA4F0F" w14:paraId="69F16005" w14:textId="77777777" w:rsidTr="002D3EBF">
        <w:tc>
          <w:tcPr>
            <w:tcW w:w="4677" w:type="dxa"/>
          </w:tcPr>
          <w:p w14:paraId="035BF0C9" w14:textId="77777777" w:rsidR="00E83B26" w:rsidRPr="00BA4F0F" w:rsidRDefault="00E83B26" w:rsidP="002D3EBF">
            <w:pPr>
              <w:tabs>
                <w:tab w:val="left" w:pos="176"/>
              </w:tabs>
              <w:ind w:left="34" w:firstLine="0"/>
            </w:pPr>
            <w:r w:rsidRPr="00BA4F0F">
              <w:t>Показания</w:t>
            </w:r>
          </w:p>
        </w:tc>
        <w:tc>
          <w:tcPr>
            <w:tcW w:w="4786" w:type="dxa"/>
          </w:tcPr>
          <w:p w14:paraId="79310DF5" w14:textId="77777777" w:rsidR="00E83B26" w:rsidRPr="00BA4F0F" w:rsidRDefault="00E83B26" w:rsidP="002D3EBF">
            <w:pPr>
              <w:tabs>
                <w:tab w:val="left" w:pos="34"/>
              </w:tabs>
              <w:ind w:left="35" w:firstLine="0"/>
            </w:pPr>
            <w:r w:rsidRPr="00BA4F0F">
              <w:t>Исследование</w:t>
            </w:r>
          </w:p>
        </w:tc>
      </w:tr>
      <w:tr w:rsidR="00E83B26" w:rsidRPr="00BA4F0F" w14:paraId="251F92E1" w14:textId="77777777" w:rsidTr="002D3EBF">
        <w:tc>
          <w:tcPr>
            <w:tcW w:w="4677" w:type="dxa"/>
          </w:tcPr>
          <w:p w14:paraId="6BFD8EEF" w14:textId="77777777" w:rsidR="00E83B26" w:rsidRPr="00BA4F0F" w:rsidRDefault="00E83B26" w:rsidP="002D3EBF">
            <w:pPr>
              <w:tabs>
                <w:tab w:val="left" w:pos="176"/>
                <w:tab w:val="left" w:pos="284"/>
              </w:tabs>
              <w:ind w:left="34" w:firstLine="0"/>
            </w:pPr>
            <w:r w:rsidRPr="00BA4F0F">
              <w:t>Температура ≥38</w:t>
            </w:r>
            <w:r w:rsidRPr="00BA4F0F">
              <w:rPr>
                <w:vertAlign w:val="superscript"/>
              </w:rPr>
              <w:t>о</w:t>
            </w:r>
            <w:r w:rsidRPr="00BA4F0F">
              <w:t>С, впервые возникшая</w:t>
            </w:r>
          </w:p>
        </w:tc>
        <w:tc>
          <w:tcPr>
            <w:tcW w:w="4786" w:type="dxa"/>
          </w:tcPr>
          <w:p w14:paraId="79614EF9" w14:textId="77777777" w:rsidR="00E83B26" w:rsidRPr="00BA4F0F" w:rsidRDefault="00E83B26" w:rsidP="002D3EBF">
            <w:pPr>
              <w:tabs>
                <w:tab w:val="left" w:pos="34"/>
              </w:tabs>
              <w:ind w:left="35" w:firstLine="0"/>
            </w:pPr>
            <w:r w:rsidRPr="00BA4F0F">
              <w:t>Взятие крови в 2 флакона для гемокультуры (вена-катетер или вена-вена).</w:t>
            </w:r>
          </w:p>
        </w:tc>
      </w:tr>
      <w:tr w:rsidR="00E83B26" w:rsidRPr="00BA4F0F" w14:paraId="2020B8E2" w14:textId="77777777" w:rsidTr="002D3EBF">
        <w:tc>
          <w:tcPr>
            <w:tcW w:w="4677" w:type="dxa"/>
          </w:tcPr>
          <w:p w14:paraId="47529549" w14:textId="77777777" w:rsidR="00E83B26" w:rsidRPr="00BA4F0F" w:rsidRDefault="00E83B26" w:rsidP="002D3EBF">
            <w:pPr>
              <w:tabs>
                <w:tab w:val="left" w:pos="176"/>
                <w:tab w:val="left" w:pos="284"/>
              </w:tabs>
              <w:ind w:left="34" w:firstLine="0"/>
            </w:pPr>
            <w:r w:rsidRPr="00BA4F0F">
              <w:t>Температура ≥38</w:t>
            </w:r>
            <w:r w:rsidRPr="00BA4F0F">
              <w:rPr>
                <w:vertAlign w:val="superscript"/>
              </w:rPr>
              <w:t>о</w:t>
            </w:r>
            <w:r w:rsidRPr="00BA4F0F">
              <w:t>С в течение ≥5 дней и нейтропения</w:t>
            </w:r>
          </w:p>
        </w:tc>
        <w:tc>
          <w:tcPr>
            <w:tcW w:w="4786" w:type="dxa"/>
          </w:tcPr>
          <w:p w14:paraId="4635D94D" w14:textId="77777777" w:rsidR="00E83B26" w:rsidRPr="00BA4F0F" w:rsidRDefault="00E83B26" w:rsidP="002D3EBF">
            <w:pPr>
              <w:tabs>
                <w:tab w:val="left" w:pos="34"/>
              </w:tabs>
              <w:ind w:left="35" w:firstLine="0"/>
            </w:pPr>
            <w:r w:rsidRPr="00BA4F0F">
              <w:t xml:space="preserve">Повторное взятие крови для гемокультуры 1 раз в неделю. </w:t>
            </w:r>
          </w:p>
          <w:p w14:paraId="1ADE3944" w14:textId="77777777" w:rsidR="00E83B26" w:rsidRPr="00BA4F0F" w:rsidRDefault="00E83B26" w:rsidP="002D3EBF">
            <w:pPr>
              <w:tabs>
                <w:tab w:val="left" w:pos="34"/>
              </w:tabs>
              <w:ind w:left="35" w:firstLine="0"/>
            </w:pPr>
            <w:r w:rsidRPr="00BA4F0F">
              <w:t xml:space="preserve">Микробиологическое исследование мочи. </w:t>
            </w:r>
          </w:p>
          <w:p w14:paraId="5A479475" w14:textId="77777777" w:rsidR="00E83B26" w:rsidRPr="00BA4F0F" w:rsidRDefault="00E83B26" w:rsidP="002D3EBF">
            <w:pPr>
              <w:tabs>
                <w:tab w:val="left" w:pos="34"/>
              </w:tabs>
              <w:ind w:left="35" w:firstLine="0"/>
            </w:pPr>
            <w:r w:rsidRPr="00BA4F0F">
              <w:t xml:space="preserve">КТ легких. </w:t>
            </w:r>
          </w:p>
          <w:p w14:paraId="07173389" w14:textId="77777777" w:rsidR="00E83B26" w:rsidRPr="00BA4F0F" w:rsidRDefault="00E83B26" w:rsidP="002D3EBF">
            <w:pPr>
              <w:tabs>
                <w:tab w:val="left" w:pos="34"/>
              </w:tabs>
              <w:ind w:left="35" w:firstLine="0"/>
            </w:pPr>
            <w:r w:rsidRPr="00BA4F0F">
              <w:t>Мазок со слизистой оболочки кишечника.</w:t>
            </w:r>
          </w:p>
        </w:tc>
      </w:tr>
      <w:tr w:rsidR="00E83B26" w:rsidRPr="00BA4F0F" w14:paraId="1C111402" w14:textId="77777777" w:rsidTr="002D3EBF">
        <w:tc>
          <w:tcPr>
            <w:tcW w:w="4677" w:type="dxa"/>
          </w:tcPr>
          <w:p w14:paraId="22616CBA" w14:textId="77777777" w:rsidR="00E83B26" w:rsidRPr="00BA4F0F" w:rsidRDefault="00E83B26" w:rsidP="002D3EBF">
            <w:pPr>
              <w:tabs>
                <w:tab w:val="left" w:pos="176"/>
                <w:tab w:val="left" w:pos="284"/>
              </w:tabs>
              <w:ind w:left="34" w:firstLine="0"/>
            </w:pPr>
            <w:r w:rsidRPr="00BA4F0F">
              <w:t>Температура ≥38</w:t>
            </w:r>
            <w:r w:rsidRPr="00BA4F0F">
              <w:rPr>
                <w:vertAlign w:val="superscript"/>
              </w:rPr>
              <w:t>о</w:t>
            </w:r>
            <w:r w:rsidRPr="00BA4F0F">
              <w:t>С, длительная, сохраняется после выхода из нейтропении</w:t>
            </w:r>
          </w:p>
        </w:tc>
        <w:tc>
          <w:tcPr>
            <w:tcW w:w="4786" w:type="dxa"/>
          </w:tcPr>
          <w:p w14:paraId="0E94DF02" w14:textId="77777777" w:rsidR="00E83B26" w:rsidRPr="00BA4F0F" w:rsidRDefault="00E83B26" w:rsidP="002D3EBF">
            <w:pPr>
              <w:tabs>
                <w:tab w:val="left" w:pos="34"/>
              </w:tabs>
              <w:ind w:left="35" w:firstLine="0"/>
            </w:pPr>
            <w:r w:rsidRPr="00BA4F0F">
              <w:t xml:space="preserve">УЗИ брюшной полости. </w:t>
            </w:r>
          </w:p>
          <w:p w14:paraId="003C157D" w14:textId="77777777" w:rsidR="00E83B26" w:rsidRPr="00BA4F0F" w:rsidRDefault="00E83B26" w:rsidP="002D3EBF">
            <w:pPr>
              <w:tabs>
                <w:tab w:val="left" w:pos="34"/>
              </w:tabs>
              <w:ind w:left="35" w:firstLine="0"/>
            </w:pPr>
            <w:r w:rsidRPr="00BA4F0F">
              <w:t xml:space="preserve">Определение антигена </w:t>
            </w:r>
            <w:r w:rsidRPr="00BA4F0F">
              <w:rPr>
                <w:i/>
                <w:lang w:val="en-US"/>
              </w:rPr>
              <w:t>Candida</w:t>
            </w:r>
            <w:r w:rsidRPr="00BA4F0F">
              <w:t xml:space="preserve"> (маннан) и антител </w:t>
            </w:r>
            <w:r w:rsidRPr="00BA4F0F">
              <w:rPr>
                <w:i/>
                <w:lang w:val="en-US"/>
              </w:rPr>
              <w:t>Candida</w:t>
            </w:r>
            <w:r w:rsidRPr="00BA4F0F">
              <w:t xml:space="preserve"> (антиманнан) в крови.</w:t>
            </w:r>
          </w:p>
        </w:tc>
      </w:tr>
      <w:tr w:rsidR="00E83B26" w:rsidRPr="00BA4F0F" w14:paraId="3EE44C66" w14:textId="77777777" w:rsidTr="002D3EBF">
        <w:tc>
          <w:tcPr>
            <w:tcW w:w="4677" w:type="dxa"/>
          </w:tcPr>
          <w:p w14:paraId="56396206" w14:textId="77777777" w:rsidR="00E83B26" w:rsidRPr="00BA4F0F" w:rsidRDefault="00E83B26" w:rsidP="002D3EBF">
            <w:pPr>
              <w:tabs>
                <w:tab w:val="left" w:pos="176"/>
                <w:tab w:val="left" w:pos="284"/>
              </w:tabs>
              <w:ind w:left="34" w:firstLine="0"/>
            </w:pPr>
            <w:r w:rsidRPr="00BA4F0F">
              <w:t>Катетер-ассоциированная инфекция</w:t>
            </w:r>
          </w:p>
        </w:tc>
        <w:tc>
          <w:tcPr>
            <w:tcW w:w="4786" w:type="dxa"/>
          </w:tcPr>
          <w:p w14:paraId="72726B79" w14:textId="77777777" w:rsidR="00E83B26" w:rsidRPr="00BA4F0F" w:rsidRDefault="00E83B26" w:rsidP="002D3EBF">
            <w:pPr>
              <w:tabs>
                <w:tab w:val="left" w:pos="34"/>
              </w:tabs>
              <w:ind w:left="35" w:firstLine="0"/>
            </w:pPr>
            <w:r w:rsidRPr="00BA4F0F">
              <w:t xml:space="preserve">Взятие одновременно гемокультуры из вены и ЦВК. </w:t>
            </w:r>
          </w:p>
          <w:p w14:paraId="2A92055B" w14:textId="77777777" w:rsidR="00E83B26" w:rsidRPr="00BA4F0F" w:rsidRDefault="00E83B26" w:rsidP="002D3EBF">
            <w:pPr>
              <w:tabs>
                <w:tab w:val="left" w:pos="34"/>
              </w:tabs>
              <w:ind w:left="35" w:firstLine="0"/>
            </w:pPr>
            <w:r w:rsidRPr="00BA4F0F">
              <w:t>При подтверждении необходимо удалить ЦВК .</w:t>
            </w:r>
          </w:p>
        </w:tc>
      </w:tr>
      <w:tr w:rsidR="00E83B26" w:rsidRPr="00BA4F0F" w14:paraId="281A2D0A" w14:textId="77777777" w:rsidTr="002D3EBF">
        <w:tc>
          <w:tcPr>
            <w:tcW w:w="4677" w:type="dxa"/>
          </w:tcPr>
          <w:p w14:paraId="5753C4D0" w14:textId="77777777" w:rsidR="00E83B26" w:rsidRPr="00BA4F0F" w:rsidRDefault="00E83B26" w:rsidP="002D3EBF">
            <w:pPr>
              <w:tabs>
                <w:tab w:val="left" w:pos="176"/>
                <w:tab w:val="left" w:pos="284"/>
              </w:tabs>
              <w:ind w:left="34" w:firstLine="0"/>
            </w:pPr>
            <w:r w:rsidRPr="00BA4F0F">
              <w:t>Нейтропения более 10 дней</w:t>
            </w:r>
          </w:p>
        </w:tc>
        <w:tc>
          <w:tcPr>
            <w:tcW w:w="4786" w:type="dxa"/>
          </w:tcPr>
          <w:p w14:paraId="43B23EA6" w14:textId="77777777" w:rsidR="00E83B26" w:rsidRPr="00BA4F0F" w:rsidRDefault="00E83B26" w:rsidP="002D3EBF">
            <w:pPr>
              <w:tabs>
                <w:tab w:val="left" w:pos="34"/>
              </w:tabs>
              <w:ind w:left="35" w:firstLine="0"/>
            </w:pPr>
            <w:r w:rsidRPr="00BA4F0F">
              <w:t xml:space="preserve">Исследование крови на антиген </w:t>
            </w:r>
            <w:r w:rsidRPr="00BA4F0F">
              <w:rPr>
                <w:lang w:val="en-US"/>
              </w:rPr>
              <w:t>Aspergillus</w:t>
            </w:r>
            <w:r w:rsidRPr="00BA4F0F">
              <w:t xml:space="preserve"> 2 раза в неделю.</w:t>
            </w:r>
          </w:p>
        </w:tc>
      </w:tr>
      <w:tr w:rsidR="00E83B26" w:rsidRPr="00BA4F0F" w14:paraId="7248809D" w14:textId="77777777" w:rsidTr="002D3EBF">
        <w:tc>
          <w:tcPr>
            <w:tcW w:w="4677" w:type="dxa"/>
          </w:tcPr>
          <w:p w14:paraId="0F3E9E18" w14:textId="77777777" w:rsidR="00E83B26" w:rsidRPr="00BA4F0F" w:rsidRDefault="00E83B26" w:rsidP="002D3EBF">
            <w:pPr>
              <w:tabs>
                <w:tab w:val="left" w:pos="176"/>
                <w:tab w:val="left" w:pos="284"/>
              </w:tabs>
              <w:ind w:left="34" w:firstLine="0"/>
            </w:pPr>
            <w:r w:rsidRPr="00BA4F0F">
              <w:t>Стоматит</w:t>
            </w:r>
          </w:p>
        </w:tc>
        <w:tc>
          <w:tcPr>
            <w:tcW w:w="4786" w:type="dxa"/>
          </w:tcPr>
          <w:p w14:paraId="7043C0CE" w14:textId="77777777" w:rsidR="00E83B26" w:rsidRPr="00BA4F0F" w:rsidRDefault="00E83B26" w:rsidP="002D3EBF">
            <w:pPr>
              <w:tabs>
                <w:tab w:val="left" w:pos="34"/>
              </w:tabs>
              <w:ind w:left="35" w:firstLine="0"/>
            </w:pPr>
            <w:r w:rsidRPr="00BA4F0F">
              <w:t>Мазок со слизистой ротоглотки.</w:t>
            </w:r>
          </w:p>
        </w:tc>
      </w:tr>
      <w:tr w:rsidR="00E83B26" w:rsidRPr="00BA4F0F" w14:paraId="6A585624" w14:textId="77777777" w:rsidTr="002D3EBF">
        <w:tc>
          <w:tcPr>
            <w:tcW w:w="4677" w:type="dxa"/>
          </w:tcPr>
          <w:p w14:paraId="627B08E2" w14:textId="77777777" w:rsidR="00E83B26" w:rsidRPr="00BA4F0F" w:rsidRDefault="00E83B26" w:rsidP="002D3EBF">
            <w:pPr>
              <w:tabs>
                <w:tab w:val="left" w:pos="176"/>
                <w:tab w:val="left" w:pos="284"/>
              </w:tabs>
              <w:ind w:left="34" w:firstLine="0"/>
            </w:pPr>
            <w:r w:rsidRPr="00BA4F0F">
              <w:t>Эзофагит</w:t>
            </w:r>
          </w:p>
        </w:tc>
        <w:tc>
          <w:tcPr>
            <w:tcW w:w="4786" w:type="dxa"/>
          </w:tcPr>
          <w:p w14:paraId="2510BE10" w14:textId="77777777" w:rsidR="00E83B26" w:rsidRPr="00BA4F0F" w:rsidRDefault="00E83B26" w:rsidP="002D3EBF">
            <w:pPr>
              <w:tabs>
                <w:tab w:val="left" w:pos="34"/>
              </w:tabs>
              <w:ind w:left="35" w:firstLine="0"/>
            </w:pPr>
            <w:r w:rsidRPr="00BA4F0F">
              <w:t xml:space="preserve">Эзофагоскопия (тромбоцитов не менее 50 х 109/л). </w:t>
            </w:r>
          </w:p>
          <w:p w14:paraId="0E583E3D" w14:textId="77777777" w:rsidR="00E83B26" w:rsidRPr="00BA4F0F" w:rsidRDefault="00E83B26" w:rsidP="002D3EBF">
            <w:pPr>
              <w:tabs>
                <w:tab w:val="left" w:pos="34"/>
              </w:tabs>
              <w:ind w:left="35" w:firstLine="0"/>
            </w:pPr>
            <w:r w:rsidRPr="00BA4F0F">
              <w:t>Исследование – соскоб (браш-метод) со слизистой оболочки или биопсия.</w:t>
            </w:r>
          </w:p>
        </w:tc>
      </w:tr>
      <w:tr w:rsidR="00E83B26" w:rsidRPr="00BA4F0F" w14:paraId="7A981381" w14:textId="77777777" w:rsidTr="002D3EBF">
        <w:tc>
          <w:tcPr>
            <w:tcW w:w="4677" w:type="dxa"/>
          </w:tcPr>
          <w:p w14:paraId="59ED94D1" w14:textId="77777777" w:rsidR="00E83B26" w:rsidRPr="00BA4F0F" w:rsidRDefault="00E83B26" w:rsidP="002D3EBF">
            <w:pPr>
              <w:tabs>
                <w:tab w:val="left" w:pos="176"/>
                <w:tab w:val="left" w:pos="284"/>
              </w:tabs>
              <w:ind w:left="34" w:firstLine="0"/>
            </w:pPr>
            <w:r w:rsidRPr="00BA4F0F">
              <w:t>Некроз слизистой оболочки носового хода</w:t>
            </w:r>
          </w:p>
        </w:tc>
        <w:tc>
          <w:tcPr>
            <w:tcW w:w="4786" w:type="dxa"/>
          </w:tcPr>
          <w:p w14:paraId="0A730BCB" w14:textId="77777777" w:rsidR="00E83B26" w:rsidRPr="00BA4F0F" w:rsidRDefault="00E83B26" w:rsidP="002D3EBF">
            <w:pPr>
              <w:tabs>
                <w:tab w:val="left" w:pos="34"/>
              </w:tabs>
              <w:ind w:left="35" w:firstLine="0"/>
            </w:pPr>
            <w:r w:rsidRPr="00BA4F0F">
              <w:t>Мазок со слизистой оболочки носа</w:t>
            </w:r>
          </w:p>
        </w:tc>
      </w:tr>
      <w:tr w:rsidR="00E83B26" w:rsidRPr="00BA4F0F" w14:paraId="501F6D96" w14:textId="77777777" w:rsidTr="002D3EBF">
        <w:tc>
          <w:tcPr>
            <w:tcW w:w="4677" w:type="dxa"/>
          </w:tcPr>
          <w:p w14:paraId="373134E0" w14:textId="77777777" w:rsidR="00E83B26" w:rsidRPr="00BA4F0F" w:rsidRDefault="00E83B26" w:rsidP="002D3EBF">
            <w:pPr>
              <w:tabs>
                <w:tab w:val="left" w:pos="176"/>
                <w:tab w:val="left" w:pos="284"/>
              </w:tabs>
              <w:ind w:left="34" w:firstLine="0"/>
            </w:pPr>
            <w:r w:rsidRPr="00BA4F0F">
              <w:t>Гайморит</w:t>
            </w:r>
          </w:p>
        </w:tc>
        <w:tc>
          <w:tcPr>
            <w:tcW w:w="4786" w:type="dxa"/>
          </w:tcPr>
          <w:p w14:paraId="75C63656" w14:textId="77777777" w:rsidR="00E83B26" w:rsidRPr="00BA4F0F" w:rsidRDefault="00E83B26" w:rsidP="002D3EBF">
            <w:pPr>
              <w:tabs>
                <w:tab w:val="left" w:pos="34"/>
              </w:tabs>
              <w:ind w:left="35" w:firstLine="0"/>
            </w:pPr>
            <w:r w:rsidRPr="00BA4F0F">
              <w:t>Исследование содержимого околоносовой пазухи, полученной при пункции.</w:t>
            </w:r>
          </w:p>
        </w:tc>
      </w:tr>
      <w:tr w:rsidR="00E83B26" w:rsidRPr="00BA4F0F" w14:paraId="787B8A63" w14:textId="77777777" w:rsidTr="002D3EBF">
        <w:tc>
          <w:tcPr>
            <w:tcW w:w="4677" w:type="dxa"/>
          </w:tcPr>
          <w:p w14:paraId="60BC0681" w14:textId="77777777" w:rsidR="00E83B26" w:rsidRPr="00BA4F0F" w:rsidRDefault="00E83B26" w:rsidP="002D3EBF">
            <w:pPr>
              <w:tabs>
                <w:tab w:val="left" w:pos="176"/>
                <w:tab w:val="left" w:pos="284"/>
              </w:tabs>
              <w:ind w:left="34" w:firstLine="0"/>
            </w:pPr>
            <w:r w:rsidRPr="00BA4F0F">
              <w:t>Симптомы инфекции мочевыводящих путей</w:t>
            </w:r>
          </w:p>
          <w:p w14:paraId="28527C19" w14:textId="77777777" w:rsidR="00E83B26" w:rsidRPr="00BA4F0F" w:rsidRDefault="00E83B26" w:rsidP="002D3EBF">
            <w:pPr>
              <w:tabs>
                <w:tab w:val="left" w:pos="176"/>
                <w:tab w:val="left" w:pos="284"/>
              </w:tabs>
              <w:ind w:left="34" w:firstLine="0"/>
            </w:pPr>
            <w:r w:rsidRPr="00BA4F0F">
              <w:t>Лейкоцитурия</w:t>
            </w:r>
          </w:p>
        </w:tc>
        <w:tc>
          <w:tcPr>
            <w:tcW w:w="4786" w:type="dxa"/>
          </w:tcPr>
          <w:p w14:paraId="7F6FA0DF" w14:textId="77777777" w:rsidR="00E83B26" w:rsidRPr="00BA4F0F" w:rsidRDefault="00E83B26" w:rsidP="002D3EBF">
            <w:pPr>
              <w:tabs>
                <w:tab w:val="left" w:pos="34"/>
              </w:tabs>
              <w:ind w:left="35" w:firstLine="0"/>
            </w:pPr>
            <w:r w:rsidRPr="00BA4F0F">
              <w:t>Микробиологическое исследование мочи.</w:t>
            </w:r>
          </w:p>
        </w:tc>
      </w:tr>
      <w:tr w:rsidR="00E83B26" w:rsidRPr="00BA4F0F" w14:paraId="72DC12B0" w14:textId="77777777" w:rsidTr="002D3EBF">
        <w:tc>
          <w:tcPr>
            <w:tcW w:w="4677" w:type="dxa"/>
          </w:tcPr>
          <w:p w14:paraId="3678F013" w14:textId="77777777" w:rsidR="00E83B26" w:rsidRPr="00BA4F0F" w:rsidRDefault="00E83B26" w:rsidP="002D3EBF">
            <w:pPr>
              <w:tabs>
                <w:tab w:val="left" w:pos="176"/>
                <w:tab w:val="left" w:pos="284"/>
              </w:tabs>
              <w:ind w:left="34" w:firstLine="0"/>
            </w:pPr>
            <w:r w:rsidRPr="00BA4F0F">
              <w:t>Пневмония</w:t>
            </w:r>
          </w:p>
        </w:tc>
        <w:tc>
          <w:tcPr>
            <w:tcW w:w="4786" w:type="dxa"/>
          </w:tcPr>
          <w:p w14:paraId="589EE955" w14:textId="77777777" w:rsidR="00E83B26" w:rsidRPr="00BA4F0F" w:rsidRDefault="00E83B26" w:rsidP="002D3EBF">
            <w:pPr>
              <w:tabs>
                <w:tab w:val="left" w:pos="34"/>
              </w:tabs>
              <w:ind w:left="35" w:firstLine="0"/>
            </w:pPr>
            <w:r w:rsidRPr="00BA4F0F">
              <w:t>КТ легких.</w:t>
            </w:r>
          </w:p>
          <w:p w14:paraId="636A5950" w14:textId="77777777" w:rsidR="00E83B26" w:rsidRPr="00BA4F0F" w:rsidRDefault="00E83B26" w:rsidP="002D3EBF">
            <w:pPr>
              <w:tabs>
                <w:tab w:val="left" w:pos="34"/>
              </w:tabs>
              <w:ind w:left="35" w:firstLine="0"/>
            </w:pPr>
            <w:r w:rsidRPr="00BA4F0F">
              <w:t>БАЛ после КТ легких.</w:t>
            </w:r>
          </w:p>
          <w:p w14:paraId="01F14070" w14:textId="77777777" w:rsidR="00E83B26" w:rsidRPr="00BA4F0F" w:rsidRDefault="00E83B26" w:rsidP="002D3EBF">
            <w:pPr>
              <w:tabs>
                <w:tab w:val="left" w:pos="34"/>
              </w:tabs>
              <w:ind w:left="35" w:firstLine="0"/>
            </w:pPr>
            <w:r w:rsidRPr="00BA4F0F">
              <w:t>Полное исследование жидкости БАЛ.</w:t>
            </w:r>
          </w:p>
          <w:p w14:paraId="1F41AB28" w14:textId="77777777" w:rsidR="00E83B26" w:rsidRPr="00BA4F0F" w:rsidRDefault="00E83B26" w:rsidP="002D3EBF">
            <w:pPr>
              <w:tabs>
                <w:tab w:val="left" w:pos="34"/>
              </w:tabs>
              <w:ind w:left="35" w:firstLine="0"/>
            </w:pPr>
            <w:r w:rsidRPr="00BA4F0F">
              <w:t xml:space="preserve">Исследование крови на антиген </w:t>
            </w:r>
            <w:r w:rsidRPr="00BA4F0F">
              <w:rPr>
                <w:lang w:val="en-US"/>
              </w:rPr>
              <w:t>Aspergillus</w:t>
            </w:r>
            <w:r w:rsidRPr="00BA4F0F">
              <w:t>.</w:t>
            </w:r>
          </w:p>
          <w:p w14:paraId="354FE64A" w14:textId="77777777" w:rsidR="00E83B26" w:rsidRPr="00BA4F0F" w:rsidRDefault="00E83B26" w:rsidP="002D3EBF">
            <w:pPr>
              <w:tabs>
                <w:tab w:val="left" w:pos="34"/>
              </w:tabs>
              <w:ind w:left="35" w:firstLine="0"/>
            </w:pPr>
            <w:r w:rsidRPr="00BA4F0F">
              <w:t xml:space="preserve">Исследование крови на антитела к </w:t>
            </w:r>
            <w:r w:rsidRPr="00BA4F0F">
              <w:rPr>
                <w:lang w:val="en-US"/>
              </w:rPr>
              <w:t>Mycoplasma</w:t>
            </w:r>
            <w:r w:rsidRPr="00BA4F0F">
              <w:t xml:space="preserve"> </w:t>
            </w:r>
            <w:r w:rsidRPr="00BA4F0F">
              <w:rPr>
                <w:lang w:val="en-US"/>
              </w:rPr>
              <w:t>pneumoniae</w:t>
            </w:r>
            <w:r w:rsidRPr="00BA4F0F">
              <w:t xml:space="preserve"> (</w:t>
            </w:r>
            <w:r w:rsidRPr="00BA4F0F">
              <w:rPr>
                <w:lang w:val="en-US"/>
              </w:rPr>
              <w:t>IgM</w:t>
            </w:r>
            <w:r w:rsidRPr="00BA4F0F">
              <w:t xml:space="preserve">, </w:t>
            </w:r>
            <w:r w:rsidRPr="00BA4F0F">
              <w:rPr>
                <w:lang w:val="en-US"/>
              </w:rPr>
              <w:t>IgG</w:t>
            </w:r>
            <w:r w:rsidRPr="00BA4F0F">
              <w:t xml:space="preserve">). </w:t>
            </w:r>
          </w:p>
          <w:p w14:paraId="55427DAC" w14:textId="77777777" w:rsidR="00E83B26" w:rsidRPr="00BA4F0F" w:rsidRDefault="00E83B26" w:rsidP="002D3EBF">
            <w:pPr>
              <w:tabs>
                <w:tab w:val="left" w:pos="34"/>
              </w:tabs>
              <w:ind w:left="35" w:firstLine="0"/>
            </w:pPr>
            <w:r w:rsidRPr="00BA4F0F">
              <w:t xml:space="preserve">Исследование крови на антитела к </w:t>
            </w:r>
            <w:r w:rsidRPr="00BA4F0F">
              <w:rPr>
                <w:lang w:val="en-US"/>
              </w:rPr>
              <w:t>Chlamydia</w:t>
            </w:r>
            <w:r w:rsidRPr="00BA4F0F">
              <w:t xml:space="preserve"> </w:t>
            </w:r>
            <w:r w:rsidRPr="00BA4F0F">
              <w:rPr>
                <w:lang w:val="en-US"/>
              </w:rPr>
              <w:t>pneumoniae</w:t>
            </w:r>
            <w:r w:rsidRPr="00BA4F0F">
              <w:t xml:space="preserve"> (</w:t>
            </w:r>
            <w:r w:rsidRPr="00BA4F0F">
              <w:rPr>
                <w:lang w:val="en-US"/>
              </w:rPr>
              <w:t>IgM</w:t>
            </w:r>
            <w:r w:rsidRPr="00BA4F0F">
              <w:t xml:space="preserve">, </w:t>
            </w:r>
            <w:r w:rsidRPr="00BA4F0F">
              <w:rPr>
                <w:lang w:val="en-US"/>
              </w:rPr>
              <w:t>IgG</w:t>
            </w:r>
            <w:r w:rsidRPr="00BA4F0F">
              <w:t xml:space="preserve">). </w:t>
            </w:r>
          </w:p>
        </w:tc>
      </w:tr>
      <w:tr w:rsidR="00E83B26" w:rsidRPr="00BA4F0F" w14:paraId="346AC359" w14:textId="77777777" w:rsidTr="002D3EBF">
        <w:tc>
          <w:tcPr>
            <w:tcW w:w="4677" w:type="dxa"/>
          </w:tcPr>
          <w:p w14:paraId="7FC5D6A8" w14:textId="77777777" w:rsidR="00E83B26" w:rsidRPr="00BA4F0F" w:rsidRDefault="00E83B26" w:rsidP="002D3EBF">
            <w:pPr>
              <w:tabs>
                <w:tab w:val="left" w:pos="176"/>
                <w:tab w:val="left" w:pos="284"/>
              </w:tabs>
              <w:ind w:left="34" w:firstLine="0"/>
            </w:pPr>
            <w:r w:rsidRPr="00BA4F0F">
              <w:t>Симптомы менингита. Мозговая симптоматика на фоне фебрильной нейтропении. Обнаружение очага (очагов) в головном мозге</w:t>
            </w:r>
          </w:p>
        </w:tc>
        <w:tc>
          <w:tcPr>
            <w:tcW w:w="4786" w:type="dxa"/>
          </w:tcPr>
          <w:p w14:paraId="63C8DA73" w14:textId="77777777" w:rsidR="00E83B26" w:rsidRPr="00BA4F0F" w:rsidRDefault="00E83B26" w:rsidP="002D3EBF">
            <w:pPr>
              <w:tabs>
                <w:tab w:val="left" w:pos="34"/>
              </w:tabs>
              <w:ind w:left="35" w:firstLine="0"/>
            </w:pPr>
            <w:r w:rsidRPr="00BA4F0F">
              <w:t xml:space="preserve">Люмбальная пункция. </w:t>
            </w:r>
          </w:p>
          <w:p w14:paraId="2B714B84" w14:textId="77777777" w:rsidR="00E83B26" w:rsidRPr="00BA4F0F" w:rsidRDefault="00E83B26" w:rsidP="002D3EBF">
            <w:pPr>
              <w:tabs>
                <w:tab w:val="left" w:pos="34"/>
              </w:tabs>
              <w:ind w:left="35" w:firstLine="0"/>
            </w:pPr>
            <w:r w:rsidRPr="00BA4F0F">
              <w:t xml:space="preserve">Полное исследование СМЖ. </w:t>
            </w:r>
          </w:p>
        </w:tc>
      </w:tr>
      <w:tr w:rsidR="00E83B26" w:rsidRPr="00BA4F0F" w14:paraId="170C17E1" w14:textId="77777777" w:rsidTr="002D3EBF">
        <w:tc>
          <w:tcPr>
            <w:tcW w:w="4677" w:type="dxa"/>
          </w:tcPr>
          <w:p w14:paraId="7ED4F03D" w14:textId="77777777" w:rsidR="00E83B26" w:rsidRPr="00BA4F0F" w:rsidRDefault="00E83B26" w:rsidP="002D3EBF">
            <w:pPr>
              <w:tabs>
                <w:tab w:val="left" w:pos="176"/>
                <w:tab w:val="left" w:pos="284"/>
              </w:tabs>
              <w:ind w:left="34" w:firstLine="0"/>
            </w:pPr>
            <w:r w:rsidRPr="00BA4F0F">
              <w:t>Диарея</w:t>
            </w:r>
          </w:p>
        </w:tc>
        <w:tc>
          <w:tcPr>
            <w:tcW w:w="4786" w:type="dxa"/>
          </w:tcPr>
          <w:p w14:paraId="4A115C3B" w14:textId="77777777" w:rsidR="00E83B26" w:rsidRPr="00BA4F0F" w:rsidRDefault="00E83B26" w:rsidP="002D3EBF">
            <w:pPr>
              <w:tabs>
                <w:tab w:val="left" w:pos="34"/>
              </w:tabs>
              <w:ind w:left="35" w:firstLine="0"/>
            </w:pPr>
            <w:r w:rsidRPr="00BA4F0F">
              <w:t xml:space="preserve">Исследование кала на токсин </w:t>
            </w:r>
            <w:r w:rsidRPr="00BA4F0F">
              <w:rPr>
                <w:i/>
                <w:lang w:val="en-US"/>
              </w:rPr>
              <w:t>Clostridium</w:t>
            </w:r>
            <w:r w:rsidRPr="00BA4F0F">
              <w:rPr>
                <w:i/>
              </w:rPr>
              <w:t xml:space="preserve"> </w:t>
            </w:r>
            <w:r w:rsidRPr="00BA4F0F">
              <w:rPr>
                <w:i/>
                <w:lang w:val="en-US"/>
              </w:rPr>
              <w:t>difficil</w:t>
            </w:r>
            <w:r w:rsidRPr="00BA4F0F">
              <w:rPr>
                <w:i/>
              </w:rPr>
              <w:t xml:space="preserve">е. </w:t>
            </w:r>
          </w:p>
        </w:tc>
      </w:tr>
      <w:tr w:rsidR="00E83B26" w:rsidRPr="00BA4F0F" w14:paraId="4F82CC47" w14:textId="77777777" w:rsidTr="002D3EBF">
        <w:tc>
          <w:tcPr>
            <w:tcW w:w="4677" w:type="dxa"/>
          </w:tcPr>
          <w:p w14:paraId="45FCE16A" w14:textId="77777777" w:rsidR="00E83B26" w:rsidRPr="00BA4F0F" w:rsidRDefault="00E83B26" w:rsidP="002D3EBF">
            <w:pPr>
              <w:tabs>
                <w:tab w:val="left" w:pos="176"/>
                <w:tab w:val="left" w:pos="284"/>
              </w:tabs>
              <w:ind w:left="34" w:firstLine="0"/>
            </w:pPr>
            <w:r w:rsidRPr="00BA4F0F">
              <w:t>Парапроктит</w:t>
            </w:r>
          </w:p>
          <w:p w14:paraId="11606EB6" w14:textId="77777777" w:rsidR="00E83B26" w:rsidRPr="00BA4F0F" w:rsidRDefault="00E83B26" w:rsidP="002D3EBF">
            <w:pPr>
              <w:tabs>
                <w:tab w:val="left" w:pos="176"/>
                <w:tab w:val="left" w:pos="284"/>
              </w:tabs>
              <w:ind w:left="34" w:firstLine="0"/>
            </w:pPr>
            <w:r w:rsidRPr="00BA4F0F">
              <w:t>Трещина в области прямой кишки</w:t>
            </w:r>
          </w:p>
        </w:tc>
        <w:tc>
          <w:tcPr>
            <w:tcW w:w="4786" w:type="dxa"/>
          </w:tcPr>
          <w:p w14:paraId="3B83EF5E" w14:textId="77777777" w:rsidR="00E83B26" w:rsidRPr="00BA4F0F" w:rsidRDefault="00E83B26" w:rsidP="002D3EBF">
            <w:pPr>
              <w:tabs>
                <w:tab w:val="left" w:pos="34"/>
              </w:tabs>
              <w:ind w:left="35" w:firstLine="0"/>
            </w:pPr>
            <w:r w:rsidRPr="00BA4F0F">
              <w:t>Мазок со слизистой оболочки прямой кишки.</w:t>
            </w:r>
          </w:p>
        </w:tc>
      </w:tr>
      <w:tr w:rsidR="00E83B26" w:rsidRPr="00BA4F0F" w14:paraId="72919C00" w14:textId="77777777" w:rsidTr="002D3EBF">
        <w:tc>
          <w:tcPr>
            <w:tcW w:w="4677" w:type="dxa"/>
          </w:tcPr>
          <w:p w14:paraId="67E3A58B" w14:textId="77777777" w:rsidR="00E83B26" w:rsidRPr="00BA4F0F" w:rsidRDefault="00E83B26" w:rsidP="002D3EBF">
            <w:pPr>
              <w:tabs>
                <w:tab w:val="left" w:pos="176"/>
                <w:tab w:val="left" w:pos="284"/>
              </w:tabs>
              <w:ind w:left="34" w:firstLine="0"/>
            </w:pPr>
            <w:r w:rsidRPr="00BA4F0F">
              <w:t>Инфильтраты на коже</w:t>
            </w:r>
          </w:p>
        </w:tc>
        <w:tc>
          <w:tcPr>
            <w:tcW w:w="4786" w:type="dxa"/>
          </w:tcPr>
          <w:p w14:paraId="2352B8F6" w14:textId="77777777" w:rsidR="00E83B26" w:rsidRPr="00BA4F0F" w:rsidRDefault="00E83B26" w:rsidP="002D3EBF">
            <w:pPr>
              <w:tabs>
                <w:tab w:val="left" w:pos="34"/>
              </w:tabs>
              <w:ind w:left="35" w:firstLine="0"/>
            </w:pPr>
            <w:r w:rsidRPr="00BA4F0F">
              <w:t xml:space="preserve">Биопсия. </w:t>
            </w:r>
          </w:p>
          <w:p w14:paraId="378E8BAF" w14:textId="77777777" w:rsidR="00E83B26" w:rsidRPr="00BA4F0F" w:rsidRDefault="00E83B26" w:rsidP="002D3EBF">
            <w:pPr>
              <w:tabs>
                <w:tab w:val="left" w:pos="34"/>
              </w:tabs>
              <w:ind w:left="35" w:firstLine="0"/>
            </w:pPr>
            <w:r w:rsidRPr="00BA4F0F">
              <w:t xml:space="preserve">Микробиологическое и гистологическое исследование биоптата. </w:t>
            </w:r>
          </w:p>
        </w:tc>
      </w:tr>
    </w:tbl>
    <w:p w14:paraId="571AADA0" w14:textId="77777777" w:rsidR="00E83B26" w:rsidRPr="00BA4F0F" w:rsidRDefault="00E83B26" w:rsidP="00E83B26">
      <w:pPr>
        <w:tabs>
          <w:tab w:val="left" w:pos="0"/>
          <w:tab w:val="left" w:pos="567"/>
        </w:tabs>
        <w:rPr>
          <w:b/>
        </w:rPr>
      </w:pPr>
    </w:p>
    <w:p w14:paraId="3583B642" w14:textId="77777777" w:rsidR="00E83B26" w:rsidRPr="00BA4F0F" w:rsidRDefault="00E83B26" w:rsidP="00E83B26">
      <w:pPr>
        <w:pStyle w:val="afe"/>
        <w:ind w:left="0"/>
        <w:rPr>
          <w:rFonts w:cs="Times New Roman"/>
          <w:b/>
          <w:i/>
          <w:szCs w:val="24"/>
        </w:rPr>
      </w:pPr>
      <w:r w:rsidRPr="00BA4F0F">
        <w:rPr>
          <w:rFonts w:cs="Times New Roman"/>
          <w:b/>
          <w:i/>
          <w:szCs w:val="24"/>
        </w:rPr>
        <w:t>Ежедневный осмотр пациента</w:t>
      </w:r>
    </w:p>
    <w:p w14:paraId="18F3C15E" w14:textId="77777777" w:rsidR="00E83B26" w:rsidRPr="00BA4F0F" w:rsidRDefault="00E83B26" w:rsidP="00E83B26">
      <w:pPr>
        <w:tabs>
          <w:tab w:val="left" w:pos="0"/>
          <w:tab w:val="left" w:pos="567"/>
        </w:tabs>
      </w:pPr>
      <w:r w:rsidRPr="00BA4F0F">
        <w:t xml:space="preserve">При нейтропении ежедневно проводят тщательный осмотр пациента, который наряду с обычными терапевтическими стандартами обследования больных включает следующие подходы. </w:t>
      </w:r>
    </w:p>
    <w:p w14:paraId="5A4E0040" w14:textId="77777777" w:rsidR="00E83B26" w:rsidRPr="00BA4F0F" w:rsidRDefault="00E83B26" w:rsidP="00A555B2">
      <w:pPr>
        <w:numPr>
          <w:ilvl w:val="0"/>
          <w:numId w:val="119"/>
        </w:numPr>
        <w:tabs>
          <w:tab w:val="left" w:pos="0"/>
          <w:tab w:val="left" w:pos="567"/>
        </w:tabs>
        <w:ind w:left="0" w:firstLine="0"/>
      </w:pPr>
      <w:r w:rsidRPr="00BA4F0F">
        <w:t>Активный опрос больного относительно возможных симптомов инфекции, включая наличие болей по ходу пищевода, в промежности.</w:t>
      </w:r>
    </w:p>
    <w:p w14:paraId="7D6C6D90" w14:textId="77777777" w:rsidR="00E83B26" w:rsidRPr="00BA4F0F" w:rsidRDefault="00E83B26" w:rsidP="00A555B2">
      <w:pPr>
        <w:numPr>
          <w:ilvl w:val="0"/>
          <w:numId w:val="119"/>
        </w:numPr>
        <w:tabs>
          <w:tab w:val="left" w:pos="0"/>
          <w:tab w:val="left" w:pos="567"/>
        </w:tabs>
        <w:ind w:left="0" w:firstLine="0"/>
      </w:pPr>
      <w:r w:rsidRPr="00BA4F0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p>
    <w:p w14:paraId="43B4371B" w14:textId="77777777" w:rsidR="00E83B26" w:rsidRPr="00BA4F0F" w:rsidRDefault="00E83B26" w:rsidP="00A555B2">
      <w:pPr>
        <w:numPr>
          <w:ilvl w:val="0"/>
          <w:numId w:val="119"/>
        </w:numPr>
        <w:tabs>
          <w:tab w:val="left" w:pos="0"/>
          <w:tab w:val="left" w:pos="567"/>
        </w:tabs>
        <w:ind w:left="0" w:firstLine="0"/>
      </w:pPr>
      <w:r w:rsidRPr="00BA4F0F">
        <w:t>Осмотр кожи в отношении возможного появления септикопиемических очагов при лихорадке, даже в отсутствие жалоб больного. При лечении глюкокортикоидами септикопиемические очаги могут быть и при нормальной температуре.</w:t>
      </w:r>
    </w:p>
    <w:p w14:paraId="73B2E225" w14:textId="77777777" w:rsidR="00E83B26" w:rsidRPr="00BA4F0F" w:rsidRDefault="00E83B26" w:rsidP="00A555B2">
      <w:pPr>
        <w:numPr>
          <w:ilvl w:val="0"/>
          <w:numId w:val="119"/>
        </w:numPr>
        <w:tabs>
          <w:tab w:val="left" w:pos="0"/>
          <w:tab w:val="left" w:pos="567"/>
        </w:tabs>
        <w:ind w:left="0" w:firstLine="0"/>
      </w:pPr>
      <w:r w:rsidRPr="00BA4F0F">
        <w:t xml:space="preserve">Осмотр места установки венозного катетера. </w:t>
      </w:r>
    </w:p>
    <w:p w14:paraId="309A8F64" w14:textId="77777777" w:rsidR="00E83B26" w:rsidRPr="00BA4F0F" w:rsidRDefault="00E83B26" w:rsidP="00A555B2">
      <w:pPr>
        <w:numPr>
          <w:ilvl w:val="0"/>
          <w:numId w:val="119"/>
        </w:numPr>
        <w:tabs>
          <w:tab w:val="left" w:pos="0"/>
          <w:tab w:val="left" w:pos="567"/>
        </w:tabs>
        <w:ind w:left="0" w:firstLine="0"/>
      </w:pPr>
      <w:r w:rsidRPr="00BA4F0F">
        <w:t xml:space="preserve">Внимательная аускультация грудной клетки. Жесткое дыхание в отсутствие хрипов, минимальное количество влажных хрипов на ограниченном участке могут быть начальным проявлением пневмонии. </w:t>
      </w:r>
    </w:p>
    <w:p w14:paraId="347BC32D" w14:textId="77777777" w:rsidR="00E83B26" w:rsidRPr="00BA4F0F" w:rsidRDefault="00E83B26" w:rsidP="00A555B2">
      <w:pPr>
        <w:numPr>
          <w:ilvl w:val="0"/>
          <w:numId w:val="119"/>
        </w:numPr>
        <w:tabs>
          <w:tab w:val="left" w:pos="0"/>
          <w:tab w:val="left" w:pos="567"/>
        </w:tabs>
        <w:ind w:left="0" w:firstLine="0"/>
      </w:pPr>
      <w:r w:rsidRPr="00BA4F0F">
        <w:t>Тщательная пальпация живота. Первые симптомы псевдомембранозного колита — это появление боли или «урчание» при пальпации в правой подвздошной области (область слепой кишки).</w:t>
      </w:r>
    </w:p>
    <w:p w14:paraId="0AFB52A4" w14:textId="77777777" w:rsidR="00E83B26" w:rsidRPr="00BA4F0F" w:rsidRDefault="00E83B26" w:rsidP="00E83B26">
      <w:pPr>
        <w:tabs>
          <w:tab w:val="left" w:pos="0"/>
          <w:tab w:val="left" w:pos="567"/>
        </w:tabs>
      </w:pPr>
    </w:p>
    <w:p w14:paraId="669E2761" w14:textId="77777777" w:rsidR="00E83B26" w:rsidRPr="00BA4F0F" w:rsidRDefault="00E83B26" w:rsidP="00E83B26">
      <w:pPr>
        <w:pStyle w:val="afe"/>
        <w:ind w:left="0"/>
        <w:rPr>
          <w:rFonts w:cs="Times New Roman"/>
          <w:b/>
          <w:i/>
          <w:szCs w:val="24"/>
        </w:rPr>
      </w:pPr>
      <w:r w:rsidRPr="00BA4F0F">
        <w:rPr>
          <w:rFonts w:cs="Times New Roman"/>
          <w:b/>
          <w:i/>
          <w:szCs w:val="24"/>
        </w:rPr>
        <w:t>Микробиологические исследования</w:t>
      </w:r>
    </w:p>
    <w:p w14:paraId="5C59B138" w14:textId="77777777" w:rsidR="00E83B26" w:rsidRPr="00BA4F0F" w:rsidRDefault="00E83B26" w:rsidP="00E83B26">
      <w:pPr>
        <w:pStyle w:val="afe"/>
        <w:ind w:left="0"/>
        <w:rPr>
          <w:rFonts w:cs="Times New Roman"/>
          <w:i/>
          <w:szCs w:val="24"/>
        </w:rPr>
      </w:pPr>
      <w:r w:rsidRPr="00BA4F0F">
        <w:rPr>
          <w:rFonts w:cs="Times New Roman"/>
          <w:i/>
          <w:szCs w:val="24"/>
        </w:rPr>
        <w:t>Микробиологическое исследование крови</w:t>
      </w:r>
    </w:p>
    <w:p w14:paraId="77F08A48" w14:textId="77777777" w:rsidR="00E83B26" w:rsidRPr="00BA4F0F" w:rsidRDefault="00E83B26" w:rsidP="00A555B2">
      <w:pPr>
        <w:numPr>
          <w:ilvl w:val="0"/>
          <w:numId w:val="124"/>
        </w:numPr>
        <w:tabs>
          <w:tab w:val="left" w:pos="0"/>
          <w:tab w:val="left" w:pos="567"/>
        </w:tabs>
        <w:ind w:left="0" w:firstLine="0"/>
      </w:pPr>
      <w:r w:rsidRPr="00BA4F0F">
        <w:t xml:space="preserve">Показания — температура ≥ 38°С или наличие септикопиемических очагов на коже. </w:t>
      </w:r>
    </w:p>
    <w:p w14:paraId="61F5DD4C" w14:textId="77777777" w:rsidR="00E83B26" w:rsidRPr="00BA4F0F" w:rsidRDefault="00E83B26" w:rsidP="00A555B2">
      <w:pPr>
        <w:numPr>
          <w:ilvl w:val="0"/>
          <w:numId w:val="120"/>
        </w:numPr>
        <w:tabs>
          <w:tab w:val="left" w:pos="0"/>
          <w:tab w:val="left" w:pos="567"/>
        </w:tabs>
        <w:ind w:left="0" w:firstLine="0"/>
      </w:pPr>
      <w:r w:rsidRPr="00BA4F0F">
        <w:t xml:space="preserve">Кровь из вены берут до введения антибиотиков в два флакона (аэробы/анаэробы или аэробы/аэробы) одновременно из вены и из ЦВК или из разных вен; при перитоните или абдоминальной операции в два разных флакона (для аэробов и для анаэробов); при бактериальном эндокардите — 3 раза с интервалом 1—2 часа; при подозрении на катетер-ассоциированную инфекцию — одновременно из вены и из ЦВК во флаконы для автоматического бактериологического анализатора гемокультур (Bactek или другие автоматические анализаторы). На основании разницы во времени (2 часа и более) появления роста микроорганизмов можно предположить инфицирование венозного катетера. При катетер-ассоциированной инфекции положительная гемокультура из ЦВК опережает на 2 часа и более положительную гемокультуру из вены. </w:t>
      </w:r>
    </w:p>
    <w:p w14:paraId="3037913D" w14:textId="77777777" w:rsidR="00E83B26" w:rsidRPr="00BA4F0F" w:rsidRDefault="00E83B26" w:rsidP="00A555B2">
      <w:pPr>
        <w:numPr>
          <w:ilvl w:val="0"/>
          <w:numId w:val="120"/>
        </w:numPr>
        <w:tabs>
          <w:tab w:val="left" w:pos="0"/>
          <w:tab w:val="left" w:pos="567"/>
        </w:tabs>
        <w:ind w:left="0" w:firstLine="0"/>
      </w:pPr>
      <w:r w:rsidRPr="00BA4F0F">
        <w:t xml:space="preserve">Взятие крови для микробиологического исследования следует проводить в период повышения температуры (≥ 38°С) с максимальным соблюдением правил асептики, чтобы исключить вероятность контаминации культуральной среды микробами с кожи. Медсестра должна проводить взятие крови в перчатках и в маске; кожа больного в месте венепункции тщательно обрабатывается дезинфицирующим раствором (дезинфицирующий раствор должен высохнуть); после обработки кожи дезинфицирующим раствором не проводят повторную пальпацию вены для определения места венепункции. </w:t>
      </w:r>
    </w:p>
    <w:p w14:paraId="5ECBA8D3" w14:textId="77777777" w:rsidR="00E83B26" w:rsidRPr="00BA4F0F" w:rsidRDefault="00E83B26" w:rsidP="00A555B2">
      <w:pPr>
        <w:numPr>
          <w:ilvl w:val="0"/>
          <w:numId w:val="120"/>
        </w:numPr>
        <w:tabs>
          <w:tab w:val="left" w:pos="0"/>
          <w:tab w:val="left" w:pos="567"/>
        </w:tabs>
        <w:ind w:left="0" w:firstLine="0"/>
      </w:pPr>
      <w:r w:rsidRPr="00BA4F0F">
        <w:t xml:space="preserve">Крайне важным является взятие достаточного количества крови для гемокультуры – за одно исследование у взрослых суммарно берут 20-30 мл крови в 2-3 флакона (по 10 мл каждый флакон). </w:t>
      </w:r>
    </w:p>
    <w:p w14:paraId="4618946C" w14:textId="77777777" w:rsidR="00E83B26" w:rsidRPr="00BA4F0F" w:rsidRDefault="00E83B26" w:rsidP="00A555B2">
      <w:pPr>
        <w:numPr>
          <w:ilvl w:val="0"/>
          <w:numId w:val="120"/>
        </w:numPr>
        <w:tabs>
          <w:tab w:val="left" w:pos="0"/>
          <w:tab w:val="left" w:pos="567"/>
        </w:tabs>
        <w:ind w:left="0" w:firstLine="0"/>
      </w:pPr>
      <w:r w:rsidRPr="00BA4F0F">
        <w:t>Не направляют в лабораторию на исследование гемокультуру из ЦВК без гемокультуры из вены.</w:t>
      </w:r>
    </w:p>
    <w:p w14:paraId="3802D10C" w14:textId="77777777" w:rsidR="00E83B26" w:rsidRPr="00BA4F0F" w:rsidRDefault="00E83B26" w:rsidP="00A555B2">
      <w:pPr>
        <w:numPr>
          <w:ilvl w:val="0"/>
          <w:numId w:val="120"/>
        </w:numPr>
        <w:tabs>
          <w:tab w:val="left" w:pos="0"/>
          <w:tab w:val="left" w:pos="567"/>
        </w:tabs>
        <w:ind w:left="0" w:firstLine="0"/>
      </w:pPr>
      <w:r w:rsidRPr="00BA4F0F">
        <w:t>Нельзя флаконы с гемокультурой ставить в холодильник.</w:t>
      </w:r>
    </w:p>
    <w:p w14:paraId="5F1A7CB8" w14:textId="77777777" w:rsidR="00E83B26" w:rsidRPr="00BA4F0F" w:rsidRDefault="00E83B26" w:rsidP="00E83B26">
      <w:pPr>
        <w:tabs>
          <w:tab w:val="left" w:pos="0"/>
          <w:tab w:val="left" w:pos="567"/>
        </w:tabs>
        <w:ind w:firstLine="567"/>
      </w:pPr>
      <w:r w:rsidRPr="00BA4F0F">
        <w:rPr>
          <w:i/>
        </w:rPr>
        <w:t>Примечание.</w:t>
      </w:r>
      <w:r w:rsidRPr="00BA4F0F">
        <w:t xml:space="preserve"> Выделение коагулазанегативных стафилококков (основную долю которых составляет </w:t>
      </w:r>
      <w:r w:rsidRPr="00BA4F0F">
        <w:rPr>
          <w:i/>
        </w:rPr>
        <w:t>Staphylococcus epidermidis</w:t>
      </w:r>
      <w:r w:rsidRPr="00BA4F0F">
        <w:t xml:space="preserve">) должно быть подтверждено двумя гемокультурами, поскольку высока вероятность контаминации этими микроорганизмами исследуемых образцов крови (облигатная микрофлора). Это относится и к </w:t>
      </w:r>
      <w:r w:rsidRPr="00BA4F0F">
        <w:rPr>
          <w:i/>
        </w:rPr>
        <w:t>Corynebacterium spp</w:t>
      </w:r>
      <w:r w:rsidRPr="00BA4F0F">
        <w:t xml:space="preserve">. Повторное исследование проводится максимально близко по времени к первому исследованию. </w:t>
      </w:r>
    </w:p>
    <w:p w14:paraId="162F8400" w14:textId="77777777" w:rsidR="00E83B26" w:rsidRPr="00BA4F0F" w:rsidRDefault="00E83B26" w:rsidP="00E83B26">
      <w:pPr>
        <w:pStyle w:val="afe"/>
        <w:ind w:left="0"/>
        <w:rPr>
          <w:rFonts w:cs="Times New Roman"/>
          <w:i/>
          <w:szCs w:val="24"/>
        </w:rPr>
      </w:pPr>
    </w:p>
    <w:p w14:paraId="37E7AFB8" w14:textId="77777777" w:rsidR="00E83B26" w:rsidRPr="00BA4F0F" w:rsidRDefault="00E83B26" w:rsidP="00E83B26">
      <w:pPr>
        <w:pStyle w:val="afe"/>
        <w:ind w:left="0"/>
        <w:rPr>
          <w:rFonts w:cs="Times New Roman"/>
          <w:i/>
          <w:szCs w:val="24"/>
        </w:rPr>
      </w:pPr>
      <w:r w:rsidRPr="00BA4F0F">
        <w:rPr>
          <w:rFonts w:cs="Times New Roman"/>
          <w:i/>
          <w:szCs w:val="24"/>
        </w:rPr>
        <w:t>Микробиологическое исследование крови, взятой одновременно из вены и из центрального венозного катетера, при подозрении на катетер-ассоциированную инфекцию</w:t>
      </w:r>
    </w:p>
    <w:p w14:paraId="4E4CF6C4" w14:textId="77777777" w:rsidR="00E83B26" w:rsidRPr="00BA4F0F" w:rsidRDefault="00E83B26" w:rsidP="00A555B2">
      <w:pPr>
        <w:numPr>
          <w:ilvl w:val="0"/>
          <w:numId w:val="121"/>
        </w:numPr>
        <w:tabs>
          <w:tab w:val="left" w:pos="0"/>
          <w:tab w:val="left" w:pos="567"/>
        </w:tabs>
        <w:ind w:left="0" w:firstLine="0"/>
      </w:pPr>
      <w:r w:rsidRPr="00BA4F0F">
        <w:t>Показания:</w:t>
      </w:r>
    </w:p>
    <w:p w14:paraId="79A39DA2" w14:textId="77777777" w:rsidR="00E83B26" w:rsidRPr="00BA4F0F" w:rsidRDefault="00E83B26" w:rsidP="00A555B2">
      <w:pPr>
        <w:numPr>
          <w:ilvl w:val="0"/>
          <w:numId w:val="122"/>
        </w:numPr>
        <w:tabs>
          <w:tab w:val="left" w:pos="0"/>
          <w:tab w:val="left" w:pos="567"/>
        </w:tabs>
        <w:ind w:left="0" w:firstLine="0"/>
      </w:pPr>
      <w:r w:rsidRPr="00BA4F0F">
        <w:t xml:space="preserve">Гиперемия (инфильтрат) в месте установки катетера. </w:t>
      </w:r>
    </w:p>
    <w:p w14:paraId="14E3474A" w14:textId="77777777" w:rsidR="00E83B26" w:rsidRPr="00BA4F0F" w:rsidRDefault="00E83B26" w:rsidP="00A555B2">
      <w:pPr>
        <w:numPr>
          <w:ilvl w:val="0"/>
          <w:numId w:val="122"/>
        </w:numPr>
        <w:tabs>
          <w:tab w:val="left" w:pos="0"/>
          <w:tab w:val="left" w:pos="567"/>
        </w:tabs>
        <w:ind w:left="0" w:firstLine="0"/>
      </w:pPr>
      <w:r w:rsidRPr="00BA4F0F">
        <w:t xml:space="preserve">Повышение температуры сопряжено с инфузиями в катетер. </w:t>
      </w:r>
    </w:p>
    <w:p w14:paraId="6E32AA09" w14:textId="77777777" w:rsidR="00E83B26" w:rsidRPr="00BA4F0F" w:rsidRDefault="00E83B26" w:rsidP="00A555B2">
      <w:pPr>
        <w:numPr>
          <w:ilvl w:val="0"/>
          <w:numId w:val="122"/>
        </w:numPr>
        <w:tabs>
          <w:tab w:val="left" w:pos="0"/>
          <w:tab w:val="left" w:pos="567"/>
        </w:tabs>
        <w:ind w:left="0" w:firstLine="0"/>
      </w:pPr>
      <w:r w:rsidRPr="00BA4F0F">
        <w:t xml:space="preserve">Плохая проходимость катетера (проблемы при промывании или заборе крови из катетера). </w:t>
      </w:r>
    </w:p>
    <w:p w14:paraId="28B21867" w14:textId="77777777" w:rsidR="00E83B26" w:rsidRPr="00BA4F0F" w:rsidRDefault="00E83B26" w:rsidP="00A555B2">
      <w:pPr>
        <w:numPr>
          <w:ilvl w:val="0"/>
          <w:numId w:val="122"/>
        </w:numPr>
        <w:tabs>
          <w:tab w:val="left" w:pos="0"/>
          <w:tab w:val="left" w:pos="567"/>
        </w:tabs>
        <w:ind w:left="0" w:firstLine="0"/>
      </w:pPr>
      <w:r w:rsidRPr="00BA4F0F">
        <w:t>Возникновение температуры &gt; 38°С при восстановлении числа нейтрофилов (число гранулоцитов &gt; 0,5 × 10</w:t>
      </w:r>
      <w:r w:rsidRPr="00BA4F0F">
        <w:rPr>
          <w:vertAlign w:val="superscript"/>
        </w:rPr>
        <w:t>9</w:t>
      </w:r>
      <w:r w:rsidRPr="00BA4F0F">
        <w:t xml:space="preserve"> /л). </w:t>
      </w:r>
    </w:p>
    <w:p w14:paraId="535EE815" w14:textId="77777777" w:rsidR="00E83B26" w:rsidRPr="00BA4F0F" w:rsidRDefault="00E83B26" w:rsidP="00A555B2">
      <w:pPr>
        <w:numPr>
          <w:ilvl w:val="0"/>
          <w:numId w:val="122"/>
        </w:numPr>
        <w:tabs>
          <w:tab w:val="left" w:pos="0"/>
          <w:tab w:val="left" w:pos="567"/>
        </w:tabs>
        <w:ind w:left="0" w:firstLine="0"/>
      </w:pPr>
      <w:r w:rsidRPr="00BA4F0F">
        <w:t>Возникновение температуры &gt; 38°С вне нейтропении (число гранулоцитов &gt; 0,5 × 10</w:t>
      </w:r>
      <w:r w:rsidRPr="00BA4F0F">
        <w:rPr>
          <w:vertAlign w:val="superscript"/>
        </w:rPr>
        <w:t>9</w:t>
      </w:r>
      <w:r w:rsidRPr="00BA4F0F">
        <w:t xml:space="preserve"> /л) и наличие центрального венозного катетера, давность установки которого ≥ 7 дней. </w:t>
      </w:r>
    </w:p>
    <w:p w14:paraId="7AFA3E19" w14:textId="77777777" w:rsidR="00E83B26" w:rsidRPr="00BA4F0F" w:rsidRDefault="00E83B26" w:rsidP="00E83B26">
      <w:pPr>
        <w:tabs>
          <w:tab w:val="left" w:pos="0"/>
          <w:tab w:val="left" w:pos="567"/>
        </w:tabs>
      </w:pPr>
      <w:r w:rsidRPr="00BA4F0F">
        <w:rPr>
          <w:i/>
        </w:rPr>
        <w:t>Примечание.</w:t>
      </w:r>
      <w:r w:rsidRPr="00BA4F0F">
        <w:t xml:space="preserve"> Чаще всего катетер-ассоциированная инфекция развивается вне периода нейтропении или в период восстановления числа нейтрофилов. </w:t>
      </w:r>
    </w:p>
    <w:p w14:paraId="6D2D486E" w14:textId="77777777" w:rsidR="00E83B26" w:rsidRPr="00BA4F0F" w:rsidRDefault="00E83B26" w:rsidP="00A555B2">
      <w:pPr>
        <w:numPr>
          <w:ilvl w:val="0"/>
          <w:numId w:val="123"/>
        </w:numPr>
        <w:tabs>
          <w:tab w:val="left" w:pos="0"/>
          <w:tab w:val="left" w:pos="567"/>
        </w:tabs>
        <w:ind w:left="0" w:firstLine="0"/>
      </w:pPr>
      <w:r w:rsidRPr="00BA4F0F">
        <w:t xml:space="preserve">При сохраняющейся температуре (≥ 38°С) посевы крови проводят каждые 4—5 дней. </w:t>
      </w:r>
    </w:p>
    <w:p w14:paraId="7D408DD5" w14:textId="77777777" w:rsidR="00E83B26" w:rsidRPr="00BA4F0F" w:rsidRDefault="00E83B26" w:rsidP="00E83B26">
      <w:pPr>
        <w:tabs>
          <w:tab w:val="left" w:pos="0"/>
          <w:tab w:val="left" w:pos="567"/>
        </w:tabs>
        <w:jc w:val="center"/>
        <w:rPr>
          <w:b/>
        </w:rPr>
      </w:pPr>
    </w:p>
    <w:p w14:paraId="308E178C" w14:textId="77777777" w:rsidR="00E83B26" w:rsidRPr="00BA4F0F" w:rsidRDefault="00E83B26" w:rsidP="00E83B26">
      <w:pPr>
        <w:pStyle w:val="afe"/>
        <w:ind w:left="0"/>
        <w:rPr>
          <w:rFonts w:cs="Times New Roman"/>
          <w:i/>
          <w:szCs w:val="24"/>
        </w:rPr>
      </w:pPr>
      <w:r w:rsidRPr="00BA4F0F">
        <w:rPr>
          <w:rFonts w:cs="Times New Roman"/>
          <w:i/>
          <w:szCs w:val="24"/>
        </w:rPr>
        <w:t>Микробиологическое исследование центрального внутривенного катетера</w:t>
      </w:r>
    </w:p>
    <w:p w14:paraId="562A1061" w14:textId="77777777" w:rsidR="00E83B26" w:rsidRPr="00BA4F0F" w:rsidRDefault="00E83B26" w:rsidP="00E83B26">
      <w:pPr>
        <w:tabs>
          <w:tab w:val="left" w:pos="0"/>
          <w:tab w:val="left" w:pos="567"/>
        </w:tabs>
      </w:pPr>
      <w:r w:rsidRPr="00BA4F0F">
        <w:t>Катетер удаляют и направляют на исследование в бактериологическую лабораторию.</w:t>
      </w:r>
    </w:p>
    <w:p w14:paraId="26C32DC2" w14:textId="77777777" w:rsidR="00E83B26" w:rsidRPr="00BA4F0F" w:rsidRDefault="00E83B26" w:rsidP="00A555B2">
      <w:pPr>
        <w:numPr>
          <w:ilvl w:val="0"/>
          <w:numId w:val="123"/>
        </w:numPr>
        <w:tabs>
          <w:tab w:val="left" w:pos="0"/>
          <w:tab w:val="left" w:pos="567"/>
        </w:tabs>
        <w:ind w:left="0" w:firstLine="0"/>
      </w:pPr>
      <w:r w:rsidRPr="00BA4F0F">
        <w:t>Показания:</w:t>
      </w:r>
    </w:p>
    <w:p w14:paraId="28BF411F" w14:textId="77777777" w:rsidR="00E83B26" w:rsidRPr="00BA4F0F" w:rsidRDefault="00E83B26" w:rsidP="00A555B2">
      <w:pPr>
        <w:numPr>
          <w:ilvl w:val="0"/>
          <w:numId w:val="125"/>
        </w:numPr>
        <w:tabs>
          <w:tab w:val="left" w:pos="0"/>
          <w:tab w:val="left" w:pos="567"/>
        </w:tabs>
        <w:ind w:left="0" w:firstLine="0"/>
      </w:pPr>
      <w:r w:rsidRPr="00BA4F0F">
        <w:t xml:space="preserve">Подозрение на катетер-ассоциированную инфекцию. </w:t>
      </w:r>
    </w:p>
    <w:p w14:paraId="4C320D57" w14:textId="77777777" w:rsidR="00E83B26" w:rsidRPr="00BA4F0F" w:rsidRDefault="00E83B26" w:rsidP="00A555B2">
      <w:pPr>
        <w:numPr>
          <w:ilvl w:val="0"/>
          <w:numId w:val="125"/>
        </w:numPr>
        <w:tabs>
          <w:tab w:val="left" w:pos="0"/>
          <w:tab w:val="left" w:pos="567"/>
        </w:tabs>
        <w:ind w:left="0" w:firstLine="0"/>
      </w:pPr>
      <w:r w:rsidRPr="00BA4F0F">
        <w:t xml:space="preserve">Выделение дрожжевых или мицелиальных грибов из крови. </w:t>
      </w:r>
    </w:p>
    <w:p w14:paraId="37369C98" w14:textId="77777777" w:rsidR="00E83B26" w:rsidRPr="00BA4F0F" w:rsidRDefault="00E83B26" w:rsidP="00A555B2">
      <w:pPr>
        <w:numPr>
          <w:ilvl w:val="0"/>
          <w:numId w:val="125"/>
        </w:numPr>
        <w:tabs>
          <w:tab w:val="left" w:pos="0"/>
          <w:tab w:val="left" w:pos="567"/>
        </w:tabs>
        <w:ind w:left="0" w:firstLine="0"/>
      </w:pPr>
      <w:r w:rsidRPr="00BA4F0F">
        <w:t xml:space="preserve">Перевод больного из другого стационара с ЦВК. </w:t>
      </w:r>
    </w:p>
    <w:p w14:paraId="452252D4" w14:textId="77777777" w:rsidR="00E83B26" w:rsidRPr="00BA4F0F" w:rsidRDefault="00E83B26" w:rsidP="00A555B2">
      <w:pPr>
        <w:numPr>
          <w:ilvl w:val="0"/>
          <w:numId w:val="125"/>
        </w:numPr>
        <w:tabs>
          <w:tab w:val="left" w:pos="0"/>
          <w:tab w:val="left" w:pos="567"/>
        </w:tabs>
        <w:ind w:left="0" w:firstLine="0"/>
      </w:pPr>
      <w:r w:rsidRPr="00BA4F0F">
        <w:t xml:space="preserve">Восстановление числа гранулоцитов у больных сепсисом, обусловленным грамотрицательными бактериями. </w:t>
      </w:r>
    </w:p>
    <w:p w14:paraId="50D0602A" w14:textId="77777777" w:rsidR="00E83B26" w:rsidRPr="00BA4F0F" w:rsidRDefault="00E83B26" w:rsidP="00E83B26">
      <w:pPr>
        <w:tabs>
          <w:tab w:val="left" w:pos="0"/>
          <w:tab w:val="left" w:pos="567"/>
        </w:tabs>
      </w:pPr>
      <w:r w:rsidRPr="00BA4F0F">
        <w:rPr>
          <w:i/>
        </w:rPr>
        <w:t>Примечание.</w:t>
      </w:r>
      <w:r w:rsidRPr="00BA4F0F">
        <w:t xml:space="preserve"> Если больной переведен из другого стационара с ЦВК, то катетер удаляют в день поступления в другую клинику.</w:t>
      </w:r>
    </w:p>
    <w:p w14:paraId="6505FA3B" w14:textId="77777777" w:rsidR="00E83B26" w:rsidRPr="00BA4F0F" w:rsidRDefault="00E83B26" w:rsidP="00A555B2">
      <w:pPr>
        <w:numPr>
          <w:ilvl w:val="0"/>
          <w:numId w:val="126"/>
        </w:numPr>
        <w:tabs>
          <w:tab w:val="left" w:pos="0"/>
          <w:tab w:val="left" w:pos="567"/>
        </w:tabs>
        <w:ind w:left="0" w:firstLine="0"/>
      </w:pPr>
      <w:r w:rsidRPr="00BA4F0F">
        <w:t xml:space="preserve">Для бактериологического исследования используется асептически удаленный дистальный отрезок катетера длиной 5—6 см. Удаленный отрезок катетера кладут в чашку Петри или другую стерильную емкость и сразу же доставляют в лабораторию для исследования. Хранение и последующее исследование удаленного катетера недопустимо. </w:t>
      </w:r>
    </w:p>
    <w:p w14:paraId="315D9482" w14:textId="77777777" w:rsidR="00E83B26" w:rsidRPr="00BA4F0F" w:rsidRDefault="00E83B26" w:rsidP="00A555B2">
      <w:pPr>
        <w:numPr>
          <w:ilvl w:val="0"/>
          <w:numId w:val="126"/>
        </w:numPr>
        <w:tabs>
          <w:tab w:val="left" w:pos="0"/>
          <w:tab w:val="left" w:pos="567"/>
        </w:tabs>
        <w:ind w:left="0" w:firstLine="0"/>
      </w:pPr>
      <w:r w:rsidRPr="00BA4F0F">
        <w:t>Исследование проводят полуколичественным (метод Маки) или количественным методом. Диагностически значимым (подтверждает инфицирование катетера) при полуколичественном исследовании является выделение микроорганизмов в количестве ≥ 15 КОЕ, при количественном — ≥ 10</w:t>
      </w:r>
      <w:r w:rsidRPr="00BA4F0F">
        <w:rPr>
          <w:vertAlign w:val="superscript"/>
        </w:rPr>
        <w:t>3</w:t>
      </w:r>
      <w:r w:rsidRPr="00BA4F0F">
        <w:t xml:space="preserve"> КОЕ/мл. Для постановки диагноза катетер-ассоциированной инфекции, кроме выделения микроорганизмов в диагностически значимых количествах при исследовании удаленного катетера, необходимо выделение того же микроорганизма из крови. </w:t>
      </w:r>
    </w:p>
    <w:p w14:paraId="6E17085B" w14:textId="77777777" w:rsidR="00E83B26" w:rsidRPr="00BA4F0F" w:rsidRDefault="00E83B26" w:rsidP="00A555B2">
      <w:pPr>
        <w:numPr>
          <w:ilvl w:val="0"/>
          <w:numId w:val="126"/>
        </w:numPr>
        <w:tabs>
          <w:tab w:val="left" w:pos="0"/>
          <w:tab w:val="left" w:pos="567"/>
        </w:tabs>
        <w:ind w:left="0" w:firstLine="0"/>
      </w:pPr>
      <w:r w:rsidRPr="00BA4F0F">
        <w:t xml:space="preserve">При появлении признаков воспаления и отделяемого в месте установки венозного катетера необходимо провести микробиологическое исследование отделяемого, а если эти изменения сохраняются или приобретают хронический характер, выполнить исследование на наличие нетуберкулезных микобактерий. </w:t>
      </w:r>
    </w:p>
    <w:p w14:paraId="04A86FB1" w14:textId="77777777" w:rsidR="00E83B26" w:rsidRPr="00BA4F0F" w:rsidRDefault="00E83B26" w:rsidP="00A555B2">
      <w:pPr>
        <w:numPr>
          <w:ilvl w:val="0"/>
          <w:numId w:val="126"/>
        </w:numPr>
        <w:tabs>
          <w:tab w:val="left" w:pos="0"/>
          <w:tab w:val="left" w:pos="567"/>
        </w:tabs>
        <w:ind w:left="0" w:firstLine="0"/>
      </w:pPr>
      <w:r w:rsidRPr="00BA4F0F">
        <w:t xml:space="preserve">Не проводят рутинное исследование всех удаленных катетеров. </w:t>
      </w:r>
    </w:p>
    <w:p w14:paraId="4CD18AAE" w14:textId="77777777" w:rsidR="00E83B26" w:rsidRPr="00BA4F0F" w:rsidRDefault="00E83B26" w:rsidP="00E83B26">
      <w:pPr>
        <w:pStyle w:val="afe"/>
        <w:ind w:left="0"/>
        <w:rPr>
          <w:rFonts w:cs="Times New Roman"/>
          <w:i/>
          <w:szCs w:val="24"/>
        </w:rPr>
      </w:pPr>
    </w:p>
    <w:p w14:paraId="1DC20397" w14:textId="77777777" w:rsidR="00E83B26" w:rsidRPr="00BA4F0F" w:rsidRDefault="00E83B26" w:rsidP="00E83B26">
      <w:pPr>
        <w:pStyle w:val="afe"/>
        <w:ind w:left="0"/>
        <w:rPr>
          <w:rFonts w:cs="Times New Roman"/>
          <w:i/>
          <w:szCs w:val="24"/>
        </w:rPr>
      </w:pPr>
      <w:r w:rsidRPr="00BA4F0F">
        <w:rPr>
          <w:rFonts w:cs="Times New Roman"/>
          <w:i/>
          <w:szCs w:val="24"/>
        </w:rPr>
        <w:t>Микробиологическое исследование мочи</w:t>
      </w:r>
    </w:p>
    <w:p w14:paraId="37106B2F" w14:textId="77777777" w:rsidR="00E83B26" w:rsidRPr="00BA4F0F" w:rsidRDefault="00E83B26" w:rsidP="00A555B2">
      <w:pPr>
        <w:numPr>
          <w:ilvl w:val="0"/>
          <w:numId w:val="127"/>
        </w:numPr>
        <w:tabs>
          <w:tab w:val="left" w:pos="0"/>
          <w:tab w:val="left" w:pos="567"/>
        </w:tabs>
        <w:ind w:left="0" w:firstLine="0"/>
      </w:pPr>
      <w:r w:rsidRPr="00BA4F0F">
        <w:t>Показания:</w:t>
      </w:r>
    </w:p>
    <w:p w14:paraId="0BECADD0" w14:textId="77777777" w:rsidR="00E83B26" w:rsidRPr="00BA4F0F" w:rsidRDefault="00E83B26" w:rsidP="00A555B2">
      <w:pPr>
        <w:numPr>
          <w:ilvl w:val="0"/>
          <w:numId w:val="128"/>
        </w:numPr>
        <w:tabs>
          <w:tab w:val="left" w:pos="0"/>
          <w:tab w:val="left" w:pos="567"/>
        </w:tabs>
        <w:ind w:left="0" w:firstLine="0"/>
      </w:pPr>
      <w:r w:rsidRPr="00BA4F0F">
        <w:t xml:space="preserve">Симптомы инфекции мочевыводящих путей. </w:t>
      </w:r>
    </w:p>
    <w:p w14:paraId="11D4BFD5" w14:textId="77777777" w:rsidR="00E83B26" w:rsidRPr="00BA4F0F" w:rsidRDefault="00E83B26" w:rsidP="00A555B2">
      <w:pPr>
        <w:numPr>
          <w:ilvl w:val="0"/>
          <w:numId w:val="128"/>
        </w:numPr>
        <w:tabs>
          <w:tab w:val="left" w:pos="0"/>
          <w:tab w:val="left" w:pos="567"/>
        </w:tabs>
        <w:ind w:left="0" w:firstLine="0"/>
      </w:pPr>
      <w:r w:rsidRPr="00BA4F0F">
        <w:t xml:space="preserve">Лейкоцитурия. </w:t>
      </w:r>
    </w:p>
    <w:p w14:paraId="29D01BDB" w14:textId="77777777" w:rsidR="00E83B26" w:rsidRPr="00BA4F0F" w:rsidRDefault="00E83B26" w:rsidP="00A555B2">
      <w:pPr>
        <w:numPr>
          <w:ilvl w:val="0"/>
          <w:numId w:val="128"/>
        </w:numPr>
        <w:tabs>
          <w:tab w:val="left" w:pos="0"/>
          <w:tab w:val="left" w:pos="567"/>
        </w:tabs>
        <w:ind w:left="0" w:firstLine="0"/>
      </w:pPr>
      <w:r w:rsidRPr="00BA4F0F">
        <w:t xml:space="preserve">Длительная лихорадка неясной этиологии. </w:t>
      </w:r>
    </w:p>
    <w:p w14:paraId="2FC9735B" w14:textId="77777777" w:rsidR="00E83B26" w:rsidRPr="00BA4F0F" w:rsidRDefault="00E83B26" w:rsidP="00A555B2">
      <w:pPr>
        <w:numPr>
          <w:ilvl w:val="0"/>
          <w:numId w:val="129"/>
        </w:numPr>
        <w:tabs>
          <w:tab w:val="left" w:pos="0"/>
          <w:tab w:val="left" w:pos="567"/>
        </w:tabs>
        <w:ind w:left="0" w:firstLine="0"/>
      </w:pPr>
      <w:r w:rsidRPr="00BA4F0F">
        <w:t xml:space="preserve">Для исследования направляют утреннюю среднюю порцию мочи; доставку мочи в лабораторию проводят немедленно, максимально допустимое время с момента забора до доставки в лабораторию — 2 часа. </w:t>
      </w:r>
    </w:p>
    <w:p w14:paraId="5E5B38E2" w14:textId="77777777" w:rsidR="00E83B26" w:rsidRPr="00BA4F0F" w:rsidRDefault="00E83B26" w:rsidP="00E83B26">
      <w:pPr>
        <w:tabs>
          <w:tab w:val="left" w:pos="0"/>
          <w:tab w:val="left" w:pos="567"/>
        </w:tabs>
      </w:pPr>
      <w:r w:rsidRPr="00BA4F0F">
        <w:rPr>
          <w:i/>
        </w:rPr>
        <w:t>Примечание.</w:t>
      </w:r>
      <w:r w:rsidRPr="00BA4F0F">
        <w:t xml:space="preserve"> Микробиологическое исследование мочи, взятой из катетера Фоли, мочесборных мешков, не проводят из-за контаминации пластика. Исследование мочи в этих случаях проводят в день постановки мочевого катетера. Микробиологическое исследование удаленного катетера Фоли также не проводят. </w:t>
      </w:r>
    </w:p>
    <w:p w14:paraId="6CA2133C" w14:textId="77777777" w:rsidR="00E83B26" w:rsidRPr="00BA4F0F" w:rsidRDefault="00E83B26" w:rsidP="00A555B2">
      <w:pPr>
        <w:numPr>
          <w:ilvl w:val="0"/>
          <w:numId w:val="129"/>
        </w:numPr>
        <w:tabs>
          <w:tab w:val="left" w:pos="0"/>
          <w:tab w:val="left" w:pos="567"/>
        </w:tabs>
        <w:ind w:left="0" w:firstLine="0"/>
      </w:pPr>
      <w:r w:rsidRPr="00BA4F0F">
        <w:t>Бактериурия является диагностически значимой, если выделен один микроорганизм в количестве ≥ 10</w:t>
      </w:r>
      <w:r w:rsidRPr="00BA4F0F">
        <w:rPr>
          <w:vertAlign w:val="superscript"/>
        </w:rPr>
        <w:t>3</w:t>
      </w:r>
      <w:r w:rsidRPr="00BA4F0F">
        <w:t xml:space="preserve"> КОЕ/мл. </w:t>
      </w:r>
    </w:p>
    <w:p w14:paraId="20C8DC89" w14:textId="77777777" w:rsidR="00E83B26" w:rsidRPr="00BA4F0F" w:rsidRDefault="00E83B26" w:rsidP="00A555B2">
      <w:pPr>
        <w:numPr>
          <w:ilvl w:val="0"/>
          <w:numId w:val="129"/>
        </w:numPr>
        <w:tabs>
          <w:tab w:val="left" w:pos="0"/>
          <w:tab w:val="left" w:pos="567"/>
        </w:tabs>
        <w:ind w:left="0" w:firstLine="0"/>
      </w:pPr>
      <w:r w:rsidRPr="00BA4F0F">
        <w:t>Если выделены два микроорганизма в количестве ≥ 10</w:t>
      </w:r>
      <w:r w:rsidRPr="00BA4F0F">
        <w:rPr>
          <w:vertAlign w:val="superscript"/>
        </w:rPr>
        <w:t>3</w:t>
      </w:r>
      <w:r w:rsidRPr="00BA4F0F">
        <w:t xml:space="preserve"> КОЕ/мл, то микробиологическое исследование мочи повторяют на следующий день. Повторное выделение тех же микроорганизмов (за исключением бактерий, указанных в примечании) подтверждает инфекцию мочевыводящих путей. </w:t>
      </w:r>
    </w:p>
    <w:p w14:paraId="54C1316F" w14:textId="77777777" w:rsidR="00E83B26" w:rsidRPr="00BA4F0F" w:rsidRDefault="00E83B26" w:rsidP="00A555B2">
      <w:pPr>
        <w:numPr>
          <w:ilvl w:val="0"/>
          <w:numId w:val="129"/>
        </w:numPr>
        <w:tabs>
          <w:tab w:val="left" w:pos="0"/>
          <w:tab w:val="left" w:pos="567"/>
        </w:tabs>
        <w:ind w:left="0" w:firstLine="0"/>
      </w:pPr>
      <w:r w:rsidRPr="00BA4F0F">
        <w:t xml:space="preserve">Любое количество бактерий в моче, полученной путем надлобковой пункции мочевого пузыря, является значимой бактериурией. </w:t>
      </w:r>
    </w:p>
    <w:p w14:paraId="12925BF9" w14:textId="77777777" w:rsidR="00E83B26" w:rsidRPr="00BA4F0F" w:rsidRDefault="00E83B26" w:rsidP="00A555B2">
      <w:pPr>
        <w:numPr>
          <w:ilvl w:val="0"/>
          <w:numId w:val="129"/>
        </w:numPr>
        <w:tabs>
          <w:tab w:val="left" w:pos="0"/>
          <w:tab w:val="left" w:pos="567"/>
        </w:tabs>
        <w:ind w:left="0" w:firstLine="0"/>
      </w:pPr>
      <w:r w:rsidRPr="00BA4F0F">
        <w:t>Бактериурию считают бессимптомной, если в двух последовательных образцах, взятых с интервалом более 24 часов, обнаруживается один и тот же патогенный микроорганизм в количестве ≥ 10</w:t>
      </w:r>
      <w:r w:rsidRPr="00BA4F0F">
        <w:rPr>
          <w:vertAlign w:val="superscript"/>
        </w:rPr>
        <w:t>5</w:t>
      </w:r>
      <w:r w:rsidRPr="00BA4F0F">
        <w:t xml:space="preserve"> КОЕ/мл. </w:t>
      </w:r>
    </w:p>
    <w:p w14:paraId="13DF2179" w14:textId="77777777" w:rsidR="00E83B26" w:rsidRPr="00BA4F0F" w:rsidRDefault="00E83B26" w:rsidP="00A555B2">
      <w:pPr>
        <w:numPr>
          <w:ilvl w:val="0"/>
          <w:numId w:val="129"/>
        </w:numPr>
        <w:tabs>
          <w:tab w:val="left" w:pos="0"/>
          <w:tab w:val="left" w:pos="567"/>
        </w:tabs>
        <w:ind w:left="0" w:firstLine="0"/>
        <w:rPr>
          <w:i/>
        </w:rPr>
      </w:pPr>
      <w:r w:rsidRPr="00BA4F0F">
        <w:t xml:space="preserve">Наиболее частые возбудители инфекции мочевыводящих путей — это энтеробактерии, в составе которых преобладают </w:t>
      </w:r>
      <w:r w:rsidRPr="00BA4F0F">
        <w:rPr>
          <w:i/>
        </w:rPr>
        <w:t>Escherichia coli</w:t>
      </w:r>
      <w:r w:rsidRPr="00BA4F0F">
        <w:t xml:space="preserve">, далее </w:t>
      </w:r>
      <w:r w:rsidRPr="00BA4F0F">
        <w:rPr>
          <w:i/>
        </w:rPr>
        <w:t>Staphylococcus saprophyticus</w:t>
      </w:r>
      <w:r w:rsidRPr="00BA4F0F">
        <w:t xml:space="preserve"> (чаще у молодых женщин), </w:t>
      </w:r>
      <w:r w:rsidRPr="00BA4F0F">
        <w:rPr>
          <w:i/>
        </w:rPr>
        <w:t xml:space="preserve">Enterococcus spp., Pseudomonas aeruginosa. </w:t>
      </w:r>
    </w:p>
    <w:p w14:paraId="7213D367" w14:textId="77777777" w:rsidR="00E83B26" w:rsidRPr="00BA4F0F" w:rsidRDefault="00E83B26" w:rsidP="00A555B2">
      <w:pPr>
        <w:numPr>
          <w:ilvl w:val="0"/>
          <w:numId w:val="129"/>
        </w:numPr>
        <w:tabs>
          <w:tab w:val="left" w:pos="0"/>
          <w:tab w:val="left" w:pos="567"/>
        </w:tabs>
        <w:ind w:left="0" w:firstLine="0"/>
        <w:rPr>
          <w:i/>
        </w:rPr>
      </w:pPr>
      <w:r w:rsidRPr="00BA4F0F">
        <w:t>При выделении из мочи коагулазанегативных стафилококков в монокультуре (≥ 10</w:t>
      </w:r>
      <w:r w:rsidRPr="00BA4F0F">
        <w:rPr>
          <w:vertAlign w:val="superscript"/>
        </w:rPr>
        <w:t>4</w:t>
      </w:r>
      <w:r w:rsidRPr="00BA4F0F">
        <w:t xml:space="preserve"> КОЕ/мл) проводят дополнительное исследование для идентификации </w:t>
      </w:r>
      <w:r w:rsidRPr="00BA4F0F">
        <w:rPr>
          <w:i/>
        </w:rPr>
        <w:t xml:space="preserve">Staphylococcus saprophyticus. </w:t>
      </w:r>
    </w:p>
    <w:p w14:paraId="7DA21C50" w14:textId="77777777" w:rsidR="00E83B26" w:rsidRPr="00BA4F0F" w:rsidRDefault="00E83B26" w:rsidP="00A555B2">
      <w:pPr>
        <w:numPr>
          <w:ilvl w:val="0"/>
          <w:numId w:val="129"/>
        </w:numPr>
        <w:tabs>
          <w:tab w:val="left" w:pos="0"/>
          <w:tab w:val="left" w:pos="567"/>
        </w:tabs>
        <w:ind w:left="0" w:firstLine="0"/>
      </w:pPr>
      <w:r w:rsidRPr="00BA4F0F">
        <w:t xml:space="preserve">Высокое содержание </w:t>
      </w:r>
      <w:r w:rsidRPr="00BA4F0F">
        <w:rPr>
          <w:i/>
        </w:rPr>
        <w:t>Staphylococcus epidermidis</w:t>
      </w:r>
      <w:r w:rsidRPr="00BA4F0F">
        <w:t xml:space="preserve"> (≥ 10</w:t>
      </w:r>
      <w:r w:rsidRPr="00BA4F0F">
        <w:rPr>
          <w:vertAlign w:val="superscript"/>
        </w:rPr>
        <w:t>5</w:t>
      </w:r>
      <w:r w:rsidRPr="00BA4F0F">
        <w:t xml:space="preserve"> КОЕ/мл) является диагностически значимым. </w:t>
      </w:r>
    </w:p>
    <w:p w14:paraId="4F2519AE" w14:textId="77777777" w:rsidR="00E83B26" w:rsidRPr="00BA4F0F" w:rsidRDefault="00E83B26" w:rsidP="00A555B2">
      <w:pPr>
        <w:numPr>
          <w:ilvl w:val="0"/>
          <w:numId w:val="129"/>
        </w:numPr>
        <w:tabs>
          <w:tab w:val="left" w:pos="0"/>
          <w:tab w:val="left" w:pos="567"/>
        </w:tabs>
        <w:ind w:left="0" w:firstLine="0"/>
      </w:pPr>
      <w:r w:rsidRPr="00BA4F0F">
        <w:t xml:space="preserve">Неоднократное выделение из мочи </w:t>
      </w:r>
      <w:r w:rsidRPr="00BA4F0F">
        <w:rPr>
          <w:i/>
        </w:rPr>
        <w:t>Сandida spp</w:t>
      </w:r>
      <w:r w:rsidRPr="00BA4F0F">
        <w:t xml:space="preserve">. у больных с фебрильной нейтропенией, не имеющих мочевого катетера, свидетельствует о высокой вероятности наличия диссеминированного инвазивного кандидоза. </w:t>
      </w:r>
    </w:p>
    <w:p w14:paraId="5D570259" w14:textId="77777777" w:rsidR="00E83B26" w:rsidRPr="00BA4F0F" w:rsidRDefault="00E83B26" w:rsidP="00E83B26">
      <w:pPr>
        <w:tabs>
          <w:tab w:val="left" w:pos="0"/>
          <w:tab w:val="left" w:pos="567"/>
        </w:tabs>
      </w:pPr>
      <w:r w:rsidRPr="00BA4F0F">
        <w:rPr>
          <w:i/>
        </w:rPr>
        <w:t>Примечание.</w:t>
      </w:r>
      <w:r w:rsidRPr="00BA4F0F">
        <w:t xml:space="preserve"> Выделение из мочи таких микроорганизмов, как дифтероиды, стрептококки группы </w:t>
      </w:r>
      <w:r w:rsidRPr="00BA4F0F">
        <w:rPr>
          <w:i/>
        </w:rPr>
        <w:t>viridans</w:t>
      </w:r>
      <w:r w:rsidRPr="00BA4F0F">
        <w:t xml:space="preserve">, лактобактерии, коагулазанегативные стафилококки (исключение составляет </w:t>
      </w:r>
      <w:r w:rsidRPr="00BA4F0F">
        <w:rPr>
          <w:i/>
        </w:rPr>
        <w:t>Staphylococcus saprophyticus</w:t>
      </w:r>
      <w:r w:rsidRPr="00BA4F0F">
        <w:t>), свидетельствует о контаминации образцов мочи (кожа, влагалище).</w:t>
      </w:r>
    </w:p>
    <w:p w14:paraId="6E01FDE0" w14:textId="77777777" w:rsidR="00E83B26" w:rsidRPr="00BA4F0F" w:rsidRDefault="00E83B26" w:rsidP="00E83B26">
      <w:pPr>
        <w:pStyle w:val="afe"/>
        <w:ind w:left="0"/>
        <w:rPr>
          <w:rFonts w:cs="Times New Roman"/>
          <w:i/>
          <w:szCs w:val="24"/>
        </w:rPr>
      </w:pPr>
    </w:p>
    <w:p w14:paraId="5D7569A4" w14:textId="77777777" w:rsidR="00E83B26" w:rsidRPr="00BA4F0F" w:rsidRDefault="00E83B26" w:rsidP="00E83B26">
      <w:pPr>
        <w:pStyle w:val="afe"/>
        <w:ind w:left="0"/>
        <w:rPr>
          <w:rFonts w:cs="Times New Roman"/>
          <w:i/>
          <w:szCs w:val="24"/>
        </w:rPr>
      </w:pPr>
      <w:r w:rsidRPr="00BA4F0F">
        <w:rPr>
          <w:rFonts w:cs="Times New Roman"/>
          <w:i/>
          <w:szCs w:val="24"/>
        </w:rPr>
        <w:t>Микробиологическое исследование спинномозговой жидкости</w:t>
      </w:r>
    </w:p>
    <w:p w14:paraId="7C62AEBD" w14:textId="77777777" w:rsidR="00E83B26" w:rsidRPr="00BA4F0F" w:rsidRDefault="00E83B26" w:rsidP="00A555B2">
      <w:pPr>
        <w:numPr>
          <w:ilvl w:val="0"/>
          <w:numId w:val="130"/>
        </w:numPr>
        <w:tabs>
          <w:tab w:val="left" w:pos="0"/>
          <w:tab w:val="left" w:pos="567"/>
        </w:tabs>
        <w:ind w:left="0" w:firstLine="0"/>
      </w:pPr>
      <w:r w:rsidRPr="00BA4F0F">
        <w:t xml:space="preserve">Показания: </w:t>
      </w:r>
    </w:p>
    <w:p w14:paraId="70D673A8" w14:textId="77777777" w:rsidR="00E83B26" w:rsidRPr="00BA4F0F" w:rsidRDefault="00E83B26" w:rsidP="00A555B2">
      <w:pPr>
        <w:numPr>
          <w:ilvl w:val="0"/>
          <w:numId w:val="132"/>
        </w:numPr>
        <w:tabs>
          <w:tab w:val="left" w:pos="0"/>
          <w:tab w:val="left" w:pos="567"/>
        </w:tabs>
        <w:ind w:left="0" w:firstLine="0"/>
      </w:pPr>
      <w:r w:rsidRPr="00BA4F0F">
        <w:t xml:space="preserve">Симптомы менингита. </w:t>
      </w:r>
    </w:p>
    <w:p w14:paraId="6E1FDC8E" w14:textId="77777777" w:rsidR="00E83B26" w:rsidRPr="00BA4F0F" w:rsidRDefault="00E83B26" w:rsidP="00A555B2">
      <w:pPr>
        <w:numPr>
          <w:ilvl w:val="0"/>
          <w:numId w:val="132"/>
        </w:numPr>
        <w:tabs>
          <w:tab w:val="left" w:pos="0"/>
          <w:tab w:val="left" w:pos="567"/>
        </w:tabs>
        <w:ind w:left="0" w:firstLine="0"/>
      </w:pPr>
      <w:r w:rsidRPr="00BA4F0F">
        <w:t xml:space="preserve">«Мозговая» симптоматика на фоне лихорадки и нейтропении. </w:t>
      </w:r>
    </w:p>
    <w:p w14:paraId="575D1C69" w14:textId="77777777" w:rsidR="00E83B26" w:rsidRPr="00BA4F0F" w:rsidRDefault="00E83B26" w:rsidP="00A555B2">
      <w:pPr>
        <w:numPr>
          <w:ilvl w:val="0"/>
          <w:numId w:val="132"/>
        </w:numPr>
        <w:tabs>
          <w:tab w:val="left" w:pos="0"/>
          <w:tab w:val="left" w:pos="567"/>
        </w:tabs>
        <w:ind w:left="0" w:firstLine="0"/>
      </w:pPr>
      <w:r w:rsidRPr="00BA4F0F">
        <w:t xml:space="preserve">Обнаружение очага (очагов) в головном мозге при КТ или МРТ. </w:t>
      </w:r>
    </w:p>
    <w:p w14:paraId="2A17C67B" w14:textId="77777777" w:rsidR="00E83B26" w:rsidRPr="00BA4F0F" w:rsidRDefault="00E83B26" w:rsidP="00A555B2">
      <w:pPr>
        <w:numPr>
          <w:ilvl w:val="0"/>
          <w:numId w:val="131"/>
        </w:numPr>
        <w:tabs>
          <w:tab w:val="left" w:pos="0"/>
          <w:tab w:val="left" w:pos="567"/>
        </w:tabs>
        <w:ind w:left="0" w:firstLine="0"/>
      </w:pPr>
      <w:r w:rsidRPr="00BA4F0F">
        <w:t>Доставка материала в лабораторию должна быть немедленной</w:t>
      </w:r>
      <w:r w:rsidRPr="00BA4F0F">
        <w:rPr>
          <w:b/>
        </w:rPr>
        <w:t xml:space="preserve"> </w:t>
      </w:r>
      <w:r w:rsidRPr="00BA4F0F">
        <w:t xml:space="preserve">в стерильной пробирке или в шприце с закрытым наконечником. </w:t>
      </w:r>
    </w:p>
    <w:p w14:paraId="6D262A75" w14:textId="77777777" w:rsidR="00E83B26" w:rsidRPr="00BA4F0F" w:rsidRDefault="00E83B26" w:rsidP="00A555B2">
      <w:pPr>
        <w:numPr>
          <w:ilvl w:val="0"/>
          <w:numId w:val="131"/>
        </w:numPr>
        <w:tabs>
          <w:tab w:val="left" w:pos="0"/>
          <w:tab w:val="left" w:pos="567"/>
        </w:tabs>
        <w:ind w:left="0" w:firstLine="0"/>
      </w:pPr>
      <w:r w:rsidRPr="00BA4F0F">
        <w:t xml:space="preserve">Не помещают образцы СМЖ в холодильник. </w:t>
      </w:r>
    </w:p>
    <w:p w14:paraId="6C37B92C" w14:textId="77777777" w:rsidR="00E83B26" w:rsidRPr="00BA4F0F" w:rsidRDefault="00E83B26" w:rsidP="00A555B2">
      <w:pPr>
        <w:numPr>
          <w:ilvl w:val="0"/>
          <w:numId w:val="131"/>
        </w:numPr>
        <w:tabs>
          <w:tab w:val="left" w:pos="0"/>
          <w:tab w:val="left" w:pos="567"/>
        </w:tabs>
        <w:ind w:left="0" w:firstLine="0"/>
      </w:pPr>
      <w:r w:rsidRPr="00BA4F0F">
        <w:t>Для полного исследования (бактерии, грибы, антигены) необходимо 2 мл СМЖ. Минимальное количество жидкости, необходимое для микробиологического исследования, составляет 0,5-1 мл.</w:t>
      </w:r>
    </w:p>
    <w:p w14:paraId="30C7B1C4" w14:textId="77777777" w:rsidR="00E83B26" w:rsidRPr="00BA4F0F" w:rsidRDefault="00E83B26" w:rsidP="00A555B2">
      <w:pPr>
        <w:numPr>
          <w:ilvl w:val="0"/>
          <w:numId w:val="131"/>
        </w:numPr>
        <w:tabs>
          <w:tab w:val="left" w:pos="0"/>
          <w:tab w:val="left" w:pos="567"/>
        </w:tabs>
        <w:ind w:left="0" w:firstLine="0"/>
      </w:pPr>
      <w:r w:rsidRPr="00BA4F0F">
        <w:t xml:space="preserve">Не направляют в лабораторию образец СМЖ, полученный в первой пробирке пункции, поскольку имеется высокая вероятность контаминации образца микроорганизмами с кожи и, вполне определенно, будут возникать проблемы в интерпретации результатов исследования в случае выделения коагулозанегативных стафилококков. Первый образец СМЖ может быть использован для цитологического исследования.  </w:t>
      </w:r>
    </w:p>
    <w:p w14:paraId="77FB6B84" w14:textId="77777777" w:rsidR="00E83B26" w:rsidRPr="00BA4F0F" w:rsidRDefault="00E83B26" w:rsidP="00A555B2">
      <w:pPr>
        <w:numPr>
          <w:ilvl w:val="0"/>
          <w:numId w:val="131"/>
        </w:numPr>
        <w:tabs>
          <w:tab w:val="left" w:pos="0"/>
          <w:tab w:val="left" w:pos="567"/>
        </w:tabs>
        <w:ind w:left="0" w:firstLine="0"/>
      </w:pPr>
      <w:r w:rsidRPr="00BA4F0F">
        <w:t xml:space="preserve">СМЖ исследуют на бактерии (микроскопия, посев, определение антигенов), микобактерии (микроскопия, определение ДНК микобактерий), вирусы (определение ДНК вирусов герпетической группы, ЦМВ), грибы (микроскопия, посев, антигены), определяют антигены </w:t>
      </w:r>
      <w:r w:rsidRPr="00BA4F0F">
        <w:rPr>
          <w:i/>
        </w:rPr>
        <w:t>Cryptococcus spp., Aspergillus spp.</w:t>
      </w:r>
      <w:r w:rsidRPr="00BA4F0F">
        <w:t xml:space="preserve"> – при наличии инвазиного аспергиллеза легких или придаточных пазух носа, при необходимости — антигены бактерий (</w:t>
      </w:r>
      <w:r w:rsidRPr="00BA4F0F">
        <w:rPr>
          <w:i/>
        </w:rPr>
        <w:t>Streptococcus pneumoniae, Haemophilus influenzae, Neisseria meningitides</w:t>
      </w:r>
      <w:r w:rsidRPr="00BA4F0F">
        <w:t xml:space="preserve">, стрептококки группы В - </w:t>
      </w:r>
      <w:r w:rsidRPr="00BA4F0F">
        <w:rPr>
          <w:i/>
        </w:rPr>
        <w:t>Streptococcus agalactiae</w:t>
      </w:r>
      <w:r w:rsidRPr="00BA4F0F">
        <w:t xml:space="preserve">). У больных, имеющих очаги в головном мозге и выраженный иммунодефицит (при длительной нейтропении), следует в определять СМЖ ДНК </w:t>
      </w:r>
      <w:r w:rsidRPr="00BA4F0F">
        <w:rPr>
          <w:i/>
        </w:rPr>
        <w:t>Toxoplasma gondii</w:t>
      </w:r>
      <w:r w:rsidRPr="00BA4F0F">
        <w:t xml:space="preserve"> (ПЦР). </w:t>
      </w:r>
    </w:p>
    <w:p w14:paraId="03589374" w14:textId="77777777" w:rsidR="00E83B26" w:rsidRPr="00BA4F0F" w:rsidRDefault="00E83B26" w:rsidP="00E83B26">
      <w:pPr>
        <w:pStyle w:val="afe"/>
        <w:ind w:left="0"/>
        <w:rPr>
          <w:rFonts w:cs="Times New Roman"/>
          <w:i/>
          <w:szCs w:val="24"/>
        </w:rPr>
      </w:pPr>
    </w:p>
    <w:p w14:paraId="781D7D36" w14:textId="77777777" w:rsidR="00E83B26" w:rsidRPr="00BA4F0F" w:rsidRDefault="00E83B26" w:rsidP="00E83B26">
      <w:pPr>
        <w:pStyle w:val="afe"/>
        <w:ind w:left="0"/>
        <w:rPr>
          <w:rFonts w:cs="Times New Roman"/>
          <w:i/>
          <w:szCs w:val="24"/>
        </w:rPr>
      </w:pPr>
      <w:r w:rsidRPr="00BA4F0F">
        <w:rPr>
          <w:rFonts w:cs="Times New Roman"/>
          <w:i/>
          <w:szCs w:val="24"/>
        </w:rPr>
        <w:t>Микробиологическое исследование кала</w:t>
      </w:r>
    </w:p>
    <w:p w14:paraId="1E598A0A" w14:textId="77777777" w:rsidR="00E83B26" w:rsidRPr="00BA4F0F" w:rsidRDefault="00E83B26" w:rsidP="00A555B2">
      <w:pPr>
        <w:numPr>
          <w:ilvl w:val="0"/>
          <w:numId w:val="133"/>
        </w:numPr>
        <w:tabs>
          <w:tab w:val="left" w:pos="0"/>
          <w:tab w:val="left" w:pos="567"/>
        </w:tabs>
        <w:ind w:left="0" w:firstLine="0"/>
      </w:pPr>
      <w:r w:rsidRPr="00BA4F0F">
        <w:t xml:space="preserve">Показания — диарея. </w:t>
      </w:r>
    </w:p>
    <w:p w14:paraId="6C115A34" w14:textId="77777777" w:rsidR="00E83B26" w:rsidRPr="00BA4F0F" w:rsidRDefault="00E83B26" w:rsidP="00A555B2">
      <w:pPr>
        <w:numPr>
          <w:ilvl w:val="0"/>
          <w:numId w:val="133"/>
        </w:numPr>
        <w:tabs>
          <w:tab w:val="left" w:pos="0"/>
          <w:tab w:val="left" w:pos="567"/>
        </w:tabs>
        <w:ind w:left="0" w:firstLine="0"/>
        <w:rPr>
          <w:i/>
        </w:rPr>
      </w:pPr>
      <w:r w:rsidRPr="00BA4F0F">
        <w:t xml:space="preserve">Во всех случаях следует провести тест на токсин </w:t>
      </w:r>
      <w:r w:rsidRPr="00BA4F0F">
        <w:rPr>
          <w:i/>
        </w:rPr>
        <w:t xml:space="preserve">Clostridium difficile. </w:t>
      </w:r>
    </w:p>
    <w:p w14:paraId="70BE5C0C" w14:textId="77777777" w:rsidR="00E83B26" w:rsidRPr="00BA4F0F" w:rsidRDefault="00E83B26" w:rsidP="00A555B2">
      <w:pPr>
        <w:numPr>
          <w:ilvl w:val="0"/>
          <w:numId w:val="133"/>
        </w:numPr>
        <w:tabs>
          <w:tab w:val="left" w:pos="0"/>
          <w:tab w:val="left" w:pos="567"/>
        </w:tabs>
        <w:ind w:left="0" w:firstLine="0"/>
      </w:pPr>
      <w:r w:rsidRPr="00BA4F0F">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BA4F0F">
        <w:rPr>
          <w:i/>
        </w:rPr>
        <w:t>Сryptosporidium parvum, Salmonella spp., Shigella spp., Listeria spp., Yersenia spp.</w:t>
      </w:r>
      <w:r w:rsidRPr="00BA4F0F">
        <w:t xml:space="preserve">, вирусы (ротавирусы, аденовирусы). Энтероколиты могут быть обусловлены </w:t>
      </w:r>
      <w:r w:rsidRPr="00BA4F0F">
        <w:rPr>
          <w:i/>
        </w:rPr>
        <w:t>Candida spp</w:t>
      </w:r>
      <w:r w:rsidRPr="00BA4F0F">
        <w:t xml:space="preserve">. При количественном исследовании кала следует обращать внимание на выделение штаммов </w:t>
      </w:r>
      <w:r w:rsidRPr="00BA4F0F">
        <w:rPr>
          <w:i/>
        </w:rPr>
        <w:t>Pseudomonas aeruginosa</w:t>
      </w:r>
      <w:r w:rsidRPr="00BA4F0F">
        <w:t>, энтеробактерий (</w:t>
      </w:r>
      <w:r w:rsidRPr="00BA4F0F">
        <w:rPr>
          <w:i/>
        </w:rPr>
        <w:t>Escherichia coli, Klebsiella spp.),</w:t>
      </w:r>
      <w:r w:rsidRPr="00BA4F0F">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51DE2C93" w14:textId="77777777" w:rsidR="00E83B26" w:rsidRPr="00BA4F0F" w:rsidRDefault="00E83B26" w:rsidP="00E83B26">
      <w:pPr>
        <w:tabs>
          <w:tab w:val="left" w:pos="0"/>
          <w:tab w:val="left" w:pos="567"/>
        </w:tabs>
      </w:pPr>
      <w:r w:rsidRPr="00BA4F0F">
        <w:rPr>
          <w:i/>
        </w:rPr>
        <w:t>Примечание.</w:t>
      </w:r>
      <w:r w:rsidRPr="00BA4F0F">
        <w:t xml:space="preserve"> Исследование на дисбактериоз кишечника у больных без диареи относится к исследованиям, которые приняты лишь в России, оно трудоемко и малоинформативно, особенно у больных вне нейтропении. </w:t>
      </w:r>
    </w:p>
    <w:p w14:paraId="5360D2C0" w14:textId="77777777" w:rsidR="00E83B26" w:rsidRPr="00BA4F0F" w:rsidRDefault="00E83B26" w:rsidP="00E83B26">
      <w:pPr>
        <w:pStyle w:val="afe"/>
        <w:ind w:left="0"/>
        <w:rPr>
          <w:rFonts w:cs="Times New Roman"/>
          <w:i/>
          <w:szCs w:val="24"/>
        </w:rPr>
      </w:pPr>
    </w:p>
    <w:p w14:paraId="4481F74D" w14:textId="77777777" w:rsidR="00E83B26" w:rsidRPr="00BA4F0F" w:rsidRDefault="00E83B26" w:rsidP="00E83B26">
      <w:pPr>
        <w:pStyle w:val="afe"/>
        <w:ind w:left="0"/>
        <w:rPr>
          <w:rFonts w:cs="Times New Roman"/>
          <w:i/>
          <w:szCs w:val="24"/>
        </w:rPr>
      </w:pPr>
      <w:r w:rsidRPr="00BA4F0F">
        <w:rPr>
          <w:rFonts w:cs="Times New Roman"/>
          <w:i/>
          <w:szCs w:val="24"/>
        </w:rPr>
        <w:t>Микробиологическое исследование мазка со слизистой оболочки ротоглотки</w:t>
      </w:r>
    </w:p>
    <w:p w14:paraId="48F91FDC" w14:textId="77777777" w:rsidR="00E83B26" w:rsidRPr="00BA4F0F" w:rsidRDefault="00E83B26" w:rsidP="00A555B2">
      <w:pPr>
        <w:numPr>
          <w:ilvl w:val="0"/>
          <w:numId w:val="134"/>
        </w:numPr>
        <w:tabs>
          <w:tab w:val="left" w:pos="0"/>
          <w:tab w:val="left" w:pos="567"/>
        </w:tabs>
        <w:ind w:left="0" w:firstLine="0"/>
      </w:pPr>
      <w:r w:rsidRPr="00BA4F0F">
        <w:t xml:space="preserve">Показания — наличие признаков стоматита. </w:t>
      </w:r>
    </w:p>
    <w:p w14:paraId="1848216D" w14:textId="77777777" w:rsidR="00E83B26" w:rsidRPr="00BA4F0F" w:rsidRDefault="00E83B26" w:rsidP="00A555B2">
      <w:pPr>
        <w:numPr>
          <w:ilvl w:val="0"/>
          <w:numId w:val="134"/>
        </w:numPr>
        <w:tabs>
          <w:tab w:val="left" w:pos="0"/>
          <w:tab w:val="left" w:pos="567"/>
        </w:tabs>
        <w:ind w:left="0" w:firstLine="0"/>
      </w:pPr>
      <w:r w:rsidRPr="00BA4F0F">
        <w:t xml:space="preserve">При нейтропении обращают внимание на выделение </w:t>
      </w:r>
      <w:r w:rsidRPr="00BA4F0F">
        <w:rPr>
          <w:i/>
        </w:rPr>
        <w:t>Candida spp</w:t>
      </w:r>
      <w:r w:rsidRPr="00BA4F0F">
        <w:t xml:space="preserve">., грамотрицательных бактерий, особенно </w:t>
      </w:r>
      <w:r w:rsidRPr="00BA4F0F">
        <w:rPr>
          <w:i/>
        </w:rPr>
        <w:t>Pseudomonas aeruginosa</w:t>
      </w:r>
      <w:r w:rsidRPr="00BA4F0F">
        <w:t xml:space="preserve"> или </w:t>
      </w:r>
      <w:r w:rsidRPr="00BA4F0F">
        <w:rPr>
          <w:i/>
          <w:lang w:val="en-US"/>
        </w:rPr>
        <w:t>Stenotrophomonas</w:t>
      </w:r>
      <w:r w:rsidRPr="00BA4F0F">
        <w:rPr>
          <w:i/>
        </w:rPr>
        <w:t xml:space="preserve"> </w:t>
      </w:r>
      <w:r w:rsidRPr="00BA4F0F">
        <w:rPr>
          <w:i/>
          <w:lang w:val="en-US"/>
        </w:rPr>
        <w:t>maltophilia</w:t>
      </w:r>
      <w:r w:rsidRPr="00BA4F0F">
        <w:t>, энтеробактерий (</w:t>
      </w:r>
      <w:r w:rsidRPr="00BA4F0F">
        <w:rPr>
          <w:i/>
        </w:rPr>
        <w:t>Escherichia coli, Klebsiella spp</w:t>
      </w:r>
      <w:r w:rsidRPr="00BA4F0F">
        <w:t xml:space="preserve">.), продуцирующих БЛРС или карбапенемазы. </w:t>
      </w:r>
    </w:p>
    <w:p w14:paraId="223718A8" w14:textId="77777777" w:rsidR="00E83B26" w:rsidRPr="00BA4F0F" w:rsidRDefault="00E83B26" w:rsidP="00A555B2">
      <w:pPr>
        <w:numPr>
          <w:ilvl w:val="0"/>
          <w:numId w:val="134"/>
        </w:numPr>
        <w:tabs>
          <w:tab w:val="left" w:pos="0"/>
          <w:tab w:val="left" w:pos="567"/>
        </w:tabs>
        <w:ind w:left="0" w:firstLine="0"/>
      </w:pPr>
      <w:r w:rsidRPr="00BA4F0F">
        <w:t xml:space="preserve">Следует помнить, что такие бактерии, как </w:t>
      </w:r>
      <w:r w:rsidRPr="00BA4F0F">
        <w:rPr>
          <w:i/>
        </w:rPr>
        <w:t>Enterococcus spp.</w:t>
      </w:r>
      <w:r w:rsidRPr="00BA4F0F">
        <w:t xml:space="preserve"> и стрептококки группы </w:t>
      </w:r>
      <w:r w:rsidRPr="00BA4F0F">
        <w:rPr>
          <w:i/>
        </w:rPr>
        <w:t>viridans</w:t>
      </w:r>
      <w:r w:rsidRPr="00BA4F0F">
        <w:t xml:space="preserve">, являются нормальными представителями микрофлоры ротоглотки. На основании выделения этих бактерий не следует добавлять ванкомицин при фебрильной нейтропении в отсутствие признаков мукозита. </w:t>
      </w:r>
    </w:p>
    <w:p w14:paraId="36B9B881" w14:textId="77777777" w:rsidR="00E83B26" w:rsidRPr="00BA4F0F" w:rsidRDefault="00E83B26" w:rsidP="00E83B26">
      <w:pPr>
        <w:tabs>
          <w:tab w:val="left" w:pos="0"/>
          <w:tab w:val="left" w:pos="567"/>
        </w:tabs>
      </w:pPr>
      <w:r w:rsidRPr="00BA4F0F">
        <w:rPr>
          <w:i/>
        </w:rPr>
        <w:t>Примечание.</w:t>
      </w:r>
      <w:r w:rsidRPr="00BA4F0F">
        <w:t xml:space="preserve"> Дрожжевые грибы рода </w:t>
      </w:r>
      <w:r w:rsidRPr="00BA4F0F">
        <w:rPr>
          <w:i/>
        </w:rPr>
        <w:t>Candida</w:t>
      </w:r>
      <w:r w:rsidRPr="00BA4F0F">
        <w:t xml:space="preserve"> обнаруживают у 30% здоровых людей. </w:t>
      </w:r>
    </w:p>
    <w:p w14:paraId="0DE7EDAE" w14:textId="77777777" w:rsidR="00E83B26" w:rsidRPr="00BA4F0F" w:rsidRDefault="00E83B26" w:rsidP="00E83B26">
      <w:pPr>
        <w:pStyle w:val="afe"/>
        <w:ind w:left="0"/>
        <w:rPr>
          <w:rFonts w:cs="Times New Roman"/>
          <w:i/>
          <w:szCs w:val="24"/>
        </w:rPr>
      </w:pPr>
    </w:p>
    <w:p w14:paraId="1595E443" w14:textId="77777777" w:rsidR="00E83B26" w:rsidRPr="00BA4F0F" w:rsidRDefault="00E83B26" w:rsidP="00E83B26">
      <w:pPr>
        <w:pStyle w:val="afe"/>
        <w:ind w:left="0"/>
        <w:rPr>
          <w:rFonts w:cs="Times New Roman"/>
          <w:i/>
          <w:szCs w:val="24"/>
        </w:rPr>
      </w:pPr>
      <w:r w:rsidRPr="00BA4F0F">
        <w:rPr>
          <w:rFonts w:cs="Times New Roman"/>
          <w:i/>
          <w:szCs w:val="24"/>
        </w:rPr>
        <w:t>Микробиологическое исследование материала со слизистой оболочки пищевода</w:t>
      </w:r>
    </w:p>
    <w:p w14:paraId="32628CB9" w14:textId="77777777" w:rsidR="00E83B26" w:rsidRPr="00BA4F0F" w:rsidRDefault="00E83B26" w:rsidP="00A555B2">
      <w:pPr>
        <w:numPr>
          <w:ilvl w:val="0"/>
          <w:numId w:val="158"/>
        </w:numPr>
        <w:tabs>
          <w:tab w:val="left" w:pos="0"/>
          <w:tab w:val="left" w:pos="567"/>
        </w:tabs>
        <w:ind w:left="0" w:firstLine="0"/>
      </w:pPr>
      <w:r w:rsidRPr="00BA4F0F">
        <w:t xml:space="preserve">Показания — боль по ходу пищевода. </w:t>
      </w:r>
    </w:p>
    <w:p w14:paraId="09BD5965" w14:textId="77777777" w:rsidR="00E83B26" w:rsidRPr="00BA4F0F" w:rsidRDefault="00E83B26" w:rsidP="00A555B2">
      <w:pPr>
        <w:numPr>
          <w:ilvl w:val="0"/>
          <w:numId w:val="158"/>
        </w:numPr>
        <w:tabs>
          <w:tab w:val="left" w:pos="0"/>
          <w:tab w:val="left" w:pos="567"/>
        </w:tabs>
        <w:ind w:left="0" w:firstLine="0"/>
      </w:pPr>
      <w:r w:rsidRPr="00BA4F0F">
        <w:t>Выполняется эзофагоскопия (число тромбоцитов должно быть не менее 50 × 10</w:t>
      </w:r>
      <w:r w:rsidRPr="00BA4F0F">
        <w:rPr>
          <w:vertAlign w:val="superscript"/>
        </w:rPr>
        <w:t>9</w:t>
      </w:r>
      <w:r w:rsidRPr="00BA4F0F">
        <w:t xml:space="preserve"> /л). </w:t>
      </w:r>
    </w:p>
    <w:p w14:paraId="401B3668" w14:textId="77777777" w:rsidR="00E83B26" w:rsidRPr="00BA4F0F" w:rsidRDefault="00E83B26" w:rsidP="00A555B2">
      <w:pPr>
        <w:numPr>
          <w:ilvl w:val="0"/>
          <w:numId w:val="158"/>
        </w:numPr>
        <w:tabs>
          <w:tab w:val="left" w:pos="0"/>
          <w:tab w:val="left" w:pos="567"/>
        </w:tabs>
        <w:ind w:left="0" w:firstLine="0"/>
      </w:pPr>
      <w:r w:rsidRPr="00BA4F0F">
        <w:t xml:space="preserve">Проводится соскоб со слизистой пищевода (браш-методом при нейтропении) или биопсия (вне нейтропении). </w:t>
      </w:r>
    </w:p>
    <w:p w14:paraId="6F030EE4" w14:textId="77777777" w:rsidR="00E83B26" w:rsidRPr="00BA4F0F" w:rsidRDefault="00E83B26" w:rsidP="00A555B2">
      <w:pPr>
        <w:numPr>
          <w:ilvl w:val="0"/>
          <w:numId w:val="158"/>
        </w:numPr>
        <w:tabs>
          <w:tab w:val="left" w:pos="0"/>
          <w:tab w:val="left" w:pos="567"/>
        </w:tabs>
        <w:ind w:left="0" w:firstLine="0"/>
      </w:pPr>
      <w:r w:rsidRPr="00BA4F0F">
        <w:t xml:space="preserve">Исследуют образцы в микробиологической (бактерии, грибы), вирусологической (ДНК вируса простого герпеса, ЦМВ) и гистологической лаборатории. </w:t>
      </w:r>
    </w:p>
    <w:p w14:paraId="635F3C3C" w14:textId="77777777" w:rsidR="00E83B26" w:rsidRPr="00BA4F0F" w:rsidRDefault="00E83B26" w:rsidP="00E83B26">
      <w:pPr>
        <w:pStyle w:val="afe"/>
        <w:ind w:left="0"/>
        <w:rPr>
          <w:rFonts w:cs="Times New Roman"/>
          <w:i/>
          <w:szCs w:val="24"/>
        </w:rPr>
      </w:pPr>
    </w:p>
    <w:p w14:paraId="5796A9EE" w14:textId="77777777" w:rsidR="00E83B26" w:rsidRPr="00BA4F0F" w:rsidRDefault="00E83B26" w:rsidP="00E83B26">
      <w:pPr>
        <w:pStyle w:val="afe"/>
        <w:ind w:left="0"/>
        <w:rPr>
          <w:rFonts w:cs="Times New Roman"/>
          <w:i/>
          <w:szCs w:val="24"/>
        </w:rPr>
      </w:pPr>
      <w:r w:rsidRPr="00BA4F0F">
        <w:rPr>
          <w:rFonts w:cs="Times New Roman"/>
          <w:i/>
          <w:szCs w:val="24"/>
        </w:rPr>
        <w:t>Микробиологическое исследование мазка со слизистой оболочки прямой кишки</w:t>
      </w:r>
    </w:p>
    <w:p w14:paraId="4A01EB06" w14:textId="77777777" w:rsidR="00E83B26" w:rsidRPr="00BA4F0F" w:rsidRDefault="00E83B26" w:rsidP="00A555B2">
      <w:pPr>
        <w:numPr>
          <w:ilvl w:val="0"/>
          <w:numId w:val="135"/>
        </w:numPr>
        <w:tabs>
          <w:tab w:val="left" w:pos="0"/>
          <w:tab w:val="left" w:pos="567"/>
        </w:tabs>
        <w:ind w:left="0" w:firstLine="0"/>
      </w:pPr>
      <w:r w:rsidRPr="00BA4F0F">
        <w:t>Показания:</w:t>
      </w:r>
    </w:p>
    <w:p w14:paraId="46A21DAB" w14:textId="77777777" w:rsidR="00E83B26" w:rsidRPr="00BA4F0F" w:rsidRDefault="00E83B26" w:rsidP="00A555B2">
      <w:pPr>
        <w:numPr>
          <w:ilvl w:val="0"/>
          <w:numId w:val="159"/>
        </w:numPr>
        <w:tabs>
          <w:tab w:val="left" w:pos="0"/>
          <w:tab w:val="left" w:pos="567"/>
        </w:tabs>
        <w:ind w:left="0" w:firstLine="0"/>
      </w:pPr>
      <w:r w:rsidRPr="00BA4F0F">
        <w:t xml:space="preserve">Воспаление или повреждение слизистой (трещина, парапроктит и др.) прямой кишки. </w:t>
      </w:r>
    </w:p>
    <w:p w14:paraId="545916D1" w14:textId="77777777" w:rsidR="00E83B26" w:rsidRPr="00BA4F0F" w:rsidRDefault="00E83B26" w:rsidP="00A555B2">
      <w:pPr>
        <w:numPr>
          <w:ilvl w:val="0"/>
          <w:numId w:val="159"/>
        </w:numPr>
        <w:tabs>
          <w:tab w:val="left" w:pos="0"/>
          <w:tab w:val="left" w:pos="567"/>
        </w:tabs>
        <w:ind w:left="0" w:firstLine="0"/>
      </w:pPr>
      <w:r w:rsidRPr="00BA4F0F">
        <w:t xml:space="preserve">У больных с фебрильной нейтропенией более 3-4 дней. </w:t>
      </w:r>
    </w:p>
    <w:p w14:paraId="78CD26C4" w14:textId="77777777" w:rsidR="00E83B26" w:rsidRPr="00BA4F0F" w:rsidRDefault="00E83B26" w:rsidP="00A555B2">
      <w:pPr>
        <w:numPr>
          <w:ilvl w:val="0"/>
          <w:numId w:val="136"/>
        </w:numPr>
        <w:tabs>
          <w:tab w:val="left" w:pos="0"/>
          <w:tab w:val="left" w:pos="567"/>
        </w:tabs>
        <w:ind w:left="0" w:firstLine="0"/>
      </w:pPr>
      <w:r w:rsidRPr="00BA4F0F">
        <w:t xml:space="preserve">На основании выделенных микроорганизмов может быть проведена коррекция антимикробной терапии при сохраняющейся фебрильной нейтропении в случаях отсутствия диагностически значимых результатов исследований из клинически значимых образцов. </w:t>
      </w:r>
    </w:p>
    <w:p w14:paraId="71551B0C" w14:textId="77777777" w:rsidR="00E83B26" w:rsidRPr="00BA4F0F" w:rsidRDefault="00E83B26" w:rsidP="00A555B2">
      <w:pPr>
        <w:numPr>
          <w:ilvl w:val="0"/>
          <w:numId w:val="136"/>
        </w:numPr>
        <w:tabs>
          <w:tab w:val="left" w:pos="0"/>
          <w:tab w:val="left" w:pos="567"/>
        </w:tabs>
        <w:ind w:left="0" w:firstLine="0"/>
      </w:pPr>
      <w:r w:rsidRPr="00BA4F0F">
        <w:t xml:space="preserve">Обращают внимание, прежде всего на выделение полирезистентных грамотрицаетельных бактерий - </w:t>
      </w:r>
      <w:r w:rsidRPr="00BA4F0F">
        <w:rPr>
          <w:i/>
        </w:rPr>
        <w:t>Pseudomonas aeruginosa</w:t>
      </w:r>
      <w:r w:rsidRPr="00BA4F0F">
        <w:t>, энтеробактерий (</w:t>
      </w:r>
      <w:r w:rsidRPr="00BA4F0F">
        <w:rPr>
          <w:i/>
        </w:rPr>
        <w:t>Escherichia coli, Klebsiella spp.</w:t>
      </w:r>
      <w:r w:rsidRPr="00BA4F0F">
        <w:t xml:space="preserve">), продуцирующих БЛРС или карбапенемаз. </w:t>
      </w:r>
    </w:p>
    <w:p w14:paraId="68FB8049" w14:textId="77777777" w:rsidR="00E83B26" w:rsidRPr="00BA4F0F" w:rsidRDefault="00E83B26" w:rsidP="00E83B26">
      <w:pPr>
        <w:pStyle w:val="afe"/>
        <w:ind w:left="0"/>
        <w:rPr>
          <w:rFonts w:cs="Times New Roman"/>
          <w:i/>
          <w:szCs w:val="24"/>
        </w:rPr>
      </w:pPr>
    </w:p>
    <w:p w14:paraId="13756423" w14:textId="77777777" w:rsidR="00E83B26" w:rsidRPr="00BA4F0F" w:rsidRDefault="00E83B26" w:rsidP="00E83B26">
      <w:pPr>
        <w:pStyle w:val="afe"/>
        <w:ind w:left="0"/>
        <w:rPr>
          <w:rFonts w:cs="Times New Roman"/>
          <w:i/>
          <w:szCs w:val="24"/>
        </w:rPr>
      </w:pPr>
      <w:r w:rsidRPr="00BA4F0F">
        <w:rPr>
          <w:rFonts w:cs="Times New Roman"/>
          <w:i/>
          <w:szCs w:val="24"/>
        </w:rPr>
        <w:t>Микробиологическое исследование со слизистой оболочки носовых ходов</w:t>
      </w:r>
    </w:p>
    <w:p w14:paraId="198F509C" w14:textId="77777777" w:rsidR="00E83B26" w:rsidRPr="00BA4F0F" w:rsidRDefault="00E83B26" w:rsidP="00A555B2">
      <w:pPr>
        <w:numPr>
          <w:ilvl w:val="0"/>
          <w:numId w:val="160"/>
        </w:numPr>
        <w:tabs>
          <w:tab w:val="left" w:pos="0"/>
          <w:tab w:val="left" w:pos="567"/>
        </w:tabs>
        <w:ind w:left="0" w:firstLine="0"/>
      </w:pPr>
      <w:r w:rsidRPr="00BA4F0F">
        <w:t xml:space="preserve">Показания — наличие некроза слизистой оболочки носового хода. </w:t>
      </w:r>
    </w:p>
    <w:p w14:paraId="2A14257F" w14:textId="77777777" w:rsidR="00E83B26" w:rsidRPr="00BA4F0F" w:rsidRDefault="00E83B26" w:rsidP="00A555B2">
      <w:pPr>
        <w:numPr>
          <w:ilvl w:val="0"/>
          <w:numId w:val="160"/>
        </w:numPr>
        <w:tabs>
          <w:tab w:val="left" w:pos="0"/>
          <w:tab w:val="left" w:pos="567"/>
        </w:tabs>
        <w:ind w:left="0" w:firstLine="0"/>
      </w:pPr>
      <w:r w:rsidRPr="00BA4F0F">
        <w:t xml:space="preserve">Исследование проводят только на плесневые (мицелиальные) грибы. </w:t>
      </w:r>
    </w:p>
    <w:p w14:paraId="61EF5526" w14:textId="77777777" w:rsidR="00E83B26" w:rsidRPr="00BA4F0F" w:rsidRDefault="00E83B26" w:rsidP="00E83B26">
      <w:pPr>
        <w:tabs>
          <w:tab w:val="left" w:pos="0"/>
          <w:tab w:val="left" w:pos="567"/>
        </w:tabs>
      </w:pPr>
      <w:r w:rsidRPr="00BA4F0F">
        <w:rPr>
          <w:i/>
        </w:rPr>
        <w:t>Примечание.</w:t>
      </w:r>
      <w:r w:rsidRPr="00BA4F0F">
        <w:t xml:space="preserve"> Рутинное исследование материала, взятого из носоглотки, ротоглотки, прямой кишки, а также посев мочи в отсутствие признаков поражения не представляет большой клинической ценности. </w:t>
      </w:r>
    </w:p>
    <w:p w14:paraId="35A26EBE" w14:textId="77777777" w:rsidR="00E83B26" w:rsidRPr="00BA4F0F" w:rsidRDefault="00E83B26" w:rsidP="00E83B26">
      <w:pPr>
        <w:pStyle w:val="afe"/>
        <w:ind w:left="0"/>
        <w:rPr>
          <w:rFonts w:cs="Times New Roman"/>
          <w:i/>
          <w:szCs w:val="24"/>
        </w:rPr>
      </w:pPr>
    </w:p>
    <w:p w14:paraId="337F43FE" w14:textId="77777777" w:rsidR="00E83B26" w:rsidRPr="00BA4F0F" w:rsidRDefault="00E83B26" w:rsidP="00E83B26">
      <w:pPr>
        <w:pStyle w:val="afe"/>
        <w:ind w:left="0"/>
        <w:rPr>
          <w:rFonts w:cs="Times New Roman"/>
          <w:i/>
          <w:szCs w:val="24"/>
        </w:rPr>
      </w:pPr>
      <w:r w:rsidRPr="00BA4F0F">
        <w:rPr>
          <w:rFonts w:cs="Times New Roman"/>
          <w:i/>
          <w:szCs w:val="24"/>
        </w:rPr>
        <w:t>Микробиологическое исследование биоптатов кожи</w:t>
      </w:r>
    </w:p>
    <w:p w14:paraId="3460405D" w14:textId="77777777" w:rsidR="00E83B26" w:rsidRPr="00BA4F0F" w:rsidRDefault="00E83B26" w:rsidP="00A555B2">
      <w:pPr>
        <w:numPr>
          <w:ilvl w:val="0"/>
          <w:numId w:val="137"/>
        </w:numPr>
        <w:tabs>
          <w:tab w:val="left" w:pos="0"/>
          <w:tab w:val="left" w:pos="567"/>
        </w:tabs>
        <w:ind w:left="0" w:firstLine="0"/>
      </w:pPr>
      <w:r w:rsidRPr="00BA4F0F">
        <w:t xml:space="preserve">Показания — наличие септикопиемических очагов (инфильтраты в толще кожи — в дерме — любых размеров, болезненные при пальпации, возникшие при лихорадке) или других образований на коже. </w:t>
      </w:r>
    </w:p>
    <w:p w14:paraId="6B92087F" w14:textId="77777777" w:rsidR="00E83B26" w:rsidRPr="00BA4F0F" w:rsidRDefault="00E83B26" w:rsidP="00A555B2">
      <w:pPr>
        <w:numPr>
          <w:ilvl w:val="0"/>
          <w:numId w:val="137"/>
        </w:numPr>
        <w:tabs>
          <w:tab w:val="left" w:pos="0"/>
          <w:tab w:val="left" w:pos="567"/>
        </w:tabs>
        <w:ind w:left="0" w:firstLine="0"/>
      </w:pPr>
      <w:r w:rsidRPr="00BA4F0F">
        <w:t xml:space="preserve">Проводят биопсию тех образований, давность которых составляет 1—2 суток. Биопсию проводят с захватом дермы. </w:t>
      </w:r>
    </w:p>
    <w:p w14:paraId="5C5CF2BC" w14:textId="77777777" w:rsidR="00E83B26" w:rsidRPr="00BA4F0F" w:rsidRDefault="00E83B26" w:rsidP="00A555B2">
      <w:pPr>
        <w:numPr>
          <w:ilvl w:val="0"/>
          <w:numId w:val="137"/>
        </w:numPr>
        <w:tabs>
          <w:tab w:val="left" w:pos="0"/>
          <w:tab w:val="left" w:pos="567"/>
        </w:tabs>
        <w:ind w:left="0" w:firstLine="0"/>
      </w:pPr>
      <w:r w:rsidRPr="00BA4F0F">
        <w:t xml:space="preserve">Проводят гистологическое и микробиологическое исследование на наличие бактерий, включая микобактерии, и грибов. Кроме культурального исследования проводят микроскопию всех образцов (окраска по Граму, Цилю— Нильсену, калькофлюором белым). </w:t>
      </w:r>
    </w:p>
    <w:p w14:paraId="74D90736" w14:textId="77777777" w:rsidR="00E83B26" w:rsidRPr="00BA4F0F" w:rsidRDefault="00E83B26" w:rsidP="00E83B26">
      <w:pPr>
        <w:pStyle w:val="afe"/>
        <w:ind w:left="0"/>
        <w:rPr>
          <w:rFonts w:cs="Times New Roman"/>
          <w:szCs w:val="24"/>
          <w:u w:val="single"/>
        </w:rPr>
      </w:pPr>
    </w:p>
    <w:p w14:paraId="44F6988E" w14:textId="77777777" w:rsidR="00E83B26" w:rsidRPr="00BA4F0F" w:rsidRDefault="00E83B26" w:rsidP="00E83B26">
      <w:pPr>
        <w:pStyle w:val="afe"/>
        <w:ind w:left="0"/>
        <w:rPr>
          <w:rFonts w:cs="Times New Roman"/>
          <w:b/>
          <w:i/>
          <w:szCs w:val="24"/>
        </w:rPr>
      </w:pPr>
      <w:r w:rsidRPr="00BA4F0F">
        <w:rPr>
          <w:rFonts w:cs="Times New Roman"/>
          <w:b/>
          <w:i/>
          <w:szCs w:val="24"/>
        </w:rPr>
        <w:t>Компьютерная томография легких</w:t>
      </w:r>
    </w:p>
    <w:p w14:paraId="434755D4" w14:textId="77777777" w:rsidR="00E83B26" w:rsidRPr="00BA4F0F" w:rsidRDefault="00E83B26" w:rsidP="00A555B2">
      <w:pPr>
        <w:numPr>
          <w:ilvl w:val="0"/>
          <w:numId w:val="138"/>
        </w:numPr>
        <w:tabs>
          <w:tab w:val="left" w:pos="0"/>
          <w:tab w:val="left" w:pos="567"/>
        </w:tabs>
        <w:ind w:left="0" w:firstLine="0"/>
      </w:pPr>
      <w:r w:rsidRPr="00BA4F0F">
        <w:t>Показания:</w:t>
      </w:r>
    </w:p>
    <w:p w14:paraId="22B4827B" w14:textId="77777777" w:rsidR="00E83B26" w:rsidRPr="00BA4F0F" w:rsidRDefault="00E83B26" w:rsidP="00A555B2">
      <w:pPr>
        <w:numPr>
          <w:ilvl w:val="0"/>
          <w:numId w:val="139"/>
        </w:numPr>
        <w:tabs>
          <w:tab w:val="left" w:pos="0"/>
          <w:tab w:val="left" w:pos="567"/>
        </w:tabs>
        <w:ind w:left="0" w:firstLine="0"/>
      </w:pPr>
      <w:r w:rsidRPr="00BA4F0F">
        <w:t xml:space="preserve">Лихорадка неясной этиологии ≥ 5 дней в период нейтропении при нормальной физикальной картине в легких. </w:t>
      </w:r>
    </w:p>
    <w:p w14:paraId="01FE61B5" w14:textId="77777777" w:rsidR="00E83B26" w:rsidRPr="00BA4F0F" w:rsidRDefault="00E83B26" w:rsidP="00A555B2">
      <w:pPr>
        <w:numPr>
          <w:ilvl w:val="0"/>
          <w:numId w:val="139"/>
        </w:numPr>
        <w:tabs>
          <w:tab w:val="left" w:pos="0"/>
          <w:tab w:val="left" w:pos="567"/>
        </w:tabs>
        <w:ind w:left="0" w:firstLine="0"/>
      </w:pPr>
      <w:r w:rsidRPr="00BA4F0F">
        <w:t xml:space="preserve">Контроль выявленных изменений в легких (первое контрольное исследование проводят через 7 дней от момента диагностики пневмонии и начала антибактериальной или противогрибковой терапии, далее — по мере необходимости). </w:t>
      </w:r>
    </w:p>
    <w:p w14:paraId="16F71900" w14:textId="77777777" w:rsidR="00E83B26" w:rsidRPr="00BA4F0F" w:rsidRDefault="00E83B26" w:rsidP="00A555B2">
      <w:pPr>
        <w:numPr>
          <w:ilvl w:val="0"/>
          <w:numId w:val="140"/>
        </w:numPr>
        <w:tabs>
          <w:tab w:val="left" w:pos="0"/>
          <w:tab w:val="left" w:pos="567"/>
        </w:tabs>
        <w:ind w:left="0" w:firstLine="0"/>
      </w:pPr>
      <w:r w:rsidRPr="00BA4F0F">
        <w:t xml:space="preserve">КТ легких следует проводить без предварительной рентгенографии грудной клетки. </w:t>
      </w:r>
    </w:p>
    <w:p w14:paraId="2086C9FB" w14:textId="77777777" w:rsidR="00E83B26" w:rsidRPr="00BA4F0F" w:rsidRDefault="00E83B26" w:rsidP="00A555B2">
      <w:pPr>
        <w:numPr>
          <w:ilvl w:val="0"/>
          <w:numId w:val="140"/>
        </w:numPr>
        <w:tabs>
          <w:tab w:val="left" w:pos="0"/>
          <w:tab w:val="left" w:pos="567"/>
        </w:tabs>
        <w:ind w:left="0" w:firstLine="0"/>
      </w:pPr>
      <w:r w:rsidRPr="00BA4F0F">
        <w:t xml:space="preserve">КТ легких при лихорадке в период нейтропении проводят независимо от аускультативной картины легких. </w:t>
      </w:r>
    </w:p>
    <w:p w14:paraId="6DFF5668" w14:textId="77777777" w:rsidR="00E83B26" w:rsidRPr="00BA4F0F" w:rsidRDefault="00E83B26" w:rsidP="00E83B26">
      <w:pPr>
        <w:tabs>
          <w:tab w:val="left" w:pos="0"/>
          <w:tab w:val="left" w:pos="567"/>
        </w:tabs>
      </w:pPr>
      <w:r w:rsidRPr="00BA4F0F">
        <w:rPr>
          <w:i/>
        </w:rPr>
        <w:t>Примечание.</w:t>
      </w:r>
      <w:r w:rsidRPr="00BA4F0F">
        <w:t xml:space="preserve"> Рентгенография органов грудной клетки при нейтропении малоинформативна. С ее помощью нельзя своевременно диагностировать инвазивный аспергиллез, интерстициальные поражения легких (вирусные, грибковые). У больных с нейтропенией этот вид исследования, направленный на поиск инфекционного процесса в легких, необходимо исключить. </w:t>
      </w:r>
    </w:p>
    <w:p w14:paraId="77A2C4C5" w14:textId="77777777" w:rsidR="00E83B26" w:rsidRPr="00BA4F0F" w:rsidRDefault="00E83B26" w:rsidP="00E83B26">
      <w:pPr>
        <w:pStyle w:val="afe"/>
        <w:ind w:left="0"/>
        <w:rPr>
          <w:rFonts w:cs="Times New Roman"/>
          <w:szCs w:val="24"/>
          <w:u w:val="single"/>
        </w:rPr>
      </w:pPr>
    </w:p>
    <w:p w14:paraId="3A63B679" w14:textId="77777777" w:rsidR="00E83B26" w:rsidRPr="00BA4F0F" w:rsidRDefault="00E83B26" w:rsidP="00E83B26">
      <w:pPr>
        <w:pStyle w:val="afe"/>
        <w:ind w:left="0"/>
        <w:rPr>
          <w:rFonts w:cs="Times New Roman"/>
          <w:b/>
          <w:i/>
          <w:szCs w:val="24"/>
        </w:rPr>
      </w:pPr>
      <w:r w:rsidRPr="00BA4F0F">
        <w:rPr>
          <w:rFonts w:cs="Times New Roman"/>
          <w:b/>
          <w:i/>
          <w:szCs w:val="24"/>
        </w:rPr>
        <w:t>Бронхоальвеолярный лаваж</w:t>
      </w:r>
    </w:p>
    <w:p w14:paraId="1E5C1202" w14:textId="77777777" w:rsidR="00E83B26" w:rsidRPr="00BA4F0F" w:rsidRDefault="00E83B26" w:rsidP="00A555B2">
      <w:pPr>
        <w:numPr>
          <w:ilvl w:val="0"/>
          <w:numId w:val="141"/>
        </w:numPr>
        <w:tabs>
          <w:tab w:val="left" w:pos="0"/>
          <w:tab w:val="left" w:pos="567"/>
        </w:tabs>
        <w:ind w:left="0" w:firstLine="0"/>
      </w:pPr>
      <w:r w:rsidRPr="00BA4F0F">
        <w:t>Показания: изменения в легких по данным КТ.</w:t>
      </w:r>
    </w:p>
    <w:p w14:paraId="4D2B863B" w14:textId="77777777" w:rsidR="00E83B26" w:rsidRPr="00BA4F0F" w:rsidRDefault="00E83B26" w:rsidP="00E83B26">
      <w:pPr>
        <w:tabs>
          <w:tab w:val="left" w:pos="0"/>
          <w:tab w:val="left" w:pos="567"/>
        </w:tabs>
      </w:pPr>
      <w:r w:rsidRPr="00BA4F0F">
        <w:t>Перечень диагностических тестов:</w:t>
      </w:r>
    </w:p>
    <w:p w14:paraId="19C9656B" w14:textId="77777777" w:rsidR="00E83B26" w:rsidRPr="00BA4F0F" w:rsidRDefault="00E83B26" w:rsidP="00A555B2">
      <w:pPr>
        <w:numPr>
          <w:ilvl w:val="0"/>
          <w:numId w:val="142"/>
        </w:numPr>
        <w:tabs>
          <w:tab w:val="left" w:pos="0"/>
          <w:tab w:val="left" w:pos="567"/>
        </w:tabs>
        <w:ind w:left="0" w:firstLine="0"/>
      </w:pPr>
      <w:r w:rsidRPr="00BA4F0F">
        <w:t>Исследование жидкости бронхоальвеолярного лаважа (БАЛ):</w:t>
      </w:r>
    </w:p>
    <w:p w14:paraId="5E44877F" w14:textId="77777777" w:rsidR="00E83B26" w:rsidRPr="00BA4F0F" w:rsidRDefault="00E83B26" w:rsidP="00A555B2">
      <w:pPr>
        <w:numPr>
          <w:ilvl w:val="0"/>
          <w:numId w:val="143"/>
        </w:numPr>
        <w:tabs>
          <w:tab w:val="left" w:pos="0"/>
          <w:tab w:val="left" w:pos="567"/>
        </w:tabs>
        <w:ind w:left="0" w:firstLine="0"/>
      </w:pPr>
      <w:r w:rsidRPr="00BA4F0F">
        <w:t xml:space="preserve">Цитология мазков. </w:t>
      </w:r>
    </w:p>
    <w:p w14:paraId="060EF3DF" w14:textId="77777777" w:rsidR="00E83B26" w:rsidRPr="00BA4F0F" w:rsidRDefault="00E83B26" w:rsidP="00A555B2">
      <w:pPr>
        <w:numPr>
          <w:ilvl w:val="0"/>
          <w:numId w:val="143"/>
        </w:numPr>
        <w:tabs>
          <w:tab w:val="left" w:pos="0"/>
          <w:tab w:val="left" w:pos="567"/>
        </w:tabs>
        <w:ind w:left="0" w:firstLine="0"/>
      </w:pPr>
      <w:r w:rsidRPr="00BA4F0F">
        <w:t xml:space="preserve">Микроскопия мазков (окраска по Граму, Цилю—Нильсену). </w:t>
      </w:r>
    </w:p>
    <w:p w14:paraId="06AE7899" w14:textId="77777777" w:rsidR="00E83B26" w:rsidRPr="00BA4F0F" w:rsidRDefault="00E83B26" w:rsidP="00A555B2">
      <w:pPr>
        <w:numPr>
          <w:ilvl w:val="0"/>
          <w:numId w:val="143"/>
        </w:numPr>
        <w:tabs>
          <w:tab w:val="left" w:pos="0"/>
          <w:tab w:val="left" w:pos="567"/>
        </w:tabs>
        <w:ind w:left="0" w:firstLine="0"/>
      </w:pPr>
      <w:r w:rsidRPr="00BA4F0F">
        <w:t>Флюоресцентная микроскопия на грибы с калькофлуором белым.</w:t>
      </w:r>
    </w:p>
    <w:p w14:paraId="6E553D1A" w14:textId="77777777" w:rsidR="00E83B26" w:rsidRPr="00BA4F0F" w:rsidRDefault="00E83B26" w:rsidP="00A555B2">
      <w:pPr>
        <w:numPr>
          <w:ilvl w:val="0"/>
          <w:numId w:val="143"/>
        </w:numPr>
        <w:tabs>
          <w:tab w:val="left" w:pos="0"/>
          <w:tab w:val="left" w:pos="567"/>
        </w:tabs>
        <w:ind w:left="0" w:firstLine="0"/>
      </w:pPr>
      <w:r w:rsidRPr="00BA4F0F">
        <w:t xml:space="preserve">Микробиологическое исследование (посев) на бактерии, включая нокардии, и грибы (обязательно на мицелиальные — посев на среду Чапека). </w:t>
      </w:r>
    </w:p>
    <w:p w14:paraId="5715FF23" w14:textId="77777777" w:rsidR="00E83B26" w:rsidRPr="00BA4F0F" w:rsidRDefault="00E83B26" w:rsidP="00A555B2">
      <w:pPr>
        <w:numPr>
          <w:ilvl w:val="0"/>
          <w:numId w:val="143"/>
        </w:numPr>
        <w:tabs>
          <w:tab w:val="left" w:pos="0"/>
          <w:tab w:val="left" w:pos="567"/>
        </w:tabs>
        <w:ind w:left="0" w:firstLine="0"/>
      </w:pPr>
      <w:r w:rsidRPr="00BA4F0F">
        <w:t xml:space="preserve">Микробиологическое исследование (посев) на </w:t>
      </w:r>
      <w:r w:rsidRPr="00BA4F0F">
        <w:rPr>
          <w:i/>
          <w:lang w:val="en-US"/>
        </w:rPr>
        <w:t>Legionella</w:t>
      </w:r>
      <w:r w:rsidRPr="00BA4F0F">
        <w:rPr>
          <w:i/>
        </w:rPr>
        <w:t xml:space="preserve"> </w:t>
      </w:r>
      <w:r w:rsidRPr="00BA4F0F">
        <w:rPr>
          <w:i/>
          <w:lang w:val="en-US"/>
        </w:rPr>
        <w:t>spp</w:t>
      </w:r>
      <w:r w:rsidRPr="00BA4F0F">
        <w:rPr>
          <w:i/>
        </w:rPr>
        <w:t>.</w:t>
      </w:r>
      <w:r w:rsidRPr="00BA4F0F">
        <w:t xml:space="preserve"> </w:t>
      </w:r>
    </w:p>
    <w:p w14:paraId="01E9C2C0" w14:textId="77777777" w:rsidR="00E83B26" w:rsidRPr="00BA4F0F" w:rsidRDefault="00E83B26" w:rsidP="00A555B2">
      <w:pPr>
        <w:numPr>
          <w:ilvl w:val="0"/>
          <w:numId w:val="143"/>
        </w:numPr>
        <w:tabs>
          <w:tab w:val="left" w:pos="0"/>
          <w:tab w:val="left" w:pos="567"/>
        </w:tabs>
        <w:ind w:left="0" w:firstLine="0"/>
      </w:pPr>
      <w:r w:rsidRPr="00BA4F0F">
        <w:t xml:space="preserve">Исследование на микобактерии (ПЦР). </w:t>
      </w:r>
    </w:p>
    <w:p w14:paraId="7FE0FBD7" w14:textId="77777777" w:rsidR="00E83B26" w:rsidRPr="00BA4F0F" w:rsidRDefault="00E83B26" w:rsidP="00A555B2">
      <w:pPr>
        <w:numPr>
          <w:ilvl w:val="0"/>
          <w:numId w:val="143"/>
        </w:numPr>
        <w:tabs>
          <w:tab w:val="left" w:pos="0"/>
          <w:tab w:val="left" w:pos="567"/>
        </w:tabs>
        <w:ind w:left="0" w:firstLine="0"/>
        <w:rPr>
          <w:i/>
        </w:rPr>
      </w:pPr>
      <w:r w:rsidRPr="00BA4F0F">
        <w:t xml:space="preserve">Флюоресцентная микроскопия на </w:t>
      </w:r>
      <w:r w:rsidRPr="00BA4F0F">
        <w:rPr>
          <w:i/>
        </w:rPr>
        <w:t xml:space="preserve">Pneumocystis jiroveci. </w:t>
      </w:r>
    </w:p>
    <w:p w14:paraId="752A5ADE" w14:textId="77777777" w:rsidR="00E83B26" w:rsidRPr="00BA4F0F" w:rsidRDefault="00E83B26" w:rsidP="00A555B2">
      <w:pPr>
        <w:numPr>
          <w:ilvl w:val="0"/>
          <w:numId w:val="143"/>
        </w:numPr>
        <w:tabs>
          <w:tab w:val="left" w:pos="0"/>
          <w:tab w:val="left" w:pos="567"/>
        </w:tabs>
        <w:ind w:left="0" w:firstLine="0"/>
      </w:pPr>
      <w:r w:rsidRPr="00BA4F0F">
        <w:t xml:space="preserve">Определение ДНК </w:t>
      </w:r>
      <w:r w:rsidRPr="00BA4F0F">
        <w:rPr>
          <w:i/>
          <w:lang w:val="en-US"/>
        </w:rPr>
        <w:t>Pneumocystis</w:t>
      </w:r>
      <w:r w:rsidRPr="00BA4F0F">
        <w:rPr>
          <w:i/>
        </w:rPr>
        <w:t xml:space="preserve"> </w:t>
      </w:r>
      <w:r w:rsidRPr="00BA4F0F">
        <w:rPr>
          <w:i/>
          <w:lang w:val="en-US"/>
        </w:rPr>
        <w:t>jirovecii</w:t>
      </w:r>
      <w:r w:rsidRPr="00BA4F0F">
        <w:t xml:space="preserve"> (ПЦР).</w:t>
      </w:r>
    </w:p>
    <w:p w14:paraId="74ECFFD7" w14:textId="77777777" w:rsidR="00E83B26" w:rsidRPr="00BA4F0F" w:rsidRDefault="00E83B26" w:rsidP="00A555B2">
      <w:pPr>
        <w:numPr>
          <w:ilvl w:val="0"/>
          <w:numId w:val="143"/>
        </w:numPr>
        <w:tabs>
          <w:tab w:val="left" w:pos="0"/>
          <w:tab w:val="left" w:pos="567"/>
        </w:tabs>
        <w:ind w:left="0" w:firstLine="0"/>
      </w:pPr>
      <w:r w:rsidRPr="00BA4F0F">
        <w:t xml:space="preserve">Определение антигена </w:t>
      </w:r>
      <w:r w:rsidRPr="00BA4F0F">
        <w:rPr>
          <w:i/>
        </w:rPr>
        <w:t>Aspergillus</w:t>
      </w:r>
      <w:r w:rsidRPr="00BA4F0F">
        <w:t xml:space="preserve"> (галактоманнан) в жидкости БАЛ.</w:t>
      </w:r>
    </w:p>
    <w:p w14:paraId="431FCB6C" w14:textId="77777777" w:rsidR="00E83B26" w:rsidRPr="00BA4F0F" w:rsidRDefault="00E83B26" w:rsidP="00A555B2">
      <w:pPr>
        <w:numPr>
          <w:ilvl w:val="0"/>
          <w:numId w:val="143"/>
        </w:numPr>
        <w:tabs>
          <w:tab w:val="left" w:pos="0"/>
          <w:tab w:val="left" w:pos="567"/>
        </w:tabs>
        <w:ind w:left="0" w:firstLine="0"/>
      </w:pPr>
      <w:r w:rsidRPr="00BA4F0F">
        <w:t xml:space="preserve">Определение антигена </w:t>
      </w:r>
      <w:r w:rsidRPr="00BA4F0F">
        <w:rPr>
          <w:i/>
          <w:lang w:val="en-US"/>
        </w:rPr>
        <w:t>Legionella</w:t>
      </w:r>
      <w:r w:rsidRPr="00BA4F0F">
        <w:rPr>
          <w:i/>
        </w:rPr>
        <w:t xml:space="preserve"> </w:t>
      </w:r>
      <w:r w:rsidRPr="00BA4F0F">
        <w:rPr>
          <w:i/>
          <w:lang w:val="en-US"/>
        </w:rPr>
        <w:t>pneumophilia</w:t>
      </w:r>
      <w:r w:rsidRPr="00BA4F0F">
        <w:t xml:space="preserve"> в моче. </w:t>
      </w:r>
    </w:p>
    <w:p w14:paraId="35CBD2DD" w14:textId="77777777" w:rsidR="00E83B26" w:rsidRPr="00BA4F0F" w:rsidRDefault="00E83B26" w:rsidP="00A555B2">
      <w:pPr>
        <w:numPr>
          <w:ilvl w:val="0"/>
          <w:numId w:val="143"/>
        </w:numPr>
        <w:tabs>
          <w:tab w:val="left" w:pos="0"/>
          <w:tab w:val="left" w:pos="567"/>
        </w:tabs>
        <w:ind w:left="0" w:firstLine="0"/>
      </w:pPr>
      <w:r w:rsidRPr="00BA4F0F">
        <w:t xml:space="preserve">Определение ДНК </w:t>
      </w:r>
      <w:r w:rsidRPr="00BA4F0F">
        <w:rPr>
          <w:i/>
          <w:lang w:val="en-US"/>
        </w:rPr>
        <w:t>Mycoplasma</w:t>
      </w:r>
      <w:r w:rsidRPr="00BA4F0F">
        <w:rPr>
          <w:i/>
        </w:rPr>
        <w:t xml:space="preserve"> </w:t>
      </w:r>
      <w:r w:rsidRPr="00BA4F0F">
        <w:rPr>
          <w:i/>
          <w:lang w:val="en-US"/>
        </w:rPr>
        <w:t>pneumonia</w:t>
      </w:r>
      <w:r w:rsidRPr="00BA4F0F">
        <w:rPr>
          <w:i/>
        </w:rPr>
        <w:t xml:space="preserve">, </w:t>
      </w:r>
      <w:r w:rsidRPr="00BA4F0F">
        <w:rPr>
          <w:i/>
          <w:lang w:val="en-US"/>
        </w:rPr>
        <w:t>Chlamydophila</w:t>
      </w:r>
      <w:r w:rsidRPr="00BA4F0F">
        <w:rPr>
          <w:i/>
        </w:rPr>
        <w:t xml:space="preserve"> </w:t>
      </w:r>
      <w:r w:rsidRPr="00BA4F0F">
        <w:rPr>
          <w:i/>
          <w:lang w:val="en-US"/>
        </w:rPr>
        <w:t>pneumoniae</w:t>
      </w:r>
      <w:r w:rsidRPr="00BA4F0F">
        <w:t xml:space="preserve"> в жидкости БАЛ. </w:t>
      </w:r>
    </w:p>
    <w:p w14:paraId="67653FF3" w14:textId="77777777" w:rsidR="00E83B26" w:rsidRPr="00BA4F0F" w:rsidRDefault="00E83B26" w:rsidP="00A555B2">
      <w:pPr>
        <w:numPr>
          <w:ilvl w:val="0"/>
          <w:numId w:val="143"/>
        </w:numPr>
        <w:tabs>
          <w:tab w:val="left" w:pos="0"/>
          <w:tab w:val="left" w:pos="567"/>
        </w:tabs>
        <w:ind w:left="0" w:firstLine="0"/>
      </w:pPr>
      <w:r w:rsidRPr="00BA4F0F">
        <w:t xml:space="preserve">Определение ДНК вирусов (ЦМВ, вирусов гриппа, парагриппа, респираторного синтициального вируса, короновирусов, метапнемовируса человека, герпесвируса человека 6 типа) в жидкости БАЛ (ПЦР). </w:t>
      </w:r>
    </w:p>
    <w:p w14:paraId="32533B0C" w14:textId="77777777" w:rsidR="00E83B26" w:rsidRPr="00BA4F0F" w:rsidRDefault="00E83B26" w:rsidP="00E83B26">
      <w:pPr>
        <w:pStyle w:val="afe"/>
        <w:ind w:left="0"/>
        <w:rPr>
          <w:rFonts w:cs="Times New Roman"/>
          <w:szCs w:val="24"/>
          <w:u w:val="single"/>
        </w:rPr>
      </w:pPr>
    </w:p>
    <w:p w14:paraId="3E0D192C" w14:textId="77777777" w:rsidR="00E83B26" w:rsidRPr="00BA4F0F" w:rsidRDefault="00E83B26" w:rsidP="00E83B26">
      <w:pPr>
        <w:pStyle w:val="afe"/>
        <w:ind w:left="0"/>
        <w:rPr>
          <w:rFonts w:cs="Times New Roman"/>
          <w:b/>
          <w:i/>
          <w:szCs w:val="24"/>
        </w:rPr>
      </w:pPr>
      <w:r w:rsidRPr="00BA4F0F">
        <w:rPr>
          <w:rFonts w:cs="Times New Roman"/>
          <w:b/>
          <w:i/>
          <w:szCs w:val="24"/>
        </w:rPr>
        <w:t>Определение антигенов грибов</w:t>
      </w:r>
    </w:p>
    <w:p w14:paraId="178B7059" w14:textId="77777777" w:rsidR="00E83B26" w:rsidRPr="00BA4F0F" w:rsidRDefault="00E83B26" w:rsidP="00E83B26">
      <w:pPr>
        <w:pStyle w:val="afe"/>
        <w:ind w:left="0"/>
        <w:rPr>
          <w:rFonts w:cs="Times New Roman"/>
          <w:i/>
          <w:szCs w:val="24"/>
        </w:rPr>
      </w:pPr>
      <w:r w:rsidRPr="00BA4F0F">
        <w:rPr>
          <w:rFonts w:cs="Times New Roman"/>
          <w:i/>
          <w:szCs w:val="24"/>
        </w:rPr>
        <w:t xml:space="preserve">Антиген Aspergillus (галактоманнан) </w:t>
      </w:r>
    </w:p>
    <w:p w14:paraId="5B61C51F" w14:textId="77777777" w:rsidR="00E83B26" w:rsidRPr="00BA4F0F" w:rsidRDefault="00E83B26" w:rsidP="00A555B2">
      <w:pPr>
        <w:numPr>
          <w:ilvl w:val="0"/>
          <w:numId w:val="144"/>
        </w:numPr>
        <w:tabs>
          <w:tab w:val="left" w:pos="0"/>
          <w:tab w:val="left" w:pos="567"/>
        </w:tabs>
        <w:ind w:left="0" w:firstLine="0"/>
      </w:pPr>
      <w:r w:rsidRPr="00BA4F0F">
        <w:t xml:space="preserve">Обнаружение антигена </w:t>
      </w:r>
      <w:r w:rsidRPr="00BA4F0F">
        <w:rPr>
          <w:i/>
        </w:rPr>
        <w:t>Aspergillus</w:t>
      </w:r>
      <w:r w:rsidRPr="00BA4F0F">
        <w:t xml:space="preserve"> включено в критерии диагностики инвазивного аспергиллеза.</w:t>
      </w:r>
    </w:p>
    <w:p w14:paraId="50D41858" w14:textId="77777777" w:rsidR="00E83B26" w:rsidRPr="00BA4F0F" w:rsidRDefault="00E83B26" w:rsidP="00A555B2">
      <w:pPr>
        <w:numPr>
          <w:ilvl w:val="0"/>
          <w:numId w:val="144"/>
        </w:numPr>
        <w:tabs>
          <w:tab w:val="left" w:pos="0"/>
          <w:tab w:val="left" w:pos="567"/>
        </w:tabs>
        <w:ind w:left="0" w:firstLine="0"/>
      </w:pPr>
      <w:r w:rsidRPr="00BA4F0F">
        <w:t xml:space="preserve">Образцы для исследования: </w:t>
      </w:r>
    </w:p>
    <w:p w14:paraId="73B6B8E3" w14:textId="77777777" w:rsidR="00E83B26" w:rsidRPr="00BA4F0F" w:rsidRDefault="00E83B26" w:rsidP="00A555B2">
      <w:pPr>
        <w:numPr>
          <w:ilvl w:val="0"/>
          <w:numId w:val="145"/>
        </w:numPr>
        <w:tabs>
          <w:tab w:val="left" w:pos="0"/>
          <w:tab w:val="left" w:pos="567"/>
        </w:tabs>
        <w:ind w:left="0" w:firstLine="0"/>
      </w:pPr>
      <w:r w:rsidRPr="00BA4F0F">
        <w:t xml:space="preserve">кровь; </w:t>
      </w:r>
    </w:p>
    <w:p w14:paraId="43DFE343" w14:textId="77777777" w:rsidR="00E83B26" w:rsidRPr="00BA4F0F" w:rsidRDefault="00E83B26" w:rsidP="00A555B2">
      <w:pPr>
        <w:numPr>
          <w:ilvl w:val="0"/>
          <w:numId w:val="145"/>
        </w:numPr>
        <w:tabs>
          <w:tab w:val="left" w:pos="0"/>
          <w:tab w:val="left" w:pos="567"/>
        </w:tabs>
        <w:ind w:left="0" w:firstLine="0"/>
      </w:pPr>
      <w:r w:rsidRPr="00BA4F0F">
        <w:t xml:space="preserve">жидкость БАЛ; </w:t>
      </w:r>
    </w:p>
    <w:p w14:paraId="7F1E527C" w14:textId="77777777" w:rsidR="00E83B26" w:rsidRPr="00BA4F0F" w:rsidRDefault="00E83B26" w:rsidP="00A555B2">
      <w:pPr>
        <w:numPr>
          <w:ilvl w:val="0"/>
          <w:numId w:val="145"/>
        </w:numPr>
        <w:tabs>
          <w:tab w:val="left" w:pos="0"/>
          <w:tab w:val="left" w:pos="567"/>
        </w:tabs>
        <w:ind w:left="0" w:firstLine="0"/>
      </w:pPr>
      <w:r w:rsidRPr="00BA4F0F">
        <w:t xml:space="preserve">СМЖ. </w:t>
      </w:r>
    </w:p>
    <w:p w14:paraId="494F5462" w14:textId="77777777" w:rsidR="00E83B26" w:rsidRPr="00BA4F0F" w:rsidRDefault="00E83B26" w:rsidP="00A555B2">
      <w:pPr>
        <w:numPr>
          <w:ilvl w:val="0"/>
          <w:numId w:val="146"/>
        </w:numPr>
        <w:tabs>
          <w:tab w:val="left" w:pos="0"/>
          <w:tab w:val="left" w:pos="567"/>
        </w:tabs>
        <w:ind w:left="0" w:firstLine="0"/>
      </w:pPr>
      <w:r w:rsidRPr="00BA4F0F">
        <w:t xml:space="preserve">Результат определения антигена </w:t>
      </w:r>
      <w:r w:rsidRPr="00BA4F0F">
        <w:rPr>
          <w:i/>
        </w:rPr>
        <w:t xml:space="preserve">Aspergillus </w:t>
      </w:r>
      <w:r w:rsidRPr="00BA4F0F">
        <w:t>считают положительным в крови при индексе оптической плотности ≥ 0,5, в жидкости БАЛ ≥ 1,0, в СМЖ ≥ 0,5.</w:t>
      </w:r>
    </w:p>
    <w:p w14:paraId="03651ED4" w14:textId="77777777" w:rsidR="00E83B26" w:rsidRPr="00BA4F0F" w:rsidRDefault="00E83B26" w:rsidP="00A555B2">
      <w:pPr>
        <w:numPr>
          <w:ilvl w:val="0"/>
          <w:numId w:val="146"/>
        </w:numPr>
        <w:tabs>
          <w:tab w:val="left" w:pos="0"/>
          <w:tab w:val="left" w:pos="567"/>
        </w:tabs>
        <w:ind w:left="0" w:firstLine="0"/>
      </w:pPr>
      <w:r w:rsidRPr="00BA4F0F">
        <w:t xml:space="preserve">Проводят определение антигена </w:t>
      </w:r>
      <w:r w:rsidRPr="00BA4F0F">
        <w:rPr>
          <w:i/>
        </w:rPr>
        <w:t>Aspergillus</w:t>
      </w:r>
      <w:r w:rsidRPr="00BA4F0F">
        <w:t xml:space="preserve"> у больных с клиническими признаками (или факторами риска) возможного инвазивного микоза.</w:t>
      </w:r>
    </w:p>
    <w:p w14:paraId="595C5BB8" w14:textId="77777777" w:rsidR="00E83B26" w:rsidRPr="00BA4F0F" w:rsidRDefault="00E83B26" w:rsidP="00E83B26">
      <w:pPr>
        <w:tabs>
          <w:tab w:val="left" w:pos="0"/>
          <w:tab w:val="left" w:pos="567"/>
        </w:tabs>
        <w:jc w:val="center"/>
        <w:rPr>
          <w:b/>
        </w:rPr>
      </w:pPr>
    </w:p>
    <w:p w14:paraId="47377E3B" w14:textId="77777777" w:rsidR="00E83B26" w:rsidRPr="00BA4F0F" w:rsidRDefault="00E83B26" w:rsidP="00E83B26">
      <w:pPr>
        <w:pStyle w:val="afe"/>
        <w:ind w:left="0"/>
        <w:rPr>
          <w:rFonts w:cs="Times New Roman"/>
          <w:i/>
          <w:szCs w:val="24"/>
        </w:rPr>
      </w:pPr>
      <w:r w:rsidRPr="00BA4F0F">
        <w:rPr>
          <w:rFonts w:cs="Times New Roman"/>
          <w:i/>
          <w:szCs w:val="24"/>
        </w:rPr>
        <w:t>Определение антигена Aspergillus</w:t>
      </w:r>
    </w:p>
    <w:p w14:paraId="36F275DA" w14:textId="77777777" w:rsidR="00E83B26" w:rsidRPr="00BA4F0F" w:rsidRDefault="00E83B26" w:rsidP="00A555B2">
      <w:pPr>
        <w:numPr>
          <w:ilvl w:val="0"/>
          <w:numId w:val="147"/>
        </w:numPr>
        <w:tabs>
          <w:tab w:val="left" w:pos="0"/>
          <w:tab w:val="left" w:pos="567"/>
        </w:tabs>
        <w:ind w:left="0" w:firstLine="0"/>
      </w:pPr>
      <w:r w:rsidRPr="00BA4F0F">
        <w:t xml:space="preserve">Определение антигена Aspergillus (галактоманнана) показано больным лимфомой, множественной миеломой, реципиентам аутологичных стволовых клеток крови при подозрении у них инвазивного аспергиллеза на основании изменений в легких на КТ и наличия факторов риска, индуцирующих развитие инвазивного аспергиллеза (нейтропения от 10 дней и более, прием глюкокортикоидов, терапия флударабином или алемтузумабом). </w:t>
      </w:r>
    </w:p>
    <w:p w14:paraId="0E9FEC90" w14:textId="77777777" w:rsidR="00E83B26" w:rsidRPr="00BA4F0F" w:rsidRDefault="00E83B26" w:rsidP="00A555B2">
      <w:pPr>
        <w:numPr>
          <w:ilvl w:val="0"/>
          <w:numId w:val="147"/>
        </w:numPr>
        <w:tabs>
          <w:tab w:val="left" w:pos="0"/>
          <w:tab w:val="left" w:pos="567"/>
        </w:tabs>
        <w:ind w:left="0" w:firstLine="0"/>
      </w:pPr>
      <w:r w:rsidRPr="00BA4F0F">
        <w:t xml:space="preserve">В этих случаях проводят однократное определение антигена </w:t>
      </w:r>
      <w:r w:rsidRPr="00BA4F0F">
        <w:rPr>
          <w:i/>
        </w:rPr>
        <w:t>Aspergillus</w:t>
      </w:r>
      <w:r w:rsidRPr="00BA4F0F">
        <w:t xml:space="preserve"> в жидкости БАЛ или, если у больного нейтропения (гранулоцитов &lt; 0,5 × 10</w:t>
      </w:r>
      <w:r w:rsidRPr="00BA4F0F">
        <w:rPr>
          <w:vertAlign w:val="superscript"/>
        </w:rPr>
        <w:t>9</w:t>
      </w:r>
      <w:r w:rsidRPr="00BA4F0F">
        <w:t xml:space="preserve"> /л), определяют антиген </w:t>
      </w:r>
      <w:r w:rsidRPr="00BA4F0F">
        <w:rPr>
          <w:i/>
        </w:rPr>
        <w:t>Aspergillus</w:t>
      </w:r>
      <w:r w:rsidRPr="00BA4F0F">
        <w:t xml:space="preserve"> в 2-3 образцах крови (не в одном!), взятых в течение суток или течение 2 дней.</w:t>
      </w:r>
    </w:p>
    <w:p w14:paraId="284304EA" w14:textId="77777777" w:rsidR="00E83B26" w:rsidRPr="00BA4F0F" w:rsidRDefault="00E83B26" w:rsidP="00A555B2">
      <w:pPr>
        <w:numPr>
          <w:ilvl w:val="0"/>
          <w:numId w:val="147"/>
        </w:numPr>
        <w:tabs>
          <w:tab w:val="left" w:pos="0"/>
          <w:tab w:val="left" w:pos="567"/>
        </w:tabs>
        <w:ind w:left="0" w:firstLine="0"/>
        <w:rPr>
          <w:b/>
        </w:rPr>
      </w:pPr>
      <w:r w:rsidRPr="00BA4F0F">
        <w:t xml:space="preserve">Исследование антигена </w:t>
      </w:r>
      <w:r w:rsidRPr="00BA4F0F">
        <w:rPr>
          <w:i/>
        </w:rPr>
        <w:t>Aspergillus</w:t>
      </w:r>
      <w:r w:rsidRPr="00BA4F0F">
        <w:t xml:space="preserve"> проводят до назначения противогрибковых препаратов, активных в отношении мицелиальных грибов. </w:t>
      </w:r>
    </w:p>
    <w:p w14:paraId="2E204C1E" w14:textId="77777777" w:rsidR="00E83B26" w:rsidRPr="00BA4F0F" w:rsidRDefault="00E83B26" w:rsidP="00E83B26">
      <w:pPr>
        <w:tabs>
          <w:tab w:val="left" w:pos="0"/>
          <w:tab w:val="left" w:pos="567"/>
        </w:tabs>
      </w:pPr>
      <w:r w:rsidRPr="00BA4F0F">
        <w:rPr>
          <w:i/>
        </w:rPr>
        <w:t>Примечание.</w:t>
      </w:r>
      <w:r w:rsidRPr="00BA4F0F">
        <w:t xml:space="preserve"> У категории больных (при лимфомах, множественной миеломе, у реципиентов аутологичных стволовых клеток крови) вероятность развития инвазивного аспергиллеза составляет 1—5%. </w:t>
      </w:r>
    </w:p>
    <w:p w14:paraId="2814DCD6" w14:textId="77777777" w:rsidR="00E83B26" w:rsidRPr="00BA4F0F" w:rsidRDefault="00E83B26" w:rsidP="00E83B26">
      <w:pPr>
        <w:tabs>
          <w:tab w:val="left" w:pos="0"/>
          <w:tab w:val="left" w:pos="567"/>
        </w:tabs>
        <w:jc w:val="center"/>
        <w:rPr>
          <w:b/>
        </w:rPr>
      </w:pPr>
    </w:p>
    <w:p w14:paraId="4368D196" w14:textId="77777777" w:rsidR="00E83B26" w:rsidRPr="00BA4F0F" w:rsidRDefault="00E83B26" w:rsidP="00E83B26">
      <w:pPr>
        <w:pStyle w:val="afe"/>
        <w:ind w:left="0"/>
        <w:rPr>
          <w:rFonts w:cs="Times New Roman"/>
          <w:i/>
          <w:szCs w:val="24"/>
        </w:rPr>
      </w:pPr>
      <w:r w:rsidRPr="00BA4F0F">
        <w:rPr>
          <w:rFonts w:cs="Times New Roman"/>
          <w:i/>
          <w:szCs w:val="24"/>
        </w:rPr>
        <w:t>Антиген Candida (маннан) и антитела к Candida (антиманнан)</w:t>
      </w:r>
    </w:p>
    <w:p w14:paraId="273D4B26" w14:textId="77777777" w:rsidR="00E83B26" w:rsidRPr="00BA4F0F" w:rsidRDefault="00E83B26" w:rsidP="00A555B2">
      <w:pPr>
        <w:numPr>
          <w:ilvl w:val="0"/>
          <w:numId w:val="148"/>
        </w:numPr>
        <w:tabs>
          <w:tab w:val="left" w:pos="0"/>
          <w:tab w:val="left" w:pos="567"/>
        </w:tabs>
        <w:ind w:left="0" w:firstLine="0"/>
      </w:pPr>
      <w:r w:rsidRPr="00BA4F0F">
        <w:t xml:space="preserve">Обнаружение антигена </w:t>
      </w:r>
      <w:r w:rsidRPr="00BA4F0F">
        <w:rPr>
          <w:i/>
        </w:rPr>
        <w:t>Candida</w:t>
      </w:r>
      <w:r w:rsidRPr="00BA4F0F">
        <w:t xml:space="preserve"> и антител к </w:t>
      </w:r>
      <w:r w:rsidRPr="00BA4F0F">
        <w:rPr>
          <w:i/>
        </w:rPr>
        <w:t>Candida</w:t>
      </w:r>
      <w:r w:rsidRPr="00BA4F0F">
        <w:t xml:space="preserve"> не включено в критерии диагностики инвазивного кандидоза. </w:t>
      </w:r>
    </w:p>
    <w:p w14:paraId="7578BA9B" w14:textId="77777777" w:rsidR="00E83B26" w:rsidRPr="00BA4F0F" w:rsidRDefault="00E83B26" w:rsidP="00A555B2">
      <w:pPr>
        <w:numPr>
          <w:ilvl w:val="0"/>
          <w:numId w:val="148"/>
        </w:numPr>
        <w:tabs>
          <w:tab w:val="left" w:pos="0"/>
          <w:tab w:val="left" w:pos="567"/>
        </w:tabs>
        <w:ind w:left="0" w:firstLine="0"/>
      </w:pPr>
      <w:r w:rsidRPr="00BA4F0F">
        <w:t xml:space="preserve">Образец для исследования — кровь. </w:t>
      </w:r>
    </w:p>
    <w:p w14:paraId="339BC94A" w14:textId="77777777" w:rsidR="00E83B26" w:rsidRPr="00BA4F0F" w:rsidRDefault="00E83B26" w:rsidP="00A555B2">
      <w:pPr>
        <w:numPr>
          <w:ilvl w:val="0"/>
          <w:numId w:val="148"/>
        </w:numPr>
        <w:tabs>
          <w:tab w:val="left" w:pos="0"/>
          <w:tab w:val="left" w:pos="567"/>
        </w:tabs>
        <w:ind w:left="0" w:firstLine="0"/>
      </w:pPr>
      <w:r w:rsidRPr="00BA4F0F">
        <w:t xml:space="preserve">Результат определения считается положительным при следующих значениях: </w:t>
      </w:r>
    </w:p>
    <w:p w14:paraId="7A85F4D2" w14:textId="77777777" w:rsidR="00E83B26" w:rsidRPr="00BA4F0F" w:rsidRDefault="00E83B26" w:rsidP="00A555B2">
      <w:pPr>
        <w:numPr>
          <w:ilvl w:val="0"/>
          <w:numId w:val="149"/>
        </w:numPr>
        <w:tabs>
          <w:tab w:val="left" w:pos="0"/>
          <w:tab w:val="left" w:pos="567"/>
        </w:tabs>
        <w:ind w:left="0" w:firstLine="0"/>
      </w:pPr>
      <w:r w:rsidRPr="00BA4F0F">
        <w:t xml:space="preserve">антиген </w:t>
      </w:r>
      <w:r w:rsidRPr="00BA4F0F">
        <w:rPr>
          <w:i/>
        </w:rPr>
        <w:t>Candida</w:t>
      </w:r>
      <w:r w:rsidRPr="00BA4F0F">
        <w:t xml:space="preserve"> (маннан): ≥ 125 пг/мл; </w:t>
      </w:r>
    </w:p>
    <w:p w14:paraId="000E0D6F" w14:textId="77777777" w:rsidR="00E83B26" w:rsidRPr="00BA4F0F" w:rsidRDefault="00E83B26" w:rsidP="00A555B2">
      <w:pPr>
        <w:numPr>
          <w:ilvl w:val="0"/>
          <w:numId w:val="149"/>
        </w:numPr>
        <w:tabs>
          <w:tab w:val="left" w:pos="0"/>
          <w:tab w:val="left" w:pos="567"/>
        </w:tabs>
        <w:ind w:left="0" w:firstLine="0"/>
      </w:pPr>
      <w:r w:rsidRPr="00BA4F0F">
        <w:t xml:space="preserve">антитела к </w:t>
      </w:r>
      <w:r w:rsidRPr="00BA4F0F">
        <w:rPr>
          <w:i/>
        </w:rPr>
        <w:t>Candida</w:t>
      </w:r>
      <w:r w:rsidRPr="00BA4F0F">
        <w:t xml:space="preserve"> (антиманнан): ≥ 10 ME. </w:t>
      </w:r>
    </w:p>
    <w:p w14:paraId="36261997" w14:textId="77777777" w:rsidR="00E83B26" w:rsidRPr="00BA4F0F" w:rsidRDefault="00E83B26" w:rsidP="00A555B2">
      <w:pPr>
        <w:numPr>
          <w:ilvl w:val="0"/>
          <w:numId w:val="148"/>
        </w:numPr>
        <w:tabs>
          <w:tab w:val="left" w:pos="0"/>
          <w:tab w:val="left" w:pos="567"/>
        </w:tabs>
        <w:ind w:left="0" w:firstLine="0"/>
      </w:pPr>
      <w:r w:rsidRPr="00BA4F0F">
        <w:t xml:space="preserve">Показания к проведению исследования: </w:t>
      </w:r>
    </w:p>
    <w:p w14:paraId="6EB08D85" w14:textId="77777777" w:rsidR="00E83B26" w:rsidRPr="00BA4F0F" w:rsidRDefault="00E83B26" w:rsidP="00A555B2">
      <w:pPr>
        <w:numPr>
          <w:ilvl w:val="0"/>
          <w:numId w:val="150"/>
        </w:numPr>
        <w:tabs>
          <w:tab w:val="left" w:pos="0"/>
          <w:tab w:val="left" w:pos="567"/>
        </w:tabs>
        <w:ind w:left="0" w:firstLine="0"/>
      </w:pPr>
      <w:r w:rsidRPr="00BA4F0F">
        <w:t xml:space="preserve">множественные очаги в печени и/или селезенке (подозрение на гепатолиенальный кандидоз); </w:t>
      </w:r>
    </w:p>
    <w:p w14:paraId="063222BA" w14:textId="77777777" w:rsidR="00E83B26" w:rsidRPr="00BA4F0F" w:rsidRDefault="00E83B26" w:rsidP="00A555B2">
      <w:pPr>
        <w:numPr>
          <w:ilvl w:val="0"/>
          <w:numId w:val="150"/>
        </w:numPr>
        <w:tabs>
          <w:tab w:val="left" w:pos="0"/>
          <w:tab w:val="left" w:pos="567"/>
        </w:tabs>
        <w:ind w:left="0" w:firstLine="0"/>
      </w:pPr>
      <w:r w:rsidRPr="00BA4F0F">
        <w:t xml:space="preserve">предполагаемый инвазивный кандидоз. </w:t>
      </w:r>
    </w:p>
    <w:p w14:paraId="4C6AF357" w14:textId="77777777" w:rsidR="00E83B26" w:rsidRPr="00BA4F0F" w:rsidRDefault="00E83B26" w:rsidP="00E83B26">
      <w:pPr>
        <w:tabs>
          <w:tab w:val="left" w:pos="0"/>
          <w:tab w:val="left" w:pos="567"/>
        </w:tabs>
      </w:pPr>
      <w:r w:rsidRPr="00BA4F0F">
        <w:rPr>
          <w:i/>
        </w:rPr>
        <w:t>Примечание.</w:t>
      </w:r>
      <w:r w:rsidRPr="00BA4F0F">
        <w:t xml:space="preserve"> Чувствительность и специфичность исследования составляют около 50—60%. Интерпретация результатов должна быть осторожной, поскольку высока частота ложноположительных результатов. У больных с колонизацией слизистых оболочек кандидами выявляются положительные результаты определения антиманнана. </w:t>
      </w:r>
    </w:p>
    <w:p w14:paraId="3E062C2B" w14:textId="77777777" w:rsidR="00E83B26" w:rsidRPr="00BA4F0F" w:rsidRDefault="00E83B26" w:rsidP="00E83B26">
      <w:pPr>
        <w:tabs>
          <w:tab w:val="left" w:pos="0"/>
          <w:tab w:val="left" w:pos="567"/>
        </w:tabs>
        <w:jc w:val="center"/>
        <w:rPr>
          <w:b/>
        </w:rPr>
      </w:pPr>
    </w:p>
    <w:p w14:paraId="0DD9461D" w14:textId="77777777" w:rsidR="00E83B26" w:rsidRPr="00BA4F0F" w:rsidRDefault="00E83B26" w:rsidP="00E83B26">
      <w:pPr>
        <w:pStyle w:val="afe"/>
        <w:ind w:left="0"/>
        <w:rPr>
          <w:rFonts w:cs="Times New Roman"/>
          <w:i/>
          <w:szCs w:val="24"/>
        </w:rPr>
      </w:pPr>
      <w:r w:rsidRPr="00BA4F0F">
        <w:rPr>
          <w:rFonts w:cs="Times New Roman"/>
          <w:i/>
          <w:szCs w:val="24"/>
        </w:rPr>
        <w:t>Антиген Cryptococcus (глюкуроноксиломаннан)</w:t>
      </w:r>
    </w:p>
    <w:p w14:paraId="63638DDD" w14:textId="77777777" w:rsidR="00E83B26" w:rsidRPr="00BA4F0F" w:rsidRDefault="00E83B26" w:rsidP="00A555B2">
      <w:pPr>
        <w:numPr>
          <w:ilvl w:val="0"/>
          <w:numId w:val="151"/>
        </w:numPr>
        <w:tabs>
          <w:tab w:val="left" w:pos="0"/>
          <w:tab w:val="left" w:pos="567"/>
        </w:tabs>
        <w:ind w:left="0" w:firstLine="0"/>
      </w:pPr>
      <w:r w:rsidRPr="00BA4F0F">
        <w:t xml:space="preserve">Обнаружение антигена </w:t>
      </w:r>
      <w:r w:rsidRPr="00BA4F0F">
        <w:rPr>
          <w:i/>
        </w:rPr>
        <w:t>Cryptococcus</w:t>
      </w:r>
      <w:r w:rsidRPr="00BA4F0F">
        <w:t xml:space="preserve"> (глюкуроноксиломаннана) включено в критерии диагностики инвазивного криптоккоза. </w:t>
      </w:r>
    </w:p>
    <w:p w14:paraId="7D46547D" w14:textId="77777777" w:rsidR="00E83B26" w:rsidRPr="00BA4F0F" w:rsidRDefault="00E83B26" w:rsidP="00A555B2">
      <w:pPr>
        <w:numPr>
          <w:ilvl w:val="0"/>
          <w:numId w:val="151"/>
        </w:numPr>
        <w:tabs>
          <w:tab w:val="left" w:pos="0"/>
          <w:tab w:val="left" w:pos="567"/>
        </w:tabs>
        <w:ind w:left="0" w:firstLine="0"/>
      </w:pPr>
      <w:r w:rsidRPr="00BA4F0F">
        <w:t xml:space="preserve">Образцы для исследования: </w:t>
      </w:r>
    </w:p>
    <w:p w14:paraId="0E242D42" w14:textId="77777777" w:rsidR="00E83B26" w:rsidRPr="00BA4F0F" w:rsidRDefault="00E83B26" w:rsidP="00A555B2">
      <w:pPr>
        <w:numPr>
          <w:ilvl w:val="0"/>
          <w:numId w:val="152"/>
        </w:numPr>
        <w:tabs>
          <w:tab w:val="left" w:pos="0"/>
          <w:tab w:val="left" w:pos="567"/>
        </w:tabs>
        <w:ind w:left="0" w:firstLine="0"/>
      </w:pPr>
      <w:r w:rsidRPr="00BA4F0F">
        <w:t xml:space="preserve">кровь; </w:t>
      </w:r>
    </w:p>
    <w:p w14:paraId="1CE8FB8B" w14:textId="77777777" w:rsidR="00E83B26" w:rsidRPr="00BA4F0F" w:rsidRDefault="00E83B26" w:rsidP="00A555B2">
      <w:pPr>
        <w:numPr>
          <w:ilvl w:val="0"/>
          <w:numId w:val="152"/>
        </w:numPr>
        <w:tabs>
          <w:tab w:val="left" w:pos="0"/>
          <w:tab w:val="left" w:pos="567"/>
        </w:tabs>
        <w:ind w:left="0" w:firstLine="0"/>
      </w:pPr>
      <w:r w:rsidRPr="00BA4F0F">
        <w:t xml:space="preserve">жидкость БАЛ; </w:t>
      </w:r>
    </w:p>
    <w:p w14:paraId="3106D0AC" w14:textId="77777777" w:rsidR="00E83B26" w:rsidRPr="00BA4F0F" w:rsidRDefault="00E83B26" w:rsidP="00A555B2">
      <w:pPr>
        <w:numPr>
          <w:ilvl w:val="0"/>
          <w:numId w:val="152"/>
        </w:numPr>
        <w:tabs>
          <w:tab w:val="left" w:pos="0"/>
          <w:tab w:val="left" w:pos="567"/>
        </w:tabs>
        <w:ind w:left="0" w:firstLine="0"/>
      </w:pPr>
      <w:r w:rsidRPr="00BA4F0F">
        <w:t xml:space="preserve">СМЖ; </w:t>
      </w:r>
    </w:p>
    <w:p w14:paraId="6D8033C5" w14:textId="77777777" w:rsidR="00E83B26" w:rsidRPr="00BA4F0F" w:rsidRDefault="00E83B26" w:rsidP="00A555B2">
      <w:pPr>
        <w:numPr>
          <w:ilvl w:val="0"/>
          <w:numId w:val="152"/>
        </w:numPr>
        <w:tabs>
          <w:tab w:val="left" w:pos="0"/>
          <w:tab w:val="left" w:pos="567"/>
        </w:tabs>
        <w:ind w:left="0" w:firstLine="0"/>
      </w:pPr>
      <w:r w:rsidRPr="00BA4F0F">
        <w:t xml:space="preserve">моча. </w:t>
      </w:r>
    </w:p>
    <w:p w14:paraId="6A4EEBDF" w14:textId="77777777" w:rsidR="00E83B26" w:rsidRPr="00BA4F0F" w:rsidRDefault="00E83B26" w:rsidP="00A555B2">
      <w:pPr>
        <w:numPr>
          <w:ilvl w:val="0"/>
          <w:numId w:val="153"/>
        </w:numPr>
        <w:tabs>
          <w:tab w:val="left" w:pos="0"/>
          <w:tab w:val="left" w:pos="567"/>
        </w:tabs>
        <w:ind w:left="0" w:firstLine="0"/>
      </w:pPr>
      <w:r w:rsidRPr="00BA4F0F">
        <w:t xml:space="preserve">Высокой чувствительностью и специфичностью обладает латекс-тест (анализ качественный - положительный или отрицательный). </w:t>
      </w:r>
    </w:p>
    <w:p w14:paraId="70BBCC02" w14:textId="77777777" w:rsidR="00E83B26" w:rsidRPr="00BA4F0F" w:rsidRDefault="00E83B26" w:rsidP="00A555B2">
      <w:pPr>
        <w:numPr>
          <w:ilvl w:val="0"/>
          <w:numId w:val="153"/>
        </w:numPr>
        <w:tabs>
          <w:tab w:val="left" w:pos="0"/>
          <w:tab w:val="left" w:pos="567"/>
        </w:tabs>
        <w:ind w:left="0" w:firstLine="0"/>
      </w:pPr>
      <w:r w:rsidRPr="00BA4F0F">
        <w:t xml:space="preserve">Показания к определению антигена </w:t>
      </w:r>
      <w:r w:rsidRPr="00BA4F0F">
        <w:rPr>
          <w:i/>
        </w:rPr>
        <w:t>Cryptococcus</w:t>
      </w:r>
      <w:r w:rsidRPr="00BA4F0F">
        <w:t xml:space="preserve"> (глюкуроноксиломаннан): </w:t>
      </w:r>
    </w:p>
    <w:p w14:paraId="6F8E6E8C" w14:textId="77777777" w:rsidR="00E83B26" w:rsidRPr="00BA4F0F" w:rsidRDefault="00E83B26" w:rsidP="00A555B2">
      <w:pPr>
        <w:numPr>
          <w:ilvl w:val="0"/>
          <w:numId w:val="154"/>
        </w:numPr>
        <w:tabs>
          <w:tab w:val="left" w:pos="0"/>
          <w:tab w:val="left" w:pos="567"/>
        </w:tabs>
        <w:ind w:left="0" w:firstLine="0"/>
      </w:pPr>
      <w:r w:rsidRPr="00BA4F0F">
        <w:t xml:space="preserve">исследование всех первых образцов СМЖ при симптомах инфекции ЦНС у больных опухолями системы крови; </w:t>
      </w:r>
    </w:p>
    <w:p w14:paraId="4633DA95" w14:textId="77777777" w:rsidR="00E83B26" w:rsidRPr="00BA4F0F" w:rsidRDefault="00E83B26" w:rsidP="00A555B2">
      <w:pPr>
        <w:numPr>
          <w:ilvl w:val="0"/>
          <w:numId w:val="154"/>
        </w:numPr>
        <w:tabs>
          <w:tab w:val="left" w:pos="0"/>
          <w:tab w:val="left" w:pos="567"/>
        </w:tabs>
        <w:ind w:left="0" w:firstLine="0"/>
      </w:pPr>
      <w:r w:rsidRPr="00BA4F0F">
        <w:t xml:space="preserve">исследование второго образца спинномозговой жидкости при некупируемой инфекции ЦНС; </w:t>
      </w:r>
    </w:p>
    <w:p w14:paraId="4E556B5B" w14:textId="77777777" w:rsidR="00E83B26" w:rsidRPr="00BA4F0F" w:rsidRDefault="00E83B26" w:rsidP="00A555B2">
      <w:pPr>
        <w:numPr>
          <w:ilvl w:val="0"/>
          <w:numId w:val="154"/>
        </w:numPr>
        <w:tabs>
          <w:tab w:val="left" w:pos="0"/>
          <w:tab w:val="left" w:pos="567"/>
        </w:tabs>
        <w:ind w:left="0" w:firstLine="0"/>
      </w:pPr>
      <w:r w:rsidRPr="00BA4F0F">
        <w:t xml:space="preserve">исследование антигена </w:t>
      </w:r>
      <w:r w:rsidRPr="00BA4F0F">
        <w:rPr>
          <w:i/>
        </w:rPr>
        <w:t>Cryptococcus</w:t>
      </w:r>
      <w:r w:rsidRPr="00BA4F0F">
        <w:t xml:space="preserve"> (глюкуроноксиломаннан) в крови в случае предполагаемой криптококковой инфекции. </w:t>
      </w:r>
    </w:p>
    <w:p w14:paraId="3E046B1C" w14:textId="77777777" w:rsidR="00E83B26" w:rsidRPr="00BA4F0F" w:rsidRDefault="00E83B26" w:rsidP="00E83B26">
      <w:pPr>
        <w:tabs>
          <w:tab w:val="left" w:pos="0"/>
          <w:tab w:val="left" w:pos="567"/>
        </w:tabs>
      </w:pPr>
      <w:r w:rsidRPr="00BA4F0F">
        <w:rPr>
          <w:i/>
        </w:rPr>
        <w:t>Примечание.</w:t>
      </w:r>
      <w:r w:rsidRPr="00BA4F0F">
        <w:t xml:space="preserve"> Криптококкоз развивается, прежде всего, у больных с Т-клеточным иммунодефицитом (лимфома, хронический лимфолейкоз). Группу риска составляют больные, которые получают лечение глюкокортикоидами, флударабином, алемтузумабом, циклоспорином. </w:t>
      </w:r>
    </w:p>
    <w:p w14:paraId="4A8DDDF9" w14:textId="77777777" w:rsidR="00E83B26" w:rsidRPr="00BA4F0F" w:rsidRDefault="00E83B26" w:rsidP="00E83B26">
      <w:pPr>
        <w:pStyle w:val="afe"/>
        <w:ind w:left="0"/>
        <w:rPr>
          <w:rFonts w:cs="Times New Roman"/>
          <w:szCs w:val="24"/>
          <w:u w:val="single"/>
        </w:rPr>
      </w:pPr>
    </w:p>
    <w:p w14:paraId="3F897A44" w14:textId="77777777" w:rsidR="00E83B26" w:rsidRPr="00BA4F0F" w:rsidRDefault="00E83B26" w:rsidP="00E83B26">
      <w:pPr>
        <w:pStyle w:val="afe"/>
        <w:ind w:left="0"/>
        <w:rPr>
          <w:rFonts w:cs="Times New Roman"/>
          <w:b/>
          <w:i/>
          <w:szCs w:val="24"/>
        </w:rPr>
      </w:pPr>
      <w:r w:rsidRPr="00BA4F0F">
        <w:rPr>
          <w:rFonts w:cs="Times New Roman"/>
          <w:b/>
          <w:i/>
          <w:szCs w:val="24"/>
        </w:rPr>
        <w:t>Исследование крови на антитела к Мycoplasma pneumoniae (IgM, IgG), Chlamydia pneumoniae (IgM, IgG) в крови</w:t>
      </w:r>
    </w:p>
    <w:p w14:paraId="18245042" w14:textId="77777777" w:rsidR="00E83B26" w:rsidRPr="00BA4F0F" w:rsidRDefault="00E83B26" w:rsidP="00A555B2">
      <w:pPr>
        <w:numPr>
          <w:ilvl w:val="0"/>
          <w:numId w:val="155"/>
        </w:numPr>
        <w:tabs>
          <w:tab w:val="left" w:pos="0"/>
          <w:tab w:val="left" w:pos="567"/>
        </w:tabs>
        <w:ind w:left="0" w:firstLine="0"/>
      </w:pPr>
      <w:r w:rsidRPr="00BA4F0F">
        <w:t xml:space="preserve">Показания — пневмония. </w:t>
      </w:r>
    </w:p>
    <w:p w14:paraId="4427A761" w14:textId="77777777" w:rsidR="00E83B26" w:rsidRPr="00BA4F0F" w:rsidRDefault="00E83B26" w:rsidP="00E83B26">
      <w:pPr>
        <w:tabs>
          <w:tab w:val="left" w:pos="0"/>
          <w:tab w:val="left" w:pos="567"/>
        </w:tabs>
      </w:pPr>
      <w:r w:rsidRPr="00BA4F0F">
        <w:rPr>
          <w:i/>
        </w:rPr>
        <w:t>Примечание.</w:t>
      </w:r>
      <w:r w:rsidRPr="00BA4F0F">
        <w:t xml:space="preserve"> При положительных результатах определения IgG и наличии лихорадки исследование повторяют через 10—14 дней. </w:t>
      </w:r>
    </w:p>
    <w:p w14:paraId="404CFEF1" w14:textId="77777777" w:rsidR="00E83B26" w:rsidRPr="00BA4F0F" w:rsidRDefault="00E83B26" w:rsidP="00E83B26">
      <w:pPr>
        <w:tabs>
          <w:tab w:val="left" w:pos="0"/>
          <w:tab w:val="left" w:pos="567"/>
        </w:tabs>
      </w:pPr>
    </w:p>
    <w:p w14:paraId="64DD410F" w14:textId="77777777" w:rsidR="00E83B26" w:rsidRPr="00BA4F0F" w:rsidRDefault="00E83B26" w:rsidP="00E83B26">
      <w:pPr>
        <w:pStyle w:val="afe"/>
        <w:ind w:left="0"/>
        <w:rPr>
          <w:rFonts w:cs="Times New Roman"/>
          <w:b/>
          <w:i/>
          <w:szCs w:val="24"/>
        </w:rPr>
      </w:pPr>
      <w:r w:rsidRPr="00BA4F0F">
        <w:rPr>
          <w:rFonts w:cs="Times New Roman"/>
          <w:b/>
          <w:i/>
          <w:szCs w:val="24"/>
        </w:rPr>
        <w:t>МРТ головного мозга</w:t>
      </w:r>
    </w:p>
    <w:p w14:paraId="1715D0AA" w14:textId="77777777" w:rsidR="00E83B26" w:rsidRPr="00BA4F0F" w:rsidRDefault="00E83B26" w:rsidP="00A555B2">
      <w:pPr>
        <w:numPr>
          <w:ilvl w:val="0"/>
          <w:numId w:val="203"/>
        </w:numPr>
        <w:tabs>
          <w:tab w:val="left" w:pos="0"/>
          <w:tab w:val="left" w:pos="567"/>
        </w:tabs>
        <w:ind w:left="0" w:firstLine="0"/>
        <w:rPr>
          <w:b/>
        </w:rPr>
      </w:pPr>
      <w:r w:rsidRPr="00BA4F0F">
        <w:t xml:space="preserve">Показания – появление неврологической симптоматики, симптомов менингита. Развитие на фоне фебрильной нейтропении мозговой симптоматики. </w:t>
      </w:r>
    </w:p>
    <w:p w14:paraId="3AF2D908" w14:textId="77777777" w:rsidR="00E83B26" w:rsidRPr="00BA4F0F" w:rsidRDefault="00E83B26" w:rsidP="00A555B2">
      <w:pPr>
        <w:numPr>
          <w:ilvl w:val="0"/>
          <w:numId w:val="203"/>
        </w:numPr>
        <w:tabs>
          <w:tab w:val="left" w:pos="0"/>
          <w:tab w:val="left" w:pos="567"/>
        </w:tabs>
        <w:ind w:left="0" w:firstLine="0"/>
        <w:rPr>
          <w:b/>
        </w:rPr>
      </w:pPr>
      <w:r w:rsidRPr="00BA4F0F">
        <w:t xml:space="preserve">При выявлении очага (очагов) в веществе головного мозга необходимо выполнение люмбальной пункции с последующими цитологическим и микробиологическими исследованиями. </w:t>
      </w:r>
    </w:p>
    <w:p w14:paraId="117CE87E" w14:textId="77777777" w:rsidR="00E83B26" w:rsidRPr="00BA4F0F" w:rsidRDefault="00E83B26" w:rsidP="00E83B26">
      <w:pPr>
        <w:pStyle w:val="afe"/>
        <w:ind w:left="0"/>
        <w:rPr>
          <w:rFonts w:cs="Times New Roman"/>
          <w:szCs w:val="24"/>
          <w:u w:val="single"/>
        </w:rPr>
      </w:pPr>
    </w:p>
    <w:p w14:paraId="7FEFE26A" w14:textId="77777777" w:rsidR="00E83B26" w:rsidRPr="00BA4F0F" w:rsidRDefault="00E83B26" w:rsidP="00E83B26">
      <w:pPr>
        <w:pStyle w:val="afe"/>
        <w:ind w:left="0"/>
        <w:rPr>
          <w:rFonts w:cs="Times New Roman"/>
          <w:b/>
          <w:i/>
          <w:szCs w:val="24"/>
        </w:rPr>
      </w:pPr>
      <w:r w:rsidRPr="00BA4F0F">
        <w:rPr>
          <w:rFonts w:cs="Times New Roman"/>
          <w:b/>
          <w:i/>
          <w:szCs w:val="24"/>
        </w:rPr>
        <w:t>Ультразвуковое исследование или компьютерная томография органов брюшной полости</w:t>
      </w:r>
    </w:p>
    <w:p w14:paraId="30CE0900" w14:textId="77777777" w:rsidR="00E83B26" w:rsidRPr="00BA4F0F" w:rsidRDefault="00E83B26" w:rsidP="00A555B2">
      <w:pPr>
        <w:numPr>
          <w:ilvl w:val="0"/>
          <w:numId w:val="155"/>
        </w:numPr>
        <w:tabs>
          <w:tab w:val="left" w:pos="0"/>
          <w:tab w:val="left" w:pos="567"/>
        </w:tabs>
        <w:ind w:left="0" w:firstLine="0"/>
      </w:pPr>
      <w:r w:rsidRPr="00BA4F0F">
        <w:t>Показания — сохраняющаяся лихорадка (колебания температуры в течение суток от 37 до 39°С) при восстановлении числа нейтрофилов (число гранулоцитов &gt; 0,5 × 10</w:t>
      </w:r>
      <w:r w:rsidRPr="00BA4F0F">
        <w:rPr>
          <w:vertAlign w:val="superscript"/>
        </w:rPr>
        <w:t>9</w:t>
      </w:r>
      <w:r w:rsidRPr="00BA4F0F">
        <w:t xml:space="preserve"> /л). </w:t>
      </w:r>
    </w:p>
    <w:p w14:paraId="6B3C0EA7" w14:textId="77777777" w:rsidR="00E83B26" w:rsidRPr="00BA4F0F" w:rsidRDefault="00E83B26" w:rsidP="00E83B26">
      <w:pPr>
        <w:tabs>
          <w:tab w:val="left" w:pos="0"/>
          <w:tab w:val="left" w:pos="567"/>
        </w:tabs>
      </w:pPr>
      <w:r w:rsidRPr="00BA4F0F">
        <w:rPr>
          <w:i/>
        </w:rPr>
        <w:t>Примечание.</w:t>
      </w:r>
      <w:r w:rsidRPr="00BA4F0F">
        <w:t xml:space="preserve"> УЗИ и КТ при гепатолиенальном кандидозе не являются взаимоисключающими диагностическими процедурами. У части больных очаги в печени и/или селезенке могут быть обнаружены только при УЗИ, у других — только при КТ. Наибольшее диагностическое значение имеет МРТ печени и селезенки. </w:t>
      </w:r>
    </w:p>
    <w:p w14:paraId="7A0B0BB5" w14:textId="77777777" w:rsidR="00E83B26" w:rsidRPr="00BA4F0F" w:rsidRDefault="00E83B26" w:rsidP="00A555B2">
      <w:pPr>
        <w:numPr>
          <w:ilvl w:val="0"/>
          <w:numId w:val="155"/>
        </w:numPr>
        <w:tabs>
          <w:tab w:val="left" w:pos="0"/>
          <w:tab w:val="left" w:pos="567"/>
        </w:tabs>
        <w:ind w:left="0" w:firstLine="0"/>
      </w:pPr>
      <w:r w:rsidRPr="00BA4F0F">
        <w:t>При диагностике гепатолиенального кандидоза контрольное исследование проводят не ранее чем через 3—4 недели терапии системными противогрибковыми препаратами ввиду крайне медленной регрессии очагов.</w:t>
      </w:r>
    </w:p>
    <w:p w14:paraId="14CD2674" w14:textId="77777777" w:rsidR="00E83B26" w:rsidRPr="00BA4F0F" w:rsidRDefault="00E83B26" w:rsidP="00A555B2">
      <w:pPr>
        <w:numPr>
          <w:ilvl w:val="0"/>
          <w:numId w:val="155"/>
        </w:numPr>
        <w:tabs>
          <w:tab w:val="left" w:pos="0"/>
          <w:tab w:val="left" w:pos="567"/>
        </w:tabs>
        <w:ind w:left="0" w:firstLine="0"/>
      </w:pPr>
      <w:r w:rsidRPr="00BA4F0F">
        <w:t>Оценивать состояние очагов (размеры, плотность) в печени и селезенке необходимо всегда при числе гранулоцитов &gt; 0,5 × 10</w:t>
      </w:r>
      <w:r w:rsidRPr="00BA4F0F">
        <w:rPr>
          <w:i/>
          <w:vertAlign w:val="superscript"/>
        </w:rPr>
        <w:t>9</w:t>
      </w:r>
      <w:r w:rsidRPr="00BA4F0F">
        <w:t xml:space="preserve"> /л. Проведение исследования в период нейтропении дает ложную информацию о меньшем размере очагов. </w:t>
      </w:r>
    </w:p>
    <w:p w14:paraId="1D48E1D2" w14:textId="77777777" w:rsidR="00E83B26" w:rsidRPr="00BA4F0F" w:rsidRDefault="00E83B26" w:rsidP="00E83B26">
      <w:pPr>
        <w:pStyle w:val="afe"/>
        <w:ind w:left="0"/>
        <w:rPr>
          <w:rFonts w:cs="Times New Roman"/>
          <w:szCs w:val="24"/>
          <w:u w:val="single"/>
        </w:rPr>
      </w:pPr>
    </w:p>
    <w:p w14:paraId="100BF92D" w14:textId="77777777" w:rsidR="00E83B26" w:rsidRPr="00BA4F0F" w:rsidRDefault="00E83B26" w:rsidP="00E83B26">
      <w:pPr>
        <w:pStyle w:val="afe"/>
        <w:ind w:left="0"/>
        <w:rPr>
          <w:rFonts w:cs="Times New Roman"/>
          <w:b/>
          <w:i/>
          <w:szCs w:val="24"/>
        </w:rPr>
      </w:pPr>
      <w:r w:rsidRPr="00BA4F0F">
        <w:rPr>
          <w:rFonts w:cs="Times New Roman"/>
          <w:b/>
          <w:i/>
          <w:szCs w:val="24"/>
        </w:rPr>
        <w:t>Дополнительные исследования</w:t>
      </w:r>
    </w:p>
    <w:p w14:paraId="3662FC8E" w14:textId="77777777" w:rsidR="00E83B26" w:rsidRPr="00BA4F0F" w:rsidRDefault="00E83B26" w:rsidP="00E83B26">
      <w:pPr>
        <w:tabs>
          <w:tab w:val="left" w:pos="0"/>
          <w:tab w:val="left" w:pos="567"/>
        </w:tabs>
        <w:ind w:firstLine="567"/>
      </w:pPr>
      <w:r w:rsidRPr="00BA4F0F">
        <w:t>В случае внезапно развившейся нейтропении или тромбоцитопении либо длительно существующей необъяснимой нейтропении или тромбоцитопении необходимо провести исследования на ЦМВ (определение ДНК ЦМВ в крови), особенно у больных лифопролиферативными заболеваниями, а также у пациентов, длительно принимавших глюкокортикоиды.</w:t>
      </w:r>
    </w:p>
    <w:p w14:paraId="0E7F98D3" w14:textId="77777777" w:rsidR="00E83B26" w:rsidRPr="00BA4F0F" w:rsidRDefault="00E83B26" w:rsidP="00E83B26">
      <w:pPr>
        <w:tabs>
          <w:tab w:val="left" w:pos="0"/>
          <w:tab w:val="left" w:pos="567"/>
        </w:tabs>
        <w:ind w:firstLine="567"/>
      </w:pPr>
      <w:r w:rsidRPr="00BA4F0F">
        <w:t xml:space="preserve">При тяжелой инфекции, особенно при бактериемии, может изменяться содержание С-реактивного белка, интерлейкинов (ИЛ-6, ИЛ-8) и прокальцитонина. Однако повышение этих маркеров происходит не всегда, особенно при вирусной или грибковой инфекции. Обнаружение биологически активных соединений в крови или повышение их уровня не является основанием для назначения антимикробных препаратов или изменения терапии инфекционных осложнений при стабильной клинической ситуации в период нейтропении. Не следует определять прокальцитонин и другие маркеры в первые часы повышения температуры, так как в любом случае при фебрильной нейтропении будет назначен антибиотик, и значения прокальцитонина не влияют на выбор антимикробного препарата. </w:t>
      </w:r>
    </w:p>
    <w:p w14:paraId="501683D5" w14:textId="77777777" w:rsidR="00E83B26" w:rsidRPr="00BA4F0F" w:rsidRDefault="00E83B26" w:rsidP="00E83B26">
      <w:pPr>
        <w:pStyle w:val="afe"/>
        <w:tabs>
          <w:tab w:val="left" w:pos="0"/>
          <w:tab w:val="left" w:pos="567"/>
        </w:tabs>
        <w:rPr>
          <w:rFonts w:cs="Times New Roman"/>
          <w:szCs w:val="24"/>
          <w:u w:val="single"/>
        </w:rPr>
      </w:pPr>
    </w:p>
    <w:p w14:paraId="0ACC7087" w14:textId="77777777" w:rsidR="00E83B26" w:rsidRPr="00BA4F0F" w:rsidRDefault="00E83B26" w:rsidP="00E83B26">
      <w:pPr>
        <w:tabs>
          <w:tab w:val="left" w:pos="0"/>
          <w:tab w:val="left" w:pos="567"/>
        </w:tabs>
        <w:rPr>
          <w:u w:val="single"/>
        </w:rPr>
      </w:pPr>
      <w:r w:rsidRPr="00BA4F0F">
        <w:rPr>
          <w:u w:val="single"/>
        </w:rPr>
        <w:t>Порядок назначения антимикробной терапии</w:t>
      </w:r>
    </w:p>
    <w:p w14:paraId="60059EF7" w14:textId="77777777" w:rsidR="00E83B26" w:rsidRPr="00BA4F0F" w:rsidRDefault="00E83B26" w:rsidP="00E83B26">
      <w:pPr>
        <w:pStyle w:val="afe"/>
        <w:ind w:left="0"/>
        <w:rPr>
          <w:rFonts w:cs="Times New Roman"/>
          <w:b/>
          <w:i/>
          <w:szCs w:val="24"/>
        </w:rPr>
      </w:pPr>
      <w:r w:rsidRPr="00BA4F0F">
        <w:rPr>
          <w:rFonts w:cs="Times New Roman"/>
          <w:b/>
          <w:i/>
          <w:szCs w:val="24"/>
        </w:rPr>
        <w:t>Показания к назначению антибиотиков первого этапа</w:t>
      </w:r>
    </w:p>
    <w:p w14:paraId="52B06536" w14:textId="77777777" w:rsidR="00E83B26" w:rsidRPr="00BA4F0F" w:rsidRDefault="00E83B26" w:rsidP="00A555B2">
      <w:pPr>
        <w:numPr>
          <w:ilvl w:val="0"/>
          <w:numId w:val="161"/>
        </w:numPr>
        <w:tabs>
          <w:tab w:val="left" w:pos="0"/>
          <w:tab w:val="left" w:pos="567"/>
        </w:tabs>
        <w:ind w:left="0" w:firstLine="0"/>
      </w:pPr>
      <w:r w:rsidRPr="00BA4F0F">
        <w:t xml:space="preserve">Повышение температуры ≥ 38,0°С (измерение в подмышечных впадинах), сохраняющееся в течение 2 часов и не связанное с введением пирогенных препаратов (например, компонентов крови, факторов роста и др.) </w:t>
      </w:r>
      <w:r w:rsidRPr="00BA4F0F">
        <w:rPr>
          <w:i/>
        </w:rPr>
        <w:t>и/или</w:t>
      </w:r>
    </w:p>
    <w:p w14:paraId="5427AFA5" w14:textId="77777777" w:rsidR="00E83B26" w:rsidRPr="00BA4F0F" w:rsidRDefault="00E83B26" w:rsidP="00A555B2">
      <w:pPr>
        <w:numPr>
          <w:ilvl w:val="0"/>
          <w:numId w:val="161"/>
        </w:numPr>
        <w:tabs>
          <w:tab w:val="left" w:pos="0"/>
          <w:tab w:val="left" w:pos="567"/>
        </w:tabs>
        <w:ind w:left="0" w:firstLine="0"/>
      </w:pPr>
      <w:r w:rsidRPr="00BA4F0F">
        <w:t>Наличие очага инфекции (например, пневмония, парапроктит и др.). При наличии очага инфекции уровень лихорадки не является определяющим для назначения антибиотиков.</w:t>
      </w:r>
    </w:p>
    <w:p w14:paraId="118A1D6B" w14:textId="77777777" w:rsidR="00E83B26" w:rsidRPr="00BA4F0F" w:rsidRDefault="00E83B26" w:rsidP="00E83B26">
      <w:pPr>
        <w:tabs>
          <w:tab w:val="left" w:pos="0"/>
          <w:tab w:val="left" w:pos="567"/>
        </w:tabs>
      </w:pPr>
      <w:r w:rsidRPr="00BA4F0F">
        <w:rPr>
          <w:i/>
        </w:rPr>
        <w:t>Примечание.</w:t>
      </w:r>
      <w:r w:rsidRPr="00BA4F0F">
        <w:t xml:space="preserve"> Сама по себе нейтропения (даже при числе нейтрофилов ≤ 0,1 × 10</w:t>
      </w:r>
      <w:r w:rsidRPr="00BA4F0F">
        <w:rPr>
          <w:vertAlign w:val="superscript"/>
        </w:rPr>
        <w:t>9</w:t>
      </w:r>
      <w:r w:rsidRPr="00BA4F0F">
        <w:t>/л) без лихорадки и очага инфекции не является показанием к назначению антибактериальных препаратов.</w:t>
      </w:r>
    </w:p>
    <w:p w14:paraId="7A97487E" w14:textId="77777777" w:rsidR="00E83B26" w:rsidRPr="00BA4F0F" w:rsidRDefault="00E83B26" w:rsidP="00E83B26">
      <w:pPr>
        <w:tabs>
          <w:tab w:val="left" w:pos="0"/>
          <w:tab w:val="left" w:pos="567"/>
        </w:tabs>
        <w:rPr>
          <w:b/>
        </w:rPr>
      </w:pPr>
    </w:p>
    <w:p w14:paraId="18C4F393" w14:textId="77777777" w:rsidR="00E83B26" w:rsidRPr="00BA4F0F" w:rsidRDefault="00E83B26" w:rsidP="00E83B26">
      <w:pPr>
        <w:pStyle w:val="afe"/>
        <w:ind w:left="0"/>
        <w:rPr>
          <w:rFonts w:cs="Times New Roman"/>
          <w:b/>
          <w:i/>
          <w:szCs w:val="24"/>
        </w:rPr>
      </w:pPr>
      <w:r w:rsidRPr="00BA4F0F">
        <w:rPr>
          <w:rFonts w:cs="Times New Roman"/>
          <w:b/>
          <w:i/>
          <w:szCs w:val="24"/>
        </w:rPr>
        <w:t>Основные принципы эмпирической терапии при лихорадке периода нейтропении</w:t>
      </w:r>
    </w:p>
    <w:p w14:paraId="56C11429" w14:textId="77777777" w:rsidR="00E83B26" w:rsidRPr="00BA4F0F" w:rsidRDefault="00E83B26" w:rsidP="00A555B2">
      <w:pPr>
        <w:numPr>
          <w:ilvl w:val="0"/>
          <w:numId w:val="162"/>
        </w:numPr>
        <w:tabs>
          <w:tab w:val="left" w:pos="0"/>
          <w:tab w:val="left" w:pos="567"/>
        </w:tabs>
        <w:ind w:left="0" w:firstLine="0"/>
      </w:pPr>
      <w:r w:rsidRPr="00BA4F0F">
        <w:t>Немедленное назначение антибиотиков при лихорадке или очагах инфекции, не дожидаясь результатов бактериологического исследования.</w:t>
      </w:r>
    </w:p>
    <w:p w14:paraId="482F46DB" w14:textId="77777777" w:rsidR="00E83B26" w:rsidRPr="00BA4F0F" w:rsidRDefault="00E83B26" w:rsidP="00A555B2">
      <w:pPr>
        <w:numPr>
          <w:ilvl w:val="0"/>
          <w:numId w:val="162"/>
        </w:numPr>
        <w:tabs>
          <w:tab w:val="left" w:pos="0"/>
          <w:tab w:val="left" w:pos="567"/>
        </w:tabs>
        <w:ind w:left="0" w:firstLine="0"/>
      </w:pPr>
      <w:r w:rsidRPr="00BA4F0F">
        <w:t>Применение на первом этапе антимикробных препаратов, проявляющих активность в отношении грамотрицательных бактерий, включая синегнойную палочку.</w:t>
      </w:r>
    </w:p>
    <w:p w14:paraId="58BE10DB" w14:textId="77777777" w:rsidR="00E83B26" w:rsidRPr="00BA4F0F" w:rsidRDefault="00E83B26" w:rsidP="00A555B2">
      <w:pPr>
        <w:numPr>
          <w:ilvl w:val="0"/>
          <w:numId w:val="162"/>
        </w:numPr>
        <w:tabs>
          <w:tab w:val="left" w:pos="0"/>
          <w:tab w:val="left" w:pos="567"/>
        </w:tabs>
        <w:ind w:left="0" w:firstLine="0"/>
      </w:pPr>
      <w:r w:rsidRPr="00BA4F0F">
        <w:t>Назначение на первом этапе наиболее активных антибиотиков (при выборе антибиотиков опираются на результаты последнего ретроспективного анализа).</w:t>
      </w:r>
    </w:p>
    <w:p w14:paraId="0E997E79" w14:textId="77777777" w:rsidR="00E83B26" w:rsidRPr="00BA4F0F" w:rsidRDefault="00E83B26" w:rsidP="00A555B2">
      <w:pPr>
        <w:numPr>
          <w:ilvl w:val="0"/>
          <w:numId w:val="162"/>
        </w:numPr>
        <w:tabs>
          <w:tab w:val="left" w:pos="0"/>
          <w:tab w:val="left" w:pos="567"/>
        </w:tabs>
        <w:ind w:left="0" w:firstLine="0"/>
      </w:pPr>
      <w:r w:rsidRPr="00BA4F0F">
        <w:t>Введение антимикробных препаратов только внутривенно.</w:t>
      </w:r>
    </w:p>
    <w:p w14:paraId="3195A46D" w14:textId="77777777" w:rsidR="00E83B26" w:rsidRPr="00BA4F0F" w:rsidRDefault="00E83B26" w:rsidP="00A555B2">
      <w:pPr>
        <w:numPr>
          <w:ilvl w:val="0"/>
          <w:numId w:val="162"/>
        </w:numPr>
        <w:tabs>
          <w:tab w:val="left" w:pos="0"/>
          <w:tab w:val="left" w:pos="567"/>
        </w:tabs>
        <w:ind w:left="0" w:firstLine="0"/>
      </w:pPr>
      <w:r w:rsidRPr="00BA4F0F">
        <w:t>Модификация, при необходимости, антимикробной терапии согласно результатам микробиологического исследования.</w:t>
      </w:r>
    </w:p>
    <w:p w14:paraId="54D1B37A" w14:textId="77777777" w:rsidR="00E83B26" w:rsidRPr="00BA4F0F" w:rsidRDefault="00E83B26" w:rsidP="00E83B26">
      <w:pPr>
        <w:tabs>
          <w:tab w:val="left" w:pos="0"/>
          <w:tab w:val="left" w:pos="567"/>
        </w:tabs>
      </w:pPr>
      <w:r w:rsidRPr="00BA4F0F">
        <w:t xml:space="preserve">Для стартовой терапии фебрильной нейтропении назначают один антибиотик (монотерапия): </w:t>
      </w:r>
    </w:p>
    <w:p w14:paraId="0BDF2CE9" w14:textId="77777777" w:rsidR="00E83B26" w:rsidRPr="00BA4F0F" w:rsidRDefault="00E83B26" w:rsidP="00A555B2">
      <w:pPr>
        <w:numPr>
          <w:ilvl w:val="0"/>
          <w:numId w:val="163"/>
        </w:numPr>
        <w:tabs>
          <w:tab w:val="left" w:pos="0"/>
          <w:tab w:val="left" w:pos="567"/>
        </w:tabs>
        <w:ind w:left="0" w:firstLine="0"/>
      </w:pPr>
      <w:r w:rsidRPr="00BA4F0F">
        <w:t xml:space="preserve">Цефоперазон/сульбактам </w:t>
      </w:r>
    </w:p>
    <w:p w14:paraId="0BCA951B" w14:textId="77777777" w:rsidR="00E83B26" w:rsidRPr="00BA4F0F" w:rsidRDefault="00E83B26" w:rsidP="00A555B2">
      <w:pPr>
        <w:numPr>
          <w:ilvl w:val="0"/>
          <w:numId w:val="164"/>
        </w:numPr>
        <w:tabs>
          <w:tab w:val="left" w:pos="0"/>
          <w:tab w:val="left" w:pos="567"/>
        </w:tabs>
        <w:ind w:left="0" w:firstLine="0"/>
      </w:pPr>
      <w:r w:rsidRPr="00BA4F0F">
        <w:t xml:space="preserve">Дозирование: по 4 г 2 раза в сутки. </w:t>
      </w:r>
    </w:p>
    <w:p w14:paraId="75C6D198" w14:textId="77777777" w:rsidR="00E83B26" w:rsidRPr="00BA4F0F" w:rsidRDefault="00E83B26" w:rsidP="00A555B2">
      <w:pPr>
        <w:numPr>
          <w:ilvl w:val="0"/>
          <w:numId w:val="163"/>
        </w:numPr>
        <w:tabs>
          <w:tab w:val="left" w:pos="0"/>
          <w:tab w:val="left" w:pos="567"/>
        </w:tabs>
        <w:ind w:left="0" w:firstLine="0"/>
      </w:pPr>
      <w:r w:rsidRPr="00BA4F0F">
        <w:t xml:space="preserve">Пиперациллин/тазобактам </w:t>
      </w:r>
    </w:p>
    <w:p w14:paraId="6763BB8A" w14:textId="77777777" w:rsidR="00E83B26" w:rsidRPr="00BA4F0F" w:rsidRDefault="00E83B26" w:rsidP="00A555B2">
      <w:pPr>
        <w:numPr>
          <w:ilvl w:val="0"/>
          <w:numId w:val="165"/>
        </w:numPr>
        <w:tabs>
          <w:tab w:val="left" w:pos="0"/>
          <w:tab w:val="left" w:pos="567"/>
        </w:tabs>
        <w:ind w:left="0" w:firstLine="0"/>
      </w:pPr>
      <w:r w:rsidRPr="00BA4F0F">
        <w:t xml:space="preserve">Дозирование: по 4,5 г 3 раза в сутки. </w:t>
      </w:r>
    </w:p>
    <w:p w14:paraId="781E78C4" w14:textId="77777777" w:rsidR="00E83B26" w:rsidRPr="00BA4F0F" w:rsidRDefault="00E83B26" w:rsidP="00A555B2">
      <w:pPr>
        <w:numPr>
          <w:ilvl w:val="0"/>
          <w:numId w:val="163"/>
        </w:numPr>
        <w:tabs>
          <w:tab w:val="left" w:pos="0"/>
          <w:tab w:val="left" w:pos="567"/>
        </w:tabs>
        <w:ind w:left="0" w:firstLine="0"/>
      </w:pPr>
      <w:r w:rsidRPr="00BA4F0F">
        <w:t xml:space="preserve">Цефепим </w:t>
      </w:r>
    </w:p>
    <w:p w14:paraId="440BFD06" w14:textId="77777777" w:rsidR="00E83B26" w:rsidRPr="00BA4F0F" w:rsidRDefault="00E83B26" w:rsidP="00A555B2">
      <w:pPr>
        <w:numPr>
          <w:ilvl w:val="0"/>
          <w:numId w:val="166"/>
        </w:numPr>
        <w:tabs>
          <w:tab w:val="left" w:pos="0"/>
          <w:tab w:val="left" w:pos="567"/>
        </w:tabs>
        <w:ind w:left="0" w:firstLine="0"/>
      </w:pPr>
      <w:r w:rsidRPr="00BA4F0F">
        <w:t xml:space="preserve">Дозирование: по 2 г 2 раза в сутки. </w:t>
      </w:r>
    </w:p>
    <w:p w14:paraId="1AF6B8E8" w14:textId="77777777" w:rsidR="00E83B26" w:rsidRPr="00BA4F0F" w:rsidRDefault="00E83B26" w:rsidP="00A555B2">
      <w:pPr>
        <w:numPr>
          <w:ilvl w:val="0"/>
          <w:numId w:val="163"/>
        </w:numPr>
        <w:tabs>
          <w:tab w:val="left" w:pos="0"/>
          <w:tab w:val="left" w:pos="567"/>
        </w:tabs>
        <w:ind w:left="0" w:firstLine="0"/>
      </w:pPr>
      <w:r w:rsidRPr="00BA4F0F">
        <w:t xml:space="preserve">Цефтазидим </w:t>
      </w:r>
    </w:p>
    <w:p w14:paraId="06205B13" w14:textId="77777777" w:rsidR="00E83B26" w:rsidRPr="00BA4F0F" w:rsidRDefault="00E83B26" w:rsidP="00A555B2">
      <w:pPr>
        <w:numPr>
          <w:ilvl w:val="0"/>
          <w:numId w:val="167"/>
        </w:numPr>
        <w:tabs>
          <w:tab w:val="left" w:pos="0"/>
          <w:tab w:val="left" w:pos="567"/>
        </w:tabs>
        <w:ind w:left="0" w:firstLine="0"/>
      </w:pPr>
      <w:r w:rsidRPr="00BA4F0F">
        <w:t xml:space="preserve">Дозирование: по 2 г 3 раза в сутки </w:t>
      </w:r>
    </w:p>
    <w:p w14:paraId="2252A39F" w14:textId="77777777" w:rsidR="00E83B26" w:rsidRPr="00BA4F0F" w:rsidRDefault="00E83B26" w:rsidP="00E83B26">
      <w:pPr>
        <w:tabs>
          <w:tab w:val="left" w:pos="0"/>
          <w:tab w:val="left" w:pos="567"/>
        </w:tabs>
      </w:pPr>
      <w:r w:rsidRPr="00BA4F0F">
        <w:t>При развитии септического шока на первом этапе эмпирической терапии рекомендовано карбапенемов:</w:t>
      </w:r>
    </w:p>
    <w:p w14:paraId="575BDBAF" w14:textId="77777777" w:rsidR="00E83B26" w:rsidRPr="00BA4F0F" w:rsidRDefault="00E83B26" w:rsidP="00A555B2">
      <w:pPr>
        <w:numPr>
          <w:ilvl w:val="0"/>
          <w:numId w:val="168"/>
        </w:numPr>
        <w:tabs>
          <w:tab w:val="left" w:pos="0"/>
          <w:tab w:val="left" w:pos="567"/>
        </w:tabs>
        <w:ind w:left="0" w:firstLine="0"/>
      </w:pPr>
      <w:r w:rsidRPr="00BA4F0F">
        <w:t>Имипенем/циластатин</w:t>
      </w:r>
    </w:p>
    <w:p w14:paraId="7A07A901" w14:textId="77777777" w:rsidR="00E83B26" w:rsidRPr="00BA4F0F" w:rsidRDefault="00E83B26" w:rsidP="00A555B2">
      <w:pPr>
        <w:numPr>
          <w:ilvl w:val="0"/>
          <w:numId w:val="167"/>
        </w:numPr>
        <w:tabs>
          <w:tab w:val="left" w:pos="0"/>
          <w:tab w:val="left" w:pos="567"/>
        </w:tabs>
        <w:ind w:left="0" w:firstLine="0"/>
      </w:pPr>
      <w:r w:rsidRPr="00BA4F0F">
        <w:t>Дозировка: по 0,5 г 4 раза в сутки.</w:t>
      </w:r>
    </w:p>
    <w:p w14:paraId="12EB82CD" w14:textId="77777777" w:rsidR="00E83B26" w:rsidRPr="00BA4F0F" w:rsidRDefault="00E83B26" w:rsidP="00A555B2">
      <w:pPr>
        <w:numPr>
          <w:ilvl w:val="0"/>
          <w:numId w:val="169"/>
        </w:numPr>
        <w:tabs>
          <w:tab w:val="left" w:pos="0"/>
          <w:tab w:val="left" w:pos="567"/>
        </w:tabs>
        <w:ind w:left="0" w:firstLine="0"/>
      </w:pPr>
      <w:r w:rsidRPr="00BA4F0F">
        <w:t>Меропенем</w:t>
      </w:r>
    </w:p>
    <w:p w14:paraId="7005BAA0" w14:textId="77777777" w:rsidR="00E83B26" w:rsidRPr="00BA4F0F" w:rsidRDefault="00E83B26" w:rsidP="00A555B2">
      <w:pPr>
        <w:numPr>
          <w:ilvl w:val="0"/>
          <w:numId w:val="167"/>
        </w:numPr>
        <w:tabs>
          <w:tab w:val="left" w:pos="0"/>
          <w:tab w:val="left" w:pos="567"/>
        </w:tabs>
        <w:ind w:left="0" w:firstLine="0"/>
      </w:pPr>
      <w:r w:rsidRPr="00BA4F0F">
        <w:t>Дозировка: по 1 г 3 раза в сутки.</w:t>
      </w:r>
    </w:p>
    <w:p w14:paraId="26D58942" w14:textId="77777777" w:rsidR="00E83B26" w:rsidRPr="00BA4F0F" w:rsidRDefault="00E83B26" w:rsidP="00A555B2">
      <w:pPr>
        <w:numPr>
          <w:ilvl w:val="0"/>
          <w:numId w:val="170"/>
        </w:numPr>
        <w:tabs>
          <w:tab w:val="left" w:pos="0"/>
          <w:tab w:val="left" w:pos="567"/>
        </w:tabs>
        <w:ind w:left="0" w:firstLine="0"/>
      </w:pPr>
      <w:r w:rsidRPr="00BA4F0F">
        <w:t>Дорипенем</w:t>
      </w:r>
    </w:p>
    <w:p w14:paraId="68FF69A3" w14:textId="77777777" w:rsidR="00E83B26" w:rsidRPr="00BA4F0F" w:rsidRDefault="00E83B26" w:rsidP="00A555B2">
      <w:pPr>
        <w:numPr>
          <w:ilvl w:val="0"/>
          <w:numId w:val="167"/>
        </w:numPr>
        <w:tabs>
          <w:tab w:val="left" w:pos="0"/>
          <w:tab w:val="left" w:pos="567"/>
        </w:tabs>
        <w:ind w:left="0" w:firstLine="0"/>
      </w:pPr>
      <w:r w:rsidRPr="00BA4F0F">
        <w:t>Дозировка: по 0,5 г 3 раза в сутки.</w:t>
      </w:r>
    </w:p>
    <w:p w14:paraId="2984890E" w14:textId="77777777" w:rsidR="00E83B26" w:rsidRPr="00BA4F0F" w:rsidRDefault="00E83B26" w:rsidP="00E83B26">
      <w:pPr>
        <w:tabs>
          <w:tab w:val="left" w:pos="0"/>
          <w:tab w:val="left" w:pos="567"/>
        </w:tabs>
        <w:jc w:val="center"/>
        <w:rPr>
          <w:b/>
        </w:rPr>
      </w:pPr>
    </w:p>
    <w:p w14:paraId="5C8A94B5" w14:textId="77777777" w:rsidR="00E83B26" w:rsidRPr="00BA4F0F" w:rsidRDefault="00E83B26" w:rsidP="00E83B26">
      <w:pPr>
        <w:pStyle w:val="afe"/>
        <w:ind w:left="0"/>
        <w:rPr>
          <w:rFonts w:cs="Times New Roman"/>
          <w:b/>
          <w:i/>
          <w:szCs w:val="24"/>
        </w:rPr>
      </w:pPr>
      <w:r w:rsidRPr="00BA4F0F">
        <w:rPr>
          <w:rFonts w:cs="Times New Roman"/>
          <w:b/>
          <w:i/>
          <w:szCs w:val="24"/>
        </w:rPr>
        <w:t>Оценка эффективности и модификация антимикробной терапии</w:t>
      </w:r>
    </w:p>
    <w:p w14:paraId="4B77CD8D" w14:textId="77777777" w:rsidR="00E83B26" w:rsidRPr="00BA4F0F" w:rsidRDefault="00E83B26" w:rsidP="00E83B26">
      <w:pPr>
        <w:tabs>
          <w:tab w:val="left" w:pos="0"/>
          <w:tab w:val="left" w:pos="567"/>
        </w:tabs>
        <w:ind w:firstLine="567"/>
      </w:pPr>
      <w:r w:rsidRPr="00BA4F0F">
        <w:t>Следует помнить, что антибиотики не являются антипиретиками, и нормализация температуры на другой день после их назначения происходит крайне редко. Более того, при тяжелой инфекции температура становится нормальной лишь на 4—5-й день антибактериальной терапии. В то же время ожидание нормализации температуры в течение первых 4—5 дней антимикробной терапии не должно быть пассивным. У всех больных с лихорадкой во время нейтропении необходимо провести диагностические исследования в соответствии с алгоритмом обследования</w:t>
      </w:r>
      <w:r>
        <w:t>,</w:t>
      </w:r>
      <w:r w:rsidRPr="00BA4F0F">
        <w:t xml:space="preserve"> представленным ранее. </w:t>
      </w:r>
    </w:p>
    <w:p w14:paraId="4E158658" w14:textId="77777777" w:rsidR="00E83B26" w:rsidRPr="00BA4F0F" w:rsidRDefault="00E83B26" w:rsidP="00E83B26">
      <w:pPr>
        <w:tabs>
          <w:tab w:val="left" w:pos="0"/>
          <w:tab w:val="left" w:pos="567"/>
        </w:tabs>
        <w:jc w:val="center"/>
        <w:rPr>
          <w:b/>
        </w:rPr>
      </w:pPr>
    </w:p>
    <w:p w14:paraId="2ACFBBEE" w14:textId="77777777" w:rsidR="00E83B26" w:rsidRPr="00BA4F0F" w:rsidRDefault="00E83B26" w:rsidP="00E83B26">
      <w:pPr>
        <w:pStyle w:val="afe"/>
        <w:ind w:left="0"/>
        <w:rPr>
          <w:rFonts w:cs="Times New Roman"/>
          <w:b/>
          <w:i/>
          <w:szCs w:val="24"/>
        </w:rPr>
      </w:pPr>
      <w:r w:rsidRPr="00BA4F0F">
        <w:rPr>
          <w:rFonts w:cs="Times New Roman"/>
          <w:b/>
          <w:i/>
          <w:szCs w:val="24"/>
        </w:rPr>
        <w:t>Модификация антимикробной терапии на 4-5-й день</w:t>
      </w:r>
    </w:p>
    <w:p w14:paraId="7E696AC1" w14:textId="77777777" w:rsidR="00E83B26" w:rsidRPr="00BA4F0F" w:rsidRDefault="00E83B26" w:rsidP="00A555B2">
      <w:pPr>
        <w:numPr>
          <w:ilvl w:val="0"/>
          <w:numId w:val="170"/>
        </w:numPr>
        <w:tabs>
          <w:tab w:val="left" w:pos="0"/>
          <w:tab w:val="left" w:pos="567"/>
        </w:tabs>
        <w:ind w:left="0" w:firstLine="0"/>
      </w:pPr>
      <w:r w:rsidRPr="00BA4F0F">
        <w:t>Показания:</w:t>
      </w:r>
    </w:p>
    <w:p w14:paraId="2D317164" w14:textId="77777777" w:rsidR="00E83B26" w:rsidRPr="00BA4F0F" w:rsidRDefault="00E83B26" w:rsidP="00A555B2">
      <w:pPr>
        <w:numPr>
          <w:ilvl w:val="0"/>
          <w:numId w:val="171"/>
        </w:numPr>
        <w:tabs>
          <w:tab w:val="left" w:pos="0"/>
          <w:tab w:val="left" w:pos="567"/>
        </w:tabs>
        <w:ind w:left="0" w:firstLine="0"/>
      </w:pPr>
      <w:r w:rsidRPr="00BA4F0F">
        <w:t>Стабильное соматическое состояние больного.</w:t>
      </w:r>
    </w:p>
    <w:p w14:paraId="5CD7C5CB" w14:textId="77777777" w:rsidR="00E83B26" w:rsidRPr="00BA4F0F" w:rsidRDefault="00E83B26" w:rsidP="00A555B2">
      <w:pPr>
        <w:numPr>
          <w:ilvl w:val="0"/>
          <w:numId w:val="171"/>
        </w:numPr>
        <w:tabs>
          <w:tab w:val="left" w:pos="0"/>
          <w:tab w:val="left" w:pos="567"/>
        </w:tabs>
        <w:ind w:left="0" w:firstLine="0"/>
      </w:pPr>
      <w:r w:rsidRPr="00BA4F0F">
        <w:t>Отрицательные результаты диагностических исследований.</w:t>
      </w:r>
    </w:p>
    <w:p w14:paraId="5CCBECFD" w14:textId="77777777" w:rsidR="00E83B26" w:rsidRPr="00BA4F0F" w:rsidRDefault="00E83B26" w:rsidP="00A555B2">
      <w:pPr>
        <w:numPr>
          <w:ilvl w:val="0"/>
          <w:numId w:val="171"/>
        </w:numPr>
        <w:tabs>
          <w:tab w:val="left" w:pos="0"/>
          <w:tab w:val="left" w:pos="567"/>
        </w:tabs>
        <w:ind w:left="0" w:firstLine="0"/>
      </w:pPr>
      <w:r w:rsidRPr="00BA4F0F">
        <w:t>Отсутствие новых симптомов инфекции после назначения антибиотиков.</w:t>
      </w:r>
    </w:p>
    <w:p w14:paraId="164F8380" w14:textId="77777777" w:rsidR="00E83B26" w:rsidRPr="00BA4F0F" w:rsidRDefault="00E83B26" w:rsidP="00A555B2">
      <w:pPr>
        <w:numPr>
          <w:ilvl w:val="0"/>
          <w:numId w:val="172"/>
        </w:numPr>
        <w:tabs>
          <w:tab w:val="left" w:pos="0"/>
          <w:tab w:val="left" w:pos="567"/>
        </w:tabs>
        <w:ind w:left="0" w:firstLine="0"/>
      </w:pPr>
      <w:r w:rsidRPr="00BA4F0F">
        <w:t>Возможные причины длительной лихорадки (более 4 суток):</w:t>
      </w:r>
    </w:p>
    <w:p w14:paraId="037473F6" w14:textId="77777777" w:rsidR="00E83B26" w:rsidRPr="00BA4F0F" w:rsidRDefault="00E83B26" w:rsidP="00A555B2">
      <w:pPr>
        <w:numPr>
          <w:ilvl w:val="0"/>
          <w:numId w:val="173"/>
        </w:numPr>
        <w:tabs>
          <w:tab w:val="left" w:pos="0"/>
          <w:tab w:val="left" w:pos="567"/>
        </w:tabs>
        <w:ind w:left="0" w:firstLine="0"/>
      </w:pPr>
      <w:r w:rsidRPr="00BA4F0F">
        <w:t>Не обнаружен очаг инфекции.</w:t>
      </w:r>
    </w:p>
    <w:p w14:paraId="25914929" w14:textId="77777777" w:rsidR="00E83B26" w:rsidRPr="00BA4F0F" w:rsidRDefault="00E83B26" w:rsidP="00A555B2">
      <w:pPr>
        <w:numPr>
          <w:ilvl w:val="0"/>
          <w:numId w:val="173"/>
        </w:numPr>
        <w:tabs>
          <w:tab w:val="left" w:pos="0"/>
          <w:tab w:val="left" w:pos="567"/>
        </w:tabs>
        <w:ind w:left="0" w:firstLine="0"/>
      </w:pPr>
      <w:r w:rsidRPr="00BA4F0F">
        <w:t>Наличие инфекции, вызванной другими возбудителями (не бактериями).</w:t>
      </w:r>
    </w:p>
    <w:p w14:paraId="51B0647D" w14:textId="77777777" w:rsidR="00E83B26" w:rsidRPr="00BA4F0F" w:rsidRDefault="00E83B26" w:rsidP="00A555B2">
      <w:pPr>
        <w:numPr>
          <w:ilvl w:val="0"/>
          <w:numId w:val="173"/>
        </w:numPr>
        <w:tabs>
          <w:tab w:val="left" w:pos="0"/>
          <w:tab w:val="left" w:pos="567"/>
        </w:tabs>
        <w:ind w:left="0" w:firstLine="0"/>
      </w:pPr>
      <w:r w:rsidRPr="00BA4F0F">
        <w:t>Бактериальная инфекция, вызванная резистентными микроорганизмами.</w:t>
      </w:r>
    </w:p>
    <w:p w14:paraId="770BEAE5" w14:textId="77777777" w:rsidR="00E83B26" w:rsidRPr="00BA4F0F" w:rsidRDefault="00E83B26" w:rsidP="00A555B2">
      <w:pPr>
        <w:numPr>
          <w:ilvl w:val="0"/>
          <w:numId w:val="173"/>
        </w:numPr>
        <w:tabs>
          <w:tab w:val="left" w:pos="0"/>
          <w:tab w:val="left" w:pos="567"/>
        </w:tabs>
        <w:ind w:left="0" w:firstLine="0"/>
      </w:pPr>
      <w:r w:rsidRPr="00BA4F0F">
        <w:t>Присоединение вторичной инфекции.</w:t>
      </w:r>
    </w:p>
    <w:p w14:paraId="1F3F4B14" w14:textId="77777777" w:rsidR="00E83B26" w:rsidRPr="00BA4F0F" w:rsidRDefault="00E83B26" w:rsidP="00A555B2">
      <w:pPr>
        <w:numPr>
          <w:ilvl w:val="0"/>
          <w:numId w:val="173"/>
        </w:numPr>
        <w:tabs>
          <w:tab w:val="left" w:pos="0"/>
          <w:tab w:val="left" w:pos="567"/>
        </w:tabs>
        <w:ind w:left="0" w:firstLine="0"/>
      </w:pPr>
      <w:r w:rsidRPr="00BA4F0F">
        <w:t>Лекарственная лихорадка.</w:t>
      </w:r>
    </w:p>
    <w:p w14:paraId="5A3009B8" w14:textId="77777777" w:rsidR="00E83B26" w:rsidRPr="00BA4F0F" w:rsidRDefault="00E83B26" w:rsidP="00A555B2">
      <w:pPr>
        <w:numPr>
          <w:ilvl w:val="0"/>
          <w:numId w:val="173"/>
        </w:numPr>
        <w:tabs>
          <w:tab w:val="left" w:pos="0"/>
          <w:tab w:val="left" w:pos="567"/>
        </w:tabs>
        <w:ind w:left="0" w:firstLine="0"/>
      </w:pPr>
      <w:r w:rsidRPr="00BA4F0F">
        <w:t>Недостаточная пенетрация антибиотиков в очаг поражения (например, при абсцессе).</w:t>
      </w:r>
    </w:p>
    <w:p w14:paraId="7FF1AE4F" w14:textId="77777777" w:rsidR="00E83B26" w:rsidRPr="00BA4F0F" w:rsidRDefault="00E83B26" w:rsidP="00A555B2">
      <w:pPr>
        <w:numPr>
          <w:ilvl w:val="0"/>
          <w:numId w:val="174"/>
        </w:numPr>
        <w:tabs>
          <w:tab w:val="left" w:pos="0"/>
          <w:tab w:val="left" w:pos="567"/>
        </w:tabs>
        <w:ind w:left="0" w:firstLine="0"/>
      </w:pPr>
      <w:r w:rsidRPr="00BA4F0F">
        <w:t>При лихорадке неясного генеза длительностью более 4 суток повторяют диагностические исследования. Обязательным в этот период является проведение КТ легких.</w:t>
      </w:r>
    </w:p>
    <w:p w14:paraId="75B8FE10" w14:textId="77777777" w:rsidR="00E83B26" w:rsidRPr="00BA4F0F" w:rsidRDefault="00E83B26" w:rsidP="00A555B2">
      <w:pPr>
        <w:numPr>
          <w:ilvl w:val="0"/>
          <w:numId w:val="174"/>
        </w:numPr>
        <w:tabs>
          <w:tab w:val="left" w:pos="0"/>
          <w:tab w:val="left" w:pos="567"/>
        </w:tabs>
        <w:ind w:left="0" w:firstLine="0"/>
      </w:pPr>
      <w:r w:rsidRPr="00BA4F0F">
        <w:t>Варианты модификации антимикробной терапии на 4-5 день фебрильной нейтропении (микробиологические исследование отрицательные, пневмонии по данным КТ нет, состояние стабильное):</w:t>
      </w:r>
    </w:p>
    <w:p w14:paraId="54F7A545" w14:textId="77777777" w:rsidR="00E83B26" w:rsidRPr="00BA4F0F" w:rsidRDefault="00E83B26" w:rsidP="00A555B2">
      <w:pPr>
        <w:numPr>
          <w:ilvl w:val="0"/>
          <w:numId w:val="175"/>
        </w:numPr>
        <w:tabs>
          <w:tab w:val="left" w:pos="0"/>
          <w:tab w:val="left" w:pos="567"/>
        </w:tabs>
        <w:ind w:left="0" w:firstLine="0"/>
      </w:pPr>
      <w:r w:rsidRPr="00BA4F0F">
        <w:t xml:space="preserve">Отменяют антибиотики первого этапа и назначают карбапенем (меропенем или имипенем/циластатин), если в течение всех 4—5 дней не было снижения температуры и имеется колонизация слизистой оболочки кишечника энтеробактериями с продукцией БЛРС. </w:t>
      </w:r>
    </w:p>
    <w:p w14:paraId="3B8C32D7" w14:textId="77777777" w:rsidR="00E83B26" w:rsidRPr="00BA4F0F" w:rsidRDefault="00E83B26" w:rsidP="00A555B2">
      <w:pPr>
        <w:numPr>
          <w:ilvl w:val="0"/>
          <w:numId w:val="175"/>
        </w:numPr>
        <w:tabs>
          <w:tab w:val="left" w:pos="0"/>
          <w:tab w:val="left" w:pos="567"/>
        </w:tabs>
        <w:ind w:left="0" w:firstLine="0"/>
      </w:pPr>
      <w:r w:rsidRPr="00BA4F0F">
        <w:t xml:space="preserve">Добавляют ванкомицин, линезолид, тедизолид или даптомицин к антибиотикам первого этапа при симптомах мукозита </w:t>
      </w:r>
      <w:r w:rsidRPr="00BA4F0F">
        <w:rPr>
          <w:lang w:val="en-US"/>
        </w:rPr>
        <w:t>III</w:t>
      </w:r>
      <w:r w:rsidRPr="00BA4F0F">
        <w:t>-</w:t>
      </w:r>
      <w:r w:rsidRPr="00BA4F0F">
        <w:rPr>
          <w:lang w:val="en-US"/>
        </w:rPr>
        <w:t>IV</w:t>
      </w:r>
      <w:r w:rsidRPr="00BA4F0F">
        <w:t xml:space="preserve"> степени. </w:t>
      </w:r>
    </w:p>
    <w:p w14:paraId="0C8735BB" w14:textId="77777777" w:rsidR="00E83B26" w:rsidRPr="00BA4F0F" w:rsidRDefault="00E83B26" w:rsidP="00A555B2">
      <w:pPr>
        <w:numPr>
          <w:ilvl w:val="0"/>
          <w:numId w:val="176"/>
        </w:numPr>
        <w:tabs>
          <w:tab w:val="left" w:pos="0"/>
          <w:tab w:val="left" w:pos="567"/>
        </w:tabs>
        <w:ind w:left="0" w:firstLine="0"/>
      </w:pPr>
      <w:r w:rsidRPr="00BA4F0F">
        <w:t>Ванкомицин: по 1 г 2 раза в сутки.</w:t>
      </w:r>
    </w:p>
    <w:p w14:paraId="3A24EF52" w14:textId="77777777" w:rsidR="00E83B26" w:rsidRPr="00BA4F0F" w:rsidRDefault="00E83B26" w:rsidP="00A555B2">
      <w:pPr>
        <w:numPr>
          <w:ilvl w:val="0"/>
          <w:numId w:val="176"/>
        </w:numPr>
        <w:tabs>
          <w:tab w:val="left" w:pos="0"/>
          <w:tab w:val="left" w:pos="567"/>
        </w:tabs>
        <w:ind w:left="0" w:firstLine="0"/>
      </w:pPr>
      <w:r w:rsidRPr="00BA4F0F">
        <w:t>Тедизолид: по 0,2 г 1 раз в сутки.</w:t>
      </w:r>
    </w:p>
    <w:p w14:paraId="35FDF2F5" w14:textId="77777777" w:rsidR="00E83B26" w:rsidRPr="00BA4F0F" w:rsidRDefault="00E83B26" w:rsidP="00A555B2">
      <w:pPr>
        <w:numPr>
          <w:ilvl w:val="0"/>
          <w:numId w:val="176"/>
        </w:numPr>
        <w:tabs>
          <w:tab w:val="left" w:pos="0"/>
          <w:tab w:val="left" w:pos="567"/>
        </w:tabs>
        <w:ind w:left="0" w:firstLine="0"/>
      </w:pPr>
      <w:r w:rsidRPr="00BA4F0F">
        <w:t>Даптомицин: по 8-10 мг/кг 1 раз в сутки.</w:t>
      </w:r>
    </w:p>
    <w:p w14:paraId="6A5E767F" w14:textId="77777777" w:rsidR="00E83B26" w:rsidRPr="00BA4F0F" w:rsidRDefault="00E83B26" w:rsidP="00A555B2">
      <w:pPr>
        <w:numPr>
          <w:ilvl w:val="0"/>
          <w:numId w:val="175"/>
        </w:numPr>
        <w:tabs>
          <w:tab w:val="left" w:pos="0"/>
          <w:tab w:val="left" w:pos="567"/>
        </w:tabs>
        <w:ind w:left="0" w:firstLine="0"/>
      </w:pPr>
      <w:r w:rsidRPr="00BA4F0F">
        <w:t>Добавляют каспофунгин (или микафунгин) к антибиотикам первого этапа, если наблюдалось снижение температуры до нормальных значений (исключить назначение анальгина и других жаропонижающих средств), а затем (на следующий день или через день) — вновь повышение до прежних высоких значений.</w:t>
      </w:r>
    </w:p>
    <w:p w14:paraId="44F4C9A4" w14:textId="77777777" w:rsidR="00E83B26" w:rsidRPr="00BA4F0F" w:rsidRDefault="00E83B26" w:rsidP="00A555B2">
      <w:pPr>
        <w:numPr>
          <w:ilvl w:val="0"/>
          <w:numId w:val="177"/>
        </w:numPr>
        <w:tabs>
          <w:tab w:val="left" w:pos="0"/>
          <w:tab w:val="left" w:pos="567"/>
        </w:tabs>
        <w:ind w:left="0" w:firstLine="0"/>
      </w:pPr>
      <w:r w:rsidRPr="00BA4F0F">
        <w:t>Каспофунгин: в первый день 70 мг, далее по 50 мг 1 раз в сутки.</w:t>
      </w:r>
    </w:p>
    <w:p w14:paraId="7DE87ACE" w14:textId="77777777" w:rsidR="00E83B26" w:rsidRPr="00BA4F0F" w:rsidRDefault="00E83B26" w:rsidP="00A555B2">
      <w:pPr>
        <w:numPr>
          <w:ilvl w:val="0"/>
          <w:numId w:val="175"/>
        </w:numPr>
        <w:tabs>
          <w:tab w:val="left" w:pos="0"/>
          <w:tab w:val="left" w:pos="567"/>
        </w:tabs>
        <w:ind w:left="0" w:firstLine="0"/>
      </w:pPr>
      <w:r w:rsidRPr="00BA4F0F">
        <w:t>Добавляют флуконазол при наличии орофарингиального кандидоза.</w:t>
      </w:r>
    </w:p>
    <w:p w14:paraId="5ABC360F" w14:textId="77777777" w:rsidR="00E83B26" w:rsidRPr="00BA4F0F" w:rsidRDefault="00E83B26" w:rsidP="00A555B2">
      <w:pPr>
        <w:numPr>
          <w:ilvl w:val="0"/>
          <w:numId w:val="178"/>
        </w:numPr>
        <w:tabs>
          <w:tab w:val="left" w:pos="0"/>
          <w:tab w:val="left" w:pos="567"/>
        </w:tabs>
        <w:ind w:left="0" w:firstLine="0"/>
      </w:pPr>
      <w:r w:rsidRPr="00BA4F0F">
        <w:t>Флуконазол: по 400 мг 1 раз в сутки.</w:t>
      </w:r>
    </w:p>
    <w:p w14:paraId="0172B5CB" w14:textId="77777777" w:rsidR="00E83B26" w:rsidRPr="00BA4F0F" w:rsidRDefault="00E83B26" w:rsidP="00A555B2">
      <w:pPr>
        <w:numPr>
          <w:ilvl w:val="0"/>
          <w:numId w:val="175"/>
        </w:numPr>
        <w:tabs>
          <w:tab w:val="left" w:pos="0"/>
          <w:tab w:val="left" w:pos="567"/>
        </w:tabs>
        <w:ind w:left="0" w:firstLine="0"/>
      </w:pPr>
      <w:r w:rsidRPr="00BA4F0F">
        <w:t xml:space="preserve">Добавляют каспофунгин (или микафунгин) больным с персистирующей фебрильной нейтропенией и выделением </w:t>
      </w:r>
      <w:r w:rsidRPr="00BA4F0F">
        <w:rPr>
          <w:i/>
        </w:rPr>
        <w:t>Candida spp.</w:t>
      </w:r>
      <w:r w:rsidRPr="00BA4F0F">
        <w:t xml:space="preserve"> со слизистой оболочки ротоглотки и кишечника или из мочи. </w:t>
      </w:r>
    </w:p>
    <w:p w14:paraId="28B4E625" w14:textId="77777777" w:rsidR="00E83B26" w:rsidRPr="00BA4F0F" w:rsidRDefault="00E83B26" w:rsidP="00A555B2">
      <w:pPr>
        <w:numPr>
          <w:ilvl w:val="0"/>
          <w:numId w:val="175"/>
        </w:numPr>
        <w:tabs>
          <w:tab w:val="left" w:pos="0"/>
          <w:tab w:val="left" w:pos="567"/>
        </w:tabs>
        <w:ind w:left="0" w:firstLine="0"/>
      </w:pPr>
      <w:r w:rsidRPr="00BA4F0F">
        <w:t>Добавляют вориконазол при пневмонии, резистентной к лечению антибиотиками, больным с гранулоцитопенией длительностью более 10 дней или получающим глюкокортикоиды, если не выявлены другие потенциальные возбудители пневмонии.</w:t>
      </w:r>
    </w:p>
    <w:p w14:paraId="3EEDD22A" w14:textId="77777777" w:rsidR="00E83B26" w:rsidRPr="00BA4F0F" w:rsidRDefault="00E83B26" w:rsidP="00A555B2">
      <w:pPr>
        <w:numPr>
          <w:ilvl w:val="0"/>
          <w:numId w:val="179"/>
        </w:numPr>
        <w:tabs>
          <w:tab w:val="left" w:pos="0"/>
          <w:tab w:val="left" w:pos="567"/>
        </w:tabs>
        <w:ind w:left="0" w:firstLine="0"/>
      </w:pPr>
      <w:r w:rsidRPr="00BA4F0F">
        <w:t>Вориконазол: в первый день 6 мг/кг 2 раза в сутки, далее по 3 мг/кг 2 раза в сутки</w:t>
      </w:r>
    </w:p>
    <w:p w14:paraId="44A4677E" w14:textId="77777777" w:rsidR="00E83B26" w:rsidRPr="00BA4F0F" w:rsidRDefault="00E83B26" w:rsidP="00E83B26">
      <w:pPr>
        <w:pStyle w:val="afe"/>
        <w:ind w:left="0"/>
        <w:rPr>
          <w:rFonts w:cs="Times New Roman"/>
          <w:b/>
          <w:i/>
          <w:szCs w:val="24"/>
        </w:rPr>
      </w:pPr>
    </w:p>
    <w:p w14:paraId="722320D7" w14:textId="77777777" w:rsidR="00E83B26" w:rsidRPr="00BA4F0F" w:rsidRDefault="00E83B26" w:rsidP="00E83B26">
      <w:pPr>
        <w:pStyle w:val="afe"/>
        <w:ind w:left="0"/>
        <w:rPr>
          <w:rFonts w:cs="Times New Roman"/>
          <w:b/>
          <w:i/>
          <w:szCs w:val="24"/>
        </w:rPr>
      </w:pPr>
      <w:r w:rsidRPr="00BA4F0F">
        <w:rPr>
          <w:rFonts w:cs="Times New Roman"/>
          <w:b/>
          <w:i/>
          <w:szCs w:val="24"/>
        </w:rPr>
        <w:t>Модификация антимикробной терапии в более ранние сроки</w:t>
      </w:r>
    </w:p>
    <w:p w14:paraId="48AFD0AA" w14:textId="77777777" w:rsidR="00E83B26" w:rsidRPr="00BA4F0F" w:rsidRDefault="00E83B26" w:rsidP="00E83B26">
      <w:pPr>
        <w:tabs>
          <w:tab w:val="left" w:pos="0"/>
          <w:tab w:val="left" w:pos="567"/>
        </w:tabs>
      </w:pPr>
      <w:r w:rsidRPr="00BA4F0F">
        <w:t>Модификацию антимикробной терапии в более ранние сроки (2—3-й день эмпирической антимикробной терапии) проводят на основании клинических и/или микробиологических данных.</w:t>
      </w:r>
    </w:p>
    <w:p w14:paraId="1BE4EDA4" w14:textId="77777777" w:rsidR="00E83B26" w:rsidRPr="00BA4F0F" w:rsidRDefault="00E83B26" w:rsidP="00E83B26">
      <w:pPr>
        <w:pStyle w:val="afe"/>
        <w:ind w:left="0"/>
        <w:rPr>
          <w:rFonts w:cs="Times New Roman"/>
          <w:b/>
          <w:i/>
          <w:szCs w:val="24"/>
        </w:rPr>
      </w:pPr>
    </w:p>
    <w:p w14:paraId="387D64ED" w14:textId="77777777" w:rsidR="00E83B26" w:rsidRPr="00BA4F0F" w:rsidRDefault="00E83B26" w:rsidP="00E83B26">
      <w:pPr>
        <w:pStyle w:val="afe"/>
        <w:ind w:left="0"/>
        <w:rPr>
          <w:rFonts w:cs="Times New Roman"/>
          <w:b/>
          <w:i/>
          <w:szCs w:val="24"/>
        </w:rPr>
      </w:pPr>
      <w:r w:rsidRPr="00BA4F0F">
        <w:rPr>
          <w:rFonts w:cs="Times New Roman"/>
          <w:b/>
          <w:i/>
          <w:szCs w:val="24"/>
        </w:rPr>
        <w:t>Артериальная гипотония, клиника септического шока</w:t>
      </w:r>
    </w:p>
    <w:p w14:paraId="3D95A25A" w14:textId="77777777" w:rsidR="00E83B26" w:rsidRPr="00BA4F0F" w:rsidRDefault="00E83B26" w:rsidP="00A555B2">
      <w:pPr>
        <w:numPr>
          <w:ilvl w:val="0"/>
          <w:numId w:val="180"/>
        </w:numPr>
        <w:tabs>
          <w:tab w:val="left" w:pos="0"/>
          <w:tab w:val="left" w:pos="567"/>
        </w:tabs>
        <w:ind w:left="0" w:firstLine="0"/>
      </w:pPr>
      <w:r w:rsidRPr="00BA4F0F">
        <w:t>Вместо цефалоспорина назначают карбапенем — меропенем, имипенем/циластатин или дорипенем.</w:t>
      </w:r>
    </w:p>
    <w:p w14:paraId="308230C3" w14:textId="77777777" w:rsidR="00E83B26" w:rsidRPr="00BA4F0F" w:rsidRDefault="00E83B26" w:rsidP="00E83B26">
      <w:pPr>
        <w:tabs>
          <w:tab w:val="left" w:pos="0"/>
          <w:tab w:val="left" w:pos="567"/>
        </w:tabs>
      </w:pPr>
    </w:p>
    <w:p w14:paraId="0D95690F" w14:textId="77777777" w:rsidR="00E83B26" w:rsidRPr="00BA4F0F" w:rsidRDefault="00E83B26" w:rsidP="00E83B26">
      <w:pPr>
        <w:pStyle w:val="afe"/>
        <w:ind w:left="0"/>
        <w:rPr>
          <w:rFonts w:cs="Times New Roman"/>
          <w:b/>
          <w:i/>
          <w:szCs w:val="24"/>
        </w:rPr>
      </w:pPr>
      <w:r w:rsidRPr="00BA4F0F">
        <w:rPr>
          <w:rFonts w:cs="Times New Roman"/>
          <w:b/>
          <w:i/>
          <w:szCs w:val="24"/>
        </w:rPr>
        <w:t>Развитие пневмонии в течение первых 2—3 дней фебрильной нейтропении</w:t>
      </w:r>
    </w:p>
    <w:p w14:paraId="37EC0B1D" w14:textId="77777777" w:rsidR="00E83B26" w:rsidRPr="00BA4F0F" w:rsidRDefault="00E83B26" w:rsidP="00A555B2">
      <w:pPr>
        <w:numPr>
          <w:ilvl w:val="0"/>
          <w:numId w:val="180"/>
        </w:numPr>
        <w:tabs>
          <w:tab w:val="left" w:pos="0"/>
          <w:tab w:val="left" w:pos="567"/>
        </w:tabs>
        <w:ind w:left="0" w:firstLine="0"/>
      </w:pPr>
      <w:r w:rsidRPr="00BA4F0F">
        <w:t>При стабильной ситуации проводят БАЛ и дальнейшую модификацию антимикробной терапии осуществляют в соответствии с результатами микробиологического исследования.</w:t>
      </w:r>
    </w:p>
    <w:p w14:paraId="757326E2" w14:textId="77777777" w:rsidR="00E83B26" w:rsidRPr="00BA4F0F" w:rsidRDefault="00E83B26" w:rsidP="00A555B2">
      <w:pPr>
        <w:numPr>
          <w:ilvl w:val="0"/>
          <w:numId w:val="180"/>
        </w:numPr>
        <w:tabs>
          <w:tab w:val="left" w:pos="0"/>
          <w:tab w:val="left" w:pos="567"/>
        </w:tabs>
        <w:ind w:left="0" w:firstLine="0"/>
      </w:pPr>
      <w:r w:rsidRPr="00BA4F0F">
        <w:t>При нестабильном соматическом состоянии или невозможности выполнения БАЛ назначают карбапенем (меропенем, имипенем/циластатин илиьдорипенем) и отменяют антибиотики первого этапа.</w:t>
      </w:r>
    </w:p>
    <w:p w14:paraId="5DA793A7" w14:textId="77777777" w:rsidR="00E83B26" w:rsidRPr="00BA4F0F" w:rsidRDefault="00E83B26" w:rsidP="00E83B26">
      <w:pPr>
        <w:tabs>
          <w:tab w:val="left" w:pos="0"/>
          <w:tab w:val="left" w:pos="567"/>
        </w:tabs>
        <w:rPr>
          <w:b/>
        </w:rPr>
      </w:pPr>
    </w:p>
    <w:p w14:paraId="00D848B6" w14:textId="77777777" w:rsidR="00E83B26" w:rsidRPr="00BA4F0F" w:rsidRDefault="00E83B26" w:rsidP="00E83B26">
      <w:pPr>
        <w:pStyle w:val="afe"/>
        <w:ind w:left="0"/>
        <w:rPr>
          <w:rFonts w:cs="Times New Roman"/>
          <w:b/>
          <w:i/>
          <w:szCs w:val="24"/>
        </w:rPr>
      </w:pPr>
      <w:r w:rsidRPr="00BA4F0F">
        <w:rPr>
          <w:rFonts w:cs="Times New Roman"/>
          <w:b/>
          <w:i/>
          <w:szCs w:val="24"/>
        </w:rPr>
        <w:t>Появление септикопиемических очагов на коже</w:t>
      </w:r>
    </w:p>
    <w:p w14:paraId="046A15D5" w14:textId="77777777" w:rsidR="00E83B26" w:rsidRPr="00BA4F0F" w:rsidRDefault="00E83B26" w:rsidP="00E83B26">
      <w:pPr>
        <w:tabs>
          <w:tab w:val="left" w:pos="0"/>
          <w:tab w:val="left" w:pos="567"/>
        </w:tabs>
      </w:pPr>
      <w:r w:rsidRPr="00BA4F0F">
        <w:t>Вместо цефалоспорина назначают карбапенем — меропенем, имипенем/циластатин или дорипенем.</w:t>
      </w:r>
    </w:p>
    <w:p w14:paraId="74D44A31" w14:textId="77777777" w:rsidR="00E83B26" w:rsidRPr="00BA4F0F" w:rsidRDefault="00E83B26" w:rsidP="00E83B26">
      <w:pPr>
        <w:tabs>
          <w:tab w:val="left" w:pos="0"/>
          <w:tab w:val="left" w:pos="567"/>
        </w:tabs>
        <w:rPr>
          <w:b/>
        </w:rPr>
      </w:pPr>
    </w:p>
    <w:p w14:paraId="0F2F3FE2" w14:textId="77777777" w:rsidR="00E83B26" w:rsidRPr="00BA4F0F" w:rsidRDefault="00E83B26" w:rsidP="00E83B26">
      <w:pPr>
        <w:pStyle w:val="afe"/>
        <w:ind w:left="0"/>
        <w:rPr>
          <w:rFonts w:cs="Times New Roman"/>
          <w:b/>
          <w:i/>
          <w:szCs w:val="24"/>
        </w:rPr>
      </w:pPr>
      <w:r w:rsidRPr="00BA4F0F">
        <w:rPr>
          <w:rFonts w:cs="Times New Roman"/>
          <w:b/>
          <w:i/>
          <w:szCs w:val="24"/>
        </w:rPr>
        <w:t>При выделении из крови грамотрицательных микробов (микроскопия)</w:t>
      </w:r>
    </w:p>
    <w:p w14:paraId="22B281EB" w14:textId="77777777" w:rsidR="00E83B26" w:rsidRPr="00BA4F0F" w:rsidRDefault="00E83B26" w:rsidP="00A555B2">
      <w:pPr>
        <w:numPr>
          <w:ilvl w:val="0"/>
          <w:numId w:val="181"/>
        </w:numPr>
        <w:tabs>
          <w:tab w:val="left" w:pos="0"/>
          <w:tab w:val="left" w:pos="567"/>
        </w:tabs>
        <w:ind w:left="0" w:firstLine="0"/>
      </w:pPr>
      <w:r w:rsidRPr="00BA4F0F">
        <w:t>Оставляют прежние антибиотики при стабильном соматическом состоянии (нет ухудшения) до идентификации бактерий и определения их антибиотикочувствительности.</w:t>
      </w:r>
    </w:p>
    <w:p w14:paraId="352ECC6B" w14:textId="77777777" w:rsidR="00E83B26" w:rsidRPr="00BA4F0F" w:rsidRDefault="00E83B26" w:rsidP="00A555B2">
      <w:pPr>
        <w:numPr>
          <w:ilvl w:val="0"/>
          <w:numId w:val="181"/>
        </w:numPr>
        <w:tabs>
          <w:tab w:val="left" w:pos="0"/>
          <w:tab w:val="left" w:pos="567"/>
        </w:tabs>
        <w:ind w:left="0" w:firstLine="0"/>
      </w:pPr>
      <w:r w:rsidRPr="00BA4F0F">
        <w:t>Проводят замену на карбапенем (меропенем или имипенем/циластатин) при ухудшении клинического состояния (например, повышение температуры, появление ознобов, развитие пневмонии и др.).</w:t>
      </w:r>
    </w:p>
    <w:p w14:paraId="5F64F99D" w14:textId="77777777" w:rsidR="00E83B26" w:rsidRPr="00BA4F0F" w:rsidRDefault="00E83B26" w:rsidP="00E83B26">
      <w:pPr>
        <w:tabs>
          <w:tab w:val="left" w:pos="0"/>
          <w:tab w:val="left" w:pos="567"/>
        </w:tabs>
        <w:rPr>
          <w:b/>
        </w:rPr>
      </w:pPr>
    </w:p>
    <w:p w14:paraId="3FC8E695" w14:textId="77777777" w:rsidR="00E83B26" w:rsidRPr="00BA4F0F" w:rsidRDefault="00E83B26" w:rsidP="00E83B26">
      <w:pPr>
        <w:pStyle w:val="afe"/>
        <w:ind w:left="0"/>
        <w:rPr>
          <w:rFonts w:cs="Times New Roman"/>
          <w:b/>
          <w:i/>
          <w:szCs w:val="24"/>
        </w:rPr>
      </w:pPr>
      <w:r w:rsidRPr="00BA4F0F">
        <w:rPr>
          <w:rFonts w:cs="Times New Roman"/>
          <w:b/>
          <w:i/>
          <w:szCs w:val="24"/>
        </w:rPr>
        <w:t>При выделении из крови грамположительных бактерий (микроскопия)</w:t>
      </w:r>
    </w:p>
    <w:p w14:paraId="1942C736" w14:textId="77777777" w:rsidR="00E83B26" w:rsidRPr="00BA4F0F" w:rsidRDefault="00E83B26" w:rsidP="00A555B2">
      <w:pPr>
        <w:numPr>
          <w:ilvl w:val="0"/>
          <w:numId w:val="182"/>
        </w:numPr>
        <w:tabs>
          <w:tab w:val="left" w:pos="0"/>
          <w:tab w:val="left" w:pos="567"/>
        </w:tabs>
        <w:ind w:left="0" w:firstLine="0"/>
      </w:pPr>
      <w:r w:rsidRPr="00BA4F0F">
        <w:t>Добавляют даптомицин (в дозе 10 мг/кг 1 раз в сутки) или ванкомицин при сепсисе, появлении септикопиемических отсевов на коже, ухудшении соматического состояния пациента, повторном выделении грамположительных бактерий из крови. Препаратом выбора в лечении инфекций кровотока, вызванных грамположительными бактериями, является даптомицин.</w:t>
      </w:r>
    </w:p>
    <w:p w14:paraId="31E1175E" w14:textId="77777777" w:rsidR="00E83B26" w:rsidRPr="00BA4F0F" w:rsidRDefault="00E83B26" w:rsidP="00A555B2">
      <w:pPr>
        <w:numPr>
          <w:ilvl w:val="0"/>
          <w:numId w:val="182"/>
        </w:numPr>
        <w:tabs>
          <w:tab w:val="left" w:pos="0"/>
          <w:tab w:val="left" w:pos="567"/>
        </w:tabs>
        <w:ind w:left="0" w:firstLine="0"/>
      </w:pPr>
      <w:r w:rsidRPr="00BA4F0F">
        <w:t xml:space="preserve">Добавляют линезолид (по 600 мг 2 раза в сутки), если у больного выделены из гемокультуры стрептококки группы </w:t>
      </w:r>
      <w:r w:rsidRPr="00BA4F0F">
        <w:rPr>
          <w:i/>
        </w:rPr>
        <w:t xml:space="preserve">viridans </w:t>
      </w:r>
      <w:r w:rsidRPr="00BA4F0F">
        <w:t xml:space="preserve">и присоединилась пневмония. </w:t>
      </w:r>
    </w:p>
    <w:p w14:paraId="234A4632" w14:textId="77777777" w:rsidR="00E83B26" w:rsidRPr="00BA4F0F" w:rsidRDefault="00E83B26" w:rsidP="00A555B2">
      <w:pPr>
        <w:numPr>
          <w:ilvl w:val="0"/>
          <w:numId w:val="182"/>
        </w:numPr>
        <w:tabs>
          <w:tab w:val="left" w:pos="0"/>
          <w:tab w:val="left" w:pos="567"/>
        </w:tabs>
        <w:ind w:left="0" w:firstLine="0"/>
      </w:pPr>
      <w:r w:rsidRPr="00BA4F0F">
        <w:t>Оставляют антимикробную терапию прежней до получения результатов микробиологического исследования (идентификация вида возбудителя, определение его чувствительности к антибиотикам) при стабильном соматическом состоянии больного (температура прежняя).</w:t>
      </w:r>
    </w:p>
    <w:p w14:paraId="7373A5DB" w14:textId="77777777" w:rsidR="00E83B26" w:rsidRPr="00BA4F0F" w:rsidRDefault="00E83B26" w:rsidP="00E83B26">
      <w:pPr>
        <w:tabs>
          <w:tab w:val="left" w:pos="0"/>
          <w:tab w:val="left" w:pos="567"/>
        </w:tabs>
        <w:rPr>
          <w:b/>
        </w:rPr>
      </w:pPr>
    </w:p>
    <w:p w14:paraId="36AEBD84" w14:textId="77777777" w:rsidR="00E83B26" w:rsidRPr="00BA4F0F" w:rsidRDefault="00E83B26" w:rsidP="00E83B26">
      <w:pPr>
        <w:pStyle w:val="afe"/>
        <w:ind w:left="0"/>
        <w:rPr>
          <w:rFonts w:cs="Times New Roman"/>
          <w:b/>
          <w:i/>
          <w:szCs w:val="24"/>
        </w:rPr>
      </w:pPr>
      <w:r w:rsidRPr="00BA4F0F">
        <w:rPr>
          <w:rFonts w:cs="Times New Roman"/>
          <w:b/>
          <w:i/>
          <w:szCs w:val="24"/>
        </w:rPr>
        <w:t xml:space="preserve">Инфекция, вызванная энтеробактериями с продукцией БЛРС </w:t>
      </w:r>
    </w:p>
    <w:p w14:paraId="68A94DA3" w14:textId="77777777" w:rsidR="00E83B26" w:rsidRPr="00BA4F0F" w:rsidRDefault="00E83B26" w:rsidP="00A555B2">
      <w:pPr>
        <w:numPr>
          <w:ilvl w:val="0"/>
          <w:numId w:val="183"/>
        </w:numPr>
        <w:tabs>
          <w:tab w:val="left" w:pos="0"/>
          <w:tab w:val="left" w:pos="567"/>
        </w:tabs>
        <w:ind w:left="0" w:firstLine="0"/>
      </w:pPr>
      <w:r w:rsidRPr="00BA4F0F">
        <w:t>Препарата выбора – карбапенем (меропенем, имипенем/циластатин или дорипенем).</w:t>
      </w:r>
    </w:p>
    <w:p w14:paraId="42145A81" w14:textId="77777777" w:rsidR="00E83B26" w:rsidRPr="00BA4F0F" w:rsidRDefault="00E83B26" w:rsidP="00A555B2">
      <w:pPr>
        <w:numPr>
          <w:ilvl w:val="0"/>
          <w:numId w:val="183"/>
        </w:numPr>
        <w:tabs>
          <w:tab w:val="left" w:pos="0"/>
          <w:tab w:val="left" w:pos="567"/>
        </w:tabs>
        <w:ind w:left="0" w:firstLine="0"/>
      </w:pPr>
      <w:r w:rsidRPr="00BA4F0F">
        <w:t>При неэффективности (появление септикопиемических очагов на коже или пневмонии или повышение температуры с ознобом) используют продленную инфузию или добавляют амикацин.</w:t>
      </w:r>
    </w:p>
    <w:p w14:paraId="21E0DD1C" w14:textId="77777777" w:rsidR="00E83B26" w:rsidRPr="00BA4F0F" w:rsidRDefault="00E83B26" w:rsidP="00A555B2">
      <w:pPr>
        <w:numPr>
          <w:ilvl w:val="0"/>
          <w:numId w:val="185"/>
        </w:numPr>
        <w:tabs>
          <w:tab w:val="left" w:pos="0"/>
          <w:tab w:val="left" w:pos="567"/>
        </w:tabs>
        <w:ind w:left="0" w:firstLine="0"/>
      </w:pPr>
      <w:r w:rsidRPr="00BA4F0F">
        <w:t xml:space="preserve">Меропенем по 2 г 3 раза в сутки, введение каждой дозы в течение 3 часов. </w:t>
      </w:r>
    </w:p>
    <w:p w14:paraId="4A8F3145" w14:textId="77777777" w:rsidR="00E83B26" w:rsidRPr="00BA4F0F" w:rsidRDefault="00E83B26" w:rsidP="00A555B2">
      <w:pPr>
        <w:numPr>
          <w:ilvl w:val="0"/>
          <w:numId w:val="185"/>
        </w:numPr>
        <w:tabs>
          <w:tab w:val="left" w:pos="0"/>
          <w:tab w:val="left" w:pos="567"/>
        </w:tabs>
        <w:ind w:left="0" w:firstLine="0"/>
      </w:pPr>
      <w:r w:rsidRPr="00BA4F0F">
        <w:t>Амикацин: по 15 мг/кг 1 раз в сутки.</w:t>
      </w:r>
    </w:p>
    <w:p w14:paraId="72620373" w14:textId="77777777" w:rsidR="00E83B26" w:rsidRPr="00BA4F0F" w:rsidRDefault="00E83B26" w:rsidP="00A555B2">
      <w:pPr>
        <w:numPr>
          <w:ilvl w:val="0"/>
          <w:numId w:val="184"/>
        </w:numPr>
        <w:tabs>
          <w:tab w:val="left" w:pos="0"/>
          <w:tab w:val="left" w:pos="567"/>
        </w:tabs>
        <w:ind w:left="0" w:firstLine="0"/>
      </w:pPr>
      <w:r w:rsidRPr="00BA4F0F">
        <w:t xml:space="preserve">Больным вне нейтропении, особенно при инфекции мочевыводящих путей, допустимо назначить эртапенем (в дозе 1 г 1 раз в сутки). </w:t>
      </w:r>
    </w:p>
    <w:p w14:paraId="352B3562" w14:textId="77777777" w:rsidR="00E83B26" w:rsidRPr="00BA4F0F" w:rsidRDefault="00E83B26" w:rsidP="00E83B26">
      <w:pPr>
        <w:tabs>
          <w:tab w:val="left" w:pos="0"/>
          <w:tab w:val="left" w:pos="567"/>
        </w:tabs>
        <w:rPr>
          <w:b/>
        </w:rPr>
      </w:pPr>
    </w:p>
    <w:p w14:paraId="55ABCBF0" w14:textId="77777777" w:rsidR="00E83B26" w:rsidRPr="00BA4F0F" w:rsidRDefault="00E83B26" w:rsidP="00E83B26">
      <w:pPr>
        <w:pStyle w:val="afe"/>
        <w:ind w:left="0"/>
        <w:rPr>
          <w:rFonts w:cs="Times New Roman"/>
          <w:b/>
          <w:i/>
          <w:szCs w:val="24"/>
        </w:rPr>
      </w:pPr>
      <w:r w:rsidRPr="00BA4F0F">
        <w:rPr>
          <w:rFonts w:cs="Times New Roman"/>
          <w:b/>
          <w:i/>
          <w:szCs w:val="24"/>
        </w:rPr>
        <w:t>Инфекция, вызванная энтеробактериями с продукцией карбапенемаз</w:t>
      </w:r>
    </w:p>
    <w:p w14:paraId="3ABBA023" w14:textId="77777777" w:rsidR="00E83B26" w:rsidRPr="00BA4F0F" w:rsidRDefault="00E83B26" w:rsidP="00A555B2">
      <w:pPr>
        <w:numPr>
          <w:ilvl w:val="0"/>
          <w:numId w:val="186"/>
        </w:numPr>
        <w:tabs>
          <w:tab w:val="left" w:pos="0"/>
          <w:tab w:val="left" w:pos="567"/>
        </w:tabs>
        <w:ind w:left="0" w:firstLine="0"/>
      </w:pPr>
      <w:r w:rsidRPr="00BA4F0F">
        <w:t xml:space="preserve">Характеризируются тяжелым течением, отсутствием эффективных препаратов, использованием комбинаций антибактериальных препаратов, высокой летальностью. </w:t>
      </w:r>
    </w:p>
    <w:p w14:paraId="4AFB3269" w14:textId="77777777" w:rsidR="00E83B26" w:rsidRPr="00BA4F0F" w:rsidRDefault="00E83B26" w:rsidP="00A555B2">
      <w:pPr>
        <w:numPr>
          <w:ilvl w:val="0"/>
          <w:numId w:val="186"/>
        </w:numPr>
        <w:tabs>
          <w:tab w:val="left" w:pos="0"/>
          <w:tab w:val="left" w:pos="567"/>
        </w:tabs>
        <w:ind w:left="0" w:firstLine="0"/>
      </w:pPr>
      <w:r w:rsidRPr="00BA4F0F">
        <w:t>Используемые антимикробные препараты:</w:t>
      </w:r>
    </w:p>
    <w:p w14:paraId="21C9BBDD" w14:textId="77777777" w:rsidR="00E83B26" w:rsidRPr="00BA4F0F" w:rsidRDefault="00E83B26" w:rsidP="00A555B2">
      <w:pPr>
        <w:numPr>
          <w:ilvl w:val="0"/>
          <w:numId w:val="187"/>
        </w:numPr>
        <w:tabs>
          <w:tab w:val="left" w:pos="0"/>
          <w:tab w:val="left" w:pos="567"/>
        </w:tabs>
        <w:ind w:left="0" w:firstLine="0"/>
      </w:pPr>
      <w:r w:rsidRPr="00BA4F0F">
        <w:t xml:space="preserve">Меропенем (продленная инфузия). </w:t>
      </w:r>
    </w:p>
    <w:p w14:paraId="5338DF55" w14:textId="77777777" w:rsidR="00E83B26" w:rsidRPr="00BA4F0F" w:rsidRDefault="00E83B26" w:rsidP="00A555B2">
      <w:pPr>
        <w:numPr>
          <w:ilvl w:val="0"/>
          <w:numId w:val="187"/>
        </w:numPr>
        <w:tabs>
          <w:tab w:val="left" w:pos="0"/>
          <w:tab w:val="left" w:pos="567"/>
        </w:tabs>
        <w:ind w:left="0" w:firstLine="0"/>
      </w:pPr>
      <w:r w:rsidRPr="00BA4F0F">
        <w:t>Гентамицин по 5-7 мг/кг 1 раз в сутки или 1,5-2 мг/кг каждые 8 часов, при этом 1-ая доза составляет 2-3 мг/кг. Не применяют в монотерапии.</w:t>
      </w:r>
    </w:p>
    <w:p w14:paraId="47DC95BF" w14:textId="77777777" w:rsidR="00E83B26" w:rsidRPr="00BA4F0F" w:rsidRDefault="00E83B26" w:rsidP="00A555B2">
      <w:pPr>
        <w:numPr>
          <w:ilvl w:val="0"/>
          <w:numId w:val="187"/>
        </w:numPr>
        <w:tabs>
          <w:tab w:val="left" w:pos="0"/>
          <w:tab w:val="left" w:pos="567"/>
        </w:tabs>
        <w:ind w:left="0" w:firstLine="0"/>
      </w:pPr>
      <w:r w:rsidRPr="00BA4F0F">
        <w:t xml:space="preserve">Амикацин. Не применяют в монотерапии. </w:t>
      </w:r>
    </w:p>
    <w:p w14:paraId="7469A05E" w14:textId="77777777" w:rsidR="00E83B26" w:rsidRPr="00BA4F0F" w:rsidRDefault="00E83B26" w:rsidP="00A555B2">
      <w:pPr>
        <w:numPr>
          <w:ilvl w:val="0"/>
          <w:numId w:val="187"/>
        </w:numPr>
        <w:tabs>
          <w:tab w:val="left" w:pos="0"/>
          <w:tab w:val="left" w:pos="567"/>
        </w:tabs>
        <w:ind w:left="0" w:firstLine="0"/>
      </w:pPr>
      <w:r w:rsidRPr="00BA4F0F">
        <w:t xml:space="preserve">Колистин  1-ый день 9 млн ЕД 1 раз в сутки, далее по 4,5 млн ЕД каждые 12 часов. </w:t>
      </w:r>
    </w:p>
    <w:p w14:paraId="133A2A24" w14:textId="77777777" w:rsidR="00E83B26" w:rsidRPr="00BA4F0F" w:rsidRDefault="00E83B26" w:rsidP="00A555B2">
      <w:pPr>
        <w:numPr>
          <w:ilvl w:val="0"/>
          <w:numId w:val="187"/>
        </w:numPr>
        <w:tabs>
          <w:tab w:val="left" w:pos="0"/>
          <w:tab w:val="left" w:pos="567"/>
        </w:tabs>
        <w:ind w:left="0" w:firstLine="0"/>
      </w:pPr>
      <w:r w:rsidRPr="00BA4F0F">
        <w:t xml:space="preserve">Фосфомицин по 3 г 3 раза в сутки. </w:t>
      </w:r>
    </w:p>
    <w:p w14:paraId="396F6173" w14:textId="77777777" w:rsidR="00E83B26" w:rsidRPr="00BA4F0F" w:rsidRDefault="00E83B26" w:rsidP="00A555B2">
      <w:pPr>
        <w:numPr>
          <w:ilvl w:val="0"/>
          <w:numId w:val="187"/>
        </w:numPr>
        <w:tabs>
          <w:tab w:val="left" w:pos="0"/>
          <w:tab w:val="left" w:pos="567"/>
        </w:tabs>
        <w:ind w:left="0" w:firstLine="0"/>
      </w:pPr>
      <w:r w:rsidRPr="00BA4F0F">
        <w:t xml:space="preserve">Тигециклин: 1-ая доза 200 мг, далее по 100 мг, каждые 12 часов. </w:t>
      </w:r>
    </w:p>
    <w:p w14:paraId="00FA3F5D" w14:textId="77777777" w:rsidR="00E83B26" w:rsidRPr="00BA4F0F" w:rsidRDefault="00E83B26" w:rsidP="00E83B26">
      <w:pPr>
        <w:tabs>
          <w:tab w:val="left" w:pos="0"/>
          <w:tab w:val="left" w:pos="567"/>
        </w:tabs>
        <w:rPr>
          <w:b/>
        </w:rPr>
      </w:pPr>
    </w:p>
    <w:p w14:paraId="1B5D8A4F" w14:textId="77777777" w:rsidR="00E83B26" w:rsidRPr="00BA4F0F" w:rsidRDefault="00E83B26" w:rsidP="00E83B26">
      <w:pPr>
        <w:tabs>
          <w:tab w:val="left" w:pos="0"/>
          <w:tab w:val="left" w:pos="567"/>
        </w:tabs>
        <w:rPr>
          <w:b/>
        </w:rPr>
      </w:pPr>
    </w:p>
    <w:p w14:paraId="6E8FC307" w14:textId="77777777" w:rsidR="00E83B26" w:rsidRPr="00BA4F0F" w:rsidRDefault="00E83B26" w:rsidP="00E83B26">
      <w:pPr>
        <w:pStyle w:val="afe"/>
        <w:ind w:left="0"/>
        <w:rPr>
          <w:rFonts w:cs="Times New Roman"/>
          <w:b/>
          <w:i/>
          <w:szCs w:val="24"/>
        </w:rPr>
      </w:pPr>
      <w:r w:rsidRPr="00BA4F0F">
        <w:rPr>
          <w:rFonts w:cs="Times New Roman"/>
          <w:b/>
          <w:i/>
          <w:szCs w:val="24"/>
        </w:rPr>
        <w:t>Мукозит (слизистая оболочка рта отечная, рыхлая)</w:t>
      </w:r>
    </w:p>
    <w:p w14:paraId="1C39D014" w14:textId="77777777" w:rsidR="00E83B26" w:rsidRPr="00BA4F0F" w:rsidRDefault="00E83B26" w:rsidP="00A555B2">
      <w:pPr>
        <w:numPr>
          <w:ilvl w:val="0"/>
          <w:numId w:val="188"/>
        </w:numPr>
        <w:tabs>
          <w:tab w:val="left" w:pos="0"/>
          <w:tab w:val="left" w:pos="567"/>
        </w:tabs>
        <w:ind w:left="0" w:firstLine="0"/>
      </w:pPr>
      <w:r w:rsidRPr="00BA4F0F">
        <w:t xml:space="preserve">Добавляют ванкомицин, даптомицин, линезолид или тедизолид при мукозите </w:t>
      </w:r>
      <w:r w:rsidRPr="00BA4F0F">
        <w:rPr>
          <w:lang w:val="en-US"/>
        </w:rPr>
        <w:t>III</w:t>
      </w:r>
      <w:r w:rsidRPr="00BA4F0F">
        <w:t>-</w:t>
      </w:r>
      <w:r w:rsidRPr="00BA4F0F">
        <w:rPr>
          <w:lang w:val="en-US"/>
        </w:rPr>
        <w:t>IV</w:t>
      </w:r>
      <w:r w:rsidRPr="00BA4F0F">
        <w:t xml:space="preserve"> степени, если выделены только грамположительные бактерии (высокая вероятность развития сепсиса, обусловленного стрептококками группы </w:t>
      </w:r>
      <w:r w:rsidRPr="00BA4F0F">
        <w:rPr>
          <w:i/>
        </w:rPr>
        <w:t>viridans</w:t>
      </w:r>
      <w:r w:rsidRPr="00BA4F0F">
        <w:t>). Проводят исследования на вирусы (определение ДНК герпесвирусов).</w:t>
      </w:r>
    </w:p>
    <w:p w14:paraId="70F05A1E" w14:textId="77777777" w:rsidR="00E83B26" w:rsidRPr="00BA4F0F" w:rsidRDefault="00E83B26" w:rsidP="00A555B2">
      <w:pPr>
        <w:numPr>
          <w:ilvl w:val="0"/>
          <w:numId w:val="188"/>
        </w:numPr>
        <w:tabs>
          <w:tab w:val="left" w:pos="0"/>
          <w:tab w:val="left" w:pos="567"/>
        </w:tabs>
        <w:ind w:left="0" w:firstLine="0"/>
      </w:pPr>
      <w:r w:rsidRPr="00BA4F0F">
        <w:t xml:space="preserve">Добавляют флуконазол, если со слизистой оболочки выделены </w:t>
      </w:r>
      <w:r w:rsidRPr="00BA4F0F">
        <w:rPr>
          <w:i/>
        </w:rPr>
        <w:t>Candida spp</w:t>
      </w:r>
      <w:r w:rsidRPr="00BA4F0F">
        <w:t xml:space="preserve">.; в отсутствие эффекта дополнительно назначают в/в ванкомицин, или даптомицин, или линезолид, или тедизолид при мукозите </w:t>
      </w:r>
      <w:r w:rsidRPr="00BA4F0F">
        <w:rPr>
          <w:lang w:val="en-US"/>
        </w:rPr>
        <w:t>III</w:t>
      </w:r>
      <w:r w:rsidRPr="00BA4F0F">
        <w:t>-</w:t>
      </w:r>
      <w:r w:rsidRPr="00BA4F0F">
        <w:rPr>
          <w:lang w:val="en-US"/>
        </w:rPr>
        <w:t>IV</w:t>
      </w:r>
      <w:r w:rsidRPr="00BA4F0F">
        <w:t xml:space="preserve"> степени и проводят вирусологическое исследование (определение ДНК герпесвирусов). </w:t>
      </w:r>
    </w:p>
    <w:p w14:paraId="4FBE1C58" w14:textId="77777777" w:rsidR="00E83B26" w:rsidRPr="00BA4F0F" w:rsidRDefault="00E83B26" w:rsidP="00A555B2">
      <w:pPr>
        <w:numPr>
          <w:ilvl w:val="0"/>
          <w:numId w:val="188"/>
        </w:numPr>
        <w:tabs>
          <w:tab w:val="left" w:pos="0"/>
          <w:tab w:val="left" w:pos="567"/>
        </w:tabs>
        <w:ind w:left="0" w:firstLine="0"/>
      </w:pPr>
      <w:r w:rsidRPr="00BA4F0F">
        <w:t xml:space="preserve">Добавляют ципрофлоксацин (по 0,5 г 2 раза в сутки) при выделении со слизистой оболочки рта </w:t>
      </w:r>
      <w:r w:rsidRPr="00BA4F0F">
        <w:rPr>
          <w:i/>
        </w:rPr>
        <w:t>Pseudomonas aeruginosa</w:t>
      </w:r>
      <w:r w:rsidRPr="00BA4F0F">
        <w:t>, если состояние пациента стабильное. При тяжелом состоянии проводят замену антибиотиков согласно результатам определения чувствительности возбудителя (препараты вводят внутривенно).</w:t>
      </w:r>
    </w:p>
    <w:p w14:paraId="4B524817" w14:textId="77777777" w:rsidR="00E83B26" w:rsidRPr="00BA4F0F" w:rsidRDefault="00E83B26" w:rsidP="00A555B2">
      <w:pPr>
        <w:numPr>
          <w:ilvl w:val="0"/>
          <w:numId w:val="188"/>
        </w:numPr>
        <w:tabs>
          <w:tab w:val="left" w:pos="0"/>
          <w:tab w:val="left" w:pos="567"/>
        </w:tabs>
        <w:ind w:left="0" w:firstLine="0"/>
      </w:pPr>
      <w:r w:rsidRPr="00BA4F0F">
        <w:t xml:space="preserve">Модификация антимикробной терапии при выделении других грамотрицательных бактерий (энтеробактерий, продуцирующих БЛРС, </w:t>
      </w:r>
      <w:r w:rsidRPr="00BA4F0F">
        <w:rPr>
          <w:i/>
          <w:lang w:val="en-US"/>
        </w:rPr>
        <w:t>Acinetobacter</w:t>
      </w:r>
      <w:r w:rsidRPr="00BA4F0F">
        <w:rPr>
          <w:i/>
        </w:rPr>
        <w:t xml:space="preserve"> </w:t>
      </w:r>
      <w:r w:rsidRPr="00BA4F0F">
        <w:rPr>
          <w:i/>
          <w:lang w:val="en-US"/>
        </w:rPr>
        <w:t>baumannii</w:t>
      </w:r>
      <w:r w:rsidRPr="00BA4F0F">
        <w:t xml:space="preserve">, </w:t>
      </w:r>
      <w:r w:rsidRPr="00BA4F0F">
        <w:rPr>
          <w:i/>
          <w:lang w:val="en-US"/>
        </w:rPr>
        <w:t>Stenotrophomonas</w:t>
      </w:r>
      <w:r w:rsidRPr="00BA4F0F">
        <w:rPr>
          <w:i/>
        </w:rPr>
        <w:t xml:space="preserve"> </w:t>
      </w:r>
      <w:r w:rsidRPr="00BA4F0F">
        <w:rPr>
          <w:i/>
          <w:lang w:val="en-US"/>
        </w:rPr>
        <w:t>maltophilia</w:t>
      </w:r>
      <w:r w:rsidRPr="00BA4F0F">
        <w:t>) в соответствии с результатами определения чувствительности к антибиотикам.</w:t>
      </w:r>
    </w:p>
    <w:p w14:paraId="2EA47851" w14:textId="77777777" w:rsidR="00E83B26" w:rsidRPr="00BA4F0F" w:rsidRDefault="00E83B26" w:rsidP="00E83B26">
      <w:pPr>
        <w:tabs>
          <w:tab w:val="left" w:pos="0"/>
          <w:tab w:val="left" w:pos="567"/>
        </w:tabs>
        <w:rPr>
          <w:b/>
        </w:rPr>
      </w:pPr>
      <w:r w:rsidRPr="00BA4F0F">
        <w:rPr>
          <w:b/>
        </w:rPr>
        <w:t>Парапроктит</w:t>
      </w:r>
    </w:p>
    <w:p w14:paraId="76A88CB8" w14:textId="77777777" w:rsidR="00E83B26" w:rsidRPr="00BA4F0F" w:rsidRDefault="00E83B26" w:rsidP="00E83B26">
      <w:pPr>
        <w:tabs>
          <w:tab w:val="left" w:pos="0"/>
          <w:tab w:val="left" w:pos="567"/>
        </w:tabs>
      </w:pPr>
      <w:r w:rsidRPr="00BA4F0F">
        <w:t>Схемы антимикробной терапии должны включать препараты с активностью против грамотрицательных и анаэробных бактерий.</w:t>
      </w:r>
    </w:p>
    <w:p w14:paraId="3B2B721E" w14:textId="77777777" w:rsidR="00E83B26" w:rsidRPr="00BA4F0F" w:rsidRDefault="00E83B26" w:rsidP="00A555B2">
      <w:pPr>
        <w:numPr>
          <w:ilvl w:val="0"/>
          <w:numId w:val="189"/>
        </w:numPr>
        <w:tabs>
          <w:tab w:val="left" w:pos="0"/>
          <w:tab w:val="left" w:pos="567"/>
        </w:tabs>
        <w:ind w:left="0" w:firstLine="0"/>
      </w:pPr>
      <w:r w:rsidRPr="00BA4F0F">
        <w:t>Если назначен цефоперазон/сульбактам, то к нему добавляют амикацин.</w:t>
      </w:r>
    </w:p>
    <w:p w14:paraId="0CC5CBBB" w14:textId="77777777" w:rsidR="00E83B26" w:rsidRPr="00BA4F0F" w:rsidRDefault="00E83B26" w:rsidP="00A555B2">
      <w:pPr>
        <w:numPr>
          <w:ilvl w:val="0"/>
          <w:numId w:val="189"/>
        </w:numPr>
        <w:tabs>
          <w:tab w:val="left" w:pos="0"/>
          <w:tab w:val="left" w:pos="567"/>
        </w:tabs>
        <w:ind w:left="0" w:firstLine="0"/>
      </w:pPr>
      <w:r w:rsidRPr="00BA4F0F">
        <w:t>Если назначен цефепим, то к нему добавляют амикацин и метронидазол.</w:t>
      </w:r>
    </w:p>
    <w:p w14:paraId="1B258ED1" w14:textId="77777777" w:rsidR="00E83B26" w:rsidRPr="00BA4F0F" w:rsidRDefault="00E83B26" w:rsidP="00A555B2">
      <w:pPr>
        <w:numPr>
          <w:ilvl w:val="0"/>
          <w:numId w:val="190"/>
        </w:numPr>
        <w:tabs>
          <w:tab w:val="left" w:pos="0"/>
          <w:tab w:val="left" w:pos="567"/>
        </w:tabs>
        <w:ind w:left="0" w:firstLine="0"/>
      </w:pPr>
      <w:r w:rsidRPr="00BA4F0F">
        <w:t>Метронидазол: по 500 мг 3 раза в сутки.</w:t>
      </w:r>
    </w:p>
    <w:p w14:paraId="0AE49F27" w14:textId="77777777" w:rsidR="00E83B26" w:rsidRPr="00BA4F0F" w:rsidRDefault="00E83B26" w:rsidP="00A555B2">
      <w:pPr>
        <w:numPr>
          <w:ilvl w:val="0"/>
          <w:numId w:val="189"/>
        </w:numPr>
        <w:tabs>
          <w:tab w:val="left" w:pos="0"/>
          <w:tab w:val="left" w:pos="567"/>
        </w:tabs>
        <w:ind w:left="0" w:firstLine="0"/>
      </w:pPr>
      <w:r w:rsidRPr="00BA4F0F">
        <w:t xml:space="preserve">В отсутствие эффекта проводят коррекцию терапии согласно результатам микробиологического исследования (посев мазка со слизистой прямой кишки). Если это невозможно сделать, то добавляют ванкомицин или телаванцин (по 10 мг/кг 1 раз в сутки), затем флуконазол. Если инфекционный процесс усугубляется, то проводят замену ванкомицина на линезолид или тедизолид. </w:t>
      </w:r>
    </w:p>
    <w:p w14:paraId="7FBA499F" w14:textId="77777777" w:rsidR="00E83B26" w:rsidRPr="00BA4F0F" w:rsidRDefault="00E83B26" w:rsidP="00E83B26">
      <w:pPr>
        <w:tabs>
          <w:tab w:val="left" w:pos="0"/>
          <w:tab w:val="left" w:pos="567"/>
        </w:tabs>
        <w:rPr>
          <w:b/>
        </w:rPr>
      </w:pPr>
    </w:p>
    <w:p w14:paraId="28A74A48" w14:textId="77777777" w:rsidR="00E83B26" w:rsidRPr="00BA4F0F" w:rsidRDefault="00E83B26" w:rsidP="00E83B26">
      <w:pPr>
        <w:pStyle w:val="afe"/>
        <w:ind w:left="0"/>
        <w:rPr>
          <w:rFonts w:cs="Times New Roman"/>
          <w:b/>
          <w:i/>
          <w:szCs w:val="24"/>
        </w:rPr>
      </w:pPr>
      <w:r w:rsidRPr="00BA4F0F">
        <w:rPr>
          <w:rFonts w:cs="Times New Roman"/>
          <w:b/>
          <w:i/>
          <w:szCs w:val="24"/>
        </w:rPr>
        <w:t>Пневмония, которая появилась или прогрессирует (новые очаги) на фоне лечения антибиотиками широкого спектра при нейтропении длительностью более 10 дней или приема глюкокортикоидов</w:t>
      </w:r>
    </w:p>
    <w:p w14:paraId="34D966D3" w14:textId="77777777" w:rsidR="00E83B26" w:rsidRPr="00BA4F0F" w:rsidRDefault="00E83B26" w:rsidP="00A555B2">
      <w:pPr>
        <w:numPr>
          <w:ilvl w:val="0"/>
          <w:numId w:val="191"/>
        </w:numPr>
        <w:tabs>
          <w:tab w:val="left" w:pos="0"/>
          <w:tab w:val="left" w:pos="567"/>
        </w:tabs>
        <w:ind w:left="0" w:firstLine="0"/>
      </w:pPr>
      <w:r w:rsidRPr="00BA4F0F">
        <w:t>Вориконазол (высокая вероятность инвазивного аспергиллеза) внутривенно, в первый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w:t>
      </w:r>
    </w:p>
    <w:p w14:paraId="134A8F1C" w14:textId="77777777" w:rsidR="00E83B26" w:rsidRPr="00BA4F0F" w:rsidRDefault="00E83B26" w:rsidP="00A555B2">
      <w:pPr>
        <w:numPr>
          <w:ilvl w:val="0"/>
          <w:numId w:val="191"/>
        </w:numPr>
        <w:tabs>
          <w:tab w:val="left" w:pos="0"/>
          <w:tab w:val="left" w:pos="567"/>
        </w:tabs>
        <w:ind w:left="0" w:firstLine="0"/>
      </w:pPr>
      <w:r w:rsidRPr="00BA4F0F">
        <w:t xml:space="preserve">Не следует назначать флуконазол пациентам с клиническими симптомами синусита или инфекцией нижних дыхательных путей. </w:t>
      </w:r>
    </w:p>
    <w:p w14:paraId="2E60F293" w14:textId="77777777" w:rsidR="00E83B26" w:rsidRPr="00BA4F0F" w:rsidRDefault="00E83B26" w:rsidP="00E83B26">
      <w:pPr>
        <w:tabs>
          <w:tab w:val="left" w:pos="0"/>
          <w:tab w:val="left" w:pos="567"/>
        </w:tabs>
        <w:rPr>
          <w:b/>
        </w:rPr>
      </w:pPr>
    </w:p>
    <w:p w14:paraId="5846BD3B" w14:textId="77777777" w:rsidR="00E83B26" w:rsidRPr="00BA4F0F" w:rsidRDefault="00E83B26" w:rsidP="00E83B26">
      <w:pPr>
        <w:pStyle w:val="afe"/>
        <w:ind w:left="0"/>
        <w:rPr>
          <w:rFonts w:cs="Times New Roman"/>
          <w:b/>
          <w:i/>
          <w:szCs w:val="24"/>
        </w:rPr>
      </w:pPr>
      <w:r w:rsidRPr="00BA4F0F">
        <w:rPr>
          <w:rFonts w:cs="Times New Roman"/>
          <w:b/>
          <w:i/>
          <w:szCs w:val="24"/>
        </w:rPr>
        <w:t>Инфекция, вызванная Clostridium difficile</w:t>
      </w:r>
    </w:p>
    <w:p w14:paraId="2CD65361" w14:textId="77777777" w:rsidR="00E83B26" w:rsidRPr="00BA4F0F" w:rsidRDefault="00E83B26" w:rsidP="00A555B2">
      <w:pPr>
        <w:numPr>
          <w:ilvl w:val="0"/>
          <w:numId w:val="194"/>
        </w:numPr>
        <w:tabs>
          <w:tab w:val="left" w:pos="0"/>
          <w:tab w:val="left" w:pos="567"/>
        </w:tabs>
        <w:ind w:left="0" w:firstLine="0"/>
      </w:pPr>
      <w:r w:rsidRPr="00BA4F0F">
        <w:t xml:space="preserve">Вначале инфекционный процесс, вызванный </w:t>
      </w:r>
      <w:r w:rsidRPr="00BA4F0F">
        <w:rPr>
          <w:i/>
          <w:lang w:val="en-US"/>
        </w:rPr>
        <w:t>C</w:t>
      </w:r>
      <w:r w:rsidRPr="00BA4F0F">
        <w:rPr>
          <w:i/>
        </w:rPr>
        <w:t xml:space="preserve">. </w:t>
      </w:r>
      <w:r w:rsidRPr="00BA4F0F">
        <w:rPr>
          <w:i/>
          <w:lang w:val="en-US"/>
        </w:rPr>
        <w:t>difficile</w:t>
      </w:r>
      <w:r w:rsidRPr="00BA4F0F">
        <w:t>, ограничен толстой кишкой. Клинические проявления:</w:t>
      </w:r>
    </w:p>
    <w:p w14:paraId="35498D00" w14:textId="77777777" w:rsidR="00E83B26" w:rsidRPr="00BA4F0F" w:rsidRDefault="00E83B26" w:rsidP="00A555B2">
      <w:pPr>
        <w:numPr>
          <w:ilvl w:val="0"/>
          <w:numId w:val="196"/>
        </w:numPr>
        <w:tabs>
          <w:tab w:val="left" w:pos="0"/>
          <w:tab w:val="left" w:pos="567"/>
        </w:tabs>
        <w:ind w:left="0" w:firstLine="0"/>
      </w:pPr>
      <w:r w:rsidRPr="00BA4F0F">
        <w:t xml:space="preserve">Диарея, ассоциированная с </w:t>
      </w:r>
      <w:r w:rsidRPr="00BA4F0F">
        <w:rPr>
          <w:i/>
          <w:lang w:val="en-US"/>
        </w:rPr>
        <w:t>C</w:t>
      </w:r>
      <w:r w:rsidRPr="00BA4F0F">
        <w:rPr>
          <w:i/>
        </w:rPr>
        <w:t xml:space="preserve">. </w:t>
      </w:r>
      <w:r w:rsidRPr="00BA4F0F">
        <w:rPr>
          <w:i/>
          <w:lang w:val="en-US"/>
        </w:rPr>
        <w:t>difficile</w:t>
      </w:r>
      <w:r w:rsidRPr="00BA4F0F">
        <w:rPr>
          <w:i/>
        </w:rPr>
        <w:t xml:space="preserve"> </w:t>
      </w:r>
      <w:r w:rsidRPr="00BA4F0F">
        <w:t xml:space="preserve">(наличие диареи+ положительный токсин </w:t>
      </w:r>
      <w:r w:rsidRPr="00BA4F0F">
        <w:rPr>
          <w:i/>
          <w:lang w:val="en-US"/>
        </w:rPr>
        <w:t>C</w:t>
      </w:r>
      <w:r w:rsidRPr="00BA4F0F">
        <w:rPr>
          <w:i/>
        </w:rPr>
        <w:t xml:space="preserve">. </w:t>
      </w:r>
      <w:r w:rsidRPr="00BA4F0F">
        <w:rPr>
          <w:i/>
          <w:lang w:val="en-US"/>
        </w:rPr>
        <w:t>difficile</w:t>
      </w:r>
      <w:r w:rsidRPr="00BA4F0F">
        <w:t xml:space="preserve"> в кале).</w:t>
      </w:r>
    </w:p>
    <w:p w14:paraId="61B30DE4" w14:textId="77777777" w:rsidR="00E83B26" w:rsidRPr="00BA4F0F" w:rsidRDefault="00E83B26" w:rsidP="00A555B2">
      <w:pPr>
        <w:numPr>
          <w:ilvl w:val="0"/>
          <w:numId w:val="196"/>
        </w:numPr>
        <w:tabs>
          <w:tab w:val="left" w:pos="0"/>
          <w:tab w:val="left" w:pos="567"/>
        </w:tabs>
        <w:ind w:left="0" w:firstLine="0"/>
      </w:pPr>
      <w:r w:rsidRPr="00BA4F0F">
        <w:t xml:space="preserve">Псевдомембранозный колит (диагностика во время эндоскопии). </w:t>
      </w:r>
    </w:p>
    <w:p w14:paraId="2D28DC50" w14:textId="77777777" w:rsidR="00E83B26" w:rsidRPr="00BA4F0F" w:rsidRDefault="00E83B26" w:rsidP="00A555B2">
      <w:pPr>
        <w:numPr>
          <w:ilvl w:val="0"/>
          <w:numId w:val="195"/>
        </w:numPr>
        <w:tabs>
          <w:tab w:val="left" w:pos="0"/>
          <w:tab w:val="left" w:pos="567"/>
        </w:tabs>
        <w:ind w:left="0" w:firstLine="0"/>
      </w:pPr>
      <w:r w:rsidRPr="00BA4F0F">
        <w:t xml:space="preserve">Исследуют только жидкий кал на наличие А и В токсинов </w:t>
      </w:r>
      <w:r w:rsidRPr="00BA4F0F">
        <w:rPr>
          <w:i/>
          <w:lang w:val="en-US"/>
        </w:rPr>
        <w:t>C</w:t>
      </w:r>
      <w:r w:rsidRPr="00BA4F0F">
        <w:rPr>
          <w:i/>
        </w:rPr>
        <w:t xml:space="preserve">. </w:t>
      </w:r>
      <w:r w:rsidRPr="00BA4F0F">
        <w:rPr>
          <w:i/>
          <w:lang w:val="en-US"/>
        </w:rPr>
        <w:t>difficile</w:t>
      </w:r>
      <w:r w:rsidRPr="00BA4F0F">
        <w:t xml:space="preserve"> и, желательно, бинарного токсина. Образцы кала для исследования на токсин направляют в течение 18 часов от появления диареи. </w:t>
      </w:r>
    </w:p>
    <w:p w14:paraId="1398C5E7" w14:textId="77777777" w:rsidR="00E83B26" w:rsidRPr="00BA4F0F" w:rsidRDefault="00E83B26" w:rsidP="00A555B2">
      <w:pPr>
        <w:numPr>
          <w:ilvl w:val="0"/>
          <w:numId w:val="195"/>
        </w:numPr>
        <w:tabs>
          <w:tab w:val="left" w:pos="0"/>
          <w:tab w:val="left" w:pos="567"/>
        </w:tabs>
        <w:ind w:left="0" w:firstLine="0"/>
      </w:pPr>
      <w:r w:rsidRPr="00BA4F0F">
        <w:t xml:space="preserve">Не проводят повторное определение А и В токсинов с целью контроля над лечением. Критерий излечения – ликвидация симптомов. Допустимо только в случаях персистенции инфекции после 7 дней лечения.  </w:t>
      </w:r>
    </w:p>
    <w:p w14:paraId="66ECE46A" w14:textId="77777777" w:rsidR="00E83B26" w:rsidRPr="00BA4F0F" w:rsidRDefault="00E83B26" w:rsidP="00A555B2">
      <w:pPr>
        <w:numPr>
          <w:ilvl w:val="0"/>
          <w:numId w:val="195"/>
        </w:numPr>
        <w:tabs>
          <w:tab w:val="left" w:pos="0"/>
          <w:tab w:val="left" w:pos="567"/>
        </w:tabs>
        <w:ind w:left="0" w:firstLine="0"/>
      </w:pPr>
      <w:r w:rsidRPr="00BA4F0F">
        <w:t xml:space="preserve">Препарат выбора при нетяжелом течении инфекции (диарея, температура, боли в животе) – метронидазол. </w:t>
      </w:r>
    </w:p>
    <w:p w14:paraId="2903AAE0" w14:textId="77777777" w:rsidR="00E83B26" w:rsidRPr="00BA4F0F" w:rsidRDefault="00E83B26" w:rsidP="00A555B2">
      <w:pPr>
        <w:numPr>
          <w:ilvl w:val="0"/>
          <w:numId w:val="195"/>
        </w:numPr>
        <w:tabs>
          <w:tab w:val="left" w:pos="0"/>
          <w:tab w:val="left" w:pos="567"/>
        </w:tabs>
        <w:ind w:left="0" w:firstLine="0"/>
      </w:pPr>
      <w:r w:rsidRPr="00BA4F0F">
        <w:t xml:space="preserve">Препарат выбора при тяжелом течении инфекции (повышение уровня креатинина на 50% и более от исходного значения, снижение уровня альбумина) – ванкомицин по 125 мг 4 раза в сутки перорально. </w:t>
      </w:r>
    </w:p>
    <w:p w14:paraId="0CBF0A3A" w14:textId="77777777" w:rsidR="00E83B26" w:rsidRPr="00BA4F0F" w:rsidRDefault="00E83B26" w:rsidP="00A555B2">
      <w:pPr>
        <w:numPr>
          <w:ilvl w:val="0"/>
          <w:numId w:val="195"/>
        </w:numPr>
        <w:tabs>
          <w:tab w:val="left" w:pos="0"/>
          <w:tab w:val="left" w:pos="567"/>
        </w:tabs>
        <w:ind w:left="0" w:firstLine="0"/>
      </w:pPr>
      <w:r w:rsidRPr="00BA4F0F">
        <w:t xml:space="preserve">При рефрактерном течении инфекции используют комбинацию метронидазола с ванкомицином. </w:t>
      </w:r>
    </w:p>
    <w:p w14:paraId="17F8050D" w14:textId="77777777" w:rsidR="00E83B26" w:rsidRPr="00BA4F0F" w:rsidRDefault="00E83B26" w:rsidP="00A555B2">
      <w:pPr>
        <w:numPr>
          <w:ilvl w:val="0"/>
          <w:numId w:val="195"/>
        </w:numPr>
        <w:tabs>
          <w:tab w:val="left" w:pos="0"/>
          <w:tab w:val="left" w:pos="567"/>
        </w:tabs>
        <w:ind w:left="0" w:firstLine="0"/>
      </w:pPr>
      <w:r w:rsidRPr="00BA4F0F">
        <w:t xml:space="preserve">Метронидазол по 500 мг 3 раза в сутки + ванкомицин по 500 мг 4 раза в сутки через оро- или назогастральный зонд. </w:t>
      </w:r>
    </w:p>
    <w:p w14:paraId="20E67D1F" w14:textId="77777777" w:rsidR="00E83B26" w:rsidRPr="00BA4F0F" w:rsidRDefault="00E83B26" w:rsidP="00A555B2">
      <w:pPr>
        <w:numPr>
          <w:ilvl w:val="0"/>
          <w:numId w:val="195"/>
        </w:numPr>
        <w:tabs>
          <w:tab w:val="left" w:pos="0"/>
          <w:tab w:val="left" w:pos="567"/>
        </w:tabs>
        <w:ind w:left="0" w:firstLine="0"/>
      </w:pPr>
      <w:r w:rsidRPr="00BA4F0F">
        <w:t xml:space="preserve">Длительность лечения составляет 10-14 дней и, помимо назначения антибиотиков, включает отмену или сокращение числа используемых антибиотиков широкого спектра действия, ингибиторов протонной помпы.  </w:t>
      </w:r>
    </w:p>
    <w:p w14:paraId="455AC6FC" w14:textId="77777777" w:rsidR="00E83B26" w:rsidRPr="00BA4F0F" w:rsidRDefault="00E83B26" w:rsidP="00E83B26">
      <w:pPr>
        <w:tabs>
          <w:tab w:val="left" w:pos="0"/>
          <w:tab w:val="left" w:pos="567"/>
        </w:tabs>
        <w:rPr>
          <w:u w:val="single"/>
        </w:rPr>
      </w:pPr>
    </w:p>
    <w:p w14:paraId="46907847" w14:textId="77777777" w:rsidR="00E83B26" w:rsidRPr="00BA4F0F" w:rsidRDefault="00E83B26" w:rsidP="00E83B26">
      <w:pPr>
        <w:tabs>
          <w:tab w:val="left" w:pos="0"/>
          <w:tab w:val="left" w:pos="567"/>
        </w:tabs>
        <w:rPr>
          <w:u w:val="single"/>
        </w:rPr>
      </w:pPr>
      <w:r w:rsidRPr="00BA4F0F">
        <w:rPr>
          <w:u w:val="single"/>
        </w:rPr>
        <w:t>Критерии прекращения антимикробной терапии</w:t>
      </w:r>
    </w:p>
    <w:p w14:paraId="2F63279E" w14:textId="77777777" w:rsidR="00E83B26" w:rsidRPr="00BA4F0F" w:rsidRDefault="00E83B26" w:rsidP="00E83B26">
      <w:pPr>
        <w:tabs>
          <w:tab w:val="left" w:pos="0"/>
          <w:tab w:val="left" w:pos="567"/>
        </w:tabs>
        <w:ind w:firstLine="567"/>
      </w:pPr>
      <w:r w:rsidRPr="00BA4F0F">
        <w:t xml:space="preserve">Длительность применения антимикробных препаратов зависит от характера инфекционного процесса. Факт наличия гранулоцитопении, независимо от степени ее проявления, не влияет на период применения антибиотиков. </w:t>
      </w:r>
    </w:p>
    <w:p w14:paraId="09F39A7D" w14:textId="77777777" w:rsidR="00E83B26" w:rsidRPr="00BA4F0F" w:rsidRDefault="00E83B26" w:rsidP="00E83B26">
      <w:pPr>
        <w:tabs>
          <w:tab w:val="left" w:pos="0"/>
          <w:tab w:val="left" w:pos="567"/>
        </w:tabs>
        <w:ind w:firstLine="567"/>
      </w:pPr>
      <w:r w:rsidRPr="00BA4F0F">
        <w:t xml:space="preserve">При лихорадке неясной этиологии в период гранулоцитопении антибиотики можно отменить через 72 часа, если у больного </w:t>
      </w:r>
    </w:p>
    <w:p w14:paraId="617A68D4" w14:textId="77777777" w:rsidR="00E83B26" w:rsidRPr="00BA4F0F" w:rsidRDefault="00E83B26" w:rsidP="00A555B2">
      <w:pPr>
        <w:numPr>
          <w:ilvl w:val="0"/>
          <w:numId w:val="192"/>
        </w:numPr>
        <w:tabs>
          <w:tab w:val="left" w:pos="0"/>
          <w:tab w:val="left" w:pos="567"/>
        </w:tabs>
        <w:ind w:left="0" w:firstLine="0"/>
      </w:pPr>
      <w:r w:rsidRPr="00BA4F0F">
        <w:t>не было эпизода нестабильной гемодинамики в данный эпизод инфекции и</w:t>
      </w:r>
    </w:p>
    <w:p w14:paraId="3014686E" w14:textId="77777777" w:rsidR="00E83B26" w:rsidRPr="00BA4F0F" w:rsidRDefault="00E83B26" w:rsidP="00A555B2">
      <w:pPr>
        <w:numPr>
          <w:ilvl w:val="0"/>
          <w:numId w:val="192"/>
        </w:numPr>
        <w:tabs>
          <w:tab w:val="left" w:pos="0"/>
          <w:tab w:val="left" w:pos="567"/>
        </w:tabs>
        <w:ind w:left="0" w:firstLine="0"/>
      </w:pPr>
      <w:r w:rsidRPr="00BA4F0F">
        <w:t xml:space="preserve">нормальная температура отмечается в течение 48 ч. </w:t>
      </w:r>
    </w:p>
    <w:p w14:paraId="19F70E84" w14:textId="77777777" w:rsidR="00E83B26" w:rsidRPr="00BA4F0F" w:rsidRDefault="00E83B26" w:rsidP="00E83B26">
      <w:pPr>
        <w:tabs>
          <w:tab w:val="left" w:pos="0"/>
          <w:tab w:val="left" w:pos="567"/>
        </w:tabs>
      </w:pPr>
      <w:r w:rsidRPr="00BA4F0F">
        <w:t>При клинически и микробиологически доказанной инфекции длительность применения антибиотиков должна составлять не менее 7 дней при условии, что:</w:t>
      </w:r>
    </w:p>
    <w:p w14:paraId="35F4AD87" w14:textId="77777777" w:rsidR="00E83B26" w:rsidRPr="00BA4F0F" w:rsidRDefault="00E83B26" w:rsidP="00A555B2">
      <w:pPr>
        <w:numPr>
          <w:ilvl w:val="0"/>
          <w:numId w:val="193"/>
        </w:numPr>
        <w:tabs>
          <w:tab w:val="left" w:pos="0"/>
          <w:tab w:val="left" w:pos="567"/>
        </w:tabs>
        <w:ind w:left="0" w:firstLine="0"/>
      </w:pPr>
      <w:r w:rsidRPr="00BA4F0F">
        <w:t>нормальная температура наблюдается не менее 4 дней;</w:t>
      </w:r>
    </w:p>
    <w:p w14:paraId="06B1EA24" w14:textId="77777777" w:rsidR="00E83B26" w:rsidRPr="00BA4F0F" w:rsidRDefault="00E83B26" w:rsidP="00A555B2">
      <w:pPr>
        <w:numPr>
          <w:ilvl w:val="0"/>
          <w:numId w:val="193"/>
        </w:numPr>
        <w:tabs>
          <w:tab w:val="left" w:pos="0"/>
          <w:tab w:val="left" w:pos="567"/>
        </w:tabs>
        <w:ind w:left="0" w:firstLine="0"/>
      </w:pPr>
      <w:r w:rsidRPr="00BA4F0F">
        <w:t>очаги инфекции полностью регрессировали;</w:t>
      </w:r>
    </w:p>
    <w:p w14:paraId="72700F3D" w14:textId="77777777" w:rsidR="00E83B26" w:rsidRPr="00BA4F0F" w:rsidRDefault="00E83B26" w:rsidP="00A555B2">
      <w:pPr>
        <w:numPr>
          <w:ilvl w:val="0"/>
          <w:numId w:val="193"/>
        </w:numPr>
        <w:tabs>
          <w:tab w:val="left" w:pos="0"/>
          <w:tab w:val="left" w:pos="567"/>
        </w:tabs>
        <w:ind w:left="0" w:firstLine="0"/>
      </w:pPr>
      <w:r w:rsidRPr="00BA4F0F">
        <w:t xml:space="preserve">достигнута (или предполагается) микробиологическая эрадикация возбудителя подтвержденной инфекции. </w:t>
      </w:r>
    </w:p>
    <w:p w14:paraId="50057EC9" w14:textId="77777777" w:rsidR="00E83B26" w:rsidRPr="00BA4F0F" w:rsidRDefault="00E83B26" w:rsidP="00E83B26">
      <w:pPr>
        <w:tabs>
          <w:tab w:val="left" w:pos="0"/>
          <w:tab w:val="left" w:pos="567"/>
        </w:tabs>
      </w:pPr>
      <w:r w:rsidRPr="00BA4F0F">
        <w:t xml:space="preserve">После отмены антибиотиков у больного с гранулоцитопенией необходимо наблюдение за ним в течение последующих 24-48 ч, и в случае появления температуры следует вновь назначить антибиотики. </w:t>
      </w:r>
    </w:p>
    <w:p w14:paraId="7DDDC6F3" w14:textId="77777777" w:rsidR="00E83B26" w:rsidRPr="00BA4F0F" w:rsidRDefault="00E83B26" w:rsidP="00E83B26">
      <w:pPr>
        <w:tabs>
          <w:tab w:val="left" w:pos="0"/>
          <w:tab w:val="left" w:pos="567"/>
        </w:tabs>
        <w:rPr>
          <w:u w:val="single"/>
        </w:rPr>
      </w:pPr>
    </w:p>
    <w:p w14:paraId="402641A0" w14:textId="77777777" w:rsidR="00E83B26" w:rsidRPr="00BA4F0F" w:rsidRDefault="00E83B26" w:rsidP="00E83B26">
      <w:pPr>
        <w:tabs>
          <w:tab w:val="left" w:pos="0"/>
          <w:tab w:val="left" w:pos="567"/>
        </w:tabs>
        <w:rPr>
          <w:u w:val="single"/>
        </w:rPr>
      </w:pPr>
      <w:r w:rsidRPr="00BA4F0F">
        <w:rPr>
          <w:u w:val="single"/>
        </w:rPr>
        <w:t>Профилактика инфекционных осложнений</w:t>
      </w:r>
    </w:p>
    <w:p w14:paraId="16B07FF4" w14:textId="2C17AC02" w:rsidR="00E83B26" w:rsidRPr="00BA4F0F" w:rsidRDefault="00E83B26" w:rsidP="00E83B26">
      <w:pPr>
        <w:pStyle w:val="afe"/>
        <w:ind w:left="0"/>
        <w:rPr>
          <w:rFonts w:cs="Times New Roman"/>
          <w:b/>
          <w:i/>
          <w:szCs w:val="24"/>
        </w:rPr>
      </w:pPr>
      <w:r w:rsidRPr="00BA4F0F">
        <w:rPr>
          <w:rFonts w:cs="Times New Roman"/>
          <w:b/>
          <w:i/>
          <w:szCs w:val="24"/>
        </w:rPr>
        <w:t xml:space="preserve">Противогрибковая профилактика </w:t>
      </w:r>
      <w:r w:rsidRPr="00BA4F0F">
        <w:rPr>
          <w:rFonts w:cs="Times New Roman"/>
          <w:b/>
          <w:i/>
          <w:szCs w:val="24"/>
        </w:rPr>
        <w:fldChar w:fldCharType="begin" w:fldLock="1"/>
      </w:r>
      <w:r w:rsidR="003B39A6">
        <w:rPr>
          <w:rFonts w:cs="Times New Roman"/>
          <w:b/>
          <w:i/>
          <w:szCs w:val="24"/>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2cd270b2-efaf-4da9-a95d-66324661ea35","http://www.mendeley.com/documents/?uuid=fe583573-532c-46dc-b4f4-f9d01345e27c","http://www.mendeley.com/documents/?uuid=26da25a5-bd21-4509-8e88-e4e6744fab98","http://www.mendeley.com/documents/?uuid=a1e2f5d6-ef05-4351-9481-13fad4fd103b","http://www.mendeley.com/documents/?uuid=478d6ce1-e425-4912-87db-adfee39f1ce9","http://www.mendeley.com/documents/?uuid=9cac36ab-7685-4894-b1cb-f141a1797526","http://www.mendeley.com/documents/?uuid=c0eae3a3-34ee-40e1-8813-566cb7fa2b4a"]}],"mendeley":{"formattedCitation":"[145]","plainTextFormattedCitation":"[145]","previouslyFormattedCitation":"[145]"},"properties":{"noteIndex":0},"schema":"https://github.com/citation-style-language/schema/raw/master/csl-citation.json"}</w:instrText>
      </w:r>
      <w:r w:rsidRPr="00BA4F0F">
        <w:rPr>
          <w:rFonts w:cs="Times New Roman"/>
          <w:b/>
          <w:i/>
          <w:szCs w:val="24"/>
        </w:rPr>
        <w:fldChar w:fldCharType="separate"/>
      </w:r>
      <w:r w:rsidRPr="00E83B26">
        <w:rPr>
          <w:rFonts w:cs="Times New Roman"/>
          <w:noProof/>
          <w:szCs w:val="24"/>
        </w:rPr>
        <w:t>[145]</w:t>
      </w:r>
      <w:r w:rsidRPr="00BA4F0F">
        <w:rPr>
          <w:rFonts w:cs="Times New Roman"/>
          <w:b/>
          <w:i/>
          <w:szCs w:val="24"/>
        </w:rPr>
        <w:fldChar w:fldCharType="end"/>
      </w:r>
    </w:p>
    <w:p w14:paraId="0C296B8A" w14:textId="77777777" w:rsidR="00E83B26" w:rsidRPr="00BA4F0F" w:rsidRDefault="00E83B26" w:rsidP="00A555B2">
      <w:pPr>
        <w:numPr>
          <w:ilvl w:val="0"/>
          <w:numId w:val="198"/>
        </w:numPr>
        <w:tabs>
          <w:tab w:val="left" w:pos="0"/>
          <w:tab w:val="left" w:pos="567"/>
        </w:tabs>
        <w:ind w:left="0" w:firstLine="0"/>
      </w:pPr>
      <w:r w:rsidRPr="00BA4F0F">
        <w:t>Проводится пациентам с отягощенным анамнезом (острый диссеминированный кандидоз, хронический диссеминированный кандидоз, мукормикоз или инвазивный аспергиллез).</w:t>
      </w:r>
    </w:p>
    <w:p w14:paraId="2C0F53F1" w14:textId="77777777" w:rsidR="00E83B26" w:rsidRPr="00BA4F0F" w:rsidRDefault="00E83B26" w:rsidP="00A555B2">
      <w:pPr>
        <w:numPr>
          <w:ilvl w:val="0"/>
          <w:numId w:val="198"/>
        </w:numPr>
        <w:tabs>
          <w:tab w:val="left" w:pos="0"/>
          <w:tab w:val="left" w:pos="567"/>
        </w:tabs>
        <w:ind w:left="0" w:firstLine="0"/>
      </w:pPr>
      <w:r w:rsidRPr="00BA4F0F">
        <w:t xml:space="preserve">Назначают препарат, при использовании которого было достигнуто излечение от инвазивного микоза. </w:t>
      </w:r>
    </w:p>
    <w:p w14:paraId="631410FA" w14:textId="77777777" w:rsidR="00E83B26" w:rsidRPr="00BA4F0F" w:rsidRDefault="00E83B26" w:rsidP="00A555B2">
      <w:pPr>
        <w:numPr>
          <w:ilvl w:val="0"/>
          <w:numId w:val="198"/>
        </w:numPr>
        <w:tabs>
          <w:tab w:val="left" w:pos="0"/>
          <w:tab w:val="left" w:pos="567"/>
        </w:tabs>
        <w:ind w:left="0" w:firstLine="0"/>
      </w:pPr>
      <w:r w:rsidRPr="00BA4F0F">
        <w:t>Пациенты с наличием в анамнезе острого или хронического диссеминированного кандидоза (обычно один препарат из перечня):</w:t>
      </w:r>
    </w:p>
    <w:p w14:paraId="13DC2B27" w14:textId="77777777" w:rsidR="00E83B26" w:rsidRPr="00BA4F0F" w:rsidRDefault="00E83B26" w:rsidP="00A555B2">
      <w:pPr>
        <w:numPr>
          <w:ilvl w:val="0"/>
          <w:numId w:val="199"/>
        </w:numPr>
        <w:tabs>
          <w:tab w:val="left" w:pos="0"/>
          <w:tab w:val="left" w:pos="567"/>
        </w:tabs>
        <w:ind w:left="0" w:firstLine="0"/>
      </w:pPr>
      <w:r w:rsidRPr="00BA4F0F">
        <w:t>Флуконазол, по 400 мг в сутки, внутривенно или внутрь.</w:t>
      </w:r>
    </w:p>
    <w:p w14:paraId="007032F7" w14:textId="77777777" w:rsidR="00E83B26" w:rsidRPr="00BA4F0F" w:rsidRDefault="00E83B26" w:rsidP="00A555B2">
      <w:pPr>
        <w:numPr>
          <w:ilvl w:val="0"/>
          <w:numId w:val="199"/>
        </w:numPr>
        <w:tabs>
          <w:tab w:val="left" w:pos="0"/>
          <w:tab w:val="left" w:pos="567"/>
        </w:tabs>
        <w:ind w:left="0" w:firstLine="0"/>
      </w:pPr>
      <w:r w:rsidRPr="00BA4F0F">
        <w:t>Каспофунгин, по 50 мг в сутки внутривенно.</w:t>
      </w:r>
    </w:p>
    <w:p w14:paraId="6B5FDF41" w14:textId="77777777" w:rsidR="00E83B26" w:rsidRPr="00BA4F0F" w:rsidRDefault="00E83B26" w:rsidP="00A555B2">
      <w:pPr>
        <w:numPr>
          <w:ilvl w:val="0"/>
          <w:numId w:val="199"/>
        </w:numPr>
        <w:tabs>
          <w:tab w:val="left" w:pos="0"/>
          <w:tab w:val="left" w:pos="567"/>
        </w:tabs>
        <w:ind w:left="0" w:firstLine="0"/>
      </w:pPr>
      <w:r w:rsidRPr="00BA4F0F">
        <w:t>Микафунгин, по 100 мг в сутки внутривенно.</w:t>
      </w:r>
    </w:p>
    <w:p w14:paraId="5804C34A" w14:textId="77777777" w:rsidR="00E83B26" w:rsidRPr="00BA4F0F" w:rsidRDefault="00E83B26" w:rsidP="00A555B2">
      <w:pPr>
        <w:numPr>
          <w:ilvl w:val="0"/>
          <w:numId w:val="199"/>
        </w:numPr>
        <w:tabs>
          <w:tab w:val="left" w:pos="0"/>
          <w:tab w:val="left" w:pos="567"/>
        </w:tabs>
        <w:ind w:left="0" w:firstLine="0"/>
      </w:pPr>
      <w:r w:rsidRPr="00BA4F0F">
        <w:t>Анидулафунгин, по 100 мг в сутки внутривенно.</w:t>
      </w:r>
    </w:p>
    <w:p w14:paraId="49C4CADE" w14:textId="77777777" w:rsidR="00E83B26" w:rsidRPr="00BA4F0F" w:rsidRDefault="00E83B26" w:rsidP="00A555B2">
      <w:pPr>
        <w:numPr>
          <w:ilvl w:val="0"/>
          <w:numId w:val="198"/>
        </w:numPr>
        <w:tabs>
          <w:tab w:val="left" w:pos="0"/>
          <w:tab w:val="left" w:pos="567"/>
        </w:tabs>
        <w:ind w:left="0" w:firstLine="0"/>
      </w:pPr>
      <w:r w:rsidRPr="00BA4F0F">
        <w:t>Пациенты с наличием в анамнезе инвазивного аспергиллеза (обычно один препарат из перечня):</w:t>
      </w:r>
    </w:p>
    <w:p w14:paraId="1DA79073" w14:textId="77777777" w:rsidR="00E83B26" w:rsidRPr="00BA4F0F" w:rsidRDefault="00E83B26" w:rsidP="00A555B2">
      <w:pPr>
        <w:numPr>
          <w:ilvl w:val="0"/>
          <w:numId w:val="200"/>
        </w:numPr>
        <w:tabs>
          <w:tab w:val="left" w:pos="0"/>
          <w:tab w:val="left" w:pos="567"/>
        </w:tabs>
        <w:ind w:left="0" w:firstLine="0"/>
      </w:pPr>
      <w:r w:rsidRPr="00BA4F0F">
        <w:t>Вориконазол, по 200 мг 2 раза в сутки внутрь (в таблетках, натощак) или внутривенно.</w:t>
      </w:r>
    </w:p>
    <w:p w14:paraId="405D5189" w14:textId="77777777" w:rsidR="00E83B26" w:rsidRPr="00BA4F0F" w:rsidRDefault="00E83B26" w:rsidP="00A555B2">
      <w:pPr>
        <w:numPr>
          <w:ilvl w:val="0"/>
          <w:numId w:val="200"/>
        </w:numPr>
        <w:tabs>
          <w:tab w:val="left" w:pos="0"/>
          <w:tab w:val="left" w:pos="567"/>
        </w:tabs>
        <w:ind w:left="0" w:firstLine="0"/>
      </w:pPr>
      <w:r w:rsidRPr="00BA4F0F">
        <w:t>Позаконазол (суспензия), по 200 мг 3 раза в сутки внутрь (после еды).</w:t>
      </w:r>
    </w:p>
    <w:p w14:paraId="570DD2BB" w14:textId="77777777" w:rsidR="00E83B26" w:rsidRPr="00BA4F0F" w:rsidRDefault="00E83B26" w:rsidP="00A555B2">
      <w:pPr>
        <w:numPr>
          <w:ilvl w:val="0"/>
          <w:numId w:val="200"/>
        </w:numPr>
        <w:tabs>
          <w:tab w:val="left" w:pos="0"/>
          <w:tab w:val="left" w:pos="567"/>
        </w:tabs>
        <w:ind w:left="0" w:firstLine="0"/>
      </w:pPr>
      <w:r w:rsidRPr="00BA4F0F">
        <w:t>Итраконазол (суспензия), по 200 мг 2 раза в сутки внутрь (натощак).</w:t>
      </w:r>
    </w:p>
    <w:p w14:paraId="485A213B" w14:textId="77777777" w:rsidR="00E83B26" w:rsidRPr="00BA4F0F" w:rsidRDefault="00E83B26" w:rsidP="00A555B2">
      <w:pPr>
        <w:numPr>
          <w:ilvl w:val="0"/>
          <w:numId w:val="202"/>
        </w:numPr>
        <w:tabs>
          <w:tab w:val="left" w:pos="0"/>
          <w:tab w:val="left" w:pos="567"/>
        </w:tabs>
        <w:ind w:left="0" w:firstLine="0"/>
      </w:pPr>
      <w:r w:rsidRPr="00BA4F0F">
        <w:t>Пациенты с наличием в анамнезе мукормикоза:</w:t>
      </w:r>
    </w:p>
    <w:p w14:paraId="44B9B158" w14:textId="77777777" w:rsidR="00E83B26" w:rsidRPr="00BA4F0F" w:rsidRDefault="00E83B26" w:rsidP="00E83B26">
      <w:pPr>
        <w:tabs>
          <w:tab w:val="left" w:pos="0"/>
          <w:tab w:val="left" w:pos="567"/>
        </w:tabs>
        <w:rPr>
          <w:b/>
        </w:rPr>
      </w:pPr>
      <w:r w:rsidRPr="00BA4F0F">
        <w:t>Позаконазол (суспензия), по 200 мг 3 раза в сутки внутрь (после еды).</w:t>
      </w:r>
      <w:r w:rsidRPr="00BA4F0F">
        <w:rPr>
          <w:b/>
        </w:rPr>
        <w:t xml:space="preserve"> </w:t>
      </w:r>
    </w:p>
    <w:p w14:paraId="22D55FCD" w14:textId="77777777" w:rsidR="00E83B26" w:rsidRPr="00BA4F0F" w:rsidRDefault="00E83B26" w:rsidP="00E83B26">
      <w:pPr>
        <w:pStyle w:val="afe"/>
        <w:ind w:left="0"/>
        <w:rPr>
          <w:rFonts w:cs="Times New Roman"/>
          <w:b/>
          <w:i/>
          <w:szCs w:val="24"/>
        </w:rPr>
      </w:pPr>
    </w:p>
    <w:p w14:paraId="6EC90559" w14:textId="4F700A75" w:rsidR="00E83B26" w:rsidRPr="00BA4F0F" w:rsidRDefault="00E83B26" w:rsidP="00E83B26">
      <w:pPr>
        <w:pStyle w:val="afe"/>
        <w:ind w:left="0"/>
        <w:rPr>
          <w:rFonts w:cs="Times New Roman"/>
          <w:b/>
          <w:i/>
          <w:szCs w:val="24"/>
        </w:rPr>
      </w:pPr>
      <w:r w:rsidRPr="00BA4F0F">
        <w:rPr>
          <w:rFonts w:cs="Times New Roman"/>
          <w:b/>
          <w:i/>
          <w:szCs w:val="24"/>
        </w:rPr>
        <w:t xml:space="preserve">Противовирусная профилактика </w:t>
      </w:r>
      <w:r w:rsidRPr="00BA4F0F">
        <w:rPr>
          <w:rFonts w:cs="Times New Roman"/>
          <w:b/>
          <w:i/>
          <w:szCs w:val="24"/>
        </w:rPr>
        <w:fldChar w:fldCharType="begin" w:fldLock="1"/>
      </w:r>
      <w:r w:rsidR="003B39A6">
        <w:rPr>
          <w:rFonts w:cs="Times New Roman"/>
          <w:b/>
          <w:i/>
          <w:szCs w:val="24"/>
        </w:rPr>
        <w:instrText>ADDIN CSL_CITATION {"citationItems":[{"id":"ITEM-1","itemData":{"DOI":"10.3324/haematol.2014.117176","ISSN":"15928721","PMID":"26432383","abstract":"The European Myeloma Network provides recommendations for the management of the most common complications of multiple myeloma. Whole body low-dose computed tomography is more sensitive than conventional radiography in depicting osteolytic disease and thus we recommend it as the novel standard for the detection of lytic lesions in myeloma (grade 1A). Myeloma patients with adequate renal function and bone disease at diagnosis should be treated with zoledronic acid or pamidronate (grade 1A). Symptomatic patients without lytic lesions on conventional radiography can be treated with zoledronic acid (grade 1B), but its advantage is not clear for patients with no bone involvement on computed tomography or magnetic resonance imaging. In asymptomatic myeloma, bisphosphonates are not recommended (grade 1A). Zoledronic acid should be given continuously, but it is not clear if patients who achieve at least a very good partial response benefit from its continuous use (grade 1B). Treatment with erythropoietic-stimulating agents may be initiated in patients with persistent symptomatic anemia (hemoglobin &lt;10g/dL) in whom other causes of anemia have been excluded (grade 1B). Erythropoietic agents should be stopped after 6-8 weeks if no adequate hemoglobin response is achieved. For renal impairment, bortezomib-based regimens are the current standard of care (grade 1A). For the management of treatment-induced peripheral neuropathy, drug modification is needed (grade 1C). Vaccination against influenza is recommended; vaccination against streptococcus pneumonia and hemophilus influenza is appropriate, but efficacy is not guaranteed due to suboptimal immune response (grade 1C). Prophylactic aciclovir (or valacyclovir) is recommended for patients receiving proteasome inhibitors, autologous or allogeneic transplantation (grade 1A).","author":[{"dropping-particle":"","family":"Terpos","given":"Evangelos","non-dropping-particle":"","parse-names":false,"suffix":""},{"dropping-particle":"","family":"Kleber","given":"Martina","non-dropping-particle":"","parse-names":false,"suffix":""},{"dropping-particle":"","family":"Engelhardt","given":"Monika","non-dropping-particle":"","parse-names":false,"suffix":""},{"dropping-particle":"","family":"Zweegman","given":"Sonja","non-dropping-particle":"","parse-names":false,"suffix":""},{"dropping-particle":"","family":"Gay","given":"Francesca","non-dropping-particle":"","parse-names":false,"suffix":""},{"dropping-particle":"","family":"Kastritis","given":"Efstathios","non-dropping-particle":"","parse-names":false,"suffix":""},{"dropping-particle":"","family":"Donk","given":"Niels W.C.J.","non-dropping-particle":"van de","parse-names":false,"suffix":""},{"dropping-particle":"","family":"Bruno","given":"Benedetto","non-dropping-particle":"","parse-names":false,"suffix":""},{"dropping-particle":"","family":"Sezer","given":"Orhan","non-dropping-particle":"","parse-names":false,"suffix":""},{"dropping-particle":"","family":"Broij","given":"Annemiek","non-dropping-particle":"","parse-names":false,"suffix":""},{"dropping-particle":"","family":"Bringhen","given":"Sara","non-dropping-particle":"","parse-names":false,"suffix":""},{"dropping-particle":"","family":"Beksac","given":"Meral","non-dropping-particle":"","parse-names":false,"suffix":""},{"dropping-particle":"","family":"Larocca","given":"Alessandra","non-dropping-particle":"","parse-names":false,"suffix":""},{"dropping-particle":"","family":"Hajek","given":"Roman","non-dropping-particle":"","parse-names":false,"suffix":""},{"dropping-particle":"","family":"Musto","given":"Pellegrino","non-dropping-particle":"","parse-names":false,"suffix":""},{"dropping-particle":"","family":"Johnsen","given":"Hans Erik","non-dropping-particle":"","parse-names":false,"suffix":""},{"dropping-particle":"","family":"Morabito","given":"Fortunato","non-dropping-particle":"","parse-names":false,"suffix":""},{"dropping-particle":"","family":"Ludwig","given":"Heinz","non-dropping-particle":"","parse-names":false,"suffix":""},{"dropping-particle":"","family":"Cavo","given":"Michele","non-dropping-particle":"","parse-names":false,"suffix":""},{"dropping-particle":"","family":"Einsele","given":"Hermann","non-dropping-particle":"","parse-names":false,"suffix":""},{"dropping-particle":"","family":"Sonneveld","given":"Pieter","non-dropping-particle":"","parse-names":false,"suffix":""},{"dropping-particle":"","family":"Dimopoulos","given":"Meletios A.","non-dropping-particle":"","parse-names":false,"suffix":""},{"dropping-particle":"","family":"Palumbo","given":"Antonio","non-dropping-particle":"","parse-names":false,"suffix":""}],"container-title":"Haematologica","id":"ITEM-1","issue":"10","issued":{"date-parts":[["2015","10"]]},"page":"1254-1266","publisher":"Ferrata Storti Foundation","title":"European myeloma network guidelines for the management of multiple myeloma-related complications","type":"article-journal","volume":"100"},"uris":["http://www.mendeley.com/documents/?uuid=aac7b897-8190-3c23-bc91-e35f2f0c34c2","http://www.mendeley.com/documents/?uuid=d764576b-b83c-433d-b5a2-7dad0d44d988","http://www.mendeley.com/documents/?uuid=ee597520-c0cc-44d1-88eb-388774bd8550","http://www.mendeley.com/documents/?uuid=c0612fc3-d7f0-4ab2-9abe-e086965714f4","http://www.mendeley.com/documents/?uuid=6d6938c8-1c2d-40c8-b1d1-d79df765c05d","http://www.mendeley.com/documents/?uuid=37f5270f-10ba-4092-bf91-5d27dd1c06ee","http://www.mendeley.com/documents/?uuid=b5a58553-9f9f-4514-b08b-dacb77967682","http://www.mendeley.com/documents/?uuid=a2dc2d73-6f14-4a34-af5c-17ae34364204"]}],"mendeley":{"formattedCitation":"[146]","plainTextFormattedCitation":"[146]","previouslyFormattedCitation":"[146]"},"properties":{"noteIndex":0},"schema":"https://github.com/citation-style-language/schema/raw/master/csl-citation.json"}</w:instrText>
      </w:r>
      <w:r w:rsidRPr="00BA4F0F">
        <w:rPr>
          <w:rFonts w:cs="Times New Roman"/>
          <w:b/>
          <w:i/>
          <w:szCs w:val="24"/>
        </w:rPr>
        <w:fldChar w:fldCharType="separate"/>
      </w:r>
      <w:r w:rsidRPr="00E83B26">
        <w:rPr>
          <w:rFonts w:cs="Times New Roman"/>
          <w:noProof/>
          <w:szCs w:val="24"/>
        </w:rPr>
        <w:t>[146]</w:t>
      </w:r>
      <w:r w:rsidRPr="00BA4F0F">
        <w:rPr>
          <w:rFonts w:cs="Times New Roman"/>
          <w:b/>
          <w:i/>
          <w:szCs w:val="24"/>
        </w:rPr>
        <w:fldChar w:fldCharType="end"/>
      </w:r>
    </w:p>
    <w:p w14:paraId="30DF2B48" w14:textId="77777777" w:rsidR="00E83B26" w:rsidRPr="00BA4F0F" w:rsidRDefault="00E83B26" w:rsidP="00A555B2">
      <w:pPr>
        <w:numPr>
          <w:ilvl w:val="0"/>
          <w:numId w:val="197"/>
        </w:numPr>
        <w:tabs>
          <w:tab w:val="left" w:pos="0"/>
          <w:tab w:val="left" w:pos="567"/>
        </w:tabs>
        <w:ind w:left="0" w:firstLine="0"/>
      </w:pPr>
      <w:r w:rsidRPr="00BA4F0F">
        <w:t xml:space="preserve">Показана пациентам, имеющим отягощенный анамнез (частые, рецидивирующие эпизоды герпетических инфекций). </w:t>
      </w:r>
    </w:p>
    <w:p w14:paraId="7C8C3E0C" w14:textId="77777777" w:rsidR="00E83B26" w:rsidRPr="00BA4F0F" w:rsidRDefault="00E83B26" w:rsidP="00A555B2">
      <w:pPr>
        <w:numPr>
          <w:ilvl w:val="0"/>
          <w:numId w:val="197"/>
        </w:numPr>
        <w:tabs>
          <w:tab w:val="left" w:pos="0"/>
          <w:tab w:val="left" w:pos="567"/>
        </w:tabs>
        <w:ind w:left="0" w:firstLine="0"/>
      </w:pPr>
      <w:r w:rsidRPr="00BA4F0F">
        <w:t>Проводится пероральная профилактика валацикловиром в дозе 500 мг 2 раза в сутки или ацикловиром 250 мг/м</w:t>
      </w:r>
      <w:r w:rsidRPr="00BA4F0F">
        <w:rPr>
          <w:vertAlign w:val="superscript"/>
        </w:rPr>
        <w:t>2</w:t>
      </w:r>
      <w:r w:rsidRPr="00BA4F0F">
        <w:t xml:space="preserve"> х 2 раза в сутки с момента начала предтрансплантационного кондиционирования. </w:t>
      </w:r>
    </w:p>
    <w:p w14:paraId="2B354AD8" w14:textId="77777777" w:rsidR="00E83B26" w:rsidRPr="00BA4F0F" w:rsidRDefault="00E83B26" w:rsidP="00E83B26">
      <w:pPr>
        <w:pStyle w:val="afe"/>
        <w:ind w:left="0"/>
        <w:rPr>
          <w:rFonts w:cs="Times New Roman"/>
          <w:b/>
          <w:i/>
          <w:szCs w:val="24"/>
        </w:rPr>
      </w:pPr>
    </w:p>
    <w:p w14:paraId="36851D4E" w14:textId="2CD1959E" w:rsidR="00E83B26" w:rsidRPr="00BA4F0F" w:rsidRDefault="00E83B26" w:rsidP="00E83B26">
      <w:pPr>
        <w:pStyle w:val="afe"/>
        <w:ind w:left="0"/>
        <w:rPr>
          <w:rFonts w:cs="Times New Roman"/>
          <w:b/>
          <w:i/>
          <w:szCs w:val="24"/>
        </w:rPr>
      </w:pPr>
      <w:r w:rsidRPr="00BA4F0F">
        <w:rPr>
          <w:rFonts w:cs="Times New Roman"/>
          <w:b/>
          <w:i/>
          <w:szCs w:val="24"/>
        </w:rPr>
        <w:t xml:space="preserve">Профилактика пневмоцистной пневмонии </w:t>
      </w:r>
      <w:r w:rsidRPr="00BA4F0F">
        <w:rPr>
          <w:rFonts w:cs="Times New Roman"/>
          <w:b/>
          <w:i/>
          <w:szCs w:val="24"/>
        </w:rPr>
        <w:fldChar w:fldCharType="begin" w:fldLock="1"/>
      </w:r>
      <w:r w:rsidR="003B39A6">
        <w:rPr>
          <w:rFonts w:cs="Times New Roman"/>
          <w:b/>
          <w:i/>
          <w:szCs w:val="24"/>
        </w:rPr>
        <w:instrText>ADDIN CSL_CITATION {"citationItems":[{"id":"ITEM-1","itemData":{"author":[{"dropping-particle":"","family":"Савченко В.Г. и др","given":"","non-dropping-particle":"","parse-names":false,"suffix":""}],"id":"ITEM-1","issued":{"date-parts":[["2018"]]},"number-of-pages":"1008","publisher":"Практика","publisher-place":"Москва","title":"Алгоритмы диагностики и протоколы лечения заболеваний системы крови.","type":"book"},"uris":["http://www.mendeley.com/documents/?uuid=f91ae641-8062-4f5f-b416-94b015742043","http://www.mendeley.com/documents/?uuid=2cd270b2-efaf-4da9-a95d-66324661ea35","http://www.mendeley.com/documents/?uuid=fe583573-532c-46dc-b4f4-f9d01345e27c","http://www.mendeley.com/documents/?uuid=26da25a5-bd21-4509-8e88-e4e6744fab98","http://www.mendeley.com/documents/?uuid=a1e2f5d6-ef05-4351-9481-13fad4fd103b","http://www.mendeley.com/documents/?uuid=478d6ce1-e425-4912-87db-adfee39f1ce9","http://www.mendeley.com/documents/?uuid=9cac36ab-7685-4894-b1cb-f141a1797526","http://www.mendeley.com/documents/?uuid=c0eae3a3-34ee-40e1-8813-566cb7fa2b4a"]},{"id":"ITEM-2","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given":"Anna","non-dropping-particle":"","parse-names":false,"suffix":""},{"dropping-particle":"","family":"Rizzi-Puechal","given":"Valérie","non-dropping-particle":"","parse-names":false,"suffix":""},{"dropping-particle":"","family":"Sinko","given":"Janos","non-dropping-particle":"","parse-names":false,"suffix":""},{"dropping-particle":"","family":"Slavin","given":"Monica","non-dropping-particle":"","parse-names":false,"suffix":""},{"dropping-particle":"","family":"Styczynski","given":"Jan","non-dropping-particle":"","parse-names":false,"suffix":""},{"dropping-particle":"","family":"Tweddle","given":"Lorraine","non-dropping-particle":"","parse-names":false,"suffix":""},{"dropping-particle":"","family":"Wood","given":"Craig","non-dropping-particle":"","parse-names":false,"suffix":""}],"container-title":"Journal of Antimicrobial Chemotherapy","id":"ITEM-2","issue":"9","issued":{"date-parts":[["2016","9","1"]]},"page":"1-8","publisher":"Oxford University Press","title":"ECIL guidelines for preventing Pneumocystis jirovecii pneumonia in patients with haematological malignancies and stem cell transplant recipients","type":"bill","volume":"71"},"uris":["http://www.mendeley.com/documents/?uuid=a0eb48bc-4417-4d24-8796-9587f2cfd3b7"]}],"mendeley":{"formattedCitation":"[61,145]","plainTextFormattedCitation":"[61,145]","previouslyFormattedCitation":"[61,145]"},"properties":{"noteIndex":0},"schema":"https://github.com/citation-style-language/schema/raw/master/csl-citation.json"}</w:instrText>
      </w:r>
      <w:r w:rsidRPr="00BA4F0F">
        <w:rPr>
          <w:rFonts w:cs="Times New Roman"/>
          <w:b/>
          <w:i/>
          <w:szCs w:val="24"/>
        </w:rPr>
        <w:fldChar w:fldCharType="separate"/>
      </w:r>
      <w:r w:rsidRPr="00E83B26">
        <w:rPr>
          <w:rFonts w:cs="Times New Roman"/>
          <w:noProof/>
          <w:szCs w:val="24"/>
        </w:rPr>
        <w:t>[61,145]</w:t>
      </w:r>
      <w:r w:rsidRPr="00BA4F0F">
        <w:rPr>
          <w:rFonts w:cs="Times New Roman"/>
          <w:b/>
          <w:i/>
          <w:szCs w:val="24"/>
        </w:rPr>
        <w:fldChar w:fldCharType="end"/>
      </w:r>
    </w:p>
    <w:p w14:paraId="2BC21533" w14:textId="77777777" w:rsidR="00E83B26" w:rsidRPr="00BA4F0F" w:rsidRDefault="00E83B26" w:rsidP="00A555B2">
      <w:pPr>
        <w:numPr>
          <w:ilvl w:val="0"/>
          <w:numId w:val="118"/>
        </w:numPr>
        <w:tabs>
          <w:tab w:val="left" w:pos="0"/>
          <w:tab w:val="left" w:pos="567"/>
        </w:tabs>
        <w:ind w:left="0" w:firstLine="0"/>
      </w:pPr>
      <w:r w:rsidRPr="00BA4F0F">
        <w:t>Показания:</w:t>
      </w:r>
    </w:p>
    <w:p w14:paraId="4FB41387" w14:textId="77777777" w:rsidR="00E83B26" w:rsidRPr="00BA4F0F" w:rsidRDefault="00E83B26" w:rsidP="00A555B2">
      <w:pPr>
        <w:numPr>
          <w:ilvl w:val="0"/>
          <w:numId w:val="156"/>
        </w:numPr>
        <w:tabs>
          <w:tab w:val="left" w:pos="0"/>
          <w:tab w:val="left" w:pos="567"/>
        </w:tabs>
        <w:ind w:left="0" w:firstLine="0"/>
      </w:pPr>
      <w:r w:rsidRPr="00BA4F0F">
        <w:t xml:space="preserve">Терапия глюкокортикоидами. </w:t>
      </w:r>
    </w:p>
    <w:p w14:paraId="4A5DFF41" w14:textId="77777777" w:rsidR="00E83B26" w:rsidRPr="00BA4F0F" w:rsidRDefault="00E83B26" w:rsidP="00A555B2">
      <w:pPr>
        <w:numPr>
          <w:ilvl w:val="0"/>
          <w:numId w:val="156"/>
        </w:numPr>
        <w:tabs>
          <w:tab w:val="left" w:pos="0"/>
          <w:tab w:val="left" w:pos="567"/>
        </w:tabs>
        <w:ind w:left="0" w:firstLine="0"/>
      </w:pPr>
      <w:r w:rsidRPr="00BA4F0F">
        <w:t>Лечение препаратами, приводящими к снижению числа лимфоцитов CD4.</w:t>
      </w:r>
    </w:p>
    <w:p w14:paraId="131638F5" w14:textId="77777777" w:rsidR="00E83B26" w:rsidRPr="00BA4F0F" w:rsidRDefault="00E83B26" w:rsidP="00A555B2">
      <w:pPr>
        <w:numPr>
          <w:ilvl w:val="0"/>
          <w:numId w:val="156"/>
        </w:numPr>
        <w:tabs>
          <w:tab w:val="left" w:pos="0"/>
          <w:tab w:val="left" w:pos="567"/>
        </w:tabs>
        <w:ind w:left="0" w:firstLine="0"/>
      </w:pPr>
      <w:r w:rsidRPr="00BA4F0F">
        <w:t>Пациенты, имеющие в анамнезе пневмоцистную пневмонию.</w:t>
      </w:r>
    </w:p>
    <w:p w14:paraId="5693C866" w14:textId="77777777" w:rsidR="00E83B26" w:rsidRPr="00BA4F0F" w:rsidRDefault="00E83B26" w:rsidP="00A555B2">
      <w:pPr>
        <w:numPr>
          <w:ilvl w:val="0"/>
          <w:numId w:val="157"/>
        </w:numPr>
        <w:tabs>
          <w:tab w:val="left" w:pos="0"/>
          <w:tab w:val="left" w:pos="567"/>
        </w:tabs>
        <w:ind w:left="0" w:firstLine="0"/>
      </w:pPr>
      <w:r w:rsidRPr="00BA4F0F">
        <w:t>Назначают один из следующих препаратов:</w:t>
      </w:r>
    </w:p>
    <w:p w14:paraId="7E7BD023" w14:textId="77777777" w:rsidR="00E83B26" w:rsidRPr="00BA4F0F" w:rsidRDefault="00E83B26" w:rsidP="00A555B2">
      <w:pPr>
        <w:numPr>
          <w:ilvl w:val="0"/>
          <w:numId w:val="156"/>
        </w:numPr>
        <w:tabs>
          <w:tab w:val="left" w:pos="0"/>
          <w:tab w:val="left" w:pos="567"/>
        </w:tabs>
        <w:ind w:left="0" w:firstLine="0"/>
      </w:pPr>
      <w:r w:rsidRPr="00BA4F0F">
        <w:t xml:space="preserve">Триметоприм/сульфаметоксазол назначают по 480 мг ежедневно. </w:t>
      </w:r>
    </w:p>
    <w:p w14:paraId="6EECBBCF" w14:textId="77777777" w:rsidR="00E83B26" w:rsidRPr="00BA4F0F" w:rsidRDefault="00E83B26" w:rsidP="00A555B2">
      <w:pPr>
        <w:numPr>
          <w:ilvl w:val="0"/>
          <w:numId w:val="156"/>
        </w:numPr>
        <w:tabs>
          <w:tab w:val="left" w:pos="0"/>
          <w:tab w:val="left" w:pos="567"/>
        </w:tabs>
        <w:ind w:left="0" w:firstLine="0"/>
      </w:pPr>
      <w:r w:rsidRPr="00BA4F0F">
        <w:t>Дапсон, 100 мг внутрь ежедневно.</w:t>
      </w:r>
    </w:p>
    <w:p w14:paraId="0AEDE006" w14:textId="77777777" w:rsidR="00E83B26" w:rsidRPr="00BA4F0F" w:rsidRDefault="00E83B26" w:rsidP="00A555B2">
      <w:pPr>
        <w:numPr>
          <w:ilvl w:val="0"/>
          <w:numId w:val="156"/>
        </w:numPr>
        <w:tabs>
          <w:tab w:val="left" w:pos="0"/>
          <w:tab w:val="left" w:pos="567"/>
        </w:tabs>
        <w:ind w:left="0" w:firstLine="0"/>
      </w:pPr>
      <w:r w:rsidRPr="00BA4F0F">
        <w:t>Пентамидин, 300 мг в виде аэрозоля через респираторный ингалятор или внутривенно каждые 3—4 недели.</w:t>
      </w:r>
    </w:p>
    <w:p w14:paraId="62B80857" w14:textId="77777777" w:rsidR="00E83B26" w:rsidRPr="00BA4F0F" w:rsidRDefault="00E83B26" w:rsidP="00A555B2">
      <w:pPr>
        <w:numPr>
          <w:ilvl w:val="0"/>
          <w:numId w:val="201"/>
        </w:numPr>
        <w:tabs>
          <w:tab w:val="left" w:pos="0"/>
          <w:tab w:val="left" w:pos="567"/>
        </w:tabs>
        <w:ind w:left="0" w:firstLine="0"/>
      </w:pPr>
      <w:r w:rsidRPr="00BA4F0F">
        <w:t>Препараты применяют в период цитостатической терапии и в течение всего периода нейтропении.</w:t>
      </w:r>
    </w:p>
    <w:p w14:paraId="4924DA5B" w14:textId="77777777" w:rsidR="00E83B26" w:rsidRPr="00BA4F0F" w:rsidRDefault="00E83B26" w:rsidP="00A555B2">
      <w:pPr>
        <w:numPr>
          <w:ilvl w:val="0"/>
          <w:numId w:val="201"/>
        </w:numPr>
        <w:tabs>
          <w:tab w:val="left" w:pos="0"/>
          <w:tab w:val="left" w:pos="567"/>
        </w:tabs>
        <w:ind w:left="0" w:firstLine="0"/>
      </w:pPr>
      <w:r w:rsidRPr="00BA4F0F">
        <w:t xml:space="preserve">Использование триметоприма/сульфаметоксазола одновременно предупреждает инфекции, вызываемые </w:t>
      </w:r>
      <w:r w:rsidRPr="00BA4F0F">
        <w:rPr>
          <w:i/>
        </w:rPr>
        <w:t>Toxoplasma gondii, Listeria monocytogenes, Nocardia asteroides</w:t>
      </w:r>
      <w:r w:rsidRPr="00BA4F0F">
        <w:t xml:space="preserve">. </w:t>
      </w:r>
    </w:p>
    <w:p w14:paraId="25D9AC5A" w14:textId="77777777" w:rsidR="00E83B26" w:rsidRPr="00BA4F0F" w:rsidRDefault="00E83B26" w:rsidP="00E83B26">
      <w:pPr>
        <w:tabs>
          <w:tab w:val="left" w:pos="0"/>
          <w:tab w:val="left" w:pos="284"/>
        </w:tabs>
        <w:rPr>
          <w:b/>
        </w:rPr>
      </w:pPr>
      <w:r w:rsidRPr="00BA4F0F">
        <w:t xml:space="preserve">Пациенты, инфицированные </w:t>
      </w:r>
      <w:r w:rsidRPr="00BA4F0F">
        <w:rPr>
          <w:i/>
        </w:rPr>
        <w:t>Pneumocystis jiroveci</w:t>
      </w:r>
      <w:r w:rsidRPr="00BA4F0F">
        <w:t>, не должны находиться в одной палате с другими иммунокомпрометированными больными.</w:t>
      </w:r>
      <w:r w:rsidRPr="00BA4F0F">
        <w:cr/>
      </w:r>
    </w:p>
    <w:p w14:paraId="2AB5C3A0" w14:textId="77777777" w:rsidR="00E83B26" w:rsidRPr="00BA4F0F" w:rsidRDefault="00E83B26" w:rsidP="00E83B26">
      <w:pPr>
        <w:pStyle w:val="afe"/>
        <w:ind w:left="0"/>
        <w:rPr>
          <w:rFonts w:cs="Times New Roman"/>
          <w:b/>
          <w:i/>
          <w:szCs w:val="24"/>
        </w:rPr>
      </w:pPr>
      <w:r w:rsidRPr="00BA4F0F">
        <w:rPr>
          <w:rFonts w:cs="Times New Roman"/>
          <w:b/>
          <w:i/>
          <w:szCs w:val="24"/>
        </w:rPr>
        <w:t>Иммуноглобулин человеческий</w:t>
      </w:r>
    </w:p>
    <w:p w14:paraId="1A1E9D2E" w14:textId="77777777" w:rsidR="00E83B26" w:rsidRPr="00BA4F0F" w:rsidRDefault="00E83B26" w:rsidP="00E83B26">
      <w:pPr>
        <w:pStyle w:val="afe"/>
        <w:ind w:left="0"/>
        <w:rPr>
          <w:szCs w:val="24"/>
        </w:rPr>
      </w:pPr>
      <w:r w:rsidRPr="00BA4F0F">
        <w:rPr>
          <w:rFonts w:cs="Times New Roman"/>
          <w:szCs w:val="24"/>
        </w:rPr>
        <w:t xml:space="preserve">У пациентов после ауто-ТГСК развивается вторичный иммунодефицит. Для коррекции гипогаммаглобулинемии применяют препараты человеческого иммуноглобулина. Человеческий иммуноглобулин, восполняя дефицит антител, снижает риск развития инфекций у больных со вторичным иммунодефицитом. </w:t>
      </w:r>
    </w:p>
    <w:p w14:paraId="2380AF33" w14:textId="77777777" w:rsidR="00E83B26" w:rsidRPr="00BA4F0F" w:rsidRDefault="00E83B26" w:rsidP="00E83B26">
      <w:pPr>
        <w:pStyle w:val="afe"/>
        <w:ind w:left="0"/>
        <w:rPr>
          <w:szCs w:val="24"/>
        </w:rPr>
      </w:pPr>
      <w:r w:rsidRPr="00BA4F0F">
        <w:rPr>
          <w:rFonts w:cs="Times New Roman"/>
          <w:szCs w:val="24"/>
        </w:rPr>
        <w:t>До выхода больного из МТА рекомендовано введение препарата внутривенно капельно в дозе 0,4 г/кг еженедельно. При тяжелых бактериальных и вирусных инфекциях рекомендовано 0.4-1 г/кг ежедневно в течение 1-4 дней. Перед введением препарат следует согреть до комнатной температуры или температуры тела. Начальная скорость инфузии - 30 кап/мин (1.65 мл/мин), через 10 мин скорость увеличивают до 40 кап/мин (2.2 мл/мин).</w:t>
      </w:r>
    </w:p>
    <w:p w14:paraId="1ACE07EE" w14:textId="77777777" w:rsidR="00E83B26" w:rsidRPr="00BA4F0F" w:rsidRDefault="00E83B26" w:rsidP="00E83B26">
      <w:pPr>
        <w:rPr>
          <w:b/>
          <w:highlight w:val="green"/>
        </w:rPr>
      </w:pPr>
    </w:p>
    <w:p w14:paraId="6D12E51D" w14:textId="77777777" w:rsidR="00E83B26" w:rsidRPr="00BA4F0F" w:rsidRDefault="00E83B26" w:rsidP="00E83B26">
      <w:pPr>
        <w:rPr>
          <w:b/>
        </w:rPr>
      </w:pPr>
      <w:r w:rsidRPr="00BA4F0F">
        <w:rPr>
          <w:b/>
        </w:rPr>
        <w:t xml:space="preserve"> </w:t>
      </w:r>
      <w:bookmarkStart w:id="162" w:name="_Toc44926639"/>
      <w:r w:rsidRPr="00BA4F0F">
        <w:rPr>
          <w:b/>
        </w:rPr>
        <w:t>Трансфузионная терапия</w:t>
      </w:r>
      <w:bookmarkEnd w:id="162"/>
    </w:p>
    <w:p w14:paraId="08EC7775" w14:textId="77777777" w:rsidR="00E83B26" w:rsidRPr="00BA4F0F" w:rsidRDefault="00E83B26" w:rsidP="00E83B26">
      <w:pPr>
        <w:rPr>
          <w:rFonts w:eastAsia="Calibri"/>
        </w:rPr>
      </w:pPr>
      <w:r w:rsidRPr="00BA4F0F">
        <w:rPr>
          <w:rFonts w:eastAsia="Calibri"/>
        </w:rPr>
        <w:t>В ранний пострансплантационный период в связи с развитием анемии, тромбоцитопении, геморрагического синдрома пациентам требуется заместительная терапия компонентами крови. Чаще всего используются эритроцитная масса, тромбоконцентрат, СЗП</w:t>
      </w:r>
    </w:p>
    <w:p w14:paraId="72AF88F6" w14:textId="77777777" w:rsidR="00E83B26" w:rsidRPr="00BA4F0F" w:rsidRDefault="00E83B26" w:rsidP="00E83B26">
      <w:pPr>
        <w:rPr>
          <w:rFonts w:eastAsia="Calibri"/>
        </w:rPr>
      </w:pPr>
      <w:r w:rsidRPr="00BA4F0F">
        <w:rPr>
          <w:rFonts w:eastAsia="Calibri"/>
        </w:rPr>
        <w:t>Показания к переливанию эритроцитсодержащих сред при ауто-ТГСК:</w:t>
      </w:r>
    </w:p>
    <w:p w14:paraId="53262DD1" w14:textId="77777777" w:rsidR="00E83B26" w:rsidRPr="00BA4F0F" w:rsidRDefault="00E83B26" w:rsidP="00A555B2">
      <w:pPr>
        <w:numPr>
          <w:ilvl w:val="0"/>
          <w:numId w:val="209"/>
        </w:numPr>
        <w:ind w:left="0" w:firstLine="709"/>
        <w:contextualSpacing/>
        <w:rPr>
          <w:rFonts w:eastAsia="Calibri"/>
        </w:rPr>
      </w:pPr>
      <w:r w:rsidRPr="00BA4F0F">
        <w:rPr>
          <w:rFonts w:eastAsia="Calibri"/>
        </w:rPr>
        <w:t>Пациентам при значимом снижении гемоглобина и наличии анемических жалоб рекомендованы заместительные трансфузии эритроцитов;</w:t>
      </w:r>
    </w:p>
    <w:p w14:paraId="7AB88CDB" w14:textId="77777777" w:rsidR="00E83B26" w:rsidRPr="00BA4F0F" w:rsidRDefault="00E83B26" w:rsidP="00A555B2">
      <w:pPr>
        <w:numPr>
          <w:ilvl w:val="0"/>
          <w:numId w:val="209"/>
        </w:numPr>
        <w:ind w:left="0" w:firstLine="709"/>
        <w:contextualSpacing/>
        <w:rPr>
          <w:rFonts w:eastAsia="Calibri"/>
        </w:rPr>
      </w:pPr>
      <w:r w:rsidRPr="00BA4F0F">
        <w:rPr>
          <w:rFonts w:eastAsia="Calibri"/>
        </w:rPr>
        <w:t>При активном кровотечении трансфузии эритроцитов показаны при уровне гемоглобина менее 70-90 г/л;</w:t>
      </w:r>
    </w:p>
    <w:p w14:paraId="150096E9" w14:textId="77777777" w:rsidR="00E83B26" w:rsidRPr="00BA4F0F" w:rsidRDefault="00E83B26" w:rsidP="00A555B2">
      <w:pPr>
        <w:numPr>
          <w:ilvl w:val="0"/>
          <w:numId w:val="209"/>
        </w:numPr>
        <w:ind w:left="0" w:firstLine="709"/>
        <w:contextualSpacing/>
        <w:rPr>
          <w:rFonts w:eastAsia="Calibri"/>
        </w:rPr>
      </w:pPr>
      <w:r w:rsidRPr="00BA4F0F">
        <w:rPr>
          <w:rFonts w:eastAsia="Calibri"/>
        </w:rPr>
        <w:t>Пациентам с тяжелыми инфекционными осложнениями (сепсис, пневмония), кардиопатиями (ИБС, миокардит), субарахноидальным кровоизлиянием,  больным старше 60 лет трансфузии эритроцитов рекомендованы при уровне гемоглобина менее 100 г/л;</w:t>
      </w:r>
    </w:p>
    <w:p w14:paraId="52AA2B1B" w14:textId="77777777" w:rsidR="00E83B26" w:rsidRPr="00BA4F0F" w:rsidRDefault="00E83B26" w:rsidP="00A555B2">
      <w:pPr>
        <w:numPr>
          <w:ilvl w:val="0"/>
          <w:numId w:val="209"/>
        </w:numPr>
        <w:ind w:left="0" w:firstLine="709"/>
        <w:contextualSpacing/>
        <w:rPr>
          <w:rFonts w:eastAsia="Calibri"/>
        </w:rPr>
      </w:pPr>
      <w:r w:rsidRPr="00BA4F0F">
        <w:rPr>
          <w:rFonts w:eastAsia="Calibri"/>
        </w:rPr>
        <w:t>Пациентам с хронической анемией трансфузии эритроцитов рекомендованы при уровне гемоглобина менее 60 г/л</w:t>
      </w:r>
    </w:p>
    <w:p w14:paraId="65448911" w14:textId="77777777" w:rsidR="00E83B26" w:rsidRPr="00BA4F0F" w:rsidRDefault="00E83B26" w:rsidP="00E83B26">
      <w:pPr>
        <w:rPr>
          <w:rFonts w:eastAsia="Calibri"/>
        </w:rPr>
      </w:pPr>
      <w:r w:rsidRPr="00BA4F0F">
        <w:rPr>
          <w:rFonts w:eastAsia="Calibri"/>
        </w:rPr>
        <w:t>Показания к переливанию концентратата тромбоцитов при ауто-ТГСК:</w:t>
      </w:r>
    </w:p>
    <w:p w14:paraId="114B3E59" w14:textId="77777777" w:rsidR="00E83B26" w:rsidRPr="00BA4F0F" w:rsidRDefault="00E83B26" w:rsidP="00A555B2">
      <w:pPr>
        <w:numPr>
          <w:ilvl w:val="0"/>
          <w:numId w:val="210"/>
        </w:numPr>
        <w:ind w:left="0" w:firstLine="709"/>
        <w:contextualSpacing/>
        <w:rPr>
          <w:rFonts w:eastAsia="Calibri"/>
        </w:rPr>
      </w:pPr>
      <w:r w:rsidRPr="00BA4F0F">
        <w:rPr>
          <w:rFonts w:eastAsia="Calibri"/>
        </w:rPr>
        <w:t>Снижение тромбоцитов крови менее 20 ×10</w:t>
      </w:r>
      <w:r w:rsidRPr="00BA4F0F">
        <w:rPr>
          <w:rFonts w:eastAsia="Calibri"/>
          <w:vertAlign w:val="superscript"/>
        </w:rPr>
        <w:t>9</w:t>
      </w:r>
      <w:r w:rsidRPr="00BA4F0F">
        <w:rPr>
          <w:rFonts w:eastAsia="Calibri"/>
        </w:rPr>
        <w:t>/л</w:t>
      </w:r>
    </w:p>
    <w:p w14:paraId="0EA3A8C3" w14:textId="77777777" w:rsidR="00E83B26" w:rsidRPr="00BA4F0F" w:rsidRDefault="00E83B26" w:rsidP="00A555B2">
      <w:pPr>
        <w:numPr>
          <w:ilvl w:val="0"/>
          <w:numId w:val="210"/>
        </w:numPr>
        <w:ind w:left="0" w:firstLine="709"/>
        <w:contextualSpacing/>
        <w:rPr>
          <w:rFonts w:eastAsia="Calibri"/>
        </w:rPr>
      </w:pPr>
      <w:r w:rsidRPr="00BA4F0F">
        <w:rPr>
          <w:rFonts w:eastAsia="Calibri"/>
        </w:rPr>
        <w:t>При необходимости выполнения диагностической люмбальной пункции, малоинвазивного вмешательства (эзофагогастродуоденоскопия, бронхоскопия) трансфузия тромбоконцентрата показана при снижении тромбоцитов крови менее 50 ×10</w:t>
      </w:r>
      <w:r w:rsidRPr="00BA4F0F">
        <w:rPr>
          <w:rFonts w:eastAsia="Calibri"/>
          <w:vertAlign w:val="superscript"/>
        </w:rPr>
        <w:t>9</w:t>
      </w:r>
      <w:r w:rsidRPr="00BA4F0F">
        <w:rPr>
          <w:rFonts w:eastAsia="Calibri"/>
        </w:rPr>
        <w:t>/л</w:t>
      </w:r>
    </w:p>
    <w:p w14:paraId="378DFECE" w14:textId="77777777" w:rsidR="00E83B26" w:rsidRPr="00BA4F0F" w:rsidRDefault="00E83B26" w:rsidP="00A555B2">
      <w:pPr>
        <w:numPr>
          <w:ilvl w:val="0"/>
          <w:numId w:val="210"/>
        </w:numPr>
        <w:ind w:left="0" w:firstLine="709"/>
        <w:contextualSpacing/>
        <w:rPr>
          <w:rFonts w:eastAsia="Calibri"/>
        </w:rPr>
      </w:pPr>
      <w:r w:rsidRPr="00BA4F0F">
        <w:rPr>
          <w:rFonts w:eastAsia="Calibri"/>
        </w:rPr>
        <w:t>Наличие геморрагического синдрома – прямое показание к переливанию тромбоконцентрата независимо от лабораторных показателей;</w:t>
      </w:r>
    </w:p>
    <w:p w14:paraId="5D7506FE" w14:textId="77777777" w:rsidR="00E83B26" w:rsidRPr="00BA4F0F" w:rsidRDefault="00E83B26" w:rsidP="00E83B26">
      <w:pPr>
        <w:rPr>
          <w:rFonts w:eastAsia="Calibri"/>
        </w:rPr>
      </w:pPr>
      <w:r w:rsidRPr="00BA4F0F">
        <w:rPr>
          <w:rFonts w:eastAsia="Calibri"/>
        </w:rPr>
        <w:t xml:space="preserve">СЗП является универсальным препаратом для восполнения дефицита факторов свертывания. Показания к применению СЗП при ауто-ТГСК: </w:t>
      </w:r>
    </w:p>
    <w:p w14:paraId="6D9A1629" w14:textId="77777777" w:rsidR="00E83B26" w:rsidRPr="00BA4F0F" w:rsidRDefault="00E83B26" w:rsidP="00A555B2">
      <w:pPr>
        <w:numPr>
          <w:ilvl w:val="0"/>
          <w:numId w:val="211"/>
        </w:numPr>
        <w:ind w:left="0" w:firstLine="709"/>
        <w:contextualSpacing/>
        <w:rPr>
          <w:rFonts w:eastAsia="Calibri"/>
        </w:rPr>
      </w:pPr>
      <w:r w:rsidRPr="00BA4F0F">
        <w:rPr>
          <w:rFonts w:eastAsia="Calibri"/>
        </w:rPr>
        <w:t>Коррекция дефицита известного фактора свертывания, при отсутствии специфического концентрата фактора. Требуется переливание СЗП из расчета 10-15 мл/кг.</w:t>
      </w:r>
    </w:p>
    <w:p w14:paraId="4B512592" w14:textId="77777777" w:rsidR="00E83B26" w:rsidRPr="00BA4F0F" w:rsidRDefault="00E83B26" w:rsidP="00A555B2">
      <w:pPr>
        <w:numPr>
          <w:ilvl w:val="0"/>
          <w:numId w:val="211"/>
        </w:numPr>
        <w:ind w:left="0" w:firstLine="709"/>
        <w:contextualSpacing/>
        <w:rPr>
          <w:rFonts w:eastAsia="Calibri"/>
        </w:rPr>
      </w:pPr>
      <w:r w:rsidRPr="00BA4F0F">
        <w:rPr>
          <w:rFonts w:eastAsia="Calibri"/>
        </w:rPr>
        <w:t>Коррекция геморрагического синдрома</w:t>
      </w:r>
    </w:p>
    <w:p w14:paraId="031B237D" w14:textId="77777777" w:rsidR="00E83B26" w:rsidRPr="00BA4F0F" w:rsidRDefault="00E83B26" w:rsidP="00E83B26">
      <w:pPr>
        <w:rPr>
          <w:rFonts w:eastAsia="Calibri"/>
        </w:rPr>
      </w:pPr>
      <w:r w:rsidRPr="00BA4F0F">
        <w:rPr>
          <w:rFonts w:eastAsia="Calibri"/>
        </w:rPr>
        <w:t xml:space="preserve">Основным показанием к применению криопреципитата при ауто-ТГСК является гипофибриногенемия (фибриноген менее 1 г/л). </w:t>
      </w:r>
    </w:p>
    <w:p w14:paraId="432D36E5" w14:textId="77777777" w:rsidR="00E83B26" w:rsidRPr="00BA4F0F" w:rsidRDefault="00E83B26" w:rsidP="00E83B26">
      <w:pPr>
        <w:rPr>
          <w:rFonts w:eastAsia="Calibri"/>
        </w:rPr>
      </w:pPr>
      <w:r w:rsidRPr="00BA4F0F">
        <w:rPr>
          <w:rFonts w:eastAsia="Calibri"/>
        </w:rPr>
        <w:t>Принимая во внимание, что пациенты с онкогематологическими заболеваниями нуждаются в многократных трансфузиях компонентов крови, с целью профилактики нежелательных реакций и посттрансфузионных осложнений рекомендовано использование компонентов крови со следующими характеристиками:</w:t>
      </w:r>
    </w:p>
    <w:p w14:paraId="389FC9C8" w14:textId="77777777" w:rsidR="00E83B26" w:rsidRPr="00BA4F0F" w:rsidRDefault="00E83B26" w:rsidP="00A555B2">
      <w:pPr>
        <w:numPr>
          <w:ilvl w:val="0"/>
          <w:numId w:val="212"/>
        </w:numPr>
        <w:ind w:left="0" w:firstLine="709"/>
        <w:contextualSpacing/>
        <w:rPr>
          <w:rFonts w:eastAsia="Calibri"/>
        </w:rPr>
      </w:pPr>
      <w:r w:rsidRPr="00BA4F0F">
        <w:rPr>
          <w:rFonts w:eastAsia="Calibri"/>
        </w:rPr>
        <w:t>Лейкоредуциорванные среды;</w:t>
      </w:r>
    </w:p>
    <w:p w14:paraId="650CDF49" w14:textId="77777777" w:rsidR="00E83B26" w:rsidRPr="00BA4F0F" w:rsidRDefault="00E83B26" w:rsidP="00A555B2">
      <w:pPr>
        <w:numPr>
          <w:ilvl w:val="0"/>
          <w:numId w:val="212"/>
        </w:numPr>
        <w:ind w:left="0" w:firstLine="709"/>
        <w:contextualSpacing/>
        <w:rPr>
          <w:rFonts w:eastAsia="Calibri"/>
        </w:rPr>
      </w:pPr>
      <w:r w:rsidRPr="00BA4F0F">
        <w:rPr>
          <w:rFonts w:eastAsia="Calibri"/>
        </w:rPr>
        <w:t>Облученные эритроциты и тромбоциты (гамма-излучение или рентгеновское излучение в дозе 25-50 Гр)</w:t>
      </w:r>
    </w:p>
    <w:p w14:paraId="39DEE75C" w14:textId="77777777" w:rsidR="00E83B26" w:rsidRPr="00BA4F0F" w:rsidRDefault="00E83B26" w:rsidP="00A555B2">
      <w:pPr>
        <w:numPr>
          <w:ilvl w:val="0"/>
          <w:numId w:val="212"/>
        </w:numPr>
        <w:ind w:left="0" w:firstLine="709"/>
        <w:contextualSpacing/>
        <w:rPr>
          <w:rFonts w:eastAsia="Calibri"/>
        </w:rPr>
      </w:pPr>
      <w:r w:rsidRPr="00BA4F0F">
        <w:rPr>
          <w:rFonts w:eastAsia="Calibri"/>
        </w:rPr>
        <w:t>Проведение инактивации патогенов в концентрате тромбоцитов.</w:t>
      </w:r>
    </w:p>
    <w:p w14:paraId="375E8738" w14:textId="77777777" w:rsidR="00E83B26" w:rsidRPr="00BA4F0F" w:rsidRDefault="00E83B26" w:rsidP="00E83B26">
      <w:pPr>
        <w:rPr>
          <w:b/>
          <w:highlight w:val="green"/>
        </w:rPr>
      </w:pPr>
    </w:p>
    <w:p w14:paraId="40763E2B" w14:textId="77777777" w:rsidR="00E83B26" w:rsidRPr="00BA4F0F" w:rsidRDefault="00E83B26" w:rsidP="00E83B26">
      <w:pPr>
        <w:rPr>
          <w:b/>
        </w:rPr>
      </w:pPr>
      <w:r w:rsidRPr="00BA4F0F">
        <w:rPr>
          <w:b/>
        </w:rPr>
        <w:t xml:space="preserve"> </w:t>
      </w:r>
      <w:bookmarkStart w:id="163" w:name="_Toc44926640"/>
      <w:r w:rsidRPr="00BA4F0F">
        <w:rPr>
          <w:b/>
        </w:rPr>
        <w:t>Лабораторный и инструментальный мониторинг в раннем посттрансплантационном периоде</w:t>
      </w:r>
      <w:bookmarkEnd w:id="163"/>
    </w:p>
    <w:p w14:paraId="133BD4C3" w14:textId="77777777" w:rsidR="00E83B26" w:rsidRPr="00BA4F0F" w:rsidRDefault="00E83B26" w:rsidP="00E83B26">
      <w:pPr>
        <w:contextualSpacing/>
        <w:rPr>
          <w:rFonts w:eastAsia="Calibri"/>
        </w:rPr>
      </w:pPr>
      <w:r w:rsidRPr="00BA4F0F">
        <w:rPr>
          <w:rFonts w:eastAsia="Calibri"/>
        </w:rPr>
        <w:t xml:space="preserve">Всем пациентам в раннем посттрансплантационном периоде проводится регулярное исследование общего анализа крови (с целью коррекции анемии и тромбоцитопении), биохимических параметров (с целью коррекции электролитов, гипоальбуминемии), показателей коагулограммы с целью контроля гемостаза, общий анализ мочи, электрокардиограмма и др. методы исследования при необходимости, включая КТ легких, МРТ головного мозга, ХОЛТЕР-ЭКГ. </w:t>
      </w:r>
    </w:p>
    <w:p w14:paraId="795DE7D8" w14:textId="77777777" w:rsidR="00E83B26" w:rsidRPr="00BA4F0F" w:rsidRDefault="00E83B26" w:rsidP="00E83B26">
      <w:pPr>
        <w:contextualSpacing/>
        <w:rPr>
          <w:rFonts w:eastAsia="Calibri"/>
        </w:rPr>
      </w:pPr>
      <w:r w:rsidRPr="00BA4F0F">
        <w:rPr>
          <w:rFonts w:eastAsia="Calibri"/>
        </w:rPr>
        <w:t>Частота исследования данных показателей может изменяться в зависимости от конкретной клинической ситуации.</w:t>
      </w:r>
    </w:p>
    <w:p w14:paraId="229453B7" w14:textId="77777777" w:rsidR="00E83B26" w:rsidRPr="00BA4F0F" w:rsidRDefault="00E83B26" w:rsidP="00E83B26">
      <w:pPr>
        <w:ind w:left="709" w:hanging="709"/>
        <w:contextualSpacing/>
        <w:rPr>
          <w:rFonts w:eastAsia="Calibri"/>
        </w:rPr>
      </w:pPr>
      <w:r w:rsidRPr="00BA4F0F">
        <w:rPr>
          <w:rFonts w:eastAsia="Calibri"/>
        </w:rPr>
        <w:t>• Общий анализ крови 1 раз в 2–3 дня.</w:t>
      </w:r>
    </w:p>
    <w:p w14:paraId="2F5C4BE7" w14:textId="77777777" w:rsidR="00E83B26" w:rsidRPr="00BA4F0F" w:rsidRDefault="00E83B26" w:rsidP="00E83B26">
      <w:pPr>
        <w:ind w:left="709" w:hanging="709"/>
        <w:contextualSpacing/>
        <w:rPr>
          <w:rFonts w:eastAsia="Calibri"/>
        </w:rPr>
      </w:pPr>
      <w:r w:rsidRPr="00BA4F0F">
        <w:rPr>
          <w:rFonts w:eastAsia="Calibri"/>
        </w:rPr>
        <w:t>• Биохимический анализ крови 1 раз в 2–3 дня.</w:t>
      </w:r>
    </w:p>
    <w:p w14:paraId="02D8AE25" w14:textId="77777777" w:rsidR="00E83B26" w:rsidRPr="00BA4F0F" w:rsidRDefault="00E83B26" w:rsidP="00E83B26">
      <w:pPr>
        <w:ind w:left="709" w:hanging="709"/>
        <w:contextualSpacing/>
        <w:rPr>
          <w:rFonts w:eastAsia="Calibri"/>
        </w:rPr>
      </w:pPr>
      <w:r w:rsidRPr="00BA4F0F">
        <w:rPr>
          <w:rFonts w:eastAsia="Calibri"/>
        </w:rPr>
        <w:t>• Коагулограмма 1 раз в 3–4 дня.</w:t>
      </w:r>
    </w:p>
    <w:p w14:paraId="4D9D7105" w14:textId="77777777" w:rsidR="00E83B26" w:rsidRPr="00BA4F0F" w:rsidRDefault="00E83B26" w:rsidP="00E83B26">
      <w:pPr>
        <w:ind w:left="709" w:hanging="709"/>
        <w:contextualSpacing/>
        <w:rPr>
          <w:rFonts w:eastAsia="Calibri"/>
        </w:rPr>
      </w:pPr>
      <w:r w:rsidRPr="00BA4F0F">
        <w:rPr>
          <w:rFonts w:eastAsia="Calibri"/>
        </w:rPr>
        <w:t>• Глюкоза крови 1 раз в 3–4 дня.</w:t>
      </w:r>
    </w:p>
    <w:p w14:paraId="2C05B3C6" w14:textId="77777777" w:rsidR="00E83B26" w:rsidRPr="00BA4F0F" w:rsidRDefault="00E83B26" w:rsidP="00E83B26">
      <w:pPr>
        <w:ind w:left="709" w:hanging="709"/>
        <w:contextualSpacing/>
        <w:rPr>
          <w:rFonts w:eastAsia="Calibri"/>
        </w:rPr>
      </w:pPr>
      <w:r w:rsidRPr="00BA4F0F">
        <w:rPr>
          <w:rFonts w:eastAsia="Calibri"/>
        </w:rPr>
        <w:t>• Общий анализ мочи - еженедельно.</w:t>
      </w:r>
    </w:p>
    <w:p w14:paraId="71CE6D12" w14:textId="77777777" w:rsidR="00E83B26" w:rsidRPr="00BA4F0F" w:rsidRDefault="00E83B26" w:rsidP="00E83B26">
      <w:pPr>
        <w:ind w:left="709" w:hanging="709"/>
        <w:contextualSpacing/>
        <w:rPr>
          <w:rFonts w:eastAsia="Calibri"/>
        </w:rPr>
      </w:pPr>
      <w:r w:rsidRPr="00BA4F0F">
        <w:rPr>
          <w:rFonts w:eastAsia="Calibri"/>
        </w:rPr>
        <w:t>• Электрокардиограмма - еженедельно.</w:t>
      </w:r>
    </w:p>
    <w:p w14:paraId="173B49F2" w14:textId="77777777" w:rsidR="00E83B26" w:rsidRPr="00BA4F0F" w:rsidRDefault="00E83B26" w:rsidP="00E83B26">
      <w:pPr>
        <w:rPr>
          <w:b/>
          <w:highlight w:val="green"/>
        </w:rPr>
      </w:pPr>
      <w:bookmarkStart w:id="164" w:name="_Toc44926641"/>
    </w:p>
    <w:p w14:paraId="58908CDF" w14:textId="77777777" w:rsidR="00E83B26" w:rsidRPr="00BA4F0F" w:rsidRDefault="00E83B26" w:rsidP="00E83B26">
      <w:pPr>
        <w:rPr>
          <w:b/>
        </w:rPr>
      </w:pPr>
      <w:r w:rsidRPr="00BA4F0F">
        <w:rPr>
          <w:b/>
        </w:rPr>
        <w:t>Нутритивная терапия</w:t>
      </w:r>
      <w:bookmarkEnd w:id="164"/>
    </w:p>
    <w:p w14:paraId="3C793D8C" w14:textId="77777777" w:rsidR="00E83B26" w:rsidRPr="00BA4F0F" w:rsidRDefault="00E83B26" w:rsidP="00E83B26">
      <w:pPr>
        <w:ind w:firstLine="851"/>
      </w:pPr>
      <w:r w:rsidRPr="00BA4F0F">
        <w:t>Высокодозная химиотерапия с последующей ауто-ТГСК, длительный период гранулоцитопении, инфекционные осложнения, продолжительный период нахождения в стационаре – основные причины, приводящие к снижению поступления питательных веществ в организм и как следствие общей слабости, снижению физической активности, значимому уменьшению массы тела.</w:t>
      </w:r>
    </w:p>
    <w:p w14:paraId="123B0B57" w14:textId="4B63EACA" w:rsidR="00E83B26" w:rsidRPr="00BA4F0F" w:rsidRDefault="00E83B26" w:rsidP="00E83B26">
      <w:pPr>
        <w:ind w:firstLine="851"/>
      </w:pPr>
      <w:r w:rsidRPr="00BA4F0F">
        <w:t xml:space="preserve">Недостаточным следует считать питание, при котором пациент не может сам обеспечить поступление более чем 60% от своих энергетических потребностей в течение 1–2 недель </w:t>
      </w:r>
      <w:r w:rsidRPr="00BA4F0F">
        <w:fldChar w:fldCharType="begin" w:fldLock="1"/>
      </w:r>
      <w:r w:rsidR="003B39A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d1a841f7-cf41-3658-b869-ec5c58850b6d","http://www.mendeley.com/documents/?uuid=b7d0213d-9037-458b-9137-8ba92417f389","http://www.mendeley.com/documents/?uuid=09a52a75-b0e4-4371-af21-5958257d9c6b","http://www.mendeley.com/documents/?uuid=a93dd076-f883-470f-9078-09d5bea12d18","http://www.mendeley.com/documents/?uuid=260337e2-8643-4a98-b22a-51f427e64df0","http://www.mendeley.com/documents/?uuid=d8f4044a-9d39-4071-8266-cbd0ae05b0d9","http://www.mendeley.com/documents/?uuid=a6673349-099e-4c86-922d-b6b69b73ee38"]},{"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555471fe-b9e3-303f-adcc-eecf69d63698","http://www.mendeley.com/documents/?uuid=ed2f4812-c506-484a-afb7-1bb5dae57ffb","http://www.mendeley.com/documents/?uuid=ddeb6586-712b-4c69-81e8-8e7e497e2d57","http://www.mendeley.com/documents/?uuid=99911acc-feb8-4597-a8e1-899d1f00b719","http://www.mendeley.com/documents/?uuid=dc45015e-2bbd-4e0a-8302-25dcb06c3c4c","http://www.mendeley.com/documents/?uuid=4a1cad31-99e3-4cf2-93ad-17d966d60db9","http://www.mendeley.com/documents/?uuid=c83d4cd9-a0be-448a-84b5-000651ccfa6e"]}],"mendeley":{"formattedCitation":"[147,148]","plainTextFormattedCitation":"[147,148]","previouslyFormattedCitation":"[147,148]"},"properties":{"noteIndex":0},"schema":"https://github.com/citation-style-language/schema/raw/master/csl-citation.json"}</w:instrText>
      </w:r>
      <w:r w:rsidRPr="00BA4F0F">
        <w:fldChar w:fldCharType="separate"/>
      </w:r>
      <w:r w:rsidRPr="00E83B26">
        <w:rPr>
          <w:noProof/>
        </w:rPr>
        <w:t>[147,148]</w:t>
      </w:r>
      <w:r w:rsidRPr="00BA4F0F">
        <w:fldChar w:fldCharType="end"/>
      </w:r>
      <w:r w:rsidRPr="00BA4F0F">
        <w:t>.</w:t>
      </w:r>
    </w:p>
    <w:p w14:paraId="7E2EB629" w14:textId="7ABDDDDB" w:rsidR="00E83B26" w:rsidRPr="00BA4F0F" w:rsidRDefault="00E83B26" w:rsidP="00E83B26">
      <w:pPr>
        <w:ind w:firstLine="851"/>
      </w:pPr>
      <w:r w:rsidRPr="00BA4F0F">
        <w:t xml:space="preserve">По данным ESPEN от 46 до 88% больных онкологического профиля в процессе противоопухолевого лечения требуют дополнительной нутритивной поддержке </w:t>
      </w:r>
      <w:r w:rsidRPr="00BA4F0F">
        <w:fldChar w:fldCharType="begin" w:fldLock="1"/>
      </w:r>
      <w:r w:rsidR="003B39A6">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fa470355-bcfd-3bef-a7a1-086215509c2d","http://www.mendeley.com/documents/?uuid=2da28a52-fa64-480f-9c45-312b59a7027b","http://www.mendeley.com/documents/?uuid=17acaf09-3d29-4b25-b43e-598e8835165d","http://www.mendeley.com/documents/?uuid=113bc17a-cb71-4ba2-afb9-083757d46c9b","http://www.mendeley.com/documents/?uuid=2db47854-c914-42bd-bd4d-a19b47e78e0d","http://www.mendeley.com/documents/?uuid=2475f28c-b7e0-408d-8d85-bd890e4862de","http://www.mendeley.com/documents/?uuid=59e000a3-48e0-4529-8954-5598c41cc72e"]}],"mendeley":{"formattedCitation":"[148,149]","plainTextFormattedCitation":"[148,149]","previouslyFormattedCitation":"[148,149]"},"properties":{"noteIndex":0},"schema":"https://github.com/citation-style-language/schema/raw/master/csl-citation.json"}</w:instrText>
      </w:r>
      <w:r w:rsidRPr="00BA4F0F">
        <w:fldChar w:fldCharType="separate"/>
      </w:r>
      <w:r w:rsidRPr="00E83B26">
        <w:rPr>
          <w:noProof/>
        </w:rPr>
        <w:t>[148,149]</w:t>
      </w:r>
      <w:r w:rsidRPr="00BA4F0F">
        <w:fldChar w:fldCharType="end"/>
      </w:r>
      <w:r w:rsidRPr="00BA4F0F">
        <w:t>.</w:t>
      </w:r>
    </w:p>
    <w:p w14:paraId="610F2D84" w14:textId="436582A4" w:rsidR="00E83B26" w:rsidRPr="00BA4F0F" w:rsidRDefault="00E83B26" w:rsidP="00E83B26">
      <w:pPr>
        <w:ind w:firstLine="851"/>
      </w:pPr>
      <w:r w:rsidRPr="00BA4F0F">
        <w:t xml:space="preserve">Нутритивная поддержка – это способ обеспечения полноценного питания больных с использованием специальных средств, максимально сбалансированных в количественном и качественном соотношении. Нутритивная поддержка необходима не только для поддержания метаболических резервов организма, но и для повышения его устойчивости к проводимой терапии </w:t>
      </w:r>
      <w:r w:rsidRPr="00BA4F0F">
        <w:fldChar w:fldCharType="begin" w:fldLock="1"/>
      </w:r>
      <w:r w:rsidR="003B39A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[147,150]","plainTextFormattedCitation":"[147,150]","previouslyFormattedCitation":"[147,150]"},"properties":{"noteIndex":0},"schema":"https://github.com/citation-style-language/schema/raw/master/csl-citation.json"}</w:instrText>
      </w:r>
      <w:r w:rsidRPr="00BA4F0F">
        <w:fldChar w:fldCharType="separate"/>
      </w:r>
      <w:r w:rsidRPr="00E83B26">
        <w:rPr>
          <w:noProof/>
        </w:rPr>
        <w:t>[147,150]</w:t>
      </w:r>
      <w:r w:rsidRPr="00BA4F0F">
        <w:fldChar w:fldCharType="end"/>
      </w:r>
      <w:r w:rsidRPr="00BA4F0F">
        <w:t>.</w:t>
      </w:r>
    </w:p>
    <w:p w14:paraId="1E520D14" w14:textId="77777777" w:rsidR="00E83B26" w:rsidRPr="00BA4F0F" w:rsidRDefault="00E83B26" w:rsidP="00E83B26">
      <w:pPr>
        <w:rPr>
          <w:u w:val="single"/>
        </w:rPr>
      </w:pPr>
    </w:p>
    <w:p w14:paraId="4CCC6FDD" w14:textId="0D783EF8" w:rsidR="00E83B26" w:rsidRPr="00BA4F0F" w:rsidRDefault="00E83B26" w:rsidP="00E83B26">
      <w:pPr>
        <w:rPr>
          <w:u w:val="single"/>
        </w:rPr>
      </w:pPr>
      <w:r w:rsidRPr="00BA4F0F">
        <w:rPr>
          <w:u w:val="single"/>
        </w:rPr>
        <w:t>Цели нутритивной поддержки</w:t>
      </w:r>
      <w:r w:rsidRPr="00BA4F0F">
        <w:rPr>
          <w:u w:val="single"/>
          <w:lang w:val="en-US"/>
        </w:rPr>
        <w:t xml:space="preserve"> </w:t>
      </w:r>
      <w:r w:rsidRPr="00BA4F0F">
        <w:fldChar w:fldCharType="begin" w:fldLock="1"/>
      </w:r>
      <w:r w:rsidR="003B39A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d1a841f7-cf41-3658-b869-ec5c58850b6d","http://www.mendeley.com/documents/?uuid=b7d0213d-9037-458b-9137-8ba92417f389","http://www.mendeley.com/documents/?uuid=09a52a75-b0e4-4371-af21-5958257d9c6b","http://www.mendeley.com/documents/?uuid=a93dd076-f883-470f-9078-09d5bea12d18","http://www.mendeley.com/documents/?uuid=260337e2-8643-4a98-b22a-51f427e64df0","http://www.mendeley.com/documents/?uuid=d8f4044a-9d39-4071-8266-cbd0ae05b0d9","http://www.mendeley.com/documents/?uuid=a6673349-099e-4c86-922d-b6b69b73ee38"]},{"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555471fe-b9e3-303f-adcc-eecf69d63698","http://www.mendeley.com/documents/?uuid=ed2f4812-c506-484a-afb7-1bb5dae57ffb","http://www.mendeley.com/documents/?uuid=ddeb6586-712b-4c69-81e8-8e7e497e2d57","http://www.mendeley.com/documents/?uuid=99911acc-feb8-4597-a8e1-899d1f00b719","http://www.mendeley.com/documents/?uuid=dc45015e-2bbd-4e0a-8302-25dcb06c3c4c","http://www.mendeley.com/documents/?uuid=4a1cad31-99e3-4cf2-93ad-17d966d60db9","http://www.mendeley.com/documents/?uuid=c83d4cd9-a0be-448a-84b5-000651ccfa6e"]}],"mendeley":{"formattedCitation":"[147,148]","plainTextFormattedCitation":"[147,148]","previouslyFormattedCitation":"[147,148]"},"properties":{"noteIndex":0},"schema":"https://github.com/citation-style-language/schema/raw/master/csl-citation.json"}</w:instrText>
      </w:r>
      <w:r w:rsidRPr="00BA4F0F">
        <w:fldChar w:fldCharType="separate"/>
      </w:r>
      <w:r w:rsidRPr="00E83B26">
        <w:rPr>
          <w:noProof/>
        </w:rPr>
        <w:t>[147,148]</w:t>
      </w:r>
      <w:r w:rsidRPr="00BA4F0F">
        <w:fldChar w:fldCharType="end"/>
      </w:r>
      <w:r w:rsidRPr="00BA4F0F">
        <w:rPr>
          <w:u w:val="single"/>
        </w:rPr>
        <w:t xml:space="preserve">. </w:t>
      </w:r>
    </w:p>
    <w:p w14:paraId="59EC4295" w14:textId="77777777" w:rsidR="00E83B26" w:rsidRPr="00BA4F0F" w:rsidRDefault="00E83B26" w:rsidP="00E83B26">
      <w:pPr>
        <w:ind w:firstLine="142"/>
      </w:pPr>
      <w:r w:rsidRPr="00BA4F0F">
        <w:t>• Поддержание оптимальной массы тела.</w:t>
      </w:r>
    </w:p>
    <w:p w14:paraId="57C32B0A" w14:textId="77777777" w:rsidR="00E83B26" w:rsidRPr="00BA4F0F" w:rsidRDefault="00E83B26" w:rsidP="00E83B26">
      <w:pPr>
        <w:ind w:firstLine="142"/>
      </w:pPr>
      <w:r w:rsidRPr="00BA4F0F">
        <w:t>• Предотвращение или коррекция дефицита макро- и микронутриентов.</w:t>
      </w:r>
    </w:p>
    <w:p w14:paraId="75570176" w14:textId="77777777" w:rsidR="00E83B26" w:rsidRPr="00BA4F0F" w:rsidRDefault="00E83B26" w:rsidP="00E83B26">
      <w:pPr>
        <w:ind w:firstLine="142"/>
      </w:pPr>
      <w:r w:rsidRPr="00BA4F0F">
        <w:t>• Повышение переносимости высокодозной ХТ.</w:t>
      </w:r>
    </w:p>
    <w:p w14:paraId="25DFFC1D" w14:textId="77777777" w:rsidR="00E83B26" w:rsidRPr="00BA4F0F" w:rsidRDefault="00E83B26" w:rsidP="00E83B26">
      <w:pPr>
        <w:ind w:firstLine="142"/>
      </w:pPr>
      <w:r w:rsidRPr="00BA4F0F">
        <w:t>• Снижение выраженности побочных эффектов ХТ.</w:t>
      </w:r>
    </w:p>
    <w:p w14:paraId="1CD79BE9" w14:textId="77777777" w:rsidR="00E83B26" w:rsidRPr="00BA4F0F" w:rsidRDefault="00E83B26" w:rsidP="00E83B26">
      <w:pPr>
        <w:ind w:firstLine="142"/>
      </w:pPr>
      <w:r w:rsidRPr="00BA4F0F">
        <w:t>• Повышение качества жизни.</w:t>
      </w:r>
    </w:p>
    <w:p w14:paraId="1684F60A" w14:textId="77777777" w:rsidR="00E83B26" w:rsidRPr="00BA4F0F" w:rsidRDefault="00E83B26" w:rsidP="00E83B26">
      <w:pPr>
        <w:rPr>
          <w:u w:val="single"/>
        </w:rPr>
      </w:pPr>
    </w:p>
    <w:p w14:paraId="05DFA08C" w14:textId="77777777" w:rsidR="00E83B26" w:rsidRPr="00BA4F0F" w:rsidRDefault="00E83B26" w:rsidP="00E83B26">
      <w:pPr>
        <w:rPr>
          <w:u w:val="single"/>
        </w:rPr>
      </w:pPr>
      <w:r w:rsidRPr="00BA4F0F">
        <w:rPr>
          <w:u w:val="single"/>
        </w:rPr>
        <w:t xml:space="preserve">Показания к нутритивной поддержке </w:t>
      </w:r>
    </w:p>
    <w:p w14:paraId="6F1ED633" w14:textId="77777777" w:rsidR="00E83B26" w:rsidRPr="00BA4F0F" w:rsidRDefault="00E83B26" w:rsidP="00E83B26">
      <w:pPr>
        <w:ind w:firstLine="851"/>
      </w:pPr>
      <w:r w:rsidRPr="00BA4F0F">
        <w:t>Скрининг недостаточности питания должен проводиться на протяжении всего периода лечения. Для диагностики степени недостаточности питания предложено много критериев, основными из которых являются:</w:t>
      </w:r>
    </w:p>
    <w:p w14:paraId="0D0C5D57" w14:textId="77777777" w:rsidR="00E83B26" w:rsidRPr="00BA4F0F" w:rsidRDefault="00E83B26" w:rsidP="00A555B2">
      <w:pPr>
        <w:pStyle w:val="afe"/>
        <w:numPr>
          <w:ilvl w:val="0"/>
          <w:numId w:val="213"/>
        </w:numPr>
        <w:ind w:left="567" w:hanging="425"/>
        <w:rPr>
          <w:rFonts w:cs="Times New Roman"/>
          <w:szCs w:val="24"/>
        </w:rPr>
      </w:pPr>
      <w:r w:rsidRPr="00BA4F0F">
        <w:rPr>
          <w:rFonts w:cs="Times New Roman"/>
          <w:szCs w:val="24"/>
        </w:rPr>
        <w:t>индекс массы тела &lt; 20 кг/м2;</w:t>
      </w:r>
    </w:p>
    <w:p w14:paraId="2E657AFE" w14:textId="77777777" w:rsidR="00E83B26" w:rsidRPr="00BA4F0F" w:rsidRDefault="00E83B26" w:rsidP="00A555B2">
      <w:pPr>
        <w:pStyle w:val="afe"/>
        <w:numPr>
          <w:ilvl w:val="0"/>
          <w:numId w:val="213"/>
        </w:numPr>
        <w:ind w:left="567" w:hanging="425"/>
        <w:rPr>
          <w:rFonts w:cs="Times New Roman"/>
          <w:szCs w:val="24"/>
        </w:rPr>
      </w:pPr>
      <w:r w:rsidRPr="00BA4F0F">
        <w:rPr>
          <w:rFonts w:cs="Times New Roman"/>
          <w:szCs w:val="24"/>
        </w:rPr>
        <w:t>темп потери массы тела;</w:t>
      </w:r>
    </w:p>
    <w:p w14:paraId="062C3872" w14:textId="77777777" w:rsidR="00E83B26" w:rsidRPr="00BA4F0F" w:rsidRDefault="00E83B26" w:rsidP="00A555B2">
      <w:pPr>
        <w:pStyle w:val="afe"/>
        <w:numPr>
          <w:ilvl w:val="0"/>
          <w:numId w:val="213"/>
        </w:numPr>
        <w:ind w:left="567" w:hanging="425"/>
        <w:rPr>
          <w:rFonts w:cs="Times New Roman"/>
          <w:szCs w:val="24"/>
        </w:rPr>
      </w:pPr>
      <w:r w:rsidRPr="00BA4F0F">
        <w:rPr>
          <w:rFonts w:cs="Times New Roman"/>
          <w:szCs w:val="24"/>
        </w:rPr>
        <w:t>гипопротеинемия &lt; 60 г/л или гипоальбуминемия &lt; 30 г/л.;</w:t>
      </w:r>
    </w:p>
    <w:p w14:paraId="697E1C8B" w14:textId="77777777" w:rsidR="00E83B26" w:rsidRPr="00BA4F0F" w:rsidRDefault="00E83B26" w:rsidP="00A555B2">
      <w:pPr>
        <w:pStyle w:val="afe"/>
        <w:numPr>
          <w:ilvl w:val="0"/>
          <w:numId w:val="213"/>
        </w:numPr>
        <w:ind w:left="567" w:hanging="425"/>
        <w:rPr>
          <w:rFonts w:cs="Times New Roman"/>
          <w:szCs w:val="24"/>
        </w:rPr>
      </w:pPr>
      <w:r w:rsidRPr="00BA4F0F">
        <w:rPr>
          <w:rFonts w:cs="Times New Roman"/>
          <w:szCs w:val="24"/>
        </w:rPr>
        <w:t>невозможность адекватного энтерального питания;</w:t>
      </w:r>
    </w:p>
    <w:p w14:paraId="2619E401" w14:textId="77777777" w:rsidR="00E83B26" w:rsidRPr="00BA4F0F" w:rsidRDefault="00E83B26" w:rsidP="00A555B2">
      <w:pPr>
        <w:pStyle w:val="afe"/>
        <w:numPr>
          <w:ilvl w:val="0"/>
          <w:numId w:val="213"/>
        </w:numPr>
        <w:ind w:left="567" w:hanging="425"/>
        <w:rPr>
          <w:rFonts w:cs="Times New Roman"/>
          <w:szCs w:val="24"/>
        </w:rPr>
      </w:pPr>
      <w:r w:rsidRPr="00BA4F0F">
        <w:rPr>
          <w:rFonts w:cs="Times New Roman"/>
          <w:szCs w:val="24"/>
        </w:rPr>
        <w:t xml:space="preserve">побочные проявления высокодозной химиотерапии: </w:t>
      </w:r>
    </w:p>
    <w:p w14:paraId="4A4CB63B" w14:textId="77777777" w:rsidR="00E83B26" w:rsidRPr="00BA4F0F" w:rsidRDefault="00E83B26" w:rsidP="00A555B2">
      <w:pPr>
        <w:pStyle w:val="afe"/>
        <w:numPr>
          <w:ilvl w:val="0"/>
          <w:numId w:val="213"/>
        </w:numPr>
        <w:ind w:left="567" w:hanging="425"/>
        <w:rPr>
          <w:rFonts w:cs="Times New Roman"/>
          <w:szCs w:val="24"/>
        </w:rPr>
      </w:pPr>
      <w:r w:rsidRPr="00BA4F0F">
        <w:rPr>
          <w:rFonts w:cs="Times New Roman"/>
          <w:szCs w:val="24"/>
        </w:rPr>
        <w:t>тошнота,</w:t>
      </w:r>
    </w:p>
    <w:p w14:paraId="7BF7D44A" w14:textId="77777777" w:rsidR="00E83B26" w:rsidRPr="00BA4F0F" w:rsidRDefault="00E83B26" w:rsidP="00A555B2">
      <w:pPr>
        <w:pStyle w:val="afe"/>
        <w:numPr>
          <w:ilvl w:val="0"/>
          <w:numId w:val="213"/>
        </w:numPr>
        <w:ind w:left="567" w:hanging="425"/>
        <w:rPr>
          <w:rFonts w:cs="Times New Roman"/>
          <w:szCs w:val="24"/>
        </w:rPr>
      </w:pPr>
      <w:r w:rsidRPr="00BA4F0F">
        <w:rPr>
          <w:rFonts w:cs="Times New Roman"/>
          <w:szCs w:val="24"/>
        </w:rPr>
        <w:t xml:space="preserve">рвота, </w:t>
      </w:r>
    </w:p>
    <w:p w14:paraId="6D98196F" w14:textId="77777777" w:rsidR="00E83B26" w:rsidRPr="00BA4F0F" w:rsidRDefault="00E83B26" w:rsidP="00A555B2">
      <w:pPr>
        <w:pStyle w:val="afe"/>
        <w:numPr>
          <w:ilvl w:val="0"/>
          <w:numId w:val="213"/>
        </w:numPr>
        <w:ind w:left="567" w:hanging="425"/>
        <w:rPr>
          <w:rFonts w:cs="Times New Roman"/>
          <w:szCs w:val="24"/>
        </w:rPr>
      </w:pPr>
      <w:r w:rsidRPr="00BA4F0F">
        <w:rPr>
          <w:rFonts w:cs="Times New Roman"/>
          <w:szCs w:val="24"/>
        </w:rPr>
        <w:t xml:space="preserve">потеря аппетита, </w:t>
      </w:r>
    </w:p>
    <w:p w14:paraId="7F14AF95" w14:textId="77777777" w:rsidR="00E83B26" w:rsidRPr="00BA4F0F" w:rsidRDefault="00E83B26" w:rsidP="00A555B2">
      <w:pPr>
        <w:pStyle w:val="afe"/>
        <w:numPr>
          <w:ilvl w:val="0"/>
          <w:numId w:val="213"/>
        </w:numPr>
        <w:ind w:left="567" w:hanging="425"/>
        <w:rPr>
          <w:rFonts w:cs="Times New Roman"/>
          <w:szCs w:val="24"/>
        </w:rPr>
      </w:pPr>
      <w:r w:rsidRPr="00BA4F0F">
        <w:rPr>
          <w:rFonts w:cs="Times New Roman"/>
          <w:szCs w:val="24"/>
        </w:rPr>
        <w:t xml:space="preserve">дисфагия, </w:t>
      </w:r>
    </w:p>
    <w:p w14:paraId="57A0D57F" w14:textId="77777777" w:rsidR="00E83B26" w:rsidRPr="00BA4F0F" w:rsidRDefault="00E83B26" w:rsidP="00A555B2">
      <w:pPr>
        <w:pStyle w:val="afe"/>
        <w:numPr>
          <w:ilvl w:val="0"/>
          <w:numId w:val="213"/>
        </w:numPr>
        <w:ind w:left="567" w:hanging="425"/>
        <w:rPr>
          <w:rFonts w:cs="Times New Roman"/>
          <w:szCs w:val="24"/>
        </w:rPr>
      </w:pPr>
      <w:r w:rsidRPr="00BA4F0F">
        <w:rPr>
          <w:rFonts w:cs="Times New Roman"/>
          <w:szCs w:val="24"/>
        </w:rPr>
        <w:t>мукозиты различной степени тяжести,</w:t>
      </w:r>
    </w:p>
    <w:p w14:paraId="502B5868" w14:textId="77777777" w:rsidR="00E83B26" w:rsidRPr="00BA4F0F" w:rsidRDefault="00E83B26" w:rsidP="00A555B2">
      <w:pPr>
        <w:pStyle w:val="afe"/>
        <w:numPr>
          <w:ilvl w:val="0"/>
          <w:numId w:val="213"/>
        </w:numPr>
        <w:ind w:left="567" w:hanging="425"/>
        <w:rPr>
          <w:rFonts w:cs="Times New Roman"/>
          <w:szCs w:val="24"/>
        </w:rPr>
      </w:pPr>
      <w:r w:rsidRPr="00BA4F0F">
        <w:rPr>
          <w:rFonts w:cs="Times New Roman"/>
          <w:szCs w:val="24"/>
        </w:rPr>
        <w:t xml:space="preserve">нарушения вкуса и обоняния, </w:t>
      </w:r>
    </w:p>
    <w:p w14:paraId="29EB5D82" w14:textId="77777777" w:rsidR="00E83B26" w:rsidRPr="00BA4F0F" w:rsidRDefault="00E83B26" w:rsidP="00A555B2">
      <w:pPr>
        <w:pStyle w:val="afe"/>
        <w:numPr>
          <w:ilvl w:val="0"/>
          <w:numId w:val="213"/>
        </w:numPr>
        <w:ind w:left="567" w:hanging="425"/>
        <w:rPr>
          <w:rFonts w:cs="Times New Roman"/>
          <w:szCs w:val="24"/>
        </w:rPr>
      </w:pPr>
      <w:r w:rsidRPr="00BA4F0F">
        <w:rPr>
          <w:rFonts w:cs="Times New Roman"/>
          <w:szCs w:val="24"/>
        </w:rPr>
        <w:t>некротическая энтеропатия средней и тяжелой степени.</w:t>
      </w:r>
    </w:p>
    <w:p w14:paraId="456F01E4" w14:textId="1C77524A" w:rsidR="00E83B26" w:rsidRPr="00BA4F0F" w:rsidRDefault="00E83B26" w:rsidP="00E83B26">
      <w:pPr>
        <w:ind w:firstLine="851"/>
      </w:pPr>
      <w:r w:rsidRPr="00BA4F0F">
        <w:t xml:space="preserve">Своевременное выявление пациентов из группы нутритивного риска позволяет защитить пациента от прогрессирующей потери массы тела и развития рефрактерной кахексии. Для первичного скрининга можно использовать хорошо зарекомендовавшие себя шкалы, такие как NRS-2002, ИНР (индекс нарушения питания по Buzby G.P.), бальную шкалу А.Б.В.Г. (ESMO, 2008), индекс массы тела по Кетле и другие </w:t>
      </w:r>
      <w:r w:rsidRPr="00BA4F0F">
        <w:fldChar w:fldCharType="begin" w:fldLock="1"/>
      </w:r>
      <w:r w:rsidR="003B39A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[147]","plainTextFormattedCitation":"[147]","previouslyFormattedCitation":"[147]"},"properties":{"noteIndex":0},"schema":"https://github.com/citation-style-language/schema/raw/master/csl-citation.json"}</w:instrText>
      </w:r>
      <w:r w:rsidRPr="00BA4F0F">
        <w:fldChar w:fldCharType="separate"/>
      </w:r>
      <w:r w:rsidRPr="00E83B26">
        <w:rPr>
          <w:noProof/>
        </w:rPr>
        <w:t>[147]</w:t>
      </w:r>
      <w:r w:rsidRPr="00BA4F0F">
        <w:fldChar w:fldCharType="end"/>
      </w:r>
      <w:r w:rsidRPr="00BA4F0F">
        <w:t xml:space="preserve"> </w:t>
      </w:r>
      <w:r w:rsidRPr="00BA4F0F">
        <w:fldChar w:fldCharType="begin" w:fldLock="1"/>
      </w:r>
      <w:r w:rsidR="003B39A6">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[148]","plainTextFormattedCitation":"[148]","previouslyFormattedCitation":"[148]"},"properties":{"noteIndex":0},"schema":"https://github.com/citation-style-language/schema/raw/master/csl-citation.json"}</w:instrText>
      </w:r>
      <w:r w:rsidRPr="00BA4F0F">
        <w:fldChar w:fldCharType="separate"/>
      </w:r>
      <w:r w:rsidRPr="00E83B26">
        <w:rPr>
          <w:noProof/>
        </w:rPr>
        <w:t>[148]</w:t>
      </w:r>
      <w:r w:rsidRPr="00BA4F0F">
        <w:fldChar w:fldCharType="end"/>
      </w:r>
      <w:r w:rsidRPr="00BA4F0F">
        <w:t xml:space="preserve"> </w:t>
      </w:r>
      <w:r w:rsidRPr="00BA4F0F">
        <w:fldChar w:fldCharType="begin" w:fldLock="1"/>
      </w:r>
      <w:r w:rsidR="003B39A6">
        <w:instrText>ADDIN CSL_CITATION {"citationItems":[{"id":"ITEM-1","itemData":{"author":[{"dropping-particle":"","family":"Бесова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А.И.","non-dropping-particle":"","parse-names":false,"suffix":""}],"id":"ITEM-1","issued":{"date-parts":[["2014"]]},"title":"Клинические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[149]","plainTextFormattedCitation":"[149]","previouslyFormattedCitation":"[149]"},"properties":{"noteIndex":0},"schema":"https://github.com/citation-style-language/schema/raw/master/csl-citation.json"}</w:instrText>
      </w:r>
      <w:r w:rsidRPr="00BA4F0F">
        <w:fldChar w:fldCharType="separate"/>
      </w:r>
      <w:r w:rsidRPr="00E83B26">
        <w:rPr>
          <w:noProof/>
        </w:rPr>
        <w:t>[149]</w:t>
      </w:r>
      <w:r w:rsidRPr="00BA4F0F">
        <w:fldChar w:fldCharType="end"/>
      </w:r>
      <w:r w:rsidRPr="00BA4F0F">
        <w:t xml:space="preserve">. </w:t>
      </w:r>
    </w:p>
    <w:p w14:paraId="4EA87479" w14:textId="222D3976" w:rsidR="00E83B26" w:rsidRPr="00BA4F0F" w:rsidRDefault="00E83B26" w:rsidP="00E83B26">
      <w:pPr>
        <w:ind w:firstLine="851"/>
      </w:pPr>
      <w:r w:rsidRPr="00BA4F0F">
        <w:t xml:space="preserve">В том случае, если проведение энтерального питания невозможно или неэффективно, необходимо назначать парентеральное питание </w:t>
      </w:r>
      <w:r w:rsidRPr="00BA4F0F">
        <w:fldChar w:fldCharType="begin" w:fldLock="1"/>
      </w:r>
      <w:r w:rsidR="003B39A6">
        <w:instrText>ADDIN CSL_CITATION {"citationItems":[{"id":"ITEM-1","itemData":{"DOI":"10.20960/nh.1361","ISSN":"0212-1611","abstract":"Introducción: La malnutrición es un problema médico frecuente de los pacientes oncológicos que impacta de forma negativa en la calidad de vida. Objetivo: analizar y dar respuesta a diferentes cuestiones a la hora de afrontar el manejo nutricional de un paciente oncológico en la práctica clínica. Métodos: Un grupo multidisciplinar de expertos en Oncología Médica, Farmacia y Nutrición elaboró una lista de temas relacionados con el estado nutricional del paciente oncológico, que fueron agrupados en tres bloques: soporte nutricional; nutrición parenteral (NP) y NP domiciliaria (NPD) en el paciente oncológico. Se realizó una revisión de la literatura que incluyó artículos publicados en español, inglés y francés hasta abril de 2017. El documento se estructuró como un cuestionario con aquellas preguntas que, según el criterio del panel, podrían generar mayor controversia o duda. Resultados: De las 17 cuestiones abordadas, 9 versaron sobre el soporte nutricional; 5 relacionadas con la NP y 3 trataron sobre la NPD. Dentro de las recomendaciones del panel destacar que, en el paciente oncológico, la NP está indicada principalmente cuando no es posible el uso del tubo digestivo y/o la alimentación oral y/o la nutrición enteral no es suficiente o posible. Además, el objetivo de la NPD es mejorar o mantener, el estado de nutrición de un paciente en el ámbito domiciliario. Conclusiones: Esta revisión constituye una herramienta para oncólogos y especialistas responsables del manejo nutricional del paciente con cáncer.","author":[{"dropping-particle":"","family":"Camblor-Álvarez","given":"Miguel","non-dropping-particle":"","parse-names":false,"suffix":""},{"dropping-particle":"","family":"Ocón-Bretón","given":"María Julia","non-dropping-particle":"","parse-names":false,"suffix":""},{"dropping-particle":"","family":"Luengo-Pérez","given":"Luis Miguel","non-dropping-particle":"","parse-names":false,"suffix":""},{"dropping-particle":"","family":"Viruzuela","given":"Juan Antonio","non-dropping-particle":"","parse-names":false,"suffix":""},{"dropping-particle":"","family":"Sendrós-Maroño","given":"María José","non-dropping-particle":"","parse-names":false,"suffix":""},{"dropping-particle":"","family":"Cervera-Peris","given":"Mercedes","non-dropping-particle":"","parse-names":false,"suffix":""},{"dropping-particle":"","family":"Grande","given":"Enrique","non-dropping-particle":"","parse-names":false,"suffix":""},{"dropping-particle":"","family":"Álvarez-Hernández","given":"Julia","non-dropping-particle":"","parse-names":false,"suffix":""},{"dropping-particle":"","family":"Jiménez-Fonseca","given":"Paula","non-dropping-particle":"","parse-names":false,"suffix":""}],"container-title":"Nutrición Hospitalaria","id":"ITEM-1","issue":"1","issued":{"date-parts":[["2018","1"]]},"publisher":"ARAN Ediciones","title":"Soporte nutricional y nutrición parenteral en el paciente oncológico: informe de consenso de un grupo de expertos","type":"article-journal","volume":"35"},"uris":["http://www.mendeley.com/documents/?uuid=2ba4ee95-2957-35dd-a5da-6ddc4066a510","http://www.mendeley.com/documents/?uuid=5fd60395-903b-4161-9de5-593401276b22","http://www.mendeley.com/documents/?uuid=77af6aa2-54a9-4922-85a6-2ba2782c1d0d","http://www.mendeley.com/documents/?uuid=15f2deaa-96e5-4d61-b18b-9ea61e38867f","http://www.mendeley.com/documents/?uuid=bb38c52a-b9be-49b0-b569-e7226cad9509","http://www.mendeley.com/documents/?uuid=cfbf8252-0ba3-48e8-9511-8226f1fa6b44","http://www.mendeley.com/documents/?uuid=28ec27e8-82e5-449f-987c-7f22bad4f962"]}],"mendeley":{"formattedCitation":"[151]","plainTextFormattedCitation":"[151]","previouslyFormattedCitation":"[151]"},"properties":{"noteIndex":0},"schema":"https://github.com/citation-style-language/schema/raw/master/csl-citation.json"}</w:instrText>
      </w:r>
      <w:r w:rsidRPr="00BA4F0F">
        <w:fldChar w:fldCharType="separate"/>
      </w:r>
      <w:r w:rsidRPr="00E83B26">
        <w:rPr>
          <w:noProof/>
        </w:rPr>
        <w:t>[151]</w:t>
      </w:r>
      <w:r w:rsidRPr="00BA4F0F">
        <w:fldChar w:fldCharType="end"/>
      </w:r>
      <w:r w:rsidRPr="00BA4F0F">
        <w:t xml:space="preserve">. Доставка белка должна быть не менее 1 г/кг/сут, однако при возможности нужно стремиться к 1,5 г/кг/сут. </w:t>
      </w:r>
    </w:p>
    <w:p w14:paraId="2F892E55" w14:textId="1A85DD7E" w:rsidR="00E83B26" w:rsidRPr="00BA4F0F" w:rsidRDefault="00E83B26" w:rsidP="00E83B26">
      <w:pPr>
        <w:ind w:firstLine="851"/>
      </w:pPr>
      <w:r w:rsidRPr="00BA4F0F">
        <w:t xml:space="preserve">У больных с сопутствующей хронической почечной недостаточностью белковое обеспечение не должно превышать 1–1,2 г/кг/сут. Энергетическое обеспечение больного с онкологическим заболеванием следует поддерживать на уровне 25–30 ккал/кг/сут </w:t>
      </w:r>
      <w:r w:rsidRPr="00BA4F0F">
        <w:fldChar w:fldCharType="begin" w:fldLock="1"/>
      </w:r>
      <w:r w:rsidR="003B39A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[147]","plainTextFormattedCitation":"[147]","previouslyFormattedCitation":"[147]"},"properties":{"noteIndex":0},"schema":"https://github.com/citation-style-language/schema/raw/master/csl-citation.json"}</w:instrText>
      </w:r>
      <w:r w:rsidRPr="00BA4F0F">
        <w:fldChar w:fldCharType="separate"/>
      </w:r>
      <w:r w:rsidRPr="00E83B26">
        <w:rPr>
          <w:noProof/>
        </w:rPr>
        <w:t>[147]</w:t>
      </w:r>
      <w:r w:rsidRPr="00BA4F0F">
        <w:fldChar w:fldCharType="end"/>
      </w:r>
      <w:r w:rsidRPr="00BA4F0F">
        <w:t xml:space="preserve"> </w:t>
      </w:r>
      <w:r w:rsidRPr="00BA4F0F">
        <w:fldChar w:fldCharType="begin" w:fldLock="1"/>
      </w:r>
      <w:r w:rsidR="003B39A6">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[148]","plainTextFormattedCitation":"[148]","previouslyFormattedCitation":"[148]"},"properties":{"noteIndex":0},"schema":"https://github.com/citation-style-language/schema/raw/master/csl-citation.json"}</w:instrText>
      </w:r>
      <w:r w:rsidRPr="00BA4F0F">
        <w:fldChar w:fldCharType="separate"/>
      </w:r>
      <w:r w:rsidRPr="00E83B26">
        <w:rPr>
          <w:noProof/>
        </w:rPr>
        <w:t>[148]</w:t>
      </w:r>
      <w:r w:rsidRPr="00BA4F0F">
        <w:fldChar w:fldCharType="end"/>
      </w:r>
      <w:r w:rsidRPr="00BA4F0F">
        <w:t>.</w:t>
      </w:r>
    </w:p>
    <w:p w14:paraId="3CC34DB1" w14:textId="77777777" w:rsidR="00E83B26" w:rsidRPr="00BA4F0F" w:rsidRDefault="00E83B26" w:rsidP="00E83B26">
      <w:pPr>
        <w:rPr>
          <w:u w:val="single"/>
        </w:rPr>
      </w:pPr>
    </w:p>
    <w:p w14:paraId="2B885ED6" w14:textId="67B161CB" w:rsidR="00E83B26" w:rsidRPr="00BA4F0F" w:rsidRDefault="00E83B26" w:rsidP="00E83B26">
      <w:pPr>
        <w:rPr>
          <w:u w:val="single"/>
        </w:rPr>
      </w:pPr>
      <w:r w:rsidRPr="00BA4F0F">
        <w:rPr>
          <w:u w:val="single"/>
        </w:rPr>
        <w:t xml:space="preserve">Виды нутритивной поддержки </w:t>
      </w:r>
      <w:r w:rsidRPr="00BA4F0F">
        <w:rPr>
          <w:u w:val="single"/>
        </w:rPr>
        <w:fldChar w:fldCharType="begin" w:fldLock="1"/>
      </w:r>
      <w:r w:rsidR="003B39A6">
        <w:rPr>
          <w:u w:val="single"/>
        </w:rPr>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Oncology","id":"ITEM-2","issue":"5","issued":{"date-parts":[["2018","5"]]},"page":"619-629","publisher":"Springer-Verlag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id":"ITEM-3","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Nutrition","id":"ITEM-3","issue":"1","issued":{"date-parts":[["2017"]]},"page":"11-48","publisher":"Churchill Livingstone","title":"ESPEN guidelines on nutrition in cancer patients","type":"article-journal","volume":"36"},"uris":["http://www.mendeley.com/documents/?uuid=2586b0c4-9eb6-4463-a0ba-87fe84fbad8f"]}],"mendeley":{"formattedCitation":"[147,148,150]","plainTextFormattedCitation":"[147,148,150]","previouslyFormattedCitation":"[147,148,150]"},"properties":{"noteIndex":0},"schema":"https://github.com/citation-style-language/schema/raw/master/csl-citation.json"}</w:instrText>
      </w:r>
      <w:r w:rsidRPr="00BA4F0F">
        <w:rPr>
          <w:u w:val="single"/>
        </w:rPr>
        <w:fldChar w:fldCharType="separate"/>
      </w:r>
      <w:r w:rsidRPr="00E83B26">
        <w:rPr>
          <w:noProof/>
        </w:rPr>
        <w:t>[147,148,150]</w:t>
      </w:r>
      <w:r w:rsidRPr="00BA4F0F">
        <w:rPr>
          <w:u w:val="single"/>
        </w:rPr>
        <w:fldChar w:fldCharType="end"/>
      </w:r>
    </w:p>
    <w:p w14:paraId="29AB01EC" w14:textId="77777777" w:rsidR="00E83B26" w:rsidRPr="00BA4F0F" w:rsidRDefault="00E83B26" w:rsidP="002407AE">
      <w:r w:rsidRPr="00BA4F0F">
        <w:t xml:space="preserve">Выделяют три вида нутритивной поддержки: </w:t>
      </w:r>
    </w:p>
    <w:p w14:paraId="20758DD5" w14:textId="6983A76D" w:rsidR="00E83B26" w:rsidRPr="00BA4F0F" w:rsidRDefault="00E83B26" w:rsidP="00A555B2">
      <w:pPr>
        <w:pStyle w:val="afe"/>
        <w:numPr>
          <w:ilvl w:val="0"/>
          <w:numId w:val="215"/>
        </w:numPr>
      </w:pPr>
      <w:r w:rsidRPr="00BA4F0F">
        <w:t xml:space="preserve">дополнение к пероральному питанию (сипинг) – пероральный прием лечебного (специализированного) питания маленькими глотками; </w:t>
      </w:r>
    </w:p>
    <w:p w14:paraId="58CEE8B6" w14:textId="08150445" w:rsidR="00E83B26" w:rsidRPr="00BA4F0F" w:rsidRDefault="00E83B26" w:rsidP="00A555B2">
      <w:pPr>
        <w:pStyle w:val="afe"/>
        <w:numPr>
          <w:ilvl w:val="0"/>
          <w:numId w:val="215"/>
        </w:numPr>
      </w:pPr>
      <w:r w:rsidRPr="00BA4F0F">
        <w:t xml:space="preserve">энтеральное питание – возможно через назогастральный/назоинтестинальный зонд или через стому (чрескожную, эндоскопическую, лапароскопическую, лапаротомную); </w:t>
      </w:r>
    </w:p>
    <w:p w14:paraId="14C28123" w14:textId="24B8474F" w:rsidR="00E83B26" w:rsidRPr="00BA4F0F" w:rsidRDefault="00E83B26" w:rsidP="00A555B2">
      <w:pPr>
        <w:pStyle w:val="afe"/>
        <w:numPr>
          <w:ilvl w:val="0"/>
          <w:numId w:val="215"/>
        </w:numPr>
      </w:pPr>
      <w:r w:rsidRPr="00BA4F0F">
        <w:t xml:space="preserve">парентеральное питание. </w:t>
      </w:r>
    </w:p>
    <w:p w14:paraId="04E0C83A" w14:textId="77777777" w:rsidR="00E83B26" w:rsidRPr="00BA4F0F" w:rsidRDefault="00E83B26" w:rsidP="002407AE">
      <w:r w:rsidRPr="00BA4F0F">
        <w:t>Энтеральное питание является предпочтительным способом нутритивной поддержки за счет его физиологичности, способности поддерживать функцию кишечника, уменьшать гиперметаболический ответ на повреждение, уменьшать транслокацию бактерий и токсинов из кишечника.</w:t>
      </w:r>
    </w:p>
    <w:p w14:paraId="3E6E0880" w14:textId="77777777" w:rsidR="00E83B26" w:rsidRPr="00BA4F0F" w:rsidRDefault="00E83B26" w:rsidP="00E83B26">
      <w:pPr>
        <w:ind w:firstLine="851"/>
      </w:pPr>
      <w:r w:rsidRPr="00BA4F0F">
        <w:t>Энтеральное питание может проводиться при наличии хотя бы частичной функции ЖКТ. Отсутствие выслушиваемой перистальтики не является противопоказанием для энтерального питания.</w:t>
      </w:r>
    </w:p>
    <w:p w14:paraId="1E48EF84" w14:textId="2142B784" w:rsidR="00E83B26" w:rsidRPr="00BA4F0F" w:rsidRDefault="00E83B26" w:rsidP="00E83B26">
      <w:pPr>
        <w:ind w:firstLine="851"/>
      </w:pPr>
      <w:r w:rsidRPr="00BA4F0F">
        <w:t xml:space="preserve">Классификация смесей для энтерального питания </w:t>
      </w:r>
      <w:r w:rsidRPr="00BA4F0F">
        <w:fldChar w:fldCharType="begin" w:fldLock="1"/>
      </w:r>
      <w:r w:rsidR="003B39A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mendeley":{"formattedCitation":"[147]","plainTextFormattedCitation":"[147]","previouslyFormattedCitation":"[147]"},"properties":{"noteIndex":0},"schema":"https://github.com/citation-style-language/schema/raw/master/csl-citation.json"}</w:instrText>
      </w:r>
      <w:r w:rsidRPr="00BA4F0F">
        <w:fldChar w:fldCharType="separate"/>
      </w:r>
      <w:r w:rsidRPr="00E83B26">
        <w:rPr>
          <w:noProof/>
        </w:rPr>
        <w:t>[147]</w:t>
      </w:r>
      <w:r w:rsidRPr="00BA4F0F">
        <w:fldChar w:fldCharType="end"/>
      </w:r>
    </w:p>
    <w:p w14:paraId="6F196CB3" w14:textId="20F598EB" w:rsidR="00E83B26" w:rsidRPr="00BA4F0F" w:rsidRDefault="00E83B26" w:rsidP="00A555B2">
      <w:pPr>
        <w:pStyle w:val="afe"/>
        <w:numPr>
          <w:ilvl w:val="0"/>
          <w:numId w:val="215"/>
        </w:numPr>
      </w:pPr>
      <w:r w:rsidRPr="00BA4F0F">
        <w:t xml:space="preserve">полимерные: состоят из неизмененных белков, жиров и углеводов; </w:t>
      </w:r>
    </w:p>
    <w:p w14:paraId="4E237312" w14:textId="77777777" w:rsidR="001F1409" w:rsidRDefault="00E83B26" w:rsidP="00A555B2">
      <w:pPr>
        <w:pStyle w:val="afe"/>
        <w:numPr>
          <w:ilvl w:val="0"/>
          <w:numId w:val="215"/>
        </w:numPr>
      </w:pPr>
      <w:r w:rsidRPr="00BA4F0F">
        <w:t xml:space="preserve">олигомерные (полуэлементные): состоят из расщепленных белков и простых углеводов и содержат масла среднецепочечных триглицеридов; </w:t>
      </w:r>
    </w:p>
    <w:p w14:paraId="70CB7337" w14:textId="1DFB561E" w:rsidR="00E83B26" w:rsidRPr="00BA4F0F" w:rsidRDefault="00E83B26" w:rsidP="00A555B2">
      <w:pPr>
        <w:pStyle w:val="afe"/>
        <w:numPr>
          <w:ilvl w:val="0"/>
          <w:numId w:val="215"/>
        </w:numPr>
      </w:pPr>
      <w:r w:rsidRPr="00BA4F0F">
        <w:t xml:space="preserve">смеси для определенных состояний, изготовленные с учетом потребностей конкретного пациента, страдающего тем или иным заболеванием (сахарный диабет, заболевания почек, печени, легких). </w:t>
      </w:r>
    </w:p>
    <w:p w14:paraId="48100568" w14:textId="5BD6B5C4" w:rsidR="00E83B26" w:rsidRPr="00BA4F0F" w:rsidRDefault="00E83B26" w:rsidP="00E83B26">
      <w:pPr>
        <w:ind w:firstLine="851"/>
      </w:pPr>
      <w:r w:rsidRPr="00BA4F0F">
        <w:t xml:space="preserve">Противопоказания к энтеральному питанию </w:t>
      </w:r>
      <w:r w:rsidR="003B39A6">
        <w:fldChar w:fldCharType="begin" w:fldLock="1"/>
      </w:r>
      <w:r w:rsidR="003B39A6">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[147,149]","plainTextFormattedCitation":"[147,149]","previouslyFormattedCitation":"[147,149]"},"properties":{"noteIndex":0},"schema":"https://github.com/citation-style-language/schema/raw/master/csl-citation.json"}</w:instrText>
      </w:r>
      <w:r w:rsidR="003B39A6">
        <w:fldChar w:fldCharType="separate"/>
      </w:r>
      <w:r w:rsidR="003B39A6" w:rsidRPr="003B39A6">
        <w:rPr>
          <w:noProof/>
        </w:rPr>
        <w:t>[147,149]</w:t>
      </w:r>
      <w:r w:rsidR="003B39A6">
        <w:fldChar w:fldCharType="end"/>
      </w:r>
    </w:p>
    <w:p w14:paraId="29AC4D82" w14:textId="13258C51" w:rsidR="00E83B26" w:rsidRPr="00BA4F0F" w:rsidRDefault="00E83B26" w:rsidP="00A555B2">
      <w:pPr>
        <w:pStyle w:val="afe"/>
        <w:numPr>
          <w:ilvl w:val="0"/>
          <w:numId w:val="215"/>
        </w:numPr>
      </w:pPr>
      <w:r w:rsidRPr="00BA4F0F">
        <w:t xml:space="preserve">механическая кишечная непроходимость; </w:t>
      </w:r>
    </w:p>
    <w:p w14:paraId="52264F30" w14:textId="5817F65B" w:rsidR="00E83B26" w:rsidRPr="00BA4F0F" w:rsidRDefault="00E83B26" w:rsidP="00A555B2">
      <w:pPr>
        <w:pStyle w:val="afe"/>
        <w:numPr>
          <w:ilvl w:val="0"/>
          <w:numId w:val="215"/>
        </w:numPr>
      </w:pPr>
      <w:r w:rsidRPr="00BA4F0F">
        <w:t xml:space="preserve">выраженная тошнота и рвота, не купирующаяся антиэметической терапией; </w:t>
      </w:r>
    </w:p>
    <w:p w14:paraId="22B8D1E9" w14:textId="4962072E" w:rsidR="00E83B26" w:rsidRPr="00BA4F0F" w:rsidRDefault="00E83B26" w:rsidP="00A555B2">
      <w:pPr>
        <w:pStyle w:val="afe"/>
        <w:numPr>
          <w:ilvl w:val="0"/>
          <w:numId w:val="215"/>
        </w:numPr>
      </w:pPr>
      <w:r w:rsidRPr="00BA4F0F">
        <w:t xml:space="preserve">гипоксия (раО2 70 мм рт. ст.). </w:t>
      </w:r>
    </w:p>
    <w:p w14:paraId="27599995" w14:textId="77777777" w:rsidR="00E83B26" w:rsidRPr="00BA4F0F" w:rsidRDefault="00E83B26" w:rsidP="00E83B26">
      <w:pPr>
        <w:rPr>
          <w:u w:val="single"/>
        </w:rPr>
      </w:pPr>
    </w:p>
    <w:p w14:paraId="3365BCFA" w14:textId="77777777" w:rsidR="00E83B26" w:rsidRPr="00BA4F0F" w:rsidRDefault="00E83B26" w:rsidP="00E83B26">
      <w:pPr>
        <w:rPr>
          <w:u w:val="single"/>
        </w:rPr>
      </w:pPr>
      <w:r w:rsidRPr="00BA4F0F">
        <w:rPr>
          <w:u w:val="single"/>
        </w:rPr>
        <w:t>Парентеральное питание</w:t>
      </w:r>
    </w:p>
    <w:p w14:paraId="610F801C" w14:textId="39FADEA6" w:rsidR="00E83B26" w:rsidRPr="00BA4F0F" w:rsidRDefault="00E83B26" w:rsidP="00E83B26">
      <w:pPr>
        <w:ind w:firstLine="851"/>
      </w:pPr>
      <w:r w:rsidRPr="00BA4F0F">
        <w:t xml:space="preserve">Показанием к парентеральному питанию является невозможность адекватного энтерального питания более 3 суток </w:t>
      </w:r>
      <w:r w:rsidRPr="00BA4F0F">
        <w:fldChar w:fldCharType="begin" w:fldLock="1"/>
      </w:r>
      <w:r w:rsidR="003B39A6">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[148]","plainTextFormattedCitation":"[148]","previouslyFormattedCitation":"[148]"},"properties":{"noteIndex":0},"schema":"https://github.com/citation-style-language/schema/raw/master/csl-citation.json"}</w:instrText>
      </w:r>
      <w:r w:rsidRPr="00BA4F0F">
        <w:fldChar w:fldCharType="separate"/>
      </w:r>
      <w:r w:rsidRPr="00E83B26">
        <w:rPr>
          <w:noProof/>
        </w:rPr>
        <w:t>[148]</w:t>
      </w:r>
      <w:r w:rsidRPr="00BA4F0F">
        <w:fldChar w:fldCharType="end"/>
      </w:r>
      <w:r w:rsidRPr="00BA4F0F">
        <w:t>. В зависимости от продолжительности парентеральное питание подразделяется на:</w:t>
      </w:r>
    </w:p>
    <w:p w14:paraId="2AB2A257" w14:textId="038A95F2" w:rsidR="00E83B26" w:rsidRPr="00BA4F0F" w:rsidRDefault="00E83B26" w:rsidP="00A555B2">
      <w:pPr>
        <w:pStyle w:val="afe"/>
        <w:numPr>
          <w:ilvl w:val="0"/>
          <w:numId w:val="215"/>
        </w:numPr>
      </w:pPr>
      <w:r w:rsidRPr="00BA4F0F">
        <w:t>краткосрочное ПП (10–15 суток):</w:t>
      </w:r>
    </w:p>
    <w:p w14:paraId="220ABA3A" w14:textId="01D89798" w:rsidR="00E83B26" w:rsidRPr="00BA4F0F" w:rsidRDefault="00E83B26" w:rsidP="00A555B2">
      <w:pPr>
        <w:pStyle w:val="afe"/>
        <w:numPr>
          <w:ilvl w:val="1"/>
          <w:numId w:val="215"/>
        </w:numPr>
      </w:pPr>
      <w:r w:rsidRPr="00BA4F0F">
        <w:t>острый и тяжелый мукозит, илеус, некупируемая рвота;</w:t>
      </w:r>
    </w:p>
    <w:p w14:paraId="1096F5A6" w14:textId="04753069" w:rsidR="00E83B26" w:rsidRPr="00BA4F0F" w:rsidRDefault="00E83B26" w:rsidP="00A555B2">
      <w:pPr>
        <w:pStyle w:val="afe"/>
        <w:numPr>
          <w:ilvl w:val="0"/>
          <w:numId w:val="215"/>
        </w:numPr>
      </w:pPr>
      <w:r w:rsidRPr="00BA4F0F">
        <w:t>длительное (более 30 суток):</w:t>
      </w:r>
    </w:p>
    <w:p w14:paraId="0A5AAC16" w14:textId="02263FC6" w:rsidR="00E83B26" w:rsidRPr="00BA4F0F" w:rsidRDefault="00E83B26" w:rsidP="00A555B2">
      <w:pPr>
        <w:pStyle w:val="afe"/>
        <w:numPr>
          <w:ilvl w:val="1"/>
          <w:numId w:val="215"/>
        </w:numPr>
      </w:pPr>
      <w:r w:rsidRPr="00BA4F0F">
        <w:t>тяжелая мальабсорбция;</w:t>
      </w:r>
    </w:p>
    <w:p w14:paraId="5388861B" w14:textId="2FF1CF4B" w:rsidR="00E83B26" w:rsidRPr="00BA4F0F" w:rsidRDefault="00E83B26" w:rsidP="00A555B2">
      <w:pPr>
        <w:pStyle w:val="afe"/>
        <w:numPr>
          <w:ilvl w:val="1"/>
          <w:numId w:val="215"/>
        </w:numPr>
      </w:pPr>
      <w:r w:rsidRPr="00BA4F0F">
        <w:t>подострый или хронический энтерит;</w:t>
      </w:r>
    </w:p>
    <w:p w14:paraId="378DA9E7" w14:textId="0E0D3D3C" w:rsidR="00E83B26" w:rsidRPr="00BA4F0F" w:rsidRDefault="00E83B26" w:rsidP="00A555B2">
      <w:pPr>
        <w:pStyle w:val="afe"/>
        <w:numPr>
          <w:ilvl w:val="1"/>
          <w:numId w:val="215"/>
        </w:numPr>
      </w:pPr>
      <w:r w:rsidRPr="00BA4F0F">
        <w:t xml:space="preserve">тяжелая энтеропатия </w:t>
      </w:r>
      <w:r w:rsidR="003B39A6">
        <w:fldChar w:fldCharType="begin" w:fldLock="1"/>
      </w:r>
      <w:r w:rsidR="004F29A0">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10.1001/jama.2019.4410","ISSN":"15383598","PMID":"31162570","author":[{"dropping-particle":"","family":"Baiu","given":"Ioana","non-dropping-particle":"","parse-names":false,"suffix":""},{"dropping-particle":"","family":"Spain","given":"David A.","non-dropping-particle":"","parse-names":false,"suffix":""}],"container-title":"JAMA - Journal of the American Medical Association","id":"ITEM-2","issue":"21","issued":{"date-parts":[["2019","6"]]},"page":"2142","publisher":"American Medical Association","title":"Parenteral Nutrition","type":"article","volume":"321"},"uris":["http://www.mendeley.com/documents/?uuid=319ff49c-9a97-32da-a348-b9d79eca400b","http://www.mendeley.com/documents/?uuid=03649143-9c16-417d-8fce-a095e89ff015","http://www.mendeley.com/documents/?uuid=8d92b52e-0af0-435c-9547-6d9170d6c9cc","http://www.mendeley.com/documents/?uuid=49bd1d62-adbc-4b20-8d75-34e8045f6cca","http://www.mendeley.com/documents/?uuid=f45d6235-29b7-40a1-9ebd-0275ed3b5ca7","http://www.mendeley.com/documents/?uuid=34664a84-1020-4ffd-981d-6f9624985d2e","http://www.mendeley.com/documents/?uuid=1967195b-eca8-4ade-9d2d-ff8332f19f7b"]}],"mendeley":{"formattedCitation":"[147,152]","plainTextFormattedCitation":"[147,152]","previouslyFormattedCitation":"[147,152]"},"properties":{"noteIndex":0},"schema":"https://github.com/citation-style-language/schema/raw/master/csl-citation.json"}</w:instrText>
      </w:r>
      <w:r w:rsidR="003B39A6">
        <w:fldChar w:fldCharType="separate"/>
      </w:r>
      <w:r w:rsidR="003B39A6" w:rsidRPr="003B39A6">
        <w:rPr>
          <w:noProof/>
        </w:rPr>
        <w:t>[147,152]</w:t>
      </w:r>
      <w:r w:rsidR="003B39A6">
        <w:fldChar w:fldCharType="end"/>
      </w:r>
      <w:r w:rsidRPr="00BA4F0F">
        <w:t>.</w:t>
      </w:r>
    </w:p>
    <w:p w14:paraId="50BBD291" w14:textId="77777777" w:rsidR="00E83B26" w:rsidRPr="00BA4F0F" w:rsidRDefault="00E83B26" w:rsidP="00E83B26">
      <w:pPr>
        <w:ind w:firstLine="851"/>
      </w:pPr>
      <w:r w:rsidRPr="00BA4F0F">
        <w:t xml:space="preserve">Необходимые организму нутриенты вводятся непосредственно в кровь. Основными составляющими парентерального питания являются: </w:t>
      </w:r>
    </w:p>
    <w:p w14:paraId="5089E1BC" w14:textId="1809068C" w:rsidR="00E83B26" w:rsidRPr="00BA4F0F" w:rsidRDefault="00E83B26" w:rsidP="00A555B2">
      <w:pPr>
        <w:pStyle w:val="afe"/>
        <w:numPr>
          <w:ilvl w:val="0"/>
          <w:numId w:val="215"/>
        </w:numPr>
      </w:pPr>
      <w:r w:rsidRPr="00BA4F0F">
        <w:t xml:space="preserve">источники энергии: 10–20% растворы углеводов, жировые эмульсии; </w:t>
      </w:r>
    </w:p>
    <w:p w14:paraId="54A5DA10" w14:textId="7D25AD70" w:rsidR="00E83B26" w:rsidRPr="00BA4F0F" w:rsidRDefault="00E83B26" w:rsidP="00A555B2">
      <w:pPr>
        <w:pStyle w:val="afe"/>
        <w:numPr>
          <w:ilvl w:val="0"/>
          <w:numId w:val="215"/>
        </w:numPr>
      </w:pPr>
      <w:r w:rsidRPr="00BA4F0F">
        <w:t xml:space="preserve">источники пластического материала: растворы кристаллических аминокислот; </w:t>
      </w:r>
    </w:p>
    <w:p w14:paraId="79AB7FCF" w14:textId="08576A0F" w:rsidR="00E83B26" w:rsidRPr="00BA4F0F" w:rsidRDefault="00E83B26" w:rsidP="00A555B2">
      <w:pPr>
        <w:pStyle w:val="afe"/>
        <w:numPr>
          <w:ilvl w:val="0"/>
          <w:numId w:val="215"/>
        </w:numPr>
      </w:pPr>
      <w:r w:rsidRPr="00BA4F0F">
        <w:t xml:space="preserve">поливитаминные комплексы для парентерального введения: – препараты водорастворимых витаминов; – препараты жирорастворимых витаминов; – препараты водо- и жирорастворимых витаминов; – комплексы микроэлементов для парентерального введения </w:t>
      </w:r>
      <w:r w:rsidRPr="00BA4F0F">
        <w:fldChar w:fldCharType="begin" w:fldLock="1"/>
      </w:r>
      <w:r w:rsidR="003B39A6">
        <w:instrText>ADDIN CSL_CITATION {"citationItems":[{"id":"ITEM-1","itemData":{"DOI":"10.1007/s12094-017-1757-4","ISSN":"16993055","PMID":"29043569","abstract":"Background: Malnutrition is a frequent medical problem of cancer patients that negatively impacts their quality of life. Methods: A multidisciplinary group of experts in Medical Oncology, Pharmacy, and Nutrition convened to discuss the management of the nutritional support in cancer patients. Results: Of the 18 questions addressed, 9 focused on nutritional support, 5 were related to parenteral nutrition (PN) and 4 about home PN (HPN). The panel of experts recommends using nutritional screening routinely, at diagnosis and throughout the disease course, for detecting the risk of malnutrition and, if it is positive, to perform a complete nutritional assessment, to diagnose malnutrition. Currently, there are different screening tools and methods that allow us to detect nutritional risk. Based on the evidence and experience, the panel stated that PN is indicated mainly when it is not possible to use the digestive tract and/or oral feeding and/or enteral nutrition is not sufficient or possible. The nutritional needs of the cancer patients, except in those cases where individualized measures are required, should be considered similar to healthy individuals (25–30 kcal/kg/day). The panel considers that the nutritional monitoring of the cancer patient should be multidisciplinary and adapted to the characteristics of each center. Additionally, the objective of the HPN is to improve or maintain the nutritional status of a patient at home. Conclusions: This document seeks to lay down a set of recommendations and to identify key issues that may be useful for the nutritional management of cancer patients.","author":[{"dropping-particle":"","family":"Virizuela","given":"J. A.","non-dropping-particle":"","parse-names":false,"suffix":""},{"dropping-particle":"","family":"Camblor-Álvarez","given":"M.","non-dropping-particle":"","parse-names":false,"suffix":""},{"dropping-particle":"","family":"Luengo-Pérez","given":"L. M.","non-dropping-particle":"","parse-names":false,"suffix":""},{"dropping-particle":"","family":"Grande","given":"E.","non-dropping-particle":"","parse-names":false,"suffix":""},{"dropping-particle":"","family":"Álvarez-Hernández","given":"J.","non-dropping-particle":"","parse-names":false,"suffix":""},{"dropping-particle":"","family":"Sendrós-Madroño","given":"M. J.","non-dropping-particle":"","parse-names":false,"suffix":""},{"dropping-particle":"","family":"Jiménez-Fonseca","given":"P.","non-dropping-particle":"","parse-names":false,"suffix":""},{"dropping-particle":"","family":"Cervera-Peris","given":"M.","non-dropping-particle":"","parse-names":false,"suffix":""},{"dropping-particle":"","family":"Ocón-Bretón","given":"M. J.","non-dropping-particle":"","parse-names":false,"suffix":""}],"container-title":"Clinical and Translational Oncology","id":"ITEM-1","issue":"5","issued":{"date-parts":[["2018","5"]]},"page":"619-629","publisher":"Springer-Verlag Italia s.r.l.","title":"Nutritional support and parenteral nutrition in cancer patients: an expert consensus report","type":"article-journal","volume":"20"},"uris":["http://www.mendeley.com/documents/?uuid=c83d4cd9-a0be-448a-84b5-000651ccfa6e","http://www.mendeley.com/documents/?uuid=4a1cad31-99e3-4cf2-93ad-17d966d60db9","http://www.mendeley.com/documents/?uuid=dc45015e-2bbd-4e0a-8302-25dcb06c3c4c","http://www.mendeley.com/documents/?uuid=99911acc-feb8-4597-a8e1-899d1f00b719","http://www.mendeley.com/documents/?uuid=ddeb6586-712b-4c69-81e8-8e7e497e2d57","http://www.mendeley.com/documents/?uuid=ed2f4812-c506-484a-afb7-1bb5dae57ffb","http://www.mendeley.com/documents/?uuid=555471fe-b9e3-303f-adcc-eecf69d63698"]}],"mendeley":{"formattedCitation":"[148]","plainTextFormattedCitation":"[148]","previouslyFormattedCitation":"[148]"},"properties":{"noteIndex":0},"schema":"https://github.com/citation-style-language/schema/raw/master/csl-citation.json"}</w:instrText>
      </w:r>
      <w:r w:rsidRPr="00BA4F0F">
        <w:fldChar w:fldCharType="separate"/>
      </w:r>
      <w:r w:rsidRPr="00E83B26">
        <w:rPr>
          <w:noProof/>
        </w:rPr>
        <w:t>[148]</w:t>
      </w:r>
      <w:r w:rsidRPr="00BA4F0F">
        <w:fldChar w:fldCharType="end"/>
      </w:r>
      <w:r w:rsidRPr="00BA4F0F">
        <w:t xml:space="preserve">. </w:t>
      </w:r>
    </w:p>
    <w:p w14:paraId="43532CE6" w14:textId="15BA6573" w:rsidR="00E83B26" w:rsidRPr="00BA4F0F" w:rsidRDefault="00E83B26" w:rsidP="00E83B26">
      <w:pPr>
        <w:ind w:firstLine="851"/>
      </w:pPr>
      <w:r w:rsidRPr="00BA4F0F">
        <w:t xml:space="preserve">Системы парентерального питания </w:t>
      </w:r>
      <w:r w:rsidR="004F29A0">
        <w:fldChar w:fldCharType="begin" w:fldLock="1"/>
      </w:r>
      <w:r w:rsidR="004F29A0">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[147,150]","plainTextFormattedCitation":"[147,150]","previouslyFormattedCitation":"[147,150]"},"properties":{"noteIndex":0},"schema":"https://github.com/citation-style-language/schema/raw/master/csl-citation.json"}</w:instrText>
      </w:r>
      <w:r w:rsidR="004F29A0">
        <w:fldChar w:fldCharType="separate"/>
      </w:r>
      <w:r w:rsidR="004F29A0" w:rsidRPr="004F29A0">
        <w:rPr>
          <w:noProof/>
        </w:rPr>
        <w:t>[147,150]</w:t>
      </w:r>
      <w:r w:rsidR="004F29A0">
        <w:fldChar w:fldCharType="end"/>
      </w:r>
    </w:p>
    <w:p w14:paraId="68EE4167" w14:textId="1C050AEC" w:rsidR="00E83B26" w:rsidRPr="00BA4F0F" w:rsidRDefault="00E83B26" w:rsidP="00A555B2">
      <w:pPr>
        <w:pStyle w:val="afe"/>
        <w:numPr>
          <w:ilvl w:val="0"/>
          <w:numId w:val="215"/>
        </w:numPr>
      </w:pPr>
      <w:r w:rsidRPr="00BA4F0F">
        <w:t xml:space="preserve">«модульная» – использование флаконов с аминокислотами, глюкозой, жировыми эмульсиями; (главным недостатком данного метода является различная скорость введения препаратов); </w:t>
      </w:r>
    </w:p>
    <w:p w14:paraId="1750020F" w14:textId="4D2E475D" w:rsidR="00E83B26" w:rsidRPr="00BA4F0F" w:rsidRDefault="00E83B26" w:rsidP="00A555B2">
      <w:pPr>
        <w:pStyle w:val="afe"/>
        <w:numPr>
          <w:ilvl w:val="0"/>
          <w:numId w:val="215"/>
        </w:numPr>
      </w:pPr>
      <w:r w:rsidRPr="00BA4F0F">
        <w:t xml:space="preserve">система «все в одном» предполагает использование двух- и трехкомпонентных контейнеров с подобранным необходимым количеством и метаболически верным соотношением аминокислот, глюкозы, липидов и электролитов. </w:t>
      </w:r>
    </w:p>
    <w:p w14:paraId="736BB3AA" w14:textId="4CDB6EB3" w:rsidR="00E83B26" w:rsidRPr="00BA4F0F" w:rsidRDefault="00E83B26" w:rsidP="00E83B26">
      <w:pPr>
        <w:ind w:firstLine="851"/>
      </w:pPr>
      <w:r w:rsidRPr="00BA4F0F">
        <w:t xml:space="preserve">Противопоказания к парентеральному питанию </w:t>
      </w:r>
      <w:r w:rsidR="004F29A0">
        <w:fldChar w:fldCharType="begin" w:fldLock="1"/>
      </w:r>
      <w:r w:rsidR="004F29A0">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DOI":"10.1016/j.clnu.2016.07.015","ISSN":"15321983","PMID":"27637832","abstract":"Cancers are among the leading causes of morbidity and mortality worldwide, and the number of new cases is expected to rise significantly over the next decades. At the same time, all types of cancer treatment, such as surgery, radiation therapy, and pharmacological therapies are improving in sophistication, precision and in the power to target specific characteristics of individual cancers. Thus, while many cancers may still not be cured they may be converted to chronic diseases. All of these treatments, however, are impeded or precluded by the frequent development of malnutrition and metabolic derangements in cancer patients, induced by the tumor or by its treatment. These evidence-based guidelines were developed to translate current best evidence and expert opinion into recommendations for multi-disciplinary teams responsible for identification, prevention, and treatment of reversible elements of malnutrition in adult cancer patients. The guidelines were commissioned and financially supported by ESPEN and by the European Partnership for Action Against Cancer (EPAAC), an EU level initiative. Members of the guideline group were selected by ESPEN to include a range of professions and fields of expertise. We searched for meta-analyses, systematic reviews and comparative studies based on clinical questions according to the PICO format. The evidence was evaluated and merged to develop clinical recommendations using the GRADE method. Due to the deficits in the available evidence, relevant still open questions were listed and should be addressed by future studies. Malnutrition and a loss of muscle mass are frequent in cancer patients and have a negative effect on clinical outcome. They may be driven by inadequate food intake, decreased physical activity and catabolic metabolic derangements. To screen for, prevent, assess in detail, monitor and treat malnutrition standard operating procedures, responsibilities and a quality control process should be established at each institution involved in treating cancer patients. All cancer patients should be screened regularly for the risk or the presence of malnutrition. In all patients – with the exception of end of life care – energy and substrate requirements should be met by offering in a step-wise manner nutritional interventions from counseling to parenteral nutrition. However, benefits and risks of nutritional interventions have to be balanced with special consideration in patients with advanced disease. Nutrition…","author":[{"dropping-particle":"","family":"Arends","given":"Jann","non-dropping-particle":"","parse-names":false,"suffix":""},{"dropping-particle":"","family":"Bachmann","given":"Patrick","non-dropping-particle":"","parse-names":false,"suffix":""},{"dropping-particle":"","family":"Baracos","given":"Vickie","non-dropping-particle":"","parse-names":false,"suffix":""},{"dropping-particle":"","family":"Barthelemy","given":"Nicole","non-dropping-particle":"","parse-names":false,"suffix":""},{"dropping-particle":"","family":"Bertz","given":"Hartmut","non-dropping-particle":"","parse-names":false,"suffix":""},{"dropping-particle":"","family":"Bozzetti","given":"Federico","non-dropping-particle":"","parse-names":false,"suffix":""},{"dropping-particle":"","family":"Fearon","given":"Ken","non-dropping-particle":"","parse-names":false,"suffix":""},{"dropping-particle":"","family":"Hütterer","given":"Elisabeth","non-dropping-particle":"","parse-names":false,"suffix":""},{"dropping-particle":"","family":"Isenring","given":"Elizabeth","non-dropping-particle":"","parse-names":false,"suffix":""},{"dropping-particle":"","family":"Kaasa","given":"Stein","non-dropping-particle":"","parse-names":false,"suffix":""},{"dropping-particle":"","family":"Krznaric","given":"Zeljko","non-dropping-particle":"","parse-names":false,"suffix":""},{"dropping-particle":"","family":"Laird","given":"Barry","non-dropping-particle":"","parse-names":false,"suffix":""},{"dropping-particle":"","family":"Larsson","given":"Maria","non-dropping-particle":"","parse-names":false,"suffix":""},{"dropping-particle":"","family":"Laviano","given":"Alessandro","non-dropping-particle":"","parse-names":false,"suffix":""},{"dropping-particle":"","family":"Mühlebach","given":"Stefan","non-dropping-particle":"","parse-names":false,"suffix":""},{"dropping-particle":"","family":"Muscaritoli","given":"Maurizio","non-dropping-particle":"","parse-names":false,"suffix":""},{"dropping-particle":"","family":"Oldervoll","given":"Line","non-dropping-particle":"","parse-names":false,"suffix":""},{"dropping-particle":"","family":"Ravasco","given":"Paula","non-dropping-particle":"","parse-names":false,"suffix":""},{"dropping-particle":"","family":"Solheim","given":"Tora","non-dropping-particle":"","parse-names":false,"suffix":""},{"dropping-particle":"","family":"Strasser","given":"Florian","non-dropping-particle":"","parse-names":false,"suffix":""},{"dropping-particle":"","family":"van der Schueren","given":"Marian","non-dropping-particle":"de","parse-names":false,"suffix":""},{"dropping-particle":"","family":"Preiser","given":"Jean Charles","non-dropping-particle":"","parse-names":false,"suffix":""}],"container-title":"Clinical Nutrition","id":"ITEM-2","issue":"1","issued":{"date-parts":[["2017"]]},"page":"11-48","publisher":"Churchill Livingstone","title":"ESPEN guidelines on nutrition in cancer patients","type":"article-journal","volume":"36"},"uris":["http://www.mendeley.com/documents/?uuid=2586b0c4-9eb6-4463-a0ba-87fe84fbad8f"]}],"mendeley":{"formattedCitation":"[147,150]","plainTextFormattedCitation":"[147,150]","previouslyFormattedCitation":"[147,150]"},"properties":{"noteIndex":0},"schema":"https://github.com/citation-style-language/schema/raw/master/csl-citation.json"}</w:instrText>
      </w:r>
      <w:r w:rsidR="004F29A0">
        <w:fldChar w:fldCharType="separate"/>
      </w:r>
      <w:r w:rsidR="004F29A0" w:rsidRPr="004F29A0">
        <w:rPr>
          <w:noProof/>
        </w:rPr>
        <w:t>[147,150]</w:t>
      </w:r>
      <w:r w:rsidR="004F29A0">
        <w:fldChar w:fldCharType="end"/>
      </w:r>
    </w:p>
    <w:p w14:paraId="05D88622" w14:textId="7B095744" w:rsidR="00E83B26" w:rsidRPr="00BA4F0F" w:rsidRDefault="00E83B26" w:rsidP="00A555B2">
      <w:pPr>
        <w:pStyle w:val="afe"/>
        <w:numPr>
          <w:ilvl w:val="0"/>
          <w:numId w:val="215"/>
        </w:numPr>
      </w:pPr>
      <w:r w:rsidRPr="00BA4F0F">
        <w:t>возможность энтерального питания;</w:t>
      </w:r>
    </w:p>
    <w:p w14:paraId="5E9E861D" w14:textId="4A218E10" w:rsidR="00E83B26" w:rsidRPr="00BA4F0F" w:rsidRDefault="00E83B26" w:rsidP="00A555B2">
      <w:pPr>
        <w:pStyle w:val="afe"/>
        <w:numPr>
          <w:ilvl w:val="0"/>
          <w:numId w:val="215"/>
        </w:numPr>
      </w:pPr>
      <w:r w:rsidRPr="00BA4F0F">
        <w:t xml:space="preserve">невозможность обеспечения адекватного сосудистого доступа; </w:t>
      </w:r>
    </w:p>
    <w:p w14:paraId="028BF67B" w14:textId="1FB3D3C8" w:rsidR="00E83B26" w:rsidRPr="00BA4F0F" w:rsidRDefault="00E83B26" w:rsidP="00A555B2">
      <w:pPr>
        <w:pStyle w:val="afe"/>
        <w:numPr>
          <w:ilvl w:val="0"/>
          <w:numId w:val="215"/>
        </w:numPr>
      </w:pPr>
      <w:r w:rsidRPr="00BA4F0F">
        <w:t xml:space="preserve">отсутствие признаков белково-энергетической недостаточности; </w:t>
      </w:r>
    </w:p>
    <w:p w14:paraId="4E7B8E65" w14:textId="65315894" w:rsidR="00E83B26" w:rsidRPr="00BA4F0F" w:rsidRDefault="00E83B26" w:rsidP="00A555B2">
      <w:pPr>
        <w:pStyle w:val="afe"/>
        <w:numPr>
          <w:ilvl w:val="0"/>
          <w:numId w:val="215"/>
        </w:numPr>
      </w:pPr>
      <w:r w:rsidRPr="00BA4F0F">
        <w:t xml:space="preserve">гипоксия (раО2 70 мм рт. ст., сывороточный лактат &gt; 3 ммоль/л); </w:t>
      </w:r>
    </w:p>
    <w:p w14:paraId="75129DFE" w14:textId="378EA197" w:rsidR="00E83B26" w:rsidRPr="00BA4F0F" w:rsidRDefault="00E83B26" w:rsidP="00A555B2">
      <w:pPr>
        <w:pStyle w:val="afe"/>
        <w:numPr>
          <w:ilvl w:val="0"/>
          <w:numId w:val="215"/>
        </w:numPr>
      </w:pPr>
      <w:r w:rsidRPr="00BA4F0F">
        <w:t xml:space="preserve">анурия или гипергидратация без диализа. </w:t>
      </w:r>
    </w:p>
    <w:p w14:paraId="6644204B" w14:textId="39874A05" w:rsidR="00E83B26" w:rsidRPr="00BA4F0F" w:rsidRDefault="00E83B26" w:rsidP="00E83B26">
      <w:pPr>
        <w:ind w:firstLine="851"/>
      </w:pPr>
      <w:r w:rsidRPr="00BA4F0F">
        <w:t xml:space="preserve">Смешанное питание </w:t>
      </w:r>
      <w:r w:rsidR="004F29A0">
        <w:fldChar w:fldCharType="begin" w:fldLock="1"/>
      </w:r>
      <w:r w:rsidR="004F29A0">
        <w:instrText>ADDIN CSL_CITATION {"citationItems":[{"id":"ITEM-1","itemData":{"DOI":"10.18027/2224-5057-2017-7-3s2-524-532","author":[{"dropping-particle":"","family":"Сытов А.В., Лейдерман И.Н., Ломидзе С.В., Нехаев И.В.","given":"Хотеев А.Ж.;","non-dropping-particle":"","parse-names":false,"suffix":""}],"container-title":"RUSSCO","id":"ITEM-1","issued":{"date-parts":[["2017"]]},"page":"524-532","title":"Практические рекомендации по нутритивной поддержке онкологических больных","type":"article-journal"},"uris":["http://www.mendeley.com/documents/?uuid=a6673349-099e-4c86-922d-b6b69b73ee38","http://www.mendeley.com/documents/?uuid=d8f4044a-9d39-4071-8266-cbd0ae05b0d9","http://www.mendeley.com/documents/?uuid=260337e2-8643-4a98-b22a-51f427e64df0","http://www.mendeley.com/documents/?uuid=a93dd076-f883-470f-9078-09d5bea12d18","http://www.mendeley.com/documents/?uuid=09a52a75-b0e4-4371-af21-5958257d9c6b","http://www.mendeley.com/documents/?uuid=b7d0213d-9037-458b-9137-8ba92417f389","http://www.mendeley.com/documents/?uuid=d1a841f7-cf41-3658-b869-ec5c58850b6d"]},{"id":"ITEM-2","itemData":{"author":[{"dropping-particle":"","family":"Бесова Н.С., Борисова Т.Н., Ларионова В.Б., Лейдерман И.Н., Обухова О.А., Попова Т.С., Салтанов А.И., Сельчук В.Ю., Снеговой А.В., Ткачев С.И., Тюляндин С.А.","given":"Шестопалов А.И.","non-dropping-particle":"","parse-names":false,"suffix":""}],"id":"ITEM-2","issued":{"date-parts":[["2014"]]},"title":"Клинические рекомендации по нутритивной поддержке при химиотерапии и/или лучевой терапии","type":"report"},"uris":["http://www.mendeley.com/documents/?uuid=59e000a3-48e0-4529-8954-5598c41cc72e","http://www.mendeley.com/documents/?uuid=2475f28c-b7e0-408d-8d85-bd890e4862de","http://www.mendeley.com/documents/?uuid=2db47854-c914-42bd-bd4d-a19b47e78e0d","http://www.mendeley.com/documents/?uuid=113bc17a-cb71-4ba2-afb9-083757d46c9b","http://www.mendeley.com/documents/?uuid=17acaf09-3d29-4b25-b43e-598e8835165d","http://www.mendeley.com/documents/?uuid=2da28a52-fa64-480f-9c45-312b59a7027b","http://www.mendeley.com/documents/?uuid=fa470355-bcfd-3bef-a7a1-086215509c2d"]}],"mendeley":{"formattedCitation":"[147,149]","plainTextFormattedCitation":"[147,149]"},"properties":{"noteIndex":0},"schema":"https://github.com/citation-style-language/schema/raw/master/csl-citation.json"}</w:instrText>
      </w:r>
      <w:r w:rsidR="004F29A0">
        <w:fldChar w:fldCharType="separate"/>
      </w:r>
      <w:r w:rsidR="004F29A0" w:rsidRPr="004F29A0">
        <w:rPr>
          <w:noProof/>
        </w:rPr>
        <w:t>[147,149]</w:t>
      </w:r>
      <w:r w:rsidR="004F29A0">
        <w:fldChar w:fldCharType="end"/>
      </w:r>
    </w:p>
    <w:p w14:paraId="5E97C35F" w14:textId="77777777" w:rsidR="00E83B26" w:rsidRPr="00BA4F0F" w:rsidRDefault="00E83B26" w:rsidP="00E83B26">
      <w:pPr>
        <w:ind w:firstLine="851"/>
      </w:pPr>
      <w:r w:rsidRPr="00BA4F0F">
        <w:t xml:space="preserve">Энтеральное и парентеральное питание может назначаться пациентам одновременно при недостаточной эффективности одного из этих методов (не позволяющем обеспечить более 60% от потребности в энергии). </w:t>
      </w:r>
    </w:p>
    <w:p w14:paraId="7F2F0373" w14:textId="77777777" w:rsidR="00E83B26" w:rsidRPr="00BA4F0F" w:rsidRDefault="00E83B26" w:rsidP="00E83B26">
      <w:pPr>
        <w:ind w:firstLine="851"/>
      </w:pPr>
      <w:r w:rsidRPr="00BA4F0F">
        <w:t xml:space="preserve">Мониторинг эффективности нутритивной поддержки </w:t>
      </w:r>
    </w:p>
    <w:p w14:paraId="49A46137" w14:textId="77777777" w:rsidR="00E83B26" w:rsidRPr="00BA4F0F" w:rsidRDefault="00E83B26" w:rsidP="00E83B26">
      <w:pPr>
        <w:ind w:firstLine="851"/>
      </w:pPr>
      <w:r w:rsidRPr="00BA4F0F">
        <w:t>Частота исследования данных показателей может изменяться в зависимости от конкретной клинической ситуации.</w:t>
      </w:r>
    </w:p>
    <w:p w14:paraId="4232605C" w14:textId="60396B5C" w:rsidR="00E83B26" w:rsidRPr="00BA4F0F" w:rsidRDefault="00E83B26" w:rsidP="00A555B2">
      <w:pPr>
        <w:pStyle w:val="afe"/>
        <w:numPr>
          <w:ilvl w:val="0"/>
          <w:numId w:val="215"/>
        </w:numPr>
      </w:pPr>
      <w:r w:rsidRPr="00BA4F0F">
        <w:t>Общий белок сыворотки крови 1 раз в 5–7 дней.</w:t>
      </w:r>
    </w:p>
    <w:p w14:paraId="21A77A0C" w14:textId="32D57ECA" w:rsidR="00E83B26" w:rsidRPr="00BA4F0F" w:rsidRDefault="00E83B26" w:rsidP="00A555B2">
      <w:pPr>
        <w:pStyle w:val="afe"/>
        <w:numPr>
          <w:ilvl w:val="0"/>
          <w:numId w:val="215"/>
        </w:numPr>
      </w:pPr>
      <w:r w:rsidRPr="00BA4F0F">
        <w:t>Альбумин сыворотки крови 1 раз в 5–7 дней.</w:t>
      </w:r>
    </w:p>
    <w:p w14:paraId="3101E2EC" w14:textId="6AAEE57D" w:rsidR="00E83B26" w:rsidRPr="00BA4F0F" w:rsidRDefault="00E83B26" w:rsidP="00A555B2">
      <w:pPr>
        <w:pStyle w:val="afe"/>
        <w:numPr>
          <w:ilvl w:val="0"/>
          <w:numId w:val="215"/>
        </w:numPr>
      </w:pPr>
      <w:r w:rsidRPr="00BA4F0F">
        <w:t>Гемоглобин 1 раз в 5–7 дней.</w:t>
      </w:r>
    </w:p>
    <w:p w14:paraId="306B32EE" w14:textId="65915A15" w:rsidR="00E83B26" w:rsidRPr="00BA4F0F" w:rsidRDefault="00E83B26" w:rsidP="00A555B2">
      <w:pPr>
        <w:pStyle w:val="afe"/>
        <w:numPr>
          <w:ilvl w:val="0"/>
          <w:numId w:val="215"/>
        </w:numPr>
      </w:pPr>
      <w:r w:rsidRPr="00BA4F0F">
        <w:t>Лимфоциты периферической крови 1 раз в 5–7 дней.</w:t>
      </w:r>
    </w:p>
    <w:p w14:paraId="1B8D9AF9" w14:textId="048AF812" w:rsidR="00E83B26" w:rsidRPr="00BA4F0F" w:rsidRDefault="00E83B26" w:rsidP="00A555B2">
      <w:pPr>
        <w:pStyle w:val="afe"/>
        <w:numPr>
          <w:ilvl w:val="0"/>
          <w:numId w:val="215"/>
        </w:numPr>
      </w:pPr>
      <w:r w:rsidRPr="00BA4F0F">
        <w:t>Масса тела и ИМТ тела 1 раз в 7–10 дней.</w:t>
      </w:r>
    </w:p>
    <w:p w14:paraId="227EF303" w14:textId="77777777" w:rsidR="00E83B26" w:rsidRPr="00BA4F0F" w:rsidRDefault="00E83B26" w:rsidP="00E83B26">
      <w:pPr>
        <w:rPr>
          <w:b/>
          <w:highlight w:val="green"/>
        </w:rPr>
      </w:pPr>
    </w:p>
    <w:p w14:paraId="7B3D8889" w14:textId="77777777" w:rsidR="00E83B26" w:rsidRPr="00BA4F0F" w:rsidRDefault="00E83B26" w:rsidP="00E83B26">
      <w:pPr>
        <w:rPr>
          <w:b/>
        </w:rPr>
      </w:pPr>
      <w:r w:rsidRPr="00BA4F0F">
        <w:rPr>
          <w:b/>
        </w:rPr>
        <w:t xml:space="preserve"> </w:t>
      </w:r>
      <w:bookmarkStart w:id="165" w:name="_Toc44926642"/>
      <w:r w:rsidRPr="00BA4F0F">
        <w:rPr>
          <w:b/>
        </w:rPr>
        <w:t>Обезболивание в период нейтропении</w:t>
      </w:r>
      <w:bookmarkEnd w:id="165"/>
    </w:p>
    <w:p w14:paraId="02ABF6CB" w14:textId="77777777" w:rsidR="00E83B26" w:rsidRPr="00BA4F0F" w:rsidRDefault="00E83B26" w:rsidP="00E83B26">
      <w:pPr>
        <w:ind w:firstLine="851"/>
      </w:pPr>
      <w:r w:rsidRPr="00BA4F0F">
        <w:t xml:space="preserve">Интенсивный болевой синдром в полости рта и при глотании при мукозите </w:t>
      </w:r>
      <w:r w:rsidRPr="00BA4F0F">
        <w:rPr>
          <w:lang w:val="en-US"/>
        </w:rPr>
        <w:t>III</w:t>
      </w:r>
      <w:r w:rsidRPr="00BA4F0F">
        <w:t>-</w:t>
      </w:r>
      <w:r w:rsidRPr="00BA4F0F">
        <w:rPr>
          <w:lang w:val="en-US"/>
        </w:rPr>
        <w:t>IV</w:t>
      </w:r>
      <w:r w:rsidRPr="00BA4F0F">
        <w:t xml:space="preserve"> степени в период миелотоксического агранулоцитоза является показанием к назначению аналгетической терапии. Применение нестероидных противовоспалительных средств (НПВС) не рекомендовано в период МТА. Механизм действия НПВС связан с угнетением активности циклооксигеназы (ЦОГ), катализирующей образование простагландинов из арахидоновой кислоты. Простагландины играют важную роль в патогенезе боли, воспаления и лихорадки. </w:t>
      </w:r>
    </w:p>
    <w:p w14:paraId="1A278983" w14:textId="77777777" w:rsidR="00E83B26" w:rsidRPr="00BA4F0F" w:rsidRDefault="00E83B26" w:rsidP="00E83B26">
      <w:pPr>
        <w:ind w:firstLine="851"/>
      </w:pPr>
      <w:r w:rsidRPr="00BA4F0F">
        <w:t xml:space="preserve">В условиях нейтропении блокирование воспалительной реакции может привести к фатальным осложнениям, молниеносному развитию сепсиса и септического шока. Кроме того, в результате ингибирования ЦОГ-1 в тромбоцитах подавляется синтез эндогенного проагреганта тромбоксана. Антиагрегантное действие НПВС в условиях тромбоцитопении может провоцировать кровотечения. </w:t>
      </w:r>
    </w:p>
    <w:p w14:paraId="79D3302B" w14:textId="77777777" w:rsidR="00E83B26" w:rsidRDefault="00E83B26" w:rsidP="00E83B26">
      <w:pPr>
        <w:ind w:firstLine="851"/>
      </w:pPr>
      <w:r w:rsidRPr="00BA4F0F">
        <w:t xml:space="preserve">В связи с этим в период МТА для обезболивания рекомендованы к применению наркотические аналгетики (промедол 10 мг в/в, трамадол 100 мг в/в, фентанил 25 мкг/час трансдермально). В связи с тем, что у части больных тяжелый мукозит сохраняется длительное время, может потребоваться многократное назначение указанных наркотических аналгетиков. </w:t>
      </w:r>
    </w:p>
    <w:p w14:paraId="35EBE0B3" w14:textId="77777777" w:rsidR="00E83B26" w:rsidRDefault="00E83B26" w:rsidP="00E83B26">
      <w:pPr>
        <w:ind w:firstLine="851"/>
      </w:pPr>
    </w:p>
    <w:p w14:paraId="7FF55AC3" w14:textId="77777777" w:rsidR="00BE744B" w:rsidRDefault="00BE744B" w:rsidP="00530C73">
      <w:pPr>
        <w:pStyle w:val="2"/>
        <w:spacing w:before="0"/>
      </w:pPr>
    </w:p>
    <w:p w14:paraId="58EE315B" w14:textId="77777777" w:rsidR="00530C73" w:rsidRPr="0093109D" w:rsidRDefault="00530C73" w:rsidP="00530C73">
      <w:pPr>
        <w:pStyle w:val="2"/>
        <w:spacing w:before="0"/>
      </w:pPr>
    </w:p>
    <w:p w14:paraId="41D1097C" w14:textId="77777777" w:rsidR="00530C73" w:rsidRPr="00365626" w:rsidRDefault="00530C73" w:rsidP="0093109D">
      <w:pPr>
        <w:widowControl w:val="0"/>
        <w:autoSpaceDE w:val="0"/>
        <w:autoSpaceDN w:val="0"/>
        <w:adjustRightInd w:val="0"/>
        <w:rPr>
          <w:rFonts w:cs="Times New Roman"/>
          <w:szCs w:val="24"/>
        </w:rPr>
      </w:pPr>
    </w:p>
    <w:p w14:paraId="6E2C1AEB" w14:textId="77777777" w:rsidR="0093109D" w:rsidRPr="0051317D" w:rsidRDefault="0093109D" w:rsidP="00EB4337">
      <w:pPr>
        <w:pStyle w:val="2"/>
        <w:spacing w:before="0"/>
      </w:pPr>
    </w:p>
    <w:p w14:paraId="5A947628" w14:textId="77777777" w:rsidR="00EB4337" w:rsidRPr="00952000" w:rsidRDefault="00EB4337" w:rsidP="0051317D">
      <w:pPr>
        <w:widowControl w:val="0"/>
        <w:autoSpaceDE w:val="0"/>
        <w:autoSpaceDN w:val="0"/>
        <w:adjustRightInd w:val="0"/>
        <w:spacing w:line="240" w:lineRule="auto"/>
        <w:ind w:left="640" w:hanging="640"/>
        <w:rPr>
          <w:rFonts w:cs="Times New Roman"/>
          <w:szCs w:val="24"/>
        </w:rPr>
      </w:pPr>
    </w:p>
    <w:p w14:paraId="12218682" w14:textId="77777777" w:rsidR="00073B2E" w:rsidRPr="00F30696" w:rsidRDefault="00073B2E" w:rsidP="00947134">
      <w:pPr>
        <w:rPr>
          <w:rFonts w:cs="Times New Roman"/>
          <w:szCs w:val="24"/>
        </w:rPr>
      </w:pPr>
    </w:p>
    <w:p w14:paraId="027ABDAD" w14:textId="45F9D023" w:rsidR="00784084" w:rsidRDefault="00784084" w:rsidP="00784084">
      <w:pPr>
        <w:pStyle w:val="2"/>
        <w:spacing w:before="0"/>
      </w:pPr>
    </w:p>
    <w:p w14:paraId="6C078A21" w14:textId="77777777" w:rsidR="00784084" w:rsidRPr="00A33DCF" w:rsidRDefault="00784084" w:rsidP="00784084">
      <w:pPr>
        <w:pStyle w:val="afffff0"/>
        <w:spacing w:after="0" w:line="360" w:lineRule="auto"/>
        <w:rPr>
          <w:i w:val="0"/>
          <w:lang w:val="ru-RU"/>
        </w:rPr>
      </w:pPr>
    </w:p>
    <w:p w14:paraId="065B4866" w14:textId="77777777" w:rsidR="00784084" w:rsidRPr="00001BA0" w:rsidRDefault="00784084" w:rsidP="00151B04">
      <w:pPr>
        <w:pStyle w:val="2"/>
        <w:spacing w:before="0"/>
      </w:pPr>
    </w:p>
    <w:p w14:paraId="48F50448" w14:textId="77777777" w:rsidR="00151B04" w:rsidRPr="00CC66C1" w:rsidRDefault="00151B04" w:rsidP="00001BA0">
      <w:pPr>
        <w:widowControl w:val="0"/>
        <w:autoSpaceDE w:val="0"/>
        <w:autoSpaceDN w:val="0"/>
        <w:adjustRightInd w:val="0"/>
        <w:rPr>
          <w:rFonts w:cs="Times New Roman"/>
          <w:szCs w:val="24"/>
        </w:rPr>
      </w:pPr>
    </w:p>
    <w:p w14:paraId="41A46234" w14:textId="77777777" w:rsidR="00001BA0" w:rsidRPr="003C1AEB" w:rsidRDefault="00001BA0" w:rsidP="00750B12">
      <w:pPr>
        <w:pStyle w:val="2"/>
        <w:spacing w:before="0"/>
      </w:pPr>
    </w:p>
    <w:p w14:paraId="617A806C" w14:textId="360FE6BB" w:rsidR="009D41F9" w:rsidRDefault="009D41F9" w:rsidP="009D41F9">
      <w:pPr>
        <w:spacing w:line="240" w:lineRule="auto"/>
        <w:ind w:firstLine="0"/>
        <w:jc w:val="left"/>
        <w:rPr>
          <w:lang w:eastAsia="ru-RU" w:bidi="ru-RU"/>
        </w:rPr>
      </w:pPr>
    </w:p>
    <w:p w14:paraId="734B1205" w14:textId="77777777" w:rsidR="009D41F9" w:rsidRDefault="009D41F9" w:rsidP="00AC26B5">
      <w:pPr>
        <w:pStyle w:val="2"/>
        <w:spacing w:before="0"/>
      </w:pPr>
    </w:p>
    <w:p w14:paraId="006B130B" w14:textId="77777777" w:rsidR="00AC26B5" w:rsidRPr="0046237C" w:rsidRDefault="00AC26B5" w:rsidP="006D53E9">
      <w:pPr>
        <w:pStyle w:val="Normal11"/>
        <w:tabs>
          <w:tab w:val="left" w:pos="0"/>
        </w:tabs>
        <w:spacing w:line="360" w:lineRule="auto"/>
        <w:ind w:firstLine="699"/>
        <w:jc w:val="both"/>
        <w:rPr>
          <w:noProof/>
        </w:rPr>
      </w:pPr>
    </w:p>
    <w:p w14:paraId="036D960A" w14:textId="77777777" w:rsidR="00F975FA" w:rsidRPr="00CB3251" w:rsidRDefault="00F975FA" w:rsidP="007F4DE8">
      <w:pPr>
        <w:tabs>
          <w:tab w:val="left" w:pos="0"/>
        </w:tabs>
        <w:rPr>
          <w:rFonts w:cs="Times New Roman"/>
          <w:color w:val="000000" w:themeColor="text1"/>
          <w:szCs w:val="24"/>
          <w:lang w:eastAsia="ru-RU"/>
        </w:rPr>
      </w:pPr>
    </w:p>
    <w:p w14:paraId="531138EE" w14:textId="77777777" w:rsidR="007F4DE8" w:rsidRPr="00FE2263" w:rsidRDefault="007F4DE8" w:rsidP="00277C09">
      <w:pPr>
        <w:pStyle w:val="2"/>
        <w:spacing w:before="0"/>
      </w:pPr>
    </w:p>
    <w:p w14:paraId="3BAD0C8B" w14:textId="77777777" w:rsidR="00277C09" w:rsidRPr="00FE2263" w:rsidRDefault="00277C09" w:rsidP="007E22FB">
      <w:pPr>
        <w:pStyle w:val="afd"/>
        <w:spacing w:beforeAutospacing="0" w:afterAutospacing="0" w:line="360" w:lineRule="auto"/>
      </w:pPr>
    </w:p>
    <w:p w14:paraId="52A2A178" w14:textId="77777777" w:rsidR="000414F6" w:rsidRPr="00FE2263" w:rsidRDefault="00CB71DA" w:rsidP="007E22FB">
      <w:pPr>
        <w:pStyle w:val="CustomContentNormal"/>
        <w:spacing w:before="0"/>
      </w:pPr>
      <w:r w:rsidRPr="00FE2263">
        <w:rPr>
          <w:rFonts w:cs="Times New Roman"/>
        </w:rPr>
        <w:br w:type="page"/>
      </w:r>
      <w:bookmarkStart w:id="166" w:name="__RefHeading___doc_b"/>
      <w:bookmarkStart w:id="167" w:name="_Toc66184350"/>
      <w:r w:rsidRPr="00FE2263">
        <w:t xml:space="preserve">Приложение Б. Алгоритмы </w:t>
      </w:r>
      <w:bookmarkEnd w:id="166"/>
      <w:r w:rsidR="003527A8" w:rsidRPr="00FE2263">
        <w:t>действий врача</w:t>
      </w:r>
      <w:bookmarkEnd w:id="167"/>
    </w:p>
    <w:p w14:paraId="44195248" w14:textId="77777777" w:rsidR="00C4630C" w:rsidRPr="00FE2263" w:rsidRDefault="00B16138" w:rsidP="007E22FB">
      <w:pPr>
        <w:divId w:val="764688137"/>
        <w:rPr>
          <w:rFonts w:eastAsia="Times New Roman"/>
          <w:noProof/>
          <w:lang w:eastAsia="ru-RU"/>
        </w:rPr>
      </w:pPr>
      <w:r w:rsidRPr="00FE2263">
        <w:rPr>
          <w:rFonts w:eastAsia="Times New Roman"/>
          <w:noProof/>
          <w:lang w:eastAsia="ru-RU"/>
        </w:rPr>
        <w:t>Алгоримт ведения пациента с впервые выявленной МВ:</w:t>
      </w:r>
    </w:p>
    <w:p w14:paraId="1A767E42" w14:textId="77777777" w:rsidR="00B16138" w:rsidRPr="00FE2263" w:rsidRDefault="00B16138" w:rsidP="00004D38">
      <w:pPr>
        <w:pStyle w:val="aff3"/>
      </w:pPr>
      <w:r w:rsidRPr="00FE2263">
        <w:rPr>
          <w:noProof/>
          <w:lang w:eastAsia="ru-RU"/>
        </w:rPr>
        <w:drawing>
          <wp:inline distT="0" distB="0" distL="0" distR="0" wp14:anchorId="02D37C0F" wp14:editId="064B08F8">
            <wp:extent cx="5242315" cy="4151248"/>
            <wp:effectExtent l="0" t="0" r="0" b="1905"/>
            <wp:docPr id="5" name="Рисунок 5" descr="C:\images\16_4c8361d1-d506-487d-a862-747975390c8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mages\16_4c8361d1-d506-487d-a862-747975390c86.png"/>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242315" cy="4151248"/>
                    </a:xfrm>
                    <a:prstGeom prst="rect">
                      <a:avLst/>
                    </a:prstGeom>
                    <a:noFill/>
                    <a:ln>
                      <a:noFill/>
                    </a:ln>
                  </pic:spPr>
                </pic:pic>
              </a:graphicData>
            </a:graphic>
          </wp:inline>
        </w:drawing>
      </w:r>
    </w:p>
    <w:p w14:paraId="4ED6653F" w14:textId="77777777" w:rsidR="00B16138" w:rsidRPr="00FE2263" w:rsidRDefault="00B16138" w:rsidP="00004D38">
      <w:pPr>
        <w:pStyle w:val="aff3"/>
      </w:pPr>
    </w:p>
    <w:p w14:paraId="11F6EF5E" w14:textId="77777777" w:rsidR="00B16138" w:rsidRPr="00FE2263" w:rsidRDefault="00B16138" w:rsidP="007E22FB">
      <w:pPr>
        <w:rPr>
          <w:rFonts w:eastAsia="Times New Roman"/>
          <w:noProof/>
          <w:lang w:eastAsia="ru-RU"/>
        </w:rPr>
      </w:pPr>
      <w:r w:rsidRPr="00FE2263">
        <w:rPr>
          <w:rFonts w:eastAsia="Times New Roman"/>
          <w:noProof/>
          <w:lang w:eastAsia="ru-RU"/>
        </w:rPr>
        <w:t>Алгоримт ведения пациента с рецидивами МВ:</w:t>
      </w:r>
    </w:p>
    <w:p w14:paraId="49499595" w14:textId="77777777" w:rsidR="00B16138" w:rsidRPr="00FE2263" w:rsidRDefault="00B16138" w:rsidP="007E22FB">
      <w:pPr>
        <w:ind w:firstLine="0"/>
        <w:rPr>
          <w:rFonts w:eastAsia="Times New Roman"/>
          <w:noProof/>
          <w:lang w:eastAsia="ru-RU"/>
        </w:rPr>
      </w:pPr>
      <w:r w:rsidRPr="00FE2263">
        <w:rPr>
          <w:rFonts w:eastAsia="Times New Roman"/>
          <w:noProof/>
          <w:lang w:eastAsia="ru-RU"/>
        </w:rPr>
        <w:drawing>
          <wp:inline distT="0" distB="0" distL="0" distR="0" wp14:anchorId="07A3CA72" wp14:editId="319A324D">
            <wp:extent cx="5626100" cy="5603484"/>
            <wp:effectExtent l="0" t="0" r="0" b="0"/>
            <wp:docPr id="1" name="Рисунок 1" descr="C:\images\16_526b62fe-288d-4754-b87a-559060e8a06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mages\16_526b62fe-288d-4754-b87a-559060e8a065.png"/>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5646571" cy="5623873"/>
                    </a:xfrm>
                    <a:prstGeom prst="rect">
                      <a:avLst/>
                    </a:prstGeom>
                    <a:noFill/>
                    <a:ln>
                      <a:noFill/>
                    </a:ln>
                  </pic:spPr>
                </pic:pic>
              </a:graphicData>
            </a:graphic>
          </wp:inline>
        </w:drawing>
      </w:r>
    </w:p>
    <w:p w14:paraId="26FC43F5" w14:textId="77777777" w:rsidR="000414F6" w:rsidRPr="00FE2263" w:rsidRDefault="00CB71DA" w:rsidP="00004D38">
      <w:pPr>
        <w:pStyle w:val="CustomContentNormal"/>
        <w:spacing w:before="0"/>
      </w:pPr>
      <w:r w:rsidRPr="00FE2263">
        <w:br w:type="page"/>
      </w:r>
      <w:bookmarkStart w:id="168" w:name="__RefHeading___doc_v"/>
      <w:bookmarkStart w:id="169" w:name="_Toc66184351"/>
      <w:r w:rsidRPr="00FE2263">
        <w:t>Приложение В. Информация для пациент</w:t>
      </w:r>
      <w:bookmarkEnd w:id="168"/>
      <w:r w:rsidR="003527A8" w:rsidRPr="00FE2263">
        <w:t>а</w:t>
      </w:r>
      <w:bookmarkEnd w:id="169"/>
    </w:p>
    <w:p w14:paraId="36C7C4C7" w14:textId="77777777" w:rsidR="00B16138" w:rsidRPr="00FE2263" w:rsidRDefault="00B16138" w:rsidP="00F817BC">
      <w:pPr>
        <w:pStyle w:val="afd"/>
        <w:spacing w:beforeAutospacing="0" w:afterAutospacing="0" w:line="360" w:lineRule="auto"/>
      </w:pPr>
      <w:r w:rsidRPr="00FE2263">
        <w:t>Макроглобулинемия Вальденстрема (или болезнь Вальденстрема) – это вялотекущее, медленно развивающееся заболевание опухолевой природы, являющееся одной из разновидностей лимфом. На сегодняшний момент это заболевание рассматривается как неизлечимое, но современные инновационные лечебные методики, включающие новые лекарственные препараты и трансплантацию аутологичных гемопоэтических стволовых клеток, позволяют достигать глубоких противоопухолевых ответов, контролировать заболевание и обеспечивать длительную выживаемость с сохранением качества жизни.</w:t>
      </w:r>
    </w:p>
    <w:p w14:paraId="28D4D7AB" w14:textId="77777777" w:rsidR="00B16138" w:rsidRPr="00FE2263" w:rsidRDefault="00B16138" w:rsidP="00F817BC">
      <w:pPr>
        <w:pStyle w:val="afd"/>
        <w:spacing w:beforeAutospacing="0" w:afterAutospacing="0" w:line="360" w:lineRule="auto"/>
      </w:pPr>
      <w:r w:rsidRPr="00FE2263">
        <w:t>Клинические симптомы макроглобулинемии Вальденстрема разнообразны, возникают неожиданно и могут восприниматься пациентами как проявление каких-либо сопутствующих хронических заболеваний. При появлении выраженной слабости, бледности кожных покровов, повышенной кровоточивости, нарушении зрения, неврологической симптоматики необходимо обратиться к врачу и пройти диагностическое обследование.</w:t>
      </w:r>
    </w:p>
    <w:p w14:paraId="086278A4" w14:textId="77777777" w:rsidR="00B16138" w:rsidRPr="00FE2263" w:rsidRDefault="00B16138" w:rsidP="0070759B">
      <w:pPr>
        <w:pStyle w:val="afd"/>
        <w:spacing w:beforeAutospacing="0" w:afterAutospacing="0" w:line="360" w:lineRule="auto"/>
      </w:pPr>
      <w:r w:rsidRPr="00FE2263">
        <w:t>Обследование включает в себя специальные методики исследования крови и мочи, исследование костного мозга, УЗИ и рентгенологическое исследование. Результаты обследования помогут определить характер заболевания, уточнить тактику терапии и сроки начала специфического лечения.</w:t>
      </w:r>
    </w:p>
    <w:p w14:paraId="44BAE3ED" w14:textId="579B5CA6" w:rsidR="00B16138" w:rsidRDefault="00B16138" w:rsidP="0070759B">
      <w:pPr>
        <w:pStyle w:val="afd"/>
        <w:spacing w:beforeAutospacing="0" w:afterAutospacing="0" w:line="360" w:lineRule="auto"/>
      </w:pPr>
      <w:r w:rsidRPr="00FE2263">
        <w:t xml:space="preserve">В некоторых случаях при минимальных проявлениях заболевания от начала специфической терапии возможно временно воздержаться. Но при этом </w:t>
      </w:r>
      <w:r w:rsidR="001C75A3" w:rsidRPr="00FE2263">
        <w:t xml:space="preserve">пациент </w:t>
      </w:r>
      <w:r w:rsidRPr="00FE2263">
        <w:t>должен находиться под наблюдением гематолога по месту жительства и проходить контрольное обследование каждые 3-6 месяцев. При проведении лечения (независимо от метода, избранного лечащим врачом), а также после завершения необходимого объема терапии пациент регулярно должен сдавать анализы крови для оценки эффективности и продолжительности лечения.</w:t>
      </w:r>
    </w:p>
    <w:p w14:paraId="50C6C55A" w14:textId="77777777" w:rsidR="00174593" w:rsidRPr="003527A8" w:rsidRDefault="00174593" w:rsidP="0070759B">
      <w:pPr>
        <w:pStyle w:val="aff8"/>
      </w:pPr>
    </w:p>
    <w:p w14:paraId="748DE7C2" w14:textId="77777777" w:rsidR="00427B0E" w:rsidRDefault="00427B0E" w:rsidP="0004027B">
      <w:pPr>
        <w:pStyle w:val="aff3"/>
        <w:rPr>
          <w:lang w:eastAsia="ru-RU" w:bidi="ru-RU"/>
        </w:rPr>
      </w:pPr>
      <w:bookmarkStart w:id="170" w:name="bookmark6"/>
      <w:bookmarkEnd w:id="170"/>
    </w:p>
    <w:sectPr w:rsidR="00427B0E" w:rsidSect="00EE59C2">
      <w:pgSz w:w="11906" w:h="16838"/>
      <w:pgMar w:top="1134" w:right="850"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E3F96F" w14:textId="77777777" w:rsidR="00F60B0B" w:rsidRDefault="00F60B0B">
      <w:pPr>
        <w:spacing w:line="240" w:lineRule="auto"/>
      </w:pPr>
      <w:r>
        <w:separator/>
      </w:r>
    </w:p>
    <w:p w14:paraId="30E4F79C" w14:textId="77777777" w:rsidR="00F60B0B" w:rsidRDefault="00F60B0B"/>
  </w:endnote>
  <w:endnote w:type="continuationSeparator" w:id="0">
    <w:p w14:paraId="0B9F7B73" w14:textId="77777777" w:rsidR="00F60B0B" w:rsidRDefault="00F60B0B">
      <w:pPr>
        <w:spacing w:line="240" w:lineRule="auto"/>
      </w:pPr>
      <w:r>
        <w:continuationSeparator/>
      </w:r>
    </w:p>
    <w:p w14:paraId="004FB2DD" w14:textId="77777777" w:rsidR="00F60B0B" w:rsidRDefault="00F60B0B"/>
  </w:endnote>
  <w:endnote w:type="continuationNotice" w:id="1">
    <w:p w14:paraId="29508AD8" w14:textId="77777777" w:rsidR="00F60B0B" w:rsidRDefault="00F60B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ill Sans">
    <w:altName w:val="Gill Sans"/>
    <w:charset w:val="B1"/>
    <w:family w:val="swiss"/>
    <w:pitch w:val="variable"/>
    <w:sig w:usb0="80000A67" w:usb1="00000000" w:usb2="00000000" w:usb3="00000000" w:csb0="000001F7" w:csb1="00000000"/>
  </w:font>
  <w:font w:name="OpenSymbol">
    <w:altName w:val="Arial Unicode MS"/>
    <w:charset w:val="80"/>
    <w:family w:val="auto"/>
    <w:pitch w:val="default"/>
  </w:font>
  <w:font w:name="Palatino Linotype">
    <w:panose1 w:val="02040502050505030304"/>
    <w:charset w:val="CC"/>
    <w:family w:val="roman"/>
    <w:pitch w:val="variable"/>
    <w:sig w:usb0="E0000287" w:usb1="40000013" w:usb2="00000000" w:usb3="00000000" w:csb0="0000019F" w:csb1="00000000"/>
  </w:font>
  <w:font w:name="Helvetica Neue">
    <w:altName w:val="Helvetica Neue"/>
    <w:charset w:val="00"/>
    <w:family w:val="auto"/>
    <w:pitch w:val="variable"/>
    <w:sig w:usb0="E50002FF" w:usb1="500079DB" w:usb2="00000010" w:usb3="00000000" w:csb0="00000001" w:csb1="00000000"/>
  </w:font>
  <w:font w:name="TimesNewRomanPS-ItalicMT">
    <w:altName w:val="Times New Roman"/>
    <w:charset w:val="00"/>
    <w:family w:val="roman"/>
    <w:pitch w:val="variable"/>
    <w:sig w:usb0="E0000AFF" w:usb1="00007843" w:usb2="00000001" w:usb3="00000000" w:csb0="000001BF" w:csb1="00000000"/>
  </w:font>
  <w:font w:name="GaramondC-Light">
    <w:charset w:val="80"/>
    <w:family w:val="auto"/>
    <w:pitch w:val="default"/>
    <w:sig w:usb0="00000000" w:usb1="08070000" w:usb2="00000010" w:usb3="00000000" w:csb0="00020000" w:csb1="00000000"/>
  </w:font>
  <w:font w:name="ＭＳ 明朝 (Основной текст темы (ази">
    <w:altName w:val="MS Mincho"/>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7631649"/>
      <w:docPartObj>
        <w:docPartGallery w:val="Page Numbers (Bottom of Page)"/>
        <w:docPartUnique/>
      </w:docPartObj>
    </w:sdtPr>
    <w:sdtEndPr/>
    <w:sdtContent>
      <w:p w14:paraId="7BEF68F9" w14:textId="03BB77E3" w:rsidR="00FA741B" w:rsidRDefault="00FA741B">
        <w:pPr>
          <w:pStyle w:val="afc"/>
          <w:jc w:val="center"/>
        </w:pPr>
        <w:r>
          <w:fldChar w:fldCharType="begin"/>
        </w:r>
        <w:r>
          <w:instrText>PAGE</w:instrText>
        </w:r>
        <w:r>
          <w:fldChar w:fldCharType="separate"/>
        </w:r>
        <w:r w:rsidR="00CD7F52">
          <w:rPr>
            <w:noProof/>
          </w:rPr>
          <w:t>28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B6243" w14:textId="77777777" w:rsidR="00F60B0B" w:rsidRDefault="00F60B0B">
      <w:pPr>
        <w:spacing w:line="240" w:lineRule="auto"/>
      </w:pPr>
      <w:r>
        <w:separator/>
      </w:r>
    </w:p>
    <w:p w14:paraId="31C580E1" w14:textId="77777777" w:rsidR="00F60B0B" w:rsidRDefault="00F60B0B"/>
  </w:footnote>
  <w:footnote w:type="continuationSeparator" w:id="0">
    <w:p w14:paraId="4445790E" w14:textId="77777777" w:rsidR="00F60B0B" w:rsidRDefault="00F60B0B">
      <w:pPr>
        <w:spacing w:line="240" w:lineRule="auto"/>
      </w:pPr>
      <w:r>
        <w:continuationSeparator/>
      </w:r>
    </w:p>
    <w:p w14:paraId="3841E9CD" w14:textId="77777777" w:rsidR="00F60B0B" w:rsidRDefault="00F60B0B"/>
  </w:footnote>
  <w:footnote w:type="continuationNotice" w:id="1">
    <w:p w14:paraId="1B38C270" w14:textId="77777777" w:rsidR="00F60B0B" w:rsidRDefault="00F60B0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D0BFC" w14:textId="77777777" w:rsidR="00FA741B" w:rsidRDefault="00FA741B" w:rsidP="00186C35">
    <w:pPr>
      <w:pStyle w:val="afb"/>
      <w:ind w:firstLine="0"/>
      <w:rPr>
        <w:i/>
      </w:rPr>
    </w:pPr>
  </w:p>
  <w:p w14:paraId="13219499" w14:textId="77777777" w:rsidR="00FA741B" w:rsidRDefault="00FA74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745ED204"/>
    <w:name w:val="WW8Num1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12A5807"/>
    <w:multiLevelType w:val="hybridMultilevel"/>
    <w:tmpl w:val="B490AF0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1BA5D63"/>
    <w:multiLevelType w:val="multilevel"/>
    <w:tmpl w:val="F62C8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6614BD"/>
    <w:multiLevelType w:val="hybridMultilevel"/>
    <w:tmpl w:val="8C9010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113974"/>
    <w:multiLevelType w:val="hybridMultilevel"/>
    <w:tmpl w:val="FA4A88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4403F8D"/>
    <w:multiLevelType w:val="hybridMultilevel"/>
    <w:tmpl w:val="93CEEDF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51F37FD"/>
    <w:multiLevelType w:val="hybridMultilevel"/>
    <w:tmpl w:val="439E6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5D62440"/>
    <w:multiLevelType w:val="hybridMultilevel"/>
    <w:tmpl w:val="E0A809F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06615864"/>
    <w:multiLevelType w:val="hybridMultilevel"/>
    <w:tmpl w:val="8230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69B225E"/>
    <w:multiLevelType w:val="hybridMultilevel"/>
    <w:tmpl w:val="1700E0D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076C5C1C"/>
    <w:multiLevelType w:val="hybridMultilevel"/>
    <w:tmpl w:val="E5A230F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07AA397F"/>
    <w:multiLevelType w:val="hybridMultilevel"/>
    <w:tmpl w:val="E31C61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8E3117B"/>
    <w:multiLevelType w:val="hybridMultilevel"/>
    <w:tmpl w:val="877E70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09164D67"/>
    <w:multiLevelType w:val="hybridMultilevel"/>
    <w:tmpl w:val="418AAB02"/>
    <w:lvl w:ilvl="0" w:tplc="04190001">
      <w:start w:val="1"/>
      <w:numFmt w:val="bullet"/>
      <w:lvlText w:val=""/>
      <w:lvlJc w:val="left"/>
      <w:pPr>
        <w:ind w:left="1069"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5" w15:restartNumberingAfterBreak="0">
    <w:nsid w:val="0926206C"/>
    <w:multiLevelType w:val="hybridMultilevel"/>
    <w:tmpl w:val="04F0CA94"/>
    <w:lvl w:ilvl="0" w:tplc="04190003">
      <w:start w:val="1"/>
      <w:numFmt w:val="bullet"/>
      <w:lvlText w:val="o"/>
      <w:lvlJc w:val="left"/>
      <w:pPr>
        <w:ind w:left="1425" w:hanging="360"/>
      </w:pPr>
      <w:rPr>
        <w:rFonts w:ascii="Courier New" w:hAnsi="Courier New" w:cs="Courier New"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6" w15:restartNumberingAfterBreak="0">
    <w:nsid w:val="097617AD"/>
    <w:multiLevelType w:val="hybridMultilevel"/>
    <w:tmpl w:val="0EFEA22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9803113"/>
    <w:multiLevelType w:val="hybridMultilevel"/>
    <w:tmpl w:val="A8B8344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0A6A3687"/>
    <w:multiLevelType w:val="hybridMultilevel"/>
    <w:tmpl w:val="31CA6D48"/>
    <w:styleLink w:val="1ai"/>
    <w:lvl w:ilvl="0" w:tplc="A75AA490">
      <w:start w:val="1"/>
      <w:numFmt w:val="bullet"/>
      <w:lvlText w:val=""/>
      <w:lvlJc w:val="left"/>
      <w:pPr>
        <w:ind w:left="720" w:hanging="360"/>
      </w:pPr>
      <w:rPr>
        <w:rFonts w:ascii="Symbol" w:hAnsi="Symbol" w:hint="default"/>
      </w:rPr>
    </w:lvl>
    <w:lvl w:ilvl="1" w:tplc="B406001A" w:tentative="1">
      <w:start w:val="1"/>
      <w:numFmt w:val="bullet"/>
      <w:lvlText w:val="o"/>
      <w:lvlJc w:val="left"/>
      <w:pPr>
        <w:ind w:left="1440" w:hanging="360"/>
      </w:pPr>
      <w:rPr>
        <w:rFonts w:ascii="Courier New" w:hAnsi="Courier New" w:cs="Courier New" w:hint="default"/>
      </w:rPr>
    </w:lvl>
    <w:lvl w:ilvl="2" w:tplc="577203BE" w:tentative="1">
      <w:start w:val="1"/>
      <w:numFmt w:val="bullet"/>
      <w:lvlText w:val=""/>
      <w:lvlJc w:val="left"/>
      <w:pPr>
        <w:ind w:left="2160" w:hanging="360"/>
      </w:pPr>
      <w:rPr>
        <w:rFonts w:ascii="Wingdings" w:hAnsi="Wingdings" w:hint="default"/>
      </w:rPr>
    </w:lvl>
    <w:lvl w:ilvl="3" w:tplc="12C8FB5A" w:tentative="1">
      <w:start w:val="1"/>
      <w:numFmt w:val="bullet"/>
      <w:lvlText w:val=""/>
      <w:lvlJc w:val="left"/>
      <w:pPr>
        <w:ind w:left="2880" w:hanging="360"/>
      </w:pPr>
      <w:rPr>
        <w:rFonts w:ascii="Symbol" w:hAnsi="Symbol" w:hint="default"/>
      </w:rPr>
    </w:lvl>
    <w:lvl w:ilvl="4" w:tplc="7374A596" w:tentative="1">
      <w:start w:val="1"/>
      <w:numFmt w:val="bullet"/>
      <w:lvlText w:val="o"/>
      <w:lvlJc w:val="left"/>
      <w:pPr>
        <w:ind w:left="3600" w:hanging="360"/>
      </w:pPr>
      <w:rPr>
        <w:rFonts w:ascii="Courier New" w:hAnsi="Courier New" w:cs="Courier New" w:hint="default"/>
      </w:rPr>
    </w:lvl>
    <w:lvl w:ilvl="5" w:tplc="E2044D6C" w:tentative="1">
      <w:start w:val="1"/>
      <w:numFmt w:val="bullet"/>
      <w:lvlText w:val=""/>
      <w:lvlJc w:val="left"/>
      <w:pPr>
        <w:ind w:left="4320" w:hanging="360"/>
      </w:pPr>
      <w:rPr>
        <w:rFonts w:ascii="Wingdings" w:hAnsi="Wingdings" w:hint="default"/>
      </w:rPr>
    </w:lvl>
    <w:lvl w:ilvl="6" w:tplc="7F9E63CE" w:tentative="1">
      <w:start w:val="1"/>
      <w:numFmt w:val="bullet"/>
      <w:lvlText w:val=""/>
      <w:lvlJc w:val="left"/>
      <w:pPr>
        <w:ind w:left="5040" w:hanging="360"/>
      </w:pPr>
      <w:rPr>
        <w:rFonts w:ascii="Symbol" w:hAnsi="Symbol" w:hint="default"/>
      </w:rPr>
    </w:lvl>
    <w:lvl w:ilvl="7" w:tplc="5A7A8954" w:tentative="1">
      <w:start w:val="1"/>
      <w:numFmt w:val="bullet"/>
      <w:lvlText w:val="o"/>
      <w:lvlJc w:val="left"/>
      <w:pPr>
        <w:ind w:left="5760" w:hanging="360"/>
      </w:pPr>
      <w:rPr>
        <w:rFonts w:ascii="Courier New" w:hAnsi="Courier New" w:cs="Courier New" w:hint="default"/>
      </w:rPr>
    </w:lvl>
    <w:lvl w:ilvl="8" w:tplc="EC48257A" w:tentative="1">
      <w:start w:val="1"/>
      <w:numFmt w:val="bullet"/>
      <w:lvlText w:val=""/>
      <w:lvlJc w:val="left"/>
      <w:pPr>
        <w:ind w:left="6480" w:hanging="360"/>
      </w:pPr>
      <w:rPr>
        <w:rFonts w:ascii="Wingdings" w:hAnsi="Wingdings" w:hint="default"/>
      </w:rPr>
    </w:lvl>
  </w:abstractNum>
  <w:abstractNum w:abstractNumId="19" w15:restartNumberingAfterBreak="0">
    <w:nsid w:val="0AD2445A"/>
    <w:multiLevelType w:val="hybridMultilevel"/>
    <w:tmpl w:val="0A8CFB3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0B090C2C"/>
    <w:multiLevelType w:val="hybridMultilevel"/>
    <w:tmpl w:val="70329C82"/>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0B1B3D13"/>
    <w:multiLevelType w:val="hybridMultilevel"/>
    <w:tmpl w:val="7608AA5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0CEF690B"/>
    <w:multiLevelType w:val="multilevel"/>
    <w:tmpl w:val="51268A1A"/>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3" w15:restartNumberingAfterBreak="0">
    <w:nsid w:val="0D16377A"/>
    <w:multiLevelType w:val="hybridMultilevel"/>
    <w:tmpl w:val="1BCEF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0D743AAD"/>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5" w15:restartNumberingAfterBreak="0">
    <w:nsid w:val="10595010"/>
    <w:multiLevelType w:val="multilevel"/>
    <w:tmpl w:val="8A0C5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7" w15:restartNumberingAfterBreak="0">
    <w:nsid w:val="10AA0379"/>
    <w:multiLevelType w:val="hybridMultilevel"/>
    <w:tmpl w:val="D6D40F2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1113446B"/>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9" w15:restartNumberingAfterBreak="0">
    <w:nsid w:val="11313628"/>
    <w:multiLevelType w:val="hybridMultilevel"/>
    <w:tmpl w:val="0ACEF2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30C550D"/>
    <w:multiLevelType w:val="hybridMultilevel"/>
    <w:tmpl w:val="16A6669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13794F9A"/>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14037E02"/>
    <w:multiLevelType w:val="hybridMultilevel"/>
    <w:tmpl w:val="B4107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153242F3"/>
    <w:multiLevelType w:val="hybridMultilevel"/>
    <w:tmpl w:val="4F6AE4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163F1B45"/>
    <w:multiLevelType w:val="hybridMultilevel"/>
    <w:tmpl w:val="6C78B0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17B2382E"/>
    <w:multiLevelType w:val="hybridMultilevel"/>
    <w:tmpl w:val="F3BCF4E4"/>
    <w:lvl w:ilvl="0" w:tplc="5B32E066">
      <w:start w:val="1"/>
      <w:numFmt w:val="bullet"/>
      <w:lvlText w:val=""/>
      <w:lvlJc w:val="left"/>
      <w:pPr>
        <w:ind w:left="720" w:hanging="360"/>
      </w:pPr>
      <w:rPr>
        <w:rFonts w:ascii="Symbol" w:hAnsi="Symbol" w:hint="default"/>
      </w:rPr>
    </w:lvl>
    <w:lvl w:ilvl="1" w:tplc="2D36D64E">
      <w:start w:val="1"/>
      <w:numFmt w:val="bullet"/>
      <w:lvlText w:val="o"/>
      <w:lvlJc w:val="left"/>
      <w:pPr>
        <w:ind w:left="1440" w:hanging="360"/>
      </w:pPr>
      <w:rPr>
        <w:rFonts w:ascii="Courier New" w:hAnsi="Courier New" w:cs="Courier New" w:hint="default"/>
      </w:rPr>
    </w:lvl>
    <w:lvl w:ilvl="2" w:tplc="2A8C8AA0">
      <w:start w:val="1"/>
      <w:numFmt w:val="bullet"/>
      <w:lvlText w:val=""/>
      <w:lvlJc w:val="left"/>
      <w:pPr>
        <w:ind w:left="2160" w:hanging="360"/>
      </w:pPr>
      <w:rPr>
        <w:rFonts w:ascii="Wingdings" w:hAnsi="Wingdings" w:hint="default"/>
      </w:rPr>
    </w:lvl>
    <w:lvl w:ilvl="3" w:tplc="A07669B2">
      <w:start w:val="1"/>
      <w:numFmt w:val="bullet"/>
      <w:lvlText w:val=""/>
      <w:lvlJc w:val="left"/>
      <w:pPr>
        <w:ind w:left="2880" w:hanging="360"/>
      </w:pPr>
      <w:rPr>
        <w:rFonts w:ascii="Symbol" w:hAnsi="Symbol" w:hint="default"/>
      </w:rPr>
    </w:lvl>
    <w:lvl w:ilvl="4" w:tplc="6FB296FA">
      <w:start w:val="1"/>
      <w:numFmt w:val="bullet"/>
      <w:lvlText w:val="o"/>
      <w:lvlJc w:val="left"/>
      <w:pPr>
        <w:ind w:left="3600" w:hanging="360"/>
      </w:pPr>
      <w:rPr>
        <w:rFonts w:ascii="Courier New" w:hAnsi="Courier New" w:cs="Courier New" w:hint="default"/>
      </w:rPr>
    </w:lvl>
    <w:lvl w:ilvl="5" w:tplc="95320816">
      <w:start w:val="1"/>
      <w:numFmt w:val="bullet"/>
      <w:lvlText w:val=""/>
      <w:lvlJc w:val="left"/>
      <w:pPr>
        <w:ind w:left="4320" w:hanging="360"/>
      </w:pPr>
      <w:rPr>
        <w:rFonts w:ascii="Wingdings" w:hAnsi="Wingdings" w:hint="default"/>
      </w:rPr>
    </w:lvl>
    <w:lvl w:ilvl="6" w:tplc="8744C6BA">
      <w:start w:val="1"/>
      <w:numFmt w:val="bullet"/>
      <w:lvlText w:val=""/>
      <w:lvlJc w:val="left"/>
      <w:pPr>
        <w:ind w:left="5040" w:hanging="360"/>
      </w:pPr>
      <w:rPr>
        <w:rFonts w:ascii="Symbol" w:hAnsi="Symbol" w:hint="default"/>
      </w:rPr>
    </w:lvl>
    <w:lvl w:ilvl="7" w:tplc="609219F8">
      <w:start w:val="1"/>
      <w:numFmt w:val="bullet"/>
      <w:lvlText w:val="o"/>
      <w:lvlJc w:val="left"/>
      <w:pPr>
        <w:ind w:left="5760" w:hanging="360"/>
      </w:pPr>
      <w:rPr>
        <w:rFonts w:ascii="Courier New" w:hAnsi="Courier New" w:cs="Courier New" w:hint="default"/>
      </w:rPr>
    </w:lvl>
    <w:lvl w:ilvl="8" w:tplc="803E5718">
      <w:start w:val="1"/>
      <w:numFmt w:val="bullet"/>
      <w:lvlText w:val=""/>
      <w:lvlJc w:val="left"/>
      <w:pPr>
        <w:ind w:left="6480" w:hanging="360"/>
      </w:pPr>
      <w:rPr>
        <w:rFonts w:ascii="Wingdings" w:hAnsi="Wingdings" w:hint="default"/>
      </w:rPr>
    </w:lvl>
  </w:abstractNum>
  <w:abstractNum w:abstractNumId="38" w15:restartNumberingAfterBreak="0">
    <w:nsid w:val="18B750CE"/>
    <w:multiLevelType w:val="hybridMultilevel"/>
    <w:tmpl w:val="E25EE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19255EDC"/>
    <w:multiLevelType w:val="hybridMultilevel"/>
    <w:tmpl w:val="F04889CA"/>
    <w:lvl w:ilvl="0" w:tplc="504CF14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1ABE24B2"/>
    <w:multiLevelType w:val="hybridMultilevel"/>
    <w:tmpl w:val="E1D4317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1AF61062"/>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15:restartNumberingAfterBreak="0">
    <w:nsid w:val="1AF73943"/>
    <w:multiLevelType w:val="hybridMultilevel"/>
    <w:tmpl w:val="01C419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1B4D1441"/>
    <w:multiLevelType w:val="multilevel"/>
    <w:tmpl w:val="7EAC0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D0C0A31"/>
    <w:multiLevelType w:val="hybridMultilevel"/>
    <w:tmpl w:val="E51E35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1DA871A9"/>
    <w:multiLevelType w:val="hybridMultilevel"/>
    <w:tmpl w:val="60A65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1DB567F2"/>
    <w:multiLevelType w:val="hybridMultilevel"/>
    <w:tmpl w:val="809C6A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1DDD6F7A"/>
    <w:multiLevelType w:val="hybridMultilevel"/>
    <w:tmpl w:val="B4A48EF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1E432273"/>
    <w:multiLevelType w:val="hybridMultilevel"/>
    <w:tmpl w:val="B0AC2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1EDF0E41"/>
    <w:multiLevelType w:val="hybridMultilevel"/>
    <w:tmpl w:val="1B0E41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1EED2CD2"/>
    <w:multiLevelType w:val="hybridMultilevel"/>
    <w:tmpl w:val="8236EA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15:restartNumberingAfterBreak="0">
    <w:nsid w:val="1F3E3951"/>
    <w:multiLevelType w:val="multilevel"/>
    <w:tmpl w:val="49E2D460"/>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52" w15:restartNumberingAfterBreak="0">
    <w:nsid w:val="1FC92CBC"/>
    <w:multiLevelType w:val="hybridMultilevel"/>
    <w:tmpl w:val="0DCC8EC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20FA4456"/>
    <w:multiLevelType w:val="hybridMultilevel"/>
    <w:tmpl w:val="B8DA2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213D6439"/>
    <w:multiLevelType w:val="hybridMultilevel"/>
    <w:tmpl w:val="67FA6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15:restartNumberingAfterBreak="0">
    <w:nsid w:val="22204C5C"/>
    <w:multiLevelType w:val="hybridMultilevel"/>
    <w:tmpl w:val="776CE3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15:restartNumberingAfterBreak="0">
    <w:nsid w:val="23437769"/>
    <w:multiLevelType w:val="hybridMultilevel"/>
    <w:tmpl w:val="63BEF63E"/>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24DF4A85"/>
    <w:multiLevelType w:val="hybridMultilevel"/>
    <w:tmpl w:val="241A6172"/>
    <w:lvl w:ilvl="0" w:tplc="EED2B48E">
      <w:start w:val="1"/>
      <w:numFmt w:val="bullet"/>
      <w:lvlText w:val=""/>
      <w:lvlJc w:val="left"/>
      <w:pPr>
        <w:ind w:left="1428" w:hanging="360"/>
      </w:pPr>
      <w:rPr>
        <w:rFonts w:ascii="Symbol" w:hAnsi="Symbol" w:hint="default"/>
      </w:rPr>
    </w:lvl>
    <w:lvl w:ilvl="1" w:tplc="5B5C74E4">
      <w:start w:val="1"/>
      <w:numFmt w:val="bullet"/>
      <w:lvlText w:val="o"/>
      <w:lvlJc w:val="left"/>
      <w:pPr>
        <w:ind w:left="2148" w:hanging="360"/>
      </w:pPr>
      <w:rPr>
        <w:rFonts w:ascii="Courier New" w:hAnsi="Courier New" w:cs="Courier New" w:hint="default"/>
      </w:rPr>
    </w:lvl>
    <w:lvl w:ilvl="2" w:tplc="F1029CF8">
      <w:start w:val="1"/>
      <w:numFmt w:val="bullet"/>
      <w:lvlText w:val=""/>
      <w:lvlJc w:val="left"/>
      <w:pPr>
        <w:ind w:left="2868" w:hanging="360"/>
      </w:pPr>
      <w:rPr>
        <w:rFonts w:ascii="Wingdings" w:hAnsi="Wingdings" w:hint="default"/>
      </w:rPr>
    </w:lvl>
    <w:lvl w:ilvl="3" w:tplc="80B078AE">
      <w:start w:val="1"/>
      <w:numFmt w:val="bullet"/>
      <w:lvlText w:val=""/>
      <w:lvlJc w:val="left"/>
      <w:pPr>
        <w:ind w:left="3588" w:hanging="360"/>
      </w:pPr>
      <w:rPr>
        <w:rFonts w:ascii="Symbol" w:hAnsi="Symbol" w:hint="default"/>
      </w:rPr>
    </w:lvl>
    <w:lvl w:ilvl="4" w:tplc="472A882C">
      <w:start w:val="1"/>
      <w:numFmt w:val="bullet"/>
      <w:lvlText w:val="o"/>
      <w:lvlJc w:val="left"/>
      <w:pPr>
        <w:ind w:left="4308" w:hanging="360"/>
      </w:pPr>
      <w:rPr>
        <w:rFonts w:ascii="Courier New" w:hAnsi="Courier New" w:cs="Courier New" w:hint="default"/>
      </w:rPr>
    </w:lvl>
    <w:lvl w:ilvl="5" w:tplc="A692D73C">
      <w:start w:val="1"/>
      <w:numFmt w:val="bullet"/>
      <w:lvlText w:val=""/>
      <w:lvlJc w:val="left"/>
      <w:pPr>
        <w:ind w:left="5028" w:hanging="360"/>
      </w:pPr>
      <w:rPr>
        <w:rFonts w:ascii="Wingdings" w:hAnsi="Wingdings" w:hint="default"/>
      </w:rPr>
    </w:lvl>
    <w:lvl w:ilvl="6" w:tplc="952406C0">
      <w:start w:val="1"/>
      <w:numFmt w:val="bullet"/>
      <w:lvlText w:val=""/>
      <w:lvlJc w:val="left"/>
      <w:pPr>
        <w:ind w:left="5748" w:hanging="360"/>
      </w:pPr>
      <w:rPr>
        <w:rFonts w:ascii="Symbol" w:hAnsi="Symbol" w:hint="default"/>
      </w:rPr>
    </w:lvl>
    <w:lvl w:ilvl="7" w:tplc="77767F38">
      <w:start w:val="1"/>
      <w:numFmt w:val="bullet"/>
      <w:lvlText w:val="o"/>
      <w:lvlJc w:val="left"/>
      <w:pPr>
        <w:ind w:left="6468" w:hanging="360"/>
      </w:pPr>
      <w:rPr>
        <w:rFonts w:ascii="Courier New" w:hAnsi="Courier New" w:cs="Courier New" w:hint="default"/>
      </w:rPr>
    </w:lvl>
    <w:lvl w:ilvl="8" w:tplc="0E96D622">
      <w:start w:val="1"/>
      <w:numFmt w:val="bullet"/>
      <w:lvlText w:val=""/>
      <w:lvlJc w:val="left"/>
      <w:pPr>
        <w:ind w:left="7188" w:hanging="360"/>
      </w:pPr>
      <w:rPr>
        <w:rFonts w:ascii="Wingdings" w:hAnsi="Wingdings" w:hint="default"/>
      </w:rPr>
    </w:lvl>
  </w:abstractNum>
  <w:abstractNum w:abstractNumId="58" w15:restartNumberingAfterBreak="0">
    <w:nsid w:val="25EC195C"/>
    <w:multiLevelType w:val="hybridMultilevel"/>
    <w:tmpl w:val="4D82F190"/>
    <w:styleLink w:val="1ai1"/>
    <w:lvl w:ilvl="0" w:tplc="29A64A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59" w15:restartNumberingAfterBreak="0">
    <w:nsid w:val="266A5A47"/>
    <w:multiLevelType w:val="hybridMultilevel"/>
    <w:tmpl w:val="DD68871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27274BBC"/>
    <w:multiLevelType w:val="hybridMultilevel"/>
    <w:tmpl w:val="AB6CD2E6"/>
    <w:lvl w:ilvl="0" w:tplc="1A5EEBF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15:restartNumberingAfterBreak="0">
    <w:nsid w:val="27B03510"/>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62" w15:restartNumberingAfterBreak="0">
    <w:nsid w:val="288B197A"/>
    <w:multiLevelType w:val="multilevel"/>
    <w:tmpl w:val="25A6A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28E51F7D"/>
    <w:multiLevelType w:val="hybridMultilevel"/>
    <w:tmpl w:val="4FD891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29845A96"/>
    <w:multiLevelType w:val="hybridMultilevel"/>
    <w:tmpl w:val="E0AE173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5" w15:restartNumberingAfterBreak="0">
    <w:nsid w:val="29862D22"/>
    <w:multiLevelType w:val="hybridMultilevel"/>
    <w:tmpl w:val="CC9035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2A203B18"/>
    <w:multiLevelType w:val="hybridMultilevel"/>
    <w:tmpl w:val="9918B3A0"/>
    <w:lvl w:ilvl="0" w:tplc="63BA4DF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7" w15:restartNumberingAfterBreak="0">
    <w:nsid w:val="2B230778"/>
    <w:multiLevelType w:val="hybridMultilevel"/>
    <w:tmpl w:val="7D104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8" w15:restartNumberingAfterBreak="0">
    <w:nsid w:val="2B657FF0"/>
    <w:multiLevelType w:val="hybridMultilevel"/>
    <w:tmpl w:val="CDB2AB66"/>
    <w:styleLink w:val="111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2B8E0F97"/>
    <w:multiLevelType w:val="hybridMultilevel"/>
    <w:tmpl w:val="A8184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2C9F7B5D"/>
    <w:multiLevelType w:val="hybridMultilevel"/>
    <w:tmpl w:val="F52C27E2"/>
    <w:lvl w:ilvl="0" w:tplc="04190001">
      <w:start w:val="1"/>
      <w:numFmt w:val="bullet"/>
      <w:lvlText w:val=""/>
      <w:lvlJc w:val="left"/>
      <w:pPr>
        <w:ind w:left="504" w:hanging="360"/>
      </w:pPr>
      <w:rPr>
        <w:rFonts w:ascii="Symbol" w:hAnsi="Symbol" w:hint="default"/>
      </w:rPr>
    </w:lvl>
    <w:lvl w:ilvl="1" w:tplc="04190003" w:tentative="1">
      <w:start w:val="1"/>
      <w:numFmt w:val="bullet"/>
      <w:lvlText w:val="o"/>
      <w:lvlJc w:val="left"/>
      <w:pPr>
        <w:ind w:left="1224" w:hanging="360"/>
      </w:pPr>
      <w:rPr>
        <w:rFonts w:ascii="Courier New" w:hAnsi="Courier New" w:cs="Courier New" w:hint="default"/>
      </w:rPr>
    </w:lvl>
    <w:lvl w:ilvl="2" w:tplc="04190005" w:tentative="1">
      <w:start w:val="1"/>
      <w:numFmt w:val="bullet"/>
      <w:lvlText w:val=""/>
      <w:lvlJc w:val="left"/>
      <w:pPr>
        <w:ind w:left="1944" w:hanging="360"/>
      </w:pPr>
      <w:rPr>
        <w:rFonts w:ascii="Wingdings" w:hAnsi="Wingdings" w:hint="default"/>
      </w:rPr>
    </w:lvl>
    <w:lvl w:ilvl="3" w:tplc="04190001" w:tentative="1">
      <w:start w:val="1"/>
      <w:numFmt w:val="bullet"/>
      <w:lvlText w:val=""/>
      <w:lvlJc w:val="left"/>
      <w:pPr>
        <w:ind w:left="2664" w:hanging="360"/>
      </w:pPr>
      <w:rPr>
        <w:rFonts w:ascii="Symbol" w:hAnsi="Symbol" w:hint="default"/>
      </w:rPr>
    </w:lvl>
    <w:lvl w:ilvl="4" w:tplc="04190003" w:tentative="1">
      <w:start w:val="1"/>
      <w:numFmt w:val="bullet"/>
      <w:lvlText w:val="o"/>
      <w:lvlJc w:val="left"/>
      <w:pPr>
        <w:ind w:left="3384" w:hanging="360"/>
      </w:pPr>
      <w:rPr>
        <w:rFonts w:ascii="Courier New" w:hAnsi="Courier New" w:cs="Courier New" w:hint="default"/>
      </w:rPr>
    </w:lvl>
    <w:lvl w:ilvl="5" w:tplc="04190005" w:tentative="1">
      <w:start w:val="1"/>
      <w:numFmt w:val="bullet"/>
      <w:lvlText w:val=""/>
      <w:lvlJc w:val="left"/>
      <w:pPr>
        <w:ind w:left="4104" w:hanging="360"/>
      </w:pPr>
      <w:rPr>
        <w:rFonts w:ascii="Wingdings" w:hAnsi="Wingdings" w:hint="default"/>
      </w:rPr>
    </w:lvl>
    <w:lvl w:ilvl="6" w:tplc="04190001" w:tentative="1">
      <w:start w:val="1"/>
      <w:numFmt w:val="bullet"/>
      <w:lvlText w:val=""/>
      <w:lvlJc w:val="left"/>
      <w:pPr>
        <w:ind w:left="4824" w:hanging="360"/>
      </w:pPr>
      <w:rPr>
        <w:rFonts w:ascii="Symbol" w:hAnsi="Symbol" w:hint="default"/>
      </w:rPr>
    </w:lvl>
    <w:lvl w:ilvl="7" w:tplc="04190003" w:tentative="1">
      <w:start w:val="1"/>
      <w:numFmt w:val="bullet"/>
      <w:lvlText w:val="o"/>
      <w:lvlJc w:val="left"/>
      <w:pPr>
        <w:ind w:left="5544" w:hanging="360"/>
      </w:pPr>
      <w:rPr>
        <w:rFonts w:ascii="Courier New" w:hAnsi="Courier New" w:cs="Courier New" w:hint="default"/>
      </w:rPr>
    </w:lvl>
    <w:lvl w:ilvl="8" w:tplc="04190005" w:tentative="1">
      <w:start w:val="1"/>
      <w:numFmt w:val="bullet"/>
      <w:lvlText w:val=""/>
      <w:lvlJc w:val="left"/>
      <w:pPr>
        <w:ind w:left="6264" w:hanging="360"/>
      </w:pPr>
      <w:rPr>
        <w:rFonts w:ascii="Wingdings" w:hAnsi="Wingdings" w:hint="default"/>
      </w:rPr>
    </w:lvl>
  </w:abstractNum>
  <w:abstractNum w:abstractNumId="71" w15:restartNumberingAfterBreak="0">
    <w:nsid w:val="2CA15120"/>
    <w:multiLevelType w:val="hybridMultilevel"/>
    <w:tmpl w:val="BC3AA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2" w15:restartNumberingAfterBreak="0">
    <w:nsid w:val="2CAB5E62"/>
    <w:multiLevelType w:val="hybridMultilevel"/>
    <w:tmpl w:val="60DC6A44"/>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15:restartNumberingAfterBreak="0">
    <w:nsid w:val="2D4D1BA9"/>
    <w:multiLevelType w:val="hybridMultilevel"/>
    <w:tmpl w:val="CCC2A93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2DC05429"/>
    <w:multiLevelType w:val="hybridMultilevel"/>
    <w:tmpl w:val="D2F213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15:restartNumberingAfterBreak="0">
    <w:nsid w:val="2F50420A"/>
    <w:multiLevelType w:val="hybridMultilevel"/>
    <w:tmpl w:val="864480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15:restartNumberingAfterBreak="0">
    <w:nsid w:val="30393A78"/>
    <w:multiLevelType w:val="hybridMultilevel"/>
    <w:tmpl w:val="A468BD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32D002B2"/>
    <w:multiLevelType w:val="hybridMultilevel"/>
    <w:tmpl w:val="D77E79D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78" w15:restartNumberingAfterBreak="0">
    <w:nsid w:val="33477A51"/>
    <w:multiLevelType w:val="hybridMultilevel"/>
    <w:tmpl w:val="D3363C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15:restartNumberingAfterBreak="0">
    <w:nsid w:val="334D4E75"/>
    <w:multiLevelType w:val="hybridMultilevel"/>
    <w:tmpl w:val="DEE0B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33A32DB3"/>
    <w:multiLevelType w:val="hybridMultilevel"/>
    <w:tmpl w:val="F1DC4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15:restartNumberingAfterBreak="0">
    <w:nsid w:val="33AC1BDC"/>
    <w:multiLevelType w:val="hybridMultilevel"/>
    <w:tmpl w:val="D9B0DFB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15:restartNumberingAfterBreak="0">
    <w:nsid w:val="346B37C6"/>
    <w:multiLevelType w:val="hybridMultilevel"/>
    <w:tmpl w:val="14927E2C"/>
    <w:lvl w:ilvl="0" w:tplc="BFFE2E26">
      <w:start w:val="1"/>
      <w:numFmt w:val="bullet"/>
      <w:lvlText w:val="•"/>
      <w:lvlJc w:val="left"/>
      <w:pPr>
        <w:ind w:left="720" w:hanging="360"/>
      </w:pPr>
      <w:rPr>
        <w:rFonts w:ascii="Arial" w:hAnsi="Arial"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3" w15:restartNumberingAfterBreak="0">
    <w:nsid w:val="360945F5"/>
    <w:multiLevelType w:val="hybridMultilevel"/>
    <w:tmpl w:val="0B727090"/>
    <w:lvl w:ilvl="0" w:tplc="04190011">
      <w:start w:val="1"/>
      <w:numFmt w:val="decimal"/>
      <w:lvlText w:val="%1)"/>
      <w:lvlJc w:val="left"/>
      <w:pPr>
        <w:ind w:left="1428" w:hanging="360"/>
      </w:pPr>
    </w:lvl>
    <w:lvl w:ilvl="1" w:tplc="04190019">
      <w:start w:val="1"/>
      <w:numFmt w:val="lowerLetter"/>
      <w:lvlText w:val="%2."/>
      <w:lvlJc w:val="left"/>
      <w:pPr>
        <w:ind w:left="2148" w:hanging="360"/>
      </w:pPr>
    </w:lvl>
    <w:lvl w:ilvl="2" w:tplc="0419001B">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4" w15:restartNumberingAfterBreak="0">
    <w:nsid w:val="38A42892"/>
    <w:multiLevelType w:val="hybridMultilevel"/>
    <w:tmpl w:val="4CDAC1EE"/>
    <w:lvl w:ilvl="0" w:tplc="04190001">
      <w:start w:val="1"/>
      <w:numFmt w:val="bullet"/>
      <w:lvlText w:val=""/>
      <w:lvlJc w:val="left"/>
      <w:pPr>
        <w:ind w:left="864" w:hanging="360"/>
      </w:pPr>
      <w:rPr>
        <w:rFonts w:ascii="Symbol" w:hAnsi="Symbol" w:hint="default"/>
      </w:rPr>
    </w:lvl>
    <w:lvl w:ilvl="1" w:tplc="04190003" w:tentative="1">
      <w:start w:val="1"/>
      <w:numFmt w:val="bullet"/>
      <w:lvlText w:val="o"/>
      <w:lvlJc w:val="left"/>
      <w:pPr>
        <w:ind w:left="1584" w:hanging="360"/>
      </w:pPr>
      <w:rPr>
        <w:rFonts w:ascii="Courier New" w:hAnsi="Courier New" w:cs="Courier New" w:hint="default"/>
      </w:rPr>
    </w:lvl>
    <w:lvl w:ilvl="2" w:tplc="04190005" w:tentative="1">
      <w:start w:val="1"/>
      <w:numFmt w:val="bullet"/>
      <w:lvlText w:val=""/>
      <w:lvlJc w:val="left"/>
      <w:pPr>
        <w:ind w:left="2304" w:hanging="360"/>
      </w:pPr>
      <w:rPr>
        <w:rFonts w:ascii="Wingdings" w:hAnsi="Wingdings" w:hint="default"/>
      </w:rPr>
    </w:lvl>
    <w:lvl w:ilvl="3" w:tplc="04190001" w:tentative="1">
      <w:start w:val="1"/>
      <w:numFmt w:val="bullet"/>
      <w:lvlText w:val=""/>
      <w:lvlJc w:val="left"/>
      <w:pPr>
        <w:ind w:left="3024" w:hanging="360"/>
      </w:pPr>
      <w:rPr>
        <w:rFonts w:ascii="Symbol" w:hAnsi="Symbol" w:hint="default"/>
      </w:rPr>
    </w:lvl>
    <w:lvl w:ilvl="4" w:tplc="04190003" w:tentative="1">
      <w:start w:val="1"/>
      <w:numFmt w:val="bullet"/>
      <w:lvlText w:val="o"/>
      <w:lvlJc w:val="left"/>
      <w:pPr>
        <w:ind w:left="3744" w:hanging="360"/>
      </w:pPr>
      <w:rPr>
        <w:rFonts w:ascii="Courier New" w:hAnsi="Courier New" w:cs="Courier New" w:hint="default"/>
      </w:rPr>
    </w:lvl>
    <w:lvl w:ilvl="5" w:tplc="04190005" w:tentative="1">
      <w:start w:val="1"/>
      <w:numFmt w:val="bullet"/>
      <w:lvlText w:val=""/>
      <w:lvlJc w:val="left"/>
      <w:pPr>
        <w:ind w:left="4464" w:hanging="360"/>
      </w:pPr>
      <w:rPr>
        <w:rFonts w:ascii="Wingdings" w:hAnsi="Wingdings" w:hint="default"/>
      </w:rPr>
    </w:lvl>
    <w:lvl w:ilvl="6" w:tplc="04190001" w:tentative="1">
      <w:start w:val="1"/>
      <w:numFmt w:val="bullet"/>
      <w:lvlText w:val=""/>
      <w:lvlJc w:val="left"/>
      <w:pPr>
        <w:ind w:left="5184" w:hanging="360"/>
      </w:pPr>
      <w:rPr>
        <w:rFonts w:ascii="Symbol" w:hAnsi="Symbol" w:hint="default"/>
      </w:rPr>
    </w:lvl>
    <w:lvl w:ilvl="7" w:tplc="04190003" w:tentative="1">
      <w:start w:val="1"/>
      <w:numFmt w:val="bullet"/>
      <w:lvlText w:val="o"/>
      <w:lvlJc w:val="left"/>
      <w:pPr>
        <w:ind w:left="5904" w:hanging="360"/>
      </w:pPr>
      <w:rPr>
        <w:rFonts w:ascii="Courier New" w:hAnsi="Courier New" w:cs="Courier New" w:hint="default"/>
      </w:rPr>
    </w:lvl>
    <w:lvl w:ilvl="8" w:tplc="04190005" w:tentative="1">
      <w:start w:val="1"/>
      <w:numFmt w:val="bullet"/>
      <w:lvlText w:val=""/>
      <w:lvlJc w:val="left"/>
      <w:pPr>
        <w:ind w:left="6624" w:hanging="360"/>
      </w:pPr>
      <w:rPr>
        <w:rFonts w:ascii="Wingdings" w:hAnsi="Wingdings" w:hint="default"/>
      </w:rPr>
    </w:lvl>
  </w:abstractNum>
  <w:abstractNum w:abstractNumId="85" w15:restartNumberingAfterBreak="0">
    <w:nsid w:val="38EF7B49"/>
    <w:multiLevelType w:val="hybridMultilevel"/>
    <w:tmpl w:val="043A837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15:restartNumberingAfterBreak="0">
    <w:nsid w:val="38F66456"/>
    <w:multiLevelType w:val="hybridMultilevel"/>
    <w:tmpl w:val="298AE7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15:restartNumberingAfterBreak="0">
    <w:nsid w:val="39B63A74"/>
    <w:multiLevelType w:val="hybridMultilevel"/>
    <w:tmpl w:val="E13C37CE"/>
    <w:lvl w:ilvl="0" w:tplc="A378BA5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3B196938"/>
    <w:multiLevelType w:val="multilevel"/>
    <w:tmpl w:val="97144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3C5C4AAA"/>
    <w:multiLevelType w:val="hybridMultilevel"/>
    <w:tmpl w:val="BF06C0B0"/>
    <w:lvl w:ilvl="0" w:tplc="6AFCAB1E">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15:restartNumberingAfterBreak="0">
    <w:nsid w:val="3D3B3E26"/>
    <w:multiLevelType w:val="hybridMultilevel"/>
    <w:tmpl w:val="9460D1A8"/>
    <w:lvl w:ilvl="0" w:tplc="93E8D15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91" w15:restartNumberingAfterBreak="0">
    <w:nsid w:val="3DE112F8"/>
    <w:multiLevelType w:val="hybridMultilevel"/>
    <w:tmpl w:val="C004DFF0"/>
    <w:lvl w:ilvl="0" w:tplc="A7CA7F60">
      <w:start w:val="1"/>
      <w:numFmt w:val="bullet"/>
      <w:lvlText w:val=""/>
      <w:lvlJc w:val="left"/>
      <w:pPr>
        <w:ind w:left="720" w:hanging="360"/>
      </w:pPr>
      <w:rPr>
        <w:rFonts w:ascii="Symbol" w:hAnsi="Symbol" w:hint="default"/>
      </w:rPr>
    </w:lvl>
    <w:lvl w:ilvl="1" w:tplc="2870B0D8">
      <w:start w:val="1"/>
      <w:numFmt w:val="bullet"/>
      <w:lvlText w:val="o"/>
      <w:lvlJc w:val="left"/>
      <w:pPr>
        <w:ind w:left="1440" w:hanging="360"/>
      </w:pPr>
      <w:rPr>
        <w:rFonts w:ascii="Courier New" w:hAnsi="Courier New" w:cs="Courier New" w:hint="default"/>
      </w:rPr>
    </w:lvl>
    <w:lvl w:ilvl="2" w:tplc="D506DEB8">
      <w:start w:val="1"/>
      <w:numFmt w:val="bullet"/>
      <w:lvlText w:val=""/>
      <w:lvlJc w:val="left"/>
      <w:pPr>
        <w:ind w:left="2160" w:hanging="360"/>
      </w:pPr>
      <w:rPr>
        <w:rFonts w:ascii="Wingdings" w:hAnsi="Wingdings" w:hint="default"/>
      </w:rPr>
    </w:lvl>
    <w:lvl w:ilvl="3" w:tplc="CE8A0E88">
      <w:start w:val="1"/>
      <w:numFmt w:val="bullet"/>
      <w:lvlText w:val=""/>
      <w:lvlJc w:val="left"/>
      <w:pPr>
        <w:ind w:left="2880" w:hanging="360"/>
      </w:pPr>
      <w:rPr>
        <w:rFonts w:ascii="Symbol" w:hAnsi="Symbol" w:hint="default"/>
      </w:rPr>
    </w:lvl>
    <w:lvl w:ilvl="4" w:tplc="C5806F16">
      <w:start w:val="1"/>
      <w:numFmt w:val="bullet"/>
      <w:lvlText w:val="o"/>
      <w:lvlJc w:val="left"/>
      <w:pPr>
        <w:ind w:left="3600" w:hanging="360"/>
      </w:pPr>
      <w:rPr>
        <w:rFonts w:ascii="Courier New" w:hAnsi="Courier New" w:cs="Courier New" w:hint="default"/>
      </w:rPr>
    </w:lvl>
    <w:lvl w:ilvl="5" w:tplc="1FC4FB46">
      <w:start w:val="1"/>
      <w:numFmt w:val="bullet"/>
      <w:lvlText w:val=""/>
      <w:lvlJc w:val="left"/>
      <w:pPr>
        <w:ind w:left="4320" w:hanging="360"/>
      </w:pPr>
      <w:rPr>
        <w:rFonts w:ascii="Wingdings" w:hAnsi="Wingdings" w:hint="default"/>
      </w:rPr>
    </w:lvl>
    <w:lvl w:ilvl="6" w:tplc="39D4DDAE">
      <w:start w:val="1"/>
      <w:numFmt w:val="bullet"/>
      <w:lvlText w:val=""/>
      <w:lvlJc w:val="left"/>
      <w:pPr>
        <w:ind w:left="5040" w:hanging="360"/>
      </w:pPr>
      <w:rPr>
        <w:rFonts w:ascii="Symbol" w:hAnsi="Symbol" w:hint="default"/>
      </w:rPr>
    </w:lvl>
    <w:lvl w:ilvl="7" w:tplc="00E0E3EE">
      <w:start w:val="1"/>
      <w:numFmt w:val="bullet"/>
      <w:lvlText w:val="o"/>
      <w:lvlJc w:val="left"/>
      <w:pPr>
        <w:ind w:left="5760" w:hanging="360"/>
      </w:pPr>
      <w:rPr>
        <w:rFonts w:ascii="Courier New" w:hAnsi="Courier New" w:cs="Courier New" w:hint="default"/>
      </w:rPr>
    </w:lvl>
    <w:lvl w:ilvl="8" w:tplc="CF64A60A">
      <w:start w:val="1"/>
      <w:numFmt w:val="bullet"/>
      <w:lvlText w:val=""/>
      <w:lvlJc w:val="left"/>
      <w:pPr>
        <w:ind w:left="6480" w:hanging="360"/>
      </w:pPr>
      <w:rPr>
        <w:rFonts w:ascii="Wingdings" w:hAnsi="Wingdings" w:hint="default"/>
      </w:rPr>
    </w:lvl>
  </w:abstractNum>
  <w:abstractNum w:abstractNumId="92" w15:restartNumberingAfterBreak="0">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93" w15:restartNumberingAfterBreak="0">
    <w:nsid w:val="415D46AA"/>
    <w:multiLevelType w:val="multilevel"/>
    <w:tmpl w:val="4D60E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41727D25"/>
    <w:multiLevelType w:val="multilevel"/>
    <w:tmpl w:val="ABBC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41F926C8"/>
    <w:multiLevelType w:val="hybridMultilevel"/>
    <w:tmpl w:val="967C85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15:restartNumberingAfterBreak="0">
    <w:nsid w:val="42991DAF"/>
    <w:multiLevelType w:val="multilevel"/>
    <w:tmpl w:val="0ADC0DB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7" w15:restartNumberingAfterBreak="0">
    <w:nsid w:val="433D3BB2"/>
    <w:multiLevelType w:val="hybridMultilevel"/>
    <w:tmpl w:val="9EEEB79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436671F2"/>
    <w:multiLevelType w:val="hybridMultilevel"/>
    <w:tmpl w:val="589CD9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15:restartNumberingAfterBreak="0">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0" w15:restartNumberingAfterBreak="0">
    <w:nsid w:val="4554767D"/>
    <w:multiLevelType w:val="multilevel"/>
    <w:tmpl w:val="BE4A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7500D16"/>
    <w:multiLevelType w:val="hybridMultilevel"/>
    <w:tmpl w:val="D312DB6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47E14443"/>
    <w:multiLevelType w:val="hybridMultilevel"/>
    <w:tmpl w:val="EE26E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15:restartNumberingAfterBreak="0">
    <w:nsid w:val="47F836B7"/>
    <w:multiLevelType w:val="hybridMultilevel"/>
    <w:tmpl w:val="C82842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480F1C15"/>
    <w:multiLevelType w:val="multilevel"/>
    <w:tmpl w:val="32B6D12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05" w15:restartNumberingAfterBreak="0">
    <w:nsid w:val="48A1119A"/>
    <w:multiLevelType w:val="hybridMultilevel"/>
    <w:tmpl w:val="EC341D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48CC0A55"/>
    <w:multiLevelType w:val="hybridMultilevel"/>
    <w:tmpl w:val="132254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15:restartNumberingAfterBreak="0">
    <w:nsid w:val="49AF70B8"/>
    <w:multiLevelType w:val="hybridMultilevel"/>
    <w:tmpl w:val="1EFC1C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8" w15:restartNumberingAfterBreak="0">
    <w:nsid w:val="49E22D2C"/>
    <w:multiLevelType w:val="multilevel"/>
    <w:tmpl w:val="4752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4AE857F8"/>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10"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1" w15:restartNumberingAfterBreak="0">
    <w:nsid w:val="4B912FC9"/>
    <w:multiLevelType w:val="hybridMultilevel"/>
    <w:tmpl w:val="F8BE31C4"/>
    <w:styleLink w:val="1"/>
    <w:lvl w:ilvl="0" w:tplc="B97EBB6A">
      <w:start w:val="1"/>
      <w:numFmt w:val="bullet"/>
      <w:lvlText w:val="·"/>
      <w:lvlJc w:val="left"/>
      <w:pPr>
        <w:ind w:left="967"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182848">
      <w:start w:val="1"/>
      <w:numFmt w:val="bullet"/>
      <w:lvlText w:val="o"/>
      <w:lvlJc w:val="left"/>
      <w:pPr>
        <w:tabs>
          <w:tab w:val="num" w:pos="1761"/>
        </w:tabs>
        <w:ind w:left="1364" w:firstLine="15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ECE9D2">
      <w:start w:val="1"/>
      <w:numFmt w:val="bullet"/>
      <w:lvlText w:val="▪"/>
      <w:lvlJc w:val="left"/>
      <w:pPr>
        <w:ind w:left="21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45518">
      <w:start w:val="1"/>
      <w:numFmt w:val="bullet"/>
      <w:lvlText w:val="·"/>
      <w:lvlJc w:val="left"/>
      <w:pPr>
        <w:ind w:left="291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2730C">
      <w:start w:val="1"/>
      <w:numFmt w:val="bullet"/>
      <w:lvlText w:val="o"/>
      <w:lvlJc w:val="left"/>
      <w:pPr>
        <w:ind w:left="363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0F3CA">
      <w:start w:val="1"/>
      <w:numFmt w:val="bullet"/>
      <w:lvlText w:val="▪"/>
      <w:lvlJc w:val="left"/>
      <w:pPr>
        <w:ind w:left="435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3C1838">
      <w:start w:val="1"/>
      <w:numFmt w:val="bullet"/>
      <w:lvlText w:val="·"/>
      <w:lvlJc w:val="left"/>
      <w:pPr>
        <w:ind w:left="507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2015A">
      <w:start w:val="1"/>
      <w:numFmt w:val="bullet"/>
      <w:lvlText w:val="o"/>
      <w:lvlJc w:val="left"/>
      <w:pPr>
        <w:ind w:left="57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CA0E84">
      <w:start w:val="1"/>
      <w:numFmt w:val="bullet"/>
      <w:lvlText w:val="▪"/>
      <w:lvlJc w:val="left"/>
      <w:pPr>
        <w:ind w:left="651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2" w15:restartNumberingAfterBreak="0">
    <w:nsid w:val="4C150BCE"/>
    <w:multiLevelType w:val="hybridMultilevel"/>
    <w:tmpl w:val="B57CFDE0"/>
    <w:lvl w:ilvl="0" w:tplc="234C896E">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4C6E52F0"/>
    <w:multiLevelType w:val="hybridMultilevel"/>
    <w:tmpl w:val="00F27DB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4" w15:restartNumberingAfterBreak="0">
    <w:nsid w:val="4D4633B7"/>
    <w:multiLevelType w:val="hybridMultilevel"/>
    <w:tmpl w:val="4E94FD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15:restartNumberingAfterBreak="0">
    <w:nsid w:val="4E002C25"/>
    <w:multiLevelType w:val="hybridMultilevel"/>
    <w:tmpl w:val="9E5258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15:restartNumberingAfterBreak="0">
    <w:nsid w:val="4EA30340"/>
    <w:multiLevelType w:val="hybridMultilevel"/>
    <w:tmpl w:val="B6F0C3DC"/>
    <w:lvl w:ilvl="0" w:tplc="0419000F">
      <w:start w:val="1"/>
      <w:numFmt w:val="decimal"/>
      <w:lvlText w:val="%1."/>
      <w:lvlJc w:val="left"/>
      <w:pPr>
        <w:ind w:left="1068" w:hanging="360"/>
      </w:pPr>
      <w:rPr>
        <w:rFonts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17" w15:restartNumberingAfterBreak="0">
    <w:nsid w:val="4EF30506"/>
    <w:multiLevelType w:val="multilevel"/>
    <w:tmpl w:val="E2FC6E58"/>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4F413584"/>
    <w:multiLevelType w:val="hybridMultilevel"/>
    <w:tmpl w:val="9D82F3E8"/>
    <w:lvl w:ilvl="0" w:tplc="B65A457C">
      <w:start w:val="1"/>
      <w:numFmt w:val="bullet"/>
      <w:lvlText w:val=""/>
      <w:lvlJc w:val="left"/>
      <w:pPr>
        <w:ind w:left="1068" w:hanging="360"/>
      </w:pPr>
      <w:rPr>
        <w:rFonts w:ascii="Symbol" w:hAnsi="Symbol"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19" w15:restartNumberingAfterBreak="0">
    <w:nsid w:val="51003E57"/>
    <w:multiLevelType w:val="hybridMultilevel"/>
    <w:tmpl w:val="AA76023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51557028"/>
    <w:multiLevelType w:val="hybridMultilevel"/>
    <w:tmpl w:val="E0A83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15:restartNumberingAfterBreak="0">
    <w:nsid w:val="51A87039"/>
    <w:multiLevelType w:val="multilevel"/>
    <w:tmpl w:val="2FD6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3" w15:restartNumberingAfterBreak="0">
    <w:nsid w:val="53C60F6D"/>
    <w:multiLevelType w:val="hybridMultilevel"/>
    <w:tmpl w:val="7634162C"/>
    <w:lvl w:ilvl="0" w:tplc="D48EC5BE">
      <w:start w:val="1"/>
      <w:numFmt w:val="decimal"/>
      <w:lvlText w:val="%1."/>
      <w:lvlJc w:val="left"/>
      <w:pPr>
        <w:ind w:left="1069" w:hanging="360"/>
      </w:pPr>
      <w:rPr>
        <w:rFonts w:hint="default"/>
        <w:b w:val="0"/>
        <w:bCs/>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15:restartNumberingAfterBreak="0">
    <w:nsid w:val="54A15903"/>
    <w:multiLevelType w:val="hybridMultilevel"/>
    <w:tmpl w:val="974CAD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5" w15:restartNumberingAfterBreak="0">
    <w:nsid w:val="561D52BA"/>
    <w:multiLevelType w:val="hybridMultilevel"/>
    <w:tmpl w:val="566013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6" w15:restartNumberingAfterBreak="0">
    <w:nsid w:val="562B7A6E"/>
    <w:multiLevelType w:val="hybridMultilevel"/>
    <w:tmpl w:val="31B431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7" w15:restartNumberingAfterBreak="0">
    <w:nsid w:val="56D57828"/>
    <w:multiLevelType w:val="hybridMultilevel"/>
    <w:tmpl w:val="051A2E54"/>
    <w:lvl w:ilvl="0" w:tplc="9CFE2CFA">
      <w:start w:val="1"/>
      <w:numFmt w:val="bullet"/>
      <w:pStyle w:val="a0"/>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8" w15:restartNumberingAfterBreak="0">
    <w:nsid w:val="58197E79"/>
    <w:multiLevelType w:val="hybridMultilevel"/>
    <w:tmpl w:val="0DFE2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9"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0" w15:restartNumberingAfterBreak="0">
    <w:nsid w:val="585C1AAF"/>
    <w:multiLevelType w:val="multilevel"/>
    <w:tmpl w:val="DAFEE6C4"/>
    <w:lvl w:ilvl="0">
      <w:start w:val="1"/>
      <w:numFmt w:val="decimal"/>
      <w:lvlText w:val="%1)"/>
      <w:lvlJc w:val="left"/>
      <w:pPr>
        <w:ind w:left="1428" w:hanging="360"/>
      </w:pPr>
      <w:rPr>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58B42E4F"/>
    <w:multiLevelType w:val="hybridMultilevel"/>
    <w:tmpl w:val="9AC87A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32" w15:restartNumberingAfterBreak="0">
    <w:nsid w:val="58E929BE"/>
    <w:multiLevelType w:val="hybridMultilevel"/>
    <w:tmpl w:val="356835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3" w15:restartNumberingAfterBreak="0">
    <w:nsid w:val="59A30498"/>
    <w:multiLevelType w:val="hybridMultilevel"/>
    <w:tmpl w:val="F142F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4" w15:restartNumberingAfterBreak="0">
    <w:nsid w:val="5AB35D50"/>
    <w:multiLevelType w:val="hybridMultilevel"/>
    <w:tmpl w:val="1E9A5CB6"/>
    <w:lvl w:ilvl="0" w:tplc="26B40C38">
      <w:start w:val="1"/>
      <w:numFmt w:val="bullet"/>
      <w:lvlText w:val=""/>
      <w:lvlJc w:val="left"/>
      <w:pPr>
        <w:ind w:left="1428" w:hanging="360"/>
      </w:pPr>
      <w:rPr>
        <w:rFonts w:ascii="Symbol" w:hAnsi="Symbol" w:hint="default"/>
      </w:rPr>
    </w:lvl>
    <w:lvl w:ilvl="1" w:tplc="3B2EC85C">
      <w:start w:val="1"/>
      <w:numFmt w:val="bullet"/>
      <w:lvlText w:val="o"/>
      <w:lvlJc w:val="left"/>
      <w:pPr>
        <w:ind w:left="2148" w:hanging="360"/>
      </w:pPr>
      <w:rPr>
        <w:rFonts w:ascii="Courier New" w:hAnsi="Courier New" w:cs="Courier New" w:hint="default"/>
      </w:rPr>
    </w:lvl>
    <w:lvl w:ilvl="2" w:tplc="2F9E085C">
      <w:start w:val="1"/>
      <w:numFmt w:val="bullet"/>
      <w:lvlText w:val=""/>
      <w:lvlJc w:val="left"/>
      <w:pPr>
        <w:ind w:left="2868" w:hanging="360"/>
      </w:pPr>
      <w:rPr>
        <w:rFonts w:ascii="Wingdings" w:hAnsi="Wingdings" w:hint="default"/>
      </w:rPr>
    </w:lvl>
    <w:lvl w:ilvl="3" w:tplc="340E811E">
      <w:start w:val="1"/>
      <w:numFmt w:val="bullet"/>
      <w:lvlText w:val=""/>
      <w:lvlJc w:val="left"/>
      <w:pPr>
        <w:ind w:left="3588" w:hanging="360"/>
      </w:pPr>
      <w:rPr>
        <w:rFonts w:ascii="Symbol" w:hAnsi="Symbol" w:hint="default"/>
      </w:rPr>
    </w:lvl>
    <w:lvl w:ilvl="4" w:tplc="FC366D08">
      <w:start w:val="1"/>
      <w:numFmt w:val="bullet"/>
      <w:lvlText w:val="o"/>
      <w:lvlJc w:val="left"/>
      <w:pPr>
        <w:ind w:left="4308" w:hanging="360"/>
      </w:pPr>
      <w:rPr>
        <w:rFonts w:ascii="Courier New" w:hAnsi="Courier New" w:cs="Courier New" w:hint="default"/>
      </w:rPr>
    </w:lvl>
    <w:lvl w:ilvl="5" w:tplc="29B8DC22">
      <w:start w:val="1"/>
      <w:numFmt w:val="bullet"/>
      <w:lvlText w:val=""/>
      <w:lvlJc w:val="left"/>
      <w:pPr>
        <w:ind w:left="5028" w:hanging="360"/>
      </w:pPr>
      <w:rPr>
        <w:rFonts w:ascii="Wingdings" w:hAnsi="Wingdings" w:hint="default"/>
      </w:rPr>
    </w:lvl>
    <w:lvl w:ilvl="6" w:tplc="8E0A9A3A">
      <w:start w:val="1"/>
      <w:numFmt w:val="bullet"/>
      <w:lvlText w:val=""/>
      <w:lvlJc w:val="left"/>
      <w:pPr>
        <w:ind w:left="5748" w:hanging="360"/>
      </w:pPr>
      <w:rPr>
        <w:rFonts w:ascii="Symbol" w:hAnsi="Symbol" w:hint="default"/>
      </w:rPr>
    </w:lvl>
    <w:lvl w:ilvl="7" w:tplc="2004B7FC">
      <w:start w:val="1"/>
      <w:numFmt w:val="bullet"/>
      <w:lvlText w:val="o"/>
      <w:lvlJc w:val="left"/>
      <w:pPr>
        <w:ind w:left="6468" w:hanging="360"/>
      </w:pPr>
      <w:rPr>
        <w:rFonts w:ascii="Courier New" w:hAnsi="Courier New" w:cs="Courier New" w:hint="default"/>
      </w:rPr>
    </w:lvl>
    <w:lvl w:ilvl="8" w:tplc="D71025DE">
      <w:start w:val="1"/>
      <w:numFmt w:val="bullet"/>
      <w:lvlText w:val=""/>
      <w:lvlJc w:val="left"/>
      <w:pPr>
        <w:ind w:left="7188" w:hanging="360"/>
      </w:pPr>
      <w:rPr>
        <w:rFonts w:ascii="Wingdings" w:hAnsi="Wingdings" w:hint="default"/>
      </w:rPr>
    </w:lvl>
  </w:abstractNum>
  <w:abstractNum w:abstractNumId="135" w15:restartNumberingAfterBreak="0">
    <w:nsid w:val="5C11366E"/>
    <w:multiLevelType w:val="hybridMultilevel"/>
    <w:tmpl w:val="4BE277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6" w15:restartNumberingAfterBreak="0">
    <w:nsid w:val="5C655BEF"/>
    <w:multiLevelType w:val="hybridMultilevel"/>
    <w:tmpl w:val="B35C4DF6"/>
    <w:lvl w:ilvl="0" w:tplc="6FE65B0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7" w15:restartNumberingAfterBreak="0">
    <w:nsid w:val="5C754B14"/>
    <w:multiLevelType w:val="hybridMultilevel"/>
    <w:tmpl w:val="5C70A4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8" w15:restartNumberingAfterBreak="0">
    <w:nsid w:val="5C8C22B6"/>
    <w:multiLevelType w:val="hybridMultilevel"/>
    <w:tmpl w:val="BB82E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9" w15:restartNumberingAfterBreak="0">
    <w:nsid w:val="5CBA206A"/>
    <w:multiLevelType w:val="hybridMultilevel"/>
    <w:tmpl w:val="927AEB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0" w15:restartNumberingAfterBreak="0">
    <w:nsid w:val="5CEE57BB"/>
    <w:multiLevelType w:val="hybridMultilevel"/>
    <w:tmpl w:val="A524D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5DBB20C8"/>
    <w:multiLevelType w:val="hybridMultilevel"/>
    <w:tmpl w:val="8632A7E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2" w15:restartNumberingAfterBreak="0">
    <w:nsid w:val="5E0E191C"/>
    <w:multiLevelType w:val="hybridMultilevel"/>
    <w:tmpl w:val="E38063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3" w15:restartNumberingAfterBreak="0">
    <w:nsid w:val="5E3E40E7"/>
    <w:multiLevelType w:val="hybridMultilevel"/>
    <w:tmpl w:val="774AAC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4" w15:restartNumberingAfterBreak="0">
    <w:nsid w:val="5E42575E"/>
    <w:multiLevelType w:val="hybridMultilevel"/>
    <w:tmpl w:val="2DE079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5" w15:restartNumberingAfterBreak="0">
    <w:nsid w:val="5E57728D"/>
    <w:multiLevelType w:val="hybridMultilevel"/>
    <w:tmpl w:val="57747EA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15:restartNumberingAfterBreak="0">
    <w:nsid w:val="5EB57E18"/>
    <w:multiLevelType w:val="hybridMultilevel"/>
    <w:tmpl w:val="0114B8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15:restartNumberingAfterBreak="0">
    <w:nsid w:val="5F3834EF"/>
    <w:multiLevelType w:val="hybridMultilevel"/>
    <w:tmpl w:val="D11CB154"/>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48" w15:restartNumberingAfterBreak="0">
    <w:nsid w:val="60237C0B"/>
    <w:multiLevelType w:val="multilevel"/>
    <w:tmpl w:val="22DE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0" w15:restartNumberingAfterBreak="0">
    <w:nsid w:val="602B1DB1"/>
    <w:multiLevelType w:val="multilevel"/>
    <w:tmpl w:val="79CADAFC"/>
    <w:lvl w:ilvl="0">
      <w:start w:val="1"/>
      <w:numFmt w:val="bullet"/>
      <w:lvlText w:val=""/>
      <w:lvlJc w:val="left"/>
      <w:pPr>
        <w:ind w:left="1068" w:hanging="360"/>
      </w:pPr>
      <w:rPr>
        <w:rFonts w:ascii="Symbol" w:hAnsi="Symbol" w:cs="Symbol" w:hint="default"/>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51" w15:restartNumberingAfterBreak="0">
    <w:nsid w:val="606E273B"/>
    <w:multiLevelType w:val="multilevel"/>
    <w:tmpl w:val="828E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2" w15:restartNumberingAfterBreak="0">
    <w:nsid w:val="607D666F"/>
    <w:multiLevelType w:val="hybridMultilevel"/>
    <w:tmpl w:val="FAC287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3" w15:restartNumberingAfterBreak="0">
    <w:nsid w:val="60C062FF"/>
    <w:multiLevelType w:val="hybridMultilevel"/>
    <w:tmpl w:val="040A4DCE"/>
    <w:lvl w:ilvl="0" w:tplc="D76CC41E">
      <w:start w:val="1"/>
      <w:numFmt w:val="bullet"/>
      <w:lvlText w:val="•"/>
      <w:lvlJc w:val="left"/>
      <w:pPr>
        <w:ind w:left="1146" w:hanging="360"/>
      </w:pPr>
      <w:rPr>
        <w:rFonts w:ascii="Arial" w:hAnsi="Aria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54" w15:restartNumberingAfterBreak="0">
    <w:nsid w:val="6228685B"/>
    <w:multiLevelType w:val="hybridMultilevel"/>
    <w:tmpl w:val="7264E0E6"/>
    <w:lvl w:ilvl="0" w:tplc="0419000F">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8FD68728">
      <w:start w:val="1"/>
      <w:numFmt w:val="decimal"/>
      <w:lvlText w:val="%4."/>
      <w:lvlJc w:val="left"/>
      <w:pPr>
        <w:ind w:left="3087" w:hanging="360"/>
      </w:pPr>
      <w:rPr>
        <w:rFonts w:ascii="Times New Roman" w:eastAsia="Calibri" w:hAnsi="Times New Roman" w:cs="Times New Roman"/>
      </w:r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55" w15:restartNumberingAfterBreak="0">
    <w:nsid w:val="625359FA"/>
    <w:multiLevelType w:val="hybridMultilevel"/>
    <w:tmpl w:val="43F80E00"/>
    <w:lvl w:ilvl="0" w:tplc="7FBA88A6">
      <w:start w:val="1"/>
      <w:numFmt w:val="bullet"/>
      <w:lvlText w:val=""/>
      <w:lvlJc w:val="left"/>
      <w:pPr>
        <w:ind w:left="720" w:hanging="360"/>
      </w:pPr>
      <w:rPr>
        <w:rFonts w:ascii="Symbol" w:hAnsi="Symbol" w:hint="default"/>
      </w:rPr>
    </w:lvl>
    <w:lvl w:ilvl="1" w:tplc="B3149F3E">
      <w:start w:val="1"/>
      <w:numFmt w:val="bullet"/>
      <w:lvlText w:val="o"/>
      <w:lvlJc w:val="left"/>
      <w:pPr>
        <w:ind w:left="1440" w:hanging="360"/>
      </w:pPr>
      <w:rPr>
        <w:rFonts w:ascii="Courier New" w:hAnsi="Courier New" w:cs="Courier New" w:hint="default"/>
      </w:rPr>
    </w:lvl>
    <w:lvl w:ilvl="2" w:tplc="7B7CB654">
      <w:start w:val="1"/>
      <w:numFmt w:val="bullet"/>
      <w:lvlText w:val=""/>
      <w:lvlJc w:val="left"/>
      <w:pPr>
        <w:ind w:left="2160" w:hanging="360"/>
      </w:pPr>
      <w:rPr>
        <w:rFonts w:ascii="Wingdings" w:hAnsi="Wingdings" w:hint="default"/>
      </w:rPr>
    </w:lvl>
    <w:lvl w:ilvl="3" w:tplc="42449486">
      <w:start w:val="1"/>
      <w:numFmt w:val="bullet"/>
      <w:lvlText w:val=""/>
      <w:lvlJc w:val="left"/>
      <w:pPr>
        <w:ind w:left="2880" w:hanging="360"/>
      </w:pPr>
      <w:rPr>
        <w:rFonts w:ascii="Symbol" w:hAnsi="Symbol" w:hint="default"/>
      </w:rPr>
    </w:lvl>
    <w:lvl w:ilvl="4" w:tplc="5C1ACD50">
      <w:start w:val="1"/>
      <w:numFmt w:val="bullet"/>
      <w:lvlText w:val="o"/>
      <w:lvlJc w:val="left"/>
      <w:pPr>
        <w:ind w:left="3600" w:hanging="360"/>
      </w:pPr>
      <w:rPr>
        <w:rFonts w:ascii="Courier New" w:hAnsi="Courier New" w:cs="Courier New" w:hint="default"/>
      </w:rPr>
    </w:lvl>
    <w:lvl w:ilvl="5" w:tplc="01EAC460">
      <w:start w:val="1"/>
      <w:numFmt w:val="bullet"/>
      <w:lvlText w:val=""/>
      <w:lvlJc w:val="left"/>
      <w:pPr>
        <w:ind w:left="4320" w:hanging="360"/>
      </w:pPr>
      <w:rPr>
        <w:rFonts w:ascii="Wingdings" w:hAnsi="Wingdings" w:hint="default"/>
      </w:rPr>
    </w:lvl>
    <w:lvl w:ilvl="6" w:tplc="357E813A">
      <w:start w:val="1"/>
      <w:numFmt w:val="bullet"/>
      <w:lvlText w:val=""/>
      <w:lvlJc w:val="left"/>
      <w:pPr>
        <w:ind w:left="5040" w:hanging="360"/>
      </w:pPr>
      <w:rPr>
        <w:rFonts w:ascii="Symbol" w:hAnsi="Symbol" w:hint="default"/>
      </w:rPr>
    </w:lvl>
    <w:lvl w:ilvl="7" w:tplc="1B362762">
      <w:start w:val="1"/>
      <w:numFmt w:val="bullet"/>
      <w:lvlText w:val="o"/>
      <w:lvlJc w:val="left"/>
      <w:pPr>
        <w:ind w:left="5760" w:hanging="360"/>
      </w:pPr>
      <w:rPr>
        <w:rFonts w:ascii="Courier New" w:hAnsi="Courier New" w:cs="Courier New" w:hint="default"/>
      </w:rPr>
    </w:lvl>
    <w:lvl w:ilvl="8" w:tplc="585C4590">
      <w:start w:val="1"/>
      <w:numFmt w:val="bullet"/>
      <w:lvlText w:val=""/>
      <w:lvlJc w:val="left"/>
      <w:pPr>
        <w:ind w:left="6480" w:hanging="360"/>
      </w:pPr>
      <w:rPr>
        <w:rFonts w:ascii="Wingdings" w:hAnsi="Wingdings" w:hint="default"/>
      </w:rPr>
    </w:lvl>
  </w:abstractNum>
  <w:abstractNum w:abstractNumId="156" w15:restartNumberingAfterBreak="0">
    <w:nsid w:val="63AA35FD"/>
    <w:multiLevelType w:val="multilevel"/>
    <w:tmpl w:val="79984E7E"/>
    <w:lvl w:ilvl="0">
      <w:start w:val="1"/>
      <w:numFmt w:val="bullet"/>
      <w:pStyle w:val="10"/>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63C72227"/>
    <w:multiLevelType w:val="hybridMultilevel"/>
    <w:tmpl w:val="E5C8A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640C6E06"/>
    <w:multiLevelType w:val="hybridMultilevel"/>
    <w:tmpl w:val="28523B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9" w15:restartNumberingAfterBreak="0">
    <w:nsid w:val="64BF4139"/>
    <w:multiLevelType w:val="hybridMultilevel"/>
    <w:tmpl w:val="BDBA2C9E"/>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0" w15:restartNumberingAfterBreak="0">
    <w:nsid w:val="64CB17D4"/>
    <w:multiLevelType w:val="hybridMultilevel"/>
    <w:tmpl w:val="B944F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1" w15:restartNumberingAfterBreak="0">
    <w:nsid w:val="64E91059"/>
    <w:multiLevelType w:val="hybridMultilevel"/>
    <w:tmpl w:val="9864A21C"/>
    <w:lvl w:ilvl="0" w:tplc="AFFE1112">
      <w:start w:val="1"/>
      <w:numFmt w:val="bullet"/>
      <w:lvlText w:val=""/>
      <w:lvlJc w:val="left"/>
      <w:pPr>
        <w:ind w:left="1428" w:hanging="360"/>
      </w:pPr>
      <w:rPr>
        <w:rFonts w:ascii="Symbol" w:hAnsi="Symbol" w:hint="default"/>
      </w:rPr>
    </w:lvl>
    <w:lvl w:ilvl="1" w:tplc="575CE84C">
      <w:start w:val="1"/>
      <w:numFmt w:val="bullet"/>
      <w:lvlText w:val="o"/>
      <w:lvlJc w:val="left"/>
      <w:pPr>
        <w:ind w:left="2148" w:hanging="360"/>
      </w:pPr>
      <w:rPr>
        <w:rFonts w:ascii="Courier New" w:hAnsi="Courier New" w:cs="Courier New" w:hint="default"/>
      </w:rPr>
    </w:lvl>
    <w:lvl w:ilvl="2" w:tplc="27F43E68">
      <w:start w:val="1"/>
      <w:numFmt w:val="bullet"/>
      <w:lvlText w:val=""/>
      <w:lvlJc w:val="left"/>
      <w:pPr>
        <w:ind w:left="2868" w:hanging="360"/>
      </w:pPr>
      <w:rPr>
        <w:rFonts w:ascii="Wingdings" w:hAnsi="Wingdings" w:hint="default"/>
      </w:rPr>
    </w:lvl>
    <w:lvl w:ilvl="3" w:tplc="6BEA662E">
      <w:start w:val="1"/>
      <w:numFmt w:val="bullet"/>
      <w:lvlText w:val=""/>
      <w:lvlJc w:val="left"/>
      <w:pPr>
        <w:ind w:left="3588" w:hanging="360"/>
      </w:pPr>
      <w:rPr>
        <w:rFonts w:ascii="Symbol" w:hAnsi="Symbol" w:hint="default"/>
      </w:rPr>
    </w:lvl>
    <w:lvl w:ilvl="4" w:tplc="64A80DBE">
      <w:start w:val="1"/>
      <w:numFmt w:val="bullet"/>
      <w:lvlText w:val="o"/>
      <w:lvlJc w:val="left"/>
      <w:pPr>
        <w:ind w:left="4308" w:hanging="360"/>
      </w:pPr>
      <w:rPr>
        <w:rFonts w:ascii="Courier New" w:hAnsi="Courier New" w:cs="Courier New" w:hint="default"/>
      </w:rPr>
    </w:lvl>
    <w:lvl w:ilvl="5" w:tplc="AE58F438">
      <w:start w:val="1"/>
      <w:numFmt w:val="bullet"/>
      <w:lvlText w:val=""/>
      <w:lvlJc w:val="left"/>
      <w:pPr>
        <w:ind w:left="5028" w:hanging="360"/>
      </w:pPr>
      <w:rPr>
        <w:rFonts w:ascii="Wingdings" w:hAnsi="Wingdings" w:hint="default"/>
      </w:rPr>
    </w:lvl>
    <w:lvl w:ilvl="6" w:tplc="B234EC7A">
      <w:start w:val="1"/>
      <w:numFmt w:val="bullet"/>
      <w:lvlText w:val=""/>
      <w:lvlJc w:val="left"/>
      <w:pPr>
        <w:ind w:left="5748" w:hanging="360"/>
      </w:pPr>
      <w:rPr>
        <w:rFonts w:ascii="Symbol" w:hAnsi="Symbol" w:hint="default"/>
      </w:rPr>
    </w:lvl>
    <w:lvl w:ilvl="7" w:tplc="82B25206">
      <w:start w:val="1"/>
      <w:numFmt w:val="bullet"/>
      <w:lvlText w:val="o"/>
      <w:lvlJc w:val="left"/>
      <w:pPr>
        <w:ind w:left="6468" w:hanging="360"/>
      </w:pPr>
      <w:rPr>
        <w:rFonts w:ascii="Courier New" w:hAnsi="Courier New" w:cs="Courier New" w:hint="default"/>
      </w:rPr>
    </w:lvl>
    <w:lvl w:ilvl="8" w:tplc="28082C5C">
      <w:start w:val="1"/>
      <w:numFmt w:val="bullet"/>
      <w:lvlText w:val=""/>
      <w:lvlJc w:val="left"/>
      <w:pPr>
        <w:ind w:left="7188" w:hanging="360"/>
      </w:pPr>
      <w:rPr>
        <w:rFonts w:ascii="Wingdings" w:hAnsi="Wingdings" w:hint="default"/>
      </w:rPr>
    </w:lvl>
  </w:abstractNum>
  <w:abstractNum w:abstractNumId="162" w15:restartNumberingAfterBreak="0">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3" w15:restartNumberingAfterBreak="0">
    <w:nsid w:val="65890E2C"/>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64" w15:restartNumberingAfterBreak="0">
    <w:nsid w:val="65FB0DEB"/>
    <w:multiLevelType w:val="hybridMultilevel"/>
    <w:tmpl w:val="336C1E0A"/>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5" w15:restartNumberingAfterBreak="0">
    <w:nsid w:val="65FC491C"/>
    <w:multiLevelType w:val="hybridMultilevel"/>
    <w:tmpl w:val="F8BE31C4"/>
    <w:numStyleLink w:val="1"/>
  </w:abstractNum>
  <w:abstractNum w:abstractNumId="166" w15:restartNumberingAfterBreak="0">
    <w:nsid w:val="665352F1"/>
    <w:multiLevelType w:val="hybridMultilevel"/>
    <w:tmpl w:val="371811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7" w15:restartNumberingAfterBreak="0">
    <w:nsid w:val="66E51975"/>
    <w:multiLevelType w:val="hybridMultilevel"/>
    <w:tmpl w:val="7A7C6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8" w15:restartNumberingAfterBreak="0">
    <w:nsid w:val="67464575"/>
    <w:multiLevelType w:val="hybridMultilevel"/>
    <w:tmpl w:val="AAC275AC"/>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9" w15:restartNumberingAfterBreak="0">
    <w:nsid w:val="678F247B"/>
    <w:multiLevelType w:val="hybridMultilevel"/>
    <w:tmpl w:val="7F36A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67B673E9"/>
    <w:multiLevelType w:val="hybridMultilevel"/>
    <w:tmpl w:val="EE26CB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1" w15:restartNumberingAfterBreak="0">
    <w:nsid w:val="67BE2026"/>
    <w:multiLevelType w:val="hybridMultilevel"/>
    <w:tmpl w:val="F4C00982"/>
    <w:lvl w:ilvl="0" w:tplc="0419000F">
      <w:start w:val="1"/>
      <w:numFmt w:val="decimal"/>
      <w:lvlText w:val="%1."/>
      <w:lvlJc w:val="left"/>
      <w:pPr>
        <w:ind w:left="1068" w:hanging="360"/>
      </w:pPr>
      <w:rPr>
        <w:rFonts w:hint="default"/>
      </w:rPr>
    </w:lvl>
    <w:lvl w:ilvl="1" w:tplc="0CF6ACBC">
      <w:start w:val="1"/>
      <w:numFmt w:val="decimal"/>
      <w:lvlText w:val="%2."/>
      <w:lvlJc w:val="left"/>
      <w:pPr>
        <w:ind w:left="1440" w:hanging="360"/>
      </w:pPr>
      <w:rPr>
        <w:rFonts w:hint="default"/>
      </w:rPr>
    </w:lvl>
    <w:lvl w:ilvl="2" w:tplc="58704C1C">
      <w:start w:val="1"/>
      <w:numFmt w:val="lowerRoman"/>
      <w:lvlText w:val="%3."/>
      <w:lvlJc w:val="right"/>
      <w:pPr>
        <w:ind w:left="2160" w:hanging="180"/>
      </w:pPr>
    </w:lvl>
    <w:lvl w:ilvl="3" w:tplc="547EBF6C">
      <w:start w:val="1"/>
      <w:numFmt w:val="decimal"/>
      <w:lvlText w:val="%4."/>
      <w:lvlJc w:val="left"/>
      <w:pPr>
        <w:ind w:left="2880" w:hanging="360"/>
      </w:pPr>
    </w:lvl>
    <w:lvl w:ilvl="4" w:tplc="21F628DC">
      <w:start w:val="1"/>
      <w:numFmt w:val="lowerLetter"/>
      <w:lvlText w:val="%5."/>
      <w:lvlJc w:val="left"/>
      <w:pPr>
        <w:ind w:left="3600" w:hanging="360"/>
      </w:pPr>
    </w:lvl>
    <w:lvl w:ilvl="5" w:tplc="082CFF88">
      <w:start w:val="1"/>
      <w:numFmt w:val="lowerRoman"/>
      <w:lvlText w:val="%6."/>
      <w:lvlJc w:val="right"/>
      <w:pPr>
        <w:ind w:left="4320" w:hanging="180"/>
      </w:pPr>
    </w:lvl>
    <w:lvl w:ilvl="6" w:tplc="AD2E6324">
      <w:start w:val="1"/>
      <w:numFmt w:val="decimal"/>
      <w:lvlText w:val="%7."/>
      <w:lvlJc w:val="left"/>
      <w:pPr>
        <w:ind w:left="5040" w:hanging="360"/>
      </w:pPr>
    </w:lvl>
    <w:lvl w:ilvl="7" w:tplc="E494B0C4">
      <w:start w:val="1"/>
      <w:numFmt w:val="lowerLetter"/>
      <w:lvlText w:val="%8."/>
      <w:lvlJc w:val="left"/>
      <w:pPr>
        <w:ind w:left="5760" w:hanging="360"/>
      </w:pPr>
    </w:lvl>
    <w:lvl w:ilvl="8" w:tplc="BAA87298">
      <w:start w:val="1"/>
      <w:numFmt w:val="lowerRoman"/>
      <w:lvlText w:val="%9."/>
      <w:lvlJc w:val="right"/>
      <w:pPr>
        <w:ind w:left="6480" w:hanging="180"/>
      </w:pPr>
    </w:lvl>
  </w:abstractNum>
  <w:abstractNum w:abstractNumId="172" w15:restartNumberingAfterBreak="0">
    <w:nsid w:val="688468BB"/>
    <w:multiLevelType w:val="hybridMultilevel"/>
    <w:tmpl w:val="3F5AC3C2"/>
    <w:lvl w:ilvl="0" w:tplc="9F922CDA">
      <w:start w:val="1"/>
      <w:numFmt w:val="bullet"/>
      <w:lvlText w:val=""/>
      <w:lvlJc w:val="left"/>
      <w:pPr>
        <w:ind w:left="1428" w:hanging="360"/>
      </w:pPr>
      <w:rPr>
        <w:rFonts w:ascii="Symbol" w:hAnsi="Symbol" w:hint="default"/>
      </w:rPr>
    </w:lvl>
    <w:lvl w:ilvl="1" w:tplc="F2147832">
      <w:start w:val="1"/>
      <w:numFmt w:val="bullet"/>
      <w:lvlText w:val="o"/>
      <w:lvlJc w:val="left"/>
      <w:pPr>
        <w:ind w:left="2148" w:hanging="360"/>
      </w:pPr>
      <w:rPr>
        <w:rFonts w:ascii="Courier New" w:hAnsi="Courier New" w:cs="Courier New" w:hint="default"/>
      </w:rPr>
    </w:lvl>
    <w:lvl w:ilvl="2" w:tplc="83467EFA">
      <w:start w:val="1"/>
      <w:numFmt w:val="bullet"/>
      <w:lvlText w:val=""/>
      <w:lvlJc w:val="left"/>
      <w:pPr>
        <w:ind w:left="2868" w:hanging="360"/>
      </w:pPr>
      <w:rPr>
        <w:rFonts w:ascii="Wingdings" w:hAnsi="Wingdings" w:hint="default"/>
      </w:rPr>
    </w:lvl>
    <w:lvl w:ilvl="3" w:tplc="A89E58B0">
      <w:start w:val="1"/>
      <w:numFmt w:val="bullet"/>
      <w:lvlText w:val=""/>
      <w:lvlJc w:val="left"/>
      <w:pPr>
        <w:ind w:left="3588" w:hanging="360"/>
      </w:pPr>
      <w:rPr>
        <w:rFonts w:ascii="Symbol" w:hAnsi="Symbol" w:hint="default"/>
      </w:rPr>
    </w:lvl>
    <w:lvl w:ilvl="4" w:tplc="E58CD5B2">
      <w:start w:val="1"/>
      <w:numFmt w:val="bullet"/>
      <w:lvlText w:val="o"/>
      <w:lvlJc w:val="left"/>
      <w:pPr>
        <w:ind w:left="4308" w:hanging="360"/>
      </w:pPr>
      <w:rPr>
        <w:rFonts w:ascii="Courier New" w:hAnsi="Courier New" w:cs="Courier New" w:hint="default"/>
      </w:rPr>
    </w:lvl>
    <w:lvl w:ilvl="5" w:tplc="C14038A0">
      <w:start w:val="1"/>
      <w:numFmt w:val="bullet"/>
      <w:lvlText w:val=""/>
      <w:lvlJc w:val="left"/>
      <w:pPr>
        <w:ind w:left="5028" w:hanging="360"/>
      </w:pPr>
      <w:rPr>
        <w:rFonts w:ascii="Wingdings" w:hAnsi="Wingdings" w:hint="default"/>
      </w:rPr>
    </w:lvl>
    <w:lvl w:ilvl="6" w:tplc="E1A2B50A">
      <w:start w:val="1"/>
      <w:numFmt w:val="bullet"/>
      <w:lvlText w:val=""/>
      <w:lvlJc w:val="left"/>
      <w:pPr>
        <w:ind w:left="5748" w:hanging="360"/>
      </w:pPr>
      <w:rPr>
        <w:rFonts w:ascii="Symbol" w:hAnsi="Symbol" w:hint="default"/>
      </w:rPr>
    </w:lvl>
    <w:lvl w:ilvl="7" w:tplc="BDF62C10">
      <w:start w:val="1"/>
      <w:numFmt w:val="bullet"/>
      <w:lvlText w:val="o"/>
      <w:lvlJc w:val="left"/>
      <w:pPr>
        <w:ind w:left="6468" w:hanging="360"/>
      </w:pPr>
      <w:rPr>
        <w:rFonts w:ascii="Courier New" w:hAnsi="Courier New" w:cs="Courier New" w:hint="default"/>
      </w:rPr>
    </w:lvl>
    <w:lvl w:ilvl="8" w:tplc="A7804AAE">
      <w:start w:val="1"/>
      <w:numFmt w:val="bullet"/>
      <w:lvlText w:val=""/>
      <w:lvlJc w:val="left"/>
      <w:pPr>
        <w:ind w:left="7188" w:hanging="360"/>
      </w:pPr>
      <w:rPr>
        <w:rFonts w:ascii="Wingdings" w:hAnsi="Wingdings" w:hint="default"/>
      </w:rPr>
    </w:lvl>
  </w:abstractNum>
  <w:abstractNum w:abstractNumId="173"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174" w15:restartNumberingAfterBreak="0">
    <w:nsid w:val="69995AA4"/>
    <w:multiLevelType w:val="hybridMultilevel"/>
    <w:tmpl w:val="34E0D3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69E82B41"/>
    <w:multiLevelType w:val="hybridMultilevel"/>
    <w:tmpl w:val="485AF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6" w15:restartNumberingAfterBreak="0">
    <w:nsid w:val="6A150589"/>
    <w:multiLevelType w:val="hybridMultilevel"/>
    <w:tmpl w:val="296EBB58"/>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15:restartNumberingAfterBreak="0">
    <w:nsid w:val="6AFF0605"/>
    <w:multiLevelType w:val="hybridMultilevel"/>
    <w:tmpl w:val="9F60A5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8" w15:restartNumberingAfterBreak="0">
    <w:nsid w:val="6B125E22"/>
    <w:multiLevelType w:val="multilevel"/>
    <w:tmpl w:val="1CCE88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9" w15:restartNumberingAfterBreak="0">
    <w:nsid w:val="6CE277CD"/>
    <w:multiLevelType w:val="hybridMultilevel"/>
    <w:tmpl w:val="F6E2D132"/>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15:restartNumberingAfterBreak="0">
    <w:nsid w:val="6CF711F5"/>
    <w:multiLevelType w:val="hybridMultilevel"/>
    <w:tmpl w:val="3FB8D84A"/>
    <w:lvl w:ilvl="0" w:tplc="0E60B5AE">
      <w:start w:val="1"/>
      <w:numFmt w:val="bullet"/>
      <w:lvlText w:val=""/>
      <w:lvlJc w:val="left"/>
      <w:pPr>
        <w:ind w:left="1080" w:hanging="360"/>
      </w:pPr>
      <w:rPr>
        <w:rFonts w:ascii="Symbol" w:hAnsi="Symbol" w:hint="default"/>
      </w:rPr>
    </w:lvl>
    <w:lvl w:ilvl="1" w:tplc="7A7E9E72">
      <w:start w:val="1"/>
      <w:numFmt w:val="bullet"/>
      <w:lvlText w:val="o"/>
      <w:lvlJc w:val="left"/>
      <w:pPr>
        <w:ind w:left="1800" w:hanging="360"/>
      </w:pPr>
      <w:rPr>
        <w:rFonts w:ascii="Courier New" w:hAnsi="Courier New" w:cs="Courier New" w:hint="default"/>
      </w:rPr>
    </w:lvl>
    <w:lvl w:ilvl="2" w:tplc="FD5696C2">
      <w:start w:val="1"/>
      <w:numFmt w:val="bullet"/>
      <w:lvlText w:val=""/>
      <w:lvlJc w:val="left"/>
      <w:pPr>
        <w:ind w:left="2520" w:hanging="360"/>
      </w:pPr>
      <w:rPr>
        <w:rFonts w:ascii="Wingdings" w:hAnsi="Wingdings" w:hint="default"/>
      </w:rPr>
    </w:lvl>
    <w:lvl w:ilvl="3" w:tplc="2F44A216">
      <w:start w:val="1"/>
      <w:numFmt w:val="bullet"/>
      <w:lvlText w:val=""/>
      <w:lvlJc w:val="left"/>
      <w:pPr>
        <w:ind w:left="3240" w:hanging="360"/>
      </w:pPr>
      <w:rPr>
        <w:rFonts w:ascii="Symbol" w:hAnsi="Symbol" w:hint="default"/>
      </w:rPr>
    </w:lvl>
    <w:lvl w:ilvl="4" w:tplc="9ECA2EA2">
      <w:start w:val="1"/>
      <w:numFmt w:val="bullet"/>
      <w:lvlText w:val="o"/>
      <w:lvlJc w:val="left"/>
      <w:pPr>
        <w:ind w:left="3960" w:hanging="360"/>
      </w:pPr>
      <w:rPr>
        <w:rFonts w:ascii="Courier New" w:hAnsi="Courier New" w:cs="Courier New" w:hint="default"/>
      </w:rPr>
    </w:lvl>
    <w:lvl w:ilvl="5" w:tplc="4A60B510">
      <w:start w:val="1"/>
      <w:numFmt w:val="bullet"/>
      <w:lvlText w:val=""/>
      <w:lvlJc w:val="left"/>
      <w:pPr>
        <w:ind w:left="4680" w:hanging="360"/>
      </w:pPr>
      <w:rPr>
        <w:rFonts w:ascii="Wingdings" w:hAnsi="Wingdings" w:hint="default"/>
      </w:rPr>
    </w:lvl>
    <w:lvl w:ilvl="6" w:tplc="9826769A">
      <w:start w:val="1"/>
      <w:numFmt w:val="bullet"/>
      <w:lvlText w:val=""/>
      <w:lvlJc w:val="left"/>
      <w:pPr>
        <w:ind w:left="5400" w:hanging="360"/>
      </w:pPr>
      <w:rPr>
        <w:rFonts w:ascii="Symbol" w:hAnsi="Symbol" w:hint="default"/>
      </w:rPr>
    </w:lvl>
    <w:lvl w:ilvl="7" w:tplc="6E52C570">
      <w:start w:val="1"/>
      <w:numFmt w:val="bullet"/>
      <w:lvlText w:val="o"/>
      <w:lvlJc w:val="left"/>
      <w:pPr>
        <w:ind w:left="6120" w:hanging="360"/>
      </w:pPr>
      <w:rPr>
        <w:rFonts w:ascii="Courier New" w:hAnsi="Courier New" w:cs="Courier New" w:hint="default"/>
      </w:rPr>
    </w:lvl>
    <w:lvl w:ilvl="8" w:tplc="DC286868">
      <w:start w:val="1"/>
      <w:numFmt w:val="bullet"/>
      <w:lvlText w:val=""/>
      <w:lvlJc w:val="left"/>
      <w:pPr>
        <w:ind w:left="6840" w:hanging="360"/>
      </w:pPr>
      <w:rPr>
        <w:rFonts w:ascii="Wingdings" w:hAnsi="Wingdings" w:hint="default"/>
      </w:rPr>
    </w:lvl>
  </w:abstractNum>
  <w:abstractNum w:abstractNumId="181" w15:restartNumberingAfterBreak="0">
    <w:nsid w:val="6E2010A3"/>
    <w:multiLevelType w:val="hybridMultilevel"/>
    <w:tmpl w:val="0BD074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2" w15:restartNumberingAfterBreak="0">
    <w:nsid w:val="6E24223D"/>
    <w:multiLevelType w:val="hybridMultilevel"/>
    <w:tmpl w:val="7450BC2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3" w15:restartNumberingAfterBreak="0">
    <w:nsid w:val="6EFA2964"/>
    <w:multiLevelType w:val="hybridMultilevel"/>
    <w:tmpl w:val="2EF24D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15:restartNumberingAfterBreak="0">
    <w:nsid w:val="6FDC162F"/>
    <w:multiLevelType w:val="hybridMultilevel"/>
    <w:tmpl w:val="7FEAD3B8"/>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15:restartNumberingAfterBreak="0">
    <w:nsid w:val="710E7B94"/>
    <w:multiLevelType w:val="hybridMultilevel"/>
    <w:tmpl w:val="6090CD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6" w15:restartNumberingAfterBreak="0">
    <w:nsid w:val="71F87B85"/>
    <w:multiLevelType w:val="hybridMultilevel"/>
    <w:tmpl w:val="DF404D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7" w15:restartNumberingAfterBreak="0">
    <w:nsid w:val="73857C0E"/>
    <w:multiLevelType w:val="hybridMultilevel"/>
    <w:tmpl w:val="ED986C6A"/>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8" w15:restartNumberingAfterBreak="0">
    <w:nsid w:val="73CF2D8B"/>
    <w:multiLevelType w:val="multilevel"/>
    <w:tmpl w:val="E14A5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9" w15:restartNumberingAfterBreak="0">
    <w:nsid w:val="74233B1A"/>
    <w:multiLevelType w:val="hybridMultilevel"/>
    <w:tmpl w:val="40625C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15:restartNumberingAfterBreak="0">
    <w:nsid w:val="745A7484"/>
    <w:multiLevelType w:val="hybridMultilevel"/>
    <w:tmpl w:val="59B87F60"/>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15:restartNumberingAfterBreak="0">
    <w:nsid w:val="74BE66AC"/>
    <w:multiLevelType w:val="hybridMultilevel"/>
    <w:tmpl w:val="86D871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2" w15:restartNumberingAfterBreak="0">
    <w:nsid w:val="74FB01F8"/>
    <w:multiLevelType w:val="hybridMultilevel"/>
    <w:tmpl w:val="87B48F6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3" w15:restartNumberingAfterBreak="0">
    <w:nsid w:val="75C2543E"/>
    <w:multiLevelType w:val="hybridMultilevel"/>
    <w:tmpl w:val="43A231CA"/>
    <w:lvl w:ilvl="0" w:tplc="04190001">
      <w:start w:val="1"/>
      <w:numFmt w:val="bullet"/>
      <w:lvlText w:val=""/>
      <w:lvlJc w:val="left"/>
      <w:pPr>
        <w:ind w:left="1069" w:hanging="360"/>
      </w:pPr>
      <w:rPr>
        <w:rFonts w:ascii="Symbol" w:hAnsi="Symbol"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94"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95" w15:restartNumberingAfterBreak="0">
    <w:nsid w:val="765F70D1"/>
    <w:multiLevelType w:val="hybridMultilevel"/>
    <w:tmpl w:val="B0288ABE"/>
    <w:lvl w:ilvl="0" w:tplc="A378BA54">
      <w:start w:val="1"/>
      <w:numFmt w:val="bullet"/>
      <w:lvlText w:val="•"/>
      <w:lvlJc w:val="left"/>
      <w:pPr>
        <w:ind w:left="1429" w:hanging="360"/>
      </w:pPr>
      <w:rPr>
        <w:rFonts w:ascii="Arial" w:hAnsi="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6" w15:restartNumberingAfterBreak="0">
    <w:nsid w:val="76AD17CF"/>
    <w:multiLevelType w:val="hybridMultilevel"/>
    <w:tmpl w:val="031A4B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7" w15:restartNumberingAfterBreak="0">
    <w:nsid w:val="76E33EC4"/>
    <w:multiLevelType w:val="hybridMultilevel"/>
    <w:tmpl w:val="47E204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8" w15:restartNumberingAfterBreak="0">
    <w:nsid w:val="777107AF"/>
    <w:multiLevelType w:val="hybridMultilevel"/>
    <w:tmpl w:val="D63A2B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9" w15:restartNumberingAfterBreak="0">
    <w:nsid w:val="786761F3"/>
    <w:multiLevelType w:val="multilevel"/>
    <w:tmpl w:val="C344A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96E5432"/>
    <w:multiLevelType w:val="hybridMultilevel"/>
    <w:tmpl w:val="91501A88"/>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01" w15:restartNumberingAfterBreak="0">
    <w:nsid w:val="79713416"/>
    <w:multiLevelType w:val="hybridMultilevel"/>
    <w:tmpl w:val="D548CD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2" w15:restartNumberingAfterBreak="0">
    <w:nsid w:val="79DD6991"/>
    <w:multiLevelType w:val="hybridMultilevel"/>
    <w:tmpl w:val="4B2E8D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3" w15:restartNumberingAfterBreak="0">
    <w:nsid w:val="7AEC0BCB"/>
    <w:multiLevelType w:val="multilevel"/>
    <w:tmpl w:val="16A29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4" w15:restartNumberingAfterBreak="0">
    <w:nsid w:val="7B332143"/>
    <w:multiLevelType w:val="hybridMultilevel"/>
    <w:tmpl w:val="7FBA85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7BAB11B1"/>
    <w:multiLevelType w:val="hybridMultilevel"/>
    <w:tmpl w:val="F0D6F0BA"/>
    <w:lvl w:ilvl="0" w:tplc="D76CC41E">
      <w:start w:val="1"/>
      <w:numFmt w:val="bullet"/>
      <w:lvlText w:val="•"/>
      <w:lvlJc w:val="left"/>
      <w:pPr>
        <w:tabs>
          <w:tab w:val="num" w:pos="720"/>
        </w:tabs>
        <w:ind w:left="720" w:hanging="360"/>
      </w:pPr>
      <w:rPr>
        <w:rFonts w:ascii="Arial" w:hAnsi="Arial" w:hint="default"/>
      </w:rPr>
    </w:lvl>
    <w:lvl w:ilvl="1" w:tplc="2F8ECD54" w:tentative="1">
      <w:start w:val="1"/>
      <w:numFmt w:val="bullet"/>
      <w:lvlText w:val="•"/>
      <w:lvlJc w:val="left"/>
      <w:pPr>
        <w:tabs>
          <w:tab w:val="num" w:pos="1440"/>
        </w:tabs>
        <w:ind w:left="1440" w:hanging="360"/>
      </w:pPr>
      <w:rPr>
        <w:rFonts w:ascii="Arial" w:hAnsi="Arial" w:hint="default"/>
      </w:rPr>
    </w:lvl>
    <w:lvl w:ilvl="2" w:tplc="CE8C5248" w:tentative="1">
      <w:start w:val="1"/>
      <w:numFmt w:val="bullet"/>
      <w:lvlText w:val="•"/>
      <w:lvlJc w:val="left"/>
      <w:pPr>
        <w:tabs>
          <w:tab w:val="num" w:pos="2160"/>
        </w:tabs>
        <w:ind w:left="2160" w:hanging="360"/>
      </w:pPr>
      <w:rPr>
        <w:rFonts w:ascii="Arial" w:hAnsi="Arial" w:hint="default"/>
      </w:rPr>
    </w:lvl>
    <w:lvl w:ilvl="3" w:tplc="225EDACA" w:tentative="1">
      <w:start w:val="1"/>
      <w:numFmt w:val="bullet"/>
      <w:lvlText w:val="•"/>
      <w:lvlJc w:val="left"/>
      <w:pPr>
        <w:tabs>
          <w:tab w:val="num" w:pos="2880"/>
        </w:tabs>
        <w:ind w:left="2880" w:hanging="360"/>
      </w:pPr>
      <w:rPr>
        <w:rFonts w:ascii="Arial" w:hAnsi="Arial" w:hint="default"/>
      </w:rPr>
    </w:lvl>
    <w:lvl w:ilvl="4" w:tplc="0626367E" w:tentative="1">
      <w:start w:val="1"/>
      <w:numFmt w:val="bullet"/>
      <w:lvlText w:val="•"/>
      <w:lvlJc w:val="left"/>
      <w:pPr>
        <w:tabs>
          <w:tab w:val="num" w:pos="3600"/>
        </w:tabs>
        <w:ind w:left="3600" w:hanging="360"/>
      </w:pPr>
      <w:rPr>
        <w:rFonts w:ascii="Arial" w:hAnsi="Arial" w:hint="default"/>
      </w:rPr>
    </w:lvl>
    <w:lvl w:ilvl="5" w:tplc="F3F24E2C" w:tentative="1">
      <w:start w:val="1"/>
      <w:numFmt w:val="bullet"/>
      <w:lvlText w:val="•"/>
      <w:lvlJc w:val="left"/>
      <w:pPr>
        <w:tabs>
          <w:tab w:val="num" w:pos="4320"/>
        </w:tabs>
        <w:ind w:left="4320" w:hanging="360"/>
      </w:pPr>
      <w:rPr>
        <w:rFonts w:ascii="Arial" w:hAnsi="Arial" w:hint="default"/>
      </w:rPr>
    </w:lvl>
    <w:lvl w:ilvl="6" w:tplc="66CAD2A8" w:tentative="1">
      <w:start w:val="1"/>
      <w:numFmt w:val="bullet"/>
      <w:lvlText w:val="•"/>
      <w:lvlJc w:val="left"/>
      <w:pPr>
        <w:tabs>
          <w:tab w:val="num" w:pos="5040"/>
        </w:tabs>
        <w:ind w:left="5040" w:hanging="360"/>
      </w:pPr>
      <w:rPr>
        <w:rFonts w:ascii="Arial" w:hAnsi="Arial" w:hint="default"/>
      </w:rPr>
    </w:lvl>
    <w:lvl w:ilvl="7" w:tplc="2D2688B4" w:tentative="1">
      <w:start w:val="1"/>
      <w:numFmt w:val="bullet"/>
      <w:lvlText w:val="•"/>
      <w:lvlJc w:val="left"/>
      <w:pPr>
        <w:tabs>
          <w:tab w:val="num" w:pos="5760"/>
        </w:tabs>
        <w:ind w:left="5760" w:hanging="360"/>
      </w:pPr>
      <w:rPr>
        <w:rFonts w:ascii="Arial" w:hAnsi="Arial" w:hint="default"/>
      </w:rPr>
    </w:lvl>
    <w:lvl w:ilvl="8" w:tplc="D7D0C13C" w:tentative="1">
      <w:start w:val="1"/>
      <w:numFmt w:val="bullet"/>
      <w:lvlText w:val="•"/>
      <w:lvlJc w:val="left"/>
      <w:pPr>
        <w:tabs>
          <w:tab w:val="num" w:pos="6480"/>
        </w:tabs>
        <w:ind w:left="6480" w:hanging="360"/>
      </w:pPr>
      <w:rPr>
        <w:rFonts w:ascii="Arial" w:hAnsi="Arial" w:hint="default"/>
      </w:rPr>
    </w:lvl>
  </w:abstractNum>
  <w:abstractNum w:abstractNumId="206" w15:restartNumberingAfterBreak="0">
    <w:nsid w:val="7C2D2F11"/>
    <w:multiLevelType w:val="hybridMultilevel"/>
    <w:tmpl w:val="AAC2850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7" w15:restartNumberingAfterBreak="0">
    <w:nsid w:val="7D0B5D6E"/>
    <w:multiLevelType w:val="hybridMultilevel"/>
    <w:tmpl w:val="28E8C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8" w15:restartNumberingAfterBreak="0">
    <w:nsid w:val="7D253A11"/>
    <w:multiLevelType w:val="hybridMultilevel"/>
    <w:tmpl w:val="CDC45FAE"/>
    <w:lvl w:ilvl="0" w:tplc="D948574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09" w15:restartNumberingAfterBreak="0">
    <w:nsid w:val="7DBA29FE"/>
    <w:multiLevelType w:val="hybridMultilevel"/>
    <w:tmpl w:val="CDDCE8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0" w15:restartNumberingAfterBreak="0">
    <w:nsid w:val="7E612FB6"/>
    <w:multiLevelType w:val="hybridMultilevel"/>
    <w:tmpl w:val="77D21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1" w15:restartNumberingAfterBreak="0">
    <w:nsid w:val="7EAF518E"/>
    <w:multiLevelType w:val="hybridMultilevel"/>
    <w:tmpl w:val="D0BA09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2" w15:restartNumberingAfterBreak="0">
    <w:nsid w:val="7F547EB9"/>
    <w:multiLevelType w:val="hybridMultilevel"/>
    <w:tmpl w:val="975C10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3" w15:restartNumberingAfterBreak="0">
    <w:nsid w:val="7FC164C6"/>
    <w:multiLevelType w:val="hybridMultilevel"/>
    <w:tmpl w:val="9F087242"/>
    <w:styleLink w:val="111111"/>
    <w:lvl w:ilvl="0" w:tplc="70B684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4" w15:restartNumberingAfterBreak="0">
    <w:nsid w:val="7FCE568C"/>
    <w:multiLevelType w:val="hybridMultilevel"/>
    <w:tmpl w:val="F0E2B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6"/>
  </w:num>
  <w:num w:numId="2">
    <w:abstractNumId w:val="194"/>
  </w:num>
  <w:num w:numId="3">
    <w:abstractNumId w:val="127"/>
  </w:num>
  <w:num w:numId="4">
    <w:abstractNumId w:val="0"/>
  </w:num>
  <w:num w:numId="5">
    <w:abstractNumId w:val="93"/>
  </w:num>
  <w:num w:numId="6">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3"/>
  </w:num>
  <w:num w:numId="8">
    <w:abstractNumId w:val="97"/>
  </w:num>
  <w:num w:numId="9">
    <w:abstractNumId w:val="25"/>
  </w:num>
  <w:num w:numId="10">
    <w:abstractNumId w:val="2"/>
  </w:num>
  <w:num w:numId="11">
    <w:abstractNumId w:val="148"/>
  </w:num>
  <w:num w:numId="12">
    <w:abstractNumId w:val="62"/>
  </w:num>
  <w:num w:numId="13">
    <w:abstractNumId w:val="151"/>
  </w:num>
  <w:num w:numId="14">
    <w:abstractNumId w:val="108"/>
  </w:num>
  <w:num w:numId="15">
    <w:abstractNumId w:val="188"/>
  </w:num>
  <w:num w:numId="16">
    <w:abstractNumId w:val="43"/>
  </w:num>
  <w:num w:numId="17">
    <w:abstractNumId w:val="100"/>
  </w:num>
  <w:num w:numId="18">
    <w:abstractNumId w:val="203"/>
  </w:num>
  <w:num w:numId="19">
    <w:abstractNumId w:val="94"/>
  </w:num>
  <w:num w:numId="20">
    <w:abstractNumId w:val="199"/>
  </w:num>
  <w:num w:numId="21">
    <w:abstractNumId w:val="88"/>
  </w:num>
  <w:num w:numId="22">
    <w:abstractNumId w:val="121"/>
  </w:num>
  <w:num w:numId="23">
    <w:abstractNumId w:val="178"/>
  </w:num>
  <w:num w:numId="24">
    <w:abstractNumId w:val="117"/>
  </w:num>
  <w:num w:numId="25">
    <w:abstractNumId w:val="150"/>
  </w:num>
  <w:num w:numId="26">
    <w:abstractNumId w:val="96"/>
  </w:num>
  <w:num w:numId="27">
    <w:abstractNumId w:val="51"/>
  </w:num>
  <w:num w:numId="28">
    <w:abstractNumId w:val="22"/>
  </w:num>
  <w:num w:numId="29">
    <w:abstractNumId w:val="104"/>
  </w:num>
  <w:num w:numId="30">
    <w:abstractNumId w:val="28"/>
  </w:num>
  <w:num w:numId="31">
    <w:abstractNumId w:val="41"/>
  </w:num>
  <w:num w:numId="32">
    <w:abstractNumId w:val="130"/>
  </w:num>
  <w:num w:numId="33">
    <w:abstractNumId w:val="24"/>
  </w:num>
  <w:num w:numId="34">
    <w:abstractNumId w:val="133"/>
  </w:num>
  <w:num w:numId="35">
    <w:abstractNumId w:val="163"/>
  </w:num>
  <w:num w:numId="36">
    <w:abstractNumId w:val="61"/>
  </w:num>
  <w:num w:numId="37">
    <w:abstractNumId w:val="109"/>
  </w:num>
  <w:num w:numId="38">
    <w:abstractNumId w:val="213"/>
  </w:num>
  <w:num w:numId="39">
    <w:abstractNumId w:val="18"/>
  </w:num>
  <w:num w:numId="40">
    <w:abstractNumId w:val="68"/>
  </w:num>
  <w:num w:numId="41">
    <w:abstractNumId w:val="58"/>
  </w:num>
  <w:num w:numId="42">
    <w:abstractNumId w:val="26"/>
  </w:num>
  <w:num w:numId="43">
    <w:abstractNumId w:val="99"/>
  </w:num>
  <w:num w:numId="44">
    <w:abstractNumId w:val="149"/>
  </w:num>
  <w:num w:numId="45">
    <w:abstractNumId w:val="129"/>
  </w:num>
  <w:num w:numId="46">
    <w:abstractNumId w:val="36"/>
  </w:num>
  <w:num w:numId="47">
    <w:abstractNumId w:val="92"/>
  </w:num>
  <w:num w:numId="48">
    <w:abstractNumId w:val="11"/>
  </w:num>
  <w:num w:numId="49">
    <w:abstractNumId w:val="110"/>
  </w:num>
  <w:num w:numId="50">
    <w:abstractNumId w:val="173"/>
  </w:num>
  <w:num w:numId="51">
    <w:abstractNumId w:val="122"/>
  </w:num>
  <w:num w:numId="52">
    <w:abstractNumId w:val="162"/>
  </w:num>
  <w:num w:numId="53">
    <w:abstractNumId w:val="35"/>
  </w:num>
  <w:num w:numId="54">
    <w:abstractNumId w:val="8"/>
  </w:num>
  <w:num w:numId="55">
    <w:abstractNumId w:val="54"/>
  </w:num>
  <w:num w:numId="56">
    <w:abstractNumId w:val="67"/>
  </w:num>
  <w:num w:numId="57">
    <w:abstractNumId w:val="111"/>
  </w:num>
  <w:num w:numId="58">
    <w:abstractNumId w:val="78"/>
  </w:num>
  <w:num w:numId="59">
    <w:abstractNumId w:val="46"/>
  </w:num>
  <w:num w:numId="60">
    <w:abstractNumId w:val="34"/>
  </w:num>
  <w:num w:numId="61">
    <w:abstractNumId w:val="177"/>
  </w:num>
  <w:num w:numId="62">
    <w:abstractNumId w:val="159"/>
  </w:num>
  <w:num w:numId="63">
    <w:abstractNumId w:val="193"/>
  </w:num>
  <w:num w:numId="64">
    <w:abstractNumId w:val="147"/>
  </w:num>
  <w:num w:numId="65">
    <w:abstractNumId w:val="131"/>
  </w:num>
  <w:num w:numId="66">
    <w:abstractNumId w:val="15"/>
  </w:num>
  <w:num w:numId="67">
    <w:abstractNumId w:val="209"/>
  </w:num>
  <w:num w:numId="68">
    <w:abstractNumId w:val="39"/>
  </w:num>
  <w:num w:numId="69">
    <w:abstractNumId w:val="176"/>
  </w:num>
  <w:num w:numId="70">
    <w:abstractNumId w:val="190"/>
  </w:num>
  <w:num w:numId="71">
    <w:abstractNumId w:val="31"/>
  </w:num>
  <w:num w:numId="72">
    <w:abstractNumId w:val="174"/>
  </w:num>
  <w:num w:numId="73">
    <w:abstractNumId w:val="33"/>
  </w:num>
  <w:num w:numId="74">
    <w:abstractNumId w:val="89"/>
  </w:num>
  <w:num w:numId="75">
    <w:abstractNumId w:val="60"/>
  </w:num>
  <w:num w:numId="76">
    <w:abstractNumId w:val="112"/>
  </w:num>
  <w:num w:numId="77">
    <w:abstractNumId w:val="200"/>
  </w:num>
  <w:num w:numId="78">
    <w:abstractNumId w:val="113"/>
  </w:num>
  <w:num w:numId="79">
    <w:abstractNumId w:val="154"/>
  </w:num>
  <w:num w:numId="80">
    <w:abstractNumId w:val="7"/>
  </w:num>
  <w:num w:numId="81">
    <w:abstractNumId w:val="53"/>
  </w:num>
  <w:num w:numId="82">
    <w:abstractNumId w:val="23"/>
  </w:num>
  <w:num w:numId="83">
    <w:abstractNumId w:val="183"/>
  </w:num>
  <w:num w:numId="84">
    <w:abstractNumId w:val="211"/>
  </w:num>
  <w:num w:numId="85">
    <w:abstractNumId w:val="84"/>
  </w:num>
  <w:num w:numId="86">
    <w:abstractNumId w:val="70"/>
  </w:num>
  <w:num w:numId="87">
    <w:abstractNumId w:val="64"/>
  </w:num>
  <w:num w:numId="88">
    <w:abstractNumId w:val="165"/>
  </w:num>
  <w:num w:numId="89">
    <w:abstractNumId w:val="179"/>
  </w:num>
  <w:num w:numId="90">
    <w:abstractNumId w:val="145"/>
  </w:num>
  <w:num w:numId="91">
    <w:abstractNumId w:val="91"/>
  </w:num>
  <w:num w:numId="92">
    <w:abstractNumId w:val="37"/>
  </w:num>
  <w:num w:numId="93">
    <w:abstractNumId w:val="118"/>
  </w:num>
  <w:num w:numId="94">
    <w:abstractNumId w:val="155"/>
  </w:num>
  <w:num w:numId="95">
    <w:abstractNumId w:val="180"/>
  </w:num>
  <w:num w:numId="96">
    <w:abstractNumId w:val="172"/>
  </w:num>
  <w:num w:numId="97">
    <w:abstractNumId w:val="57"/>
  </w:num>
  <w:num w:numId="98">
    <w:abstractNumId w:val="134"/>
  </w:num>
  <w:num w:numId="99">
    <w:abstractNumId w:val="161"/>
  </w:num>
  <w:num w:numId="100">
    <w:abstractNumId w:val="123"/>
  </w:num>
  <w:num w:numId="101">
    <w:abstractNumId w:val="116"/>
  </w:num>
  <w:num w:numId="102">
    <w:abstractNumId w:val="171"/>
  </w:num>
  <w:num w:numId="103">
    <w:abstractNumId w:val="48"/>
  </w:num>
  <w:num w:numId="104">
    <w:abstractNumId w:val="202"/>
  </w:num>
  <w:num w:numId="105">
    <w:abstractNumId w:val="204"/>
  </w:num>
  <w:num w:numId="106">
    <w:abstractNumId w:val="138"/>
  </w:num>
  <w:num w:numId="107">
    <w:abstractNumId w:val="212"/>
  </w:num>
  <w:num w:numId="108">
    <w:abstractNumId w:val="76"/>
  </w:num>
  <w:num w:numId="109">
    <w:abstractNumId w:val="63"/>
  </w:num>
  <w:num w:numId="110">
    <w:abstractNumId w:val="170"/>
  </w:num>
  <w:num w:numId="111">
    <w:abstractNumId w:val="139"/>
  </w:num>
  <w:num w:numId="112">
    <w:abstractNumId w:val="120"/>
  </w:num>
  <w:num w:numId="113">
    <w:abstractNumId w:val="146"/>
  </w:num>
  <w:num w:numId="114">
    <w:abstractNumId w:val="90"/>
  </w:num>
  <w:num w:numId="115">
    <w:abstractNumId w:val="136"/>
  </w:num>
  <w:num w:numId="116">
    <w:abstractNumId w:val="66"/>
  </w:num>
  <w:num w:numId="117">
    <w:abstractNumId w:val="208"/>
  </w:num>
  <w:num w:numId="118">
    <w:abstractNumId w:val="137"/>
  </w:num>
  <w:num w:numId="119">
    <w:abstractNumId w:val="105"/>
  </w:num>
  <w:num w:numId="120">
    <w:abstractNumId w:val="80"/>
  </w:num>
  <w:num w:numId="121">
    <w:abstractNumId w:val="197"/>
  </w:num>
  <w:num w:numId="122">
    <w:abstractNumId w:val="141"/>
  </w:num>
  <w:num w:numId="123">
    <w:abstractNumId w:val="181"/>
  </w:num>
  <w:num w:numId="124">
    <w:abstractNumId w:val="142"/>
  </w:num>
  <w:num w:numId="125">
    <w:abstractNumId w:val="85"/>
  </w:num>
  <w:num w:numId="126">
    <w:abstractNumId w:val="198"/>
  </w:num>
  <w:num w:numId="127">
    <w:abstractNumId w:val="135"/>
  </w:num>
  <w:num w:numId="128">
    <w:abstractNumId w:val="1"/>
  </w:num>
  <w:num w:numId="129">
    <w:abstractNumId w:val="79"/>
  </w:num>
  <w:num w:numId="130">
    <w:abstractNumId w:val="167"/>
  </w:num>
  <w:num w:numId="131">
    <w:abstractNumId w:val="38"/>
  </w:num>
  <w:num w:numId="132">
    <w:abstractNumId w:val="5"/>
  </w:num>
  <w:num w:numId="133">
    <w:abstractNumId w:val="189"/>
  </w:num>
  <w:num w:numId="134">
    <w:abstractNumId w:val="166"/>
  </w:num>
  <w:num w:numId="135">
    <w:abstractNumId w:val="42"/>
  </w:num>
  <w:num w:numId="136">
    <w:abstractNumId w:val="3"/>
  </w:num>
  <w:num w:numId="137">
    <w:abstractNumId w:val="214"/>
  </w:num>
  <w:num w:numId="138">
    <w:abstractNumId w:val="4"/>
  </w:num>
  <w:num w:numId="139">
    <w:abstractNumId w:val="164"/>
  </w:num>
  <w:num w:numId="140">
    <w:abstractNumId w:val="6"/>
  </w:num>
  <w:num w:numId="141">
    <w:abstractNumId w:val="160"/>
  </w:num>
  <w:num w:numId="142">
    <w:abstractNumId w:val="13"/>
  </w:num>
  <w:num w:numId="143">
    <w:abstractNumId w:val="16"/>
  </w:num>
  <w:num w:numId="144">
    <w:abstractNumId w:val="115"/>
  </w:num>
  <w:num w:numId="145">
    <w:abstractNumId w:val="19"/>
  </w:num>
  <w:num w:numId="146">
    <w:abstractNumId w:val="65"/>
  </w:num>
  <w:num w:numId="147">
    <w:abstractNumId w:val="210"/>
  </w:num>
  <w:num w:numId="148">
    <w:abstractNumId w:val="158"/>
  </w:num>
  <w:num w:numId="149">
    <w:abstractNumId w:val="73"/>
  </w:num>
  <w:num w:numId="150">
    <w:abstractNumId w:val="10"/>
  </w:num>
  <w:num w:numId="151">
    <w:abstractNumId w:val="191"/>
  </w:num>
  <w:num w:numId="152">
    <w:abstractNumId w:val="168"/>
  </w:num>
  <w:num w:numId="153">
    <w:abstractNumId w:val="103"/>
  </w:num>
  <w:num w:numId="154">
    <w:abstractNumId w:val="21"/>
  </w:num>
  <w:num w:numId="155">
    <w:abstractNumId w:val="102"/>
  </w:num>
  <w:num w:numId="156">
    <w:abstractNumId w:val="101"/>
  </w:num>
  <w:num w:numId="157">
    <w:abstractNumId w:val="55"/>
  </w:num>
  <w:num w:numId="158">
    <w:abstractNumId w:val="12"/>
  </w:num>
  <w:num w:numId="159">
    <w:abstractNumId w:val="206"/>
  </w:num>
  <w:num w:numId="160">
    <w:abstractNumId w:val="207"/>
  </w:num>
  <w:num w:numId="161">
    <w:abstractNumId w:val="74"/>
  </w:num>
  <w:num w:numId="162">
    <w:abstractNumId w:val="144"/>
  </w:num>
  <w:num w:numId="163">
    <w:abstractNumId w:val="95"/>
  </w:num>
  <w:num w:numId="164">
    <w:abstractNumId w:val="72"/>
  </w:num>
  <w:num w:numId="165">
    <w:abstractNumId w:val="47"/>
  </w:num>
  <w:num w:numId="166">
    <w:abstractNumId w:val="20"/>
  </w:num>
  <w:num w:numId="167">
    <w:abstractNumId w:val="52"/>
  </w:num>
  <w:num w:numId="168">
    <w:abstractNumId w:val="49"/>
  </w:num>
  <w:num w:numId="169">
    <w:abstractNumId w:val="157"/>
  </w:num>
  <w:num w:numId="170">
    <w:abstractNumId w:val="140"/>
  </w:num>
  <w:num w:numId="171">
    <w:abstractNumId w:val="56"/>
  </w:num>
  <w:num w:numId="172">
    <w:abstractNumId w:val="201"/>
  </w:num>
  <w:num w:numId="173">
    <w:abstractNumId w:val="184"/>
  </w:num>
  <w:num w:numId="174">
    <w:abstractNumId w:val="169"/>
  </w:num>
  <w:num w:numId="175">
    <w:abstractNumId w:val="30"/>
  </w:num>
  <w:num w:numId="176">
    <w:abstractNumId w:val="182"/>
  </w:num>
  <w:num w:numId="177">
    <w:abstractNumId w:val="186"/>
  </w:num>
  <w:num w:numId="178">
    <w:abstractNumId w:val="27"/>
  </w:num>
  <w:num w:numId="179">
    <w:abstractNumId w:val="59"/>
  </w:num>
  <w:num w:numId="180">
    <w:abstractNumId w:val="44"/>
  </w:num>
  <w:num w:numId="181">
    <w:abstractNumId w:val="175"/>
  </w:num>
  <w:num w:numId="182">
    <w:abstractNumId w:val="132"/>
  </w:num>
  <w:num w:numId="183">
    <w:abstractNumId w:val="45"/>
  </w:num>
  <w:num w:numId="184">
    <w:abstractNumId w:val="128"/>
  </w:num>
  <w:num w:numId="185">
    <w:abstractNumId w:val="119"/>
  </w:num>
  <w:num w:numId="186">
    <w:abstractNumId w:val="32"/>
  </w:num>
  <w:num w:numId="187">
    <w:abstractNumId w:val="81"/>
  </w:num>
  <w:num w:numId="188">
    <w:abstractNumId w:val="143"/>
  </w:num>
  <w:num w:numId="189">
    <w:abstractNumId w:val="152"/>
  </w:num>
  <w:num w:numId="190">
    <w:abstractNumId w:val="17"/>
  </w:num>
  <w:num w:numId="191">
    <w:abstractNumId w:val="69"/>
  </w:num>
  <w:num w:numId="192">
    <w:abstractNumId w:val="75"/>
  </w:num>
  <w:num w:numId="193">
    <w:abstractNumId w:val="106"/>
  </w:num>
  <w:num w:numId="194">
    <w:abstractNumId w:val="126"/>
  </w:num>
  <w:num w:numId="195">
    <w:abstractNumId w:val="124"/>
  </w:num>
  <w:num w:numId="196">
    <w:abstractNumId w:val="192"/>
  </w:num>
  <w:num w:numId="197">
    <w:abstractNumId w:val="107"/>
  </w:num>
  <w:num w:numId="198">
    <w:abstractNumId w:val="98"/>
  </w:num>
  <w:num w:numId="199">
    <w:abstractNumId w:val="86"/>
  </w:num>
  <w:num w:numId="200">
    <w:abstractNumId w:val="40"/>
  </w:num>
  <w:num w:numId="201">
    <w:abstractNumId w:val="114"/>
  </w:num>
  <w:num w:numId="202">
    <w:abstractNumId w:val="50"/>
  </w:num>
  <w:num w:numId="203">
    <w:abstractNumId w:val="185"/>
  </w:num>
  <w:num w:numId="204">
    <w:abstractNumId w:val="205"/>
  </w:num>
  <w:num w:numId="205">
    <w:abstractNumId w:val="195"/>
  </w:num>
  <w:num w:numId="206">
    <w:abstractNumId w:val="87"/>
  </w:num>
  <w:num w:numId="207">
    <w:abstractNumId w:val="29"/>
  </w:num>
  <w:num w:numId="208">
    <w:abstractNumId w:val="82"/>
  </w:num>
  <w:num w:numId="209">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187"/>
  </w:num>
  <w:num w:numId="214">
    <w:abstractNumId w:val="153"/>
  </w:num>
  <w:num w:numId="215">
    <w:abstractNumId w:val="14"/>
  </w:num>
  <w:numIdMacAtCleanup w:val="2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1800"/>
    <w:rsid w:val="00001BA0"/>
    <w:rsid w:val="00004D38"/>
    <w:rsid w:val="00015EE5"/>
    <w:rsid w:val="00021FEA"/>
    <w:rsid w:val="000345F1"/>
    <w:rsid w:val="000366BC"/>
    <w:rsid w:val="0004027B"/>
    <w:rsid w:val="000414F6"/>
    <w:rsid w:val="000440A0"/>
    <w:rsid w:val="00051F38"/>
    <w:rsid w:val="00064FEC"/>
    <w:rsid w:val="0006545A"/>
    <w:rsid w:val="00065D0C"/>
    <w:rsid w:val="00073B2E"/>
    <w:rsid w:val="00077424"/>
    <w:rsid w:val="00087712"/>
    <w:rsid w:val="00094ED6"/>
    <w:rsid w:val="000A277C"/>
    <w:rsid w:val="000B0DCD"/>
    <w:rsid w:val="000B7A71"/>
    <w:rsid w:val="000E14DB"/>
    <w:rsid w:val="0010608C"/>
    <w:rsid w:val="001062BB"/>
    <w:rsid w:val="00116AF3"/>
    <w:rsid w:val="00122110"/>
    <w:rsid w:val="001231FE"/>
    <w:rsid w:val="00141395"/>
    <w:rsid w:val="00144C58"/>
    <w:rsid w:val="00146FA3"/>
    <w:rsid w:val="00150FA6"/>
    <w:rsid w:val="00151B04"/>
    <w:rsid w:val="00171D80"/>
    <w:rsid w:val="00172112"/>
    <w:rsid w:val="00173AC5"/>
    <w:rsid w:val="00174593"/>
    <w:rsid w:val="0017531C"/>
    <w:rsid w:val="00175C52"/>
    <w:rsid w:val="00186C35"/>
    <w:rsid w:val="00187BA3"/>
    <w:rsid w:val="00191746"/>
    <w:rsid w:val="001C75A3"/>
    <w:rsid w:val="001D24E4"/>
    <w:rsid w:val="001D2A3A"/>
    <w:rsid w:val="001D40F8"/>
    <w:rsid w:val="001D484A"/>
    <w:rsid w:val="001E54CE"/>
    <w:rsid w:val="001F1409"/>
    <w:rsid w:val="001F377B"/>
    <w:rsid w:val="001F4A3C"/>
    <w:rsid w:val="00201A19"/>
    <w:rsid w:val="00207691"/>
    <w:rsid w:val="0020771B"/>
    <w:rsid w:val="002145F1"/>
    <w:rsid w:val="002165EA"/>
    <w:rsid w:val="0021676E"/>
    <w:rsid w:val="00221384"/>
    <w:rsid w:val="002407AE"/>
    <w:rsid w:val="0025228A"/>
    <w:rsid w:val="00252A5F"/>
    <w:rsid w:val="00255B40"/>
    <w:rsid w:val="002651E9"/>
    <w:rsid w:val="002758A4"/>
    <w:rsid w:val="002759A5"/>
    <w:rsid w:val="00275A41"/>
    <w:rsid w:val="00277C09"/>
    <w:rsid w:val="00284876"/>
    <w:rsid w:val="002929B1"/>
    <w:rsid w:val="002A0C02"/>
    <w:rsid w:val="002A305E"/>
    <w:rsid w:val="002C165F"/>
    <w:rsid w:val="002D2CF7"/>
    <w:rsid w:val="002E6C4C"/>
    <w:rsid w:val="002F38B6"/>
    <w:rsid w:val="002F7719"/>
    <w:rsid w:val="00301C01"/>
    <w:rsid w:val="00311757"/>
    <w:rsid w:val="00315A5D"/>
    <w:rsid w:val="0032061E"/>
    <w:rsid w:val="00334F6C"/>
    <w:rsid w:val="00337A20"/>
    <w:rsid w:val="0034023C"/>
    <w:rsid w:val="00342EE0"/>
    <w:rsid w:val="003527A8"/>
    <w:rsid w:val="00354395"/>
    <w:rsid w:val="00364741"/>
    <w:rsid w:val="0036727F"/>
    <w:rsid w:val="0037752C"/>
    <w:rsid w:val="00381476"/>
    <w:rsid w:val="00384B6A"/>
    <w:rsid w:val="0038545E"/>
    <w:rsid w:val="003A26B5"/>
    <w:rsid w:val="003A282F"/>
    <w:rsid w:val="003B0404"/>
    <w:rsid w:val="003B392D"/>
    <w:rsid w:val="003B39A6"/>
    <w:rsid w:val="003D2163"/>
    <w:rsid w:val="003D7932"/>
    <w:rsid w:val="003E29AE"/>
    <w:rsid w:val="003F0349"/>
    <w:rsid w:val="0040087C"/>
    <w:rsid w:val="00401CD5"/>
    <w:rsid w:val="00402343"/>
    <w:rsid w:val="00407213"/>
    <w:rsid w:val="00410741"/>
    <w:rsid w:val="0042540A"/>
    <w:rsid w:val="00427B0E"/>
    <w:rsid w:val="00437811"/>
    <w:rsid w:val="00467FA0"/>
    <w:rsid w:val="004712DB"/>
    <w:rsid w:val="00474C67"/>
    <w:rsid w:val="004914BD"/>
    <w:rsid w:val="0049584C"/>
    <w:rsid w:val="004978B3"/>
    <w:rsid w:val="004A0BA3"/>
    <w:rsid w:val="004B21E9"/>
    <w:rsid w:val="004C3BA5"/>
    <w:rsid w:val="004C6DE4"/>
    <w:rsid w:val="004D6B87"/>
    <w:rsid w:val="004E1288"/>
    <w:rsid w:val="004E5E50"/>
    <w:rsid w:val="004F0EF4"/>
    <w:rsid w:val="004F29A0"/>
    <w:rsid w:val="004F413D"/>
    <w:rsid w:val="004F4F24"/>
    <w:rsid w:val="005008F9"/>
    <w:rsid w:val="0051317D"/>
    <w:rsid w:val="00513EDE"/>
    <w:rsid w:val="0052193F"/>
    <w:rsid w:val="005219AF"/>
    <w:rsid w:val="0052679E"/>
    <w:rsid w:val="00527203"/>
    <w:rsid w:val="00530C73"/>
    <w:rsid w:val="0053565F"/>
    <w:rsid w:val="005428BC"/>
    <w:rsid w:val="00544557"/>
    <w:rsid w:val="00550CB2"/>
    <w:rsid w:val="00551386"/>
    <w:rsid w:val="005627B3"/>
    <w:rsid w:val="00562845"/>
    <w:rsid w:val="00580D79"/>
    <w:rsid w:val="00583004"/>
    <w:rsid w:val="0058644E"/>
    <w:rsid w:val="005A2A13"/>
    <w:rsid w:val="005B4472"/>
    <w:rsid w:val="005B6D15"/>
    <w:rsid w:val="005B7062"/>
    <w:rsid w:val="005C30B2"/>
    <w:rsid w:val="005C3C0C"/>
    <w:rsid w:val="005C7877"/>
    <w:rsid w:val="005D11E1"/>
    <w:rsid w:val="005D560B"/>
    <w:rsid w:val="005E2314"/>
    <w:rsid w:val="005F2837"/>
    <w:rsid w:val="005F668D"/>
    <w:rsid w:val="00624531"/>
    <w:rsid w:val="006364D5"/>
    <w:rsid w:val="00641C56"/>
    <w:rsid w:val="006425FF"/>
    <w:rsid w:val="006446FF"/>
    <w:rsid w:val="006534F0"/>
    <w:rsid w:val="00653525"/>
    <w:rsid w:val="0066485C"/>
    <w:rsid w:val="0066740A"/>
    <w:rsid w:val="0068676A"/>
    <w:rsid w:val="00690549"/>
    <w:rsid w:val="006D4DE0"/>
    <w:rsid w:val="006D53E9"/>
    <w:rsid w:val="006F132C"/>
    <w:rsid w:val="0070759B"/>
    <w:rsid w:val="00710EC8"/>
    <w:rsid w:val="007223E9"/>
    <w:rsid w:val="0072615F"/>
    <w:rsid w:val="0073234E"/>
    <w:rsid w:val="007449AD"/>
    <w:rsid w:val="00750B12"/>
    <w:rsid w:val="0075206A"/>
    <w:rsid w:val="00756445"/>
    <w:rsid w:val="00784084"/>
    <w:rsid w:val="007A52E6"/>
    <w:rsid w:val="007B6060"/>
    <w:rsid w:val="007D42AC"/>
    <w:rsid w:val="007E1018"/>
    <w:rsid w:val="007E22FB"/>
    <w:rsid w:val="007E429F"/>
    <w:rsid w:val="007F4DE8"/>
    <w:rsid w:val="007F529C"/>
    <w:rsid w:val="008066E4"/>
    <w:rsid w:val="008141CB"/>
    <w:rsid w:val="00815492"/>
    <w:rsid w:val="008238A0"/>
    <w:rsid w:val="00831264"/>
    <w:rsid w:val="00832AE8"/>
    <w:rsid w:val="00834AEB"/>
    <w:rsid w:val="008358AE"/>
    <w:rsid w:val="008371F9"/>
    <w:rsid w:val="00844875"/>
    <w:rsid w:val="008679B5"/>
    <w:rsid w:val="00876A83"/>
    <w:rsid w:val="00877EF5"/>
    <w:rsid w:val="00890B9B"/>
    <w:rsid w:val="00890C4B"/>
    <w:rsid w:val="00895771"/>
    <w:rsid w:val="008A01BE"/>
    <w:rsid w:val="008A24EB"/>
    <w:rsid w:val="008B139F"/>
    <w:rsid w:val="008B7F08"/>
    <w:rsid w:val="008D1802"/>
    <w:rsid w:val="008D6C00"/>
    <w:rsid w:val="008D6F8C"/>
    <w:rsid w:val="008D7DC1"/>
    <w:rsid w:val="008E1259"/>
    <w:rsid w:val="008E1B7D"/>
    <w:rsid w:val="0090571C"/>
    <w:rsid w:val="00906BDC"/>
    <w:rsid w:val="00910303"/>
    <w:rsid w:val="009103C4"/>
    <w:rsid w:val="0091604A"/>
    <w:rsid w:val="00923D82"/>
    <w:rsid w:val="00924161"/>
    <w:rsid w:val="0093109D"/>
    <w:rsid w:val="009318D0"/>
    <w:rsid w:val="009423C8"/>
    <w:rsid w:val="009470C1"/>
    <w:rsid w:val="00947134"/>
    <w:rsid w:val="0097294B"/>
    <w:rsid w:val="00972DD8"/>
    <w:rsid w:val="00985FE3"/>
    <w:rsid w:val="00991BF8"/>
    <w:rsid w:val="009A3E97"/>
    <w:rsid w:val="009B4039"/>
    <w:rsid w:val="009C0364"/>
    <w:rsid w:val="009C6B5A"/>
    <w:rsid w:val="009D41F9"/>
    <w:rsid w:val="009D6A88"/>
    <w:rsid w:val="009E2C2B"/>
    <w:rsid w:val="009E685D"/>
    <w:rsid w:val="009F156F"/>
    <w:rsid w:val="009F2091"/>
    <w:rsid w:val="00A054AC"/>
    <w:rsid w:val="00A2640D"/>
    <w:rsid w:val="00A26F44"/>
    <w:rsid w:val="00A27431"/>
    <w:rsid w:val="00A30632"/>
    <w:rsid w:val="00A311CB"/>
    <w:rsid w:val="00A43CE5"/>
    <w:rsid w:val="00A53CD4"/>
    <w:rsid w:val="00A555B2"/>
    <w:rsid w:val="00A571EA"/>
    <w:rsid w:val="00A61729"/>
    <w:rsid w:val="00A64208"/>
    <w:rsid w:val="00A70F44"/>
    <w:rsid w:val="00A84901"/>
    <w:rsid w:val="00A8531D"/>
    <w:rsid w:val="00A859D3"/>
    <w:rsid w:val="00A86E5F"/>
    <w:rsid w:val="00A91645"/>
    <w:rsid w:val="00AA49EC"/>
    <w:rsid w:val="00AB384B"/>
    <w:rsid w:val="00AB436A"/>
    <w:rsid w:val="00AC26B5"/>
    <w:rsid w:val="00AE3406"/>
    <w:rsid w:val="00AE6DD2"/>
    <w:rsid w:val="00AF3168"/>
    <w:rsid w:val="00B052ED"/>
    <w:rsid w:val="00B0565A"/>
    <w:rsid w:val="00B104EF"/>
    <w:rsid w:val="00B16138"/>
    <w:rsid w:val="00B23363"/>
    <w:rsid w:val="00B32C48"/>
    <w:rsid w:val="00B46390"/>
    <w:rsid w:val="00B6445C"/>
    <w:rsid w:val="00B65A2B"/>
    <w:rsid w:val="00B7227F"/>
    <w:rsid w:val="00B7479D"/>
    <w:rsid w:val="00B8195D"/>
    <w:rsid w:val="00B8218A"/>
    <w:rsid w:val="00B8381E"/>
    <w:rsid w:val="00B8401B"/>
    <w:rsid w:val="00B8507B"/>
    <w:rsid w:val="00B9350B"/>
    <w:rsid w:val="00B96D1D"/>
    <w:rsid w:val="00BA46B4"/>
    <w:rsid w:val="00BB2319"/>
    <w:rsid w:val="00BC0F0B"/>
    <w:rsid w:val="00BC1383"/>
    <w:rsid w:val="00BD78B2"/>
    <w:rsid w:val="00BE744B"/>
    <w:rsid w:val="00BF1B99"/>
    <w:rsid w:val="00BF3A59"/>
    <w:rsid w:val="00C05145"/>
    <w:rsid w:val="00C07B00"/>
    <w:rsid w:val="00C10D41"/>
    <w:rsid w:val="00C20DD2"/>
    <w:rsid w:val="00C2396C"/>
    <w:rsid w:val="00C34847"/>
    <w:rsid w:val="00C4630C"/>
    <w:rsid w:val="00C46D62"/>
    <w:rsid w:val="00C47A3E"/>
    <w:rsid w:val="00C50E9F"/>
    <w:rsid w:val="00C518D7"/>
    <w:rsid w:val="00C71660"/>
    <w:rsid w:val="00C76650"/>
    <w:rsid w:val="00C7738C"/>
    <w:rsid w:val="00C85A73"/>
    <w:rsid w:val="00CA377A"/>
    <w:rsid w:val="00CB29F4"/>
    <w:rsid w:val="00CB562F"/>
    <w:rsid w:val="00CB6FFD"/>
    <w:rsid w:val="00CB71DA"/>
    <w:rsid w:val="00CC5156"/>
    <w:rsid w:val="00CC5BAC"/>
    <w:rsid w:val="00CC7701"/>
    <w:rsid w:val="00CD2797"/>
    <w:rsid w:val="00CD75E6"/>
    <w:rsid w:val="00CD77AA"/>
    <w:rsid w:val="00CD7F52"/>
    <w:rsid w:val="00CE1363"/>
    <w:rsid w:val="00CE359B"/>
    <w:rsid w:val="00CF724D"/>
    <w:rsid w:val="00D04F4E"/>
    <w:rsid w:val="00D07C36"/>
    <w:rsid w:val="00D2153B"/>
    <w:rsid w:val="00D2226B"/>
    <w:rsid w:val="00D2308B"/>
    <w:rsid w:val="00D30852"/>
    <w:rsid w:val="00D5012B"/>
    <w:rsid w:val="00D55E88"/>
    <w:rsid w:val="00D570F8"/>
    <w:rsid w:val="00D74813"/>
    <w:rsid w:val="00D76091"/>
    <w:rsid w:val="00D95255"/>
    <w:rsid w:val="00D96EAB"/>
    <w:rsid w:val="00DC1F88"/>
    <w:rsid w:val="00E0145A"/>
    <w:rsid w:val="00E04AA0"/>
    <w:rsid w:val="00E10DBD"/>
    <w:rsid w:val="00E12D51"/>
    <w:rsid w:val="00E34680"/>
    <w:rsid w:val="00E4137C"/>
    <w:rsid w:val="00E52B66"/>
    <w:rsid w:val="00E55C77"/>
    <w:rsid w:val="00E606F0"/>
    <w:rsid w:val="00E65564"/>
    <w:rsid w:val="00E83B26"/>
    <w:rsid w:val="00EB2B59"/>
    <w:rsid w:val="00EB4337"/>
    <w:rsid w:val="00EB78B2"/>
    <w:rsid w:val="00ED5598"/>
    <w:rsid w:val="00EE0D6D"/>
    <w:rsid w:val="00EE59C2"/>
    <w:rsid w:val="00F061F3"/>
    <w:rsid w:val="00F14A3A"/>
    <w:rsid w:val="00F201E7"/>
    <w:rsid w:val="00F4745B"/>
    <w:rsid w:val="00F5021D"/>
    <w:rsid w:val="00F60B0B"/>
    <w:rsid w:val="00F756F0"/>
    <w:rsid w:val="00F76439"/>
    <w:rsid w:val="00F80DBE"/>
    <w:rsid w:val="00F81529"/>
    <w:rsid w:val="00F817BC"/>
    <w:rsid w:val="00F81854"/>
    <w:rsid w:val="00F8226D"/>
    <w:rsid w:val="00F975FA"/>
    <w:rsid w:val="00FA741B"/>
    <w:rsid w:val="00FB4B80"/>
    <w:rsid w:val="00FC31C8"/>
    <w:rsid w:val="00FC38C4"/>
    <w:rsid w:val="00FC49E2"/>
    <w:rsid w:val="00FC7C18"/>
    <w:rsid w:val="00FD3629"/>
    <w:rsid w:val="00FD4952"/>
    <w:rsid w:val="00FE2263"/>
    <w:rsid w:val="00FF0157"/>
    <w:rsid w:val="00FF5A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EA2857"/>
  <w15:docId w15:val="{547F6C3A-7922-453C-9324-D19FCA0C3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Термины"/>
    <w:qFormat/>
    <w:rsid w:val="00BC1383"/>
    <w:pPr>
      <w:spacing w:line="360" w:lineRule="auto"/>
      <w:ind w:firstLine="709"/>
      <w:jc w:val="both"/>
    </w:pPr>
    <w:rPr>
      <w:rFonts w:ascii="Times New Roman" w:hAnsi="Times New Roman"/>
      <w:sz w:val="24"/>
    </w:rPr>
  </w:style>
  <w:style w:type="paragraph" w:styleId="11">
    <w:name w:val="heading 1"/>
    <w:basedOn w:val="2"/>
    <w:link w:val="12"/>
    <w:qFormat/>
    <w:rsid w:val="00183653"/>
    <w:pPr>
      <w:ind w:firstLine="0"/>
      <w:outlineLvl w:val="0"/>
    </w:pPr>
  </w:style>
  <w:style w:type="paragraph" w:styleId="2">
    <w:name w:val="heading 2"/>
    <w:aliases w:val="Наим. подраздела"/>
    <w:basedOn w:val="a2"/>
    <w:link w:val="20"/>
    <w:unhideWhenUsed/>
    <w:qFormat/>
    <w:rsid w:val="002F7719"/>
    <w:pPr>
      <w:outlineLvl w:val="1"/>
    </w:pPr>
  </w:style>
  <w:style w:type="paragraph" w:styleId="3">
    <w:name w:val="heading 3"/>
    <w:basedOn w:val="a1"/>
    <w:next w:val="a1"/>
    <w:link w:val="30"/>
    <w:unhideWhenUsed/>
    <w:qFormat/>
    <w:rsid w:val="00972DD8"/>
    <w:pPr>
      <w:keepNext/>
      <w:keepLines/>
      <w:spacing w:before="40"/>
      <w:outlineLvl w:val="2"/>
    </w:pPr>
    <w:rPr>
      <w:rFonts w:asciiTheme="majorHAnsi" w:eastAsiaTheme="majorEastAsia" w:hAnsiTheme="majorHAnsi" w:cstheme="majorBidi"/>
      <w:color w:val="1F4D78" w:themeColor="accent1" w:themeShade="7F"/>
      <w:szCs w:val="24"/>
    </w:rPr>
  </w:style>
  <w:style w:type="paragraph" w:styleId="4">
    <w:name w:val="heading 4"/>
    <w:basedOn w:val="a1"/>
    <w:next w:val="a1"/>
    <w:link w:val="40"/>
    <w:qFormat/>
    <w:rsid w:val="00116AF3"/>
    <w:pPr>
      <w:keepNext/>
      <w:shd w:val="clear" w:color="auto" w:fill="FFFFFF"/>
      <w:tabs>
        <w:tab w:val="num" w:pos="0"/>
      </w:tabs>
      <w:suppressAutoHyphens/>
      <w:spacing w:line="348" w:lineRule="atLeast"/>
      <w:ind w:firstLine="0"/>
      <w:outlineLvl w:val="3"/>
    </w:pPr>
    <w:rPr>
      <w:rFonts w:eastAsia="Calibri" w:cs="Times New Roman"/>
      <w:b/>
      <w:sz w:val="20"/>
      <w:szCs w:val="20"/>
      <w:lang w:val="en-US" w:eastAsia="zh-CN"/>
    </w:rPr>
  </w:style>
  <w:style w:type="paragraph" w:styleId="5">
    <w:name w:val="heading 5"/>
    <w:basedOn w:val="13"/>
    <w:next w:val="a3"/>
    <w:link w:val="50"/>
    <w:qFormat/>
    <w:rsid w:val="00116AF3"/>
    <w:pPr>
      <w:keepNext w:val="0"/>
      <w:tabs>
        <w:tab w:val="num" w:pos="0"/>
      </w:tabs>
      <w:suppressAutoHyphens/>
      <w:spacing w:before="120" w:after="60"/>
      <w:ind w:firstLine="0"/>
      <w:jc w:val="center"/>
      <w:outlineLvl w:val="4"/>
    </w:pPr>
    <w:rPr>
      <w:rFonts w:ascii="Calibri Light" w:eastAsia="Times New Roman" w:hAnsi="Calibri Light" w:cs="Calibri Light"/>
      <w:b/>
      <w:bCs/>
      <w:kern w:val="1"/>
      <w:sz w:val="24"/>
      <w:szCs w:val="24"/>
      <w:lang w:eastAsia="zh-CN"/>
    </w:rPr>
  </w:style>
  <w:style w:type="paragraph" w:styleId="6">
    <w:name w:val="heading 6"/>
    <w:basedOn w:val="13"/>
    <w:next w:val="a3"/>
    <w:link w:val="60"/>
    <w:qFormat/>
    <w:rsid w:val="00116AF3"/>
    <w:pPr>
      <w:keepNext w:val="0"/>
      <w:tabs>
        <w:tab w:val="num" w:pos="0"/>
      </w:tabs>
      <w:suppressAutoHyphens/>
      <w:spacing w:before="60" w:after="60"/>
      <w:ind w:firstLine="0"/>
      <w:jc w:val="center"/>
      <w:outlineLvl w:val="5"/>
    </w:pPr>
    <w:rPr>
      <w:rFonts w:ascii="Calibri Light" w:eastAsia="Times New Roman" w:hAnsi="Calibri Light" w:cs="Calibri Light"/>
      <w:b/>
      <w:bCs/>
      <w:i/>
      <w:iCs/>
      <w:kern w:val="1"/>
      <w:sz w:val="24"/>
      <w:szCs w:val="24"/>
      <w:lang w:eastAsia="zh-CN"/>
    </w:rPr>
  </w:style>
  <w:style w:type="paragraph" w:styleId="7">
    <w:name w:val="heading 7"/>
    <w:basedOn w:val="13"/>
    <w:next w:val="a3"/>
    <w:link w:val="70"/>
    <w:qFormat/>
    <w:rsid w:val="00116AF3"/>
    <w:pPr>
      <w:keepNext w:val="0"/>
      <w:tabs>
        <w:tab w:val="num" w:pos="0"/>
      </w:tabs>
      <w:suppressAutoHyphens/>
      <w:spacing w:before="60" w:after="60"/>
      <w:ind w:firstLine="0"/>
      <w:jc w:val="center"/>
      <w:outlineLvl w:val="6"/>
    </w:pPr>
    <w:rPr>
      <w:rFonts w:ascii="Calibri Light" w:eastAsia="Times New Roman" w:hAnsi="Calibri Light" w:cs="Calibri Light"/>
      <w:b/>
      <w:bCs/>
      <w:kern w:val="1"/>
      <w:sz w:val="22"/>
      <w:szCs w:val="22"/>
      <w:lang w:eastAsia="zh-CN"/>
    </w:rPr>
  </w:style>
  <w:style w:type="paragraph" w:styleId="8">
    <w:name w:val="heading 8"/>
    <w:basedOn w:val="13"/>
    <w:next w:val="a3"/>
    <w:link w:val="80"/>
    <w:qFormat/>
    <w:rsid w:val="00116AF3"/>
    <w:pPr>
      <w:keepNext w:val="0"/>
      <w:tabs>
        <w:tab w:val="num" w:pos="0"/>
      </w:tabs>
      <w:suppressAutoHyphens/>
      <w:spacing w:before="60" w:after="60"/>
      <w:ind w:firstLine="0"/>
      <w:jc w:val="center"/>
      <w:outlineLvl w:val="7"/>
    </w:pPr>
    <w:rPr>
      <w:rFonts w:ascii="Calibri Light" w:eastAsia="Times New Roman" w:hAnsi="Calibri Light" w:cs="Calibri Light"/>
      <w:b/>
      <w:bCs/>
      <w:i/>
      <w:iCs/>
      <w:kern w:val="1"/>
      <w:sz w:val="22"/>
      <w:szCs w:val="22"/>
      <w:lang w:eastAsia="zh-CN"/>
    </w:rPr>
  </w:style>
  <w:style w:type="paragraph" w:styleId="9">
    <w:name w:val="heading 9"/>
    <w:basedOn w:val="13"/>
    <w:next w:val="a3"/>
    <w:link w:val="90"/>
    <w:qFormat/>
    <w:rsid w:val="00116AF3"/>
    <w:pPr>
      <w:keepNext w:val="0"/>
      <w:tabs>
        <w:tab w:val="num" w:pos="0"/>
      </w:tabs>
      <w:suppressAutoHyphens/>
      <w:spacing w:before="60" w:after="60"/>
      <w:ind w:firstLine="0"/>
      <w:jc w:val="center"/>
      <w:outlineLvl w:val="8"/>
    </w:pPr>
    <w:rPr>
      <w:rFonts w:ascii="Calibri Light" w:eastAsia="Times New Roman" w:hAnsi="Calibri Light" w:cs="Calibri Light"/>
      <w:b/>
      <w:bCs/>
      <w:kern w:val="1"/>
      <w:sz w:val="21"/>
      <w:szCs w:val="21"/>
      <w:lang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Верхний колонтитул Знак"/>
    <w:basedOn w:val="a4"/>
    <w:rsid w:val="00C15E9F"/>
  </w:style>
  <w:style w:type="character" w:customStyle="1" w:styleId="a8">
    <w:name w:val="Нижний колонтитул Знак"/>
    <w:basedOn w:val="a4"/>
    <w:rsid w:val="00C15E9F"/>
  </w:style>
  <w:style w:type="character" w:customStyle="1" w:styleId="apple-converted-space">
    <w:name w:val="apple-converted-space"/>
    <w:basedOn w:val="a4"/>
    <w:rsid w:val="004B3C53"/>
  </w:style>
  <w:style w:type="character" w:customStyle="1" w:styleId="-">
    <w:name w:val="Интернет-ссылка"/>
    <w:basedOn w:val="a4"/>
    <w:uiPriority w:val="99"/>
    <w:unhideWhenUsed/>
    <w:rsid w:val="004B3C53"/>
    <w:rPr>
      <w:color w:val="0000FF"/>
      <w:u w:val="single"/>
    </w:rPr>
  </w:style>
  <w:style w:type="character" w:customStyle="1" w:styleId="12">
    <w:name w:val="Заголовок 1 Знак"/>
    <w:basedOn w:val="a4"/>
    <w:link w:val="11"/>
    <w:qFormat/>
    <w:rsid w:val="00183653"/>
    <w:rPr>
      <w:rFonts w:ascii="Times New Roman" w:hAnsi="Times New Roman" w:cs="Times New Roman"/>
      <w:b/>
      <w:sz w:val="24"/>
      <w:szCs w:val="24"/>
      <w:u w:val="single"/>
    </w:rPr>
  </w:style>
  <w:style w:type="character" w:customStyle="1" w:styleId="a9">
    <w:name w:val="Текст выноски Знак"/>
    <w:basedOn w:val="a4"/>
    <w:uiPriority w:val="99"/>
    <w:qFormat/>
    <w:rsid w:val="00E9341B"/>
    <w:rPr>
      <w:rFonts w:ascii="Tahoma" w:hAnsi="Tahoma" w:cs="Tahoma"/>
      <w:sz w:val="16"/>
      <w:szCs w:val="16"/>
    </w:rPr>
  </w:style>
  <w:style w:type="character" w:customStyle="1" w:styleId="aa">
    <w:name w:val="Подзаголовок Знак"/>
    <w:basedOn w:val="a4"/>
    <w:uiPriority w:val="11"/>
    <w:rsid w:val="00181EC4"/>
    <w:rPr>
      <w:rFonts w:ascii="Times New Roman" w:hAnsi="Times New Roman" w:cs="Times New Roman"/>
      <w:b/>
      <w:sz w:val="24"/>
      <w:szCs w:val="24"/>
      <w:u w:val="single"/>
    </w:rPr>
  </w:style>
  <w:style w:type="character" w:styleId="ab">
    <w:name w:val="Subtle Reference"/>
    <w:uiPriority w:val="31"/>
    <w:qFormat/>
    <w:rsid w:val="00181EC4"/>
    <w:rPr>
      <w:rFonts w:ascii="Times New Roman" w:hAnsi="Times New Roman" w:cs="Times New Roman"/>
      <w:b/>
      <w:sz w:val="24"/>
      <w:szCs w:val="24"/>
    </w:rPr>
  </w:style>
  <w:style w:type="character" w:customStyle="1" w:styleId="ac">
    <w:name w:val="Абзац списка Знак"/>
    <w:basedOn w:val="a4"/>
    <w:uiPriority w:val="34"/>
    <w:rsid w:val="00300F50"/>
  </w:style>
  <w:style w:type="character" w:customStyle="1" w:styleId="ad">
    <w:name w:val="Без интервала Знак"/>
    <w:basedOn w:val="ac"/>
    <w:uiPriority w:val="1"/>
    <w:rsid w:val="008B1499"/>
    <w:rPr>
      <w:rFonts w:ascii="Times New Roman" w:hAnsi="Times New Roman" w:cs="Times New Roman"/>
      <w:sz w:val="24"/>
      <w:szCs w:val="24"/>
    </w:rPr>
  </w:style>
  <w:style w:type="character" w:customStyle="1" w:styleId="ae">
    <w:name w:val="УД Знак"/>
    <w:basedOn w:val="ad"/>
    <w:rsid w:val="00300F50"/>
    <w:rPr>
      <w:rFonts w:ascii="Times New Roman" w:hAnsi="Times New Roman" w:cs="Times New Roman"/>
      <w:b/>
      <w:sz w:val="24"/>
      <w:szCs w:val="24"/>
    </w:rPr>
  </w:style>
  <w:style w:type="character" w:customStyle="1" w:styleId="af">
    <w:name w:val="Ком Знак"/>
    <w:basedOn w:val="ac"/>
    <w:rsid w:val="008B1499"/>
    <w:rPr>
      <w:rFonts w:ascii="Times New Roman" w:hAnsi="Times New Roman" w:cs="Times New Roman"/>
      <w:i/>
      <w:sz w:val="24"/>
      <w:szCs w:val="24"/>
    </w:rPr>
  </w:style>
  <w:style w:type="character" w:styleId="af0">
    <w:name w:val="annotation reference"/>
    <w:basedOn w:val="a4"/>
    <w:unhideWhenUsed/>
    <w:qFormat/>
    <w:rsid w:val="009C1F13"/>
    <w:rPr>
      <w:sz w:val="16"/>
      <w:szCs w:val="16"/>
    </w:rPr>
  </w:style>
  <w:style w:type="character" w:customStyle="1" w:styleId="af1">
    <w:name w:val="Текст примечания Знак"/>
    <w:basedOn w:val="a4"/>
    <w:uiPriority w:val="99"/>
    <w:qFormat/>
    <w:rsid w:val="009C1F13"/>
    <w:rPr>
      <w:rFonts w:ascii="Times New Roman" w:hAnsi="Times New Roman"/>
      <w:sz w:val="20"/>
      <w:szCs w:val="20"/>
    </w:rPr>
  </w:style>
  <w:style w:type="character" w:customStyle="1" w:styleId="af2">
    <w:name w:val="Тема примечания Знак"/>
    <w:basedOn w:val="af1"/>
    <w:uiPriority w:val="99"/>
    <w:qFormat/>
    <w:rsid w:val="009C1F13"/>
    <w:rPr>
      <w:rFonts w:ascii="Times New Roman" w:hAnsi="Times New Roman"/>
      <w:b/>
      <w:bCs/>
      <w:sz w:val="20"/>
      <w:szCs w:val="20"/>
    </w:rPr>
  </w:style>
  <w:style w:type="character" w:customStyle="1" w:styleId="af3">
    <w:name w:val="Название Знак"/>
    <w:basedOn w:val="a4"/>
    <w:rsid w:val="00A43933"/>
    <w:rPr>
      <w:rFonts w:ascii="Times New Roman" w:eastAsiaTheme="majorEastAsia" w:hAnsi="Times New Roman" w:cstheme="majorBidi"/>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4">
    <w:name w:val="Текст сноски Знак"/>
    <w:basedOn w:val="a4"/>
    <w:rsid w:val="004008B9"/>
    <w:rPr>
      <w:rFonts w:ascii="Calibri" w:eastAsia="Calibri" w:hAnsi="Calibri" w:cs="Times New Roman"/>
      <w:sz w:val="20"/>
      <w:szCs w:val="20"/>
    </w:rPr>
  </w:style>
  <w:style w:type="character" w:styleId="af5">
    <w:name w:val="footnote reference"/>
    <w:unhideWhenUsed/>
    <w:qFormat/>
    <w:rsid w:val="004008B9"/>
    <w:rPr>
      <w:vertAlign w:val="superscript"/>
    </w:rPr>
  </w:style>
  <w:style w:type="character" w:customStyle="1" w:styleId="20">
    <w:name w:val="Заголовок 2 Знак"/>
    <w:aliases w:val="Наим. подраздела Знак"/>
    <w:basedOn w:val="a4"/>
    <w:link w:val="2"/>
    <w:qFormat/>
    <w:rsid w:val="002F7719"/>
    <w:rPr>
      <w:rFonts w:ascii="Times New Roman" w:hAnsi="Times New Roman" w:cs="Times New Roman"/>
      <w:b/>
      <w:sz w:val="24"/>
      <w:szCs w:val="24"/>
      <w:u w:val="single"/>
    </w:rPr>
  </w:style>
  <w:style w:type="character" w:customStyle="1" w:styleId="Normal1">
    <w:name w:val="Normal1 Знак"/>
    <w:basedOn w:val="a4"/>
    <w:uiPriority w:val="99"/>
    <w:rsid w:val="003F4166"/>
    <w:rPr>
      <w:rFonts w:ascii="Times New Roman" w:eastAsia="Times New Roman" w:hAnsi="Times New Roman" w:cs="Times New Roman"/>
      <w:sz w:val="20"/>
      <w:szCs w:val="20"/>
      <w:lang w:eastAsia="ru-RU"/>
    </w:rPr>
  </w:style>
  <w:style w:type="character" w:customStyle="1" w:styleId="14">
    <w:name w:val="Стиль1 Знак"/>
    <w:basedOn w:val="Normal1"/>
    <w:rsid w:val="003F4166"/>
    <w:rPr>
      <w:rFonts w:ascii="Times New Roman" w:eastAsiaTheme="majorEastAsia"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6">
    <w:name w:val="Ссылка указателя"/>
    <w:qFormat/>
    <w:rsid w:val="00275A41"/>
  </w:style>
  <w:style w:type="paragraph" w:customStyle="1" w:styleId="13">
    <w:name w:val="Заголовок1"/>
    <w:basedOn w:val="a1"/>
    <w:next w:val="a3"/>
    <w:rsid w:val="00275A41"/>
    <w:pPr>
      <w:keepNext/>
      <w:spacing w:before="240" w:after="120"/>
    </w:pPr>
    <w:rPr>
      <w:rFonts w:ascii="Liberation Sans" w:eastAsia="Microsoft YaHei" w:hAnsi="Liberation Sans" w:cs="Mangal"/>
      <w:sz w:val="28"/>
      <w:szCs w:val="28"/>
    </w:rPr>
  </w:style>
  <w:style w:type="paragraph" w:styleId="a3">
    <w:name w:val="Body Text"/>
    <w:basedOn w:val="a1"/>
    <w:link w:val="af7"/>
    <w:rsid w:val="00275A41"/>
    <w:pPr>
      <w:spacing w:after="140" w:line="288" w:lineRule="auto"/>
    </w:pPr>
  </w:style>
  <w:style w:type="paragraph" w:styleId="af8">
    <w:name w:val="List"/>
    <w:basedOn w:val="a3"/>
    <w:rsid w:val="00275A41"/>
    <w:rPr>
      <w:rFonts w:cs="Mangal"/>
    </w:rPr>
  </w:style>
  <w:style w:type="paragraph" w:styleId="af9">
    <w:name w:val="caption"/>
    <w:basedOn w:val="a1"/>
    <w:qFormat/>
    <w:rsid w:val="00275A41"/>
    <w:pPr>
      <w:suppressLineNumbers/>
      <w:spacing w:before="120" w:after="120"/>
    </w:pPr>
    <w:rPr>
      <w:rFonts w:cs="Mangal"/>
      <w:i/>
      <w:iCs/>
      <w:szCs w:val="24"/>
    </w:rPr>
  </w:style>
  <w:style w:type="paragraph" w:styleId="afa">
    <w:name w:val="index heading"/>
    <w:basedOn w:val="a1"/>
    <w:rsid w:val="00275A41"/>
    <w:pPr>
      <w:suppressLineNumbers/>
    </w:pPr>
    <w:rPr>
      <w:rFonts w:cs="Mangal"/>
    </w:rPr>
  </w:style>
  <w:style w:type="paragraph" w:styleId="afb">
    <w:name w:val="header"/>
    <w:basedOn w:val="a1"/>
    <w:link w:val="15"/>
    <w:unhideWhenUsed/>
    <w:qFormat/>
    <w:rsid w:val="00C15E9F"/>
    <w:pPr>
      <w:tabs>
        <w:tab w:val="center" w:pos="4677"/>
        <w:tab w:val="right" w:pos="9355"/>
      </w:tabs>
      <w:spacing w:line="240" w:lineRule="auto"/>
    </w:pPr>
  </w:style>
  <w:style w:type="paragraph" w:styleId="afc">
    <w:name w:val="footer"/>
    <w:basedOn w:val="a1"/>
    <w:link w:val="16"/>
    <w:unhideWhenUsed/>
    <w:qFormat/>
    <w:rsid w:val="00C15E9F"/>
    <w:pPr>
      <w:tabs>
        <w:tab w:val="center" w:pos="4677"/>
        <w:tab w:val="right" w:pos="9355"/>
      </w:tabs>
      <w:spacing w:line="240" w:lineRule="auto"/>
    </w:pPr>
  </w:style>
  <w:style w:type="paragraph" w:styleId="afd">
    <w:name w:val="Normal (Web)"/>
    <w:basedOn w:val="a1"/>
    <w:link w:val="17"/>
    <w:uiPriority w:val="99"/>
    <w:unhideWhenUsed/>
    <w:qFormat/>
    <w:rsid w:val="00990719"/>
    <w:pPr>
      <w:spacing w:beforeAutospacing="1" w:afterAutospacing="1" w:line="288" w:lineRule="auto"/>
    </w:pPr>
    <w:rPr>
      <w:rFonts w:eastAsia="Times New Roman" w:cs="Times New Roman"/>
      <w:szCs w:val="24"/>
      <w:lang w:eastAsia="ru-RU"/>
    </w:rPr>
  </w:style>
  <w:style w:type="paragraph" w:styleId="afe">
    <w:name w:val="List Paragraph"/>
    <w:basedOn w:val="a1"/>
    <w:link w:val="18"/>
    <w:uiPriority w:val="34"/>
    <w:qFormat/>
    <w:rsid w:val="006B7CAB"/>
    <w:pPr>
      <w:ind w:left="720"/>
      <w:contextualSpacing/>
    </w:pPr>
  </w:style>
  <w:style w:type="paragraph" w:customStyle="1" w:styleId="desc">
    <w:name w:val="desc"/>
    <w:basedOn w:val="a1"/>
    <w:rsid w:val="006B7CAB"/>
    <w:pPr>
      <w:spacing w:beforeAutospacing="1" w:afterAutospacing="1" w:line="240" w:lineRule="auto"/>
    </w:pPr>
    <w:rPr>
      <w:rFonts w:eastAsia="Times New Roman" w:cs="Times New Roman"/>
      <w:szCs w:val="24"/>
      <w:lang w:eastAsia="ru-RU"/>
    </w:rPr>
  </w:style>
  <w:style w:type="paragraph" w:styleId="aff">
    <w:name w:val="TOC Heading"/>
    <w:basedOn w:val="11"/>
    <w:uiPriority w:val="39"/>
    <w:unhideWhenUsed/>
    <w:qFormat/>
    <w:rsid w:val="00E9341B"/>
    <w:pPr>
      <w:spacing w:line="276" w:lineRule="auto"/>
    </w:pPr>
  </w:style>
  <w:style w:type="paragraph" w:styleId="aff0">
    <w:name w:val="Balloon Text"/>
    <w:basedOn w:val="a1"/>
    <w:link w:val="19"/>
    <w:unhideWhenUsed/>
    <w:qFormat/>
    <w:rsid w:val="00E9341B"/>
    <w:pPr>
      <w:spacing w:line="240" w:lineRule="auto"/>
    </w:pPr>
    <w:rPr>
      <w:rFonts w:ascii="Tahoma" w:hAnsi="Tahoma" w:cs="Tahoma"/>
      <w:sz w:val="16"/>
      <w:szCs w:val="16"/>
    </w:rPr>
  </w:style>
  <w:style w:type="paragraph" w:styleId="1a">
    <w:name w:val="toc 1"/>
    <w:basedOn w:val="a1"/>
    <w:autoRedefine/>
    <w:uiPriority w:val="39"/>
    <w:unhideWhenUsed/>
    <w:qFormat/>
    <w:rsid w:val="00004D38"/>
    <w:pPr>
      <w:tabs>
        <w:tab w:val="right" w:leader="dot" w:pos="9345"/>
      </w:tabs>
      <w:spacing w:after="100"/>
      <w:ind w:firstLine="0"/>
    </w:pPr>
  </w:style>
  <w:style w:type="paragraph" w:styleId="a2">
    <w:name w:val="Subtitle"/>
    <w:basedOn w:val="a1"/>
    <w:link w:val="1b"/>
    <w:uiPriority w:val="11"/>
    <w:qFormat/>
    <w:rsid w:val="00181EC4"/>
    <w:pPr>
      <w:suppressAutoHyphens/>
      <w:spacing w:before="240"/>
    </w:pPr>
    <w:rPr>
      <w:rFonts w:cs="Times New Roman"/>
      <w:b/>
      <w:szCs w:val="24"/>
      <w:u w:val="single"/>
    </w:rPr>
  </w:style>
  <w:style w:type="paragraph" w:styleId="aff1">
    <w:name w:val="No Spacing"/>
    <w:basedOn w:val="afe"/>
    <w:uiPriority w:val="1"/>
    <w:qFormat/>
    <w:rsid w:val="008B1499"/>
    <w:pPr>
      <w:spacing w:before="240"/>
      <w:ind w:left="851" w:hanging="425"/>
    </w:pPr>
    <w:rPr>
      <w:rFonts w:cs="Times New Roman"/>
      <w:szCs w:val="24"/>
    </w:rPr>
  </w:style>
  <w:style w:type="paragraph" w:customStyle="1" w:styleId="aff2">
    <w:name w:val="УДД;УУР"/>
    <w:basedOn w:val="aff1"/>
    <w:qFormat/>
    <w:rsid w:val="00B104EF"/>
    <w:pPr>
      <w:spacing w:before="0"/>
      <w:ind w:left="709" w:firstLine="0"/>
    </w:pPr>
    <w:rPr>
      <w:b/>
    </w:rPr>
  </w:style>
  <w:style w:type="paragraph" w:customStyle="1" w:styleId="aff3">
    <w:name w:val="Ком"/>
    <w:basedOn w:val="aff2"/>
    <w:qFormat/>
    <w:rsid w:val="00334F6C"/>
    <w:rPr>
      <w:b w:val="0"/>
    </w:rPr>
  </w:style>
  <w:style w:type="paragraph" w:styleId="aff4">
    <w:name w:val="annotation text"/>
    <w:basedOn w:val="a1"/>
    <w:link w:val="1c"/>
    <w:unhideWhenUsed/>
    <w:qFormat/>
    <w:rsid w:val="009C1F13"/>
    <w:pPr>
      <w:spacing w:line="240" w:lineRule="auto"/>
    </w:pPr>
    <w:rPr>
      <w:sz w:val="20"/>
      <w:szCs w:val="20"/>
    </w:rPr>
  </w:style>
  <w:style w:type="paragraph" w:styleId="aff5">
    <w:name w:val="annotation subject"/>
    <w:basedOn w:val="aff4"/>
    <w:link w:val="1d"/>
    <w:unhideWhenUsed/>
    <w:qFormat/>
    <w:rsid w:val="009C1F13"/>
    <w:rPr>
      <w:b/>
      <w:bCs/>
    </w:rPr>
  </w:style>
  <w:style w:type="paragraph" w:styleId="aff6">
    <w:name w:val="Title"/>
    <w:aliases w:val="Заголовок мой,Название1"/>
    <w:basedOn w:val="a1"/>
    <w:link w:val="1e"/>
    <w:qFormat/>
    <w:rsid w:val="00A43933"/>
    <w:pPr>
      <w:contextualSpacing/>
      <w:jc w:val="center"/>
    </w:pPr>
    <w:rPr>
      <w:rFonts w:eastAsiaTheme="majorEastAsia" w:cstheme="majorBidi"/>
      <w:spacing w:val="-10"/>
      <w:sz w:val="28"/>
      <w:szCs w:val="56"/>
      <w:u w:val="single"/>
    </w:rPr>
  </w:style>
  <w:style w:type="paragraph" w:styleId="21">
    <w:name w:val="toc 2"/>
    <w:basedOn w:val="a1"/>
    <w:autoRedefine/>
    <w:uiPriority w:val="39"/>
    <w:qFormat/>
    <w:rsid w:val="00186C35"/>
    <w:pPr>
      <w:tabs>
        <w:tab w:val="right" w:leader="dot" w:pos="9345"/>
      </w:tabs>
      <w:spacing w:after="200" w:line="276" w:lineRule="auto"/>
      <w:ind w:left="220" w:firstLine="64"/>
    </w:pPr>
    <w:rPr>
      <w:rFonts w:ascii="Calibri" w:eastAsia="Calibri" w:hAnsi="Calibri" w:cs="Times New Roman"/>
      <w:sz w:val="22"/>
    </w:rPr>
  </w:style>
  <w:style w:type="paragraph" w:customStyle="1" w:styleId="Normal10">
    <w:name w:val="Normal1"/>
    <w:uiPriority w:val="99"/>
    <w:rsid w:val="004008B9"/>
    <w:pPr>
      <w:widowControl w:val="0"/>
      <w:jc w:val="both"/>
    </w:pPr>
    <w:rPr>
      <w:rFonts w:ascii="Times New Roman" w:eastAsia="Times New Roman" w:hAnsi="Times New Roman" w:cs="Times New Roman"/>
      <w:szCs w:val="20"/>
      <w:lang w:eastAsia="ru-RU"/>
    </w:rPr>
  </w:style>
  <w:style w:type="paragraph" w:styleId="aff7">
    <w:name w:val="footnote text"/>
    <w:basedOn w:val="a1"/>
    <w:link w:val="1f"/>
    <w:unhideWhenUsed/>
    <w:qFormat/>
    <w:rsid w:val="004008B9"/>
    <w:pPr>
      <w:spacing w:after="200" w:line="276" w:lineRule="auto"/>
    </w:pPr>
    <w:rPr>
      <w:rFonts w:ascii="Calibri" w:eastAsia="Calibri" w:hAnsi="Calibri" w:cs="Times New Roman"/>
      <w:sz w:val="20"/>
      <w:szCs w:val="20"/>
    </w:rPr>
  </w:style>
  <w:style w:type="paragraph" w:customStyle="1" w:styleId="1f0">
    <w:name w:val="Оглавление 1 Знак"/>
    <w:basedOn w:val="Normal10"/>
    <w:qFormat/>
    <w:rsid w:val="003F4166"/>
    <w:pPr>
      <w:spacing w:line="360" w:lineRule="auto"/>
      <w:ind w:left="709" w:hanging="283"/>
    </w:pPr>
    <w:rPr>
      <w:rFonts w:eastAsiaTheme="majorEastAsia"/>
      <w:sz w:val="24"/>
      <w:szCs w:val="24"/>
    </w:rPr>
  </w:style>
  <w:style w:type="paragraph" w:customStyle="1" w:styleId="aff8">
    <w:name w:val="Содержимое врезки"/>
    <w:basedOn w:val="a1"/>
    <w:uiPriority w:val="99"/>
    <w:qFormat/>
    <w:rsid w:val="00275A41"/>
  </w:style>
  <w:style w:type="table" w:styleId="aff9">
    <w:name w:val="Table Grid"/>
    <w:basedOn w:val="a5"/>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a">
    <w:qFormat/>
    <w:rsid w:val="00275A41"/>
    <w:pPr>
      <w:keepNext/>
      <w:keepLines/>
      <w:spacing w:line="276" w:lineRule="auto"/>
      <w:contextualSpacing/>
      <w:outlineLvl w:val="0"/>
    </w:pPr>
    <w:rPr>
      <w:rFonts w:ascii="Times New Roman" w:eastAsia="Sans" w:hAnsi="Times New Roman"/>
      <w:sz w:val="24"/>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rPr>
  </w:style>
  <w:style w:type="character" w:styleId="affb">
    <w:name w:val="Strong"/>
    <w:basedOn w:val="a4"/>
    <w:uiPriority w:val="22"/>
    <w:qFormat/>
    <w:rsid w:val="009E685D"/>
    <w:rPr>
      <w:b/>
      <w:bCs/>
    </w:rPr>
  </w:style>
  <w:style w:type="character" w:styleId="affc">
    <w:name w:val="Emphasis"/>
    <w:basedOn w:val="a4"/>
    <w:uiPriority w:val="20"/>
    <w:qFormat/>
    <w:rsid w:val="002F7719"/>
    <w:rPr>
      <w:i/>
      <w:iCs/>
    </w:rPr>
  </w:style>
  <w:style w:type="character" w:styleId="affd">
    <w:name w:val="Hyperlink"/>
    <w:basedOn w:val="a4"/>
    <w:uiPriority w:val="99"/>
    <w:unhideWhenUsed/>
    <w:rsid w:val="00275A41"/>
    <w:rPr>
      <w:color w:val="0000FF"/>
      <w:u w:val="single"/>
    </w:rPr>
  </w:style>
  <w:style w:type="paragraph" w:customStyle="1" w:styleId="10">
    <w:name w:val="Стиль1"/>
    <w:basedOn w:val="a1"/>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4"/>
    <w:link w:val="10"/>
    <w:rsid w:val="00EE59C2"/>
    <w:rPr>
      <w:rFonts w:ascii="Times New Roman" w:eastAsia="Times New Roman" w:hAnsi="Times New Roman"/>
      <w:sz w:val="24"/>
    </w:rPr>
  </w:style>
  <w:style w:type="character" w:customStyle="1" w:styleId="apple-style-span">
    <w:name w:val="apple-style-span"/>
    <w:rsid w:val="00021FEA"/>
  </w:style>
  <w:style w:type="paragraph" w:styleId="affe">
    <w:name w:val="Revision"/>
    <w:hidden/>
    <w:uiPriority w:val="99"/>
    <w:rsid w:val="00AE3406"/>
    <w:rPr>
      <w:rFonts w:ascii="Times New Roman" w:hAnsi="Times New Roman"/>
      <w:sz w:val="24"/>
    </w:rPr>
  </w:style>
  <w:style w:type="paragraph" w:customStyle="1" w:styleId="a0">
    <w:name w:val="Список ключевых слов"/>
    <w:basedOn w:val="afe"/>
    <w:link w:val="afff"/>
    <w:qFormat/>
    <w:rsid w:val="0021676E"/>
    <w:pPr>
      <w:numPr>
        <w:numId w:val="3"/>
      </w:numPr>
      <w:ind w:left="0" w:firstLine="709"/>
    </w:pPr>
    <w:rPr>
      <w:szCs w:val="28"/>
    </w:rPr>
  </w:style>
  <w:style w:type="paragraph" w:customStyle="1" w:styleId="afff0">
    <w:name w:val="Сокращения"/>
    <w:basedOn w:val="a1"/>
    <w:link w:val="afff1"/>
    <w:qFormat/>
    <w:rsid w:val="0021676E"/>
  </w:style>
  <w:style w:type="character" w:customStyle="1" w:styleId="18">
    <w:name w:val="Абзац списка Знак1"/>
    <w:basedOn w:val="a4"/>
    <w:link w:val="afe"/>
    <w:uiPriority w:val="34"/>
    <w:rsid w:val="0021676E"/>
    <w:rPr>
      <w:rFonts w:ascii="Times New Roman" w:hAnsi="Times New Roman"/>
      <w:sz w:val="24"/>
    </w:rPr>
  </w:style>
  <w:style w:type="character" w:customStyle="1" w:styleId="afff">
    <w:name w:val="Список ключевых слов Знак"/>
    <w:basedOn w:val="18"/>
    <w:link w:val="a0"/>
    <w:rsid w:val="0021676E"/>
    <w:rPr>
      <w:rFonts w:ascii="Times New Roman" w:hAnsi="Times New Roman"/>
      <w:sz w:val="24"/>
      <w:szCs w:val="28"/>
    </w:rPr>
  </w:style>
  <w:style w:type="paragraph" w:customStyle="1" w:styleId="afff2">
    <w:name w:val="Наим. раздела"/>
    <w:basedOn w:val="CustomContentNormal"/>
    <w:link w:val="afff3"/>
    <w:qFormat/>
    <w:rsid w:val="00C4630C"/>
  </w:style>
  <w:style w:type="character" w:customStyle="1" w:styleId="afff1">
    <w:name w:val="Сокращения Знак"/>
    <w:basedOn w:val="a4"/>
    <w:link w:val="afff0"/>
    <w:rsid w:val="0021676E"/>
    <w:rPr>
      <w:rFonts w:ascii="Times New Roman" w:hAnsi="Times New Roman"/>
      <w:sz w:val="24"/>
    </w:rPr>
  </w:style>
  <w:style w:type="paragraph" w:customStyle="1" w:styleId="1f1">
    <w:name w:val="Текст в 1 разделе"/>
    <w:basedOn w:val="a1"/>
    <w:link w:val="1f2"/>
    <w:qFormat/>
    <w:rsid w:val="0021676E"/>
    <w:rPr>
      <w:rFonts w:eastAsia="Times New Roman" w:cs="Times New Roman"/>
      <w:szCs w:val="24"/>
    </w:rPr>
  </w:style>
  <w:style w:type="character" w:customStyle="1" w:styleId="CustomContentNormal0">
    <w:name w:val="Custom Content Normal Знак"/>
    <w:basedOn w:val="a4"/>
    <w:link w:val="CustomContentNormal"/>
    <w:rsid w:val="0021676E"/>
    <w:rPr>
      <w:rFonts w:ascii="Times New Roman" w:eastAsia="Sans" w:hAnsi="Times New Roman"/>
      <w:b/>
      <w:sz w:val="28"/>
    </w:rPr>
  </w:style>
  <w:style w:type="character" w:customStyle="1" w:styleId="afff3">
    <w:name w:val="Наим. раздела Знак"/>
    <w:basedOn w:val="CustomContentNormal0"/>
    <w:link w:val="afff2"/>
    <w:rsid w:val="00C4630C"/>
    <w:rPr>
      <w:rFonts w:ascii="Times New Roman" w:eastAsia="Sans" w:hAnsi="Times New Roman"/>
      <w:b/>
      <w:sz w:val="28"/>
    </w:rPr>
  </w:style>
  <w:style w:type="paragraph" w:customStyle="1" w:styleId="afff4">
    <w:name w:val="Таблицы"/>
    <w:basedOn w:val="afd"/>
    <w:link w:val="afff5"/>
    <w:qFormat/>
    <w:rsid w:val="0021676E"/>
    <w:pPr>
      <w:spacing w:line="240" w:lineRule="auto"/>
      <w:ind w:firstLine="0"/>
    </w:pPr>
  </w:style>
  <w:style w:type="character" w:customStyle="1" w:styleId="1f2">
    <w:name w:val="Текст в 1 разделе Знак"/>
    <w:basedOn w:val="a4"/>
    <w:link w:val="1f1"/>
    <w:rsid w:val="0021676E"/>
    <w:rPr>
      <w:rFonts w:ascii="Times New Roman" w:eastAsia="Times New Roman" w:hAnsi="Times New Roman" w:cs="Times New Roman"/>
      <w:sz w:val="24"/>
      <w:szCs w:val="24"/>
    </w:rPr>
  </w:style>
  <w:style w:type="paragraph" w:customStyle="1" w:styleId="afff6">
    <w:name w:val="Наим. табл"/>
    <w:basedOn w:val="a1"/>
    <w:link w:val="afff7"/>
    <w:qFormat/>
    <w:rsid w:val="0021676E"/>
  </w:style>
  <w:style w:type="character" w:customStyle="1" w:styleId="17">
    <w:name w:val="Обычный (веб) Знак1"/>
    <w:basedOn w:val="a4"/>
    <w:link w:val="afd"/>
    <w:rsid w:val="0021676E"/>
    <w:rPr>
      <w:rFonts w:ascii="Times New Roman" w:eastAsia="Times New Roman" w:hAnsi="Times New Roman" w:cs="Times New Roman"/>
      <w:sz w:val="24"/>
      <w:szCs w:val="24"/>
      <w:lang w:eastAsia="ru-RU"/>
    </w:rPr>
  </w:style>
  <w:style w:type="character" w:customStyle="1" w:styleId="afff5">
    <w:name w:val="Таблицы Знак"/>
    <w:basedOn w:val="17"/>
    <w:link w:val="afff4"/>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1"/>
    <w:link w:val="2-60"/>
    <w:qFormat/>
    <w:rsid w:val="00334F6C"/>
    <w:rPr>
      <w:szCs w:val="24"/>
    </w:rPr>
  </w:style>
  <w:style w:type="character" w:customStyle="1" w:styleId="afff7">
    <w:name w:val="Наим. табл Знак"/>
    <w:basedOn w:val="a4"/>
    <w:link w:val="afff6"/>
    <w:rsid w:val="0021676E"/>
    <w:rPr>
      <w:rFonts w:ascii="Times New Roman" w:hAnsi="Times New Roman"/>
      <w:sz w:val="24"/>
    </w:rPr>
  </w:style>
  <w:style w:type="paragraph" w:customStyle="1" w:styleId="afff8">
    <w:name w:val="Рекомендация"/>
    <w:basedOn w:val="10"/>
    <w:link w:val="afff9"/>
    <w:qFormat/>
    <w:rsid w:val="0021676E"/>
  </w:style>
  <w:style w:type="character" w:customStyle="1" w:styleId="2-60">
    <w:name w:val="Вводный текст 2-6 разделы Знак"/>
    <w:basedOn w:val="a4"/>
    <w:link w:val="2-6"/>
    <w:rsid w:val="00334F6C"/>
    <w:rPr>
      <w:rFonts w:ascii="Times New Roman" w:hAnsi="Times New Roman"/>
      <w:sz w:val="24"/>
      <w:szCs w:val="24"/>
    </w:rPr>
  </w:style>
  <w:style w:type="paragraph" w:customStyle="1" w:styleId="afffa">
    <w:name w:val="УДД"/>
    <w:aliases w:val="УУР"/>
    <w:basedOn w:val="aff2"/>
    <w:rsid w:val="0021676E"/>
  </w:style>
  <w:style w:type="character" w:customStyle="1" w:styleId="afff9">
    <w:name w:val="Рекомендация Знак"/>
    <w:basedOn w:val="110"/>
    <w:link w:val="afff8"/>
    <w:rsid w:val="0021676E"/>
    <w:rPr>
      <w:rFonts w:ascii="Times New Roman" w:eastAsia="Times New Roman" w:hAnsi="Times New Roman"/>
      <w:sz w:val="24"/>
    </w:rPr>
  </w:style>
  <w:style w:type="paragraph" w:customStyle="1" w:styleId="Default">
    <w:name w:val="Default"/>
    <w:rsid w:val="00BF3A59"/>
    <w:pPr>
      <w:autoSpaceDE w:val="0"/>
      <w:autoSpaceDN w:val="0"/>
      <w:adjustRightInd w:val="0"/>
    </w:pPr>
    <w:rPr>
      <w:rFonts w:ascii="Times New Roman" w:hAnsi="Times New Roman" w:cs="Times New Roman"/>
      <w:color w:val="000000"/>
      <w:sz w:val="24"/>
      <w:szCs w:val="24"/>
    </w:rPr>
  </w:style>
  <w:style w:type="paragraph" w:customStyle="1" w:styleId="afffb">
    <w:name w:val="Памятки"/>
    <w:basedOn w:val="1f1"/>
    <w:link w:val="afffc"/>
    <w:uiPriority w:val="99"/>
    <w:qFormat/>
    <w:rsid w:val="00094ED6"/>
    <w:rPr>
      <w:i/>
      <w:color w:val="FF0000"/>
      <w:sz w:val="18"/>
    </w:rPr>
  </w:style>
  <w:style w:type="character" w:customStyle="1" w:styleId="afffc">
    <w:name w:val="Памятки Знак"/>
    <w:basedOn w:val="1f2"/>
    <w:link w:val="afffb"/>
    <w:uiPriority w:val="99"/>
    <w:rsid w:val="00094ED6"/>
    <w:rPr>
      <w:rFonts w:ascii="Times New Roman" w:eastAsia="Times New Roman" w:hAnsi="Times New Roman" w:cs="Times New Roman"/>
      <w:i/>
      <w:color w:val="FF0000"/>
      <w:sz w:val="18"/>
      <w:szCs w:val="24"/>
    </w:rPr>
  </w:style>
  <w:style w:type="table" w:customStyle="1" w:styleId="71">
    <w:name w:val="Сетка таблицы7"/>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Сетка таблицы1"/>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ff9"/>
    <w:uiPriority w:val="59"/>
    <w:rsid w:val="00A91645"/>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ссылка"/>
    <w:basedOn w:val="a1"/>
    <w:link w:val="afffe"/>
    <w:qFormat/>
    <w:rsid w:val="00A91645"/>
    <w:rPr>
      <w:rFonts w:eastAsia="Times New Roman" w:cs="Times New Roman"/>
      <w:i/>
      <w:color w:val="0070C0"/>
      <w:szCs w:val="24"/>
      <w:u w:val="single"/>
    </w:rPr>
  </w:style>
  <w:style w:type="character" w:customStyle="1" w:styleId="afffe">
    <w:name w:val="ссылка Знак"/>
    <w:basedOn w:val="a4"/>
    <w:link w:val="afffd"/>
    <w:rsid w:val="00A91645"/>
    <w:rPr>
      <w:rFonts w:ascii="Times New Roman" w:eastAsia="Times New Roman" w:hAnsi="Times New Roman" w:cs="Times New Roman"/>
      <w:i/>
      <w:color w:val="0070C0"/>
      <w:sz w:val="24"/>
      <w:szCs w:val="24"/>
      <w:u w:val="single"/>
    </w:rPr>
  </w:style>
  <w:style w:type="character" w:customStyle="1" w:styleId="affff">
    <w:name w:val="Основной текст_"/>
    <w:basedOn w:val="a4"/>
    <w:link w:val="1f4"/>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4"/>
    <w:link w:val="23"/>
    <w:rsid w:val="00C4630C"/>
    <w:rPr>
      <w:rFonts w:ascii="Times New Roman" w:eastAsia="Times New Roman" w:hAnsi="Times New Roman" w:cs="Times New Roman"/>
      <w:b/>
      <w:bCs/>
      <w:sz w:val="28"/>
      <w:szCs w:val="28"/>
      <w:shd w:val="clear" w:color="auto" w:fill="FFFFFF"/>
    </w:rPr>
  </w:style>
  <w:style w:type="paragraph" w:customStyle="1" w:styleId="1f4">
    <w:name w:val="Основной текст1"/>
    <w:basedOn w:val="a1"/>
    <w:link w:val="affff"/>
    <w:rsid w:val="00C4630C"/>
    <w:pPr>
      <w:widowControl w:val="0"/>
      <w:shd w:val="clear" w:color="auto" w:fill="FFFFFF"/>
      <w:spacing w:line="240" w:lineRule="auto"/>
      <w:ind w:firstLine="400"/>
    </w:pPr>
    <w:rPr>
      <w:rFonts w:eastAsia="Times New Roman" w:cs="Times New Roman"/>
      <w:sz w:val="28"/>
      <w:szCs w:val="28"/>
    </w:rPr>
  </w:style>
  <w:style w:type="paragraph" w:customStyle="1" w:styleId="23">
    <w:name w:val="Заголовок №2"/>
    <w:basedOn w:val="a1"/>
    <w:link w:val="22"/>
    <w:rsid w:val="00C4630C"/>
    <w:pPr>
      <w:widowControl w:val="0"/>
      <w:shd w:val="clear" w:color="auto" w:fill="FFFFFF"/>
      <w:spacing w:after="160" w:line="240" w:lineRule="auto"/>
      <w:ind w:right="100" w:firstLine="0"/>
      <w:jc w:val="center"/>
      <w:outlineLvl w:val="1"/>
    </w:pPr>
    <w:rPr>
      <w:rFonts w:eastAsia="Times New Roman" w:cs="Times New Roman"/>
      <w:b/>
      <w:bCs/>
      <w:sz w:val="28"/>
      <w:szCs w:val="28"/>
    </w:rPr>
  </w:style>
  <w:style w:type="character" w:customStyle="1" w:styleId="author">
    <w:name w:val="author"/>
    <w:basedOn w:val="a4"/>
    <w:rsid w:val="00CA377A"/>
  </w:style>
  <w:style w:type="character" w:customStyle="1" w:styleId="pubyear">
    <w:name w:val="pubyear"/>
    <w:basedOn w:val="a4"/>
    <w:rsid w:val="00CA377A"/>
  </w:style>
  <w:style w:type="character" w:customStyle="1" w:styleId="articletitle">
    <w:name w:val="articletitle"/>
    <w:basedOn w:val="a4"/>
    <w:rsid w:val="00CA377A"/>
  </w:style>
  <w:style w:type="character" w:customStyle="1" w:styleId="journaltitle">
    <w:name w:val="journaltitle"/>
    <w:basedOn w:val="a4"/>
    <w:rsid w:val="00CA377A"/>
  </w:style>
  <w:style w:type="character" w:customStyle="1" w:styleId="vol">
    <w:name w:val="vol"/>
    <w:basedOn w:val="a4"/>
    <w:rsid w:val="00CA377A"/>
  </w:style>
  <w:style w:type="character" w:customStyle="1" w:styleId="pagefirst">
    <w:name w:val="pagefirst"/>
    <w:basedOn w:val="a4"/>
    <w:rsid w:val="00CA377A"/>
  </w:style>
  <w:style w:type="character" w:customStyle="1" w:styleId="pagelast">
    <w:name w:val="pagelast"/>
    <w:basedOn w:val="a4"/>
    <w:uiPriority w:val="99"/>
    <w:rsid w:val="00CA377A"/>
  </w:style>
  <w:style w:type="character" w:customStyle="1" w:styleId="1f5">
    <w:name w:val="Неразрешенное упоминание1"/>
    <w:basedOn w:val="a4"/>
    <w:uiPriority w:val="99"/>
    <w:semiHidden/>
    <w:unhideWhenUsed/>
    <w:rsid w:val="0053565F"/>
    <w:rPr>
      <w:color w:val="605E5C"/>
      <w:shd w:val="clear" w:color="auto" w:fill="E1DFDD"/>
    </w:rPr>
  </w:style>
  <w:style w:type="character" w:styleId="affff0">
    <w:name w:val="FollowedHyperlink"/>
    <w:basedOn w:val="a4"/>
    <w:uiPriority w:val="99"/>
    <w:unhideWhenUsed/>
    <w:rsid w:val="009F156F"/>
    <w:rPr>
      <w:color w:val="954F72" w:themeColor="followedHyperlink"/>
      <w:u w:val="single"/>
    </w:rPr>
  </w:style>
  <w:style w:type="character" w:customStyle="1" w:styleId="30">
    <w:name w:val="Заголовок 3 Знак"/>
    <w:basedOn w:val="a4"/>
    <w:link w:val="3"/>
    <w:rsid w:val="00972DD8"/>
    <w:rPr>
      <w:rFonts w:asciiTheme="majorHAnsi" w:eastAsiaTheme="majorEastAsia" w:hAnsiTheme="majorHAnsi" w:cstheme="majorBidi"/>
      <w:color w:val="1F4D78" w:themeColor="accent1" w:themeShade="7F"/>
      <w:sz w:val="24"/>
      <w:szCs w:val="24"/>
    </w:rPr>
  </w:style>
  <w:style w:type="paragraph" w:customStyle="1" w:styleId="Numlist">
    <w:name w:val="Num_list"/>
    <w:basedOn w:val="a1"/>
    <w:qFormat/>
    <w:rsid w:val="00972DD8"/>
    <w:pPr>
      <w:overflowPunct w:val="0"/>
      <w:spacing w:line="240" w:lineRule="auto"/>
      <w:ind w:firstLine="708"/>
      <w:jc w:val="left"/>
      <w:textAlignment w:val="baseline"/>
    </w:pPr>
    <w:rPr>
      <w:rFonts w:eastAsia="Times New Roman" w:cs="Times New Roman"/>
      <w:szCs w:val="24"/>
      <w:lang w:eastAsia="ru-RU"/>
    </w:rPr>
  </w:style>
  <w:style w:type="table" w:customStyle="1" w:styleId="1f6">
    <w:name w:val="Сетка таблицы светлая1"/>
    <w:basedOn w:val="a5"/>
    <w:uiPriority w:val="40"/>
    <w:rsid w:val="00972DD8"/>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character" w:customStyle="1" w:styleId="40">
    <w:name w:val="Заголовок 4 Знак"/>
    <w:basedOn w:val="a4"/>
    <w:link w:val="4"/>
    <w:rsid w:val="00116AF3"/>
    <w:rPr>
      <w:rFonts w:ascii="Times New Roman" w:eastAsia="Calibri" w:hAnsi="Times New Roman" w:cs="Times New Roman"/>
      <w:b/>
      <w:szCs w:val="20"/>
      <w:shd w:val="clear" w:color="auto" w:fill="FFFFFF"/>
      <w:lang w:val="en-US" w:eastAsia="zh-CN"/>
    </w:rPr>
  </w:style>
  <w:style w:type="character" w:customStyle="1" w:styleId="50">
    <w:name w:val="Заголовок 5 Знак"/>
    <w:basedOn w:val="a4"/>
    <w:link w:val="5"/>
    <w:rsid w:val="00116AF3"/>
    <w:rPr>
      <w:rFonts w:ascii="Calibri Light" w:eastAsia="Times New Roman" w:hAnsi="Calibri Light" w:cs="Calibri Light"/>
      <w:b/>
      <w:bCs/>
      <w:kern w:val="1"/>
      <w:sz w:val="24"/>
      <w:szCs w:val="24"/>
      <w:lang w:eastAsia="zh-CN"/>
    </w:rPr>
  </w:style>
  <w:style w:type="character" w:customStyle="1" w:styleId="60">
    <w:name w:val="Заголовок 6 Знак"/>
    <w:basedOn w:val="a4"/>
    <w:link w:val="6"/>
    <w:rsid w:val="00116AF3"/>
    <w:rPr>
      <w:rFonts w:ascii="Calibri Light" w:eastAsia="Times New Roman" w:hAnsi="Calibri Light" w:cs="Calibri Light"/>
      <w:b/>
      <w:bCs/>
      <w:i/>
      <w:iCs/>
      <w:kern w:val="1"/>
      <w:sz w:val="24"/>
      <w:szCs w:val="24"/>
      <w:lang w:eastAsia="zh-CN"/>
    </w:rPr>
  </w:style>
  <w:style w:type="character" w:customStyle="1" w:styleId="70">
    <w:name w:val="Заголовок 7 Знак"/>
    <w:basedOn w:val="a4"/>
    <w:link w:val="7"/>
    <w:rsid w:val="00116AF3"/>
    <w:rPr>
      <w:rFonts w:ascii="Calibri Light" w:eastAsia="Times New Roman" w:hAnsi="Calibri Light" w:cs="Calibri Light"/>
      <w:b/>
      <w:bCs/>
      <w:kern w:val="1"/>
      <w:sz w:val="22"/>
      <w:lang w:eastAsia="zh-CN"/>
    </w:rPr>
  </w:style>
  <w:style w:type="character" w:customStyle="1" w:styleId="80">
    <w:name w:val="Заголовок 8 Знак"/>
    <w:basedOn w:val="a4"/>
    <w:link w:val="8"/>
    <w:rsid w:val="00116AF3"/>
    <w:rPr>
      <w:rFonts w:ascii="Calibri Light" w:eastAsia="Times New Roman" w:hAnsi="Calibri Light" w:cs="Calibri Light"/>
      <w:b/>
      <w:bCs/>
      <w:i/>
      <w:iCs/>
      <w:kern w:val="1"/>
      <w:sz w:val="22"/>
      <w:lang w:eastAsia="zh-CN"/>
    </w:rPr>
  </w:style>
  <w:style w:type="character" w:customStyle="1" w:styleId="90">
    <w:name w:val="Заголовок 9 Знак"/>
    <w:basedOn w:val="a4"/>
    <w:link w:val="9"/>
    <w:rsid w:val="00116AF3"/>
    <w:rPr>
      <w:rFonts w:ascii="Calibri Light" w:eastAsia="Times New Roman" w:hAnsi="Calibri Light" w:cs="Calibri Light"/>
      <w:b/>
      <w:bCs/>
      <w:kern w:val="1"/>
      <w:sz w:val="21"/>
      <w:szCs w:val="21"/>
      <w:lang w:eastAsia="zh-CN"/>
    </w:rPr>
  </w:style>
  <w:style w:type="character" w:customStyle="1" w:styleId="affff1">
    <w:name w:val="Обычный (веб) Знак"/>
    <w:rsid w:val="00116AF3"/>
    <w:rPr>
      <w:rFonts w:ascii="Times New Roman" w:eastAsia="Times New Roman" w:hAnsi="Times New Roman"/>
      <w:sz w:val="24"/>
      <w:szCs w:val="24"/>
    </w:rPr>
  </w:style>
  <w:style w:type="table" w:customStyle="1" w:styleId="-131">
    <w:name w:val="Список-таблица 1 светлая — акцент 31"/>
    <w:basedOn w:val="a5"/>
    <w:uiPriority w:val="46"/>
    <w:rsid w:val="00116AF3"/>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a1"/>
    <w:qFormat/>
    <w:rsid w:val="00116AF3"/>
    <w:pPr>
      <w:widowControl w:val="0"/>
      <w:spacing w:line="240" w:lineRule="auto"/>
      <w:ind w:left="103" w:firstLine="0"/>
      <w:jc w:val="left"/>
    </w:pPr>
    <w:rPr>
      <w:rFonts w:ascii="Calibri" w:eastAsia="Times New Roman" w:hAnsi="Calibri" w:cs="Calibri"/>
      <w:sz w:val="22"/>
      <w:lang w:val="en-US"/>
    </w:rPr>
  </w:style>
  <w:style w:type="character" w:customStyle="1" w:styleId="1c">
    <w:name w:val="Текст примечания Знак1"/>
    <w:basedOn w:val="a4"/>
    <w:link w:val="aff4"/>
    <w:uiPriority w:val="99"/>
    <w:rsid w:val="00116AF3"/>
    <w:rPr>
      <w:rFonts w:ascii="Times New Roman" w:hAnsi="Times New Roman"/>
      <w:szCs w:val="20"/>
    </w:rPr>
  </w:style>
  <w:style w:type="character" w:customStyle="1" w:styleId="1e">
    <w:name w:val="Название Знак1"/>
    <w:aliases w:val="Заголовок мой Знак,Название1 Знак"/>
    <w:basedOn w:val="a4"/>
    <w:link w:val="aff6"/>
    <w:rsid w:val="00116AF3"/>
    <w:rPr>
      <w:rFonts w:ascii="Times New Roman" w:eastAsiaTheme="majorEastAsia" w:hAnsi="Times New Roman" w:cstheme="majorBidi"/>
      <w:spacing w:val="-10"/>
      <w:sz w:val="28"/>
      <w:szCs w:val="56"/>
      <w:u w:val="single"/>
    </w:rPr>
  </w:style>
  <w:style w:type="table" w:customStyle="1" w:styleId="-11">
    <w:name w:val="Таблица-сетка 1 светлая1"/>
    <w:basedOn w:val="a5"/>
    <w:uiPriority w:val="46"/>
    <w:rsid w:val="00116AF3"/>
    <w:rPr>
      <w:sz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11111">
    <w:name w:val="1 / 1.1 / 1.1.11"/>
    <w:basedOn w:val="a6"/>
    <w:next w:val="111111"/>
    <w:rsid w:val="00116AF3"/>
    <w:pPr>
      <w:numPr>
        <w:numId w:val="40"/>
      </w:numPr>
    </w:pPr>
  </w:style>
  <w:style w:type="numbering" w:customStyle="1" w:styleId="1ai1">
    <w:name w:val="1 / a / i1"/>
    <w:basedOn w:val="a6"/>
    <w:next w:val="1ai"/>
    <w:rsid w:val="00116AF3"/>
    <w:pPr>
      <w:numPr>
        <w:numId w:val="41"/>
      </w:numPr>
    </w:pPr>
  </w:style>
  <w:style w:type="numbering" w:styleId="111111">
    <w:name w:val="Outline List 2"/>
    <w:basedOn w:val="a6"/>
    <w:uiPriority w:val="99"/>
    <w:semiHidden/>
    <w:unhideWhenUsed/>
    <w:rsid w:val="00116AF3"/>
    <w:pPr>
      <w:numPr>
        <w:numId w:val="38"/>
      </w:numPr>
    </w:pPr>
  </w:style>
  <w:style w:type="numbering" w:styleId="1ai">
    <w:name w:val="Outline List 1"/>
    <w:basedOn w:val="a6"/>
    <w:uiPriority w:val="99"/>
    <w:semiHidden/>
    <w:unhideWhenUsed/>
    <w:rsid w:val="00116AF3"/>
    <w:pPr>
      <w:numPr>
        <w:numId w:val="39"/>
      </w:numPr>
    </w:pPr>
  </w:style>
  <w:style w:type="paragraph" w:customStyle="1" w:styleId="msonormal0">
    <w:name w:val="msonormal"/>
    <w:basedOn w:val="a1"/>
    <w:qFormat/>
    <w:rsid w:val="00116AF3"/>
    <w:pPr>
      <w:spacing w:before="100" w:beforeAutospacing="1" w:after="100" w:afterAutospacing="1" w:line="288" w:lineRule="auto"/>
      <w:ind w:firstLine="0"/>
      <w:jc w:val="left"/>
    </w:pPr>
    <w:rPr>
      <w:rFonts w:eastAsia="Times New Roman" w:cs="Times New Roman"/>
      <w:szCs w:val="24"/>
      <w:lang w:eastAsia="ru-RU"/>
    </w:rPr>
  </w:style>
  <w:style w:type="character" w:customStyle="1" w:styleId="1f7">
    <w:name w:val="Заголовок Знак1"/>
    <w:aliases w:val="Заголовок мой Знак1"/>
    <w:basedOn w:val="a4"/>
    <w:rsid w:val="00116AF3"/>
    <w:rPr>
      <w:rFonts w:asciiTheme="majorHAnsi" w:eastAsiaTheme="majorEastAsia" w:hAnsiTheme="majorHAnsi" w:cstheme="majorBidi"/>
      <w:spacing w:val="-10"/>
      <w:kern w:val="28"/>
      <w:sz w:val="56"/>
      <w:szCs w:val="56"/>
    </w:rPr>
  </w:style>
  <w:style w:type="paragraph" w:customStyle="1" w:styleId="a">
    <w:name w:val="рек"/>
    <w:basedOn w:val="afe"/>
    <w:link w:val="affff2"/>
    <w:qFormat/>
    <w:rsid w:val="00116AF3"/>
    <w:pPr>
      <w:numPr>
        <w:numId w:val="42"/>
      </w:numPr>
      <w:tabs>
        <w:tab w:val="left" w:pos="1134"/>
      </w:tabs>
      <w:spacing w:before="240"/>
      <w:ind w:left="709" w:hanging="425"/>
      <w:contextualSpacing w:val="0"/>
    </w:pPr>
    <w:rPr>
      <w:rFonts w:cs="Times New Roman"/>
      <w:szCs w:val="24"/>
    </w:rPr>
  </w:style>
  <w:style w:type="character" w:customStyle="1" w:styleId="affff2">
    <w:name w:val="рек Знак"/>
    <w:basedOn w:val="ac"/>
    <w:link w:val="a"/>
    <w:rsid w:val="00116AF3"/>
    <w:rPr>
      <w:rFonts w:ascii="Times New Roman" w:hAnsi="Times New Roman" w:cs="Times New Roman"/>
      <w:sz w:val="24"/>
      <w:szCs w:val="24"/>
    </w:rPr>
  </w:style>
  <w:style w:type="paragraph" w:customStyle="1" w:styleId="1f8">
    <w:name w:val="Обычный с отступом 1 см"/>
    <w:basedOn w:val="a1"/>
    <w:rsid w:val="00116AF3"/>
    <w:pPr>
      <w:widowControl w:val="0"/>
      <w:ind w:firstLine="680"/>
    </w:pPr>
    <w:rPr>
      <w:rFonts w:ascii="Arial" w:eastAsia="Times New Roman" w:hAnsi="Arial" w:cs="Times New Roman"/>
      <w:bCs/>
      <w:iCs/>
      <w:sz w:val="28"/>
      <w:szCs w:val="20"/>
      <w:lang w:eastAsia="ru-RU"/>
    </w:rPr>
  </w:style>
  <w:style w:type="character" w:styleId="affff3">
    <w:name w:val="endnote reference"/>
    <w:basedOn w:val="a4"/>
    <w:unhideWhenUsed/>
    <w:rsid w:val="00116AF3"/>
    <w:rPr>
      <w:vertAlign w:val="superscript"/>
    </w:rPr>
  </w:style>
  <w:style w:type="character" w:customStyle="1" w:styleId="ListLabel67">
    <w:name w:val="ListLabel 67"/>
    <w:qFormat/>
    <w:rsid w:val="00116AF3"/>
    <w:rPr>
      <w:sz w:val="20"/>
    </w:rPr>
  </w:style>
  <w:style w:type="paragraph" w:customStyle="1" w:styleId="affff4">
    <w:name w:val="Содержимое таблицы"/>
    <w:basedOn w:val="a1"/>
    <w:qFormat/>
    <w:rsid w:val="00116AF3"/>
    <w:pPr>
      <w:suppressLineNumbers/>
      <w:ind w:firstLine="0"/>
      <w:jc w:val="left"/>
    </w:pPr>
    <w:rPr>
      <w:rFonts w:eastAsia="Calibri" w:cs="Tahoma"/>
    </w:rPr>
  </w:style>
  <w:style w:type="character" w:styleId="affff5">
    <w:name w:val="Placeholder Text"/>
    <w:basedOn w:val="a4"/>
    <w:uiPriority w:val="99"/>
    <w:semiHidden/>
    <w:rsid w:val="00116AF3"/>
    <w:rPr>
      <w:color w:val="808080"/>
    </w:rPr>
  </w:style>
  <w:style w:type="character" w:customStyle="1" w:styleId="highlight">
    <w:name w:val="highlight"/>
    <w:basedOn w:val="a4"/>
    <w:rsid w:val="00116AF3"/>
  </w:style>
  <w:style w:type="character" w:customStyle="1" w:styleId="WW8Num60z8">
    <w:name w:val="WW8Num60z8"/>
    <w:rsid w:val="00116AF3"/>
  </w:style>
  <w:style w:type="character" w:customStyle="1" w:styleId="1f9">
    <w:name w:val="Строгий1"/>
    <w:basedOn w:val="a4"/>
    <w:rsid w:val="00116AF3"/>
    <w:rPr>
      <w:b/>
      <w:bCs/>
    </w:rPr>
  </w:style>
  <w:style w:type="character" w:customStyle="1" w:styleId="WW8Num37z5">
    <w:name w:val="WW8Num37z5"/>
    <w:rsid w:val="00116AF3"/>
  </w:style>
  <w:style w:type="character" w:customStyle="1" w:styleId="WW8Num37z0">
    <w:name w:val="WW8Num37z0"/>
    <w:rsid w:val="00116AF3"/>
  </w:style>
  <w:style w:type="paragraph" w:customStyle="1" w:styleId="ConsPlusNormal">
    <w:name w:val="ConsPlusNormal"/>
    <w:qFormat/>
    <w:rsid w:val="00116AF3"/>
    <w:pPr>
      <w:widowControl w:val="0"/>
      <w:autoSpaceDE w:val="0"/>
      <w:autoSpaceDN w:val="0"/>
    </w:pPr>
    <w:rPr>
      <w:rFonts w:ascii="Calibri" w:eastAsia="Times New Roman" w:hAnsi="Calibri" w:cs="Calibri"/>
      <w:sz w:val="22"/>
      <w:szCs w:val="20"/>
      <w:lang w:eastAsia="ru-RU"/>
    </w:rPr>
  </w:style>
  <w:style w:type="paragraph" w:customStyle="1" w:styleId="-51">
    <w:name w:val="Светлый список - Акцент 51"/>
    <w:basedOn w:val="a1"/>
    <w:uiPriority w:val="34"/>
    <w:qFormat/>
    <w:rsid w:val="00116AF3"/>
    <w:pPr>
      <w:suppressAutoHyphens/>
      <w:ind w:left="708" w:firstLine="0"/>
    </w:pPr>
    <w:rPr>
      <w:rFonts w:eastAsia="Calibri" w:cs="Times New Roman"/>
      <w:lang w:eastAsia="zh-CN"/>
    </w:rPr>
  </w:style>
  <w:style w:type="paragraph" w:customStyle="1" w:styleId="1fa">
    <w:name w:val="Абзац списка1"/>
    <w:basedOn w:val="a1"/>
    <w:uiPriority w:val="34"/>
    <w:qFormat/>
    <w:rsid w:val="00116AF3"/>
    <w:pPr>
      <w:spacing w:after="160"/>
      <w:ind w:left="720"/>
      <w:contextualSpacing/>
    </w:pPr>
    <w:rPr>
      <w:rFonts w:eastAsia="Times New Roman" w:cs="Times New Roman"/>
    </w:rPr>
  </w:style>
  <w:style w:type="character" w:customStyle="1" w:styleId="af7">
    <w:name w:val="Основной текст Знак"/>
    <w:basedOn w:val="a4"/>
    <w:link w:val="a3"/>
    <w:rsid w:val="00116AF3"/>
    <w:rPr>
      <w:rFonts w:ascii="Times New Roman" w:hAnsi="Times New Roman"/>
      <w:sz w:val="24"/>
    </w:rPr>
  </w:style>
  <w:style w:type="paragraph" w:styleId="1fb">
    <w:name w:val="index 1"/>
    <w:basedOn w:val="a1"/>
    <w:next w:val="a1"/>
    <w:autoRedefine/>
    <w:uiPriority w:val="99"/>
    <w:semiHidden/>
    <w:unhideWhenUsed/>
    <w:rsid w:val="00116AF3"/>
    <w:pPr>
      <w:ind w:left="240" w:hanging="240"/>
    </w:pPr>
  </w:style>
  <w:style w:type="character" w:customStyle="1" w:styleId="15">
    <w:name w:val="Верхний колонтитул Знак1"/>
    <w:basedOn w:val="a4"/>
    <w:link w:val="afb"/>
    <w:uiPriority w:val="99"/>
    <w:rsid w:val="00116AF3"/>
    <w:rPr>
      <w:rFonts w:ascii="Times New Roman" w:hAnsi="Times New Roman"/>
      <w:sz w:val="24"/>
    </w:rPr>
  </w:style>
  <w:style w:type="character" w:customStyle="1" w:styleId="16">
    <w:name w:val="Нижний колонтитул Знак1"/>
    <w:basedOn w:val="a4"/>
    <w:link w:val="afc"/>
    <w:uiPriority w:val="99"/>
    <w:rsid w:val="00116AF3"/>
    <w:rPr>
      <w:rFonts w:ascii="Times New Roman" w:hAnsi="Times New Roman"/>
      <w:sz w:val="24"/>
    </w:rPr>
  </w:style>
  <w:style w:type="character" w:customStyle="1" w:styleId="19">
    <w:name w:val="Текст выноски Знак1"/>
    <w:basedOn w:val="a4"/>
    <w:link w:val="aff0"/>
    <w:uiPriority w:val="99"/>
    <w:rsid w:val="00116AF3"/>
    <w:rPr>
      <w:rFonts w:ascii="Tahoma" w:hAnsi="Tahoma" w:cs="Tahoma"/>
      <w:sz w:val="16"/>
      <w:szCs w:val="16"/>
    </w:rPr>
  </w:style>
  <w:style w:type="character" w:customStyle="1" w:styleId="1b">
    <w:name w:val="Подзаголовок Знак1"/>
    <w:basedOn w:val="a4"/>
    <w:link w:val="a2"/>
    <w:uiPriority w:val="11"/>
    <w:rsid w:val="00116AF3"/>
    <w:rPr>
      <w:rFonts w:ascii="Times New Roman" w:hAnsi="Times New Roman" w:cs="Times New Roman"/>
      <w:b/>
      <w:sz w:val="24"/>
      <w:szCs w:val="24"/>
      <w:u w:val="single"/>
    </w:rPr>
  </w:style>
  <w:style w:type="character" w:customStyle="1" w:styleId="1d">
    <w:name w:val="Тема примечания Знак1"/>
    <w:basedOn w:val="1c"/>
    <w:link w:val="aff5"/>
    <w:uiPriority w:val="99"/>
    <w:rsid w:val="00116AF3"/>
    <w:rPr>
      <w:rFonts w:ascii="Times New Roman" w:hAnsi="Times New Roman"/>
      <w:b/>
      <w:bCs/>
      <w:szCs w:val="20"/>
    </w:rPr>
  </w:style>
  <w:style w:type="character" w:customStyle="1" w:styleId="1f">
    <w:name w:val="Текст сноски Знак1"/>
    <w:basedOn w:val="a4"/>
    <w:link w:val="aff7"/>
    <w:uiPriority w:val="99"/>
    <w:rsid w:val="00116AF3"/>
    <w:rPr>
      <w:rFonts w:ascii="Calibri" w:eastAsia="Calibri" w:hAnsi="Calibri" w:cs="Times New Roman"/>
      <w:szCs w:val="20"/>
    </w:rPr>
  </w:style>
  <w:style w:type="paragraph" w:styleId="HTML">
    <w:name w:val="HTML Preformatted"/>
    <w:basedOn w:val="a1"/>
    <w:link w:val="HTML0"/>
    <w:unhideWhenUsed/>
    <w:rsid w:val="00116AF3"/>
    <w:rPr>
      <w:rFonts w:ascii="Consolas" w:hAnsi="Consolas" w:cs="Consolas"/>
      <w:sz w:val="20"/>
      <w:szCs w:val="20"/>
    </w:rPr>
  </w:style>
  <w:style w:type="character" w:customStyle="1" w:styleId="HTML0">
    <w:name w:val="Стандартный HTML Знак"/>
    <w:basedOn w:val="a4"/>
    <w:link w:val="HTML"/>
    <w:rsid w:val="00116AF3"/>
    <w:rPr>
      <w:rFonts w:ascii="Consolas" w:hAnsi="Consolas" w:cs="Consolas"/>
      <w:szCs w:val="20"/>
    </w:rPr>
  </w:style>
  <w:style w:type="character" w:customStyle="1" w:styleId="24">
    <w:name w:val="Неразрешенное упоминание2"/>
    <w:basedOn w:val="a4"/>
    <w:uiPriority w:val="99"/>
    <w:semiHidden/>
    <w:unhideWhenUsed/>
    <w:rsid w:val="00116AF3"/>
    <w:rPr>
      <w:color w:val="605E5C"/>
      <w:shd w:val="clear" w:color="auto" w:fill="E1DFDD"/>
    </w:rPr>
  </w:style>
  <w:style w:type="character" w:customStyle="1" w:styleId="32">
    <w:name w:val="Неразрешенное упоминание3"/>
    <w:basedOn w:val="a4"/>
    <w:uiPriority w:val="99"/>
    <w:semiHidden/>
    <w:unhideWhenUsed/>
    <w:rsid w:val="00116AF3"/>
    <w:rPr>
      <w:color w:val="605E5C"/>
      <w:shd w:val="clear" w:color="auto" w:fill="E1DFDD"/>
    </w:rPr>
  </w:style>
  <w:style w:type="paragraph" w:customStyle="1" w:styleId="Normal11">
    <w:name w:val="Normal 1"/>
    <w:basedOn w:val="a1"/>
    <w:rsid w:val="00116AF3"/>
    <w:pPr>
      <w:shd w:val="clear" w:color="auto" w:fill="FFFFFF"/>
      <w:tabs>
        <w:tab w:val="left" w:pos="394"/>
      </w:tabs>
      <w:overflowPunct w:val="0"/>
      <w:autoSpaceDE w:val="0"/>
      <w:autoSpaceDN w:val="0"/>
      <w:adjustRightInd w:val="0"/>
      <w:spacing w:before="5" w:line="240" w:lineRule="auto"/>
      <w:ind w:left="10" w:hanging="10"/>
      <w:jc w:val="left"/>
      <w:textAlignment w:val="baseline"/>
    </w:pPr>
    <w:rPr>
      <w:rFonts w:eastAsia="Times New Roman" w:cs="Times New Roman"/>
      <w:color w:val="000000"/>
      <w:spacing w:val="4"/>
      <w:szCs w:val="20"/>
      <w:lang w:eastAsia="ru-RU"/>
    </w:rPr>
  </w:style>
  <w:style w:type="paragraph" w:customStyle="1" w:styleId="Number1">
    <w:name w:val="Number1"/>
    <w:basedOn w:val="a1"/>
    <w:rsid w:val="00116AF3"/>
    <w:pPr>
      <w:shd w:val="clear" w:color="auto" w:fill="FFFFFF"/>
      <w:tabs>
        <w:tab w:val="left" w:pos="394"/>
      </w:tabs>
      <w:overflowPunct w:val="0"/>
      <w:autoSpaceDE w:val="0"/>
      <w:autoSpaceDN w:val="0"/>
      <w:adjustRightInd w:val="0"/>
      <w:spacing w:before="5" w:line="240" w:lineRule="auto"/>
      <w:ind w:left="284" w:hanging="284"/>
      <w:jc w:val="left"/>
      <w:textAlignment w:val="baseline"/>
    </w:pPr>
    <w:rPr>
      <w:rFonts w:eastAsia="Times New Roman" w:cs="Times New Roman"/>
      <w:color w:val="000000"/>
      <w:spacing w:val="-1"/>
      <w:szCs w:val="20"/>
      <w:lang w:eastAsia="ru-RU"/>
    </w:rPr>
  </w:style>
  <w:style w:type="paragraph" w:customStyle="1" w:styleId="Author0">
    <w:name w:val="Author"/>
    <w:basedOn w:val="a1"/>
    <w:rsid w:val="00116AF3"/>
    <w:pPr>
      <w:overflowPunct w:val="0"/>
      <w:autoSpaceDE w:val="0"/>
      <w:autoSpaceDN w:val="0"/>
      <w:adjustRightInd w:val="0"/>
      <w:spacing w:line="240" w:lineRule="auto"/>
      <w:ind w:firstLine="284"/>
      <w:jc w:val="center"/>
      <w:textAlignment w:val="baseline"/>
    </w:pPr>
    <w:rPr>
      <w:rFonts w:eastAsia="Times New Roman" w:cs="Times New Roman"/>
      <w:i/>
      <w:szCs w:val="20"/>
      <w:lang w:eastAsia="ru-RU"/>
    </w:rPr>
  </w:style>
  <w:style w:type="paragraph" w:customStyle="1" w:styleId="affff6">
    <w:name w:val="Стиль"/>
    <w:uiPriority w:val="99"/>
    <w:rsid w:val="00116AF3"/>
    <w:pPr>
      <w:keepNext/>
      <w:keepLines/>
      <w:spacing w:line="276" w:lineRule="auto"/>
      <w:outlineLvl w:val="0"/>
    </w:pPr>
    <w:rPr>
      <w:rFonts w:ascii="Times New Roman" w:eastAsia="Calibri" w:hAnsi="Times New Roman" w:cs="Times New Roman"/>
      <w:sz w:val="24"/>
    </w:rPr>
  </w:style>
  <w:style w:type="paragraph" w:customStyle="1" w:styleId="1fc">
    <w:name w:val="УДД1"/>
    <w:aliases w:val="УУР1"/>
    <w:basedOn w:val="afffa"/>
    <w:uiPriority w:val="99"/>
    <w:rsid w:val="00116AF3"/>
    <w:pPr>
      <w:contextualSpacing w:val="0"/>
    </w:pPr>
    <w:rPr>
      <w:rFonts w:eastAsia="Calibri"/>
    </w:rPr>
  </w:style>
  <w:style w:type="paragraph" w:styleId="33">
    <w:name w:val="toc 3"/>
    <w:basedOn w:val="a1"/>
    <w:next w:val="a1"/>
    <w:autoRedefine/>
    <w:uiPriority w:val="39"/>
    <w:unhideWhenUsed/>
    <w:qFormat/>
    <w:rsid w:val="00116AF3"/>
    <w:pPr>
      <w:ind w:left="480"/>
      <w:jc w:val="left"/>
    </w:pPr>
    <w:rPr>
      <w:rFonts w:asciiTheme="minorHAnsi" w:eastAsia="Calibri" w:hAnsiTheme="minorHAnsi" w:cs="Times New Roman"/>
      <w:sz w:val="20"/>
      <w:szCs w:val="20"/>
    </w:rPr>
  </w:style>
  <w:style w:type="numbering" w:customStyle="1" w:styleId="1fd">
    <w:name w:val="Нет списка1"/>
    <w:next w:val="a6"/>
    <w:uiPriority w:val="99"/>
    <w:semiHidden/>
    <w:unhideWhenUsed/>
    <w:rsid w:val="00116AF3"/>
  </w:style>
  <w:style w:type="numbering" w:customStyle="1" w:styleId="25">
    <w:name w:val="Нет списка2"/>
    <w:next w:val="a6"/>
    <w:uiPriority w:val="99"/>
    <w:semiHidden/>
    <w:unhideWhenUsed/>
    <w:rsid w:val="00116AF3"/>
  </w:style>
  <w:style w:type="numbering" w:customStyle="1" w:styleId="34">
    <w:name w:val="Нет списка3"/>
    <w:next w:val="a6"/>
    <w:uiPriority w:val="99"/>
    <w:semiHidden/>
    <w:unhideWhenUsed/>
    <w:rsid w:val="00116AF3"/>
  </w:style>
  <w:style w:type="paragraph" w:styleId="affff7">
    <w:name w:val="endnote text"/>
    <w:basedOn w:val="a1"/>
    <w:link w:val="affff8"/>
    <w:uiPriority w:val="99"/>
    <w:unhideWhenUsed/>
    <w:rsid w:val="00116AF3"/>
    <w:pPr>
      <w:spacing w:line="240" w:lineRule="auto"/>
      <w:ind w:firstLine="567"/>
    </w:pPr>
    <w:rPr>
      <w:rFonts w:ascii="Calibri" w:eastAsia="Calibri" w:hAnsi="Calibri" w:cs="Times New Roman"/>
      <w:sz w:val="20"/>
      <w:szCs w:val="20"/>
    </w:rPr>
  </w:style>
  <w:style w:type="character" w:customStyle="1" w:styleId="affff8">
    <w:name w:val="Текст концевой сноски Знак"/>
    <w:basedOn w:val="a4"/>
    <w:link w:val="affff7"/>
    <w:uiPriority w:val="99"/>
    <w:rsid w:val="00116AF3"/>
    <w:rPr>
      <w:rFonts w:ascii="Calibri" w:eastAsia="Calibri" w:hAnsi="Calibri" w:cs="Times New Roman"/>
      <w:szCs w:val="20"/>
    </w:rPr>
  </w:style>
  <w:style w:type="paragraph" w:customStyle="1" w:styleId="310">
    <w:name w:val="Основной текст с отступом 31"/>
    <w:basedOn w:val="a1"/>
    <w:rsid w:val="00116AF3"/>
    <w:pPr>
      <w:suppressAutoHyphens/>
      <w:spacing w:after="120" w:line="240" w:lineRule="auto"/>
      <w:ind w:left="283" w:firstLine="567"/>
    </w:pPr>
    <w:rPr>
      <w:rFonts w:eastAsia="Times New Roman" w:cs="Calibri"/>
      <w:sz w:val="16"/>
      <w:szCs w:val="16"/>
      <w:lang w:eastAsia="ar-SA"/>
    </w:rPr>
  </w:style>
  <w:style w:type="table" w:customStyle="1" w:styleId="26">
    <w:name w:val="Сетка таблицы2"/>
    <w:basedOn w:val="a5"/>
    <w:next w:val="aff9"/>
    <w:uiPriority w:val="59"/>
    <w:rsid w:val="00116AF3"/>
    <w:rPr>
      <w:rFonts w:ascii="Calibri" w:eastAsia="Calibri" w:hAnsi="Calibri" w:cs="Times New Roman"/>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5pt">
    <w:name w:val="Основной текст + Arial;10;5 pt"/>
    <w:rsid w:val="00116AF3"/>
    <w:rPr>
      <w:rFonts w:ascii="Arial" w:eastAsia="Arial" w:hAnsi="Arial" w:cs="Arial"/>
      <w:b w:val="0"/>
      <w:bCs w:val="0"/>
      <w:i w:val="0"/>
      <w:iCs w:val="0"/>
      <w:smallCaps w:val="0"/>
      <w:strike w:val="0"/>
      <w:color w:val="000000"/>
      <w:spacing w:val="0"/>
      <w:w w:val="100"/>
      <w:position w:val="0"/>
      <w:sz w:val="21"/>
      <w:szCs w:val="21"/>
      <w:u w:val="none"/>
      <w:lang w:val="ru-RU"/>
    </w:rPr>
  </w:style>
  <w:style w:type="character" w:customStyle="1" w:styleId="src">
    <w:name w:val="src"/>
    <w:rsid w:val="00116AF3"/>
  </w:style>
  <w:style w:type="paragraph" w:customStyle="1" w:styleId="firstlast">
    <w:name w:val="first last"/>
    <w:basedOn w:val="a1"/>
    <w:uiPriority w:val="99"/>
    <w:rsid w:val="00116AF3"/>
    <w:pPr>
      <w:spacing w:before="100" w:beforeAutospacing="1" w:after="100" w:afterAutospacing="1" w:line="240" w:lineRule="auto"/>
      <w:ind w:firstLine="567"/>
    </w:pPr>
    <w:rPr>
      <w:rFonts w:eastAsia="Times New Roman" w:cs="Times New Roman"/>
      <w:szCs w:val="24"/>
      <w:lang w:eastAsia="ru-RU"/>
    </w:rPr>
  </w:style>
  <w:style w:type="paragraph" w:customStyle="1" w:styleId="last">
    <w:name w:val="last"/>
    <w:basedOn w:val="a1"/>
    <w:uiPriority w:val="99"/>
    <w:rsid w:val="00116AF3"/>
    <w:pPr>
      <w:spacing w:before="100" w:beforeAutospacing="1" w:after="100" w:afterAutospacing="1" w:line="240" w:lineRule="auto"/>
      <w:ind w:firstLine="567"/>
    </w:pPr>
    <w:rPr>
      <w:rFonts w:eastAsia="Times New Roman" w:cs="Times New Roman"/>
      <w:szCs w:val="24"/>
      <w:lang w:eastAsia="ru-RU"/>
    </w:rPr>
  </w:style>
  <w:style w:type="paragraph" w:customStyle="1" w:styleId="para">
    <w:name w:val="para"/>
    <w:basedOn w:val="a1"/>
    <w:uiPriority w:val="99"/>
    <w:rsid w:val="00116AF3"/>
    <w:pPr>
      <w:spacing w:before="100" w:beforeAutospacing="1" w:after="100" w:afterAutospacing="1" w:line="240" w:lineRule="auto"/>
      <w:ind w:firstLine="567"/>
    </w:pPr>
    <w:rPr>
      <w:rFonts w:ascii="Arial" w:eastAsia="Times New Roman" w:hAnsi="Arial" w:cs="Arial"/>
      <w:color w:val="000000"/>
      <w:sz w:val="26"/>
      <w:szCs w:val="26"/>
      <w:lang w:eastAsia="ru-RU"/>
    </w:rPr>
  </w:style>
  <w:style w:type="character" w:customStyle="1" w:styleId="selectbg">
    <w:name w:val="select_bg"/>
    <w:rsid w:val="00116AF3"/>
  </w:style>
  <w:style w:type="character" w:customStyle="1" w:styleId="postbody1">
    <w:name w:val="postbody1"/>
    <w:rsid w:val="00116AF3"/>
    <w:rPr>
      <w:sz w:val="18"/>
      <w:szCs w:val="18"/>
    </w:rPr>
  </w:style>
  <w:style w:type="character" w:customStyle="1" w:styleId="volume">
    <w:name w:val="volume"/>
    <w:rsid w:val="00116AF3"/>
  </w:style>
  <w:style w:type="character" w:customStyle="1" w:styleId="issue">
    <w:name w:val="issue"/>
    <w:rsid w:val="00116AF3"/>
  </w:style>
  <w:style w:type="character" w:customStyle="1" w:styleId="pages">
    <w:name w:val="pages"/>
    <w:rsid w:val="00116AF3"/>
  </w:style>
  <w:style w:type="paragraph" w:customStyle="1" w:styleId="210">
    <w:name w:val="Основной текст 21"/>
    <w:basedOn w:val="a1"/>
    <w:rsid w:val="00116AF3"/>
    <w:pPr>
      <w:suppressAutoHyphens/>
      <w:spacing w:line="240" w:lineRule="auto"/>
      <w:ind w:firstLine="567"/>
    </w:pPr>
    <w:rPr>
      <w:rFonts w:eastAsia="Times New Roman" w:cs="Calibri"/>
      <w:szCs w:val="20"/>
      <w:lang w:eastAsia="ar-SA"/>
    </w:rPr>
  </w:style>
  <w:style w:type="paragraph" w:customStyle="1" w:styleId="220">
    <w:name w:val="Основной текст 22"/>
    <w:basedOn w:val="a1"/>
    <w:rsid w:val="00116AF3"/>
    <w:pPr>
      <w:suppressAutoHyphens/>
      <w:spacing w:line="100" w:lineRule="atLeast"/>
      <w:ind w:firstLine="567"/>
    </w:pPr>
    <w:rPr>
      <w:rFonts w:eastAsia="Times New Roman" w:cs="Times New Roman"/>
      <w:kern w:val="1"/>
      <w:szCs w:val="24"/>
      <w:lang w:eastAsia="ar-SA"/>
    </w:rPr>
  </w:style>
  <w:style w:type="paragraph" w:styleId="affff9">
    <w:name w:val="Body Text Indent"/>
    <w:basedOn w:val="a1"/>
    <w:link w:val="affffa"/>
    <w:uiPriority w:val="99"/>
    <w:unhideWhenUsed/>
    <w:rsid w:val="00116AF3"/>
    <w:pPr>
      <w:spacing w:after="120" w:line="288" w:lineRule="auto"/>
      <w:ind w:left="283" w:firstLine="567"/>
    </w:pPr>
    <w:rPr>
      <w:rFonts w:ascii="Calibri" w:eastAsia="Calibri" w:hAnsi="Calibri" w:cs="Times New Roman"/>
      <w:sz w:val="22"/>
    </w:rPr>
  </w:style>
  <w:style w:type="character" w:customStyle="1" w:styleId="affffa">
    <w:name w:val="Основной текст с отступом Знак"/>
    <w:basedOn w:val="a4"/>
    <w:link w:val="affff9"/>
    <w:uiPriority w:val="99"/>
    <w:rsid w:val="00116AF3"/>
    <w:rPr>
      <w:rFonts w:ascii="Calibri" w:eastAsia="Calibri" w:hAnsi="Calibri" w:cs="Times New Roman"/>
      <w:sz w:val="22"/>
    </w:rPr>
  </w:style>
  <w:style w:type="paragraph" w:customStyle="1" w:styleId="TextDrugs">
    <w:name w:val="Text_Drugs"/>
    <w:basedOn w:val="a1"/>
    <w:rsid w:val="00116AF3"/>
    <w:pPr>
      <w:suppressAutoHyphens/>
      <w:spacing w:line="100" w:lineRule="atLeast"/>
      <w:ind w:firstLine="567"/>
    </w:pPr>
    <w:rPr>
      <w:rFonts w:ascii="Cambria" w:eastAsia="MS Mincho" w:hAnsi="Cambria" w:cs="Times New Roman"/>
      <w:kern w:val="1"/>
      <w:szCs w:val="24"/>
      <w:lang w:val="de-DE" w:eastAsia="ar-SA"/>
    </w:rPr>
  </w:style>
  <w:style w:type="character" w:customStyle="1" w:styleId="jrnl">
    <w:name w:val="jrnl"/>
    <w:rsid w:val="00116AF3"/>
  </w:style>
  <w:style w:type="character" w:customStyle="1" w:styleId="maintextbldleft">
    <w:name w:val="maintextbldleft"/>
    <w:rsid w:val="00116AF3"/>
  </w:style>
  <w:style w:type="character" w:customStyle="1" w:styleId="maintextleft">
    <w:name w:val="maintextleft"/>
    <w:rsid w:val="00116AF3"/>
  </w:style>
  <w:style w:type="paragraph" w:customStyle="1" w:styleId="27">
    <w:name w:val="Абзац списка2"/>
    <w:basedOn w:val="a1"/>
    <w:rsid w:val="00116AF3"/>
    <w:pPr>
      <w:suppressAutoHyphens/>
      <w:spacing w:after="200" w:line="276" w:lineRule="auto"/>
      <w:ind w:firstLine="567"/>
    </w:pPr>
    <w:rPr>
      <w:rFonts w:ascii="Calibri" w:eastAsia="Calibri" w:hAnsi="Calibri" w:cs="Calibri"/>
      <w:sz w:val="22"/>
      <w:lang w:val="nl-NL" w:eastAsia="ar-SA"/>
    </w:rPr>
  </w:style>
  <w:style w:type="paragraph" w:customStyle="1" w:styleId="230">
    <w:name w:val="Основной текст 23"/>
    <w:basedOn w:val="a1"/>
    <w:rsid w:val="00116AF3"/>
    <w:pPr>
      <w:suppressAutoHyphens/>
      <w:spacing w:line="100" w:lineRule="atLeast"/>
      <w:ind w:firstLine="567"/>
    </w:pPr>
    <w:rPr>
      <w:rFonts w:eastAsia="Times New Roman" w:cs="Times New Roman"/>
      <w:kern w:val="1"/>
      <w:szCs w:val="24"/>
      <w:lang w:eastAsia="ar-SA"/>
    </w:rPr>
  </w:style>
  <w:style w:type="character" w:customStyle="1" w:styleId="hps">
    <w:name w:val="hps"/>
    <w:rsid w:val="00116AF3"/>
  </w:style>
  <w:style w:type="paragraph" w:styleId="28">
    <w:name w:val="Body Text 2"/>
    <w:basedOn w:val="a1"/>
    <w:link w:val="29"/>
    <w:semiHidden/>
    <w:rsid w:val="00116AF3"/>
    <w:pPr>
      <w:spacing w:line="240" w:lineRule="auto"/>
      <w:ind w:firstLine="567"/>
    </w:pPr>
    <w:rPr>
      <w:rFonts w:eastAsia="Times New Roman" w:cs="Times New Roman"/>
      <w:szCs w:val="20"/>
      <w:lang w:eastAsia="ru-RU"/>
    </w:rPr>
  </w:style>
  <w:style w:type="character" w:customStyle="1" w:styleId="29">
    <w:name w:val="Основной текст 2 Знак"/>
    <w:basedOn w:val="a4"/>
    <w:link w:val="28"/>
    <w:semiHidden/>
    <w:rsid w:val="00116AF3"/>
    <w:rPr>
      <w:rFonts w:ascii="Times New Roman" w:eastAsia="Times New Roman" w:hAnsi="Times New Roman" w:cs="Times New Roman"/>
      <w:sz w:val="24"/>
      <w:szCs w:val="20"/>
      <w:lang w:eastAsia="ru-RU"/>
    </w:rPr>
  </w:style>
  <w:style w:type="paragraph" w:customStyle="1" w:styleId="Number">
    <w:name w:val="Number"/>
    <w:basedOn w:val="a1"/>
    <w:uiPriority w:val="99"/>
    <w:rsid w:val="00116AF3"/>
    <w:pPr>
      <w:autoSpaceDE w:val="0"/>
      <w:autoSpaceDN w:val="0"/>
      <w:adjustRightInd w:val="0"/>
      <w:spacing w:before="40"/>
      <w:ind w:left="715" w:hanging="6"/>
    </w:pPr>
    <w:rPr>
      <w:rFonts w:eastAsia="Times New Roman" w:cs="Times New Roman"/>
      <w:color w:val="000000"/>
      <w:szCs w:val="24"/>
      <w:lang w:eastAsia="ru-RU"/>
    </w:rPr>
  </w:style>
  <w:style w:type="character" w:customStyle="1" w:styleId="highwire-citation-authors">
    <w:name w:val="highwire-citation-authors"/>
    <w:rsid w:val="00116AF3"/>
  </w:style>
  <w:style w:type="character" w:customStyle="1" w:styleId="nlm-given-names">
    <w:name w:val="nlm-given-names"/>
    <w:rsid w:val="00116AF3"/>
  </w:style>
  <w:style w:type="character" w:customStyle="1" w:styleId="nlm-surname">
    <w:name w:val="nlm-surname"/>
    <w:rsid w:val="00116AF3"/>
  </w:style>
  <w:style w:type="character" w:customStyle="1" w:styleId="highwire-cite-metadata-journal">
    <w:name w:val="highwire-cite-metadata-journal"/>
    <w:rsid w:val="00116AF3"/>
  </w:style>
  <w:style w:type="character" w:customStyle="1" w:styleId="highwire-cite-metadata-date">
    <w:name w:val="highwire-cite-metadata-date"/>
    <w:rsid w:val="00116AF3"/>
  </w:style>
  <w:style w:type="character" w:customStyle="1" w:styleId="highwire-cite-metadata-volume-pages">
    <w:name w:val="highwire-cite-metadata-volume-pages"/>
    <w:rsid w:val="00116AF3"/>
  </w:style>
  <w:style w:type="character" w:customStyle="1" w:styleId="highwire-cite-metadata-doi">
    <w:name w:val="highwire-cite-metadata-doi"/>
    <w:rsid w:val="00116AF3"/>
  </w:style>
  <w:style w:type="character" w:customStyle="1" w:styleId="freeaccess">
    <w:name w:val="freeaccess"/>
    <w:rsid w:val="00116AF3"/>
  </w:style>
  <w:style w:type="character" w:styleId="affffb">
    <w:name w:val="page number"/>
    <w:uiPriority w:val="99"/>
    <w:rsid w:val="00116AF3"/>
  </w:style>
  <w:style w:type="paragraph" w:customStyle="1" w:styleId="35">
    <w:name w:val="Абзац списка3"/>
    <w:basedOn w:val="a1"/>
    <w:rsid w:val="00116AF3"/>
    <w:pPr>
      <w:spacing w:line="240" w:lineRule="auto"/>
      <w:ind w:left="720" w:firstLine="567"/>
    </w:pPr>
    <w:rPr>
      <w:rFonts w:eastAsia="Calibri" w:cs="Times New Roman"/>
      <w:szCs w:val="24"/>
      <w:lang w:eastAsia="ru-RU"/>
    </w:rPr>
  </w:style>
  <w:style w:type="character" w:customStyle="1" w:styleId="WW8Num3z0">
    <w:name w:val="WW8Num3z0"/>
    <w:rsid w:val="00116AF3"/>
    <w:rPr>
      <w:rFonts w:ascii="Symbol" w:hAnsi="Symbol" w:cs="Symbol"/>
    </w:rPr>
  </w:style>
  <w:style w:type="character" w:customStyle="1" w:styleId="WW8Num3z1">
    <w:name w:val="WW8Num3z1"/>
    <w:rsid w:val="00116AF3"/>
    <w:rPr>
      <w:rFonts w:ascii="Courier New" w:hAnsi="Courier New" w:cs="Courier New"/>
    </w:rPr>
  </w:style>
  <w:style w:type="character" w:customStyle="1" w:styleId="WW8Num3z2">
    <w:name w:val="WW8Num3z2"/>
    <w:rsid w:val="00116AF3"/>
    <w:rPr>
      <w:rFonts w:ascii="Wingdings" w:hAnsi="Wingdings" w:cs="Wingdings"/>
    </w:rPr>
  </w:style>
  <w:style w:type="character" w:customStyle="1" w:styleId="WW8Num3z4">
    <w:name w:val="WW8Num3z4"/>
    <w:rsid w:val="00116AF3"/>
    <w:rPr>
      <w:rFonts w:ascii="Courier New" w:hAnsi="Courier New" w:cs="Courier New"/>
    </w:rPr>
  </w:style>
  <w:style w:type="character" w:customStyle="1" w:styleId="WW8Num4z0">
    <w:name w:val="WW8Num4z0"/>
    <w:rsid w:val="00116AF3"/>
    <w:rPr>
      <w:rFonts w:ascii="Symbol" w:hAnsi="Symbol" w:cs="Symbol"/>
    </w:rPr>
  </w:style>
  <w:style w:type="character" w:customStyle="1" w:styleId="WW8Num5z0">
    <w:name w:val="WW8Num5z0"/>
    <w:rsid w:val="00116AF3"/>
    <w:rPr>
      <w:rFonts w:ascii="Calibri" w:hAnsi="Calibri" w:cs="Calibri"/>
    </w:rPr>
  </w:style>
  <w:style w:type="character" w:customStyle="1" w:styleId="WW8Num5z1">
    <w:name w:val="WW8Num5z1"/>
    <w:rsid w:val="00116AF3"/>
    <w:rPr>
      <w:rFonts w:ascii="Calibri" w:hAnsi="Calibri" w:cs="Calibri"/>
    </w:rPr>
  </w:style>
  <w:style w:type="character" w:customStyle="1" w:styleId="WW8Num5z2">
    <w:name w:val="WW8Num5z2"/>
    <w:rsid w:val="00116AF3"/>
    <w:rPr>
      <w:rFonts w:ascii="Wingdings" w:hAnsi="Wingdings" w:cs="Wingdings"/>
    </w:rPr>
  </w:style>
  <w:style w:type="character" w:customStyle="1" w:styleId="WW8Num5z4">
    <w:name w:val="WW8Num5z4"/>
    <w:rsid w:val="00116AF3"/>
    <w:rPr>
      <w:rFonts w:ascii="Courier New" w:hAnsi="Courier New" w:cs="Courier New"/>
    </w:rPr>
  </w:style>
  <w:style w:type="character" w:customStyle="1" w:styleId="WW8Num6z0">
    <w:name w:val="WW8Num6z0"/>
    <w:rsid w:val="00116AF3"/>
    <w:rPr>
      <w:rFonts w:ascii="Gill Sans" w:hAnsi="Gill Sans" w:cs="Gill Sans"/>
      <w:sz w:val="28"/>
      <w:szCs w:val="22"/>
    </w:rPr>
  </w:style>
  <w:style w:type="character" w:customStyle="1" w:styleId="WW8Num6z1">
    <w:name w:val="WW8Num6z1"/>
    <w:rsid w:val="00116AF3"/>
    <w:rPr>
      <w:rFonts w:ascii="Courier New" w:hAnsi="Courier New" w:cs="Courier New"/>
    </w:rPr>
  </w:style>
  <w:style w:type="character" w:customStyle="1" w:styleId="WW8Num6z2">
    <w:name w:val="WW8Num6z2"/>
    <w:rsid w:val="00116AF3"/>
    <w:rPr>
      <w:rFonts w:ascii="Wingdings" w:hAnsi="Wingdings" w:cs="Wingdings"/>
    </w:rPr>
  </w:style>
  <w:style w:type="character" w:customStyle="1" w:styleId="WW8Num7z0">
    <w:name w:val="WW8Num7z0"/>
    <w:rsid w:val="00116AF3"/>
    <w:rPr>
      <w:rFonts w:ascii="Symbol" w:hAnsi="Symbol" w:cs="Symbol"/>
    </w:rPr>
  </w:style>
  <w:style w:type="character" w:customStyle="1" w:styleId="WW8Num7z1">
    <w:name w:val="WW8Num7z1"/>
    <w:rsid w:val="00116AF3"/>
    <w:rPr>
      <w:rFonts w:ascii="Calibri" w:hAnsi="Calibri" w:cs="Calibri"/>
    </w:rPr>
  </w:style>
  <w:style w:type="character" w:customStyle="1" w:styleId="WW8Num8z0">
    <w:name w:val="WW8Num8z0"/>
    <w:rsid w:val="00116AF3"/>
    <w:rPr>
      <w:rFonts w:ascii="Symbol" w:hAnsi="Symbol" w:cs="Symbol"/>
    </w:rPr>
  </w:style>
  <w:style w:type="character" w:customStyle="1" w:styleId="WW8Num9z0">
    <w:name w:val="WW8Num9z0"/>
    <w:rsid w:val="00116AF3"/>
    <w:rPr>
      <w:rFonts w:ascii="Calibri" w:eastAsia="Times New Roman" w:hAnsi="Calibri" w:cs="Times New Roman"/>
    </w:rPr>
  </w:style>
  <w:style w:type="character" w:customStyle="1" w:styleId="WW8Num10z0">
    <w:name w:val="WW8Num10z0"/>
    <w:rsid w:val="00116AF3"/>
    <w:rPr>
      <w:b w:val="0"/>
      <w:i w:val="0"/>
    </w:rPr>
  </w:style>
  <w:style w:type="character" w:customStyle="1" w:styleId="WW8Num11z0">
    <w:name w:val="WW8Num11z0"/>
    <w:rsid w:val="00116AF3"/>
    <w:rPr>
      <w:rFonts w:ascii="Symbol" w:hAnsi="Symbol" w:cs="Symbol"/>
    </w:rPr>
  </w:style>
  <w:style w:type="character" w:customStyle="1" w:styleId="WW8Num12z0">
    <w:name w:val="WW8Num12z0"/>
    <w:rsid w:val="00116AF3"/>
    <w:rPr>
      <w:rFonts w:ascii="Symbol" w:hAnsi="Symbol" w:cs="Symbol"/>
    </w:rPr>
  </w:style>
  <w:style w:type="character" w:customStyle="1" w:styleId="WW8Num13z0">
    <w:name w:val="WW8Num13z0"/>
    <w:rsid w:val="00116AF3"/>
    <w:rPr>
      <w:rFonts w:ascii="Symbol" w:hAnsi="Symbol" w:cs="Symbol"/>
    </w:rPr>
  </w:style>
  <w:style w:type="character" w:customStyle="1" w:styleId="WW8Num14z0">
    <w:name w:val="WW8Num14z0"/>
    <w:rsid w:val="00116AF3"/>
    <w:rPr>
      <w:rFonts w:ascii="Calibri" w:hAnsi="Calibri" w:cs="Calibri"/>
    </w:rPr>
  </w:style>
  <w:style w:type="character" w:customStyle="1" w:styleId="WW8Num15z0">
    <w:name w:val="WW8Num15z0"/>
    <w:rsid w:val="00116AF3"/>
    <w:rPr>
      <w:rFonts w:ascii="Symbol" w:hAnsi="Symbol" w:cs="Symbol"/>
    </w:rPr>
  </w:style>
  <w:style w:type="character" w:customStyle="1" w:styleId="WW8Num16z0">
    <w:name w:val="WW8Num16z0"/>
    <w:rsid w:val="00116AF3"/>
    <w:rPr>
      <w:rFonts w:ascii="Symbol" w:hAnsi="Symbol" w:cs="Symbol"/>
    </w:rPr>
  </w:style>
  <w:style w:type="character" w:customStyle="1" w:styleId="WW8Num17z0">
    <w:name w:val="WW8Num17z0"/>
    <w:rsid w:val="00116AF3"/>
    <w:rPr>
      <w:rFonts w:ascii="Calibri" w:hAnsi="Calibri" w:cs="Calibri"/>
    </w:rPr>
  </w:style>
  <w:style w:type="character" w:customStyle="1" w:styleId="WW8Num18z0">
    <w:name w:val="WW8Num18z0"/>
    <w:rsid w:val="00116AF3"/>
    <w:rPr>
      <w:rFonts w:ascii="Symbol" w:hAnsi="Symbol" w:cs="Symbol"/>
    </w:rPr>
  </w:style>
  <w:style w:type="character" w:customStyle="1" w:styleId="WW8Num19z0">
    <w:name w:val="WW8Num19z0"/>
    <w:rsid w:val="00116AF3"/>
    <w:rPr>
      <w:rFonts w:ascii="Symbol" w:hAnsi="Symbol" w:cs="Symbol"/>
    </w:rPr>
  </w:style>
  <w:style w:type="character" w:customStyle="1" w:styleId="WW8Num20z0">
    <w:name w:val="WW8Num20z0"/>
    <w:rsid w:val="00116AF3"/>
    <w:rPr>
      <w:rFonts w:ascii="Symbol" w:hAnsi="Symbol" w:cs="Symbol"/>
    </w:rPr>
  </w:style>
  <w:style w:type="character" w:customStyle="1" w:styleId="WW8Num21z0">
    <w:name w:val="WW8Num21z0"/>
    <w:rsid w:val="00116AF3"/>
    <w:rPr>
      <w:rFonts w:ascii="Symbol" w:hAnsi="Symbol" w:cs="Symbol"/>
    </w:rPr>
  </w:style>
  <w:style w:type="character" w:customStyle="1" w:styleId="WW8Num22z0">
    <w:name w:val="WW8Num22z0"/>
    <w:rsid w:val="00116AF3"/>
    <w:rPr>
      <w:rFonts w:ascii="Symbol" w:hAnsi="Symbol" w:cs="Symbol"/>
    </w:rPr>
  </w:style>
  <w:style w:type="character" w:customStyle="1" w:styleId="WW8Num23z0">
    <w:name w:val="WW8Num23z0"/>
    <w:rsid w:val="00116AF3"/>
    <w:rPr>
      <w:rFonts w:ascii="Symbol" w:hAnsi="Symbol" w:cs="Symbol"/>
    </w:rPr>
  </w:style>
  <w:style w:type="character" w:customStyle="1" w:styleId="WW8Num24z0">
    <w:name w:val="WW8Num24z0"/>
    <w:rsid w:val="00116AF3"/>
    <w:rPr>
      <w:rFonts w:ascii="Symbol" w:hAnsi="Symbol" w:cs="Symbol"/>
    </w:rPr>
  </w:style>
  <w:style w:type="character" w:customStyle="1" w:styleId="WW8Num25z0">
    <w:name w:val="WW8Num25z0"/>
    <w:rsid w:val="00116AF3"/>
    <w:rPr>
      <w:rFonts w:ascii="Symbol" w:hAnsi="Symbol" w:cs="Symbol"/>
    </w:rPr>
  </w:style>
  <w:style w:type="character" w:customStyle="1" w:styleId="WW8Num26z0">
    <w:name w:val="WW8Num26z0"/>
    <w:rsid w:val="00116AF3"/>
    <w:rPr>
      <w:rFonts w:ascii="Symbol" w:hAnsi="Symbol" w:cs="Symbol"/>
    </w:rPr>
  </w:style>
  <w:style w:type="character" w:customStyle="1" w:styleId="WW8Num27z0">
    <w:name w:val="WW8Num27z0"/>
    <w:rsid w:val="00116AF3"/>
    <w:rPr>
      <w:rFonts w:ascii="Calibri" w:hAnsi="Calibri" w:cs="Calibri"/>
    </w:rPr>
  </w:style>
  <w:style w:type="character" w:customStyle="1" w:styleId="WW8Num27z1">
    <w:name w:val="WW8Num27z1"/>
    <w:rsid w:val="00116AF3"/>
    <w:rPr>
      <w:rFonts w:ascii="Courier New" w:hAnsi="Courier New" w:cs="Courier New"/>
    </w:rPr>
  </w:style>
  <w:style w:type="character" w:customStyle="1" w:styleId="WW8Num27z2">
    <w:name w:val="WW8Num27z2"/>
    <w:rsid w:val="00116AF3"/>
    <w:rPr>
      <w:rFonts w:ascii="Wingdings" w:hAnsi="Wingdings" w:cs="Wingdings"/>
    </w:rPr>
  </w:style>
  <w:style w:type="character" w:customStyle="1" w:styleId="WW8Num27z4">
    <w:name w:val="WW8Num27z4"/>
    <w:rsid w:val="00116AF3"/>
    <w:rPr>
      <w:rFonts w:ascii="Courier New" w:hAnsi="Courier New" w:cs="Courier New"/>
    </w:rPr>
  </w:style>
  <w:style w:type="character" w:customStyle="1" w:styleId="WW8Num28z0">
    <w:name w:val="WW8Num28z0"/>
    <w:rsid w:val="00116AF3"/>
    <w:rPr>
      <w:rFonts w:ascii="Symbol" w:hAnsi="Symbol" w:cs="Symbol"/>
    </w:rPr>
  </w:style>
  <w:style w:type="character" w:customStyle="1" w:styleId="WW8Num29z0">
    <w:name w:val="WW8Num29z0"/>
    <w:rsid w:val="00116AF3"/>
    <w:rPr>
      <w:rFonts w:ascii="Symbol" w:hAnsi="Symbol" w:cs="Symbol"/>
    </w:rPr>
  </w:style>
  <w:style w:type="character" w:customStyle="1" w:styleId="WW8Num30z0">
    <w:name w:val="WW8Num30z0"/>
    <w:rsid w:val="00116AF3"/>
    <w:rPr>
      <w:rFonts w:ascii="Symbol" w:hAnsi="Symbol" w:cs="Symbol"/>
    </w:rPr>
  </w:style>
  <w:style w:type="character" w:customStyle="1" w:styleId="WW8Num31z0">
    <w:name w:val="WW8Num31z0"/>
    <w:rsid w:val="00116AF3"/>
    <w:rPr>
      <w:b w:val="0"/>
      <w:i w:val="0"/>
      <w:kern w:val="1"/>
    </w:rPr>
  </w:style>
  <w:style w:type="character" w:customStyle="1" w:styleId="WW8Num32z0">
    <w:name w:val="WW8Num32z0"/>
    <w:rsid w:val="00116AF3"/>
    <w:rPr>
      <w:rFonts w:ascii="Symbol" w:hAnsi="Symbol" w:cs="Symbol"/>
    </w:rPr>
  </w:style>
  <w:style w:type="character" w:customStyle="1" w:styleId="WW8Num34z0">
    <w:name w:val="WW8Num34z0"/>
    <w:rsid w:val="00116AF3"/>
    <w:rPr>
      <w:rFonts w:ascii="Symbol" w:hAnsi="Symbol" w:cs="Symbol"/>
    </w:rPr>
  </w:style>
  <w:style w:type="character" w:customStyle="1" w:styleId="WW8Num34z1">
    <w:name w:val="WW8Num34z1"/>
    <w:rsid w:val="00116AF3"/>
    <w:rPr>
      <w:rFonts w:ascii="Courier New" w:hAnsi="Courier New" w:cs="Courier New"/>
    </w:rPr>
  </w:style>
  <w:style w:type="character" w:customStyle="1" w:styleId="WW8Num34z2">
    <w:name w:val="WW8Num34z2"/>
    <w:rsid w:val="00116AF3"/>
    <w:rPr>
      <w:rFonts w:ascii="Wingdings" w:hAnsi="Wingdings" w:cs="Wingdings"/>
    </w:rPr>
  </w:style>
  <w:style w:type="character" w:customStyle="1" w:styleId="WW8Num34z4">
    <w:name w:val="WW8Num34z4"/>
    <w:rsid w:val="00116AF3"/>
    <w:rPr>
      <w:rFonts w:ascii="Courier New" w:hAnsi="Courier New" w:cs="Courier New"/>
    </w:rPr>
  </w:style>
  <w:style w:type="character" w:customStyle="1" w:styleId="WW8Num35z0">
    <w:name w:val="WW8Num35z0"/>
    <w:rsid w:val="00116AF3"/>
    <w:rPr>
      <w:rFonts w:ascii="Calibri" w:hAnsi="Calibri" w:cs="Calibri"/>
    </w:rPr>
  </w:style>
  <w:style w:type="character" w:customStyle="1" w:styleId="WW8Num36z0">
    <w:name w:val="WW8Num36z0"/>
    <w:rsid w:val="00116AF3"/>
    <w:rPr>
      <w:rFonts w:ascii="Symbol" w:hAnsi="Symbol" w:cs="Symbol"/>
    </w:rPr>
  </w:style>
  <w:style w:type="character" w:customStyle="1" w:styleId="WW8Num38z0">
    <w:name w:val="WW8Num38z0"/>
    <w:rsid w:val="00116AF3"/>
    <w:rPr>
      <w:rFonts w:ascii="Symbol" w:hAnsi="Symbol" w:cs="Symbol"/>
    </w:rPr>
  </w:style>
  <w:style w:type="character" w:customStyle="1" w:styleId="WW8Num39z0">
    <w:name w:val="WW8Num39z0"/>
    <w:rsid w:val="00116AF3"/>
    <w:rPr>
      <w:rFonts w:ascii="Symbol" w:hAnsi="Symbol" w:cs="Symbol"/>
    </w:rPr>
  </w:style>
  <w:style w:type="character" w:customStyle="1" w:styleId="WW8Num40z0">
    <w:name w:val="WW8Num40z0"/>
    <w:rsid w:val="00116AF3"/>
    <w:rPr>
      <w:rFonts w:ascii="Symbol" w:hAnsi="Symbol" w:cs="Symbol"/>
    </w:rPr>
  </w:style>
  <w:style w:type="character" w:customStyle="1" w:styleId="WW8Num41z0">
    <w:name w:val="WW8Num41z0"/>
    <w:rsid w:val="00116AF3"/>
    <w:rPr>
      <w:rFonts w:ascii="Calibri" w:hAnsi="Calibri" w:cs="Calibri"/>
    </w:rPr>
  </w:style>
  <w:style w:type="character" w:customStyle="1" w:styleId="WW8Num42z0">
    <w:name w:val="WW8Num42z0"/>
    <w:rsid w:val="00116AF3"/>
    <w:rPr>
      <w:rFonts w:ascii="Symbol" w:hAnsi="Symbol" w:cs="Symbol"/>
    </w:rPr>
  </w:style>
  <w:style w:type="character" w:customStyle="1" w:styleId="WW8Num43z0">
    <w:name w:val="WW8Num43z0"/>
    <w:rsid w:val="00116AF3"/>
    <w:rPr>
      <w:rFonts w:ascii="Symbol" w:hAnsi="Symbol" w:cs="Symbol"/>
    </w:rPr>
  </w:style>
  <w:style w:type="character" w:customStyle="1" w:styleId="WW8Num44z0">
    <w:name w:val="WW8Num44z0"/>
    <w:rsid w:val="00116AF3"/>
    <w:rPr>
      <w:rFonts w:ascii="Symbol" w:hAnsi="Symbol" w:cs="Symbol"/>
    </w:rPr>
  </w:style>
  <w:style w:type="character" w:customStyle="1" w:styleId="WW8Num45z0">
    <w:name w:val="WW8Num45z0"/>
    <w:rsid w:val="00116AF3"/>
    <w:rPr>
      <w:rFonts w:ascii="Symbol" w:hAnsi="Symbol" w:cs="Symbol"/>
    </w:rPr>
  </w:style>
  <w:style w:type="character" w:customStyle="1" w:styleId="WW8Num46z0">
    <w:name w:val="WW8Num46z0"/>
    <w:rsid w:val="00116AF3"/>
    <w:rPr>
      <w:rFonts w:ascii="Symbol" w:hAnsi="Symbol" w:cs="Symbol"/>
    </w:rPr>
  </w:style>
  <w:style w:type="character" w:customStyle="1" w:styleId="WW8Num47z0">
    <w:name w:val="WW8Num47z0"/>
    <w:rsid w:val="00116AF3"/>
    <w:rPr>
      <w:rFonts w:ascii="Calibri" w:hAnsi="Calibri" w:cs="Calibri"/>
    </w:rPr>
  </w:style>
  <w:style w:type="character" w:customStyle="1" w:styleId="WW8Num48z0">
    <w:name w:val="WW8Num48z0"/>
    <w:rsid w:val="00116AF3"/>
    <w:rPr>
      <w:rFonts w:ascii="Symbol" w:hAnsi="Symbol" w:cs="Symbol"/>
    </w:rPr>
  </w:style>
  <w:style w:type="character" w:customStyle="1" w:styleId="WW8Num49z0">
    <w:name w:val="WW8Num49z0"/>
    <w:rsid w:val="00116AF3"/>
    <w:rPr>
      <w:rFonts w:ascii="Symbol" w:hAnsi="Symbol" w:cs="Symbol"/>
    </w:rPr>
  </w:style>
  <w:style w:type="character" w:customStyle="1" w:styleId="WW8Num49z1">
    <w:name w:val="WW8Num49z1"/>
    <w:rsid w:val="00116AF3"/>
    <w:rPr>
      <w:rFonts w:ascii="Courier New" w:hAnsi="Courier New" w:cs="Courier New"/>
    </w:rPr>
  </w:style>
  <w:style w:type="character" w:customStyle="1" w:styleId="WW8Num49z2">
    <w:name w:val="WW8Num49z2"/>
    <w:rsid w:val="00116AF3"/>
    <w:rPr>
      <w:rFonts w:ascii="Wingdings" w:hAnsi="Wingdings" w:cs="Wingdings"/>
    </w:rPr>
  </w:style>
  <w:style w:type="character" w:customStyle="1" w:styleId="WW8Num50z0">
    <w:name w:val="WW8Num50z0"/>
    <w:rsid w:val="00116AF3"/>
    <w:rPr>
      <w:rFonts w:ascii="Symbol" w:hAnsi="Symbol" w:cs="Symbol"/>
    </w:rPr>
  </w:style>
  <w:style w:type="character" w:customStyle="1" w:styleId="2a">
    <w:name w:val="Основной шрифт абзаца2"/>
    <w:rsid w:val="00116AF3"/>
  </w:style>
  <w:style w:type="character" w:customStyle="1" w:styleId="WW8Num4z1">
    <w:name w:val="WW8Num4z1"/>
    <w:rsid w:val="00116AF3"/>
    <w:rPr>
      <w:rFonts w:ascii="Courier New" w:hAnsi="Courier New" w:cs="Courier New"/>
      <w:color w:val="000000"/>
    </w:rPr>
  </w:style>
  <w:style w:type="character" w:customStyle="1" w:styleId="WW8Num4z2">
    <w:name w:val="WW8Num4z2"/>
    <w:rsid w:val="00116AF3"/>
    <w:rPr>
      <w:rFonts w:ascii="Wingdings" w:hAnsi="Wingdings" w:cs="Wingdings"/>
    </w:rPr>
  </w:style>
  <w:style w:type="character" w:customStyle="1" w:styleId="WW8Num4z4">
    <w:name w:val="WW8Num4z4"/>
    <w:rsid w:val="00116AF3"/>
    <w:rPr>
      <w:rFonts w:ascii="Courier New" w:hAnsi="Courier New" w:cs="Courier New"/>
    </w:rPr>
  </w:style>
  <w:style w:type="character" w:customStyle="1" w:styleId="WW8Num7z2">
    <w:name w:val="WW8Num7z2"/>
    <w:rsid w:val="00116AF3"/>
    <w:rPr>
      <w:rFonts w:ascii="Wingdings" w:hAnsi="Wingdings" w:cs="Wingdings"/>
    </w:rPr>
  </w:style>
  <w:style w:type="character" w:customStyle="1" w:styleId="WW8Num7z4">
    <w:name w:val="WW8Num7z4"/>
    <w:rsid w:val="00116AF3"/>
    <w:rPr>
      <w:rFonts w:ascii="Courier New" w:hAnsi="Courier New" w:cs="Courier New"/>
    </w:rPr>
  </w:style>
  <w:style w:type="character" w:customStyle="1" w:styleId="WW8Num8z1">
    <w:name w:val="WW8Num8z1"/>
    <w:rsid w:val="00116AF3"/>
    <w:rPr>
      <w:rFonts w:ascii="Courier New" w:hAnsi="Courier New" w:cs="Courier New"/>
    </w:rPr>
  </w:style>
  <w:style w:type="character" w:customStyle="1" w:styleId="WW8Num8z2">
    <w:name w:val="WW8Num8z2"/>
    <w:rsid w:val="00116AF3"/>
    <w:rPr>
      <w:rFonts w:ascii="Wingdings" w:hAnsi="Wingdings" w:cs="Wingdings"/>
    </w:rPr>
  </w:style>
  <w:style w:type="character" w:customStyle="1" w:styleId="WW8Num9z1">
    <w:name w:val="WW8Num9z1"/>
    <w:rsid w:val="00116AF3"/>
    <w:rPr>
      <w:rFonts w:ascii="Symbol" w:hAnsi="Symbol" w:cs="Courier New"/>
    </w:rPr>
  </w:style>
  <w:style w:type="character" w:customStyle="1" w:styleId="WW8Num15z1">
    <w:name w:val="WW8Num15z1"/>
    <w:rsid w:val="00116AF3"/>
    <w:rPr>
      <w:rFonts w:ascii="Courier New" w:hAnsi="Courier New" w:cs="Courier New"/>
    </w:rPr>
  </w:style>
  <w:style w:type="character" w:customStyle="1" w:styleId="WW8Num15z2">
    <w:name w:val="WW8Num15z2"/>
    <w:rsid w:val="00116AF3"/>
    <w:rPr>
      <w:rFonts w:ascii="Wingdings" w:hAnsi="Wingdings" w:cs="Wingdings"/>
    </w:rPr>
  </w:style>
  <w:style w:type="character" w:customStyle="1" w:styleId="WW8Num16z1">
    <w:name w:val="WW8Num16z1"/>
    <w:rsid w:val="00116AF3"/>
    <w:rPr>
      <w:rFonts w:ascii="Courier New" w:hAnsi="Courier New" w:cs="Courier New"/>
    </w:rPr>
  </w:style>
  <w:style w:type="character" w:customStyle="1" w:styleId="WW8Num16z2">
    <w:name w:val="WW8Num16z2"/>
    <w:rsid w:val="00116AF3"/>
    <w:rPr>
      <w:rFonts w:ascii="Wingdings" w:hAnsi="Wingdings" w:cs="Wingdings"/>
    </w:rPr>
  </w:style>
  <w:style w:type="character" w:customStyle="1" w:styleId="WW8Num17z1">
    <w:name w:val="WW8Num17z1"/>
    <w:rsid w:val="00116AF3"/>
    <w:rPr>
      <w:rFonts w:ascii="Courier New" w:hAnsi="Courier New" w:cs="Courier New"/>
    </w:rPr>
  </w:style>
  <w:style w:type="character" w:customStyle="1" w:styleId="WW8Num17z2">
    <w:name w:val="WW8Num17z2"/>
    <w:rsid w:val="00116AF3"/>
    <w:rPr>
      <w:rFonts w:ascii="Wingdings" w:hAnsi="Wingdings" w:cs="Wingdings"/>
    </w:rPr>
  </w:style>
  <w:style w:type="character" w:customStyle="1" w:styleId="WW8Num17z3">
    <w:name w:val="WW8Num17z3"/>
    <w:rsid w:val="00116AF3"/>
    <w:rPr>
      <w:rFonts w:ascii="Symbol" w:hAnsi="Symbol" w:cs="Symbol"/>
    </w:rPr>
  </w:style>
  <w:style w:type="character" w:customStyle="1" w:styleId="WW8Num18z1">
    <w:name w:val="WW8Num18z1"/>
    <w:rsid w:val="00116AF3"/>
    <w:rPr>
      <w:rFonts w:ascii="Courier New" w:hAnsi="Courier New" w:cs="Courier New"/>
    </w:rPr>
  </w:style>
  <w:style w:type="character" w:customStyle="1" w:styleId="WW8Num18z2">
    <w:name w:val="WW8Num18z2"/>
    <w:rsid w:val="00116AF3"/>
    <w:rPr>
      <w:rFonts w:ascii="Wingdings" w:hAnsi="Wingdings" w:cs="Wingdings"/>
    </w:rPr>
  </w:style>
  <w:style w:type="character" w:customStyle="1" w:styleId="WW8Num19z1">
    <w:name w:val="WW8Num19z1"/>
    <w:rsid w:val="00116AF3"/>
    <w:rPr>
      <w:rFonts w:ascii="Courier New" w:hAnsi="Courier New" w:cs="Courier New"/>
    </w:rPr>
  </w:style>
  <w:style w:type="character" w:customStyle="1" w:styleId="WW8Num19z2">
    <w:name w:val="WW8Num19z2"/>
    <w:rsid w:val="00116AF3"/>
    <w:rPr>
      <w:rFonts w:ascii="Wingdings" w:hAnsi="Wingdings" w:cs="Wingdings"/>
    </w:rPr>
  </w:style>
  <w:style w:type="character" w:customStyle="1" w:styleId="WW8Num20z1">
    <w:name w:val="WW8Num20z1"/>
    <w:rsid w:val="00116AF3"/>
    <w:rPr>
      <w:rFonts w:ascii="Courier New" w:hAnsi="Courier New" w:cs="Courier New"/>
    </w:rPr>
  </w:style>
  <w:style w:type="character" w:customStyle="1" w:styleId="WW8Num20z2">
    <w:name w:val="WW8Num20z2"/>
    <w:rsid w:val="00116AF3"/>
    <w:rPr>
      <w:rFonts w:ascii="Wingdings" w:hAnsi="Wingdings" w:cs="Wingdings"/>
    </w:rPr>
  </w:style>
  <w:style w:type="character" w:customStyle="1" w:styleId="WW8Num21z1">
    <w:name w:val="WW8Num21z1"/>
    <w:rsid w:val="00116AF3"/>
    <w:rPr>
      <w:rFonts w:ascii="Courier New" w:hAnsi="Courier New" w:cs="Courier New"/>
    </w:rPr>
  </w:style>
  <w:style w:type="character" w:customStyle="1" w:styleId="WW8Num21z2">
    <w:name w:val="WW8Num21z2"/>
    <w:rsid w:val="00116AF3"/>
    <w:rPr>
      <w:rFonts w:ascii="Wingdings" w:hAnsi="Wingdings" w:cs="Wingdings"/>
    </w:rPr>
  </w:style>
  <w:style w:type="character" w:customStyle="1" w:styleId="WW8Num22z1">
    <w:name w:val="WW8Num22z1"/>
    <w:rsid w:val="00116AF3"/>
    <w:rPr>
      <w:rFonts w:ascii="Courier New" w:hAnsi="Courier New" w:cs="Courier New"/>
    </w:rPr>
  </w:style>
  <w:style w:type="character" w:customStyle="1" w:styleId="WW8Num22z2">
    <w:name w:val="WW8Num22z2"/>
    <w:rsid w:val="00116AF3"/>
    <w:rPr>
      <w:rFonts w:ascii="Wingdings" w:hAnsi="Wingdings" w:cs="Wingdings"/>
    </w:rPr>
  </w:style>
  <w:style w:type="character" w:customStyle="1" w:styleId="WW8Num23z1">
    <w:name w:val="WW8Num23z1"/>
    <w:rsid w:val="00116AF3"/>
    <w:rPr>
      <w:rFonts w:ascii="Courier New" w:hAnsi="Courier New" w:cs="Courier New"/>
    </w:rPr>
  </w:style>
  <w:style w:type="character" w:customStyle="1" w:styleId="WW8Num23z2">
    <w:name w:val="WW8Num23z2"/>
    <w:rsid w:val="00116AF3"/>
    <w:rPr>
      <w:rFonts w:ascii="Wingdings" w:hAnsi="Wingdings" w:cs="Wingdings"/>
    </w:rPr>
  </w:style>
  <w:style w:type="character" w:customStyle="1" w:styleId="WW8Num24z1">
    <w:name w:val="WW8Num24z1"/>
    <w:rsid w:val="00116AF3"/>
    <w:rPr>
      <w:rFonts w:ascii="Courier New" w:hAnsi="Courier New" w:cs="Courier New"/>
    </w:rPr>
  </w:style>
  <w:style w:type="character" w:customStyle="1" w:styleId="WW8Num24z2">
    <w:name w:val="WW8Num24z2"/>
    <w:rsid w:val="00116AF3"/>
    <w:rPr>
      <w:rFonts w:ascii="Wingdings" w:hAnsi="Wingdings" w:cs="Wingdings"/>
    </w:rPr>
  </w:style>
  <w:style w:type="character" w:customStyle="1" w:styleId="WW8Num25z1">
    <w:name w:val="WW8Num25z1"/>
    <w:rsid w:val="00116AF3"/>
    <w:rPr>
      <w:rFonts w:ascii="Courier New" w:hAnsi="Courier New" w:cs="Courier New"/>
    </w:rPr>
  </w:style>
  <w:style w:type="character" w:customStyle="1" w:styleId="WW8Num25z2">
    <w:name w:val="WW8Num25z2"/>
    <w:rsid w:val="00116AF3"/>
    <w:rPr>
      <w:rFonts w:ascii="Wingdings" w:hAnsi="Wingdings" w:cs="Wingdings"/>
    </w:rPr>
  </w:style>
  <w:style w:type="character" w:customStyle="1" w:styleId="WW8Num26z1">
    <w:name w:val="WW8Num26z1"/>
    <w:rsid w:val="00116AF3"/>
    <w:rPr>
      <w:rFonts w:ascii="Courier New" w:hAnsi="Courier New" w:cs="Courier New"/>
    </w:rPr>
  </w:style>
  <w:style w:type="character" w:customStyle="1" w:styleId="WW8Num26z2">
    <w:name w:val="WW8Num26z2"/>
    <w:rsid w:val="00116AF3"/>
    <w:rPr>
      <w:rFonts w:ascii="Wingdings" w:hAnsi="Wingdings" w:cs="Wingdings"/>
    </w:rPr>
  </w:style>
  <w:style w:type="character" w:customStyle="1" w:styleId="WW8Num27z3">
    <w:name w:val="WW8Num27z3"/>
    <w:rsid w:val="00116AF3"/>
    <w:rPr>
      <w:rFonts w:ascii="Symbol" w:hAnsi="Symbol" w:cs="Symbol"/>
    </w:rPr>
  </w:style>
  <w:style w:type="character" w:customStyle="1" w:styleId="WW8Num28z1">
    <w:name w:val="WW8Num28z1"/>
    <w:rsid w:val="00116AF3"/>
    <w:rPr>
      <w:rFonts w:ascii="Courier New" w:hAnsi="Courier New" w:cs="Courier New"/>
    </w:rPr>
  </w:style>
  <w:style w:type="character" w:customStyle="1" w:styleId="WW8Num28z2">
    <w:name w:val="WW8Num28z2"/>
    <w:rsid w:val="00116AF3"/>
    <w:rPr>
      <w:rFonts w:ascii="Wingdings" w:hAnsi="Wingdings" w:cs="Wingdings"/>
    </w:rPr>
  </w:style>
  <w:style w:type="character" w:customStyle="1" w:styleId="WW8Num29z1">
    <w:name w:val="WW8Num29z1"/>
    <w:rsid w:val="00116AF3"/>
    <w:rPr>
      <w:rFonts w:ascii="Courier New" w:hAnsi="Courier New" w:cs="Courier New"/>
    </w:rPr>
  </w:style>
  <w:style w:type="character" w:customStyle="1" w:styleId="WW8Num29z2">
    <w:name w:val="WW8Num29z2"/>
    <w:rsid w:val="00116AF3"/>
    <w:rPr>
      <w:rFonts w:ascii="Wingdings" w:hAnsi="Wingdings" w:cs="Wingdings"/>
    </w:rPr>
  </w:style>
  <w:style w:type="character" w:customStyle="1" w:styleId="WW8Num32z1">
    <w:name w:val="WW8Num32z1"/>
    <w:rsid w:val="00116AF3"/>
    <w:rPr>
      <w:rFonts w:ascii="Calibri" w:hAnsi="Calibri" w:cs="Calibri"/>
    </w:rPr>
  </w:style>
  <w:style w:type="character" w:customStyle="1" w:styleId="WW8Num32z2">
    <w:name w:val="WW8Num32z2"/>
    <w:rsid w:val="00116AF3"/>
    <w:rPr>
      <w:rFonts w:ascii="Wingdings" w:hAnsi="Wingdings" w:cs="Wingdings"/>
    </w:rPr>
  </w:style>
  <w:style w:type="character" w:customStyle="1" w:styleId="WW8Num32z4">
    <w:name w:val="WW8Num32z4"/>
    <w:rsid w:val="00116AF3"/>
    <w:rPr>
      <w:rFonts w:ascii="Courier New" w:hAnsi="Courier New" w:cs="Courier New"/>
    </w:rPr>
  </w:style>
  <w:style w:type="character" w:customStyle="1" w:styleId="WW8Num33z0">
    <w:name w:val="WW8Num33z0"/>
    <w:rsid w:val="00116AF3"/>
    <w:rPr>
      <w:rFonts w:ascii="Symbol" w:hAnsi="Symbol" w:cs="Symbol"/>
    </w:rPr>
  </w:style>
  <w:style w:type="character" w:customStyle="1" w:styleId="WW8Num35z1">
    <w:name w:val="WW8Num35z1"/>
    <w:rsid w:val="00116AF3"/>
    <w:rPr>
      <w:rFonts w:ascii="Courier New" w:hAnsi="Courier New" w:cs="Courier New"/>
    </w:rPr>
  </w:style>
  <w:style w:type="character" w:customStyle="1" w:styleId="WW8Num35z2">
    <w:name w:val="WW8Num35z2"/>
    <w:rsid w:val="00116AF3"/>
    <w:rPr>
      <w:rFonts w:ascii="Wingdings" w:hAnsi="Wingdings" w:cs="Wingdings"/>
    </w:rPr>
  </w:style>
  <w:style w:type="character" w:customStyle="1" w:styleId="WW8Num35z3">
    <w:name w:val="WW8Num35z3"/>
    <w:rsid w:val="00116AF3"/>
    <w:rPr>
      <w:rFonts w:ascii="Symbol" w:hAnsi="Symbol" w:cs="Symbol"/>
    </w:rPr>
  </w:style>
  <w:style w:type="character" w:customStyle="1" w:styleId="WW8Num36z1">
    <w:name w:val="WW8Num36z1"/>
    <w:rsid w:val="00116AF3"/>
    <w:rPr>
      <w:rFonts w:ascii="Courier New" w:hAnsi="Courier New" w:cs="Courier New"/>
    </w:rPr>
  </w:style>
  <w:style w:type="character" w:customStyle="1" w:styleId="WW8Num36z2">
    <w:name w:val="WW8Num36z2"/>
    <w:rsid w:val="00116AF3"/>
    <w:rPr>
      <w:rFonts w:ascii="Wingdings" w:hAnsi="Wingdings" w:cs="Wingdings"/>
    </w:rPr>
  </w:style>
  <w:style w:type="character" w:customStyle="1" w:styleId="WW8Num37z1">
    <w:name w:val="WW8Num37z1"/>
    <w:rsid w:val="00116AF3"/>
    <w:rPr>
      <w:rFonts w:ascii="Courier New" w:hAnsi="Courier New" w:cs="Courier New"/>
    </w:rPr>
  </w:style>
  <w:style w:type="character" w:customStyle="1" w:styleId="WW8Num37z2">
    <w:name w:val="WW8Num37z2"/>
    <w:rsid w:val="00116AF3"/>
    <w:rPr>
      <w:rFonts w:ascii="Wingdings" w:hAnsi="Wingdings" w:cs="Wingdings"/>
    </w:rPr>
  </w:style>
  <w:style w:type="character" w:customStyle="1" w:styleId="WW8Num39z1">
    <w:name w:val="WW8Num39z1"/>
    <w:rsid w:val="00116AF3"/>
    <w:rPr>
      <w:rFonts w:ascii="Calibri" w:hAnsi="Calibri" w:cs="Calibri"/>
    </w:rPr>
  </w:style>
  <w:style w:type="character" w:customStyle="1" w:styleId="WW8Num39z2">
    <w:name w:val="WW8Num39z2"/>
    <w:rsid w:val="00116AF3"/>
    <w:rPr>
      <w:rFonts w:ascii="Wingdings" w:hAnsi="Wingdings" w:cs="Wingdings"/>
    </w:rPr>
  </w:style>
  <w:style w:type="character" w:customStyle="1" w:styleId="WW8Num39z4">
    <w:name w:val="WW8Num39z4"/>
    <w:rsid w:val="00116AF3"/>
    <w:rPr>
      <w:rFonts w:ascii="Courier New" w:hAnsi="Courier New" w:cs="Courier New"/>
    </w:rPr>
  </w:style>
  <w:style w:type="character" w:customStyle="1" w:styleId="WW8Num40z1">
    <w:name w:val="WW8Num40z1"/>
    <w:rsid w:val="00116AF3"/>
    <w:rPr>
      <w:rFonts w:ascii="Courier New" w:hAnsi="Courier New" w:cs="Courier New"/>
    </w:rPr>
  </w:style>
  <w:style w:type="character" w:customStyle="1" w:styleId="WW8Num40z2">
    <w:name w:val="WW8Num40z2"/>
    <w:rsid w:val="00116AF3"/>
    <w:rPr>
      <w:rFonts w:ascii="Wingdings" w:hAnsi="Wingdings" w:cs="Wingdings"/>
    </w:rPr>
  </w:style>
  <w:style w:type="character" w:customStyle="1" w:styleId="WW8Num41z1">
    <w:name w:val="WW8Num41z1"/>
    <w:rsid w:val="00116AF3"/>
    <w:rPr>
      <w:rFonts w:ascii="Courier New" w:hAnsi="Courier New" w:cs="Courier New"/>
    </w:rPr>
  </w:style>
  <w:style w:type="character" w:customStyle="1" w:styleId="WW8Num41z2">
    <w:name w:val="WW8Num41z2"/>
    <w:rsid w:val="00116AF3"/>
    <w:rPr>
      <w:rFonts w:ascii="Wingdings" w:hAnsi="Wingdings" w:cs="Wingdings"/>
    </w:rPr>
  </w:style>
  <w:style w:type="character" w:customStyle="1" w:styleId="WW8Num41z3">
    <w:name w:val="WW8Num41z3"/>
    <w:rsid w:val="00116AF3"/>
    <w:rPr>
      <w:rFonts w:ascii="Symbol" w:hAnsi="Symbol" w:cs="Symbol"/>
    </w:rPr>
  </w:style>
  <w:style w:type="character" w:customStyle="1" w:styleId="WW8Num42z1">
    <w:name w:val="WW8Num42z1"/>
    <w:rsid w:val="00116AF3"/>
    <w:rPr>
      <w:rFonts w:ascii="Courier New" w:hAnsi="Courier New" w:cs="Courier New"/>
    </w:rPr>
  </w:style>
  <w:style w:type="character" w:customStyle="1" w:styleId="WW8Num42z2">
    <w:name w:val="WW8Num42z2"/>
    <w:rsid w:val="00116AF3"/>
    <w:rPr>
      <w:rFonts w:ascii="Wingdings" w:hAnsi="Wingdings" w:cs="Wingdings"/>
    </w:rPr>
  </w:style>
  <w:style w:type="character" w:customStyle="1" w:styleId="WW8Num43z1">
    <w:name w:val="WW8Num43z1"/>
    <w:rsid w:val="00116AF3"/>
    <w:rPr>
      <w:rFonts w:ascii="Courier New" w:hAnsi="Courier New" w:cs="Courier New"/>
    </w:rPr>
  </w:style>
  <w:style w:type="character" w:customStyle="1" w:styleId="WW8Num43z2">
    <w:name w:val="WW8Num43z2"/>
    <w:rsid w:val="00116AF3"/>
    <w:rPr>
      <w:rFonts w:ascii="Wingdings" w:hAnsi="Wingdings" w:cs="Wingdings"/>
    </w:rPr>
  </w:style>
  <w:style w:type="character" w:customStyle="1" w:styleId="WW8Num44z1">
    <w:name w:val="WW8Num44z1"/>
    <w:rsid w:val="00116AF3"/>
    <w:rPr>
      <w:rFonts w:ascii="Courier New" w:hAnsi="Courier New" w:cs="Courier New"/>
    </w:rPr>
  </w:style>
  <w:style w:type="character" w:customStyle="1" w:styleId="WW8Num44z2">
    <w:name w:val="WW8Num44z2"/>
    <w:rsid w:val="00116AF3"/>
    <w:rPr>
      <w:rFonts w:ascii="Wingdings" w:hAnsi="Wingdings" w:cs="Wingdings"/>
    </w:rPr>
  </w:style>
  <w:style w:type="character" w:customStyle="1" w:styleId="WW8Num45z1">
    <w:name w:val="WW8Num45z1"/>
    <w:rsid w:val="00116AF3"/>
    <w:rPr>
      <w:rFonts w:ascii="Courier New" w:hAnsi="Courier New" w:cs="Courier New"/>
    </w:rPr>
  </w:style>
  <w:style w:type="character" w:customStyle="1" w:styleId="WW8Num45z2">
    <w:name w:val="WW8Num45z2"/>
    <w:rsid w:val="00116AF3"/>
    <w:rPr>
      <w:rFonts w:ascii="Wingdings" w:hAnsi="Wingdings" w:cs="Wingdings"/>
    </w:rPr>
  </w:style>
  <w:style w:type="character" w:customStyle="1" w:styleId="WW8Num46z1">
    <w:name w:val="WW8Num46z1"/>
    <w:rsid w:val="00116AF3"/>
    <w:rPr>
      <w:rFonts w:ascii="Courier New" w:hAnsi="Courier New" w:cs="Courier New"/>
    </w:rPr>
  </w:style>
  <w:style w:type="character" w:customStyle="1" w:styleId="WW8Num46z2">
    <w:name w:val="WW8Num46z2"/>
    <w:rsid w:val="00116AF3"/>
    <w:rPr>
      <w:rFonts w:ascii="Wingdings" w:hAnsi="Wingdings" w:cs="Wingdings"/>
    </w:rPr>
  </w:style>
  <w:style w:type="character" w:customStyle="1" w:styleId="WW8Num47z1">
    <w:name w:val="WW8Num47z1"/>
    <w:rsid w:val="00116AF3"/>
    <w:rPr>
      <w:rFonts w:ascii="Courier New" w:hAnsi="Courier New" w:cs="Courier New"/>
    </w:rPr>
  </w:style>
  <w:style w:type="character" w:customStyle="1" w:styleId="WW8Num47z2">
    <w:name w:val="WW8Num47z2"/>
    <w:rsid w:val="00116AF3"/>
    <w:rPr>
      <w:rFonts w:ascii="Wingdings" w:hAnsi="Wingdings" w:cs="Wingdings"/>
    </w:rPr>
  </w:style>
  <w:style w:type="character" w:customStyle="1" w:styleId="WW8Num47z3">
    <w:name w:val="WW8Num47z3"/>
    <w:rsid w:val="00116AF3"/>
    <w:rPr>
      <w:rFonts w:ascii="Symbol" w:hAnsi="Symbol" w:cs="Symbol"/>
    </w:rPr>
  </w:style>
  <w:style w:type="character" w:customStyle="1" w:styleId="WW8Num48z1">
    <w:name w:val="WW8Num48z1"/>
    <w:rsid w:val="00116AF3"/>
    <w:rPr>
      <w:rFonts w:ascii="Courier New" w:hAnsi="Courier New" w:cs="Courier New"/>
    </w:rPr>
  </w:style>
  <w:style w:type="character" w:customStyle="1" w:styleId="WW8Num48z2">
    <w:name w:val="WW8Num48z2"/>
    <w:rsid w:val="00116AF3"/>
    <w:rPr>
      <w:rFonts w:ascii="Wingdings" w:hAnsi="Wingdings" w:cs="Wingdings"/>
    </w:rPr>
  </w:style>
  <w:style w:type="character" w:customStyle="1" w:styleId="WW8Num50z1">
    <w:name w:val="WW8Num50z1"/>
    <w:rsid w:val="00116AF3"/>
    <w:rPr>
      <w:rFonts w:ascii="Courier New" w:hAnsi="Courier New" w:cs="Courier New"/>
    </w:rPr>
  </w:style>
  <w:style w:type="character" w:customStyle="1" w:styleId="WW8Num50z2">
    <w:name w:val="WW8Num50z2"/>
    <w:rsid w:val="00116AF3"/>
    <w:rPr>
      <w:rFonts w:ascii="Wingdings" w:hAnsi="Wingdings" w:cs="Wingdings"/>
    </w:rPr>
  </w:style>
  <w:style w:type="character" w:customStyle="1" w:styleId="WW8Num51z0">
    <w:name w:val="WW8Num51z0"/>
    <w:rsid w:val="00116AF3"/>
    <w:rPr>
      <w:rFonts w:ascii="Symbol" w:hAnsi="Symbol" w:cs="Symbol"/>
    </w:rPr>
  </w:style>
  <w:style w:type="character" w:customStyle="1" w:styleId="WW8Num51z1">
    <w:name w:val="WW8Num51z1"/>
    <w:rsid w:val="00116AF3"/>
    <w:rPr>
      <w:rFonts w:ascii="Courier New" w:hAnsi="Courier New" w:cs="Courier New"/>
    </w:rPr>
  </w:style>
  <w:style w:type="character" w:customStyle="1" w:styleId="WW8Num51z2">
    <w:name w:val="WW8Num51z2"/>
    <w:rsid w:val="00116AF3"/>
    <w:rPr>
      <w:rFonts w:ascii="Wingdings" w:hAnsi="Wingdings" w:cs="Wingdings"/>
    </w:rPr>
  </w:style>
  <w:style w:type="character" w:customStyle="1" w:styleId="WW8Num52z0">
    <w:name w:val="WW8Num52z0"/>
    <w:rsid w:val="00116AF3"/>
    <w:rPr>
      <w:rFonts w:ascii="Symbol" w:hAnsi="Symbol" w:cs="Symbol"/>
    </w:rPr>
  </w:style>
  <w:style w:type="character" w:customStyle="1" w:styleId="WW8Num52z1">
    <w:name w:val="WW8Num52z1"/>
    <w:rsid w:val="00116AF3"/>
    <w:rPr>
      <w:rFonts w:ascii="Courier New" w:hAnsi="Courier New" w:cs="Courier New"/>
    </w:rPr>
  </w:style>
  <w:style w:type="character" w:customStyle="1" w:styleId="WW8Num52z2">
    <w:name w:val="WW8Num52z2"/>
    <w:rsid w:val="00116AF3"/>
    <w:rPr>
      <w:rFonts w:ascii="Wingdings" w:hAnsi="Wingdings" w:cs="Wingdings"/>
    </w:rPr>
  </w:style>
  <w:style w:type="character" w:customStyle="1" w:styleId="WW8Num53z0">
    <w:name w:val="WW8Num53z0"/>
    <w:rsid w:val="00116AF3"/>
    <w:rPr>
      <w:rFonts w:ascii="Symbol" w:hAnsi="Symbol" w:cs="Symbol"/>
    </w:rPr>
  </w:style>
  <w:style w:type="character" w:customStyle="1" w:styleId="WW8Num53z1">
    <w:name w:val="WW8Num53z1"/>
    <w:rsid w:val="00116AF3"/>
    <w:rPr>
      <w:rFonts w:ascii="Courier New" w:hAnsi="Courier New" w:cs="Courier New"/>
    </w:rPr>
  </w:style>
  <w:style w:type="character" w:customStyle="1" w:styleId="WW8Num53z2">
    <w:name w:val="WW8Num53z2"/>
    <w:rsid w:val="00116AF3"/>
    <w:rPr>
      <w:rFonts w:ascii="Wingdings" w:hAnsi="Wingdings" w:cs="Wingdings"/>
    </w:rPr>
  </w:style>
  <w:style w:type="character" w:customStyle="1" w:styleId="WW8Num54z0">
    <w:name w:val="WW8Num54z0"/>
    <w:rsid w:val="00116AF3"/>
    <w:rPr>
      <w:rFonts w:ascii="Symbol" w:hAnsi="Symbol" w:cs="Symbol"/>
    </w:rPr>
  </w:style>
  <w:style w:type="character" w:customStyle="1" w:styleId="WW8Num54z1">
    <w:name w:val="WW8Num54z1"/>
    <w:rsid w:val="00116AF3"/>
    <w:rPr>
      <w:rFonts w:ascii="Courier New" w:hAnsi="Courier New" w:cs="Courier New"/>
    </w:rPr>
  </w:style>
  <w:style w:type="character" w:customStyle="1" w:styleId="WW8Num54z2">
    <w:name w:val="WW8Num54z2"/>
    <w:rsid w:val="00116AF3"/>
    <w:rPr>
      <w:rFonts w:ascii="Wingdings" w:hAnsi="Wingdings" w:cs="Wingdings"/>
    </w:rPr>
  </w:style>
  <w:style w:type="character" w:customStyle="1" w:styleId="1fe">
    <w:name w:val="Основной шрифт абзаца1"/>
    <w:rsid w:val="00116AF3"/>
  </w:style>
  <w:style w:type="character" w:customStyle="1" w:styleId="affffc">
    <w:name w:val="Символ сноски"/>
    <w:rsid w:val="00116AF3"/>
    <w:rPr>
      <w:rFonts w:cs="Times New Roman"/>
      <w:vertAlign w:val="superscript"/>
    </w:rPr>
  </w:style>
  <w:style w:type="character" w:customStyle="1" w:styleId="affffd">
    <w:name w:val="Символы концевой сноски"/>
    <w:rsid w:val="00116AF3"/>
    <w:rPr>
      <w:vertAlign w:val="superscript"/>
    </w:rPr>
  </w:style>
  <w:style w:type="character" w:customStyle="1" w:styleId="affffe">
    <w:name w:val="Маркеры списка"/>
    <w:rsid w:val="00116AF3"/>
    <w:rPr>
      <w:rFonts w:ascii="OpenSymbol" w:eastAsia="OpenSymbol" w:hAnsi="OpenSymbol" w:cs="OpenSymbol"/>
    </w:rPr>
  </w:style>
  <w:style w:type="paragraph" w:customStyle="1" w:styleId="2b">
    <w:name w:val="Название2"/>
    <w:basedOn w:val="a1"/>
    <w:rsid w:val="00116AF3"/>
    <w:pPr>
      <w:suppressLineNumbers/>
      <w:suppressAutoHyphens/>
      <w:spacing w:before="120" w:after="120" w:line="288" w:lineRule="auto"/>
      <w:ind w:firstLine="567"/>
    </w:pPr>
    <w:rPr>
      <w:rFonts w:ascii="Calibri" w:eastAsia="Calibri" w:hAnsi="Calibri" w:cs="Mangal"/>
      <w:i/>
      <w:iCs/>
      <w:szCs w:val="24"/>
      <w:lang w:eastAsia="ar-SA"/>
    </w:rPr>
  </w:style>
  <w:style w:type="paragraph" w:customStyle="1" w:styleId="2c">
    <w:name w:val="Указатель2"/>
    <w:basedOn w:val="a1"/>
    <w:rsid w:val="00116AF3"/>
    <w:pPr>
      <w:suppressLineNumbers/>
      <w:suppressAutoHyphens/>
      <w:spacing w:line="288" w:lineRule="auto"/>
      <w:ind w:firstLine="567"/>
    </w:pPr>
    <w:rPr>
      <w:rFonts w:ascii="Calibri" w:eastAsia="Calibri" w:hAnsi="Calibri" w:cs="Mangal"/>
      <w:sz w:val="22"/>
      <w:lang w:eastAsia="ar-SA"/>
    </w:rPr>
  </w:style>
  <w:style w:type="paragraph" w:customStyle="1" w:styleId="1ff">
    <w:name w:val="Указатель1"/>
    <w:basedOn w:val="a1"/>
    <w:rsid w:val="00116AF3"/>
    <w:pPr>
      <w:suppressLineNumbers/>
      <w:suppressAutoHyphens/>
      <w:spacing w:line="288" w:lineRule="auto"/>
      <w:ind w:firstLine="567"/>
    </w:pPr>
    <w:rPr>
      <w:rFonts w:ascii="Calibri" w:eastAsia="Calibri" w:hAnsi="Calibri" w:cs="Mangal"/>
      <w:sz w:val="22"/>
      <w:lang w:eastAsia="ar-SA"/>
    </w:rPr>
  </w:style>
  <w:style w:type="paragraph" w:customStyle="1" w:styleId="afffff">
    <w:name w:val="Заголовок таблицы"/>
    <w:basedOn w:val="affff4"/>
    <w:rsid w:val="00116AF3"/>
    <w:pPr>
      <w:widowControl w:val="0"/>
      <w:suppressAutoHyphens/>
      <w:spacing w:line="240" w:lineRule="auto"/>
      <w:ind w:firstLine="567"/>
      <w:jc w:val="center"/>
    </w:pPr>
    <w:rPr>
      <w:rFonts w:ascii="Arial" w:eastAsia="Arial Unicode MS" w:hAnsi="Arial" w:cs="Times New Roman"/>
      <w:b/>
      <w:bCs/>
      <w:kern w:val="1"/>
      <w:sz w:val="20"/>
      <w:szCs w:val="24"/>
      <w:lang w:eastAsia="ar-SA"/>
    </w:rPr>
  </w:style>
  <w:style w:type="character" w:customStyle="1" w:styleId="slug-pub-date3">
    <w:name w:val="slug-pub-date3"/>
    <w:rsid w:val="00116AF3"/>
    <w:rPr>
      <w:b/>
      <w:bCs/>
    </w:rPr>
  </w:style>
  <w:style w:type="character" w:customStyle="1" w:styleId="slug-vol">
    <w:name w:val="slug-vol"/>
    <w:rsid w:val="00116AF3"/>
  </w:style>
  <w:style w:type="character" w:customStyle="1" w:styleId="slug-issue">
    <w:name w:val="slug-issue"/>
    <w:rsid w:val="00116AF3"/>
  </w:style>
  <w:style w:type="character" w:customStyle="1" w:styleId="slug-pages3">
    <w:name w:val="slug-pages3"/>
    <w:rsid w:val="00116AF3"/>
    <w:rPr>
      <w:b/>
      <w:bCs/>
    </w:rPr>
  </w:style>
  <w:style w:type="paragraph" w:customStyle="1" w:styleId="LTGliederung1">
    <w:name w:val="???????~LT~Gliederung 1"/>
    <w:rsid w:val="00116AF3"/>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9PalatinoLinotype">
    <w:name w:val="Основной текст (9) + Palatino Linotype"/>
    <w:aliases w:val="7,5 pt"/>
    <w:uiPriority w:val="99"/>
    <w:rsid w:val="00116AF3"/>
    <w:rPr>
      <w:rFonts w:ascii="Palatino Linotype" w:hAnsi="Palatino Linotype" w:cs="Palatino Linotype"/>
      <w:spacing w:val="0"/>
      <w:sz w:val="15"/>
      <w:szCs w:val="15"/>
    </w:rPr>
  </w:style>
  <w:style w:type="table" w:customStyle="1" w:styleId="510">
    <w:name w:val="Таблица простая 51"/>
    <w:basedOn w:val="a5"/>
    <w:uiPriority w:val="45"/>
    <w:rsid w:val="00116AF3"/>
    <w:rPr>
      <w:rFonts w:ascii="Calibri" w:eastAsia="Calibri" w:hAnsi="Calibri" w:cs="Times New Roman"/>
      <w:szCs w:val="20"/>
      <w:lang w:eastAsia="ru-RU"/>
    </w:rPr>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bsatz-Standardschriftart">
    <w:name w:val="Absatz-Standardschriftart"/>
    <w:rsid w:val="00116AF3"/>
  </w:style>
  <w:style w:type="character" w:customStyle="1" w:styleId="WW-Absatz-Standardschriftart">
    <w:name w:val="WW-Absatz-Standardschriftart"/>
    <w:rsid w:val="00116AF3"/>
  </w:style>
  <w:style w:type="paragraph" w:customStyle="1" w:styleId="p1">
    <w:name w:val="p1"/>
    <w:basedOn w:val="a1"/>
    <w:rsid w:val="00116AF3"/>
    <w:pPr>
      <w:spacing w:line="240" w:lineRule="auto"/>
      <w:ind w:firstLine="0"/>
      <w:jc w:val="left"/>
    </w:pPr>
    <w:rPr>
      <w:rFonts w:ascii="Helvetica Neue" w:eastAsia="Calibri" w:hAnsi="Helvetica Neue" w:cs="Times New Roman"/>
      <w:color w:val="000000"/>
      <w:sz w:val="20"/>
      <w:szCs w:val="20"/>
      <w:lang w:eastAsia="ru-RU"/>
    </w:rPr>
  </w:style>
  <w:style w:type="paragraph" w:customStyle="1" w:styleId="ListParagraph1">
    <w:name w:val="List Paragraph1"/>
    <w:basedOn w:val="a1"/>
    <w:rsid w:val="00116AF3"/>
    <w:pPr>
      <w:suppressAutoHyphens/>
      <w:spacing w:after="200" w:line="276" w:lineRule="auto"/>
      <w:ind w:firstLine="0"/>
      <w:jc w:val="left"/>
    </w:pPr>
    <w:rPr>
      <w:rFonts w:ascii="Calibri" w:eastAsia="Calibri" w:hAnsi="Calibri" w:cs="Calibri"/>
      <w:sz w:val="22"/>
      <w:lang w:val="nl-NL" w:eastAsia="ar-SA"/>
    </w:rPr>
  </w:style>
  <w:style w:type="character" w:customStyle="1" w:styleId="Caaieiaie1Ciae">
    <w:name w:val="Caaieiaie 1 Ciae"/>
    <w:uiPriority w:val="99"/>
    <w:rsid w:val="00116AF3"/>
    <w:rPr>
      <w:rFonts w:ascii="Cambria" w:hAnsi="Cambria" w:cs="Cambria"/>
      <w:b/>
      <w:bCs/>
      <w:kern w:val="32"/>
      <w:sz w:val="32"/>
      <w:szCs w:val="32"/>
    </w:rPr>
  </w:style>
  <w:style w:type="character" w:customStyle="1" w:styleId="Caaieiaie2Ciae">
    <w:name w:val="Caaieiaie 2 Ciae"/>
    <w:uiPriority w:val="99"/>
    <w:rsid w:val="00116AF3"/>
    <w:rPr>
      <w:rFonts w:ascii="Cambria" w:hAnsi="Cambria" w:cs="Cambria"/>
      <w:b/>
      <w:bCs/>
      <w:i/>
      <w:iCs/>
      <w:sz w:val="28"/>
      <w:szCs w:val="28"/>
    </w:rPr>
  </w:style>
  <w:style w:type="character" w:customStyle="1" w:styleId="Caaieiaie3Ciae">
    <w:name w:val="Caaieiaie 3 Ciae"/>
    <w:uiPriority w:val="99"/>
    <w:rsid w:val="00116AF3"/>
    <w:rPr>
      <w:rFonts w:ascii="Cambria" w:hAnsi="Cambria" w:cs="Cambria"/>
      <w:b/>
      <w:bCs/>
      <w:sz w:val="26"/>
      <w:szCs w:val="26"/>
    </w:rPr>
  </w:style>
  <w:style w:type="character" w:customStyle="1" w:styleId="Caaieiaie4Ciae">
    <w:name w:val="Caaieiaie 4 Ciae"/>
    <w:uiPriority w:val="99"/>
    <w:rsid w:val="00116AF3"/>
    <w:rPr>
      <w:rFonts w:ascii="Times New Roman" w:hAnsi="Times New Roman" w:cs="Times New Roman"/>
      <w:b/>
      <w:bCs/>
      <w:sz w:val="28"/>
      <w:szCs w:val="28"/>
    </w:rPr>
  </w:style>
  <w:style w:type="character" w:customStyle="1" w:styleId="Caaieiaie5Ciae">
    <w:name w:val="Caaieiaie 5 Ciae"/>
    <w:uiPriority w:val="99"/>
    <w:rsid w:val="00116AF3"/>
    <w:rPr>
      <w:rFonts w:cs="Times New Roman"/>
      <w:b/>
      <w:bCs/>
      <w:i/>
      <w:iCs/>
      <w:sz w:val="26"/>
      <w:szCs w:val="26"/>
    </w:rPr>
  </w:style>
  <w:style w:type="character" w:customStyle="1" w:styleId="Caaieiaie6Ciae">
    <w:name w:val="Caaieiaie 6 Ciae"/>
    <w:uiPriority w:val="99"/>
    <w:rsid w:val="00116AF3"/>
    <w:rPr>
      <w:rFonts w:cs="Times New Roman"/>
      <w:b/>
      <w:bCs/>
    </w:rPr>
  </w:style>
  <w:style w:type="character" w:customStyle="1" w:styleId="Caaieiaie7Ciae">
    <w:name w:val="Caaieiaie 7 Ciae"/>
    <w:uiPriority w:val="99"/>
    <w:rsid w:val="00116AF3"/>
    <w:rPr>
      <w:rFonts w:cs="Times New Roman"/>
      <w:sz w:val="24"/>
      <w:szCs w:val="24"/>
    </w:rPr>
  </w:style>
  <w:style w:type="character" w:customStyle="1" w:styleId="Caaieiaie1Ciae1">
    <w:name w:val="Caaieiaie 1 Ciae1"/>
    <w:uiPriority w:val="99"/>
    <w:rsid w:val="00116AF3"/>
    <w:rPr>
      <w:rFonts w:ascii="Cambria" w:hAnsi="Cambria" w:cs="Cambria"/>
      <w:b/>
      <w:bCs/>
      <w:kern w:val="32"/>
      <w:sz w:val="32"/>
      <w:szCs w:val="32"/>
    </w:rPr>
  </w:style>
  <w:style w:type="character" w:customStyle="1" w:styleId="Caaieiaie2Ciae1">
    <w:name w:val="Caaieiaie 2 Ciae1"/>
    <w:uiPriority w:val="99"/>
    <w:rsid w:val="00116AF3"/>
    <w:rPr>
      <w:rFonts w:ascii="Cambria" w:hAnsi="Cambria" w:cs="Cambria"/>
      <w:b/>
      <w:bCs/>
      <w:i/>
      <w:iCs/>
      <w:sz w:val="28"/>
      <w:szCs w:val="28"/>
    </w:rPr>
  </w:style>
  <w:style w:type="character" w:customStyle="1" w:styleId="Caaieiaie3Ciae1">
    <w:name w:val="Caaieiaie 3 Ciae1"/>
    <w:uiPriority w:val="99"/>
    <w:rsid w:val="00116AF3"/>
    <w:rPr>
      <w:rFonts w:ascii="Cambria" w:hAnsi="Cambria" w:cs="Cambria"/>
      <w:b/>
      <w:bCs/>
      <w:sz w:val="26"/>
      <w:szCs w:val="26"/>
    </w:rPr>
  </w:style>
  <w:style w:type="character" w:customStyle="1" w:styleId="Caaieiaie4Ciae1">
    <w:name w:val="Caaieiaie 4 Ciae1"/>
    <w:uiPriority w:val="99"/>
    <w:rsid w:val="00116AF3"/>
    <w:rPr>
      <w:rFonts w:ascii="Times New Roman" w:hAnsi="Times New Roman" w:cs="Times New Roman"/>
      <w:b/>
      <w:bCs/>
      <w:sz w:val="28"/>
      <w:szCs w:val="28"/>
    </w:rPr>
  </w:style>
  <w:style w:type="character" w:customStyle="1" w:styleId="Caaieiaie5Ciae1">
    <w:name w:val="Caaieiaie 5 Ciae1"/>
    <w:uiPriority w:val="99"/>
    <w:rsid w:val="00116AF3"/>
    <w:rPr>
      <w:rFonts w:cs="Times New Roman"/>
      <w:b/>
      <w:bCs/>
      <w:i/>
      <w:iCs/>
      <w:sz w:val="26"/>
      <w:szCs w:val="26"/>
    </w:rPr>
  </w:style>
  <w:style w:type="character" w:customStyle="1" w:styleId="Caaieiaie6Ciae1">
    <w:name w:val="Caaieiaie 6 Ciae1"/>
    <w:uiPriority w:val="99"/>
    <w:rsid w:val="00116AF3"/>
    <w:rPr>
      <w:rFonts w:cs="Times New Roman"/>
      <w:b/>
      <w:bCs/>
    </w:rPr>
  </w:style>
  <w:style w:type="character" w:customStyle="1" w:styleId="Caaieiaie7Ciae1">
    <w:name w:val="Caaieiaie 7 Ciae1"/>
    <w:uiPriority w:val="99"/>
    <w:rsid w:val="00116AF3"/>
    <w:rPr>
      <w:rFonts w:cs="Times New Roman"/>
      <w:sz w:val="24"/>
      <w:szCs w:val="24"/>
    </w:rPr>
  </w:style>
  <w:style w:type="paragraph" w:customStyle="1" w:styleId="Heading5">
    <w:name w:val="Heading5"/>
    <w:basedOn w:val="a1"/>
    <w:uiPriority w:val="99"/>
    <w:rsid w:val="00116AF3"/>
    <w:pPr>
      <w:autoSpaceDE w:val="0"/>
      <w:autoSpaceDN w:val="0"/>
      <w:adjustRightInd w:val="0"/>
      <w:spacing w:before="100" w:after="100" w:line="240" w:lineRule="auto"/>
      <w:ind w:firstLine="0"/>
      <w:jc w:val="left"/>
    </w:pPr>
    <w:rPr>
      <w:rFonts w:eastAsia="Times New Roman" w:cs="Times New Roman"/>
      <w:b/>
      <w:bCs/>
      <w:i/>
      <w:iCs/>
      <w:szCs w:val="24"/>
      <w:lang w:eastAsia="ru-RU"/>
    </w:rPr>
  </w:style>
  <w:style w:type="paragraph" w:customStyle="1" w:styleId="FitzBullet">
    <w:name w:val="FitzBullet"/>
    <w:basedOn w:val="a1"/>
    <w:uiPriority w:val="99"/>
    <w:rsid w:val="00116AF3"/>
    <w:pPr>
      <w:shd w:val="clear" w:color="auto" w:fill="FFFFFF"/>
      <w:tabs>
        <w:tab w:val="left" w:pos="317"/>
      </w:tabs>
      <w:autoSpaceDE w:val="0"/>
      <w:autoSpaceDN w:val="0"/>
      <w:adjustRightInd w:val="0"/>
      <w:spacing w:before="60" w:after="60" w:line="240" w:lineRule="auto"/>
      <w:ind w:left="283" w:hanging="283"/>
      <w:jc w:val="left"/>
    </w:pPr>
    <w:rPr>
      <w:rFonts w:eastAsia="Times New Roman" w:cs="Times New Roman"/>
      <w:color w:val="000000"/>
      <w:szCs w:val="24"/>
      <w:lang w:eastAsia="ru-RU"/>
    </w:rPr>
  </w:style>
  <w:style w:type="paragraph" w:customStyle="1" w:styleId="Bullet-2">
    <w:name w:val="Bullet-2"/>
    <w:basedOn w:val="FitzBullet"/>
    <w:uiPriority w:val="99"/>
    <w:rsid w:val="00116AF3"/>
    <w:pPr>
      <w:tabs>
        <w:tab w:val="clear" w:pos="317"/>
        <w:tab w:val="left" w:pos="1134"/>
      </w:tabs>
      <w:ind w:left="1417"/>
    </w:pPr>
    <w:rPr>
      <w:lang w:val="en-US"/>
    </w:rPr>
  </w:style>
  <w:style w:type="character" w:customStyle="1" w:styleId="sokr">
    <w:name w:val="sokr"/>
    <w:rsid w:val="00116AF3"/>
  </w:style>
  <w:style w:type="paragraph" w:customStyle="1" w:styleId="opisdvfld">
    <w:name w:val="opis_dvfld"/>
    <w:basedOn w:val="a1"/>
    <w:rsid w:val="00116AF3"/>
    <w:pPr>
      <w:spacing w:before="100" w:beforeAutospacing="1" w:after="100" w:afterAutospacing="1" w:line="240" w:lineRule="auto"/>
      <w:ind w:firstLine="0"/>
      <w:jc w:val="left"/>
    </w:pPr>
    <w:rPr>
      <w:rFonts w:eastAsia="Times New Roman" w:cs="Times New Roman"/>
      <w:szCs w:val="24"/>
      <w:lang w:eastAsia="ru-RU"/>
    </w:rPr>
  </w:style>
  <w:style w:type="paragraph" w:customStyle="1" w:styleId="afffff0">
    <w:name w:val="Литература"/>
    <w:basedOn w:val="a1"/>
    <w:qFormat/>
    <w:rsid w:val="00116AF3"/>
    <w:pPr>
      <w:suppressAutoHyphens/>
      <w:spacing w:after="120" w:line="240" w:lineRule="auto"/>
      <w:ind w:firstLine="0"/>
      <w:jc w:val="left"/>
    </w:pPr>
    <w:rPr>
      <w:rFonts w:eastAsia="Calibri" w:cs="Times New Roman"/>
      <w:i/>
      <w:kern w:val="2"/>
      <w:szCs w:val="24"/>
      <w:lang w:val="en-US"/>
    </w:rPr>
  </w:style>
  <w:style w:type="character" w:customStyle="1" w:styleId="cit">
    <w:name w:val="cit"/>
    <w:basedOn w:val="a4"/>
    <w:rsid w:val="00116AF3"/>
  </w:style>
  <w:style w:type="character" w:customStyle="1" w:styleId="al-author-delim">
    <w:name w:val="al-author-delim"/>
    <w:basedOn w:val="a4"/>
    <w:rsid w:val="00116AF3"/>
  </w:style>
  <w:style w:type="character" w:styleId="afffff1">
    <w:name w:val="line number"/>
    <w:basedOn w:val="a4"/>
    <w:uiPriority w:val="99"/>
    <w:semiHidden/>
    <w:unhideWhenUsed/>
    <w:rsid w:val="00116AF3"/>
  </w:style>
  <w:style w:type="character" w:customStyle="1" w:styleId="author-sup-separator">
    <w:name w:val="author-sup-separator"/>
    <w:rsid w:val="00116AF3"/>
  </w:style>
  <w:style w:type="character" w:customStyle="1" w:styleId="comma">
    <w:name w:val="comma"/>
    <w:rsid w:val="00116AF3"/>
  </w:style>
  <w:style w:type="character" w:customStyle="1" w:styleId="citation-doi">
    <w:name w:val="citation-doi"/>
    <w:rsid w:val="00116AF3"/>
  </w:style>
  <w:style w:type="character" w:customStyle="1" w:styleId="st">
    <w:name w:val="st"/>
    <w:rsid w:val="00116AF3"/>
  </w:style>
  <w:style w:type="character" w:customStyle="1" w:styleId="2d">
    <w:name w:val="Строгий2"/>
    <w:rsid w:val="00116AF3"/>
  </w:style>
  <w:style w:type="paragraph" w:customStyle="1" w:styleId="Autor">
    <w:name w:val="Autor"/>
    <w:basedOn w:val="a1"/>
    <w:rsid w:val="00116AF3"/>
    <w:pPr>
      <w:widowControl w:val="0"/>
      <w:shd w:val="clear" w:color="auto" w:fill="FFFFFF"/>
      <w:overflowPunct w:val="0"/>
      <w:autoSpaceDE w:val="0"/>
      <w:autoSpaceDN w:val="0"/>
      <w:adjustRightInd w:val="0"/>
      <w:spacing w:before="120" w:line="240" w:lineRule="atLeast"/>
      <w:ind w:firstLine="0"/>
      <w:jc w:val="left"/>
      <w:textAlignment w:val="baseline"/>
    </w:pPr>
    <w:rPr>
      <w:rFonts w:eastAsia="Calibri" w:cs="Times New Roman"/>
      <w:i/>
      <w:iCs/>
      <w:sz w:val="22"/>
      <w:lang w:val="en-US" w:eastAsia="ru-RU"/>
    </w:rPr>
  </w:style>
  <w:style w:type="paragraph" w:customStyle="1" w:styleId="table-name">
    <w:name w:val="table-name"/>
    <w:basedOn w:val="a1"/>
    <w:rsid w:val="00116AF3"/>
    <w:pPr>
      <w:autoSpaceDE w:val="0"/>
      <w:autoSpaceDN w:val="0"/>
      <w:adjustRightInd w:val="0"/>
      <w:spacing w:before="40" w:line="240" w:lineRule="auto"/>
      <w:ind w:firstLine="425"/>
      <w:jc w:val="left"/>
    </w:pPr>
    <w:rPr>
      <w:rFonts w:eastAsia="Times New Roman" w:cs="Times New Roman"/>
      <w:b/>
      <w:bCs/>
      <w:color w:val="000000"/>
      <w:sz w:val="20"/>
      <w:szCs w:val="20"/>
      <w:lang w:val="en-US" w:eastAsia="ru-RU"/>
    </w:rPr>
  </w:style>
  <w:style w:type="paragraph" w:customStyle="1" w:styleId="Table-head-italic">
    <w:name w:val="Table-head-italic"/>
    <w:basedOn w:val="a1"/>
    <w:rsid w:val="00116AF3"/>
    <w:pPr>
      <w:widowControl w:val="0"/>
      <w:shd w:val="clear" w:color="auto" w:fill="FFFFFF"/>
      <w:autoSpaceDE w:val="0"/>
      <w:autoSpaceDN w:val="0"/>
      <w:adjustRightInd w:val="0"/>
      <w:spacing w:line="240" w:lineRule="auto"/>
      <w:ind w:firstLine="0"/>
      <w:jc w:val="left"/>
    </w:pPr>
    <w:rPr>
      <w:rFonts w:eastAsia="Times New Roman" w:cs="Times New Roman"/>
      <w:i/>
      <w:iCs/>
      <w:sz w:val="18"/>
      <w:szCs w:val="18"/>
      <w:lang w:val="en-US" w:eastAsia="ru-RU"/>
    </w:rPr>
  </w:style>
  <w:style w:type="paragraph" w:customStyle="1" w:styleId="table-text-0">
    <w:name w:val="table-text-0"/>
    <w:basedOn w:val="a1"/>
    <w:rsid w:val="00116AF3"/>
    <w:pPr>
      <w:autoSpaceDE w:val="0"/>
      <w:autoSpaceDN w:val="0"/>
      <w:adjustRightInd w:val="0"/>
      <w:spacing w:before="40" w:line="240" w:lineRule="auto"/>
      <w:ind w:left="113" w:firstLine="425"/>
      <w:jc w:val="left"/>
    </w:pPr>
    <w:rPr>
      <w:rFonts w:eastAsia="Times New Roman" w:cs="Times New Roman"/>
      <w:sz w:val="20"/>
      <w:szCs w:val="20"/>
      <w:lang w:val="en-US" w:eastAsia="ru-RU"/>
    </w:rPr>
  </w:style>
  <w:style w:type="paragraph" w:customStyle="1" w:styleId="FitzFootnote">
    <w:name w:val="FitzFootnote"/>
    <w:basedOn w:val="a1"/>
    <w:rsid w:val="00116AF3"/>
    <w:pPr>
      <w:shd w:val="clear" w:color="auto" w:fill="FFFFFF"/>
      <w:autoSpaceDE w:val="0"/>
      <w:autoSpaceDN w:val="0"/>
      <w:adjustRightInd w:val="0"/>
      <w:spacing w:before="60" w:after="60" w:line="240" w:lineRule="auto"/>
      <w:ind w:firstLine="0"/>
      <w:jc w:val="left"/>
    </w:pPr>
    <w:rPr>
      <w:rFonts w:eastAsia="Times New Roman" w:cs="Times New Roman"/>
      <w:color w:val="000000"/>
      <w:sz w:val="18"/>
      <w:szCs w:val="18"/>
      <w:lang w:val="en-US" w:eastAsia="ru-RU"/>
    </w:rPr>
  </w:style>
  <w:style w:type="paragraph" w:customStyle="1" w:styleId="table-text-1">
    <w:name w:val="table-text-1"/>
    <w:basedOn w:val="a1"/>
    <w:rsid w:val="00116AF3"/>
    <w:pPr>
      <w:overflowPunct w:val="0"/>
      <w:autoSpaceDE w:val="0"/>
      <w:autoSpaceDN w:val="0"/>
      <w:adjustRightInd w:val="0"/>
      <w:spacing w:before="40" w:after="40" w:line="240" w:lineRule="auto"/>
      <w:ind w:left="340" w:hanging="170"/>
      <w:jc w:val="left"/>
      <w:textAlignment w:val="baseline"/>
    </w:pPr>
    <w:rPr>
      <w:rFonts w:eastAsia="Times New Roman" w:cs="Times New Roman"/>
      <w:color w:val="000000"/>
      <w:sz w:val="17"/>
      <w:szCs w:val="20"/>
      <w:lang w:eastAsia="ru-RU"/>
    </w:rPr>
  </w:style>
  <w:style w:type="paragraph" w:customStyle="1" w:styleId="formula">
    <w:name w:val="formula"/>
    <w:basedOn w:val="a1"/>
    <w:rsid w:val="00116AF3"/>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cs="Times New Roman"/>
      <w:sz w:val="20"/>
      <w:szCs w:val="20"/>
      <w:lang w:eastAsia="ru-RU"/>
    </w:rPr>
  </w:style>
  <w:style w:type="paragraph" w:customStyle="1" w:styleId="1ff0">
    <w:name w:val="Обычный (веб)1"/>
    <w:basedOn w:val="a1"/>
    <w:uiPriority w:val="99"/>
    <w:unhideWhenUsed/>
    <w:qFormat/>
    <w:rsid w:val="00116AF3"/>
    <w:pPr>
      <w:spacing w:beforeAutospacing="1" w:afterAutospacing="1" w:line="288" w:lineRule="auto"/>
      <w:ind w:firstLine="0"/>
      <w:jc w:val="left"/>
    </w:pPr>
    <w:rPr>
      <w:rFonts w:eastAsia="Times New Roman" w:cs="Times New Roman"/>
      <w:szCs w:val="24"/>
      <w:lang w:eastAsia="ru-RU"/>
    </w:rPr>
  </w:style>
  <w:style w:type="character" w:customStyle="1" w:styleId="highlight1">
    <w:name w:val="highlight1"/>
    <w:basedOn w:val="a4"/>
    <w:rsid w:val="00116AF3"/>
  </w:style>
  <w:style w:type="character" w:customStyle="1" w:styleId="element-citation">
    <w:name w:val="element-citation"/>
    <w:basedOn w:val="a4"/>
    <w:rsid w:val="00116AF3"/>
  </w:style>
  <w:style w:type="character" w:customStyle="1" w:styleId="ref-journal">
    <w:name w:val="ref-journal"/>
    <w:basedOn w:val="a4"/>
    <w:rsid w:val="00116AF3"/>
  </w:style>
  <w:style w:type="character" w:customStyle="1" w:styleId="ref-vol">
    <w:name w:val="ref-vol"/>
    <w:basedOn w:val="a4"/>
    <w:rsid w:val="00116AF3"/>
  </w:style>
  <w:style w:type="character" w:customStyle="1" w:styleId="nowrap">
    <w:name w:val="nowrap"/>
    <w:basedOn w:val="a4"/>
    <w:rsid w:val="00116AF3"/>
  </w:style>
  <w:style w:type="paragraph" w:customStyle="1" w:styleId="1ff1">
    <w:name w:val="Заголовок оглавления1"/>
    <w:basedOn w:val="11"/>
    <w:rsid w:val="00116AF3"/>
    <w:pPr>
      <w:suppressAutoHyphens w:val="0"/>
      <w:spacing w:after="120" w:line="276" w:lineRule="auto"/>
      <w:jc w:val="center"/>
    </w:pPr>
    <w:rPr>
      <w:rFonts w:eastAsia="Times New Roman"/>
      <w:sz w:val="22"/>
      <w:szCs w:val="20"/>
      <w:u w:val="none"/>
    </w:rPr>
  </w:style>
  <w:style w:type="paragraph" w:customStyle="1" w:styleId="36">
    <w:name w:val="3"/>
    <w:basedOn w:val="a1"/>
    <w:link w:val="37"/>
    <w:qFormat/>
    <w:rsid w:val="00116AF3"/>
    <w:pPr>
      <w:ind w:left="142" w:firstLine="0"/>
      <w:contextualSpacing/>
    </w:pPr>
    <w:rPr>
      <w:rFonts w:eastAsia="Calibri" w:cs="Times New Roman"/>
    </w:rPr>
  </w:style>
  <w:style w:type="character" w:customStyle="1" w:styleId="37">
    <w:name w:val="3 Знак"/>
    <w:basedOn w:val="a4"/>
    <w:link w:val="36"/>
    <w:rsid w:val="00116AF3"/>
    <w:rPr>
      <w:rFonts w:ascii="Times New Roman" w:eastAsia="Calibri" w:hAnsi="Times New Roman" w:cs="Times New Roman"/>
      <w:sz w:val="24"/>
    </w:rPr>
  </w:style>
  <w:style w:type="paragraph" w:styleId="42">
    <w:name w:val="toc 4"/>
    <w:basedOn w:val="a1"/>
    <w:next w:val="a1"/>
    <w:autoRedefine/>
    <w:uiPriority w:val="39"/>
    <w:unhideWhenUsed/>
    <w:rsid w:val="00116AF3"/>
    <w:pPr>
      <w:ind w:left="720"/>
      <w:jc w:val="left"/>
    </w:pPr>
    <w:rPr>
      <w:rFonts w:asciiTheme="minorHAnsi" w:eastAsia="Calibri" w:hAnsiTheme="minorHAnsi" w:cs="Times New Roman"/>
      <w:sz w:val="20"/>
      <w:szCs w:val="20"/>
    </w:rPr>
  </w:style>
  <w:style w:type="paragraph" w:styleId="52">
    <w:name w:val="toc 5"/>
    <w:basedOn w:val="a1"/>
    <w:next w:val="a1"/>
    <w:autoRedefine/>
    <w:uiPriority w:val="39"/>
    <w:unhideWhenUsed/>
    <w:rsid w:val="00116AF3"/>
    <w:pPr>
      <w:ind w:left="960"/>
      <w:jc w:val="left"/>
    </w:pPr>
    <w:rPr>
      <w:rFonts w:asciiTheme="minorHAnsi" w:eastAsia="Calibri" w:hAnsiTheme="minorHAnsi" w:cs="Times New Roman"/>
      <w:sz w:val="20"/>
      <w:szCs w:val="20"/>
    </w:rPr>
  </w:style>
  <w:style w:type="paragraph" w:styleId="61">
    <w:name w:val="toc 6"/>
    <w:basedOn w:val="a1"/>
    <w:next w:val="a1"/>
    <w:autoRedefine/>
    <w:uiPriority w:val="39"/>
    <w:unhideWhenUsed/>
    <w:rsid w:val="00116AF3"/>
    <w:pPr>
      <w:ind w:left="1200"/>
      <w:jc w:val="left"/>
    </w:pPr>
    <w:rPr>
      <w:rFonts w:asciiTheme="minorHAnsi" w:eastAsia="Calibri" w:hAnsiTheme="minorHAnsi" w:cs="Times New Roman"/>
      <w:sz w:val="20"/>
      <w:szCs w:val="20"/>
    </w:rPr>
  </w:style>
  <w:style w:type="paragraph" w:styleId="72">
    <w:name w:val="toc 7"/>
    <w:basedOn w:val="a1"/>
    <w:next w:val="a1"/>
    <w:autoRedefine/>
    <w:uiPriority w:val="39"/>
    <w:unhideWhenUsed/>
    <w:rsid w:val="00116AF3"/>
    <w:pPr>
      <w:ind w:left="1440"/>
      <w:jc w:val="left"/>
    </w:pPr>
    <w:rPr>
      <w:rFonts w:asciiTheme="minorHAnsi" w:eastAsia="Calibri" w:hAnsiTheme="minorHAnsi" w:cs="Times New Roman"/>
      <w:sz w:val="20"/>
      <w:szCs w:val="20"/>
    </w:rPr>
  </w:style>
  <w:style w:type="paragraph" w:styleId="82">
    <w:name w:val="toc 8"/>
    <w:basedOn w:val="a1"/>
    <w:next w:val="a1"/>
    <w:autoRedefine/>
    <w:uiPriority w:val="39"/>
    <w:unhideWhenUsed/>
    <w:rsid w:val="00116AF3"/>
    <w:pPr>
      <w:ind w:left="1680"/>
      <w:jc w:val="left"/>
    </w:pPr>
    <w:rPr>
      <w:rFonts w:asciiTheme="minorHAnsi" w:eastAsia="Calibri" w:hAnsiTheme="minorHAnsi" w:cs="Times New Roman"/>
      <w:sz w:val="20"/>
      <w:szCs w:val="20"/>
    </w:rPr>
  </w:style>
  <w:style w:type="paragraph" w:styleId="92">
    <w:name w:val="toc 9"/>
    <w:basedOn w:val="a1"/>
    <w:next w:val="a1"/>
    <w:autoRedefine/>
    <w:uiPriority w:val="39"/>
    <w:unhideWhenUsed/>
    <w:rsid w:val="00116AF3"/>
    <w:pPr>
      <w:ind w:left="1920"/>
      <w:jc w:val="left"/>
    </w:pPr>
    <w:rPr>
      <w:rFonts w:asciiTheme="minorHAnsi" w:eastAsia="Calibri" w:hAnsiTheme="minorHAnsi" w:cs="Times New Roman"/>
      <w:sz w:val="20"/>
      <w:szCs w:val="20"/>
    </w:rPr>
  </w:style>
  <w:style w:type="paragraph" w:customStyle="1" w:styleId="table-head-bold">
    <w:name w:val="table-head-bold"/>
    <w:basedOn w:val="a1"/>
    <w:uiPriority w:val="99"/>
    <w:rsid w:val="00116AF3"/>
    <w:pPr>
      <w:autoSpaceDE w:val="0"/>
      <w:autoSpaceDN w:val="0"/>
      <w:adjustRightInd w:val="0"/>
      <w:spacing w:before="40"/>
      <w:ind w:firstLine="0"/>
    </w:pPr>
    <w:rPr>
      <w:rFonts w:eastAsia="Calibri" w:cs="Times New Roman"/>
      <w:b/>
      <w:bCs/>
      <w:sz w:val="20"/>
      <w:szCs w:val="20"/>
      <w:lang w:eastAsia="ru-RU"/>
    </w:rPr>
  </w:style>
  <w:style w:type="paragraph" w:customStyle="1" w:styleId="table-ref">
    <w:name w:val="table-ref"/>
    <w:basedOn w:val="a1"/>
    <w:rsid w:val="00116AF3"/>
    <w:pPr>
      <w:shd w:val="clear" w:color="auto" w:fill="FFFFFF"/>
      <w:tabs>
        <w:tab w:val="left" w:pos="394"/>
      </w:tabs>
      <w:overflowPunct w:val="0"/>
      <w:autoSpaceDE w:val="0"/>
      <w:autoSpaceDN w:val="0"/>
      <w:adjustRightInd w:val="0"/>
      <w:spacing w:before="40" w:after="40"/>
      <w:ind w:left="10" w:firstLine="284"/>
      <w:textAlignment w:val="baseline"/>
    </w:pPr>
    <w:rPr>
      <w:rFonts w:eastAsia="Calibri" w:cs="Times New Roman"/>
      <w:color w:val="000000"/>
      <w:spacing w:val="-5"/>
      <w:sz w:val="15"/>
      <w:szCs w:val="20"/>
      <w:lang w:eastAsia="ru-RU"/>
    </w:rPr>
  </w:style>
  <w:style w:type="paragraph" w:customStyle="1" w:styleId="1ff2">
    <w:name w:val="Обычный1"/>
    <w:rsid w:val="00116AF3"/>
    <w:pPr>
      <w:widowControl w:val="0"/>
      <w:overflowPunct w:val="0"/>
      <w:autoSpaceDE w:val="0"/>
      <w:autoSpaceDN w:val="0"/>
      <w:adjustRightInd w:val="0"/>
      <w:textAlignment w:val="baseline"/>
    </w:pPr>
    <w:rPr>
      <w:rFonts w:ascii="Times New Roman" w:eastAsia="Times New Roman" w:hAnsi="Times New Roman" w:cs="Times New Roman"/>
      <w:szCs w:val="20"/>
      <w:lang w:eastAsia="ru-RU"/>
    </w:rPr>
  </w:style>
  <w:style w:type="paragraph" w:customStyle="1" w:styleId="bullet">
    <w:name w:val="bullet"/>
    <w:rsid w:val="00116AF3"/>
    <w:pPr>
      <w:shd w:val="clear" w:color="auto" w:fill="FFFFFF"/>
      <w:tabs>
        <w:tab w:val="left" w:pos="360"/>
        <w:tab w:val="left" w:pos="394"/>
        <w:tab w:val="left" w:pos="1364"/>
      </w:tabs>
      <w:ind w:firstLine="397"/>
    </w:pPr>
    <w:rPr>
      <w:rFonts w:ascii="Times New Roman" w:eastAsia="Arial Unicode MS" w:hAnsi="Times New Roman" w:cs="Arial Unicode MS"/>
      <w:color w:val="000000"/>
      <w:spacing w:val="-7"/>
      <w:sz w:val="24"/>
      <w:szCs w:val="24"/>
      <w:u w:color="000000"/>
      <w:lang w:eastAsia="ru-RU"/>
    </w:rPr>
  </w:style>
  <w:style w:type="paragraph" w:customStyle="1" w:styleId="Literature">
    <w:name w:val="Literature"/>
    <w:rsid w:val="00116AF3"/>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lang w:eastAsia="ru-RU"/>
    </w:rPr>
  </w:style>
  <w:style w:type="numbering" w:customStyle="1" w:styleId="1">
    <w:name w:val="Импортированный стиль 1"/>
    <w:rsid w:val="00116AF3"/>
    <w:pPr>
      <w:numPr>
        <w:numId w:val="57"/>
      </w:numPr>
    </w:pPr>
  </w:style>
  <w:style w:type="character" w:customStyle="1" w:styleId="html-italic">
    <w:name w:val="html-italic"/>
    <w:basedOn w:val="a4"/>
    <w:rsid w:val="00116AF3"/>
  </w:style>
  <w:style w:type="character" w:customStyle="1" w:styleId="highwire-cite-metadata-volume">
    <w:name w:val="highwire-cite-metadata-volume"/>
    <w:basedOn w:val="a4"/>
    <w:rsid w:val="00116AF3"/>
  </w:style>
  <w:style w:type="character" w:customStyle="1" w:styleId="infolabel">
    <w:name w:val="info_label"/>
    <w:basedOn w:val="a4"/>
    <w:rsid w:val="00116AF3"/>
  </w:style>
  <w:style w:type="character" w:customStyle="1" w:styleId="infovalue">
    <w:name w:val="info_value"/>
    <w:basedOn w:val="a4"/>
    <w:rsid w:val="00116AF3"/>
  </w:style>
  <w:style w:type="paragraph" w:customStyle="1" w:styleId="table-head-left">
    <w:name w:val="table-head-left"/>
    <w:basedOn w:val="a1"/>
    <w:rsid w:val="00116AF3"/>
    <w:pPr>
      <w:widowControl w:val="0"/>
      <w:shd w:val="clear" w:color="auto" w:fill="FFFFFF"/>
      <w:tabs>
        <w:tab w:val="left" w:pos="394"/>
      </w:tabs>
      <w:overflowPunct w:val="0"/>
      <w:autoSpaceDE w:val="0"/>
      <w:autoSpaceDN w:val="0"/>
      <w:adjustRightInd w:val="0"/>
      <w:spacing w:before="40" w:after="40"/>
      <w:ind w:left="57" w:hanging="57"/>
      <w:textAlignment w:val="baseline"/>
    </w:pPr>
    <w:rPr>
      <w:rFonts w:eastAsia="Arial Unicode MS" w:cs="Times New Roman"/>
      <w:color w:val="000000"/>
      <w:spacing w:val="-5"/>
      <w:sz w:val="17"/>
      <w:szCs w:val="20"/>
      <w:lang w:eastAsia="ru-RU"/>
    </w:rPr>
  </w:style>
  <w:style w:type="paragraph" w:customStyle="1" w:styleId="Insert">
    <w:name w:val="Insert"/>
    <w:basedOn w:val="a1"/>
    <w:autoRedefine/>
    <w:rsid w:val="00116AF3"/>
    <w:pPr>
      <w:widowControl w:val="0"/>
      <w:overflowPunct w:val="0"/>
      <w:autoSpaceDE w:val="0"/>
      <w:autoSpaceDN w:val="0"/>
      <w:adjustRightInd w:val="0"/>
      <w:spacing w:line="264" w:lineRule="auto"/>
      <w:ind w:left="397" w:firstLine="425"/>
      <w:jc w:val="left"/>
      <w:textAlignment w:val="baseline"/>
    </w:pPr>
    <w:rPr>
      <w:rFonts w:eastAsia="Times New Roman" w:cs="Times New Roman"/>
      <w:color w:val="000000"/>
      <w:szCs w:val="20"/>
      <w:lang w:val="en-US" w:eastAsia="ru-RU"/>
    </w:rPr>
  </w:style>
  <w:style w:type="paragraph" w:customStyle="1" w:styleId="Number2">
    <w:name w:val="Number2"/>
    <w:basedOn w:val="Number1"/>
    <w:rsid w:val="00116AF3"/>
    <w:pPr>
      <w:spacing w:line="264" w:lineRule="auto"/>
      <w:ind w:left="426" w:hanging="142"/>
    </w:pPr>
  </w:style>
  <w:style w:type="paragraph" w:customStyle="1" w:styleId="figure">
    <w:name w:val="figure"/>
    <w:basedOn w:val="a1"/>
    <w:rsid w:val="00116AF3"/>
    <w:pPr>
      <w:overflowPunct w:val="0"/>
      <w:autoSpaceDE w:val="0"/>
      <w:autoSpaceDN w:val="0"/>
      <w:adjustRightInd w:val="0"/>
      <w:spacing w:before="240" w:after="40" w:line="264" w:lineRule="auto"/>
      <w:ind w:firstLine="425"/>
      <w:jc w:val="left"/>
      <w:textAlignment w:val="baseline"/>
    </w:pPr>
    <w:rPr>
      <w:rFonts w:eastAsia="Times New Roman" w:cs="Times New Roman"/>
      <w:szCs w:val="20"/>
      <w:lang w:eastAsia="ru-RU"/>
    </w:rPr>
  </w:style>
  <w:style w:type="paragraph" w:customStyle="1" w:styleId="author-1">
    <w:name w:val="author-1"/>
    <w:basedOn w:val="Author0"/>
    <w:rsid w:val="00116AF3"/>
    <w:pPr>
      <w:keepNext/>
      <w:keepLines/>
      <w:overflowPunct/>
      <w:spacing w:before="60" w:after="120" w:line="264" w:lineRule="auto"/>
      <w:ind w:firstLine="425"/>
      <w:jc w:val="right"/>
      <w:textAlignment w:val="auto"/>
    </w:pPr>
    <w:rPr>
      <w:b/>
      <w:iCs/>
      <w:noProof/>
      <w:color w:val="000000"/>
      <w:sz w:val="20"/>
      <w:lang w:val="en-US"/>
    </w:rPr>
  </w:style>
  <w:style w:type="paragraph" w:customStyle="1" w:styleId="Insert1">
    <w:name w:val="Insert 1"/>
    <w:basedOn w:val="Insert"/>
    <w:rsid w:val="00116AF3"/>
    <w:pPr>
      <w:ind w:left="0"/>
    </w:pPr>
    <w:rPr>
      <w:sz w:val="20"/>
      <w:lang w:val="ru-RU"/>
    </w:rPr>
  </w:style>
  <w:style w:type="paragraph" w:customStyle="1" w:styleId="Bullit-2">
    <w:name w:val="Bullit-2"/>
    <w:basedOn w:val="a1"/>
    <w:rsid w:val="00116AF3"/>
    <w:pPr>
      <w:tabs>
        <w:tab w:val="left" w:pos="0"/>
        <w:tab w:val="left" w:pos="1160"/>
      </w:tabs>
      <w:autoSpaceDE w:val="0"/>
      <w:autoSpaceDN w:val="0"/>
      <w:adjustRightInd w:val="0"/>
      <w:spacing w:line="264" w:lineRule="auto"/>
      <w:ind w:left="754" w:hanging="357"/>
      <w:jc w:val="left"/>
    </w:pPr>
    <w:rPr>
      <w:rFonts w:eastAsia="MS Mincho" w:cs="Times New Roman"/>
      <w:color w:val="000000"/>
      <w:lang w:val="en-US" w:eastAsia="ja-JP"/>
    </w:rPr>
  </w:style>
  <w:style w:type="character" w:customStyle="1" w:styleId="extended-textshort">
    <w:name w:val="extended-text__short"/>
    <w:basedOn w:val="a4"/>
    <w:rsid w:val="00116AF3"/>
  </w:style>
  <w:style w:type="paragraph" w:customStyle="1" w:styleId="Normalfirst">
    <w:name w:val="Normalfirst"/>
    <w:basedOn w:val="a1"/>
    <w:rsid w:val="00116AF3"/>
    <w:pPr>
      <w:autoSpaceDE w:val="0"/>
      <w:autoSpaceDN w:val="0"/>
      <w:adjustRightInd w:val="0"/>
      <w:spacing w:line="240" w:lineRule="auto"/>
      <w:ind w:firstLine="0"/>
      <w:jc w:val="left"/>
    </w:pPr>
    <w:rPr>
      <w:rFonts w:eastAsia="MS Mincho" w:cs="Times New Roman"/>
      <w:szCs w:val="24"/>
      <w:lang w:eastAsia="ja-JP"/>
    </w:rPr>
  </w:style>
  <w:style w:type="paragraph" w:customStyle="1" w:styleId="xl68">
    <w:name w:val="xl68"/>
    <w:basedOn w:val="a1"/>
    <w:rsid w:val="00116AF3"/>
    <w:pPr>
      <w:spacing w:before="100" w:beforeAutospacing="1" w:after="100" w:afterAutospacing="1" w:line="240" w:lineRule="auto"/>
      <w:ind w:firstLine="0"/>
      <w:jc w:val="left"/>
    </w:pPr>
    <w:rPr>
      <w:rFonts w:eastAsia="Times New Roman" w:cs="Times New Roman"/>
      <w:szCs w:val="24"/>
      <w:lang w:eastAsia="ru-RU"/>
    </w:rPr>
  </w:style>
  <w:style w:type="paragraph" w:customStyle="1" w:styleId="xl69">
    <w:name w:val="xl69"/>
    <w:basedOn w:val="a1"/>
    <w:rsid w:val="00116AF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70">
    <w:name w:val="xl70"/>
    <w:basedOn w:val="a1"/>
    <w:rsid w:val="00116AF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71">
    <w:name w:val="xl71"/>
    <w:basedOn w:val="a1"/>
    <w:rsid w:val="00116AF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65">
    <w:name w:val="xl65"/>
    <w:basedOn w:val="a1"/>
    <w:rsid w:val="00116AF3"/>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Arial" w:eastAsia="Times New Roman" w:hAnsi="Arial" w:cs="Arial"/>
      <w:color w:val="000000"/>
      <w:sz w:val="20"/>
      <w:szCs w:val="20"/>
      <w:lang w:eastAsia="ru-RU"/>
    </w:rPr>
  </w:style>
  <w:style w:type="paragraph" w:customStyle="1" w:styleId="xl66">
    <w:name w:val="xl66"/>
    <w:basedOn w:val="a1"/>
    <w:rsid w:val="00116AF3"/>
    <w:pPr>
      <w:pBdr>
        <w:bottom w:val="single" w:sz="8" w:space="0" w:color="auto"/>
        <w:right w:val="single" w:sz="8" w:space="0" w:color="auto"/>
      </w:pBdr>
      <w:spacing w:before="100" w:beforeAutospacing="1" w:after="100" w:afterAutospacing="1" w:line="240" w:lineRule="auto"/>
      <w:ind w:firstLine="0"/>
      <w:jc w:val="left"/>
      <w:textAlignment w:val="center"/>
    </w:pPr>
    <w:rPr>
      <w:rFonts w:ascii="Arial" w:eastAsia="Times New Roman" w:hAnsi="Arial" w:cs="Arial"/>
      <w:color w:val="000000"/>
      <w:sz w:val="20"/>
      <w:szCs w:val="20"/>
      <w:lang w:eastAsia="ru-RU"/>
    </w:rPr>
  </w:style>
  <w:style w:type="paragraph" w:customStyle="1" w:styleId="xl67">
    <w:name w:val="xl67"/>
    <w:basedOn w:val="a1"/>
    <w:rsid w:val="00116AF3"/>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Arial" w:eastAsia="Times New Roman" w:hAnsi="Arial" w:cs="Arial"/>
      <w:color w:val="000000"/>
      <w:sz w:val="20"/>
      <w:szCs w:val="20"/>
      <w:lang w:eastAsia="ru-RU"/>
    </w:rPr>
  </w:style>
  <w:style w:type="paragraph" w:customStyle="1" w:styleId="Standard">
    <w:name w:val="Standard"/>
    <w:rsid w:val="00116AF3"/>
    <w:pPr>
      <w:suppressAutoHyphens/>
      <w:autoSpaceDN w:val="0"/>
      <w:spacing w:line="264" w:lineRule="auto"/>
      <w:ind w:firstLine="425"/>
      <w:textAlignment w:val="baseline"/>
    </w:pPr>
    <w:rPr>
      <w:rFonts w:ascii="Times New Roman" w:eastAsia="Times New Roman" w:hAnsi="Times New Roman" w:cs="Times New Roman"/>
      <w:kern w:val="3"/>
      <w:sz w:val="24"/>
      <w:szCs w:val="20"/>
      <w:lang w:val="en-GB" w:eastAsia="ru-RU"/>
    </w:rPr>
  </w:style>
  <w:style w:type="character" w:customStyle="1" w:styleId="fontstyle01">
    <w:name w:val="fontstyle01"/>
    <w:rsid w:val="00116AF3"/>
    <w:rPr>
      <w:rFonts w:ascii="TimesNewRomanPS-ItalicMT" w:hAnsi="TimesNewRomanPS-ItalicMT" w:hint="default"/>
      <w:b w:val="0"/>
      <w:bCs w:val="0"/>
      <w:i/>
      <w:iCs/>
      <w:color w:val="FFFFFF"/>
      <w:sz w:val="32"/>
      <w:szCs w:val="32"/>
    </w:rPr>
  </w:style>
  <w:style w:type="character" w:customStyle="1" w:styleId="UnresolvedMention">
    <w:name w:val="Unresolved Mention"/>
    <w:uiPriority w:val="99"/>
    <w:semiHidden/>
    <w:unhideWhenUsed/>
    <w:rsid w:val="00116AF3"/>
    <w:rPr>
      <w:color w:val="605E5C"/>
      <w:shd w:val="clear" w:color="auto" w:fill="E1DFDD"/>
    </w:rPr>
  </w:style>
  <w:style w:type="character" w:customStyle="1" w:styleId="hgkelc">
    <w:name w:val="hgkelc"/>
    <w:basedOn w:val="a4"/>
    <w:rsid w:val="00116A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177352432">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498430371">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620918424">
      <w:bodyDiv w:val="1"/>
      <w:marLeft w:val="0"/>
      <w:marRight w:val="0"/>
      <w:marTop w:val="0"/>
      <w:marBottom w:val="0"/>
      <w:divBdr>
        <w:top w:val="none" w:sz="0" w:space="0" w:color="auto"/>
        <w:left w:val="none" w:sz="0" w:space="0" w:color="auto"/>
        <w:bottom w:val="none" w:sz="0" w:space="0" w:color="auto"/>
        <w:right w:val="none" w:sz="0" w:space="0" w:color="auto"/>
      </w:divBdr>
    </w:div>
    <w:div w:id="696538586">
      <w:bodyDiv w:val="1"/>
      <w:marLeft w:val="0"/>
      <w:marRight w:val="0"/>
      <w:marTop w:val="0"/>
      <w:marBottom w:val="0"/>
      <w:divBdr>
        <w:top w:val="none" w:sz="0" w:space="0" w:color="auto"/>
        <w:left w:val="none" w:sz="0" w:space="0" w:color="auto"/>
        <w:bottom w:val="none" w:sz="0" w:space="0" w:color="auto"/>
        <w:right w:val="none" w:sz="0" w:space="0" w:color="auto"/>
      </w:divBdr>
    </w:div>
    <w:div w:id="738018514">
      <w:bodyDiv w:val="1"/>
      <w:marLeft w:val="0"/>
      <w:marRight w:val="0"/>
      <w:marTop w:val="0"/>
      <w:marBottom w:val="0"/>
      <w:divBdr>
        <w:top w:val="none" w:sz="0" w:space="0" w:color="auto"/>
        <w:left w:val="none" w:sz="0" w:space="0" w:color="auto"/>
        <w:bottom w:val="none" w:sz="0" w:space="0" w:color="auto"/>
        <w:right w:val="none" w:sz="0" w:space="0" w:color="auto"/>
      </w:divBdr>
      <w:divsChild>
        <w:div w:id="1470173246">
          <w:marLeft w:val="0"/>
          <w:marRight w:val="0"/>
          <w:marTop w:val="75"/>
          <w:marBottom w:val="0"/>
          <w:divBdr>
            <w:top w:val="single" w:sz="6" w:space="0" w:color="DDDDDD"/>
            <w:left w:val="single" w:sz="6" w:space="0" w:color="DDDDDD"/>
            <w:bottom w:val="single" w:sz="6" w:space="0" w:color="DDDDDD"/>
            <w:right w:val="single" w:sz="6" w:space="0" w:color="DDDDDD"/>
          </w:divBdr>
          <w:divsChild>
            <w:div w:id="120269589">
              <w:marLeft w:val="0"/>
              <w:marRight w:val="0"/>
              <w:marTop w:val="0"/>
              <w:marBottom w:val="0"/>
              <w:divBdr>
                <w:top w:val="none" w:sz="0" w:space="0" w:color="auto"/>
                <w:left w:val="none" w:sz="0" w:space="0" w:color="auto"/>
                <w:bottom w:val="none" w:sz="0" w:space="0" w:color="auto"/>
                <w:right w:val="none" w:sz="0" w:space="0" w:color="auto"/>
              </w:divBdr>
              <w:divsChild>
                <w:div w:id="478958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63860240">
      <w:bodyDiv w:val="1"/>
      <w:marLeft w:val="0"/>
      <w:marRight w:val="0"/>
      <w:marTop w:val="0"/>
      <w:marBottom w:val="0"/>
      <w:divBdr>
        <w:top w:val="none" w:sz="0" w:space="0" w:color="auto"/>
        <w:left w:val="none" w:sz="0" w:space="0" w:color="auto"/>
        <w:bottom w:val="none" w:sz="0" w:space="0" w:color="auto"/>
        <w:right w:val="none" w:sz="0" w:space="0" w:color="auto"/>
      </w:divBdr>
      <w:divsChild>
        <w:div w:id="2138982396">
          <w:marLeft w:val="0"/>
          <w:marRight w:val="0"/>
          <w:marTop w:val="0"/>
          <w:marBottom w:val="0"/>
          <w:divBdr>
            <w:top w:val="none" w:sz="0" w:space="0" w:color="auto"/>
            <w:left w:val="none" w:sz="0" w:space="0" w:color="auto"/>
            <w:bottom w:val="none" w:sz="0" w:space="0" w:color="auto"/>
            <w:right w:val="none" w:sz="0" w:space="0" w:color="auto"/>
          </w:divBdr>
        </w:div>
        <w:div w:id="613366279">
          <w:marLeft w:val="0"/>
          <w:marRight w:val="0"/>
          <w:marTop w:val="0"/>
          <w:marBottom w:val="0"/>
          <w:divBdr>
            <w:top w:val="none" w:sz="0" w:space="0" w:color="auto"/>
            <w:left w:val="none" w:sz="0" w:space="0" w:color="auto"/>
            <w:bottom w:val="none" w:sz="0" w:space="0" w:color="auto"/>
            <w:right w:val="none" w:sz="0" w:space="0" w:color="auto"/>
          </w:divBdr>
        </w:div>
      </w:divsChild>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977102659">
      <w:bodyDiv w:val="1"/>
      <w:marLeft w:val="0"/>
      <w:marRight w:val="0"/>
      <w:marTop w:val="0"/>
      <w:marBottom w:val="0"/>
      <w:divBdr>
        <w:top w:val="none" w:sz="0" w:space="0" w:color="auto"/>
        <w:left w:val="none" w:sz="0" w:space="0" w:color="auto"/>
        <w:bottom w:val="none" w:sz="0" w:space="0" w:color="auto"/>
        <w:right w:val="none" w:sz="0" w:space="0" w:color="auto"/>
      </w:divBdr>
      <w:divsChild>
        <w:div w:id="1237860671">
          <w:marLeft w:val="0"/>
          <w:marRight w:val="0"/>
          <w:marTop w:val="75"/>
          <w:marBottom w:val="0"/>
          <w:divBdr>
            <w:top w:val="single" w:sz="6" w:space="0" w:color="DDDDDD"/>
            <w:left w:val="single" w:sz="6" w:space="0" w:color="DDDDDD"/>
            <w:bottom w:val="single" w:sz="6" w:space="0" w:color="DDDDDD"/>
            <w:right w:val="single" w:sz="6" w:space="0" w:color="DDDDDD"/>
          </w:divBdr>
          <w:divsChild>
            <w:div w:id="377507640">
              <w:marLeft w:val="0"/>
              <w:marRight w:val="0"/>
              <w:marTop w:val="0"/>
              <w:marBottom w:val="0"/>
              <w:divBdr>
                <w:top w:val="none" w:sz="0" w:space="0" w:color="auto"/>
                <w:left w:val="none" w:sz="0" w:space="0" w:color="auto"/>
                <w:bottom w:val="none" w:sz="0" w:space="0" w:color="auto"/>
                <w:right w:val="none" w:sz="0" w:space="0" w:color="auto"/>
              </w:divBdr>
              <w:divsChild>
                <w:div w:id="212441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298216864">
      <w:bodyDiv w:val="1"/>
      <w:marLeft w:val="0"/>
      <w:marRight w:val="0"/>
      <w:marTop w:val="0"/>
      <w:marBottom w:val="0"/>
      <w:divBdr>
        <w:top w:val="none" w:sz="0" w:space="0" w:color="auto"/>
        <w:left w:val="none" w:sz="0" w:space="0" w:color="auto"/>
        <w:bottom w:val="none" w:sz="0" w:space="0" w:color="auto"/>
        <w:right w:val="none" w:sz="0" w:space="0" w:color="auto"/>
      </w:divBdr>
      <w:divsChild>
        <w:div w:id="1585216080">
          <w:marLeft w:val="0"/>
          <w:marRight w:val="0"/>
          <w:marTop w:val="75"/>
          <w:marBottom w:val="0"/>
          <w:divBdr>
            <w:top w:val="single" w:sz="6" w:space="0" w:color="DDDDDD"/>
            <w:left w:val="single" w:sz="6" w:space="0" w:color="DDDDDD"/>
            <w:bottom w:val="single" w:sz="6" w:space="0" w:color="DDDDDD"/>
            <w:right w:val="single" w:sz="6" w:space="0" w:color="DDDDDD"/>
          </w:divBdr>
          <w:divsChild>
            <w:div w:id="556090649">
              <w:marLeft w:val="0"/>
              <w:marRight w:val="0"/>
              <w:marTop w:val="0"/>
              <w:marBottom w:val="0"/>
              <w:divBdr>
                <w:top w:val="none" w:sz="0" w:space="0" w:color="auto"/>
                <w:left w:val="none" w:sz="0" w:space="0" w:color="auto"/>
                <w:bottom w:val="none" w:sz="0" w:space="0" w:color="auto"/>
                <w:right w:val="none" w:sz="0" w:space="0" w:color="auto"/>
              </w:divBdr>
              <w:divsChild>
                <w:div w:id="127312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523545756">
      <w:bodyDiv w:val="1"/>
      <w:marLeft w:val="0"/>
      <w:marRight w:val="0"/>
      <w:marTop w:val="0"/>
      <w:marBottom w:val="0"/>
      <w:divBdr>
        <w:top w:val="none" w:sz="0" w:space="0" w:color="auto"/>
        <w:left w:val="none" w:sz="0" w:space="0" w:color="auto"/>
        <w:bottom w:val="none" w:sz="0" w:space="0" w:color="auto"/>
        <w:right w:val="none" w:sz="0" w:space="0" w:color="auto"/>
      </w:divBdr>
    </w:div>
    <w:div w:id="1540047668">
      <w:bodyDiv w:val="1"/>
      <w:marLeft w:val="0"/>
      <w:marRight w:val="0"/>
      <w:marTop w:val="0"/>
      <w:marBottom w:val="0"/>
      <w:divBdr>
        <w:top w:val="none" w:sz="0" w:space="0" w:color="auto"/>
        <w:left w:val="none" w:sz="0" w:space="0" w:color="auto"/>
        <w:bottom w:val="none" w:sz="0" w:space="0" w:color="auto"/>
        <w:right w:val="none" w:sz="0" w:space="0" w:color="auto"/>
      </w:divBdr>
    </w:div>
    <w:div w:id="156259278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655642258">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
    <w:div w:id="1793597173">
      <w:bodyDiv w:val="1"/>
      <w:marLeft w:val="0"/>
      <w:marRight w:val="0"/>
      <w:marTop w:val="0"/>
      <w:marBottom w:val="0"/>
      <w:divBdr>
        <w:top w:val="none" w:sz="0" w:space="0" w:color="auto"/>
        <w:left w:val="none" w:sz="0" w:space="0" w:color="auto"/>
        <w:bottom w:val="none" w:sz="0" w:space="0" w:color="auto"/>
        <w:right w:val="none" w:sz="0" w:space="0" w:color="auto"/>
      </w:divBdr>
      <w:divsChild>
        <w:div w:id="1429542335">
          <w:marLeft w:val="0"/>
          <w:marRight w:val="0"/>
          <w:marTop w:val="75"/>
          <w:marBottom w:val="0"/>
          <w:divBdr>
            <w:top w:val="single" w:sz="6" w:space="0" w:color="DDDDDD"/>
            <w:left w:val="single" w:sz="6" w:space="0" w:color="DDDDDD"/>
            <w:bottom w:val="single" w:sz="6" w:space="0" w:color="DDDDDD"/>
            <w:right w:val="single" w:sz="6" w:space="0" w:color="DDDDDD"/>
          </w:divBdr>
          <w:divsChild>
            <w:div w:id="715469710">
              <w:marLeft w:val="0"/>
              <w:marRight w:val="0"/>
              <w:marTop w:val="0"/>
              <w:marBottom w:val="0"/>
              <w:divBdr>
                <w:top w:val="none" w:sz="0" w:space="0" w:color="auto"/>
                <w:left w:val="none" w:sz="0" w:space="0" w:color="auto"/>
                <w:bottom w:val="none" w:sz="0" w:space="0" w:color="auto"/>
                <w:right w:val="none" w:sz="0" w:space="0" w:color="auto"/>
              </w:divBdr>
              <w:divsChild>
                <w:div w:id="166300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1910535266">
      <w:bodyDiv w:val="1"/>
      <w:marLeft w:val="0"/>
      <w:marRight w:val="0"/>
      <w:marTop w:val="0"/>
      <w:marBottom w:val="0"/>
      <w:divBdr>
        <w:top w:val="none" w:sz="0" w:space="0" w:color="auto"/>
        <w:left w:val="none" w:sz="0" w:space="0" w:color="auto"/>
        <w:bottom w:val="none" w:sz="0" w:space="0" w:color="auto"/>
        <w:right w:val="none" w:sz="0" w:space="0" w:color="auto"/>
      </w:divBdr>
      <w:divsChild>
        <w:div w:id="213322858">
          <w:marLeft w:val="0"/>
          <w:marRight w:val="0"/>
          <w:marTop w:val="75"/>
          <w:marBottom w:val="0"/>
          <w:divBdr>
            <w:top w:val="single" w:sz="6" w:space="0" w:color="DDDDDD"/>
            <w:left w:val="single" w:sz="6" w:space="0" w:color="DDDDDD"/>
            <w:bottom w:val="single" w:sz="6" w:space="0" w:color="DDDDDD"/>
            <w:right w:val="single" w:sz="6" w:space="0" w:color="DDDDDD"/>
          </w:divBdr>
          <w:divsChild>
            <w:div w:id="1157305245">
              <w:marLeft w:val="0"/>
              <w:marRight w:val="0"/>
              <w:marTop w:val="0"/>
              <w:marBottom w:val="0"/>
              <w:divBdr>
                <w:top w:val="none" w:sz="0" w:space="0" w:color="auto"/>
                <w:left w:val="none" w:sz="0" w:space="0" w:color="auto"/>
                <w:bottom w:val="none" w:sz="0" w:space="0" w:color="auto"/>
                <w:right w:val="none" w:sz="0" w:space="0" w:color="auto"/>
              </w:divBdr>
              <w:divsChild>
                <w:div w:id="52266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06996554">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 w:id="21419201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file:///C:\images\16_4c8361d1-d506-487d-a862-747975390c86.pn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file:///C:\images\16_526b62fe-288d-4754-b87a-559060e8a065.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BF78D-900E-4BD7-B0A5-D25B048B1E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252650</Words>
  <Characters>1440111</Characters>
  <Application>Microsoft Office Word</Application>
  <DocSecurity>0</DocSecurity>
  <Lines>12000</Lines>
  <Paragraphs>3378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1689383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ФГБУ "ЦЭККМП" Минздрава России</dc:creator>
  <dc:description/>
  <cp:lastModifiedBy>Аль-Ради Любовь Саттаровна</cp:lastModifiedBy>
  <cp:revision>2</cp:revision>
  <cp:lastPrinted>2020-03-28T21:24:00Z</cp:lastPrinted>
  <dcterms:created xsi:type="dcterms:W3CDTF">2021-03-24T11:29:00Z</dcterms:created>
  <dcterms:modified xsi:type="dcterms:W3CDTF">2021-03-24T11:29:00Z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http://csl.mendeley.com/styles/466348871/elsevier-vancouver</vt:lpwstr>
  </property>
  <property fmtid="{D5CDD505-2E9C-101B-9397-08002B2CF9AE}" pid="20" name="Mendeley Recent Style Name 5_1">
    <vt:lpwstr>Elsevier - Vancouver - Vitaly Latyshev</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