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0E35067" w14:textId="504CBF40" w:rsidR="000C7098" w:rsidRPr="00062B4F" w:rsidRDefault="00666D47" w:rsidP="00DF0A2A">
      <w:pPr>
        <w:rPr>
          <w:sz w:val="28"/>
          <w:szCs w:val="28"/>
        </w:rPr>
      </w:pPr>
      <w:r w:rsidRPr="00062B4F">
        <w:rPr>
          <w:noProof/>
          <w:lang w:eastAsia="ru-RU"/>
        </w:rPr>
        <mc:AlternateContent>
          <mc:Choice Requires="wps">
            <w:drawing>
              <wp:anchor distT="0" distB="0" distL="114300" distR="114300" simplePos="0" relativeHeight="251658752" behindDoc="1" locked="0" layoutInCell="1" allowOverlap="1" wp14:anchorId="0E4A03B4" wp14:editId="53A5AAA3">
                <wp:simplePos x="0" y="0"/>
                <wp:positionH relativeFrom="page">
                  <wp:align>center</wp:align>
                </wp:positionH>
                <wp:positionV relativeFrom="paragraph">
                  <wp:posOffset>-342900</wp:posOffset>
                </wp:positionV>
                <wp:extent cx="6657340" cy="9829800"/>
                <wp:effectExtent l="0" t="0" r="0" b="0"/>
                <wp:wrapNone/>
                <wp:docPr id="2"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7340" cy="982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85FB16" w14:textId="77777777" w:rsidR="00DF32E4" w:rsidRDefault="00DF32E4" w:rsidP="009D69AD">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4A03B4" id="Прямоугольник 5" o:spid="_x0000_s1026" style="position:absolute;left:0;text-align:left;margin-left:0;margin-top:-27pt;width:524.2pt;height:77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" stroked="f">
                <v:path arrowok="t"/>
                <v:textbox>
                  <w:txbxContent>
                    <w:p w14:paraId="0C85FB16" w14:textId="77777777" w:rsidR="00DF32E4" w:rsidRDefault="00DF32E4" w:rsidP="009D69AD">
                      <w:pPr>
                        <w:jc w:val="center"/>
                      </w:pPr>
                    </w:p>
                  </w:txbxContent>
                </v:textbox>
                <w10:wrap anchorx="page"/>
              </v:rect>
            </w:pict>
          </mc:Fallback>
        </mc:AlternateContent>
      </w:r>
      <w:r w:rsidRPr="00062B4F">
        <w:rPr>
          <w:noProof/>
          <w:lang w:eastAsia="ru-RU"/>
        </w:rPr>
        <mc:AlternateContent>
          <mc:Choice Requires="wps">
            <w:drawing>
              <wp:anchor distT="0" distB="0" distL="114300" distR="114300" simplePos="0" relativeHeight="251657728" behindDoc="1" locked="0" layoutInCell="1" allowOverlap="1" wp14:anchorId="7883AA03" wp14:editId="6E1E2854">
                <wp:simplePos x="0" y="0"/>
                <wp:positionH relativeFrom="page">
                  <wp:posOffset>-52705</wp:posOffset>
                </wp:positionH>
                <wp:positionV relativeFrom="paragraph">
                  <wp:posOffset>-1053465</wp:posOffset>
                </wp:positionV>
                <wp:extent cx="7601585" cy="11021060"/>
                <wp:effectExtent l="4445" t="5715" r="4445" b="3175"/>
                <wp:wrapNone/>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1585" cy="11021060"/>
                        </a:xfrm>
                        <a:prstGeom prst="rect">
                          <a:avLst/>
                        </a:prstGeom>
                        <a:solidFill>
                          <a:srgbClr val="0B595D">
                            <a:alpha val="10196"/>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BCDB7" id="Прямоугольник 3" o:spid="_x0000_s1026" style="position:absolute;margin-left:-4.15pt;margin-top:-82.95pt;width:598.55pt;height:867.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" fillcolor="#0b595d" stroked="f" strokeweight="1pt">
                <v:fill opacity="6682f"/>
                <v:path arrowok="t"/>
                <w10:wrap anchorx="page"/>
              </v:rect>
            </w:pict>
          </mc:Fallback>
        </mc:AlternateContent>
      </w:r>
    </w:p>
    <w:tbl>
      <w:tblPr>
        <w:tblpPr w:leftFromText="180" w:rightFromText="180" w:vertAnchor="text" w:horzAnchor="margin" w:tblpY="1202"/>
        <w:tblOverlap w:val="never"/>
        <w:tblW w:w="8806" w:type="dxa"/>
        <w:tblLook w:val="00A0" w:firstRow="1" w:lastRow="0" w:firstColumn="1" w:lastColumn="0" w:noHBand="0" w:noVBand="0"/>
      </w:tblPr>
      <w:tblGrid>
        <w:gridCol w:w="4673"/>
        <w:gridCol w:w="4133"/>
      </w:tblGrid>
      <w:tr w:rsidR="009D69AD" w:rsidRPr="007708B4" w14:paraId="6EA0D125" w14:textId="77777777" w:rsidTr="00654E12">
        <w:trPr>
          <w:trHeight w:val="1257"/>
        </w:trPr>
        <w:tc>
          <w:tcPr>
            <w:tcW w:w="8806" w:type="dxa"/>
            <w:gridSpan w:val="2"/>
          </w:tcPr>
          <w:p w14:paraId="14D8ED84" w14:textId="77777777" w:rsidR="009D69AD" w:rsidRDefault="009D69AD" w:rsidP="00654E12">
            <w:pPr>
              <w:tabs>
                <w:tab w:val="left" w:pos="6135"/>
              </w:tabs>
              <w:ind w:firstLine="0"/>
              <w:jc w:val="center"/>
              <w:rPr>
                <w:b/>
                <w:bCs/>
                <w:noProof/>
                <w:color w:val="808080"/>
              </w:rPr>
            </w:pPr>
            <w:r w:rsidRPr="007708B4">
              <w:rPr>
                <w:b/>
                <w:bCs/>
                <w:color w:val="808080"/>
              </w:rPr>
              <w:t xml:space="preserve">Клинические </w:t>
            </w:r>
            <w:r w:rsidRPr="007708B4">
              <w:rPr>
                <w:b/>
                <w:bCs/>
                <w:noProof/>
                <w:color w:val="808080"/>
              </w:rPr>
              <w:t>рекомендации</w:t>
            </w:r>
          </w:p>
          <w:p w14:paraId="4C1F7A3A" w14:textId="2537395E" w:rsidR="009D69AD" w:rsidRPr="009D69AD" w:rsidRDefault="009D69AD" w:rsidP="00654E12">
            <w:pPr>
              <w:tabs>
                <w:tab w:val="left" w:pos="6135"/>
              </w:tabs>
              <w:ind w:firstLine="0"/>
              <w:jc w:val="center"/>
              <w:rPr>
                <w:b/>
                <w:bCs/>
                <w:color w:val="808080"/>
              </w:rPr>
            </w:pPr>
            <w:r w:rsidRPr="00F812ED">
              <w:rPr>
                <w:b/>
                <w:sz w:val="44"/>
                <w:szCs w:val="44"/>
              </w:rPr>
              <w:t>Хронический миело</w:t>
            </w:r>
            <w:r w:rsidR="003B612C">
              <w:rPr>
                <w:b/>
                <w:sz w:val="44"/>
                <w:szCs w:val="44"/>
              </w:rPr>
              <w:t xml:space="preserve">идный </w:t>
            </w:r>
            <w:r w:rsidRPr="00F812ED">
              <w:rPr>
                <w:b/>
                <w:sz w:val="44"/>
                <w:szCs w:val="44"/>
              </w:rPr>
              <w:t>лейкоз</w:t>
            </w:r>
          </w:p>
        </w:tc>
      </w:tr>
      <w:tr w:rsidR="009D69AD" w:rsidRPr="007708B4" w14:paraId="26284430" w14:textId="77777777" w:rsidTr="00654E12">
        <w:trPr>
          <w:trHeight w:val="1249"/>
        </w:trPr>
        <w:tc>
          <w:tcPr>
            <w:tcW w:w="4673" w:type="dxa"/>
          </w:tcPr>
          <w:p w14:paraId="2A845C9F" w14:textId="77777777" w:rsidR="009D69AD" w:rsidRPr="007708B4" w:rsidRDefault="009D69AD" w:rsidP="00654E12">
            <w:pPr>
              <w:pStyle w:val="aff4"/>
              <w:spacing w:line="360" w:lineRule="auto"/>
              <w:ind w:firstLine="0"/>
              <w:jc w:val="right"/>
              <w:rPr>
                <w:color w:val="808080"/>
                <w:sz w:val="24"/>
                <w:szCs w:val="24"/>
              </w:rPr>
            </w:pPr>
            <w:r w:rsidRPr="007708B4">
              <w:rPr>
                <w:color w:val="808080"/>
                <w:sz w:val="24"/>
                <w:szCs w:val="24"/>
              </w:rPr>
              <w:t>Кодирование по Международной статистической классификации болезней и проблем, связанных со здоровьем:</w:t>
            </w:r>
          </w:p>
        </w:tc>
        <w:tc>
          <w:tcPr>
            <w:tcW w:w="4133" w:type="dxa"/>
          </w:tcPr>
          <w:p w14:paraId="32E2140F" w14:textId="77777777" w:rsidR="009D69AD" w:rsidRPr="007708B4" w:rsidRDefault="009D69AD" w:rsidP="00654E12">
            <w:pPr>
              <w:tabs>
                <w:tab w:val="left" w:pos="6135"/>
              </w:tabs>
              <w:ind w:firstLine="0"/>
              <w:jc w:val="left"/>
            </w:pPr>
            <w:r w:rsidRPr="006E3640">
              <w:rPr>
                <w:color w:val="000000"/>
                <w:szCs w:val="28"/>
              </w:rPr>
              <w:t>С92.1</w:t>
            </w:r>
          </w:p>
        </w:tc>
      </w:tr>
      <w:tr w:rsidR="009D69AD" w:rsidRPr="007708B4" w14:paraId="28F9EA45" w14:textId="77777777" w:rsidTr="00654E12">
        <w:trPr>
          <w:trHeight w:val="357"/>
        </w:trPr>
        <w:tc>
          <w:tcPr>
            <w:tcW w:w="4673" w:type="dxa"/>
          </w:tcPr>
          <w:p w14:paraId="71CCBCE0" w14:textId="77777777" w:rsidR="009D69AD" w:rsidRPr="007708B4" w:rsidRDefault="009D69AD" w:rsidP="00654E12">
            <w:pPr>
              <w:tabs>
                <w:tab w:val="left" w:pos="6135"/>
              </w:tabs>
              <w:ind w:firstLine="0"/>
              <w:jc w:val="right"/>
              <w:rPr>
                <w:color w:val="808080"/>
              </w:rPr>
            </w:pPr>
            <w:r w:rsidRPr="007708B4">
              <w:rPr>
                <w:rStyle w:val="pop-slug-vol"/>
                <w:color w:val="808080"/>
              </w:rPr>
              <w:t>Возрастная группа:</w:t>
            </w:r>
            <w:r w:rsidRPr="007708B4">
              <w:rPr>
                <w:color w:val="808080"/>
              </w:rPr>
              <w:t xml:space="preserve"> </w:t>
            </w:r>
          </w:p>
        </w:tc>
        <w:tc>
          <w:tcPr>
            <w:tcW w:w="4133" w:type="dxa"/>
          </w:tcPr>
          <w:p w14:paraId="5676DC9A" w14:textId="77777777" w:rsidR="009D69AD" w:rsidRPr="007708B4" w:rsidRDefault="009D69AD" w:rsidP="00654E12">
            <w:pPr>
              <w:tabs>
                <w:tab w:val="left" w:pos="6135"/>
              </w:tabs>
              <w:ind w:firstLine="0"/>
              <w:jc w:val="left"/>
            </w:pPr>
            <w:r w:rsidRPr="007708B4">
              <w:rPr>
                <w:rStyle w:val="pop-slug-vol"/>
              </w:rPr>
              <w:t>взрослые</w:t>
            </w:r>
          </w:p>
        </w:tc>
      </w:tr>
      <w:tr w:rsidR="009D69AD" w:rsidRPr="007708B4" w14:paraId="17737123" w14:textId="77777777" w:rsidTr="00654E12">
        <w:trPr>
          <w:trHeight w:val="310"/>
        </w:trPr>
        <w:tc>
          <w:tcPr>
            <w:tcW w:w="4673" w:type="dxa"/>
          </w:tcPr>
          <w:p w14:paraId="169D293E" w14:textId="77777777" w:rsidR="009D69AD" w:rsidRPr="007708B4" w:rsidRDefault="009D69AD" w:rsidP="00654E12">
            <w:pPr>
              <w:tabs>
                <w:tab w:val="left" w:pos="6135"/>
              </w:tabs>
              <w:ind w:firstLine="0"/>
              <w:jc w:val="right"/>
              <w:rPr>
                <w:color w:val="808080"/>
              </w:rPr>
            </w:pPr>
            <w:r w:rsidRPr="007708B4">
              <w:rPr>
                <w:color w:val="808080"/>
              </w:rPr>
              <w:t>Год утверждения:</w:t>
            </w:r>
          </w:p>
        </w:tc>
        <w:tc>
          <w:tcPr>
            <w:tcW w:w="4133" w:type="dxa"/>
          </w:tcPr>
          <w:p w14:paraId="2643F0A3" w14:textId="1966604C" w:rsidR="009D69AD" w:rsidRPr="007708B4" w:rsidRDefault="009D69AD" w:rsidP="00E51391">
            <w:pPr>
              <w:tabs>
                <w:tab w:val="left" w:pos="6135"/>
              </w:tabs>
              <w:ind w:firstLine="0"/>
              <w:jc w:val="left"/>
            </w:pPr>
          </w:p>
        </w:tc>
      </w:tr>
      <w:tr w:rsidR="009D69AD" w:rsidRPr="007708B4" w14:paraId="1019AF82" w14:textId="77777777" w:rsidTr="00654E12">
        <w:trPr>
          <w:trHeight w:val="402"/>
        </w:trPr>
        <w:tc>
          <w:tcPr>
            <w:tcW w:w="8806" w:type="dxa"/>
            <w:gridSpan w:val="2"/>
          </w:tcPr>
          <w:p w14:paraId="42C80FFA" w14:textId="50EE809C" w:rsidR="009D69AD" w:rsidRPr="007708B4" w:rsidRDefault="009D69AD" w:rsidP="00654E12">
            <w:pPr>
              <w:tabs>
                <w:tab w:val="left" w:pos="6135"/>
              </w:tabs>
              <w:ind w:firstLine="0"/>
              <w:rPr>
                <w:color w:val="808080"/>
              </w:rPr>
            </w:pPr>
            <w:r w:rsidRPr="007708B4">
              <w:rPr>
                <w:color w:val="808080"/>
              </w:rPr>
              <w:t>Разработчик</w:t>
            </w:r>
            <w:r>
              <w:rPr>
                <w:color w:val="808080"/>
              </w:rPr>
              <w:t>и</w:t>
            </w:r>
            <w:r w:rsidRPr="007708B4">
              <w:rPr>
                <w:color w:val="808080"/>
              </w:rPr>
              <w:t xml:space="preserve"> клиническ</w:t>
            </w:r>
            <w:r>
              <w:rPr>
                <w:color w:val="808080"/>
              </w:rPr>
              <w:t>их</w:t>
            </w:r>
            <w:r w:rsidRPr="007708B4">
              <w:rPr>
                <w:color w:val="808080"/>
              </w:rPr>
              <w:t xml:space="preserve"> рекомендаци</w:t>
            </w:r>
            <w:r>
              <w:rPr>
                <w:color w:val="808080"/>
              </w:rPr>
              <w:t>й</w:t>
            </w:r>
            <w:r w:rsidRPr="007708B4">
              <w:rPr>
                <w:color w:val="808080"/>
              </w:rPr>
              <w:t xml:space="preserve">: </w:t>
            </w:r>
          </w:p>
        </w:tc>
      </w:tr>
      <w:tr w:rsidR="009D69AD" w:rsidRPr="007708B4" w14:paraId="00A4CF5C" w14:textId="77777777" w:rsidTr="00654E12">
        <w:trPr>
          <w:trHeight w:val="2320"/>
        </w:trPr>
        <w:tc>
          <w:tcPr>
            <w:tcW w:w="8806" w:type="dxa"/>
            <w:gridSpan w:val="2"/>
          </w:tcPr>
          <w:p w14:paraId="747AD8CB" w14:textId="77777777" w:rsidR="00466A47" w:rsidRDefault="00466A47" w:rsidP="00466A47">
            <w:pPr>
              <w:pStyle w:val="aff8"/>
              <w:numPr>
                <w:ilvl w:val="0"/>
                <w:numId w:val="4"/>
              </w:numPr>
              <w:jc w:val="left"/>
            </w:pPr>
            <w:r>
              <w:t>Ассоциация</w:t>
            </w:r>
            <w:r w:rsidRPr="00F242DD">
              <w:t xml:space="preserve"> содействия развитию гематологии и трансплантологии костного мозга "Национальное гематологическое общество"</w:t>
            </w:r>
          </w:p>
          <w:p w14:paraId="64C3B831" w14:textId="77777777" w:rsidR="00466A47" w:rsidRDefault="00466A47" w:rsidP="00466A47">
            <w:pPr>
              <w:pStyle w:val="aff8"/>
              <w:ind w:left="1068" w:firstLine="0"/>
              <w:jc w:val="left"/>
            </w:pPr>
          </w:p>
          <w:p w14:paraId="27DBDDA8" w14:textId="56D16D93" w:rsidR="00466A47" w:rsidRDefault="00466A47" w:rsidP="00466A47">
            <w:pPr>
              <w:pStyle w:val="aff8"/>
              <w:rPr>
                <w:color w:val="000000" w:themeColor="text1"/>
                <w:szCs w:val="24"/>
              </w:rPr>
            </w:pPr>
            <w:r w:rsidRPr="00351A76">
              <w:rPr>
                <w:color w:val="000000" w:themeColor="text1"/>
                <w:szCs w:val="24"/>
              </w:rPr>
              <w:t xml:space="preserve">Председатель ассоциации, д.м.н.                                     Е.Н. </w:t>
            </w:r>
            <w:proofErr w:type="spellStart"/>
            <w:r w:rsidRPr="00351A76">
              <w:rPr>
                <w:color w:val="000000" w:themeColor="text1"/>
                <w:szCs w:val="24"/>
              </w:rPr>
              <w:t>Паровичникова</w:t>
            </w:r>
            <w:proofErr w:type="spellEnd"/>
            <w:r w:rsidRPr="00351A76">
              <w:rPr>
                <w:color w:val="000000" w:themeColor="text1"/>
                <w:szCs w:val="24"/>
              </w:rPr>
              <w:t xml:space="preserve"> </w:t>
            </w:r>
          </w:p>
          <w:p w14:paraId="38D33DE3" w14:textId="77777777" w:rsidR="00466A47" w:rsidRDefault="00466A47" w:rsidP="00466A47">
            <w:pPr>
              <w:pStyle w:val="aff8"/>
              <w:rPr>
                <w:b/>
                <w:color w:val="000000" w:themeColor="text1"/>
                <w:szCs w:val="24"/>
              </w:rPr>
            </w:pPr>
          </w:p>
          <w:p w14:paraId="1AFA0EB9" w14:textId="77777777" w:rsidR="00466A47" w:rsidRPr="00351A76" w:rsidRDefault="00466A47" w:rsidP="00466A47">
            <w:pPr>
              <w:pStyle w:val="aff8"/>
              <w:rPr>
                <w:b/>
                <w:color w:val="000000" w:themeColor="text1"/>
                <w:szCs w:val="24"/>
              </w:rPr>
            </w:pPr>
          </w:p>
          <w:p w14:paraId="3057F0E9" w14:textId="77777777" w:rsidR="00466A47" w:rsidRDefault="00466A47" w:rsidP="00466A47">
            <w:pPr>
              <w:pStyle w:val="aff8"/>
            </w:pPr>
          </w:p>
          <w:p w14:paraId="38C1DFF4" w14:textId="77777777" w:rsidR="00466A47" w:rsidRDefault="00466A47" w:rsidP="00466A47">
            <w:pPr>
              <w:pStyle w:val="aff8"/>
              <w:numPr>
                <w:ilvl w:val="0"/>
                <w:numId w:val="4"/>
              </w:numPr>
              <w:jc w:val="left"/>
            </w:pPr>
            <w:r w:rsidRPr="00F242DD">
              <w:t>Общероссийский национальный союз "Ассоциация онкологов России"</w:t>
            </w:r>
          </w:p>
          <w:p w14:paraId="437E0A77" w14:textId="77777777" w:rsidR="00466A47" w:rsidRPr="00F242DD" w:rsidRDefault="00466A47" w:rsidP="00466A47">
            <w:pPr>
              <w:pStyle w:val="aff8"/>
              <w:ind w:left="1068" w:firstLine="0"/>
              <w:jc w:val="left"/>
            </w:pPr>
          </w:p>
          <w:p w14:paraId="24691010" w14:textId="77777777" w:rsidR="00B439D6" w:rsidRDefault="00466A47" w:rsidP="00466A47">
            <w:pPr>
              <w:pStyle w:val="3"/>
              <w:spacing w:before="120" w:after="120"/>
              <w:rPr>
                <w:rFonts w:ascii="Times New Roman" w:hAnsi="Times New Roman"/>
                <w:color w:val="auto"/>
              </w:rPr>
            </w:pPr>
            <w:r w:rsidRPr="00466A47">
              <w:rPr>
                <w:rFonts w:ascii="Times New Roman" w:hAnsi="Times New Roman"/>
                <w:color w:val="auto"/>
              </w:rPr>
              <w:t xml:space="preserve">Исполнительный директор                                               </w:t>
            </w:r>
            <w:proofErr w:type="spellStart"/>
            <w:r w:rsidRPr="00466A47">
              <w:rPr>
                <w:rFonts w:ascii="Times New Roman" w:hAnsi="Times New Roman"/>
                <w:color w:val="auto"/>
              </w:rPr>
              <w:t>О.В.Левковский</w:t>
            </w:r>
            <w:proofErr w:type="spellEnd"/>
          </w:p>
          <w:p w14:paraId="6D99F4AD" w14:textId="77777777" w:rsidR="00584E65" w:rsidRDefault="00584E65" w:rsidP="00584E65"/>
          <w:p w14:paraId="679CACFA" w14:textId="3B658A0D" w:rsidR="00584E65" w:rsidRPr="00584E65" w:rsidRDefault="00584E65" w:rsidP="00DF32E4">
            <w:pPr>
              <w:pStyle w:val="3"/>
              <w:spacing w:before="120" w:after="120"/>
            </w:pPr>
          </w:p>
        </w:tc>
      </w:tr>
    </w:tbl>
    <w:p w14:paraId="1105E131" w14:textId="77777777" w:rsidR="00466A47" w:rsidRDefault="000C7098" w:rsidP="00490276">
      <w:pPr>
        <w:jc w:val="center"/>
      </w:pPr>
      <w:r w:rsidRPr="00062B4F">
        <w:br w:type="page"/>
      </w:r>
    </w:p>
    <w:p w14:paraId="282C26ED" w14:textId="299CDC36" w:rsidR="000C7098" w:rsidRPr="00062B4F" w:rsidRDefault="000C7098" w:rsidP="00490276">
      <w:pPr>
        <w:jc w:val="center"/>
        <w:rPr>
          <w:b/>
          <w:sz w:val="28"/>
          <w:szCs w:val="28"/>
        </w:rPr>
      </w:pPr>
      <w:r w:rsidRPr="00062B4F">
        <w:rPr>
          <w:b/>
          <w:sz w:val="28"/>
          <w:szCs w:val="28"/>
        </w:rPr>
        <w:lastRenderedPageBreak/>
        <w:t>Оглавление</w:t>
      </w:r>
    </w:p>
    <w:p w14:paraId="2C690FD1" w14:textId="77777777" w:rsidR="002F0B5F" w:rsidRPr="005234DA" w:rsidRDefault="000C7098">
      <w:pPr>
        <w:pStyle w:val="19"/>
        <w:rPr>
          <w:rFonts w:eastAsiaTheme="minorEastAsia"/>
          <w:noProof/>
          <w:szCs w:val="24"/>
          <w:lang w:eastAsia="ru-RU"/>
        </w:rPr>
      </w:pPr>
      <w:r w:rsidRPr="005234DA">
        <w:rPr>
          <w:bCs/>
          <w:szCs w:val="24"/>
        </w:rPr>
        <w:fldChar w:fldCharType="begin"/>
      </w:r>
      <w:r w:rsidRPr="005234DA">
        <w:rPr>
          <w:bCs/>
          <w:szCs w:val="24"/>
        </w:rPr>
        <w:instrText xml:space="preserve"> TOC \o "1-3" \h \z \u </w:instrText>
      </w:r>
      <w:r w:rsidRPr="005234DA">
        <w:rPr>
          <w:bCs/>
          <w:szCs w:val="24"/>
        </w:rPr>
        <w:fldChar w:fldCharType="separate"/>
      </w:r>
      <w:hyperlink w:anchor="_Toc86133387" w:history="1">
        <w:r w:rsidR="002F0B5F" w:rsidRPr="005234DA">
          <w:rPr>
            <w:rStyle w:val="affd"/>
            <w:noProof/>
            <w:szCs w:val="24"/>
          </w:rPr>
          <w:t>Список сокращений</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_Toc86133387 \h </w:instrText>
        </w:r>
        <w:r w:rsidR="002F0B5F" w:rsidRPr="005234DA">
          <w:rPr>
            <w:noProof/>
            <w:webHidden/>
            <w:szCs w:val="24"/>
          </w:rPr>
        </w:r>
        <w:r w:rsidR="002F0B5F" w:rsidRPr="005234DA">
          <w:rPr>
            <w:noProof/>
            <w:webHidden/>
            <w:szCs w:val="24"/>
          </w:rPr>
          <w:fldChar w:fldCharType="separate"/>
        </w:r>
        <w:r w:rsidR="00717B3F">
          <w:rPr>
            <w:noProof/>
            <w:webHidden/>
            <w:szCs w:val="24"/>
          </w:rPr>
          <w:t>4</w:t>
        </w:r>
        <w:r w:rsidR="002F0B5F" w:rsidRPr="005234DA">
          <w:rPr>
            <w:noProof/>
            <w:webHidden/>
            <w:szCs w:val="24"/>
          </w:rPr>
          <w:fldChar w:fldCharType="end"/>
        </w:r>
      </w:hyperlink>
    </w:p>
    <w:p w14:paraId="5590885C" w14:textId="77777777" w:rsidR="002F0B5F" w:rsidRPr="005234DA" w:rsidRDefault="00823A47">
      <w:pPr>
        <w:pStyle w:val="19"/>
        <w:rPr>
          <w:rFonts w:eastAsiaTheme="minorEastAsia"/>
          <w:noProof/>
          <w:szCs w:val="24"/>
          <w:lang w:eastAsia="ru-RU"/>
        </w:rPr>
      </w:pPr>
      <w:hyperlink w:anchor="_Toc86133388" w:history="1">
        <w:r w:rsidR="002F0B5F" w:rsidRPr="005234DA">
          <w:rPr>
            <w:rStyle w:val="affd"/>
            <w:noProof/>
            <w:szCs w:val="24"/>
          </w:rPr>
          <w:t>Термины и определения</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_Toc86133388 \h </w:instrText>
        </w:r>
        <w:r w:rsidR="002F0B5F" w:rsidRPr="005234DA">
          <w:rPr>
            <w:noProof/>
            <w:webHidden/>
            <w:szCs w:val="24"/>
          </w:rPr>
        </w:r>
        <w:r w:rsidR="002F0B5F" w:rsidRPr="005234DA">
          <w:rPr>
            <w:noProof/>
            <w:webHidden/>
            <w:szCs w:val="24"/>
          </w:rPr>
          <w:fldChar w:fldCharType="separate"/>
        </w:r>
        <w:r w:rsidR="00717B3F">
          <w:rPr>
            <w:noProof/>
            <w:webHidden/>
            <w:szCs w:val="24"/>
          </w:rPr>
          <w:t>6</w:t>
        </w:r>
        <w:r w:rsidR="002F0B5F" w:rsidRPr="005234DA">
          <w:rPr>
            <w:noProof/>
            <w:webHidden/>
            <w:szCs w:val="24"/>
          </w:rPr>
          <w:fldChar w:fldCharType="end"/>
        </w:r>
      </w:hyperlink>
    </w:p>
    <w:p w14:paraId="24CC1D8C" w14:textId="77777777" w:rsidR="002F0B5F" w:rsidRPr="005234DA" w:rsidRDefault="00823A47">
      <w:pPr>
        <w:pStyle w:val="19"/>
        <w:rPr>
          <w:rFonts w:eastAsiaTheme="minorEastAsia"/>
          <w:noProof/>
          <w:szCs w:val="24"/>
          <w:lang w:eastAsia="ru-RU"/>
        </w:rPr>
      </w:pPr>
      <w:hyperlink w:anchor="_Toc86133389" w:history="1">
        <w:r w:rsidR="002F0B5F" w:rsidRPr="005234DA">
          <w:rPr>
            <w:rStyle w:val="affd"/>
            <w:noProof/>
            <w:szCs w:val="24"/>
          </w:rPr>
          <w:t xml:space="preserve">1. Краткая информация </w:t>
        </w:r>
        <w:r w:rsidR="002F0B5F" w:rsidRPr="005234DA">
          <w:rPr>
            <w:rStyle w:val="affd"/>
            <w:bCs/>
            <w:noProof/>
            <w:szCs w:val="24"/>
          </w:rPr>
          <w:t>по заболеванию или состоянию (группе заболеваний или состояний)</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_Toc86133389 \h </w:instrText>
        </w:r>
        <w:r w:rsidR="002F0B5F" w:rsidRPr="005234DA">
          <w:rPr>
            <w:noProof/>
            <w:webHidden/>
            <w:szCs w:val="24"/>
          </w:rPr>
        </w:r>
        <w:r w:rsidR="002F0B5F" w:rsidRPr="005234DA">
          <w:rPr>
            <w:noProof/>
            <w:webHidden/>
            <w:szCs w:val="24"/>
          </w:rPr>
          <w:fldChar w:fldCharType="separate"/>
        </w:r>
        <w:r w:rsidR="00717B3F">
          <w:rPr>
            <w:noProof/>
            <w:webHidden/>
            <w:szCs w:val="24"/>
          </w:rPr>
          <w:t>8</w:t>
        </w:r>
        <w:r w:rsidR="002F0B5F" w:rsidRPr="005234DA">
          <w:rPr>
            <w:noProof/>
            <w:webHidden/>
            <w:szCs w:val="24"/>
          </w:rPr>
          <w:fldChar w:fldCharType="end"/>
        </w:r>
      </w:hyperlink>
    </w:p>
    <w:p w14:paraId="45963B75" w14:textId="77777777" w:rsidR="002F0B5F" w:rsidRPr="005234DA" w:rsidRDefault="00823A47">
      <w:pPr>
        <w:pStyle w:val="22"/>
        <w:rPr>
          <w:rFonts w:ascii="Times New Roman" w:eastAsiaTheme="minorEastAsia" w:hAnsi="Times New Roman"/>
          <w:noProof/>
          <w:sz w:val="24"/>
          <w:szCs w:val="24"/>
          <w:lang w:eastAsia="ru-RU"/>
        </w:rPr>
      </w:pPr>
      <w:hyperlink w:anchor="_Toc86133390" w:history="1">
        <w:r w:rsidR="002F0B5F" w:rsidRPr="005234DA">
          <w:rPr>
            <w:rStyle w:val="affd"/>
            <w:rFonts w:ascii="Times New Roman" w:hAnsi="Times New Roman"/>
            <w:noProof/>
            <w:sz w:val="24"/>
            <w:szCs w:val="24"/>
          </w:rPr>
          <w:t>1.1. Определение заболевания или состояния (группы заболеваний или состояний)</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_Toc86133390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717B3F">
          <w:rPr>
            <w:rFonts w:ascii="Times New Roman" w:hAnsi="Times New Roman"/>
            <w:noProof/>
            <w:webHidden/>
            <w:sz w:val="24"/>
            <w:szCs w:val="24"/>
          </w:rPr>
          <w:t>8</w:t>
        </w:r>
        <w:r w:rsidR="002F0B5F" w:rsidRPr="005234DA">
          <w:rPr>
            <w:rFonts w:ascii="Times New Roman" w:hAnsi="Times New Roman"/>
            <w:noProof/>
            <w:webHidden/>
            <w:sz w:val="24"/>
            <w:szCs w:val="24"/>
          </w:rPr>
          <w:fldChar w:fldCharType="end"/>
        </w:r>
      </w:hyperlink>
    </w:p>
    <w:p w14:paraId="2F73C8CD" w14:textId="77777777" w:rsidR="002F0B5F" w:rsidRPr="005234DA" w:rsidRDefault="00823A47">
      <w:pPr>
        <w:pStyle w:val="22"/>
        <w:rPr>
          <w:rFonts w:ascii="Times New Roman" w:eastAsiaTheme="minorEastAsia" w:hAnsi="Times New Roman"/>
          <w:noProof/>
          <w:sz w:val="24"/>
          <w:szCs w:val="24"/>
          <w:lang w:eastAsia="ru-RU"/>
        </w:rPr>
      </w:pPr>
      <w:hyperlink w:anchor="_Toc86133391" w:history="1">
        <w:r w:rsidR="002F0B5F" w:rsidRPr="005234DA">
          <w:rPr>
            <w:rStyle w:val="affd"/>
            <w:rFonts w:ascii="Times New Roman" w:hAnsi="Times New Roman"/>
            <w:noProof/>
            <w:sz w:val="24"/>
            <w:szCs w:val="24"/>
          </w:rPr>
          <w:t>1.2. Этиология и патогенез заболевания или состояния (группы заболеваний или состояний)</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_Toc86133391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717B3F">
          <w:rPr>
            <w:rFonts w:ascii="Times New Roman" w:hAnsi="Times New Roman"/>
            <w:noProof/>
            <w:webHidden/>
            <w:sz w:val="24"/>
            <w:szCs w:val="24"/>
          </w:rPr>
          <w:t>8</w:t>
        </w:r>
        <w:r w:rsidR="002F0B5F" w:rsidRPr="005234DA">
          <w:rPr>
            <w:rFonts w:ascii="Times New Roman" w:hAnsi="Times New Roman"/>
            <w:noProof/>
            <w:webHidden/>
            <w:sz w:val="24"/>
            <w:szCs w:val="24"/>
          </w:rPr>
          <w:fldChar w:fldCharType="end"/>
        </w:r>
      </w:hyperlink>
    </w:p>
    <w:p w14:paraId="07EB3D63" w14:textId="77777777" w:rsidR="002F0B5F" w:rsidRPr="005234DA" w:rsidRDefault="00823A47">
      <w:pPr>
        <w:pStyle w:val="22"/>
        <w:rPr>
          <w:rFonts w:ascii="Times New Roman" w:eastAsiaTheme="minorEastAsia" w:hAnsi="Times New Roman"/>
          <w:noProof/>
          <w:sz w:val="24"/>
          <w:szCs w:val="24"/>
          <w:lang w:eastAsia="ru-RU"/>
        </w:rPr>
      </w:pPr>
      <w:hyperlink w:anchor="_Toc86133392" w:history="1">
        <w:r w:rsidR="002F0B5F" w:rsidRPr="005234DA">
          <w:rPr>
            <w:rStyle w:val="affd"/>
            <w:rFonts w:ascii="Times New Roman" w:hAnsi="Times New Roman"/>
            <w:noProof/>
            <w:sz w:val="24"/>
            <w:szCs w:val="24"/>
          </w:rPr>
          <w:t>1.3. Эпидемиология заболевания или состояния (группы заболеваний или состояний)</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_Toc86133392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717B3F">
          <w:rPr>
            <w:rFonts w:ascii="Times New Roman" w:hAnsi="Times New Roman"/>
            <w:noProof/>
            <w:webHidden/>
            <w:sz w:val="24"/>
            <w:szCs w:val="24"/>
          </w:rPr>
          <w:t>9</w:t>
        </w:r>
        <w:r w:rsidR="002F0B5F" w:rsidRPr="005234DA">
          <w:rPr>
            <w:rFonts w:ascii="Times New Roman" w:hAnsi="Times New Roman"/>
            <w:noProof/>
            <w:webHidden/>
            <w:sz w:val="24"/>
            <w:szCs w:val="24"/>
          </w:rPr>
          <w:fldChar w:fldCharType="end"/>
        </w:r>
      </w:hyperlink>
    </w:p>
    <w:p w14:paraId="669EBB6E" w14:textId="77777777" w:rsidR="002F0B5F" w:rsidRPr="005234DA" w:rsidRDefault="00823A47">
      <w:pPr>
        <w:pStyle w:val="22"/>
        <w:rPr>
          <w:rFonts w:ascii="Times New Roman" w:eastAsiaTheme="minorEastAsia" w:hAnsi="Times New Roman"/>
          <w:noProof/>
          <w:sz w:val="24"/>
          <w:szCs w:val="24"/>
          <w:lang w:eastAsia="ru-RU"/>
        </w:rPr>
      </w:pPr>
      <w:hyperlink w:anchor="_Toc86133393" w:history="1">
        <w:r w:rsidR="002F0B5F" w:rsidRPr="005234DA">
          <w:rPr>
            <w:rStyle w:val="affd"/>
            <w:rFonts w:ascii="Times New Roman" w:hAnsi="Times New Roman"/>
            <w:noProof/>
            <w:sz w:val="24"/>
            <w:szCs w:val="24"/>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_Toc86133393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717B3F">
          <w:rPr>
            <w:rFonts w:ascii="Times New Roman" w:hAnsi="Times New Roman"/>
            <w:noProof/>
            <w:webHidden/>
            <w:sz w:val="24"/>
            <w:szCs w:val="24"/>
          </w:rPr>
          <w:t>9</w:t>
        </w:r>
        <w:r w:rsidR="002F0B5F" w:rsidRPr="005234DA">
          <w:rPr>
            <w:rFonts w:ascii="Times New Roman" w:hAnsi="Times New Roman"/>
            <w:noProof/>
            <w:webHidden/>
            <w:sz w:val="24"/>
            <w:szCs w:val="24"/>
          </w:rPr>
          <w:fldChar w:fldCharType="end"/>
        </w:r>
      </w:hyperlink>
    </w:p>
    <w:p w14:paraId="72895B33" w14:textId="77777777" w:rsidR="002F0B5F" w:rsidRPr="005234DA" w:rsidRDefault="00823A47">
      <w:pPr>
        <w:pStyle w:val="22"/>
        <w:rPr>
          <w:rFonts w:ascii="Times New Roman" w:eastAsiaTheme="minorEastAsia" w:hAnsi="Times New Roman"/>
          <w:noProof/>
          <w:sz w:val="24"/>
          <w:szCs w:val="24"/>
          <w:lang w:eastAsia="ru-RU"/>
        </w:rPr>
      </w:pPr>
      <w:hyperlink w:anchor="_Toc86133394" w:history="1">
        <w:r w:rsidR="002F0B5F" w:rsidRPr="005234DA">
          <w:rPr>
            <w:rStyle w:val="affd"/>
            <w:rFonts w:ascii="Times New Roman" w:hAnsi="Times New Roman"/>
            <w:noProof/>
            <w:sz w:val="24"/>
            <w:szCs w:val="24"/>
          </w:rPr>
          <w:t>1.5. Классификация заболевания или состояния (группы заболеваний или состояний)</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_Toc86133394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717B3F">
          <w:rPr>
            <w:rFonts w:ascii="Times New Roman" w:hAnsi="Times New Roman"/>
            <w:noProof/>
            <w:webHidden/>
            <w:sz w:val="24"/>
            <w:szCs w:val="24"/>
          </w:rPr>
          <w:t>10</w:t>
        </w:r>
        <w:r w:rsidR="002F0B5F" w:rsidRPr="005234DA">
          <w:rPr>
            <w:rFonts w:ascii="Times New Roman" w:hAnsi="Times New Roman"/>
            <w:noProof/>
            <w:webHidden/>
            <w:sz w:val="24"/>
            <w:szCs w:val="24"/>
          </w:rPr>
          <w:fldChar w:fldCharType="end"/>
        </w:r>
      </w:hyperlink>
    </w:p>
    <w:p w14:paraId="1A7CB77B" w14:textId="77777777" w:rsidR="002F0B5F" w:rsidRPr="005234DA" w:rsidRDefault="00823A47">
      <w:pPr>
        <w:pStyle w:val="22"/>
        <w:rPr>
          <w:rFonts w:ascii="Times New Roman" w:eastAsiaTheme="minorEastAsia" w:hAnsi="Times New Roman"/>
          <w:noProof/>
          <w:sz w:val="24"/>
          <w:szCs w:val="24"/>
          <w:lang w:eastAsia="ru-RU"/>
        </w:rPr>
      </w:pPr>
      <w:hyperlink w:anchor="_Toc86133395" w:history="1">
        <w:r w:rsidR="002F0B5F" w:rsidRPr="005234DA">
          <w:rPr>
            <w:rStyle w:val="affd"/>
            <w:rFonts w:ascii="Times New Roman" w:hAnsi="Times New Roman"/>
            <w:noProof/>
            <w:sz w:val="24"/>
            <w:szCs w:val="24"/>
          </w:rPr>
          <w:t>1.6. Клиническая картина заболевания или состояния (группы заболеваний или состояний)</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_Toc86133395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717B3F">
          <w:rPr>
            <w:rFonts w:ascii="Times New Roman" w:hAnsi="Times New Roman"/>
            <w:noProof/>
            <w:webHidden/>
            <w:sz w:val="24"/>
            <w:szCs w:val="24"/>
          </w:rPr>
          <w:t>12</w:t>
        </w:r>
        <w:r w:rsidR="002F0B5F" w:rsidRPr="005234DA">
          <w:rPr>
            <w:rFonts w:ascii="Times New Roman" w:hAnsi="Times New Roman"/>
            <w:noProof/>
            <w:webHidden/>
            <w:sz w:val="24"/>
            <w:szCs w:val="24"/>
          </w:rPr>
          <w:fldChar w:fldCharType="end"/>
        </w:r>
      </w:hyperlink>
    </w:p>
    <w:p w14:paraId="3D979837" w14:textId="77777777" w:rsidR="002F0B5F" w:rsidRPr="005234DA" w:rsidRDefault="00823A47">
      <w:pPr>
        <w:pStyle w:val="19"/>
        <w:rPr>
          <w:rFonts w:eastAsiaTheme="minorEastAsia"/>
          <w:noProof/>
          <w:szCs w:val="24"/>
          <w:lang w:eastAsia="ru-RU"/>
        </w:rPr>
      </w:pPr>
      <w:hyperlink w:anchor="_Toc86133396" w:history="1">
        <w:r w:rsidR="002F0B5F" w:rsidRPr="005234DA">
          <w:rPr>
            <w:rStyle w:val="affd"/>
            <w:noProof/>
            <w:szCs w:val="24"/>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_Toc86133396 \h </w:instrText>
        </w:r>
        <w:r w:rsidR="002F0B5F" w:rsidRPr="005234DA">
          <w:rPr>
            <w:noProof/>
            <w:webHidden/>
            <w:szCs w:val="24"/>
          </w:rPr>
        </w:r>
        <w:r w:rsidR="002F0B5F" w:rsidRPr="005234DA">
          <w:rPr>
            <w:noProof/>
            <w:webHidden/>
            <w:szCs w:val="24"/>
          </w:rPr>
          <w:fldChar w:fldCharType="separate"/>
        </w:r>
        <w:r w:rsidR="00717B3F">
          <w:rPr>
            <w:noProof/>
            <w:webHidden/>
            <w:szCs w:val="24"/>
          </w:rPr>
          <w:t>12</w:t>
        </w:r>
        <w:r w:rsidR="002F0B5F" w:rsidRPr="005234DA">
          <w:rPr>
            <w:noProof/>
            <w:webHidden/>
            <w:szCs w:val="24"/>
          </w:rPr>
          <w:fldChar w:fldCharType="end"/>
        </w:r>
      </w:hyperlink>
    </w:p>
    <w:p w14:paraId="7BB74819" w14:textId="77777777" w:rsidR="002F0B5F" w:rsidRPr="005234DA" w:rsidRDefault="00823A47">
      <w:pPr>
        <w:pStyle w:val="22"/>
        <w:rPr>
          <w:rFonts w:ascii="Times New Roman" w:eastAsiaTheme="minorEastAsia" w:hAnsi="Times New Roman"/>
          <w:noProof/>
          <w:sz w:val="24"/>
          <w:szCs w:val="24"/>
          <w:lang w:eastAsia="ru-RU"/>
        </w:rPr>
      </w:pPr>
      <w:hyperlink w:anchor="_Toc86133397" w:history="1">
        <w:r w:rsidR="002F0B5F" w:rsidRPr="005234DA">
          <w:rPr>
            <w:rStyle w:val="affd"/>
            <w:rFonts w:ascii="Times New Roman" w:hAnsi="Times New Roman"/>
            <w:noProof/>
            <w:sz w:val="24"/>
            <w:szCs w:val="24"/>
          </w:rPr>
          <w:t>2.1. Жалобы и анамнез</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_Toc86133397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717B3F">
          <w:rPr>
            <w:rFonts w:ascii="Times New Roman" w:hAnsi="Times New Roman"/>
            <w:noProof/>
            <w:webHidden/>
            <w:sz w:val="24"/>
            <w:szCs w:val="24"/>
          </w:rPr>
          <w:t>12</w:t>
        </w:r>
        <w:r w:rsidR="002F0B5F" w:rsidRPr="005234DA">
          <w:rPr>
            <w:rFonts w:ascii="Times New Roman" w:hAnsi="Times New Roman"/>
            <w:noProof/>
            <w:webHidden/>
            <w:sz w:val="24"/>
            <w:szCs w:val="24"/>
          </w:rPr>
          <w:fldChar w:fldCharType="end"/>
        </w:r>
      </w:hyperlink>
    </w:p>
    <w:p w14:paraId="4155EA48" w14:textId="77777777" w:rsidR="002F0B5F" w:rsidRPr="005234DA" w:rsidRDefault="00823A47">
      <w:pPr>
        <w:pStyle w:val="22"/>
        <w:rPr>
          <w:rFonts w:ascii="Times New Roman" w:eastAsiaTheme="minorEastAsia" w:hAnsi="Times New Roman"/>
          <w:noProof/>
          <w:sz w:val="24"/>
          <w:szCs w:val="24"/>
          <w:lang w:eastAsia="ru-RU"/>
        </w:rPr>
      </w:pPr>
      <w:hyperlink w:anchor="_Toc86133398" w:history="1">
        <w:r w:rsidR="002F0B5F" w:rsidRPr="005234DA">
          <w:rPr>
            <w:rStyle w:val="affd"/>
            <w:rFonts w:ascii="Times New Roman" w:hAnsi="Times New Roman"/>
            <w:noProof/>
            <w:sz w:val="24"/>
            <w:szCs w:val="24"/>
          </w:rPr>
          <w:t>2.2. Физикальное обследование</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_Toc86133398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717B3F">
          <w:rPr>
            <w:rFonts w:ascii="Times New Roman" w:hAnsi="Times New Roman"/>
            <w:noProof/>
            <w:webHidden/>
            <w:sz w:val="24"/>
            <w:szCs w:val="24"/>
          </w:rPr>
          <w:t>13</w:t>
        </w:r>
        <w:r w:rsidR="002F0B5F" w:rsidRPr="005234DA">
          <w:rPr>
            <w:rFonts w:ascii="Times New Roman" w:hAnsi="Times New Roman"/>
            <w:noProof/>
            <w:webHidden/>
            <w:sz w:val="24"/>
            <w:szCs w:val="24"/>
          </w:rPr>
          <w:fldChar w:fldCharType="end"/>
        </w:r>
      </w:hyperlink>
    </w:p>
    <w:p w14:paraId="1809A819" w14:textId="77777777" w:rsidR="002F0B5F" w:rsidRPr="005234DA" w:rsidRDefault="00823A47">
      <w:pPr>
        <w:pStyle w:val="22"/>
        <w:rPr>
          <w:rFonts w:ascii="Times New Roman" w:eastAsiaTheme="minorEastAsia" w:hAnsi="Times New Roman"/>
          <w:noProof/>
          <w:sz w:val="24"/>
          <w:szCs w:val="24"/>
          <w:lang w:eastAsia="ru-RU"/>
        </w:rPr>
      </w:pPr>
      <w:hyperlink w:anchor="_Toc86133399" w:history="1">
        <w:r w:rsidR="002F0B5F" w:rsidRPr="005234DA">
          <w:rPr>
            <w:rStyle w:val="affd"/>
            <w:rFonts w:ascii="Times New Roman" w:hAnsi="Times New Roman"/>
            <w:noProof/>
            <w:sz w:val="24"/>
            <w:szCs w:val="24"/>
          </w:rPr>
          <w:t>2.3. Лабораторные диагностические исследования</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_Toc86133399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717B3F">
          <w:rPr>
            <w:rFonts w:ascii="Times New Roman" w:hAnsi="Times New Roman"/>
            <w:noProof/>
            <w:webHidden/>
            <w:sz w:val="24"/>
            <w:szCs w:val="24"/>
          </w:rPr>
          <w:t>14</w:t>
        </w:r>
        <w:r w:rsidR="002F0B5F" w:rsidRPr="005234DA">
          <w:rPr>
            <w:rFonts w:ascii="Times New Roman" w:hAnsi="Times New Roman"/>
            <w:noProof/>
            <w:webHidden/>
            <w:sz w:val="24"/>
            <w:szCs w:val="24"/>
          </w:rPr>
          <w:fldChar w:fldCharType="end"/>
        </w:r>
      </w:hyperlink>
    </w:p>
    <w:p w14:paraId="458275B0" w14:textId="77777777" w:rsidR="002F0B5F" w:rsidRPr="005234DA" w:rsidRDefault="00823A47">
      <w:pPr>
        <w:pStyle w:val="22"/>
        <w:rPr>
          <w:rFonts w:ascii="Times New Roman" w:eastAsiaTheme="minorEastAsia" w:hAnsi="Times New Roman"/>
          <w:noProof/>
          <w:sz w:val="24"/>
          <w:szCs w:val="24"/>
          <w:lang w:eastAsia="ru-RU"/>
        </w:rPr>
      </w:pPr>
      <w:hyperlink w:anchor="_Toc86133400" w:history="1">
        <w:r w:rsidR="002F0B5F" w:rsidRPr="005234DA">
          <w:rPr>
            <w:rStyle w:val="affd"/>
            <w:rFonts w:ascii="Times New Roman" w:hAnsi="Times New Roman"/>
            <w:noProof/>
            <w:sz w:val="24"/>
            <w:szCs w:val="24"/>
          </w:rPr>
          <w:t>2.4. Инструментальная диагностика</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_Toc86133400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717B3F">
          <w:rPr>
            <w:rFonts w:ascii="Times New Roman" w:hAnsi="Times New Roman"/>
            <w:noProof/>
            <w:webHidden/>
            <w:sz w:val="24"/>
            <w:szCs w:val="24"/>
          </w:rPr>
          <w:t>16</w:t>
        </w:r>
        <w:r w:rsidR="002F0B5F" w:rsidRPr="005234DA">
          <w:rPr>
            <w:rFonts w:ascii="Times New Roman" w:hAnsi="Times New Roman"/>
            <w:noProof/>
            <w:webHidden/>
            <w:sz w:val="24"/>
            <w:szCs w:val="24"/>
          </w:rPr>
          <w:fldChar w:fldCharType="end"/>
        </w:r>
      </w:hyperlink>
    </w:p>
    <w:p w14:paraId="38E9BA07" w14:textId="77777777" w:rsidR="002F0B5F" w:rsidRPr="005234DA" w:rsidRDefault="00823A47">
      <w:pPr>
        <w:pStyle w:val="22"/>
        <w:rPr>
          <w:rFonts w:ascii="Times New Roman" w:eastAsiaTheme="minorEastAsia" w:hAnsi="Times New Roman"/>
          <w:noProof/>
          <w:sz w:val="24"/>
          <w:szCs w:val="24"/>
          <w:lang w:eastAsia="ru-RU"/>
        </w:rPr>
      </w:pPr>
      <w:hyperlink w:anchor="_Toc86133401" w:history="1">
        <w:r w:rsidR="002F0B5F" w:rsidRPr="005234DA">
          <w:rPr>
            <w:rStyle w:val="affd"/>
            <w:rFonts w:ascii="Times New Roman" w:hAnsi="Times New Roman"/>
            <w:noProof/>
            <w:sz w:val="24"/>
            <w:szCs w:val="24"/>
          </w:rPr>
          <w:t>2.5. Иная диагностика</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_Toc86133401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717B3F">
          <w:rPr>
            <w:rFonts w:ascii="Times New Roman" w:hAnsi="Times New Roman"/>
            <w:noProof/>
            <w:webHidden/>
            <w:sz w:val="24"/>
            <w:szCs w:val="24"/>
          </w:rPr>
          <w:t>16</w:t>
        </w:r>
        <w:r w:rsidR="002F0B5F" w:rsidRPr="005234DA">
          <w:rPr>
            <w:rFonts w:ascii="Times New Roman" w:hAnsi="Times New Roman"/>
            <w:noProof/>
            <w:webHidden/>
            <w:sz w:val="24"/>
            <w:szCs w:val="24"/>
          </w:rPr>
          <w:fldChar w:fldCharType="end"/>
        </w:r>
      </w:hyperlink>
    </w:p>
    <w:p w14:paraId="79927741" w14:textId="77777777" w:rsidR="002F0B5F" w:rsidRPr="005234DA" w:rsidRDefault="00823A47">
      <w:pPr>
        <w:pStyle w:val="19"/>
        <w:rPr>
          <w:rFonts w:eastAsiaTheme="minorEastAsia"/>
          <w:noProof/>
          <w:szCs w:val="24"/>
          <w:lang w:eastAsia="ru-RU"/>
        </w:rPr>
      </w:pPr>
      <w:hyperlink w:anchor="_Toc86133402" w:history="1">
        <w:r w:rsidR="002F0B5F" w:rsidRPr="005234DA">
          <w:rPr>
            <w:rStyle w:val="affd"/>
            <w:noProof/>
            <w:szCs w:val="24"/>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_Toc86133402 \h </w:instrText>
        </w:r>
        <w:r w:rsidR="002F0B5F" w:rsidRPr="005234DA">
          <w:rPr>
            <w:noProof/>
            <w:webHidden/>
            <w:szCs w:val="24"/>
          </w:rPr>
        </w:r>
        <w:r w:rsidR="002F0B5F" w:rsidRPr="005234DA">
          <w:rPr>
            <w:noProof/>
            <w:webHidden/>
            <w:szCs w:val="24"/>
          </w:rPr>
          <w:fldChar w:fldCharType="separate"/>
        </w:r>
        <w:r w:rsidR="00717B3F">
          <w:rPr>
            <w:noProof/>
            <w:webHidden/>
            <w:szCs w:val="24"/>
          </w:rPr>
          <w:t>16</w:t>
        </w:r>
        <w:r w:rsidR="002F0B5F" w:rsidRPr="005234DA">
          <w:rPr>
            <w:noProof/>
            <w:webHidden/>
            <w:szCs w:val="24"/>
          </w:rPr>
          <w:fldChar w:fldCharType="end"/>
        </w:r>
      </w:hyperlink>
    </w:p>
    <w:p w14:paraId="02F5FB38" w14:textId="77777777" w:rsidR="002F0B5F" w:rsidRPr="005234DA" w:rsidRDefault="00823A47">
      <w:pPr>
        <w:pStyle w:val="22"/>
        <w:rPr>
          <w:rFonts w:ascii="Times New Roman" w:eastAsiaTheme="minorEastAsia" w:hAnsi="Times New Roman"/>
          <w:noProof/>
          <w:sz w:val="24"/>
          <w:szCs w:val="24"/>
          <w:lang w:eastAsia="ru-RU"/>
        </w:rPr>
      </w:pPr>
      <w:hyperlink w:anchor="_Toc86133403" w:history="1">
        <w:r w:rsidR="002F0B5F" w:rsidRPr="005234DA">
          <w:rPr>
            <w:rStyle w:val="affd"/>
            <w:rFonts w:ascii="Times New Roman" w:hAnsi="Times New Roman"/>
            <w:noProof/>
            <w:sz w:val="24"/>
            <w:szCs w:val="24"/>
          </w:rPr>
          <w:t>3.1. Лекарственное лечение</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_Toc86133403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717B3F">
          <w:rPr>
            <w:rFonts w:ascii="Times New Roman" w:hAnsi="Times New Roman"/>
            <w:noProof/>
            <w:webHidden/>
            <w:sz w:val="24"/>
            <w:szCs w:val="24"/>
          </w:rPr>
          <w:t>18</w:t>
        </w:r>
        <w:r w:rsidR="002F0B5F" w:rsidRPr="005234DA">
          <w:rPr>
            <w:rFonts w:ascii="Times New Roman" w:hAnsi="Times New Roman"/>
            <w:noProof/>
            <w:webHidden/>
            <w:sz w:val="24"/>
            <w:szCs w:val="24"/>
          </w:rPr>
          <w:fldChar w:fldCharType="end"/>
        </w:r>
      </w:hyperlink>
    </w:p>
    <w:p w14:paraId="31B33789" w14:textId="77777777" w:rsidR="002F0B5F" w:rsidRPr="005234DA" w:rsidRDefault="00823A47">
      <w:pPr>
        <w:pStyle w:val="34"/>
        <w:rPr>
          <w:rFonts w:eastAsiaTheme="minorEastAsia"/>
          <w:noProof/>
          <w:szCs w:val="24"/>
          <w:lang w:eastAsia="ru-RU"/>
        </w:rPr>
      </w:pPr>
      <w:hyperlink w:anchor="_Toc86133404" w:history="1">
        <w:r w:rsidR="002F0B5F" w:rsidRPr="005234DA">
          <w:rPr>
            <w:rStyle w:val="affd"/>
            <w:iCs/>
            <w:noProof/>
            <w:szCs w:val="24"/>
          </w:rPr>
          <w:t>3.1.1. Препараты для терапии ХМЛ и режим дозирования</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_Toc86133404 \h </w:instrText>
        </w:r>
        <w:r w:rsidR="002F0B5F" w:rsidRPr="005234DA">
          <w:rPr>
            <w:noProof/>
            <w:webHidden/>
            <w:szCs w:val="24"/>
          </w:rPr>
        </w:r>
        <w:r w:rsidR="002F0B5F" w:rsidRPr="005234DA">
          <w:rPr>
            <w:noProof/>
            <w:webHidden/>
            <w:szCs w:val="24"/>
          </w:rPr>
          <w:fldChar w:fldCharType="separate"/>
        </w:r>
        <w:r w:rsidR="00717B3F">
          <w:rPr>
            <w:noProof/>
            <w:webHidden/>
            <w:szCs w:val="24"/>
          </w:rPr>
          <w:t>18</w:t>
        </w:r>
        <w:r w:rsidR="002F0B5F" w:rsidRPr="005234DA">
          <w:rPr>
            <w:noProof/>
            <w:webHidden/>
            <w:szCs w:val="24"/>
          </w:rPr>
          <w:fldChar w:fldCharType="end"/>
        </w:r>
      </w:hyperlink>
    </w:p>
    <w:p w14:paraId="43665259" w14:textId="77777777" w:rsidR="002F0B5F" w:rsidRPr="005234DA" w:rsidRDefault="00823A47">
      <w:pPr>
        <w:pStyle w:val="34"/>
        <w:rPr>
          <w:rFonts w:eastAsiaTheme="minorEastAsia"/>
          <w:noProof/>
          <w:szCs w:val="24"/>
          <w:lang w:eastAsia="ru-RU"/>
        </w:rPr>
      </w:pPr>
      <w:hyperlink w:anchor="_Toc86133405" w:history="1">
        <w:r w:rsidR="002F0B5F" w:rsidRPr="005234DA">
          <w:rPr>
            <w:rStyle w:val="affd"/>
            <w:iCs/>
            <w:noProof/>
            <w:szCs w:val="24"/>
          </w:rPr>
          <w:t>3.1.2. Первая линия терапии ИТК пациентов с ХМЛ</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_Toc86133405 \h </w:instrText>
        </w:r>
        <w:r w:rsidR="002F0B5F" w:rsidRPr="005234DA">
          <w:rPr>
            <w:noProof/>
            <w:webHidden/>
            <w:szCs w:val="24"/>
          </w:rPr>
        </w:r>
        <w:r w:rsidR="002F0B5F" w:rsidRPr="005234DA">
          <w:rPr>
            <w:noProof/>
            <w:webHidden/>
            <w:szCs w:val="24"/>
          </w:rPr>
          <w:fldChar w:fldCharType="separate"/>
        </w:r>
        <w:r w:rsidR="00717B3F">
          <w:rPr>
            <w:noProof/>
            <w:webHidden/>
            <w:szCs w:val="24"/>
          </w:rPr>
          <w:t>19</w:t>
        </w:r>
        <w:r w:rsidR="002F0B5F" w:rsidRPr="005234DA">
          <w:rPr>
            <w:noProof/>
            <w:webHidden/>
            <w:szCs w:val="24"/>
          </w:rPr>
          <w:fldChar w:fldCharType="end"/>
        </w:r>
      </w:hyperlink>
    </w:p>
    <w:p w14:paraId="4771E710" w14:textId="77777777" w:rsidR="002F0B5F" w:rsidRPr="005234DA" w:rsidRDefault="00823A47">
      <w:pPr>
        <w:pStyle w:val="34"/>
        <w:rPr>
          <w:rFonts w:eastAsiaTheme="minorEastAsia"/>
          <w:noProof/>
          <w:szCs w:val="24"/>
          <w:lang w:eastAsia="ru-RU"/>
        </w:rPr>
      </w:pPr>
      <w:hyperlink w:anchor="_Toc86133406" w:history="1">
        <w:r w:rsidR="002F0B5F" w:rsidRPr="005234DA">
          <w:rPr>
            <w:rStyle w:val="affd"/>
            <w:iCs/>
            <w:noProof/>
            <w:szCs w:val="24"/>
          </w:rPr>
          <w:t>3.1.3.</w:t>
        </w:r>
        <w:r w:rsidR="002F0B5F" w:rsidRPr="005234DA">
          <w:rPr>
            <w:rStyle w:val="affd"/>
            <w:i/>
            <w:noProof/>
            <w:szCs w:val="24"/>
          </w:rPr>
          <w:t xml:space="preserve"> </w:t>
        </w:r>
        <w:r w:rsidR="002F0B5F" w:rsidRPr="005234DA">
          <w:rPr>
            <w:rStyle w:val="affd"/>
            <w:iCs/>
            <w:noProof/>
            <w:szCs w:val="24"/>
          </w:rPr>
          <w:t>Вторая и следующие линии терапии ИТК пациентов с ХМЛ</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_Toc86133406 \h </w:instrText>
        </w:r>
        <w:r w:rsidR="002F0B5F" w:rsidRPr="005234DA">
          <w:rPr>
            <w:noProof/>
            <w:webHidden/>
            <w:szCs w:val="24"/>
          </w:rPr>
        </w:r>
        <w:r w:rsidR="002F0B5F" w:rsidRPr="005234DA">
          <w:rPr>
            <w:noProof/>
            <w:webHidden/>
            <w:szCs w:val="24"/>
          </w:rPr>
          <w:fldChar w:fldCharType="separate"/>
        </w:r>
        <w:r w:rsidR="00717B3F">
          <w:rPr>
            <w:noProof/>
            <w:webHidden/>
            <w:szCs w:val="24"/>
          </w:rPr>
          <w:t>23</w:t>
        </w:r>
        <w:r w:rsidR="002F0B5F" w:rsidRPr="005234DA">
          <w:rPr>
            <w:noProof/>
            <w:webHidden/>
            <w:szCs w:val="24"/>
          </w:rPr>
          <w:fldChar w:fldCharType="end"/>
        </w:r>
      </w:hyperlink>
    </w:p>
    <w:p w14:paraId="77BA3CA2" w14:textId="77777777" w:rsidR="002F0B5F" w:rsidRPr="005234DA" w:rsidRDefault="00823A47">
      <w:pPr>
        <w:pStyle w:val="34"/>
        <w:rPr>
          <w:rFonts w:eastAsiaTheme="minorEastAsia"/>
          <w:noProof/>
          <w:szCs w:val="24"/>
          <w:lang w:eastAsia="ru-RU"/>
        </w:rPr>
      </w:pPr>
      <w:hyperlink w:anchor="_Toc86133407" w:history="1">
        <w:r w:rsidR="002F0B5F" w:rsidRPr="005234DA">
          <w:rPr>
            <w:rStyle w:val="affd"/>
            <w:iCs/>
            <w:noProof/>
            <w:szCs w:val="24"/>
          </w:rPr>
          <w:t>3.1.4. Принципы выбора ИТК при смене терапии</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_Toc86133407 \h </w:instrText>
        </w:r>
        <w:r w:rsidR="002F0B5F" w:rsidRPr="005234DA">
          <w:rPr>
            <w:noProof/>
            <w:webHidden/>
            <w:szCs w:val="24"/>
          </w:rPr>
        </w:r>
        <w:r w:rsidR="002F0B5F" w:rsidRPr="005234DA">
          <w:rPr>
            <w:noProof/>
            <w:webHidden/>
            <w:szCs w:val="24"/>
          </w:rPr>
          <w:fldChar w:fldCharType="separate"/>
        </w:r>
        <w:r w:rsidR="00717B3F">
          <w:rPr>
            <w:noProof/>
            <w:webHidden/>
            <w:szCs w:val="24"/>
          </w:rPr>
          <w:t>24</w:t>
        </w:r>
        <w:r w:rsidR="002F0B5F" w:rsidRPr="005234DA">
          <w:rPr>
            <w:noProof/>
            <w:webHidden/>
            <w:szCs w:val="24"/>
          </w:rPr>
          <w:fldChar w:fldCharType="end"/>
        </w:r>
      </w:hyperlink>
    </w:p>
    <w:p w14:paraId="3EB4FB4D" w14:textId="77777777" w:rsidR="002F0B5F" w:rsidRPr="005234DA" w:rsidRDefault="00823A47">
      <w:pPr>
        <w:pStyle w:val="34"/>
        <w:rPr>
          <w:rFonts w:eastAsiaTheme="minorEastAsia"/>
          <w:noProof/>
          <w:szCs w:val="24"/>
          <w:lang w:eastAsia="ru-RU"/>
        </w:rPr>
      </w:pPr>
      <w:hyperlink w:anchor="_Toc86133408" w:history="1">
        <w:r w:rsidR="002F0B5F" w:rsidRPr="005234DA">
          <w:rPr>
            <w:rStyle w:val="affd"/>
            <w:iCs/>
            <w:noProof/>
            <w:szCs w:val="24"/>
          </w:rPr>
          <w:t>3.1.5. Диагностика на этапе лечения (мониторинг результатов терапии ИТК у пациентов с ХМЛ)</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_Toc86133408 \h </w:instrText>
        </w:r>
        <w:r w:rsidR="002F0B5F" w:rsidRPr="005234DA">
          <w:rPr>
            <w:noProof/>
            <w:webHidden/>
            <w:szCs w:val="24"/>
          </w:rPr>
        </w:r>
        <w:r w:rsidR="002F0B5F" w:rsidRPr="005234DA">
          <w:rPr>
            <w:noProof/>
            <w:webHidden/>
            <w:szCs w:val="24"/>
          </w:rPr>
          <w:fldChar w:fldCharType="separate"/>
        </w:r>
        <w:r w:rsidR="00717B3F">
          <w:rPr>
            <w:noProof/>
            <w:webHidden/>
            <w:szCs w:val="24"/>
          </w:rPr>
          <w:t>27</w:t>
        </w:r>
        <w:r w:rsidR="002F0B5F" w:rsidRPr="005234DA">
          <w:rPr>
            <w:noProof/>
            <w:webHidden/>
            <w:szCs w:val="24"/>
          </w:rPr>
          <w:fldChar w:fldCharType="end"/>
        </w:r>
      </w:hyperlink>
    </w:p>
    <w:p w14:paraId="40199AE7" w14:textId="77777777" w:rsidR="002F0B5F" w:rsidRPr="005234DA" w:rsidRDefault="00823A47">
      <w:pPr>
        <w:pStyle w:val="34"/>
        <w:rPr>
          <w:rFonts w:eastAsiaTheme="minorEastAsia"/>
          <w:noProof/>
          <w:szCs w:val="24"/>
          <w:lang w:eastAsia="ru-RU"/>
        </w:rPr>
      </w:pPr>
      <w:hyperlink w:anchor="_Toc86133409" w:history="1">
        <w:r w:rsidR="002F0B5F" w:rsidRPr="005234DA">
          <w:rPr>
            <w:rStyle w:val="affd"/>
            <w:iCs/>
            <w:noProof/>
            <w:szCs w:val="24"/>
          </w:rPr>
          <w:t>3.1.6. Тактика ведения в зависимости от результатов терапии</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_Toc86133409 \h </w:instrText>
        </w:r>
        <w:r w:rsidR="002F0B5F" w:rsidRPr="005234DA">
          <w:rPr>
            <w:noProof/>
            <w:webHidden/>
            <w:szCs w:val="24"/>
          </w:rPr>
        </w:r>
        <w:r w:rsidR="002F0B5F" w:rsidRPr="005234DA">
          <w:rPr>
            <w:noProof/>
            <w:webHidden/>
            <w:szCs w:val="24"/>
          </w:rPr>
          <w:fldChar w:fldCharType="separate"/>
        </w:r>
        <w:r w:rsidR="00717B3F">
          <w:rPr>
            <w:noProof/>
            <w:webHidden/>
            <w:szCs w:val="24"/>
          </w:rPr>
          <w:t>29</w:t>
        </w:r>
        <w:r w:rsidR="002F0B5F" w:rsidRPr="005234DA">
          <w:rPr>
            <w:noProof/>
            <w:webHidden/>
            <w:szCs w:val="24"/>
          </w:rPr>
          <w:fldChar w:fldCharType="end"/>
        </w:r>
      </w:hyperlink>
    </w:p>
    <w:p w14:paraId="31587945" w14:textId="77777777" w:rsidR="002F0B5F" w:rsidRPr="005234DA" w:rsidRDefault="00823A47">
      <w:pPr>
        <w:pStyle w:val="34"/>
        <w:rPr>
          <w:rFonts w:eastAsiaTheme="minorEastAsia"/>
          <w:noProof/>
          <w:szCs w:val="24"/>
          <w:lang w:eastAsia="ru-RU"/>
        </w:rPr>
      </w:pPr>
      <w:hyperlink w:anchor="_Toc86133410" w:history="1">
        <w:r w:rsidR="002F0B5F" w:rsidRPr="005234DA">
          <w:rPr>
            <w:rStyle w:val="affd"/>
            <w:iCs/>
            <w:noProof/>
            <w:szCs w:val="24"/>
          </w:rPr>
          <w:t>3.1.8. Терапия при неудаче второй и последующих линий лечения</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_Toc86133410 \h </w:instrText>
        </w:r>
        <w:r w:rsidR="002F0B5F" w:rsidRPr="005234DA">
          <w:rPr>
            <w:noProof/>
            <w:webHidden/>
            <w:szCs w:val="24"/>
          </w:rPr>
        </w:r>
        <w:r w:rsidR="002F0B5F" w:rsidRPr="005234DA">
          <w:rPr>
            <w:noProof/>
            <w:webHidden/>
            <w:szCs w:val="24"/>
          </w:rPr>
          <w:fldChar w:fldCharType="separate"/>
        </w:r>
        <w:r w:rsidR="00717B3F">
          <w:rPr>
            <w:noProof/>
            <w:webHidden/>
            <w:szCs w:val="24"/>
          </w:rPr>
          <w:t>30</w:t>
        </w:r>
        <w:r w:rsidR="002F0B5F" w:rsidRPr="005234DA">
          <w:rPr>
            <w:noProof/>
            <w:webHidden/>
            <w:szCs w:val="24"/>
          </w:rPr>
          <w:fldChar w:fldCharType="end"/>
        </w:r>
      </w:hyperlink>
    </w:p>
    <w:p w14:paraId="2A310E61" w14:textId="77777777" w:rsidR="002F0B5F" w:rsidRPr="005234DA" w:rsidRDefault="00823A47">
      <w:pPr>
        <w:pStyle w:val="34"/>
        <w:rPr>
          <w:rFonts w:eastAsiaTheme="minorEastAsia"/>
          <w:noProof/>
          <w:szCs w:val="24"/>
          <w:lang w:eastAsia="ru-RU"/>
        </w:rPr>
      </w:pPr>
      <w:hyperlink w:anchor="_Toc86133411" w:history="1">
        <w:r w:rsidR="002F0B5F" w:rsidRPr="005234DA">
          <w:rPr>
            <w:rStyle w:val="affd"/>
            <w:iCs/>
            <w:noProof/>
            <w:szCs w:val="24"/>
          </w:rPr>
          <w:t>3.1.9. Циторедуктивная и цитостатическая терапия</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_Toc86133411 \h </w:instrText>
        </w:r>
        <w:r w:rsidR="002F0B5F" w:rsidRPr="005234DA">
          <w:rPr>
            <w:noProof/>
            <w:webHidden/>
            <w:szCs w:val="24"/>
          </w:rPr>
        </w:r>
        <w:r w:rsidR="002F0B5F" w:rsidRPr="005234DA">
          <w:rPr>
            <w:noProof/>
            <w:webHidden/>
            <w:szCs w:val="24"/>
          </w:rPr>
          <w:fldChar w:fldCharType="separate"/>
        </w:r>
        <w:r w:rsidR="00717B3F">
          <w:rPr>
            <w:noProof/>
            <w:webHidden/>
            <w:szCs w:val="24"/>
          </w:rPr>
          <w:t>31</w:t>
        </w:r>
        <w:r w:rsidR="002F0B5F" w:rsidRPr="005234DA">
          <w:rPr>
            <w:noProof/>
            <w:webHidden/>
            <w:szCs w:val="24"/>
          </w:rPr>
          <w:fldChar w:fldCharType="end"/>
        </w:r>
      </w:hyperlink>
    </w:p>
    <w:p w14:paraId="37016F90" w14:textId="77777777" w:rsidR="002F0B5F" w:rsidRPr="005234DA" w:rsidRDefault="00823A47">
      <w:pPr>
        <w:pStyle w:val="34"/>
        <w:rPr>
          <w:rFonts w:eastAsiaTheme="minorEastAsia"/>
          <w:noProof/>
          <w:szCs w:val="24"/>
          <w:lang w:eastAsia="ru-RU"/>
        </w:rPr>
      </w:pPr>
      <w:hyperlink w:anchor="_Toc86133412" w:history="1">
        <w:r w:rsidR="002F0B5F" w:rsidRPr="005234DA">
          <w:rPr>
            <w:rStyle w:val="affd"/>
            <w:iCs/>
            <w:noProof/>
            <w:szCs w:val="24"/>
          </w:rPr>
          <w:t>3.1.10. Терапия интерфероном альфа</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_Toc86133412 \h </w:instrText>
        </w:r>
        <w:r w:rsidR="002F0B5F" w:rsidRPr="005234DA">
          <w:rPr>
            <w:noProof/>
            <w:webHidden/>
            <w:szCs w:val="24"/>
          </w:rPr>
        </w:r>
        <w:r w:rsidR="002F0B5F" w:rsidRPr="005234DA">
          <w:rPr>
            <w:noProof/>
            <w:webHidden/>
            <w:szCs w:val="24"/>
          </w:rPr>
          <w:fldChar w:fldCharType="separate"/>
        </w:r>
        <w:r w:rsidR="00717B3F">
          <w:rPr>
            <w:noProof/>
            <w:webHidden/>
            <w:szCs w:val="24"/>
          </w:rPr>
          <w:t>32</w:t>
        </w:r>
        <w:r w:rsidR="002F0B5F" w:rsidRPr="005234DA">
          <w:rPr>
            <w:noProof/>
            <w:webHidden/>
            <w:szCs w:val="24"/>
          </w:rPr>
          <w:fldChar w:fldCharType="end"/>
        </w:r>
      </w:hyperlink>
    </w:p>
    <w:p w14:paraId="4D21B65D" w14:textId="77777777" w:rsidR="002F0B5F" w:rsidRPr="005234DA" w:rsidRDefault="00823A47">
      <w:pPr>
        <w:pStyle w:val="22"/>
        <w:rPr>
          <w:rFonts w:ascii="Times New Roman" w:eastAsiaTheme="minorEastAsia" w:hAnsi="Times New Roman"/>
          <w:noProof/>
          <w:sz w:val="24"/>
          <w:szCs w:val="24"/>
          <w:lang w:eastAsia="ru-RU"/>
        </w:rPr>
      </w:pPr>
      <w:hyperlink w:anchor="_Toc86133413" w:history="1">
        <w:r w:rsidR="002F0B5F" w:rsidRPr="005234DA">
          <w:rPr>
            <w:rStyle w:val="affd"/>
            <w:rFonts w:ascii="Times New Roman" w:hAnsi="Times New Roman"/>
            <w:noProof/>
            <w:sz w:val="24"/>
            <w:szCs w:val="24"/>
            <w:lang w:eastAsia="ru-RU"/>
          </w:rPr>
          <w:t>3.2. Иное лечение</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_Toc86133413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717B3F">
          <w:rPr>
            <w:rFonts w:ascii="Times New Roman" w:hAnsi="Times New Roman"/>
            <w:noProof/>
            <w:webHidden/>
            <w:sz w:val="24"/>
            <w:szCs w:val="24"/>
          </w:rPr>
          <w:t>32</w:t>
        </w:r>
        <w:r w:rsidR="002F0B5F" w:rsidRPr="005234DA">
          <w:rPr>
            <w:rFonts w:ascii="Times New Roman" w:hAnsi="Times New Roman"/>
            <w:noProof/>
            <w:webHidden/>
            <w:sz w:val="24"/>
            <w:szCs w:val="24"/>
          </w:rPr>
          <w:fldChar w:fldCharType="end"/>
        </w:r>
      </w:hyperlink>
    </w:p>
    <w:p w14:paraId="215DD977" w14:textId="77777777" w:rsidR="002F0B5F" w:rsidRPr="005234DA" w:rsidRDefault="00823A47">
      <w:pPr>
        <w:pStyle w:val="34"/>
        <w:rPr>
          <w:rFonts w:eastAsiaTheme="minorEastAsia"/>
          <w:noProof/>
          <w:szCs w:val="24"/>
          <w:lang w:eastAsia="ru-RU"/>
        </w:rPr>
      </w:pPr>
      <w:hyperlink w:anchor="_Toc86133414" w:history="1">
        <w:r w:rsidR="002F0B5F" w:rsidRPr="005234DA">
          <w:rPr>
            <w:rStyle w:val="affd"/>
            <w:iCs/>
            <w:noProof/>
            <w:szCs w:val="24"/>
          </w:rPr>
          <w:t>3.2.1. Показания к аллогенной ТГСК при ХМЛ</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_Toc86133414 \h </w:instrText>
        </w:r>
        <w:r w:rsidR="002F0B5F" w:rsidRPr="005234DA">
          <w:rPr>
            <w:noProof/>
            <w:webHidden/>
            <w:szCs w:val="24"/>
          </w:rPr>
        </w:r>
        <w:r w:rsidR="002F0B5F" w:rsidRPr="005234DA">
          <w:rPr>
            <w:noProof/>
            <w:webHidden/>
            <w:szCs w:val="24"/>
          </w:rPr>
          <w:fldChar w:fldCharType="separate"/>
        </w:r>
        <w:r w:rsidR="00717B3F">
          <w:rPr>
            <w:noProof/>
            <w:webHidden/>
            <w:szCs w:val="24"/>
          </w:rPr>
          <w:t>33</w:t>
        </w:r>
        <w:r w:rsidR="002F0B5F" w:rsidRPr="005234DA">
          <w:rPr>
            <w:noProof/>
            <w:webHidden/>
            <w:szCs w:val="24"/>
          </w:rPr>
          <w:fldChar w:fldCharType="end"/>
        </w:r>
      </w:hyperlink>
    </w:p>
    <w:p w14:paraId="286C6F3E" w14:textId="77777777" w:rsidR="002F0B5F" w:rsidRPr="005234DA" w:rsidRDefault="00823A47">
      <w:pPr>
        <w:pStyle w:val="34"/>
        <w:rPr>
          <w:rFonts w:eastAsiaTheme="minorEastAsia"/>
          <w:noProof/>
          <w:szCs w:val="24"/>
          <w:lang w:eastAsia="ru-RU"/>
        </w:rPr>
      </w:pPr>
      <w:hyperlink w:anchor="_Toc86133415" w:history="1">
        <w:r w:rsidR="002F0B5F" w:rsidRPr="005234DA">
          <w:rPr>
            <w:rStyle w:val="affd"/>
            <w:iCs/>
            <w:noProof/>
            <w:szCs w:val="24"/>
          </w:rPr>
          <w:t>3.2.2. Сопроводительная терапия</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_Toc86133415 \h </w:instrText>
        </w:r>
        <w:r w:rsidR="002F0B5F" w:rsidRPr="005234DA">
          <w:rPr>
            <w:noProof/>
            <w:webHidden/>
            <w:szCs w:val="24"/>
          </w:rPr>
        </w:r>
        <w:r w:rsidR="002F0B5F" w:rsidRPr="005234DA">
          <w:rPr>
            <w:noProof/>
            <w:webHidden/>
            <w:szCs w:val="24"/>
          </w:rPr>
          <w:fldChar w:fldCharType="separate"/>
        </w:r>
        <w:r w:rsidR="00717B3F">
          <w:rPr>
            <w:noProof/>
            <w:webHidden/>
            <w:szCs w:val="24"/>
          </w:rPr>
          <w:t>33</w:t>
        </w:r>
        <w:r w:rsidR="002F0B5F" w:rsidRPr="005234DA">
          <w:rPr>
            <w:noProof/>
            <w:webHidden/>
            <w:szCs w:val="24"/>
          </w:rPr>
          <w:fldChar w:fldCharType="end"/>
        </w:r>
      </w:hyperlink>
    </w:p>
    <w:p w14:paraId="62F45C29" w14:textId="77777777" w:rsidR="002F0B5F" w:rsidRPr="005234DA" w:rsidRDefault="00823A47">
      <w:pPr>
        <w:pStyle w:val="19"/>
        <w:rPr>
          <w:rFonts w:eastAsiaTheme="minorEastAsia"/>
          <w:noProof/>
          <w:szCs w:val="24"/>
          <w:lang w:eastAsia="ru-RU"/>
        </w:rPr>
      </w:pPr>
      <w:hyperlink w:anchor="_Toc86133416" w:history="1">
        <w:r w:rsidR="002F0B5F" w:rsidRPr="005234DA">
          <w:rPr>
            <w:rStyle w:val="affd"/>
            <w:noProof/>
            <w:szCs w:val="24"/>
          </w:rPr>
          <w:t>4. Медицинская реабилитация, медицинские показания и противопоказания к применению методов реабилитации</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_Toc86133416 \h </w:instrText>
        </w:r>
        <w:r w:rsidR="002F0B5F" w:rsidRPr="005234DA">
          <w:rPr>
            <w:noProof/>
            <w:webHidden/>
            <w:szCs w:val="24"/>
          </w:rPr>
        </w:r>
        <w:r w:rsidR="002F0B5F" w:rsidRPr="005234DA">
          <w:rPr>
            <w:noProof/>
            <w:webHidden/>
            <w:szCs w:val="24"/>
          </w:rPr>
          <w:fldChar w:fldCharType="separate"/>
        </w:r>
        <w:r w:rsidR="00717B3F">
          <w:rPr>
            <w:noProof/>
            <w:webHidden/>
            <w:szCs w:val="24"/>
          </w:rPr>
          <w:t>34</w:t>
        </w:r>
        <w:r w:rsidR="002F0B5F" w:rsidRPr="005234DA">
          <w:rPr>
            <w:noProof/>
            <w:webHidden/>
            <w:szCs w:val="24"/>
          </w:rPr>
          <w:fldChar w:fldCharType="end"/>
        </w:r>
      </w:hyperlink>
    </w:p>
    <w:p w14:paraId="53808B67" w14:textId="77777777" w:rsidR="002F0B5F" w:rsidRPr="005234DA" w:rsidRDefault="00823A47">
      <w:pPr>
        <w:pStyle w:val="19"/>
        <w:rPr>
          <w:rFonts w:eastAsiaTheme="minorEastAsia"/>
          <w:noProof/>
          <w:szCs w:val="24"/>
          <w:lang w:eastAsia="ru-RU"/>
        </w:rPr>
      </w:pPr>
      <w:hyperlink w:anchor="_Toc86133417" w:history="1">
        <w:r w:rsidR="002F0B5F" w:rsidRPr="005234DA">
          <w:rPr>
            <w:rStyle w:val="affd"/>
            <w:noProof/>
            <w:szCs w:val="24"/>
          </w:rPr>
          <w:t>5. Профилактика и диспансерное наблюдение, медицинские показания и противопоказания к применению методов профилактики</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_Toc86133417 \h </w:instrText>
        </w:r>
        <w:r w:rsidR="002F0B5F" w:rsidRPr="005234DA">
          <w:rPr>
            <w:noProof/>
            <w:webHidden/>
            <w:szCs w:val="24"/>
          </w:rPr>
        </w:r>
        <w:r w:rsidR="002F0B5F" w:rsidRPr="005234DA">
          <w:rPr>
            <w:noProof/>
            <w:webHidden/>
            <w:szCs w:val="24"/>
          </w:rPr>
          <w:fldChar w:fldCharType="separate"/>
        </w:r>
        <w:r w:rsidR="00717B3F">
          <w:rPr>
            <w:noProof/>
            <w:webHidden/>
            <w:szCs w:val="24"/>
          </w:rPr>
          <w:t>35</w:t>
        </w:r>
        <w:r w:rsidR="002F0B5F" w:rsidRPr="005234DA">
          <w:rPr>
            <w:noProof/>
            <w:webHidden/>
            <w:szCs w:val="24"/>
          </w:rPr>
          <w:fldChar w:fldCharType="end"/>
        </w:r>
      </w:hyperlink>
    </w:p>
    <w:p w14:paraId="0570C796" w14:textId="77777777" w:rsidR="002F0B5F" w:rsidRPr="005234DA" w:rsidRDefault="00823A47">
      <w:pPr>
        <w:pStyle w:val="19"/>
        <w:rPr>
          <w:rFonts w:eastAsiaTheme="minorEastAsia"/>
          <w:noProof/>
          <w:szCs w:val="24"/>
          <w:lang w:eastAsia="ru-RU"/>
        </w:rPr>
      </w:pPr>
      <w:hyperlink w:anchor="_Toc86133418" w:history="1">
        <w:r w:rsidR="002F0B5F" w:rsidRPr="005234DA">
          <w:rPr>
            <w:rStyle w:val="affd"/>
            <w:noProof/>
            <w:szCs w:val="24"/>
          </w:rPr>
          <w:t>6. Организация оказания медицинской помощи</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_Toc86133418 \h </w:instrText>
        </w:r>
        <w:r w:rsidR="002F0B5F" w:rsidRPr="005234DA">
          <w:rPr>
            <w:noProof/>
            <w:webHidden/>
            <w:szCs w:val="24"/>
          </w:rPr>
        </w:r>
        <w:r w:rsidR="002F0B5F" w:rsidRPr="005234DA">
          <w:rPr>
            <w:noProof/>
            <w:webHidden/>
            <w:szCs w:val="24"/>
          </w:rPr>
          <w:fldChar w:fldCharType="separate"/>
        </w:r>
        <w:r w:rsidR="00717B3F">
          <w:rPr>
            <w:noProof/>
            <w:webHidden/>
            <w:szCs w:val="24"/>
          </w:rPr>
          <w:t>36</w:t>
        </w:r>
        <w:r w:rsidR="002F0B5F" w:rsidRPr="005234DA">
          <w:rPr>
            <w:noProof/>
            <w:webHidden/>
            <w:szCs w:val="24"/>
          </w:rPr>
          <w:fldChar w:fldCharType="end"/>
        </w:r>
      </w:hyperlink>
    </w:p>
    <w:p w14:paraId="52A57ED0" w14:textId="77777777" w:rsidR="002F0B5F" w:rsidRPr="005234DA" w:rsidRDefault="00823A47">
      <w:pPr>
        <w:pStyle w:val="19"/>
        <w:rPr>
          <w:rFonts w:eastAsiaTheme="minorEastAsia"/>
          <w:noProof/>
          <w:szCs w:val="24"/>
          <w:lang w:eastAsia="ru-RU"/>
        </w:rPr>
      </w:pPr>
      <w:hyperlink w:anchor="_Toc86133419" w:history="1">
        <w:r w:rsidR="002F0B5F" w:rsidRPr="005234DA">
          <w:rPr>
            <w:rStyle w:val="affd"/>
            <w:noProof/>
            <w:szCs w:val="24"/>
          </w:rPr>
          <w:t>7. Дополнительная информация (в том числе факторы, влияющие на исход заболевания или состояния)</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_Toc86133419 \h </w:instrText>
        </w:r>
        <w:r w:rsidR="002F0B5F" w:rsidRPr="005234DA">
          <w:rPr>
            <w:noProof/>
            <w:webHidden/>
            <w:szCs w:val="24"/>
          </w:rPr>
        </w:r>
        <w:r w:rsidR="002F0B5F" w:rsidRPr="005234DA">
          <w:rPr>
            <w:noProof/>
            <w:webHidden/>
            <w:szCs w:val="24"/>
          </w:rPr>
          <w:fldChar w:fldCharType="separate"/>
        </w:r>
        <w:r w:rsidR="00717B3F">
          <w:rPr>
            <w:noProof/>
            <w:webHidden/>
            <w:szCs w:val="24"/>
          </w:rPr>
          <w:t>38</w:t>
        </w:r>
        <w:r w:rsidR="002F0B5F" w:rsidRPr="005234DA">
          <w:rPr>
            <w:noProof/>
            <w:webHidden/>
            <w:szCs w:val="24"/>
          </w:rPr>
          <w:fldChar w:fldCharType="end"/>
        </w:r>
      </w:hyperlink>
    </w:p>
    <w:p w14:paraId="31FEC9AE" w14:textId="77777777" w:rsidR="002F0B5F" w:rsidRPr="005234DA" w:rsidRDefault="00823A47">
      <w:pPr>
        <w:pStyle w:val="19"/>
        <w:rPr>
          <w:rFonts w:eastAsiaTheme="minorEastAsia"/>
          <w:noProof/>
          <w:szCs w:val="24"/>
          <w:lang w:eastAsia="ru-RU"/>
        </w:rPr>
      </w:pPr>
      <w:hyperlink w:anchor="_Toc86133420" w:history="1">
        <w:r w:rsidR="002F0B5F" w:rsidRPr="005234DA">
          <w:rPr>
            <w:rStyle w:val="affd"/>
            <w:noProof/>
            <w:szCs w:val="24"/>
          </w:rPr>
          <w:t>Список литературы</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_Toc86133420 \h </w:instrText>
        </w:r>
        <w:r w:rsidR="002F0B5F" w:rsidRPr="005234DA">
          <w:rPr>
            <w:noProof/>
            <w:webHidden/>
            <w:szCs w:val="24"/>
          </w:rPr>
        </w:r>
        <w:r w:rsidR="002F0B5F" w:rsidRPr="005234DA">
          <w:rPr>
            <w:noProof/>
            <w:webHidden/>
            <w:szCs w:val="24"/>
          </w:rPr>
          <w:fldChar w:fldCharType="separate"/>
        </w:r>
        <w:r w:rsidR="00717B3F">
          <w:rPr>
            <w:noProof/>
            <w:webHidden/>
            <w:szCs w:val="24"/>
          </w:rPr>
          <w:t>56</w:t>
        </w:r>
        <w:r w:rsidR="002F0B5F" w:rsidRPr="005234DA">
          <w:rPr>
            <w:noProof/>
            <w:webHidden/>
            <w:szCs w:val="24"/>
          </w:rPr>
          <w:fldChar w:fldCharType="end"/>
        </w:r>
      </w:hyperlink>
    </w:p>
    <w:p w14:paraId="168BE311" w14:textId="77777777" w:rsidR="002F0B5F" w:rsidRPr="005234DA" w:rsidRDefault="00823A47">
      <w:pPr>
        <w:pStyle w:val="19"/>
        <w:rPr>
          <w:rFonts w:eastAsiaTheme="minorEastAsia"/>
          <w:noProof/>
          <w:szCs w:val="24"/>
          <w:lang w:eastAsia="ru-RU"/>
        </w:rPr>
      </w:pPr>
      <w:hyperlink w:anchor="_Toc86133421" w:history="1">
        <w:r w:rsidR="002F0B5F" w:rsidRPr="005234DA">
          <w:rPr>
            <w:rStyle w:val="affd"/>
            <w:noProof/>
            <w:szCs w:val="24"/>
          </w:rPr>
          <w:t>Приложение А1. Состав рабочей группы по разработке и пересмотру клинических рекомендаций</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_Toc86133421 \h </w:instrText>
        </w:r>
        <w:r w:rsidR="002F0B5F" w:rsidRPr="005234DA">
          <w:rPr>
            <w:noProof/>
            <w:webHidden/>
            <w:szCs w:val="24"/>
          </w:rPr>
        </w:r>
        <w:r w:rsidR="002F0B5F" w:rsidRPr="005234DA">
          <w:rPr>
            <w:noProof/>
            <w:webHidden/>
            <w:szCs w:val="24"/>
          </w:rPr>
          <w:fldChar w:fldCharType="separate"/>
        </w:r>
        <w:r w:rsidR="00717B3F">
          <w:rPr>
            <w:noProof/>
            <w:webHidden/>
            <w:szCs w:val="24"/>
          </w:rPr>
          <w:t>66</w:t>
        </w:r>
        <w:r w:rsidR="002F0B5F" w:rsidRPr="005234DA">
          <w:rPr>
            <w:noProof/>
            <w:webHidden/>
            <w:szCs w:val="24"/>
          </w:rPr>
          <w:fldChar w:fldCharType="end"/>
        </w:r>
      </w:hyperlink>
    </w:p>
    <w:p w14:paraId="0F92C843" w14:textId="77777777" w:rsidR="002F0B5F" w:rsidRPr="005234DA" w:rsidRDefault="00823A47">
      <w:pPr>
        <w:pStyle w:val="19"/>
        <w:rPr>
          <w:rFonts w:eastAsiaTheme="minorEastAsia"/>
          <w:noProof/>
          <w:szCs w:val="24"/>
          <w:lang w:eastAsia="ru-RU"/>
        </w:rPr>
      </w:pPr>
      <w:hyperlink w:anchor="_Toc86133422" w:history="1">
        <w:r w:rsidR="002F0B5F" w:rsidRPr="005234DA">
          <w:rPr>
            <w:rStyle w:val="affd"/>
            <w:noProof/>
            <w:szCs w:val="24"/>
          </w:rPr>
          <w:t>Приложение А2. Методология разработки клинических рекомендаций</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_Toc86133422 \h </w:instrText>
        </w:r>
        <w:r w:rsidR="002F0B5F" w:rsidRPr="005234DA">
          <w:rPr>
            <w:noProof/>
            <w:webHidden/>
            <w:szCs w:val="24"/>
          </w:rPr>
        </w:r>
        <w:r w:rsidR="002F0B5F" w:rsidRPr="005234DA">
          <w:rPr>
            <w:noProof/>
            <w:webHidden/>
            <w:szCs w:val="24"/>
          </w:rPr>
          <w:fldChar w:fldCharType="separate"/>
        </w:r>
        <w:r w:rsidR="00717B3F">
          <w:rPr>
            <w:noProof/>
            <w:webHidden/>
            <w:szCs w:val="24"/>
          </w:rPr>
          <w:t>69</w:t>
        </w:r>
        <w:r w:rsidR="002F0B5F" w:rsidRPr="005234DA">
          <w:rPr>
            <w:noProof/>
            <w:webHidden/>
            <w:szCs w:val="24"/>
          </w:rPr>
          <w:fldChar w:fldCharType="end"/>
        </w:r>
      </w:hyperlink>
    </w:p>
    <w:p w14:paraId="0D1977F4" w14:textId="77777777" w:rsidR="002F0B5F" w:rsidRPr="005234DA" w:rsidRDefault="00823A47">
      <w:pPr>
        <w:pStyle w:val="19"/>
        <w:rPr>
          <w:rFonts w:eastAsiaTheme="minorEastAsia"/>
          <w:noProof/>
          <w:szCs w:val="24"/>
          <w:lang w:eastAsia="ru-RU"/>
        </w:rPr>
      </w:pPr>
      <w:hyperlink w:anchor="_Toc86133423" w:history="1">
        <w:r w:rsidR="002F0B5F" w:rsidRPr="005234DA">
          <w:rPr>
            <w:rStyle w:val="affd"/>
            <w:noProof/>
            <w:szCs w:val="24"/>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_Toc86133423 \h </w:instrText>
        </w:r>
        <w:r w:rsidR="002F0B5F" w:rsidRPr="005234DA">
          <w:rPr>
            <w:noProof/>
            <w:webHidden/>
            <w:szCs w:val="24"/>
          </w:rPr>
        </w:r>
        <w:r w:rsidR="002F0B5F" w:rsidRPr="005234DA">
          <w:rPr>
            <w:noProof/>
            <w:webHidden/>
            <w:szCs w:val="24"/>
          </w:rPr>
          <w:fldChar w:fldCharType="separate"/>
        </w:r>
        <w:r w:rsidR="00717B3F">
          <w:rPr>
            <w:noProof/>
            <w:webHidden/>
            <w:szCs w:val="24"/>
          </w:rPr>
          <w:t>73</w:t>
        </w:r>
        <w:r w:rsidR="002F0B5F" w:rsidRPr="005234DA">
          <w:rPr>
            <w:noProof/>
            <w:webHidden/>
            <w:szCs w:val="24"/>
          </w:rPr>
          <w:fldChar w:fldCharType="end"/>
        </w:r>
      </w:hyperlink>
    </w:p>
    <w:p w14:paraId="251B754D" w14:textId="77777777" w:rsidR="002F0B5F" w:rsidRPr="005234DA" w:rsidRDefault="00823A47">
      <w:pPr>
        <w:pStyle w:val="19"/>
        <w:rPr>
          <w:rFonts w:eastAsiaTheme="minorEastAsia"/>
          <w:noProof/>
          <w:szCs w:val="24"/>
          <w:lang w:eastAsia="ru-RU"/>
        </w:rPr>
      </w:pPr>
      <w:hyperlink w:anchor="_Toc86133424" w:history="1">
        <w:r w:rsidR="002F0B5F" w:rsidRPr="005234DA">
          <w:rPr>
            <w:rStyle w:val="affd"/>
            <w:noProof/>
            <w:szCs w:val="24"/>
          </w:rPr>
          <w:t>Приложение Б. Алгоритмы действий врача</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_Toc86133424 \h </w:instrText>
        </w:r>
        <w:r w:rsidR="002F0B5F" w:rsidRPr="005234DA">
          <w:rPr>
            <w:noProof/>
            <w:webHidden/>
            <w:szCs w:val="24"/>
          </w:rPr>
        </w:r>
        <w:r w:rsidR="002F0B5F" w:rsidRPr="005234DA">
          <w:rPr>
            <w:noProof/>
            <w:webHidden/>
            <w:szCs w:val="24"/>
          </w:rPr>
          <w:fldChar w:fldCharType="separate"/>
        </w:r>
        <w:r w:rsidR="00717B3F">
          <w:rPr>
            <w:noProof/>
            <w:webHidden/>
            <w:szCs w:val="24"/>
          </w:rPr>
          <w:t>74</w:t>
        </w:r>
        <w:r w:rsidR="002F0B5F" w:rsidRPr="005234DA">
          <w:rPr>
            <w:noProof/>
            <w:webHidden/>
            <w:szCs w:val="24"/>
          </w:rPr>
          <w:fldChar w:fldCharType="end"/>
        </w:r>
      </w:hyperlink>
    </w:p>
    <w:p w14:paraId="296FE483" w14:textId="77777777" w:rsidR="002F0B5F" w:rsidRPr="005234DA" w:rsidRDefault="00823A47">
      <w:pPr>
        <w:pStyle w:val="19"/>
        <w:rPr>
          <w:rFonts w:eastAsiaTheme="minorEastAsia"/>
          <w:noProof/>
          <w:szCs w:val="24"/>
          <w:lang w:eastAsia="ru-RU"/>
        </w:rPr>
      </w:pPr>
      <w:hyperlink w:anchor="_Toc86133425" w:history="1">
        <w:r w:rsidR="002F0B5F" w:rsidRPr="005234DA">
          <w:rPr>
            <w:rStyle w:val="affd"/>
            <w:noProof/>
            <w:szCs w:val="24"/>
          </w:rPr>
          <w:t>Приложение В. Информация для пациента</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_Toc86133425 \h </w:instrText>
        </w:r>
        <w:r w:rsidR="002F0B5F" w:rsidRPr="005234DA">
          <w:rPr>
            <w:noProof/>
            <w:webHidden/>
            <w:szCs w:val="24"/>
          </w:rPr>
        </w:r>
        <w:r w:rsidR="002F0B5F" w:rsidRPr="005234DA">
          <w:rPr>
            <w:noProof/>
            <w:webHidden/>
            <w:szCs w:val="24"/>
          </w:rPr>
          <w:fldChar w:fldCharType="separate"/>
        </w:r>
        <w:r w:rsidR="00717B3F">
          <w:rPr>
            <w:noProof/>
            <w:webHidden/>
            <w:szCs w:val="24"/>
          </w:rPr>
          <w:t>75</w:t>
        </w:r>
        <w:r w:rsidR="002F0B5F" w:rsidRPr="005234DA">
          <w:rPr>
            <w:noProof/>
            <w:webHidden/>
            <w:szCs w:val="24"/>
          </w:rPr>
          <w:fldChar w:fldCharType="end"/>
        </w:r>
      </w:hyperlink>
    </w:p>
    <w:p w14:paraId="449E51C0" w14:textId="77777777" w:rsidR="002F0B5F" w:rsidRPr="005234DA" w:rsidRDefault="00823A47">
      <w:pPr>
        <w:pStyle w:val="19"/>
        <w:rPr>
          <w:rFonts w:eastAsiaTheme="minorEastAsia"/>
          <w:noProof/>
          <w:szCs w:val="24"/>
          <w:lang w:eastAsia="ru-RU"/>
        </w:rPr>
      </w:pPr>
      <w:hyperlink w:anchor="_Toc86133426" w:history="1">
        <w:r w:rsidR="002F0B5F" w:rsidRPr="005234DA">
          <w:rPr>
            <w:rStyle w:val="affd"/>
            <w:noProof/>
            <w:spacing w:val="2"/>
            <w:szCs w:val="24"/>
          </w:rPr>
          <w:t>Приложение Г1. Шкала оценки тяжести состояния пациента по версии ВОЗ/ECOG</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_Toc86133426 \h </w:instrText>
        </w:r>
        <w:r w:rsidR="002F0B5F" w:rsidRPr="005234DA">
          <w:rPr>
            <w:noProof/>
            <w:webHidden/>
            <w:szCs w:val="24"/>
          </w:rPr>
        </w:r>
        <w:r w:rsidR="002F0B5F" w:rsidRPr="005234DA">
          <w:rPr>
            <w:noProof/>
            <w:webHidden/>
            <w:szCs w:val="24"/>
          </w:rPr>
          <w:fldChar w:fldCharType="separate"/>
        </w:r>
        <w:r w:rsidR="00717B3F">
          <w:rPr>
            <w:noProof/>
            <w:webHidden/>
            <w:szCs w:val="24"/>
          </w:rPr>
          <w:t>78</w:t>
        </w:r>
        <w:r w:rsidR="002F0B5F" w:rsidRPr="005234DA">
          <w:rPr>
            <w:noProof/>
            <w:webHidden/>
            <w:szCs w:val="24"/>
          </w:rPr>
          <w:fldChar w:fldCharType="end"/>
        </w:r>
      </w:hyperlink>
    </w:p>
    <w:p w14:paraId="08B31CA1" w14:textId="0A596FEA" w:rsidR="002F0B5F" w:rsidRPr="005234DA" w:rsidRDefault="00823A47">
      <w:pPr>
        <w:pStyle w:val="19"/>
        <w:rPr>
          <w:rFonts w:eastAsiaTheme="minorEastAsia"/>
          <w:noProof/>
          <w:szCs w:val="24"/>
          <w:lang w:eastAsia="ru-RU"/>
        </w:rPr>
      </w:pPr>
      <w:hyperlink w:anchor="_Toc86133427" w:history="1">
        <w:r w:rsidR="002F0B5F" w:rsidRPr="005234DA">
          <w:rPr>
            <w:rStyle w:val="affd"/>
            <w:noProof/>
            <w:szCs w:val="24"/>
          </w:rPr>
          <w:t>Приложение Г2. Критерии токсичности NCI CTCAE</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_Toc86133427 \h </w:instrText>
        </w:r>
        <w:r w:rsidR="002F0B5F" w:rsidRPr="005234DA">
          <w:rPr>
            <w:noProof/>
            <w:webHidden/>
            <w:szCs w:val="24"/>
          </w:rPr>
        </w:r>
        <w:r w:rsidR="002F0B5F" w:rsidRPr="005234DA">
          <w:rPr>
            <w:noProof/>
            <w:webHidden/>
            <w:szCs w:val="24"/>
          </w:rPr>
          <w:fldChar w:fldCharType="separate"/>
        </w:r>
        <w:r w:rsidR="00717B3F">
          <w:rPr>
            <w:noProof/>
            <w:webHidden/>
            <w:szCs w:val="24"/>
          </w:rPr>
          <w:t>79</w:t>
        </w:r>
        <w:r w:rsidR="002F0B5F" w:rsidRPr="005234DA">
          <w:rPr>
            <w:noProof/>
            <w:webHidden/>
            <w:szCs w:val="24"/>
          </w:rPr>
          <w:fldChar w:fldCharType="end"/>
        </w:r>
      </w:hyperlink>
    </w:p>
    <w:p w14:paraId="04DC44B8" w14:textId="77777777" w:rsidR="000C7098" w:rsidRPr="00062B4F" w:rsidRDefault="000C7098" w:rsidP="009D2E3F">
      <w:pPr>
        <w:ind w:firstLine="0"/>
        <w:jc w:val="left"/>
        <w:rPr>
          <w:b/>
          <w:szCs w:val="24"/>
        </w:rPr>
      </w:pPr>
      <w:r w:rsidRPr="005234DA">
        <w:rPr>
          <w:bCs/>
          <w:szCs w:val="24"/>
        </w:rPr>
        <w:fldChar w:fldCharType="end"/>
      </w:r>
    </w:p>
    <w:p w14:paraId="1144FA2C" w14:textId="77777777" w:rsidR="000C7098" w:rsidRPr="00062B4F" w:rsidRDefault="000C7098" w:rsidP="009D2E3F">
      <w:pPr>
        <w:pageBreakBefore/>
        <w:suppressAutoHyphens/>
        <w:spacing w:before="240"/>
        <w:ind w:firstLine="0"/>
        <w:jc w:val="center"/>
        <w:outlineLvl w:val="0"/>
        <w:rPr>
          <w:b/>
          <w:sz w:val="28"/>
          <w:szCs w:val="28"/>
        </w:rPr>
      </w:pPr>
      <w:bookmarkStart w:id="1" w:name="_Toc86133387"/>
      <w:r w:rsidRPr="00062B4F">
        <w:rPr>
          <w:b/>
          <w:sz w:val="28"/>
          <w:szCs w:val="28"/>
        </w:rPr>
        <w:lastRenderedPageBreak/>
        <w:t>Список сокращений</w:t>
      </w:r>
      <w:bookmarkEnd w:id="1"/>
    </w:p>
    <w:p w14:paraId="1E3E2DB9" w14:textId="77777777" w:rsidR="000C7098" w:rsidRPr="00062B4F" w:rsidRDefault="000C7098" w:rsidP="00C171E7">
      <w:pPr>
        <w:spacing w:line="240" w:lineRule="auto"/>
        <w:ind w:firstLine="0"/>
        <w:rPr>
          <w:szCs w:val="24"/>
          <w:lang w:eastAsia="ru-RU"/>
        </w:rPr>
      </w:pPr>
    </w:p>
    <w:p w14:paraId="526CCD79" w14:textId="0E712285" w:rsidR="000C7098" w:rsidRPr="00062B4F" w:rsidRDefault="000C7098" w:rsidP="00C171E7">
      <w:pPr>
        <w:ind w:firstLine="0"/>
        <w:rPr>
          <w:szCs w:val="24"/>
          <w:lang w:eastAsia="ru-RU"/>
        </w:rPr>
      </w:pPr>
      <w:proofErr w:type="spellStart"/>
      <w:r w:rsidRPr="00062B4F">
        <w:rPr>
          <w:szCs w:val="24"/>
          <w:lang w:eastAsia="ru-RU"/>
        </w:rPr>
        <w:t>аллоТГСК</w:t>
      </w:r>
      <w:proofErr w:type="spellEnd"/>
      <w:r w:rsidRPr="00062B4F">
        <w:rPr>
          <w:szCs w:val="24"/>
          <w:lang w:eastAsia="ru-RU"/>
        </w:rPr>
        <w:t xml:space="preserve"> –</w:t>
      </w:r>
      <w:r w:rsidR="00365A02" w:rsidRPr="00FC558B">
        <w:rPr>
          <w:szCs w:val="24"/>
          <w:lang w:eastAsia="ru-RU"/>
        </w:rPr>
        <w:t>трансплантация</w:t>
      </w:r>
      <w:r w:rsidR="00FC558B" w:rsidRPr="00FC558B">
        <w:rPr>
          <w:szCs w:val="24"/>
          <w:lang w:eastAsia="ru-RU"/>
        </w:rPr>
        <w:t xml:space="preserve"> аллогенных</w:t>
      </w:r>
      <w:r w:rsidR="00365A02" w:rsidRPr="00FC558B">
        <w:rPr>
          <w:szCs w:val="24"/>
          <w:lang w:eastAsia="ru-RU"/>
        </w:rPr>
        <w:t xml:space="preserve"> </w:t>
      </w:r>
      <w:r w:rsidRPr="00FC558B">
        <w:rPr>
          <w:szCs w:val="24"/>
          <w:lang w:eastAsia="ru-RU"/>
        </w:rPr>
        <w:t>гемопоэтических стволовых клеток</w:t>
      </w:r>
    </w:p>
    <w:p w14:paraId="33138ECC" w14:textId="77777777" w:rsidR="000C7098" w:rsidRPr="00062B4F" w:rsidRDefault="000C7098" w:rsidP="00C171E7">
      <w:pPr>
        <w:ind w:firstLine="0"/>
        <w:rPr>
          <w:szCs w:val="24"/>
          <w:lang w:eastAsia="ru-RU"/>
        </w:rPr>
      </w:pPr>
      <w:r w:rsidRPr="00062B4F">
        <w:rPr>
          <w:szCs w:val="24"/>
          <w:lang w:eastAsia="ru-RU"/>
        </w:rPr>
        <w:t>АЧН – абсолютное число нейтрофилов</w:t>
      </w:r>
    </w:p>
    <w:p w14:paraId="1059FAE9" w14:textId="77777777" w:rsidR="000C7098" w:rsidRPr="00062B4F" w:rsidRDefault="000C7098" w:rsidP="00C171E7">
      <w:pPr>
        <w:ind w:firstLine="0"/>
        <w:rPr>
          <w:szCs w:val="24"/>
          <w:lang w:eastAsia="ru-RU"/>
        </w:rPr>
      </w:pPr>
      <w:r w:rsidRPr="00062B4F">
        <w:rPr>
          <w:szCs w:val="24"/>
          <w:lang w:eastAsia="ru-RU"/>
        </w:rPr>
        <w:t xml:space="preserve">БК – </w:t>
      </w:r>
      <w:proofErr w:type="spellStart"/>
      <w:r w:rsidRPr="00062B4F">
        <w:rPr>
          <w:szCs w:val="24"/>
          <w:lang w:eastAsia="ru-RU"/>
        </w:rPr>
        <w:t>бластный</w:t>
      </w:r>
      <w:proofErr w:type="spellEnd"/>
      <w:r w:rsidRPr="00062B4F">
        <w:rPr>
          <w:szCs w:val="24"/>
          <w:lang w:eastAsia="ru-RU"/>
        </w:rPr>
        <w:t xml:space="preserve"> криз</w:t>
      </w:r>
    </w:p>
    <w:p w14:paraId="66FB651B" w14:textId="77777777" w:rsidR="000C7098" w:rsidRPr="00062B4F" w:rsidRDefault="000C7098" w:rsidP="00C171E7">
      <w:pPr>
        <w:ind w:firstLine="0"/>
        <w:rPr>
          <w:szCs w:val="24"/>
          <w:lang w:eastAsia="ru-RU"/>
        </w:rPr>
      </w:pPr>
      <w:r w:rsidRPr="00062B4F">
        <w:rPr>
          <w:szCs w:val="24"/>
          <w:lang w:eastAsia="ru-RU"/>
        </w:rPr>
        <w:t>БМО – большой молекулярный ответ</w:t>
      </w:r>
    </w:p>
    <w:p w14:paraId="556299F2" w14:textId="77777777" w:rsidR="000C7098" w:rsidRPr="00062B4F" w:rsidRDefault="000C7098" w:rsidP="00C171E7">
      <w:pPr>
        <w:ind w:firstLine="0"/>
        <w:rPr>
          <w:szCs w:val="24"/>
          <w:lang w:eastAsia="ru-RU"/>
        </w:rPr>
      </w:pPr>
      <w:r w:rsidRPr="00062B4F">
        <w:rPr>
          <w:szCs w:val="24"/>
          <w:lang w:eastAsia="ru-RU"/>
        </w:rPr>
        <w:t>ВГН – верхняя граница нормы</w:t>
      </w:r>
    </w:p>
    <w:p w14:paraId="42B8AA49" w14:textId="77777777" w:rsidR="000C7098" w:rsidRPr="00062B4F" w:rsidRDefault="000C7098" w:rsidP="00C171E7">
      <w:pPr>
        <w:ind w:firstLine="0"/>
        <w:rPr>
          <w:szCs w:val="24"/>
          <w:lang w:eastAsia="ru-RU"/>
        </w:rPr>
      </w:pPr>
      <w:r w:rsidRPr="00062B4F">
        <w:rPr>
          <w:szCs w:val="24"/>
          <w:lang w:eastAsia="ru-RU"/>
        </w:rPr>
        <w:t>ВОЗ – Всемирная организация здравоохранения</w:t>
      </w:r>
    </w:p>
    <w:p w14:paraId="41699666" w14:textId="77777777" w:rsidR="000C7098" w:rsidRPr="00062B4F" w:rsidRDefault="000C7098" w:rsidP="00C171E7">
      <w:pPr>
        <w:ind w:firstLine="0"/>
        <w:rPr>
          <w:szCs w:val="24"/>
          <w:lang w:eastAsia="ru-RU"/>
        </w:rPr>
      </w:pPr>
      <w:proofErr w:type="spellStart"/>
      <w:r w:rsidRPr="00062B4F">
        <w:rPr>
          <w:szCs w:val="24"/>
          <w:lang w:eastAsia="ru-RU"/>
        </w:rPr>
        <w:t>ГлМО</w:t>
      </w:r>
      <w:proofErr w:type="spellEnd"/>
      <w:r w:rsidRPr="00062B4F">
        <w:rPr>
          <w:szCs w:val="24"/>
          <w:lang w:eastAsia="ru-RU"/>
        </w:rPr>
        <w:t xml:space="preserve"> – глубокий молекулярный ответ</w:t>
      </w:r>
    </w:p>
    <w:p w14:paraId="0ABBA5C5" w14:textId="77777777" w:rsidR="000C7098" w:rsidRPr="00062B4F" w:rsidRDefault="000C7098" w:rsidP="00C171E7">
      <w:pPr>
        <w:ind w:firstLine="0"/>
        <w:rPr>
          <w:szCs w:val="24"/>
          <w:lang w:eastAsia="ru-RU"/>
        </w:rPr>
      </w:pPr>
      <w:r w:rsidRPr="00062B4F">
        <w:rPr>
          <w:szCs w:val="24"/>
          <w:lang w:eastAsia="ru-RU"/>
        </w:rPr>
        <w:t xml:space="preserve">Г-КСФ – </w:t>
      </w:r>
      <w:proofErr w:type="spellStart"/>
      <w:r w:rsidRPr="00062B4F">
        <w:rPr>
          <w:szCs w:val="24"/>
          <w:lang w:eastAsia="ru-RU"/>
        </w:rPr>
        <w:t>гранулоцитарный</w:t>
      </w:r>
      <w:proofErr w:type="spellEnd"/>
      <w:r w:rsidRPr="00062B4F">
        <w:rPr>
          <w:szCs w:val="24"/>
          <w:lang w:eastAsia="ru-RU"/>
        </w:rPr>
        <w:t xml:space="preserve"> </w:t>
      </w:r>
      <w:proofErr w:type="spellStart"/>
      <w:r w:rsidRPr="00062B4F">
        <w:rPr>
          <w:szCs w:val="24"/>
          <w:lang w:eastAsia="ru-RU"/>
        </w:rPr>
        <w:t>колониестимулирующий</w:t>
      </w:r>
      <w:proofErr w:type="spellEnd"/>
      <w:r w:rsidRPr="00062B4F">
        <w:rPr>
          <w:szCs w:val="24"/>
          <w:lang w:eastAsia="ru-RU"/>
        </w:rPr>
        <w:t xml:space="preserve"> фактор</w:t>
      </w:r>
    </w:p>
    <w:p w14:paraId="5BD31A75" w14:textId="77777777" w:rsidR="000C7098" w:rsidRPr="00062B4F" w:rsidRDefault="000C7098" w:rsidP="00C171E7">
      <w:pPr>
        <w:ind w:firstLine="0"/>
        <w:rPr>
          <w:szCs w:val="24"/>
          <w:lang w:eastAsia="ru-RU"/>
        </w:rPr>
      </w:pPr>
      <w:r w:rsidRPr="00062B4F">
        <w:rPr>
          <w:szCs w:val="24"/>
          <w:lang w:eastAsia="ru-RU"/>
        </w:rPr>
        <w:t>ГСК – гемопоэтические стволовые клетки</w:t>
      </w:r>
    </w:p>
    <w:p w14:paraId="4CAAD491" w14:textId="77777777" w:rsidR="000C7098" w:rsidRPr="00062B4F" w:rsidRDefault="000C7098" w:rsidP="00C171E7">
      <w:pPr>
        <w:ind w:firstLine="0"/>
        <w:rPr>
          <w:szCs w:val="24"/>
          <w:lang w:eastAsia="ru-RU"/>
        </w:rPr>
      </w:pPr>
      <w:r w:rsidRPr="00062B4F">
        <w:rPr>
          <w:szCs w:val="24"/>
          <w:lang w:eastAsia="ru-RU"/>
        </w:rPr>
        <w:t>ДХА – дополнительные хромосомные аберрации</w:t>
      </w:r>
    </w:p>
    <w:p w14:paraId="50A9A540" w14:textId="77777777" w:rsidR="000C7098" w:rsidRPr="00062B4F" w:rsidRDefault="000C7098" w:rsidP="00C171E7">
      <w:pPr>
        <w:ind w:firstLine="0"/>
        <w:rPr>
          <w:szCs w:val="24"/>
          <w:lang w:eastAsia="ru-RU"/>
        </w:rPr>
      </w:pPr>
      <w:r w:rsidRPr="00062B4F">
        <w:rPr>
          <w:szCs w:val="24"/>
          <w:lang w:eastAsia="ru-RU"/>
        </w:rPr>
        <w:t xml:space="preserve">ИТК – ингибиторы </w:t>
      </w:r>
      <w:proofErr w:type="spellStart"/>
      <w:r w:rsidRPr="00062B4F">
        <w:rPr>
          <w:szCs w:val="24"/>
          <w:lang w:eastAsia="ru-RU"/>
        </w:rPr>
        <w:t>тирозинкиназ</w:t>
      </w:r>
      <w:proofErr w:type="spellEnd"/>
    </w:p>
    <w:p w14:paraId="17357BA4" w14:textId="77777777" w:rsidR="000C7098" w:rsidRPr="00062B4F" w:rsidRDefault="000C7098" w:rsidP="00C171E7">
      <w:pPr>
        <w:ind w:firstLine="0"/>
        <w:rPr>
          <w:szCs w:val="24"/>
          <w:lang w:eastAsia="ru-RU"/>
        </w:rPr>
      </w:pPr>
      <w:r w:rsidRPr="00062B4F">
        <w:rPr>
          <w:szCs w:val="24"/>
          <w:lang w:eastAsia="ru-RU"/>
        </w:rPr>
        <w:t xml:space="preserve">ИТК1 – ингибиторы </w:t>
      </w:r>
      <w:proofErr w:type="spellStart"/>
      <w:r w:rsidRPr="00062B4F">
        <w:rPr>
          <w:szCs w:val="24"/>
          <w:lang w:eastAsia="ru-RU"/>
        </w:rPr>
        <w:t>тирозинкиназ</w:t>
      </w:r>
      <w:proofErr w:type="spellEnd"/>
      <w:r w:rsidRPr="00062B4F">
        <w:rPr>
          <w:szCs w:val="24"/>
          <w:lang w:eastAsia="ru-RU"/>
        </w:rPr>
        <w:t xml:space="preserve"> первого поколения</w:t>
      </w:r>
    </w:p>
    <w:p w14:paraId="79D511ED" w14:textId="77777777" w:rsidR="000C7098" w:rsidRPr="00062B4F" w:rsidRDefault="000C7098" w:rsidP="00C171E7">
      <w:pPr>
        <w:ind w:firstLine="0"/>
        <w:rPr>
          <w:szCs w:val="24"/>
          <w:lang w:eastAsia="ru-RU"/>
        </w:rPr>
      </w:pPr>
      <w:r w:rsidRPr="00062B4F">
        <w:rPr>
          <w:szCs w:val="24"/>
          <w:lang w:eastAsia="ru-RU"/>
        </w:rPr>
        <w:t xml:space="preserve">ИТК2 – ингибиторы </w:t>
      </w:r>
      <w:proofErr w:type="spellStart"/>
      <w:r w:rsidRPr="00062B4F">
        <w:rPr>
          <w:szCs w:val="24"/>
          <w:lang w:eastAsia="ru-RU"/>
        </w:rPr>
        <w:t>тирозинкиназ</w:t>
      </w:r>
      <w:proofErr w:type="spellEnd"/>
      <w:r w:rsidRPr="00062B4F">
        <w:rPr>
          <w:szCs w:val="24"/>
          <w:lang w:eastAsia="ru-RU"/>
        </w:rPr>
        <w:t xml:space="preserve"> второго поколения</w:t>
      </w:r>
    </w:p>
    <w:p w14:paraId="7E1D98A5" w14:textId="77777777" w:rsidR="000C7098" w:rsidRPr="00062B4F" w:rsidRDefault="000C7098" w:rsidP="00C171E7">
      <w:pPr>
        <w:ind w:firstLine="0"/>
        <w:rPr>
          <w:szCs w:val="24"/>
          <w:lang w:eastAsia="ru-RU"/>
        </w:rPr>
      </w:pPr>
      <w:r w:rsidRPr="00062B4F">
        <w:rPr>
          <w:szCs w:val="24"/>
          <w:lang w:eastAsia="ru-RU"/>
        </w:rPr>
        <w:t>ИФ-α – интерферон-альфа</w:t>
      </w:r>
    </w:p>
    <w:p w14:paraId="5075F358" w14:textId="77777777" w:rsidR="000C7098" w:rsidRPr="00062B4F" w:rsidRDefault="000C7098" w:rsidP="00C171E7">
      <w:pPr>
        <w:ind w:firstLine="0"/>
        <w:rPr>
          <w:szCs w:val="24"/>
          <w:lang w:eastAsia="ru-RU"/>
        </w:rPr>
      </w:pPr>
      <w:r w:rsidRPr="00062B4F">
        <w:rPr>
          <w:szCs w:val="24"/>
          <w:lang w:eastAsia="ru-RU"/>
        </w:rPr>
        <w:t xml:space="preserve">КСФ – </w:t>
      </w:r>
      <w:proofErr w:type="spellStart"/>
      <w:r w:rsidRPr="00062B4F">
        <w:rPr>
          <w:szCs w:val="24"/>
          <w:lang w:eastAsia="ru-RU"/>
        </w:rPr>
        <w:t>колониестимулирующий</w:t>
      </w:r>
      <w:proofErr w:type="spellEnd"/>
      <w:r w:rsidRPr="00062B4F">
        <w:rPr>
          <w:szCs w:val="24"/>
          <w:lang w:eastAsia="ru-RU"/>
        </w:rPr>
        <w:t xml:space="preserve"> фактор</w:t>
      </w:r>
    </w:p>
    <w:p w14:paraId="5805451E" w14:textId="77777777" w:rsidR="000C7098" w:rsidRPr="00062B4F" w:rsidRDefault="000C7098" w:rsidP="00C171E7">
      <w:pPr>
        <w:ind w:firstLine="0"/>
        <w:rPr>
          <w:szCs w:val="24"/>
          <w:lang w:eastAsia="ru-RU"/>
        </w:rPr>
      </w:pPr>
      <w:r w:rsidRPr="00062B4F">
        <w:rPr>
          <w:szCs w:val="24"/>
          <w:lang w:eastAsia="ru-RU"/>
        </w:rPr>
        <w:t>КТ – компьютерная томография</w:t>
      </w:r>
    </w:p>
    <w:p w14:paraId="5D397B0B" w14:textId="77777777" w:rsidR="000C7098" w:rsidRPr="00062B4F" w:rsidRDefault="000C7098" w:rsidP="00C171E7">
      <w:pPr>
        <w:ind w:firstLine="0"/>
        <w:rPr>
          <w:szCs w:val="24"/>
          <w:lang w:eastAsia="ru-RU"/>
        </w:rPr>
      </w:pPr>
      <w:r w:rsidRPr="00062B4F">
        <w:rPr>
          <w:szCs w:val="24"/>
          <w:lang w:eastAsia="ru-RU"/>
        </w:rPr>
        <w:t>ЛАГ – легочная артериальная гипертензия</w:t>
      </w:r>
    </w:p>
    <w:p w14:paraId="01324B76" w14:textId="77777777" w:rsidR="000C7098" w:rsidRPr="00062B4F" w:rsidRDefault="000C7098" w:rsidP="00C171E7">
      <w:pPr>
        <w:ind w:firstLine="0"/>
        <w:rPr>
          <w:szCs w:val="24"/>
          <w:lang w:eastAsia="ru-RU"/>
        </w:rPr>
      </w:pPr>
      <w:r w:rsidRPr="00062B4F">
        <w:rPr>
          <w:szCs w:val="24"/>
          <w:lang w:eastAsia="ru-RU"/>
        </w:rPr>
        <w:t>ЛПНП – липопротеины низкой плотности</w:t>
      </w:r>
    </w:p>
    <w:p w14:paraId="0185A804" w14:textId="77777777" w:rsidR="000C7098" w:rsidRPr="00062B4F" w:rsidRDefault="000C7098" w:rsidP="00C171E7">
      <w:pPr>
        <w:ind w:firstLine="0"/>
        <w:rPr>
          <w:szCs w:val="24"/>
          <w:lang w:eastAsia="ru-RU"/>
        </w:rPr>
      </w:pPr>
      <w:r w:rsidRPr="00062B4F">
        <w:rPr>
          <w:szCs w:val="24"/>
          <w:lang w:eastAsia="ru-RU"/>
        </w:rPr>
        <w:t>ЛВПН – липопротеины высокой плотности</w:t>
      </w:r>
    </w:p>
    <w:p w14:paraId="7F8B5321" w14:textId="77777777" w:rsidR="000C7098" w:rsidRPr="00062B4F" w:rsidRDefault="000C7098" w:rsidP="00C171E7">
      <w:pPr>
        <w:ind w:firstLine="0"/>
        <w:rPr>
          <w:szCs w:val="24"/>
          <w:lang w:eastAsia="ru-RU"/>
        </w:rPr>
      </w:pPr>
      <w:r w:rsidRPr="00062B4F">
        <w:rPr>
          <w:szCs w:val="24"/>
          <w:lang w:eastAsia="ru-RU"/>
        </w:rPr>
        <w:t>МО – молекулярный ответ</w:t>
      </w:r>
    </w:p>
    <w:p w14:paraId="069F29A0" w14:textId="77777777" w:rsidR="000C7098" w:rsidRPr="00062B4F" w:rsidRDefault="000C7098" w:rsidP="00C171E7">
      <w:pPr>
        <w:ind w:firstLine="0"/>
        <w:rPr>
          <w:szCs w:val="24"/>
          <w:lang w:eastAsia="ru-RU"/>
        </w:rPr>
      </w:pPr>
      <w:proofErr w:type="spellStart"/>
      <w:r w:rsidRPr="00062B4F">
        <w:rPr>
          <w:szCs w:val="24"/>
          <w:lang w:eastAsia="ru-RU"/>
        </w:rPr>
        <w:t>мРНК</w:t>
      </w:r>
      <w:proofErr w:type="spellEnd"/>
      <w:r w:rsidRPr="00062B4F">
        <w:rPr>
          <w:szCs w:val="24"/>
          <w:lang w:eastAsia="ru-RU"/>
        </w:rPr>
        <w:t xml:space="preserve"> – матричная РНК</w:t>
      </w:r>
    </w:p>
    <w:p w14:paraId="3726EFAD" w14:textId="77777777" w:rsidR="000C7098" w:rsidRPr="00062B4F" w:rsidRDefault="000C7098" w:rsidP="00C171E7">
      <w:pPr>
        <w:ind w:firstLine="0"/>
        <w:rPr>
          <w:szCs w:val="24"/>
          <w:lang w:eastAsia="ru-RU"/>
        </w:rPr>
      </w:pPr>
      <w:r w:rsidRPr="00062B4F">
        <w:rPr>
          <w:szCs w:val="24"/>
          <w:lang w:eastAsia="ru-RU"/>
        </w:rPr>
        <w:t>НГН – нижняя граница нормы</w:t>
      </w:r>
    </w:p>
    <w:p w14:paraId="6BC584C8" w14:textId="77777777" w:rsidR="000C7098" w:rsidRPr="00062B4F" w:rsidRDefault="000C7098" w:rsidP="00C171E7">
      <w:pPr>
        <w:ind w:firstLine="0"/>
        <w:rPr>
          <w:szCs w:val="24"/>
          <w:lang w:eastAsia="ru-RU"/>
        </w:rPr>
      </w:pPr>
      <w:r w:rsidRPr="00062B4F">
        <w:rPr>
          <w:szCs w:val="24"/>
          <w:lang w:eastAsia="ru-RU"/>
        </w:rPr>
        <w:t>ОТ</w:t>
      </w:r>
      <w:r w:rsidRPr="00062B4F">
        <w:rPr>
          <w:szCs w:val="24"/>
          <w:lang w:eastAsia="ru-RU"/>
        </w:rPr>
        <w:noBreakHyphen/>
        <w:t>ПЦР – полимеразная цепная реакция с обратной транскрипцией</w:t>
      </w:r>
    </w:p>
    <w:p w14:paraId="1383CAB2" w14:textId="77777777" w:rsidR="000C7098" w:rsidRPr="00062B4F" w:rsidRDefault="000C7098" w:rsidP="00C171E7">
      <w:pPr>
        <w:ind w:firstLine="0"/>
        <w:rPr>
          <w:szCs w:val="24"/>
          <w:lang w:eastAsia="ru-RU"/>
        </w:rPr>
      </w:pPr>
      <w:r w:rsidRPr="00062B4F">
        <w:rPr>
          <w:szCs w:val="24"/>
          <w:lang w:eastAsia="ru-RU"/>
        </w:rPr>
        <w:t>ПГО – полный гематологический ответ</w:t>
      </w:r>
    </w:p>
    <w:p w14:paraId="4203C0A4" w14:textId="77777777" w:rsidR="000C7098" w:rsidRPr="00062B4F" w:rsidRDefault="000C7098" w:rsidP="00C171E7">
      <w:pPr>
        <w:ind w:firstLine="0"/>
        <w:rPr>
          <w:szCs w:val="24"/>
          <w:lang w:eastAsia="ru-RU"/>
        </w:rPr>
      </w:pPr>
      <w:r w:rsidRPr="00062B4F">
        <w:rPr>
          <w:szCs w:val="24"/>
          <w:lang w:eastAsia="ru-RU"/>
        </w:rPr>
        <w:t>ПЦО – полный цитогенетический ответ</w:t>
      </w:r>
    </w:p>
    <w:p w14:paraId="25023357" w14:textId="77777777" w:rsidR="000C7098" w:rsidRPr="00062B4F" w:rsidRDefault="000C7098" w:rsidP="00C171E7">
      <w:pPr>
        <w:ind w:firstLine="0"/>
        <w:rPr>
          <w:szCs w:val="24"/>
          <w:lang w:eastAsia="ru-RU"/>
        </w:rPr>
      </w:pPr>
      <w:r w:rsidRPr="00062B4F">
        <w:rPr>
          <w:szCs w:val="24"/>
          <w:lang w:eastAsia="ru-RU"/>
        </w:rPr>
        <w:t>ПЦР – полимеразная цепная реакция</w:t>
      </w:r>
    </w:p>
    <w:p w14:paraId="60784953" w14:textId="16E5A51F" w:rsidR="000C7098" w:rsidRPr="00062B4F" w:rsidRDefault="00E174A2" w:rsidP="00C171E7">
      <w:pPr>
        <w:ind w:firstLine="0"/>
        <w:rPr>
          <w:szCs w:val="24"/>
          <w:lang w:eastAsia="ru-RU"/>
        </w:rPr>
      </w:pPr>
      <w:r>
        <w:rPr>
          <w:szCs w:val="24"/>
          <w:lang w:eastAsia="ru-RU"/>
        </w:rPr>
        <w:t>ПЦР-РВ –</w:t>
      </w:r>
      <w:r w:rsidR="00365A02">
        <w:rPr>
          <w:szCs w:val="24"/>
          <w:lang w:eastAsia="ru-RU"/>
        </w:rPr>
        <w:t xml:space="preserve"> </w:t>
      </w:r>
      <w:r>
        <w:rPr>
          <w:szCs w:val="24"/>
          <w:lang w:eastAsia="ru-RU"/>
        </w:rPr>
        <w:t xml:space="preserve">ПЦР </w:t>
      </w:r>
      <w:r w:rsidRPr="004506F6">
        <w:rPr>
          <w:szCs w:val="24"/>
          <w:lang w:eastAsia="ru-RU"/>
        </w:rPr>
        <w:t xml:space="preserve">в режиме </w:t>
      </w:r>
      <w:r w:rsidR="000C7098" w:rsidRPr="004506F6">
        <w:rPr>
          <w:szCs w:val="24"/>
          <w:lang w:eastAsia="ru-RU"/>
        </w:rPr>
        <w:t>реально</w:t>
      </w:r>
      <w:r w:rsidRPr="004506F6">
        <w:rPr>
          <w:szCs w:val="24"/>
          <w:lang w:eastAsia="ru-RU"/>
        </w:rPr>
        <w:t>го</w:t>
      </w:r>
      <w:r w:rsidR="000C7098" w:rsidRPr="004506F6">
        <w:rPr>
          <w:szCs w:val="24"/>
          <w:lang w:eastAsia="ru-RU"/>
        </w:rPr>
        <w:t xml:space="preserve"> времени</w:t>
      </w:r>
    </w:p>
    <w:p w14:paraId="01A1E241" w14:textId="77777777" w:rsidR="000C7098" w:rsidRPr="00062B4F" w:rsidRDefault="000C7098" w:rsidP="00C171E7">
      <w:pPr>
        <w:ind w:firstLine="0"/>
        <w:rPr>
          <w:szCs w:val="24"/>
          <w:lang w:eastAsia="ru-RU"/>
        </w:rPr>
      </w:pPr>
      <w:r w:rsidRPr="00062B4F">
        <w:rPr>
          <w:szCs w:val="24"/>
          <w:lang w:eastAsia="ru-RU"/>
        </w:rPr>
        <w:t>РБЛ – ремиссия без лечения</w:t>
      </w:r>
    </w:p>
    <w:p w14:paraId="3A7176B6" w14:textId="77777777" w:rsidR="000C7098" w:rsidRPr="00062B4F" w:rsidRDefault="000C7098" w:rsidP="00C171E7">
      <w:pPr>
        <w:ind w:firstLine="0"/>
        <w:rPr>
          <w:szCs w:val="24"/>
          <w:lang w:eastAsia="ru-RU"/>
        </w:rPr>
      </w:pPr>
      <w:r w:rsidRPr="00062B4F">
        <w:rPr>
          <w:szCs w:val="24"/>
          <w:lang w:eastAsia="ru-RU"/>
        </w:rPr>
        <w:t>СЦИ – стандартное цитогенетическое исследование</w:t>
      </w:r>
    </w:p>
    <w:p w14:paraId="2DE3E635" w14:textId="77777777" w:rsidR="000C7098" w:rsidRPr="00062B4F" w:rsidRDefault="000C7098" w:rsidP="00C171E7">
      <w:pPr>
        <w:ind w:firstLine="0"/>
        <w:rPr>
          <w:szCs w:val="24"/>
          <w:lang w:eastAsia="ru-RU"/>
        </w:rPr>
      </w:pPr>
      <w:r w:rsidRPr="00062B4F">
        <w:rPr>
          <w:szCs w:val="24"/>
          <w:lang w:eastAsia="ru-RU"/>
        </w:rPr>
        <w:t>ССЗ – сердечно-сосудистые заболевания</w:t>
      </w:r>
    </w:p>
    <w:p w14:paraId="1B034623" w14:textId="77777777" w:rsidR="000C7098" w:rsidRPr="00062B4F" w:rsidRDefault="000C7098" w:rsidP="00C171E7">
      <w:pPr>
        <w:ind w:firstLine="0"/>
        <w:rPr>
          <w:szCs w:val="24"/>
          <w:lang w:eastAsia="ru-RU"/>
        </w:rPr>
      </w:pPr>
      <w:r w:rsidRPr="00062B4F">
        <w:rPr>
          <w:szCs w:val="24"/>
          <w:lang w:eastAsia="ru-RU"/>
        </w:rPr>
        <w:t>ТКМ – трансплантация костного мозга</w:t>
      </w:r>
    </w:p>
    <w:p w14:paraId="67A6801C" w14:textId="77777777" w:rsidR="000C7098" w:rsidRPr="00062B4F" w:rsidRDefault="000C7098" w:rsidP="00C171E7">
      <w:pPr>
        <w:ind w:firstLine="0"/>
        <w:rPr>
          <w:szCs w:val="24"/>
          <w:lang w:eastAsia="ru-RU"/>
        </w:rPr>
      </w:pPr>
      <w:r w:rsidRPr="00062B4F">
        <w:rPr>
          <w:szCs w:val="24"/>
          <w:lang w:eastAsia="ru-RU"/>
        </w:rPr>
        <w:t>УЗИ – ультразвуковое исследование</w:t>
      </w:r>
    </w:p>
    <w:p w14:paraId="798D9260" w14:textId="77777777" w:rsidR="000C7098" w:rsidRPr="00062B4F" w:rsidRDefault="000C7098" w:rsidP="00C171E7">
      <w:pPr>
        <w:ind w:firstLine="0"/>
        <w:rPr>
          <w:szCs w:val="24"/>
          <w:lang w:eastAsia="ru-RU"/>
        </w:rPr>
      </w:pPr>
      <w:r w:rsidRPr="00062B4F">
        <w:rPr>
          <w:szCs w:val="24"/>
          <w:lang w:eastAsia="ru-RU"/>
        </w:rPr>
        <w:t>УУР – уровень убедительности рекомендаций</w:t>
      </w:r>
    </w:p>
    <w:p w14:paraId="473575C5" w14:textId="77777777" w:rsidR="000C7098" w:rsidRPr="00062B4F" w:rsidRDefault="000C7098" w:rsidP="00C171E7">
      <w:pPr>
        <w:ind w:firstLine="0"/>
        <w:rPr>
          <w:szCs w:val="24"/>
          <w:lang w:eastAsia="ru-RU"/>
        </w:rPr>
      </w:pPr>
      <w:r w:rsidRPr="00062B4F">
        <w:rPr>
          <w:szCs w:val="24"/>
          <w:lang w:eastAsia="ru-RU"/>
        </w:rPr>
        <w:lastRenderedPageBreak/>
        <w:t>УДД – уровень достоверности доказательств</w:t>
      </w:r>
    </w:p>
    <w:p w14:paraId="68F3DB02" w14:textId="77777777" w:rsidR="000C7098" w:rsidRPr="00062B4F" w:rsidRDefault="000C7098" w:rsidP="00C171E7">
      <w:pPr>
        <w:ind w:firstLine="0"/>
        <w:rPr>
          <w:szCs w:val="24"/>
          <w:lang w:eastAsia="ru-RU"/>
        </w:rPr>
      </w:pPr>
      <w:r w:rsidRPr="00062B4F">
        <w:rPr>
          <w:szCs w:val="24"/>
          <w:lang w:eastAsia="ru-RU"/>
        </w:rPr>
        <w:t>ФА – фаза акселерации</w:t>
      </w:r>
    </w:p>
    <w:p w14:paraId="6E25D0C3" w14:textId="77777777" w:rsidR="000C7098" w:rsidRPr="00062B4F" w:rsidRDefault="000C7098" w:rsidP="00C171E7">
      <w:pPr>
        <w:ind w:firstLine="0"/>
        <w:rPr>
          <w:szCs w:val="24"/>
          <w:lang w:eastAsia="ru-RU"/>
        </w:rPr>
      </w:pPr>
      <w:r w:rsidRPr="00062B4F">
        <w:rPr>
          <w:szCs w:val="24"/>
          <w:lang w:eastAsia="ru-RU"/>
        </w:rPr>
        <w:t>ХГЧ – хорионический гонадотропин человека</w:t>
      </w:r>
    </w:p>
    <w:p w14:paraId="3BC6BE67" w14:textId="77777777" w:rsidR="000C7098" w:rsidRPr="00062B4F" w:rsidRDefault="000C7098" w:rsidP="00C171E7">
      <w:pPr>
        <w:ind w:firstLine="0"/>
        <w:rPr>
          <w:szCs w:val="24"/>
          <w:lang w:eastAsia="ru-RU"/>
        </w:rPr>
      </w:pPr>
      <w:r w:rsidRPr="00062B4F">
        <w:rPr>
          <w:szCs w:val="24"/>
          <w:lang w:eastAsia="ru-RU"/>
        </w:rPr>
        <w:t>ХМЛ – хронический миелоидный лейкоз</w:t>
      </w:r>
    </w:p>
    <w:p w14:paraId="52834F1B" w14:textId="77777777" w:rsidR="000C7098" w:rsidRPr="00062B4F" w:rsidRDefault="000C7098" w:rsidP="00C171E7">
      <w:pPr>
        <w:ind w:firstLine="0"/>
        <w:rPr>
          <w:szCs w:val="24"/>
          <w:lang w:eastAsia="ru-RU"/>
        </w:rPr>
      </w:pPr>
      <w:r w:rsidRPr="00062B4F">
        <w:rPr>
          <w:szCs w:val="24"/>
          <w:lang w:eastAsia="ru-RU"/>
        </w:rPr>
        <w:t>ХФ – хроническая фаза</w:t>
      </w:r>
    </w:p>
    <w:p w14:paraId="127EA8E9" w14:textId="77777777" w:rsidR="000C7098" w:rsidRPr="00062B4F" w:rsidRDefault="000C7098" w:rsidP="00C171E7">
      <w:pPr>
        <w:ind w:firstLine="0"/>
        <w:rPr>
          <w:szCs w:val="24"/>
          <w:lang w:eastAsia="ru-RU"/>
        </w:rPr>
      </w:pPr>
      <w:r w:rsidRPr="00062B4F">
        <w:rPr>
          <w:szCs w:val="24"/>
          <w:lang w:eastAsia="ru-RU"/>
        </w:rPr>
        <w:t>ЦО – цитогенетический ответ</w:t>
      </w:r>
    </w:p>
    <w:p w14:paraId="6D76B77B" w14:textId="77777777" w:rsidR="000C7098" w:rsidRPr="00062B4F" w:rsidRDefault="000C7098" w:rsidP="00C171E7">
      <w:pPr>
        <w:ind w:firstLine="0"/>
        <w:rPr>
          <w:szCs w:val="24"/>
          <w:lang w:eastAsia="ru-RU"/>
        </w:rPr>
      </w:pPr>
      <w:r w:rsidRPr="00062B4F">
        <w:rPr>
          <w:szCs w:val="24"/>
          <w:lang w:eastAsia="ru-RU"/>
        </w:rPr>
        <w:t>ЭКГ – электрокардиография/электрокардиограмма</w:t>
      </w:r>
    </w:p>
    <w:p w14:paraId="7E69E2D7" w14:textId="77777777" w:rsidR="000C7098" w:rsidRPr="00062B4F" w:rsidRDefault="000C7098" w:rsidP="00C171E7">
      <w:pPr>
        <w:ind w:firstLine="0"/>
        <w:rPr>
          <w:szCs w:val="24"/>
          <w:lang w:eastAsia="ru-RU"/>
        </w:rPr>
      </w:pPr>
      <w:proofErr w:type="spellStart"/>
      <w:r w:rsidRPr="00062B4F">
        <w:rPr>
          <w:szCs w:val="24"/>
          <w:lang w:eastAsia="ru-RU"/>
        </w:rPr>
        <w:t>Ara</w:t>
      </w:r>
      <w:proofErr w:type="spellEnd"/>
      <w:r w:rsidRPr="00062B4F">
        <w:rPr>
          <w:szCs w:val="24"/>
          <w:lang w:eastAsia="ru-RU"/>
        </w:rPr>
        <w:t xml:space="preserve">-C – </w:t>
      </w:r>
      <w:proofErr w:type="spellStart"/>
      <w:r w:rsidRPr="00062B4F">
        <w:rPr>
          <w:szCs w:val="24"/>
          <w:lang w:eastAsia="ru-RU"/>
        </w:rPr>
        <w:t>цитарабин</w:t>
      </w:r>
      <w:proofErr w:type="spellEnd"/>
    </w:p>
    <w:p w14:paraId="3F30475E" w14:textId="71103A7F" w:rsidR="000C7098" w:rsidRPr="004506F6" w:rsidRDefault="000C7098" w:rsidP="00C171E7">
      <w:pPr>
        <w:ind w:firstLine="0"/>
        <w:rPr>
          <w:szCs w:val="24"/>
          <w:lang w:eastAsia="ru-RU"/>
        </w:rPr>
      </w:pPr>
      <w:proofErr w:type="gramStart"/>
      <w:r w:rsidRPr="004506F6">
        <w:rPr>
          <w:i/>
          <w:iCs/>
          <w:szCs w:val="24"/>
          <w:lang w:eastAsia="ru-RU"/>
        </w:rPr>
        <w:t>BCR</w:t>
      </w:r>
      <w:r w:rsidR="00E174A2" w:rsidRPr="004506F6">
        <w:rPr>
          <w:i/>
          <w:iCs/>
          <w:szCs w:val="24"/>
          <w:lang w:eastAsia="ru-RU"/>
        </w:rPr>
        <w:t>::</w:t>
      </w:r>
      <w:proofErr w:type="gramEnd"/>
      <w:r w:rsidRPr="004506F6">
        <w:rPr>
          <w:i/>
          <w:iCs/>
          <w:szCs w:val="24"/>
          <w:lang w:eastAsia="ru-RU"/>
        </w:rPr>
        <w:t>ABL</w:t>
      </w:r>
      <w:r w:rsidR="00E174A2" w:rsidRPr="004506F6">
        <w:rPr>
          <w:i/>
          <w:iCs/>
          <w:szCs w:val="24"/>
          <w:lang w:eastAsia="ru-RU"/>
        </w:rPr>
        <w:t>1</w:t>
      </w:r>
      <w:r w:rsidRPr="004506F6">
        <w:rPr>
          <w:szCs w:val="24"/>
          <w:lang w:eastAsia="ru-RU"/>
        </w:rPr>
        <w:t xml:space="preserve"> – химерный ген, результат </w:t>
      </w:r>
      <w:proofErr w:type="spellStart"/>
      <w:r w:rsidRPr="004506F6">
        <w:rPr>
          <w:szCs w:val="24"/>
          <w:lang w:eastAsia="ru-RU"/>
        </w:rPr>
        <w:t>транслокации</w:t>
      </w:r>
      <w:proofErr w:type="spellEnd"/>
      <w:r w:rsidRPr="004506F6">
        <w:rPr>
          <w:szCs w:val="24"/>
          <w:lang w:eastAsia="ru-RU"/>
        </w:rPr>
        <w:t xml:space="preserve"> между 9 и 22 хромосомами</w:t>
      </w:r>
    </w:p>
    <w:p w14:paraId="3A2EC554" w14:textId="03D0BFAD" w:rsidR="000C7098" w:rsidRPr="00062B4F" w:rsidRDefault="000C7098" w:rsidP="00C171E7">
      <w:pPr>
        <w:ind w:firstLine="0"/>
        <w:rPr>
          <w:szCs w:val="24"/>
          <w:lang w:eastAsia="ru-RU"/>
        </w:rPr>
      </w:pPr>
      <w:proofErr w:type="gramStart"/>
      <w:r w:rsidRPr="004506F6">
        <w:rPr>
          <w:szCs w:val="24"/>
          <w:lang w:eastAsia="ru-RU"/>
        </w:rPr>
        <w:t>BCR</w:t>
      </w:r>
      <w:r w:rsidR="00E174A2" w:rsidRPr="004506F6">
        <w:rPr>
          <w:szCs w:val="24"/>
          <w:lang w:eastAsia="ru-RU"/>
        </w:rPr>
        <w:t>::</w:t>
      </w:r>
      <w:proofErr w:type="gramEnd"/>
      <w:r w:rsidRPr="004506F6">
        <w:rPr>
          <w:szCs w:val="24"/>
          <w:lang w:eastAsia="ru-RU"/>
        </w:rPr>
        <w:t>ABL</w:t>
      </w:r>
      <w:r w:rsidR="00E174A2" w:rsidRPr="004506F6">
        <w:rPr>
          <w:iCs/>
          <w:szCs w:val="24"/>
          <w:lang w:eastAsia="ru-RU"/>
        </w:rPr>
        <w:t>1</w:t>
      </w:r>
      <w:r w:rsidRPr="004506F6">
        <w:rPr>
          <w:szCs w:val="24"/>
          <w:lang w:eastAsia="ru-RU"/>
        </w:rPr>
        <w:t xml:space="preserve"> – белок с повышенной </w:t>
      </w:r>
      <w:proofErr w:type="spellStart"/>
      <w:r w:rsidRPr="004506F6">
        <w:rPr>
          <w:szCs w:val="24"/>
          <w:lang w:eastAsia="ru-RU"/>
        </w:rPr>
        <w:t>тирозинкиназной</w:t>
      </w:r>
      <w:proofErr w:type="spellEnd"/>
      <w:r w:rsidRPr="004506F6">
        <w:rPr>
          <w:szCs w:val="24"/>
          <w:lang w:eastAsia="ru-RU"/>
        </w:rPr>
        <w:t xml:space="preserve"> активностью, продукт гена </w:t>
      </w:r>
      <w:r w:rsidR="00E174A2" w:rsidRPr="004506F6">
        <w:rPr>
          <w:i/>
          <w:iCs/>
          <w:szCs w:val="24"/>
          <w:lang w:eastAsia="ru-RU"/>
        </w:rPr>
        <w:t>BCR::ABL1</w:t>
      </w:r>
    </w:p>
    <w:p w14:paraId="2F54FBBD" w14:textId="77777777" w:rsidR="000C7098" w:rsidRPr="00062B4F" w:rsidRDefault="000C7098" w:rsidP="00C171E7">
      <w:pPr>
        <w:ind w:firstLine="0"/>
        <w:rPr>
          <w:szCs w:val="24"/>
          <w:lang w:eastAsia="ru-RU"/>
        </w:rPr>
      </w:pPr>
      <w:r w:rsidRPr="00062B4F">
        <w:rPr>
          <w:szCs w:val="24"/>
          <w:lang w:eastAsia="ru-RU"/>
        </w:rPr>
        <w:t>EBMT – Европейское общество по трансплантации костного мозга (</w:t>
      </w:r>
      <w:proofErr w:type="spellStart"/>
      <w:r w:rsidRPr="00062B4F">
        <w:rPr>
          <w:szCs w:val="24"/>
          <w:lang w:eastAsia="ru-RU"/>
        </w:rPr>
        <w:t>European</w:t>
      </w:r>
      <w:proofErr w:type="spellEnd"/>
      <w:r w:rsidRPr="00062B4F">
        <w:rPr>
          <w:szCs w:val="24"/>
          <w:lang w:eastAsia="ru-RU"/>
        </w:rPr>
        <w:t xml:space="preserve"> </w:t>
      </w:r>
      <w:proofErr w:type="spellStart"/>
      <w:r w:rsidRPr="00062B4F">
        <w:rPr>
          <w:szCs w:val="24"/>
          <w:lang w:eastAsia="ru-RU"/>
        </w:rPr>
        <w:t>Group</w:t>
      </w:r>
      <w:proofErr w:type="spellEnd"/>
      <w:r w:rsidRPr="00062B4F">
        <w:rPr>
          <w:szCs w:val="24"/>
          <w:lang w:eastAsia="ru-RU"/>
        </w:rPr>
        <w:t xml:space="preserve"> </w:t>
      </w:r>
      <w:proofErr w:type="spellStart"/>
      <w:r w:rsidRPr="00062B4F">
        <w:rPr>
          <w:szCs w:val="24"/>
          <w:lang w:eastAsia="ru-RU"/>
        </w:rPr>
        <w:t>for</w:t>
      </w:r>
      <w:proofErr w:type="spellEnd"/>
      <w:r w:rsidRPr="00062B4F">
        <w:rPr>
          <w:szCs w:val="24"/>
          <w:lang w:eastAsia="ru-RU"/>
        </w:rPr>
        <w:t xml:space="preserve"> </w:t>
      </w:r>
      <w:proofErr w:type="spellStart"/>
      <w:r w:rsidRPr="00062B4F">
        <w:rPr>
          <w:szCs w:val="24"/>
          <w:lang w:eastAsia="ru-RU"/>
        </w:rPr>
        <w:t>Blood</w:t>
      </w:r>
      <w:proofErr w:type="spellEnd"/>
      <w:r w:rsidRPr="00062B4F">
        <w:rPr>
          <w:szCs w:val="24"/>
          <w:lang w:eastAsia="ru-RU"/>
        </w:rPr>
        <w:t xml:space="preserve"> </w:t>
      </w:r>
      <w:proofErr w:type="spellStart"/>
      <w:r w:rsidRPr="00062B4F">
        <w:rPr>
          <w:szCs w:val="24"/>
          <w:lang w:eastAsia="ru-RU"/>
        </w:rPr>
        <w:t>and</w:t>
      </w:r>
      <w:proofErr w:type="spellEnd"/>
      <w:r w:rsidRPr="00062B4F">
        <w:rPr>
          <w:szCs w:val="24"/>
          <w:lang w:eastAsia="ru-RU"/>
        </w:rPr>
        <w:t xml:space="preserve"> </w:t>
      </w:r>
      <w:proofErr w:type="spellStart"/>
      <w:r w:rsidRPr="00062B4F">
        <w:rPr>
          <w:szCs w:val="24"/>
          <w:lang w:eastAsia="ru-RU"/>
        </w:rPr>
        <w:t>Marrow</w:t>
      </w:r>
      <w:proofErr w:type="spellEnd"/>
      <w:r w:rsidRPr="00062B4F">
        <w:rPr>
          <w:szCs w:val="24"/>
          <w:lang w:eastAsia="ru-RU"/>
        </w:rPr>
        <w:t xml:space="preserve"> </w:t>
      </w:r>
      <w:proofErr w:type="spellStart"/>
      <w:r w:rsidRPr="00062B4F">
        <w:rPr>
          <w:szCs w:val="24"/>
          <w:lang w:eastAsia="ru-RU"/>
        </w:rPr>
        <w:t>Transplantation</w:t>
      </w:r>
      <w:proofErr w:type="spellEnd"/>
      <w:r w:rsidRPr="00062B4F">
        <w:rPr>
          <w:szCs w:val="24"/>
          <w:lang w:eastAsia="ru-RU"/>
        </w:rPr>
        <w:t>)</w:t>
      </w:r>
    </w:p>
    <w:p w14:paraId="6A4A3B6D" w14:textId="77777777" w:rsidR="000C7098" w:rsidRPr="00062B4F" w:rsidRDefault="000C7098" w:rsidP="00C171E7">
      <w:pPr>
        <w:tabs>
          <w:tab w:val="right" w:pos="9355"/>
        </w:tabs>
        <w:ind w:firstLine="0"/>
        <w:rPr>
          <w:szCs w:val="24"/>
          <w:lang w:eastAsia="ru-RU"/>
        </w:rPr>
      </w:pPr>
      <w:r w:rsidRPr="00062B4F">
        <w:rPr>
          <w:szCs w:val="24"/>
          <w:lang w:eastAsia="ru-RU"/>
        </w:rPr>
        <w:t>ELN – Европейская организация по лечению лейкозов (</w:t>
      </w:r>
      <w:r w:rsidRPr="00062B4F">
        <w:rPr>
          <w:szCs w:val="24"/>
          <w:lang w:val="en-US" w:eastAsia="ru-RU"/>
        </w:rPr>
        <w:t>European</w:t>
      </w:r>
      <w:r w:rsidRPr="00062B4F">
        <w:rPr>
          <w:szCs w:val="24"/>
          <w:lang w:eastAsia="ru-RU"/>
        </w:rPr>
        <w:t xml:space="preserve"> </w:t>
      </w:r>
      <w:r w:rsidRPr="00062B4F">
        <w:rPr>
          <w:szCs w:val="24"/>
          <w:lang w:val="en-US" w:eastAsia="ru-RU"/>
        </w:rPr>
        <w:t>Leukemia</w:t>
      </w:r>
      <w:r w:rsidRPr="00062B4F">
        <w:rPr>
          <w:szCs w:val="24"/>
          <w:lang w:eastAsia="ru-RU"/>
        </w:rPr>
        <w:t xml:space="preserve"> </w:t>
      </w:r>
      <w:r w:rsidRPr="00062B4F">
        <w:rPr>
          <w:szCs w:val="24"/>
          <w:lang w:val="en-US" w:eastAsia="ru-RU"/>
        </w:rPr>
        <w:t>Net</w:t>
      </w:r>
      <w:r w:rsidRPr="00062B4F">
        <w:rPr>
          <w:szCs w:val="24"/>
          <w:lang w:eastAsia="ru-RU"/>
        </w:rPr>
        <w:t>)</w:t>
      </w:r>
      <w:r w:rsidRPr="00062B4F">
        <w:rPr>
          <w:szCs w:val="24"/>
          <w:lang w:eastAsia="ru-RU"/>
        </w:rPr>
        <w:tab/>
      </w:r>
    </w:p>
    <w:p w14:paraId="3CD6C686" w14:textId="77777777" w:rsidR="000C7098" w:rsidRPr="00062B4F" w:rsidRDefault="000C7098" w:rsidP="00C171E7">
      <w:pPr>
        <w:ind w:firstLine="0"/>
        <w:rPr>
          <w:szCs w:val="24"/>
          <w:lang w:eastAsia="ru-RU"/>
        </w:rPr>
      </w:pPr>
      <w:r w:rsidRPr="00062B4F">
        <w:rPr>
          <w:szCs w:val="24"/>
          <w:lang w:eastAsia="ru-RU"/>
        </w:rPr>
        <w:t>ESMO – Европейское общество медицинской онкологии (</w:t>
      </w:r>
      <w:r w:rsidRPr="00062B4F">
        <w:rPr>
          <w:szCs w:val="24"/>
          <w:lang w:val="en-US" w:eastAsia="ru-RU"/>
        </w:rPr>
        <w:t>European</w:t>
      </w:r>
      <w:r w:rsidRPr="00062B4F">
        <w:rPr>
          <w:szCs w:val="24"/>
          <w:lang w:eastAsia="ru-RU"/>
        </w:rPr>
        <w:t xml:space="preserve"> </w:t>
      </w:r>
      <w:r w:rsidRPr="00062B4F">
        <w:rPr>
          <w:szCs w:val="24"/>
          <w:lang w:val="en-US" w:eastAsia="ru-RU"/>
        </w:rPr>
        <w:t>Society</w:t>
      </w:r>
      <w:r w:rsidRPr="00062B4F">
        <w:rPr>
          <w:szCs w:val="24"/>
          <w:lang w:eastAsia="ru-RU"/>
        </w:rPr>
        <w:t xml:space="preserve"> </w:t>
      </w:r>
      <w:r w:rsidRPr="00062B4F">
        <w:rPr>
          <w:szCs w:val="24"/>
          <w:lang w:val="en-US" w:eastAsia="ru-RU"/>
        </w:rPr>
        <w:t>for</w:t>
      </w:r>
      <w:r w:rsidRPr="00062B4F">
        <w:rPr>
          <w:szCs w:val="24"/>
          <w:lang w:eastAsia="ru-RU"/>
        </w:rPr>
        <w:t xml:space="preserve"> </w:t>
      </w:r>
      <w:r w:rsidRPr="00062B4F">
        <w:rPr>
          <w:szCs w:val="24"/>
          <w:lang w:val="en-US" w:eastAsia="ru-RU"/>
        </w:rPr>
        <w:t>Medical</w:t>
      </w:r>
      <w:r w:rsidRPr="00062B4F">
        <w:rPr>
          <w:szCs w:val="24"/>
          <w:lang w:eastAsia="ru-RU"/>
        </w:rPr>
        <w:t xml:space="preserve"> </w:t>
      </w:r>
      <w:r w:rsidRPr="00062B4F">
        <w:rPr>
          <w:szCs w:val="24"/>
          <w:lang w:val="en-US" w:eastAsia="ru-RU"/>
        </w:rPr>
        <w:t>Oncology</w:t>
      </w:r>
      <w:r w:rsidRPr="00062B4F">
        <w:rPr>
          <w:szCs w:val="24"/>
          <w:lang w:eastAsia="ru-RU"/>
        </w:rPr>
        <w:t>)</w:t>
      </w:r>
    </w:p>
    <w:p w14:paraId="168ADB2C" w14:textId="77777777" w:rsidR="000C7098" w:rsidRPr="00062B4F" w:rsidRDefault="000C7098" w:rsidP="00C171E7">
      <w:pPr>
        <w:ind w:firstLine="0"/>
        <w:rPr>
          <w:szCs w:val="24"/>
          <w:lang w:eastAsia="ru-RU"/>
        </w:rPr>
      </w:pPr>
      <w:r w:rsidRPr="00062B4F">
        <w:rPr>
          <w:szCs w:val="24"/>
          <w:lang w:val="en-US" w:eastAsia="ru-RU"/>
        </w:rPr>
        <w:t>FISH</w:t>
      </w:r>
      <w:r w:rsidRPr="00062B4F">
        <w:rPr>
          <w:szCs w:val="24"/>
          <w:lang w:eastAsia="ru-RU"/>
        </w:rPr>
        <w:t xml:space="preserve"> – флуоресцентная гибридизация </w:t>
      </w:r>
      <w:r w:rsidRPr="00062B4F">
        <w:rPr>
          <w:i/>
          <w:szCs w:val="24"/>
          <w:lang w:val="en-US" w:eastAsia="ru-RU"/>
        </w:rPr>
        <w:t>in</w:t>
      </w:r>
      <w:r w:rsidRPr="00062B4F">
        <w:rPr>
          <w:i/>
          <w:szCs w:val="24"/>
          <w:lang w:eastAsia="ru-RU"/>
        </w:rPr>
        <w:t xml:space="preserve"> </w:t>
      </w:r>
      <w:r w:rsidRPr="00062B4F">
        <w:rPr>
          <w:i/>
          <w:szCs w:val="24"/>
          <w:lang w:val="en-US" w:eastAsia="ru-RU"/>
        </w:rPr>
        <w:t>situ</w:t>
      </w:r>
      <w:r w:rsidRPr="00062B4F">
        <w:rPr>
          <w:i/>
          <w:szCs w:val="24"/>
          <w:lang w:eastAsia="ru-RU"/>
        </w:rPr>
        <w:t xml:space="preserve"> </w:t>
      </w:r>
      <w:r w:rsidRPr="00062B4F">
        <w:rPr>
          <w:szCs w:val="24"/>
          <w:lang w:eastAsia="ru-RU"/>
        </w:rPr>
        <w:t>(</w:t>
      </w:r>
      <w:r w:rsidRPr="00062B4F">
        <w:rPr>
          <w:szCs w:val="24"/>
          <w:lang w:val="en-US" w:eastAsia="ru-RU"/>
        </w:rPr>
        <w:t>Fluorescence</w:t>
      </w:r>
      <w:r w:rsidRPr="00062B4F">
        <w:rPr>
          <w:szCs w:val="24"/>
          <w:lang w:eastAsia="ru-RU"/>
        </w:rPr>
        <w:t xml:space="preserve"> </w:t>
      </w:r>
      <w:r w:rsidRPr="00062B4F">
        <w:rPr>
          <w:szCs w:val="24"/>
          <w:lang w:val="en-US" w:eastAsia="ru-RU"/>
        </w:rPr>
        <w:t>in</w:t>
      </w:r>
      <w:r w:rsidRPr="00062B4F">
        <w:rPr>
          <w:szCs w:val="24"/>
          <w:lang w:eastAsia="ru-RU"/>
        </w:rPr>
        <w:t xml:space="preserve"> </w:t>
      </w:r>
      <w:r w:rsidRPr="00062B4F">
        <w:rPr>
          <w:szCs w:val="24"/>
          <w:lang w:val="en-US" w:eastAsia="ru-RU"/>
        </w:rPr>
        <w:t>situ</w:t>
      </w:r>
      <w:r w:rsidRPr="00062B4F">
        <w:rPr>
          <w:szCs w:val="24"/>
          <w:lang w:eastAsia="ru-RU"/>
        </w:rPr>
        <w:t xml:space="preserve"> </w:t>
      </w:r>
      <w:r w:rsidRPr="00062B4F">
        <w:rPr>
          <w:szCs w:val="24"/>
          <w:lang w:val="en-US" w:eastAsia="ru-RU"/>
        </w:rPr>
        <w:t>hybridization</w:t>
      </w:r>
      <w:r w:rsidRPr="00062B4F">
        <w:rPr>
          <w:szCs w:val="24"/>
          <w:lang w:eastAsia="ru-RU"/>
        </w:rPr>
        <w:t>)</w:t>
      </w:r>
    </w:p>
    <w:p w14:paraId="6806EE50" w14:textId="1AE4CAE4" w:rsidR="000C7098" w:rsidRPr="00062B4F" w:rsidRDefault="000C7098" w:rsidP="00C171E7">
      <w:pPr>
        <w:ind w:firstLine="0"/>
        <w:rPr>
          <w:szCs w:val="24"/>
          <w:lang w:eastAsia="ru-RU"/>
        </w:rPr>
      </w:pPr>
      <w:r w:rsidRPr="00062B4F">
        <w:rPr>
          <w:szCs w:val="24"/>
          <w:lang w:eastAsia="ru-RU"/>
        </w:rPr>
        <w:t xml:space="preserve">HLA – </w:t>
      </w:r>
      <w:r w:rsidR="00E174A2" w:rsidRPr="004506F6">
        <w:rPr>
          <w:szCs w:val="24"/>
          <w:lang w:eastAsia="ru-RU"/>
        </w:rPr>
        <w:t>человеческие лейкоцитарные антигены,</w:t>
      </w:r>
      <w:r w:rsidR="00E174A2">
        <w:rPr>
          <w:szCs w:val="24"/>
          <w:lang w:eastAsia="ru-RU"/>
        </w:rPr>
        <w:t xml:space="preserve"> </w:t>
      </w:r>
      <w:r w:rsidRPr="00062B4F">
        <w:rPr>
          <w:szCs w:val="24"/>
          <w:lang w:eastAsia="ru-RU"/>
        </w:rPr>
        <w:t xml:space="preserve">главный комплекс </w:t>
      </w:r>
      <w:proofErr w:type="spellStart"/>
      <w:r w:rsidRPr="00062B4F">
        <w:rPr>
          <w:szCs w:val="24"/>
          <w:lang w:eastAsia="ru-RU"/>
        </w:rPr>
        <w:t>гистосовместимости</w:t>
      </w:r>
      <w:proofErr w:type="spellEnd"/>
      <w:r w:rsidRPr="00062B4F">
        <w:rPr>
          <w:szCs w:val="24"/>
          <w:lang w:eastAsia="ru-RU"/>
        </w:rPr>
        <w:t xml:space="preserve"> (</w:t>
      </w:r>
      <w:proofErr w:type="spellStart"/>
      <w:r w:rsidRPr="00062B4F">
        <w:rPr>
          <w:szCs w:val="24"/>
          <w:lang w:eastAsia="ru-RU"/>
        </w:rPr>
        <w:t>Human</w:t>
      </w:r>
      <w:proofErr w:type="spellEnd"/>
      <w:r w:rsidRPr="00062B4F">
        <w:rPr>
          <w:szCs w:val="24"/>
          <w:lang w:eastAsia="ru-RU"/>
        </w:rPr>
        <w:t xml:space="preserve"> </w:t>
      </w:r>
      <w:proofErr w:type="spellStart"/>
      <w:r w:rsidRPr="00062B4F">
        <w:rPr>
          <w:szCs w:val="24"/>
          <w:lang w:eastAsia="ru-RU"/>
        </w:rPr>
        <w:t>Leukocyte</w:t>
      </w:r>
      <w:proofErr w:type="spellEnd"/>
      <w:r w:rsidRPr="00062B4F">
        <w:rPr>
          <w:szCs w:val="24"/>
          <w:lang w:eastAsia="ru-RU"/>
        </w:rPr>
        <w:t xml:space="preserve"> </w:t>
      </w:r>
      <w:proofErr w:type="spellStart"/>
      <w:r w:rsidRPr="00062B4F">
        <w:rPr>
          <w:szCs w:val="24"/>
          <w:lang w:eastAsia="ru-RU"/>
        </w:rPr>
        <w:t>Antigens</w:t>
      </w:r>
      <w:proofErr w:type="spellEnd"/>
      <w:r w:rsidRPr="00062B4F">
        <w:rPr>
          <w:szCs w:val="24"/>
          <w:lang w:eastAsia="ru-RU"/>
        </w:rPr>
        <w:t>)</w:t>
      </w:r>
    </w:p>
    <w:p w14:paraId="6CF17044" w14:textId="7A55F203" w:rsidR="000C7098" w:rsidRPr="00062B4F" w:rsidRDefault="000C7098" w:rsidP="00C171E7">
      <w:pPr>
        <w:ind w:firstLine="0"/>
        <w:rPr>
          <w:szCs w:val="24"/>
          <w:lang w:eastAsia="ru-RU"/>
        </w:rPr>
      </w:pPr>
      <w:r w:rsidRPr="00062B4F">
        <w:rPr>
          <w:szCs w:val="24"/>
          <w:lang w:eastAsia="ru-RU"/>
        </w:rPr>
        <w:t xml:space="preserve">IS – международная шкала количественной оценки уровня химерного </w:t>
      </w:r>
      <w:proofErr w:type="spellStart"/>
      <w:r w:rsidRPr="00062B4F">
        <w:rPr>
          <w:szCs w:val="24"/>
          <w:lang w:eastAsia="ru-RU"/>
        </w:rPr>
        <w:t>транскрипта</w:t>
      </w:r>
      <w:proofErr w:type="spellEnd"/>
      <w:r w:rsidRPr="00062B4F">
        <w:rPr>
          <w:szCs w:val="24"/>
          <w:lang w:eastAsia="ru-RU"/>
        </w:rPr>
        <w:t xml:space="preserve"> </w:t>
      </w:r>
      <w:proofErr w:type="gramStart"/>
      <w:r w:rsidR="00E174A2" w:rsidRPr="004506F6">
        <w:rPr>
          <w:i/>
          <w:iCs/>
          <w:szCs w:val="24"/>
          <w:lang w:eastAsia="ru-RU"/>
        </w:rPr>
        <w:t>BCR::</w:t>
      </w:r>
      <w:proofErr w:type="gramEnd"/>
      <w:r w:rsidR="00E174A2" w:rsidRPr="004506F6">
        <w:rPr>
          <w:i/>
          <w:iCs/>
          <w:szCs w:val="24"/>
          <w:lang w:eastAsia="ru-RU"/>
        </w:rPr>
        <w:t>ABL1</w:t>
      </w:r>
      <w:r w:rsidR="00E174A2" w:rsidRPr="00062B4F">
        <w:rPr>
          <w:szCs w:val="24"/>
          <w:lang w:eastAsia="ru-RU"/>
        </w:rPr>
        <w:t xml:space="preserve"> </w:t>
      </w:r>
      <w:r w:rsidRPr="00062B4F">
        <w:rPr>
          <w:szCs w:val="24"/>
          <w:lang w:eastAsia="ru-RU"/>
        </w:rPr>
        <w:t>(</w:t>
      </w:r>
      <w:r w:rsidRPr="00062B4F">
        <w:rPr>
          <w:szCs w:val="24"/>
          <w:lang w:val="en-US" w:eastAsia="ru-RU"/>
        </w:rPr>
        <w:t>I</w:t>
      </w:r>
      <w:proofErr w:type="spellStart"/>
      <w:r w:rsidRPr="00062B4F">
        <w:rPr>
          <w:szCs w:val="24"/>
          <w:lang w:eastAsia="ru-RU"/>
        </w:rPr>
        <w:t>nternational</w:t>
      </w:r>
      <w:proofErr w:type="spellEnd"/>
      <w:r w:rsidRPr="00062B4F">
        <w:rPr>
          <w:szCs w:val="24"/>
          <w:lang w:eastAsia="ru-RU"/>
        </w:rPr>
        <w:t xml:space="preserve"> </w:t>
      </w:r>
      <w:r w:rsidRPr="00062B4F">
        <w:rPr>
          <w:szCs w:val="24"/>
          <w:lang w:val="en-US" w:eastAsia="ru-RU"/>
        </w:rPr>
        <w:t>S</w:t>
      </w:r>
      <w:proofErr w:type="spellStart"/>
      <w:r w:rsidRPr="00062B4F">
        <w:rPr>
          <w:szCs w:val="24"/>
          <w:lang w:eastAsia="ru-RU"/>
        </w:rPr>
        <w:t>cale</w:t>
      </w:r>
      <w:proofErr w:type="spellEnd"/>
      <w:r w:rsidRPr="00062B4F">
        <w:rPr>
          <w:szCs w:val="24"/>
          <w:lang w:eastAsia="ru-RU"/>
        </w:rPr>
        <w:t>)</w:t>
      </w:r>
    </w:p>
    <w:p w14:paraId="056CCE8D" w14:textId="77777777" w:rsidR="000C7098" w:rsidRPr="00062B4F" w:rsidRDefault="000C7098" w:rsidP="00C171E7">
      <w:pPr>
        <w:ind w:firstLine="0"/>
        <w:rPr>
          <w:szCs w:val="24"/>
          <w:lang w:eastAsia="ru-RU"/>
        </w:rPr>
      </w:pPr>
      <w:r w:rsidRPr="00062B4F">
        <w:rPr>
          <w:szCs w:val="24"/>
          <w:lang w:eastAsia="ru-RU"/>
        </w:rPr>
        <w:t>NCCN – Национальная онкологическая сеть США (</w:t>
      </w:r>
      <w:proofErr w:type="spellStart"/>
      <w:r w:rsidRPr="00062B4F">
        <w:rPr>
          <w:szCs w:val="24"/>
          <w:lang w:eastAsia="ru-RU"/>
        </w:rPr>
        <w:t>National</w:t>
      </w:r>
      <w:proofErr w:type="spellEnd"/>
      <w:r w:rsidRPr="00062B4F">
        <w:rPr>
          <w:szCs w:val="24"/>
          <w:lang w:eastAsia="ru-RU"/>
        </w:rPr>
        <w:t xml:space="preserve"> </w:t>
      </w:r>
      <w:proofErr w:type="spellStart"/>
      <w:r w:rsidRPr="00062B4F">
        <w:rPr>
          <w:szCs w:val="24"/>
          <w:lang w:eastAsia="ru-RU"/>
        </w:rPr>
        <w:t>Comprehensive</w:t>
      </w:r>
      <w:proofErr w:type="spellEnd"/>
      <w:r w:rsidRPr="00062B4F">
        <w:rPr>
          <w:szCs w:val="24"/>
          <w:lang w:eastAsia="ru-RU"/>
        </w:rPr>
        <w:t xml:space="preserve"> </w:t>
      </w:r>
      <w:proofErr w:type="spellStart"/>
      <w:r w:rsidRPr="00062B4F">
        <w:rPr>
          <w:szCs w:val="24"/>
          <w:lang w:eastAsia="ru-RU"/>
        </w:rPr>
        <w:t>Cancer</w:t>
      </w:r>
      <w:proofErr w:type="spellEnd"/>
      <w:r w:rsidRPr="00062B4F">
        <w:rPr>
          <w:szCs w:val="24"/>
          <w:lang w:eastAsia="ru-RU"/>
        </w:rPr>
        <w:t xml:space="preserve"> </w:t>
      </w:r>
      <w:proofErr w:type="spellStart"/>
      <w:r w:rsidRPr="00062B4F">
        <w:rPr>
          <w:szCs w:val="24"/>
          <w:lang w:eastAsia="ru-RU"/>
        </w:rPr>
        <w:t>Network</w:t>
      </w:r>
      <w:proofErr w:type="spellEnd"/>
      <w:r w:rsidRPr="00062B4F">
        <w:rPr>
          <w:szCs w:val="24"/>
          <w:lang w:eastAsia="ru-RU"/>
        </w:rPr>
        <w:t>)</w:t>
      </w:r>
    </w:p>
    <w:p w14:paraId="3A3CB5CA" w14:textId="77777777" w:rsidR="000C7098" w:rsidRPr="00062B4F" w:rsidRDefault="000C7098" w:rsidP="00C171E7">
      <w:pPr>
        <w:ind w:firstLine="0"/>
        <w:rPr>
          <w:szCs w:val="24"/>
          <w:lang w:eastAsia="ru-RU"/>
        </w:rPr>
      </w:pPr>
      <w:r w:rsidRPr="00062B4F">
        <w:rPr>
          <w:szCs w:val="24"/>
          <w:lang w:eastAsia="ru-RU"/>
        </w:rPr>
        <w:t>NCI CTCAE – шкала токсичности Национального института рака США (Критерии общей терминологии нежелательных явлений) (</w:t>
      </w:r>
      <w:proofErr w:type="spellStart"/>
      <w:r w:rsidRPr="00062B4F">
        <w:rPr>
          <w:szCs w:val="24"/>
          <w:lang w:eastAsia="ru-RU"/>
        </w:rPr>
        <w:t>National</w:t>
      </w:r>
      <w:proofErr w:type="spellEnd"/>
      <w:r w:rsidRPr="00062B4F">
        <w:rPr>
          <w:szCs w:val="24"/>
          <w:lang w:eastAsia="ru-RU"/>
        </w:rPr>
        <w:t xml:space="preserve"> </w:t>
      </w:r>
      <w:proofErr w:type="spellStart"/>
      <w:r w:rsidRPr="00062B4F">
        <w:rPr>
          <w:szCs w:val="24"/>
          <w:lang w:eastAsia="ru-RU"/>
        </w:rPr>
        <w:t>Cancer</w:t>
      </w:r>
      <w:proofErr w:type="spellEnd"/>
      <w:r w:rsidRPr="00062B4F">
        <w:rPr>
          <w:szCs w:val="24"/>
          <w:lang w:eastAsia="ru-RU"/>
        </w:rPr>
        <w:t xml:space="preserve"> </w:t>
      </w:r>
      <w:proofErr w:type="spellStart"/>
      <w:r w:rsidRPr="00062B4F">
        <w:rPr>
          <w:szCs w:val="24"/>
          <w:lang w:eastAsia="ru-RU"/>
        </w:rPr>
        <w:t>Institute</w:t>
      </w:r>
      <w:proofErr w:type="spellEnd"/>
      <w:r w:rsidRPr="00062B4F">
        <w:rPr>
          <w:szCs w:val="24"/>
          <w:lang w:eastAsia="ru-RU"/>
        </w:rPr>
        <w:t xml:space="preserve"> </w:t>
      </w:r>
      <w:proofErr w:type="spellStart"/>
      <w:r w:rsidRPr="00062B4F">
        <w:rPr>
          <w:szCs w:val="24"/>
          <w:lang w:eastAsia="ru-RU"/>
        </w:rPr>
        <w:t>Common</w:t>
      </w:r>
      <w:proofErr w:type="spellEnd"/>
      <w:r w:rsidRPr="00062B4F">
        <w:rPr>
          <w:szCs w:val="24"/>
          <w:lang w:eastAsia="ru-RU"/>
        </w:rPr>
        <w:t xml:space="preserve"> </w:t>
      </w:r>
      <w:proofErr w:type="spellStart"/>
      <w:r w:rsidRPr="00062B4F">
        <w:rPr>
          <w:szCs w:val="24"/>
          <w:lang w:eastAsia="ru-RU"/>
        </w:rPr>
        <w:t>Terminology</w:t>
      </w:r>
      <w:proofErr w:type="spellEnd"/>
      <w:r w:rsidRPr="00062B4F">
        <w:rPr>
          <w:szCs w:val="24"/>
          <w:lang w:eastAsia="ru-RU"/>
        </w:rPr>
        <w:t xml:space="preserve"> </w:t>
      </w:r>
      <w:proofErr w:type="spellStart"/>
      <w:r w:rsidRPr="00062B4F">
        <w:rPr>
          <w:szCs w:val="24"/>
          <w:lang w:eastAsia="ru-RU"/>
        </w:rPr>
        <w:t>Criteria</w:t>
      </w:r>
      <w:proofErr w:type="spellEnd"/>
      <w:r w:rsidRPr="00062B4F">
        <w:rPr>
          <w:szCs w:val="24"/>
          <w:lang w:eastAsia="ru-RU"/>
        </w:rPr>
        <w:t xml:space="preserve"> </w:t>
      </w:r>
      <w:proofErr w:type="spellStart"/>
      <w:r w:rsidRPr="00062B4F">
        <w:rPr>
          <w:szCs w:val="24"/>
          <w:lang w:eastAsia="ru-RU"/>
        </w:rPr>
        <w:t>for</w:t>
      </w:r>
      <w:proofErr w:type="spellEnd"/>
      <w:r w:rsidRPr="00062B4F">
        <w:rPr>
          <w:szCs w:val="24"/>
          <w:lang w:eastAsia="ru-RU"/>
        </w:rPr>
        <w:t xml:space="preserve"> </w:t>
      </w:r>
      <w:proofErr w:type="spellStart"/>
      <w:r w:rsidRPr="00062B4F">
        <w:rPr>
          <w:szCs w:val="24"/>
          <w:lang w:eastAsia="ru-RU"/>
        </w:rPr>
        <w:t>Adverse</w:t>
      </w:r>
      <w:proofErr w:type="spellEnd"/>
      <w:r w:rsidRPr="00062B4F">
        <w:rPr>
          <w:szCs w:val="24"/>
          <w:lang w:eastAsia="ru-RU"/>
        </w:rPr>
        <w:t xml:space="preserve"> </w:t>
      </w:r>
      <w:proofErr w:type="spellStart"/>
      <w:r w:rsidRPr="00062B4F">
        <w:rPr>
          <w:szCs w:val="24"/>
          <w:lang w:eastAsia="ru-RU"/>
        </w:rPr>
        <w:t>Event</w:t>
      </w:r>
      <w:proofErr w:type="spellEnd"/>
      <w:r w:rsidRPr="00062B4F">
        <w:rPr>
          <w:szCs w:val="24"/>
          <w:lang w:val="en-US" w:eastAsia="ru-RU"/>
        </w:rPr>
        <w:t>s</w:t>
      </w:r>
      <w:r w:rsidRPr="00062B4F">
        <w:rPr>
          <w:szCs w:val="24"/>
          <w:lang w:eastAsia="ru-RU"/>
        </w:rPr>
        <w:t>)</w:t>
      </w:r>
    </w:p>
    <w:p w14:paraId="4616D38F" w14:textId="1DA76021" w:rsidR="000C7098" w:rsidRPr="004506F6" w:rsidRDefault="000C7098" w:rsidP="00C171E7">
      <w:pPr>
        <w:ind w:firstLine="0"/>
        <w:rPr>
          <w:szCs w:val="24"/>
          <w:lang w:eastAsia="ru-RU"/>
        </w:rPr>
      </w:pPr>
      <w:proofErr w:type="spellStart"/>
      <w:r w:rsidRPr="00062B4F">
        <w:rPr>
          <w:szCs w:val="24"/>
          <w:lang w:eastAsia="ru-RU"/>
        </w:rPr>
        <w:t>Ph</w:t>
      </w:r>
      <w:proofErr w:type="spellEnd"/>
      <w:r w:rsidRPr="00062B4F">
        <w:rPr>
          <w:szCs w:val="24"/>
          <w:lang w:eastAsia="ru-RU"/>
        </w:rPr>
        <w:t xml:space="preserve"> – филадельфийская </w:t>
      </w:r>
      <w:r w:rsidRPr="004506F6">
        <w:rPr>
          <w:szCs w:val="24"/>
          <w:lang w:eastAsia="ru-RU"/>
        </w:rPr>
        <w:t>хромосома</w:t>
      </w:r>
      <w:r w:rsidR="00242FD4" w:rsidRPr="004506F6">
        <w:rPr>
          <w:szCs w:val="24"/>
          <w:lang w:eastAsia="ru-RU"/>
        </w:rPr>
        <w:t xml:space="preserve"> – укороченная хромосома 22, образующаяся в результате </w:t>
      </w:r>
      <w:proofErr w:type="spellStart"/>
      <w:r w:rsidR="00242FD4" w:rsidRPr="004506F6">
        <w:rPr>
          <w:szCs w:val="24"/>
          <w:lang w:eastAsia="ru-RU"/>
        </w:rPr>
        <w:t>транслокации</w:t>
      </w:r>
      <w:proofErr w:type="spellEnd"/>
      <w:r w:rsidR="00242FD4" w:rsidRPr="004506F6">
        <w:rPr>
          <w:szCs w:val="24"/>
          <w:lang w:eastAsia="ru-RU"/>
        </w:rPr>
        <w:t xml:space="preserve"> </w:t>
      </w:r>
      <w:r w:rsidR="00242FD4" w:rsidRPr="004506F6">
        <w:rPr>
          <w:szCs w:val="24"/>
          <w:lang w:val="en-US" w:eastAsia="ru-RU"/>
        </w:rPr>
        <w:t>t</w:t>
      </w:r>
      <w:r w:rsidR="00242FD4" w:rsidRPr="004506F6">
        <w:rPr>
          <w:szCs w:val="24"/>
          <w:lang w:eastAsia="ru-RU"/>
        </w:rPr>
        <w:t>(9;</w:t>
      </w:r>
      <w:proofErr w:type="gramStart"/>
      <w:r w:rsidR="00242FD4" w:rsidRPr="004506F6">
        <w:rPr>
          <w:szCs w:val="24"/>
          <w:lang w:eastAsia="ru-RU"/>
        </w:rPr>
        <w:t>22)(</w:t>
      </w:r>
      <w:proofErr w:type="gramEnd"/>
      <w:r w:rsidR="00242FD4" w:rsidRPr="004506F6">
        <w:rPr>
          <w:szCs w:val="24"/>
          <w:lang w:val="en-US" w:eastAsia="ru-RU"/>
        </w:rPr>
        <w:t>q</w:t>
      </w:r>
      <w:r w:rsidR="00242FD4" w:rsidRPr="004506F6">
        <w:rPr>
          <w:szCs w:val="24"/>
          <w:lang w:eastAsia="ru-RU"/>
        </w:rPr>
        <w:t>34;</w:t>
      </w:r>
      <w:r w:rsidR="00242FD4" w:rsidRPr="004506F6">
        <w:rPr>
          <w:szCs w:val="24"/>
          <w:lang w:val="en-US" w:eastAsia="ru-RU"/>
        </w:rPr>
        <w:t>q</w:t>
      </w:r>
      <w:r w:rsidR="00242FD4" w:rsidRPr="004506F6">
        <w:rPr>
          <w:szCs w:val="24"/>
          <w:lang w:eastAsia="ru-RU"/>
        </w:rPr>
        <w:t>11)</w:t>
      </w:r>
    </w:p>
    <w:p w14:paraId="74BEF23B" w14:textId="77777777" w:rsidR="000C7098" w:rsidRPr="004506F6" w:rsidRDefault="000C7098" w:rsidP="00C171E7">
      <w:pPr>
        <w:ind w:firstLine="0"/>
        <w:rPr>
          <w:szCs w:val="24"/>
          <w:lang w:eastAsia="ru-RU"/>
        </w:rPr>
      </w:pPr>
      <w:proofErr w:type="spellStart"/>
      <w:r w:rsidRPr="004506F6">
        <w:rPr>
          <w:szCs w:val="24"/>
          <w:lang w:eastAsia="ru-RU"/>
        </w:rPr>
        <w:t>Ph</w:t>
      </w:r>
      <w:proofErr w:type="spellEnd"/>
      <w:r w:rsidRPr="004506F6">
        <w:rPr>
          <w:szCs w:val="24"/>
          <w:vertAlign w:val="superscript"/>
          <w:lang w:eastAsia="ru-RU"/>
        </w:rPr>
        <w:t>+</w:t>
      </w:r>
      <w:r w:rsidRPr="004506F6">
        <w:rPr>
          <w:szCs w:val="24"/>
          <w:lang w:eastAsia="ru-RU"/>
        </w:rPr>
        <w:t xml:space="preserve"> – клетки, содержащие филадельфийскую хромосому</w:t>
      </w:r>
    </w:p>
    <w:p w14:paraId="5C5FC71B" w14:textId="39EBA0A1" w:rsidR="000C7098" w:rsidRPr="00062B4F" w:rsidRDefault="000C7098" w:rsidP="00C171E7">
      <w:pPr>
        <w:ind w:firstLine="0"/>
        <w:rPr>
          <w:szCs w:val="24"/>
          <w:lang w:eastAsia="ru-RU"/>
        </w:rPr>
      </w:pPr>
      <w:proofErr w:type="spellStart"/>
      <w:r w:rsidRPr="004506F6">
        <w:rPr>
          <w:szCs w:val="24"/>
          <w:lang w:eastAsia="ru-RU"/>
        </w:rPr>
        <w:t>Ph</w:t>
      </w:r>
      <w:proofErr w:type="spellEnd"/>
      <w:r w:rsidRPr="004506F6">
        <w:rPr>
          <w:szCs w:val="24"/>
          <w:vertAlign w:val="superscript"/>
          <w:lang w:eastAsia="ru-RU"/>
        </w:rPr>
        <w:t>–</w:t>
      </w:r>
      <w:r w:rsidRPr="00062B4F">
        <w:rPr>
          <w:szCs w:val="24"/>
          <w:lang w:eastAsia="ru-RU"/>
        </w:rPr>
        <w:t xml:space="preserve"> – клетки, не содержащие филадельфийскую хромосому</w:t>
      </w:r>
    </w:p>
    <w:p w14:paraId="61663272" w14:textId="77777777" w:rsidR="000C7098" w:rsidRPr="00062B4F" w:rsidRDefault="000C7098" w:rsidP="00C171E7">
      <w:pPr>
        <w:ind w:firstLine="0"/>
        <w:rPr>
          <w:szCs w:val="24"/>
          <w:lang w:eastAsia="ru-RU"/>
        </w:rPr>
      </w:pPr>
      <w:r w:rsidRPr="00062B4F">
        <w:rPr>
          <w:szCs w:val="24"/>
          <w:lang w:eastAsia="ru-RU"/>
        </w:rPr>
        <w:t>RUSSCO – Российское общество клинической онкологии (</w:t>
      </w:r>
      <w:proofErr w:type="spellStart"/>
      <w:r w:rsidRPr="00062B4F">
        <w:rPr>
          <w:szCs w:val="24"/>
          <w:lang w:eastAsia="ru-RU"/>
        </w:rPr>
        <w:t>Russian</w:t>
      </w:r>
      <w:proofErr w:type="spellEnd"/>
      <w:r w:rsidRPr="00062B4F">
        <w:rPr>
          <w:szCs w:val="24"/>
          <w:lang w:eastAsia="ru-RU"/>
        </w:rPr>
        <w:t xml:space="preserve"> </w:t>
      </w:r>
      <w:proofErr w:type="spellStart"/>
      <w:r w:rsidRPr="00062B4F">
        <w:rPr>
          <w:szCs w:val="24"/>
          <w:lang w:eastAsia="ru-RU"/>
        </w:rPr>
        <w:t>society</w:t>
      </w:r>
      <w:proofErr w:type="spellEnd"/>
      <w:r w:rsidRPr="00062B4F">
        <w:rPr>
          <w:szCs w:val="24"/>
          <w:lang w:eastAsia="ru-RU"/>
        </w:rPr>
        <w:t xml:space="preserve"> </w:t>
      </w:r>
      <w:proofErr w:type="spellStart"/>
      <w:r w:rsidRPr="00062B4F">
        <w:rPr>
          <w:szCs w:val="24"/>
          <w:lang w:eastAsia="ru-RU"/>
        </w:rPr>
        <w:t>of</w:t>
      </w:r>
      <w:proofErr w:type="spellEnd"/>
      <w:r w:rsidRPr="00062B4F">
        <w:rPr>
          <w:szCs w:val="24"/>
          <w:lang w:eastAsia="ru-RU"/>
        </w:rPr>
        <w:t xml:space="preserve"> </w:t>
      </w:r>
      <w:proofErr w:type="spellStart"/>
      <w:r w:rsidRPr="00062B4F">
        <w:rPr>
          <w:szCs w:val="24"/>
          <w:lang w:eastAsia="ru-RU"/>
        </w:rPr>
        <w:t>clinical</w:t>
      </w:r>
      <w:proofErr w:type="spellEnd"/>
      <w:r w:rsidRPr="00062B4F">
        <w:rPr>
          <w:szCs w:val="24"/>
          <w:lang w:eastAsia="ru-RU"/>
        </w:rPr>
        <w:t xml:space="preserve"> </w:t>
      </w:r>
      <w:proofErr w:type="spellStart"/>
      <w:r w:rsidRPr="00062B4F">
        <w:rPr>
          <w:szCs w:val="24"/>
          <w:lang w:eastAsia="ru-RU"/>
        </w:rPr>
        <w:t>oncology</w:t>
      </w:r>
      <w:proofErr w:type="spellEnd"/>
      <w:r w:rsidRPr="00062B4F">
        <w:rPr>
          <w:szCs w:val="24"/>
          <w:lang w:eastAsia="ru-RU"/>
        </w:rPr>
        <w:t>)</w:t>
      </w:r>
    </w:p>
    <w:p w14:paraId="28AA1EE0" w14:textId="77777777" w:rsidR="000C7098" w:rsidRPr="00062B4F" w:rsidRDefault="000C7098" w:rsidP="00C171E7">
      <w:pPr>
        <w:ind w:firstLine="0"/>
        <w:rPr>
          <w:szCs w:val="24"/>
          <w:lang w:eastAsia="ru-RU"/>
        </w:rPr>
      </w:pPr>
      <w:r w:rsidRPr="00062B4F">
        <w:rPr>
          <w:szCs w:val="24"/>
          <w:lang w:eastAsia="ru-RU"/>
        </w:rPr>
        <w:t>SCORE – шкала оценки риска фатального сердечно-сосудистого заболевания (</w:t>
      </w:r>
      <w:proofErr w:type="spellStart"/>
      <w:r w:rsidRPr="00062B4F">
        <w:rPr>
          <w:szCs w:val="24"/>
          <w:lang w:eastAsia="ru-RU"/>
        </w:rPr>
        <w:t>Systematic</w:t>
      </w:r>
      <w:proofErr w:type="spellEnd"/>
      <w:r w:rsidRPr="00062B4F">
        <w:rPr>
          <w:szCs w:val="24"/>
          <w:lang w:eastAsia="ru-RU"/>
        </w:rPr>
        <w:t xml:space="preserve"> </w:t>
      </w:r>
      <w:proofErr w:type="spellStart"/>
      <w:r w:rsidRPr="00062B4F">
        <w:rPr>
          <w:szCs w:val="24"/>
          <w:lang w:eastAsia="ru-RU"/>
        </w:rPr>
        <w:t>COronary</w:t>
      </w:r>
      <w:proofErr w:type="spellEnd"/>
      <w:r w:rsidRPr="00062B4F">
        <w:rPr>
          <w:szCs w:val="24"/>
          <w:lang w:eastAsia="ru-RU"/>
        </w:rPr>
        <w:t xml:space="preserve"> </w:t>
      </w:r>
      <w:proofErr w:type="spellStart"/>
      <w:r w:rsidRPr="00062B4F">
        <w:rPr>
          <w:szCs w:val="24"/>
          <w:lang w:eastAsia="ru-RU"/>
        </w:rPr>
        <w:t>Risk</w:t>
      </w:r>
      <w:proofErr w:type="spellEnd"/>
      <w:r w:rsidRPr="00062B4F">
        <w:rPr>
          <w:szCs w:val="24"/>
          <w:lang w:eastAsia="ru-RU"/>
        </w:rPr>
        <w:t xml:space="preserve"> </w:t>
      </w:r>
      <w:proofErr w:type="spellStart"/>
      <w:r w:rsidRPr="00062B4F">
        <w:rPr>
          <w:szCs w:val="24"/>
          <w:lang w:eastAsia="ru-RU"/>
        </w:rPr>
        <w:t>Evaluation</w:t>
      </w:r>
      <w:proofErr w:type="spellEnd"/>
      <w:r w:rsidRPr="00062B4F">
        <w:rPr>
          <w:szCs w:val="24"/>
          <w:lang w:eastAsia="ru-RU"/>
        </w:rPr>
        <w:t>)</w:t>
      </w:r>
    </w:p>
    <w:p w14:paraId="216F3A96" w14:textId="77777777" w:rsidR="000C7098" w:rsidRPr="00062B4F" w:rsidRDefault="000C7098" w:rsidP="00C171E7">
      <w:pPr>
        <w:ind w:firstLine="0"/>
      </w:pPr>
      <w:r w:rsidRPr="00062B4F">
        <w:t>** – жизненно необходимые и важнейшие лекарственные препараты</w:t>
      </w:r>
      <w:r w:rsidRPr="00062B4F">
        <w:br w:type="page"/>
      </w:r>
    </w:p>
    <w:p w14:paraId="432763B5" w14:textId="77777777" w:rsidR="000C7098" w:rsidRPr="00062B4F" w:rsidRDefault="000C7098" w:rsidP="00BA5B69">
      <w:pPr>
        <w:pageBreakBefore/>
        <w:suppressAutoHyphens/>
        <w:spacing w:before="240"/>
        <w:ind w:firstLine="0"/>
        <w:jc w:val="center"/>
        <w:outlineLvl w:val="0"/>
        <w:rPr>
          <w:b/>
          <w:sz w:val="28"/>
          <w:szCs w:val="28"/>
        </w:rPr>
      </w:pPr>
      <w:bookmarkStart w:id="2" w:name="_Toc86133388"/>
      <w:r w:rsidRPr="00062B4F">
        <w:rPr>
          <w:b/>
          <w:sz w:val="28"/>
          <w:szCs w:val="28"/>
        </w:rPr>
        <w:lastRenderedPageBreak/>
        <w:t>Термины и определения</w:t>
      </w:r>
      <w:bookmarkEnd w:id="2"/>
    </w:p>
    <w:p w14:paraId="59290113" w14:textId="0507B519" w:rsidR="000C7098" w:rsidRPr="00E174A2" w:rsidRDefault="000C7098" w:rsidP="007C5249">
      <w:pPr>
        <w:ind w:firstLine="0"/>
        <w:rPr>
          <w:bCs/>
          <w:strike/>
          <w:szCs w:val="24"/>
          <w:lang w:eastAsia="ru-RU"/>
        </w:rPr>
      </w:pPr>
      <w:r w:rsidRPr="00062B4F">
        <w:rPr>
          <w:b/>
          <w:szCs w:val="24"/>
          <w:lang w:eastAsia="ru-RU"/>
        </w:rPr>
        <w:t xml:space="preserve">Анализ мутаций гена </w:t>
      </w:r>
      <w:proofErr w:type="gramStart"/>
      <w:r w:rsidR="00E174A2" w:rsidRPr="001C682E">
        <w:rPr>
          <w:i/>
          <w:iCs/>
          <w:szCs w:val="24"/>
          <w:lang w:eastAsia="ru-RU"/>
        </w:rPr>
        <w:t>BCR::</w:t>
      </w:r>
      <w:proofErr w:type="gramEnd"/>
      <w:r w:rsidR="00E174A2" w:rsidRPr="001C682E">
        <w:rPr>
          <w:i/>
          <w:iCs/>
          <w:szCs w:val="24"/>
          <w:lang w:eastAsia="ru-RU"/>
        </w:rPr>
        <w:t>ABL1</w:t>
      </w:r>
      <w:r w:rsidR="00E174A2" w:rsidRPr="001C682E">
        <w:rPr>
          <w:szCs w:val="24"/>
          <w:lang w:eastAsia="ru-RU"/>
        </w:rPr>
        <w:t xml:space="preserve"> </w:t>
      </w:r>
      <w:r w:rsidRPr="001C682E">
        <w:rPr>
          <w:bCs/>
          <w:szCs w:val="24"/>
          <w:lang w:eastAsia="ru-RU"/>
        </w:rPr>
        <w:t xml:space="preserve">– определение точечных мутаций гена </w:t>
      </w:r>
      <w:r w:rsidR="00E174A2" w:rsidRPr="001C682E">
        <w:rPr>
          <w:i/>
          <w:iCs/>
          <w:szCs w:val="24"/>
          <w:lang w:eastAsia="ru-RU"/>
        </w:rPr>
        <w:t>BCR::ABL1</w:t>
      </w:r>
      <w:r w:rsidR="00E174A2" w:rsidRPr="00062B4F">
        <w:rPr>
          <w:szCs w:val="24"/>
          <w:lang w:eastAsia="ru-RU"/>
        </w:rPr>
        <w:t xml:space="preserve"> </w:t>
      </w:r>
    </w:p>
    <w:p w14:paraId="52CD9B2D" w14:textId="026C4DE5" w:rsidR="000C7098" w:rsidRPr="00062B4F" w:rsidRDefault="000C7098" w:rsidP="007C5249">
      <w:pPr>
        <w:ind w:firstLine="0"/>
        <w:rPr>
          <w:bCs/>
          <w:szCs w:val="24"/>
          <w:lang w:eastAsia="ru-RU"/>
        </w:rPr>
      </w:pPr>
      <w:r w:rsidRPr="00062B4F">
        <w:rPr>
          <w:b/>
          <w:szCs w:val="24"/>
          <w:lang w:eastAsia="ru-RU"/>
        </w:rPr>
        <w:t>Гематологическая токсичность</w:t>
      </w:r>
      <w:r w:rsidRPr="00062B4F">
        <w:rPr>
          <w:bCs/>
          <w:szCs w:val="24"/>
          <w:lang w:eastAsia="ru-RU"/>
        </w:rPr>
        <w:t xml:space="preserve"> – снижение уровня гемоглобина, </w:t>
      </w:r>
      <w:proofErr w:type="spellStart"/>
      <w:r w:rsidRPr="00062B4F">
        <w:rPr>
          <w:bCs/>
          <w:szCs w:val="24"/>
          <w:lang w:eastAsia="ru-RU"/>
        </w:rPr>
        <w:t>нейтропения</w:t>
      </w:r>
      <w:proofErr w:type="spellEnd"/>
      <w:r w:rsidRPr="00062B4F">
        <w:rPr>
          <w:bCs/>
          <w:szCs w:val="24"/>
          <w:lang w:eastAsia="ru-RU"/>
        </w:rPr>
        <w:t xml:space="preserve"> и тромбоцитопения</w:t>
      </w:r>
      <w:r w:rsidR="007F332E">
        <w:rPr>
          <w:bCs/>
          <w:szCs w:val="24"/>
          <w:lang w:eastAsia="ru-RU"/>
        </w:rPr>
        <w:t>, связанная с терапией</w:t>
      </w:r>
      <w:r w:rsidR="009F3BD8">
        <w:rPr>
          <w:bCs/>
          <w:szCs w:val="24"/>
          <w:lang w:eastAsia="ru-RU"/>
        </w:rPr>
        <w:t xml:space="preserve"> ИТК</w:t>
      </w:r>
      <w:r w:rsidRPr="00062B4F">
        <w:rPr>
          <w:bCs/>
          <w:szCs w:val="24"/>
          <w:lang w:eastAsia="ru-RU"/>
        </w:rPr>
        <w:t>.</w:t>
      </w:r>
    </w:p>
    <w:p w14:paraId="34C6F7F9" w14:textId="77777777" w:rsidR="000C7098" w:rsidRPr="00062B4F" w:rsidRDefault="000C7098" w:rsidP="007C5249">
      <w:pPr>
        <w:ind w:firstLine="0"/>
        <w:rPr>
          <w:bCs/>
          <w:szCs w:val="24"/>
          <w:lang w:eastAsia="ru-RU"/>
        </w:rPr>
      </w:pPr>
      <w:r w:rsidRPr="00062B4F">
        <w:rPr>
          <w:b/>
          <w:szCs w:val="24"/>
          <w:lang w:eastAsia="ru-RU"/>
        </w:rPr>
        <w:t>Гематологический ответ, цитогенетический ответ, молекулярный ответ</w:t>
      </w:r>
      <w:r w:rsidRPr="00062B4F">
        <w:rPr>
          <w:bCs/>
          <w:szCs w:val="24"/>
          <w:lang w:eastAsia="ru-RU"/>
        </w:rPr>
        <w:t xml:space="preserve"> – виды ответов на терапию, характеризующие объем опухолевого клона и определяемые соответственно на основании результатов клинического анализа крови, цитогенетического и молекулярно-генетического исследований.</w:t>
      </w:r>
    </w:p>
    <w:p w14:paraId="5023D124" w14:textId="77777777" w:rsidR="000C7098" w:rsidRPr="00062B4F" w:rsidRDefault="000C7098" w:rsidP="007C5249">
      <w:pPr>
        <w:ind w:firstLine="0"/>
        <w:rPr>
          <w:bCs/>
          <w:szCs w:val="24"/>
          <w:lang w:eastAsia="ru-RU"/>
        </w:rPr>
      </w:pPr>
      <w:r w:rsidRPr="00062B4F">
        <w:rPr>
          <w:b/>
          <w:szCs w:val="24"/>
          <w:lang w:eastAsia="ru-RU"/>
        </w:rPr>
        <w:t>Группа риска</w:t>
      </w:r>
      <w:r w:rsidRPr="00062B4F">
        <w:rPr>
          <w:bCs/>
          <w:szCs w:val="24"/>
          <w:lang w:eastAsia="ru-RU"/>
        </w:rPr>
        <w:t xml:space="preserve"> – характеристика, оцениваемая только на момент диагностики заболевания, до начала терапии на основании </w:t>
      </w:r>
      <w:proofErr w:type="spellStart"/>
      <w:r w:rsidRPr="00062B4F">
        <w:rPr>
          <w:bCs/>
          <w:szCs w:val="24"/>
          <w:lang w:eastAsia="ru-RU"/>
        </w:rPr>
        <w:t>прогностически</w:t>
      </w:r>
      <w:proofErr w:type="spellEnd"/>
      <w:r w:rsidRPr="00062B4F">
        <w:rPr>
          <w:bCs/>
          <w:szCs w:val="24"/>
          <w:lang w:eastAsia="ru-RU"/>
        </w:rPr>
        <w:t xml:space="preserve"> значимых характеристик у пациентов с хронической фазой (ХФ) ХМЛ.</w:t>
      </w:r>
    </w:p>
    <w:p w14:paraId="73E523F7" w14:textId="77777777" w:rsidR="00365A02" w:rsidRPr="00062B4F" w:rsidRDefault="00365A02" w:rsidP="00365A02">
      <w:pPr>
        <w:ind w:firstLine="0"/>
        <w:rPr>
          <w:bCs/>
          <w:szCs w:val="24"/>
          <w:lang w:eastAsia="ru-RU"/>
        </w:rPr>
      </w:pPr>
      <w:r w:rsidRPr="00062B4F">
        <w:rPr>
          <w:b/>
          <w:szCs w:val="24"/>
          <w:lang w:eastAsia="ru-RU"/>
        </w:rPr>
        <w:t xml:space="preserve">Дополнительные хромосомные аберрации </w:t>
      </w:r>
      <w:r w:rsidRPr="00062B4F">
        <w:rPr>
          <w:bCs/>
          <w:szCs w:val="24"/>
          <w:lang w:eastAsia="ru-RU"/>
        </w:rPr>
        <w:t>– дополнительные аномалии кариотипа</w:t>
      </w:r>
      <w:r>
        <w:rPr>
          <w:bCs/>
          <w:szCs w:val="24"/>
          <w:lang w:eastAsia="ru-RU"/>
        </w:rPr>
        <w:t xml:space="preserve"> </w:t>
      </w:r>
      <w:r w:rsidRPr="009D4B3B">
        <w:rPr>
          <w:bCs/>
          <w:szCs w:val="24"/>
          <w:lang w:eastAsia="ru-RU"/>
        </w:rPr>
        <w:t xml:space="preserve">в </w:t>
      </w:r>
      <w:proofErr w:type="spellStart"/>
      <w:r w:rsidRPr="009D4B3B">
        <w:rPr>
          <w:bCs/>
          <w:szCs w:val="24"/>
          <w:lang w:val="en-US" w:eastAsia="ru-RU"/>
        </w:rPr>
        <w:t>Ph</w:t>
      </w:r>
      <w:proofErr w:type="spellEnd"/>
      <w:r w:rsidRPr="009D4B3B">
        <w:rPr>
          <w:bCs/>
          <w:szCs w:val="24"/>
          <w:lang w:eastAsia="ru-RU"/>
        </w:rPr>
        <w:t>+ клетках</w:t>
      </w:r>
      <w:r w:rsidRPr="00062B4F">
        <w:rPr>
          <w:bCs/>
          <w:szCs w:val="24"/>
          <w:lang w:eastAsia="ru-RU"/>
        </w:rPr>
        <w:t>, выявляемые при стандартном цитогенетическом исследовании.</w:t>
      </w:r>
    </w:p>
    <w:p w14:paraId="38A19F6F" w14:textId="77777777" w:rsidR="00365A02" w:rsidRPr="00062B4F" w:rsidRDefault="00365A02" w:rsidP="00365A02">
      <w:pPr>
        <w:ind w:firstLine="0"/>
        <w:rPr>
          <w:bCs/>
          <w:szCs w:val="24"/>
          <w:lang w:eastAsia="ru-RU"/>
        </w:rPr>
      </w:pPr>
      <w:r w:rsidRPr="009D4B3B">
        <w:rPr>
          <w:b/>
          <w:szCs w:val="24"/>
          <w:lang w:eastAsia="ru-RU"/>
        </w:rPr>
        <w:t xml:space="preserve">Другие хромосомные аберрации </w:t>
      </w:r>
      <w:r w:rsidRPr="009D4B3B">
        <w:rPr>
          <w:bCs/>
          <w:szCs w:val="24"/>
          <w:lang w:eastAsia="ru-RU"/>
        </w:rPr>
        <w:t xml:space="preserve">– аномалии кариотипа в </w:t>
      </w:r>
      <w:proofErr w:type="spellStart"/>
      <w:r w:rsidRPr="009D4B3B">
        <w:rPr>
          <w:bCs/>
          <w:szCs w:val="24"/>
          <w:lang w:val="en-US" w:eastAsia="ru-RU"/>
        </w:rPr>
        <w:t>Ph</w:t>
      </w:r>
      <w:proofErr w:type="spellEnd"/>
      <w:r w:rsidRPr="009D4B3B">
        <w:rPr>
          <w:bCs/>
          <w:szCs w:val="24"/>
          <w:lang w:eastAsia="ru-RU"/>
        </w:rPr>
        <w:t>- клетках, выявляемые при стандартном цитогенетическом исследовании.</w:t>
      </w:r>
    </w:p>
    <w:p w14:paraId="72036CF4" w14:textId="08468C2C" w:rsidR="000C7098" w:rsidRPr="00E174A2" w:rsidRDefault="000C7098" w:rsidP="007C5249">
      <w:pPr>
        <w:ind w:firstLine="0"/>
        <w:rPr>
          <w:bCs/>
          <w:strike/>
          <w:szCs w:val="24"/>
          <w:lang w:eastAsia="ru-RU"/>
        </w:rPr>
      </w:pPr>
      <w:r w:rsidRPr="00062B4F">
        <w:rPr>
          <w:b/>
          <w:szCs w:val="24"/>
          <w:lang w:eastAsia="ru-RU"/>
        </w:rPr>
        <w:t xml:space="preserve">Ингибитор </w:t>
      </w:r>
      <w:proofErr w:type="spellStart"/>
      <w:r w:rsidRPr="00062B4F">
        <w:rPr>
          <w:b/>
          <w:szCs w:val="24"/>
          <w:lang w:eastAsia="ru-RU"/>
        </w:rPr>
        <w:t>тирозинкиназ</w:t>
      </w:r>
      <w:proofErr w:type="spellEnd"/>
      <w:r w:rsidRPr="00062B4F">
        <w:rPr>
          <w:bCs/>
          <w:szCs w:val="24"/>
          <w:lang w:eastAsia="ru-RU"/>
        </w:rPr>
        <w:t xml:space="preserve"> – препарат, </w:t>
      </w:r>
      <w:r w:rsidRPr="009D4B3B">
        <w:rPr>
          <w:bCs/>
          <w:szCs w:val="24"/>
          <w:lang w:eastAsia="ru-RU"/>
        </w:rPr>
        <w:t xml:space="preserve">обладающий </w:t>
      </w:r>
      <w:r w:rsidR="00365A02" w:rsidRPr="009D4B3B">
        <w:rPr>
          <w:bCs/>
          <w:szCs w:val="24"/>
          <w:lang w:eastAsia="ru-RU"/>
        </w:rPr>
        <w:t xml:space="preserve">возможностью ингибировать ферментативную активность </w:t>
      </w:r>
      <w:proofErr w:type="spellStart"/>
      <w:r w:rsidR="00E174A2" w:rsidRPr="009D4B3B">
        <w:rPr>
          <w:bCs/>
          <w:szCs w:val="24"/>
          <w:lang w:eastAsia="ru-RU"/>
        </w:rPr>
        <w:t>тирозинкиназы</w:t>
      </w:r>
      <w:proofErr w:type="spellEnd"/>
      <w:r w:rsidRPr="009D4B3B">
        <w:rPr>
          <w:bCs/>
          <w:szCs w:val="24"/>
          <w:lang w:eastAsia="ru-RU"/>
        </w:rPr>
        <w:t xml:space="preserve"> </w:t>
      </w:r>
      <w:proofErr w:type="gramStart"/>
      <w:r w:rsidR="00E174A2" w:rsidRPr="009D4B3B">
        <w:rPr>
          <w:szCs w:val="24"/>
          <w:lang w:eastAsia="ru-RU"/>
        </w:rPr>
        <w:t>BCR::</w:t>
      </w:r>
      <w:proofErr w:type="gramEnd"/>
      <w:r w:rsidR="00E174A2" w:rsidRPr="009D4B3B">
        <w:rPr>
          <w:szCs w:val="24"/>
          <w:lang w:eastAsia="ru-RU"/>
        </w:rPr>
        <w:t>ABL</w:t>
      </w:r>
      <w:r w:rsidR="00E174A2" w:rsidRPr="009D4B3B">
        <w:rPr>
          <w:iCs/>
          <w:szCs w:val="24"/>
          <w:lang w:eastAsia="ru-RU"/>
        </w:rPr>
        <w:t>1</w:t>
      </w:r>
      <w:r w:rsidR="00E174A2" w:rsidRPr="00062B4F">
        <w:rPr>
          <w:szCs w:val="24"/>
          <w:lang w:eastAsia="ru-RU"/>
        </w:rPr>
        <w:t xml:space="preserve"> </w:t>
      </w:r>
    </w:p>
    <w:p w14:paraId="7D319E66" w14:textId="2C2EEDC5" w:rsidR="000C7098" w:rsidRPr="00062B4F" w:rsidRDefault="000C7098" w:rsidP="007C5249">
      <w:pPr>
        <w:ind w:firstLine="0"/>
        <w:rPr>
          <w:bCs/>
          <w:szCs w:val="24"/>
          <w:lang w:eastAsia="ru-RU"/>
        </w:rPr>
      </w:pPr>
      <w:r w:rsidRPr="00062B4F">
        <w:rPr>
          <w:b/>
          <w:szCs w:val="24"/>
          <w:lang w:eastAsia="ru-RU"/>
        </w:rPr>
        <w:t xml:space="preserve">Исследование методом FISH </w:t>
      </w:r>
      <w:r w:rsidRPr="00062B4F">
        <w:rPr>
          <w:bCs/>
          <w:szCs w:val="24"/>
          <w:lang w:eastAsia="ru-RU"/>
        </w:rPr>
        <w:t xml:space="preserve">– исследование </w:t>
      </w:r>
      <w:r w:rsidR="00242FD4" w:rsidRPr="009D4B3B">
        <w:rPr>
          <w:bCs/>
          <w:szCs w:val="24"/>
          <w:lang w:eastAsia="ru-RU"/>
        </w:rPr>
        <w:t xml:space="preserve">клеток </w:t>
      </w:r>
      <w:r w:rsidRPr="009D4B3B">
        <w:rPr>
          <w:bCs/>
          <w:szCs w:val="24"/>
          <w:lang w:eastAsia="ru-RU"/>
        </w:rPr>
        <w:t xml:space="preserve">методом флуоресцентной гибридизации </w:t>
      </w:r>
      <w:proofErr w:type="spellStart"/>
      <w:r w:rsidRPr="009D4B3B">
        <w:rPr>
          <w:bCs/>
          <w:i/>
          <w:szCs w:val="24"/>
          <w:lang w:eastAsia="ru-RU"/>
        </w:rPr>
        <w:t>in</w:t>
      </w:r>
      <w:proofErr w:type="spellEnd"/>
      <w:r w:rsidRPr="009D4B3B">
        <w:rPr>
          <w:bCs/>
          <w:i/>
          <w:szCs w:val="24"/>
          <w:lang w:eastAsia="ru-RU"/>
        </w:rPr>
        <w:t xml:space="preserve"> </w:t>
      </w:r>
      <w:proofErr w:type="spellStart"/>
      <w:r w:rsidRPr="009D4B3B">
        <w:rPr>
          <w:bCs/>
          <w:i/>
          <w:szCs w:val="24"/>
          <w:lang w:eastAsia="ru-RU"/>
        </w:rPr>
        <w:t>situ</w:t>
      </w:r>
      <w:proofErr w:type="spellEnd"/>
      <w:r w:rsidRPr="009D4B3B">
        <w:rPr>
          <w:bCs/>
          <w:szCs w:val="24"/>
          <w:lang w:eastAsia="ru-RU"/>
        </w:rPr>
        <w:t xml:space="preserve"> с </w:t>
      </w:r>
      <w:r w:rsidR="00E174A2" w:rsidRPr="009D4B3B">
        <w:rPr>
          <w:bCs/>
          <w:szCs w:val="24"/>
          <w:lang w:eastAsia="ru-RU"/>
        </w:rPr>
        <w:t xml:space="preserve">использованием меченных </w:t>
      </w:r>
      <w:proofErr w:type="spellStart"/>
      <w:r w:rsidR="00E174A2" w:rsidRPr="009D4B3B">
        <w:rPr>
          <w:bCs/>
          <w:szCs w:val="24"/>
          <w:lang w:eastAsia="ru-RU"/>
        </w:rPr>
        <w:t>флуорофорами</w:t>
      </w:r>
      <w:proofErr w:type="spellEnd"/>
      <w:r w:rsidR="00E174A2" w:rsidRPr="009D4B3B">
        <w:rPr>
          <w:bCs/>
          <w:szCs w:val="24"/>
          <w:lang w:eastAsia="ru-RU"/>
        </w:rPr>
        <w:t xml:space="preserve"> </w:t>
      </w:r>
      <w:r w:rsidR="00407C1E" w:rsidRPr="009D4B3B">
        <w:rPr>
          <w:bCs/>
          <w:szCs w:val="24"/>
          <w:lang w:eastAsia="ru-RU"/>
        </w:rPr>
        <w:t>ДНК-зондов</w:t>
      </w:r>
      <w:r w:rsidRPr="009D4B3B">
        <w:rPr>
          <w:bCs/>
          <w:szCs w:val="24"/>
          <w:lang w:eastAsia="ru-RU"/>
        </w:rPr>
        <w:t>.</w:t>
      </w:r>
    </w:p>
    <w:p w14:paraId="5FB353F0" w14:textId="4D538C30" w:rsidR="00365A02" w:rsidRPr="00365A02" w:rsidRDefault="000C7098" w:rsidP="007C5249">
      <w:pPr>
        <w:ind w:firstLine="0"/>
        <w:rPr>
          <w:bCs/>
          <w:szCs w:val="24"/>
          <w:lang w:eastAsia="ru-RU"/>
        </w:rPr>
      </w:pPr>
      <w:r w:rsidRPr="00062B4F">
        <w:rPr>
          <w:b/>
          <w:szCs w:val="24"/>
          <w:lang w:eastAsia="ru-RU"/>
        </w:rPr>
        <w:t>Международная шкала (</w:t>
      </w:r>
      <w:r w:rsidRPr="00062B4F">
        <w:rPr>
          <w:b/>
          <w:szCs w:val="24"/>
          <w:lang w:val="en-US" w:eastAsia="ru-RU"/>
        </w:rPr>
        <w:t>I</w:t>
      </w:r>
      <w:proofErr w:type="spellStart"/>
      <w:r w:rsidRPr="00062B4F">
        <w:rPr>
          <w:b/>
          <w:szCs w:val="24"/>
          <w:lang w:eastAsia="ru-RU"/>
        </w:rPr>
        <w:t>nternational</w:t>
      </w:r>
      <w:proofErr w:type="spellEnd"/>
      <w:r w:rsidRPr="00062B4F">
        <w:rPr>
          <w:b/>
          <w:szCs w:val="24"/>
          <w:lang w:eastAsia="ru-RU"/>
        </w:rPr>
        <w:t xml:space="preserve"> </w:t>
      </w:r>
      <w:r w:rsidRPr="00062B4F">
        <w:rPr>
          <w:b/>
          <w:szCs w:val="24"/>
          <w:lang w:val="en-US" w:eastAsia="ru-RU"/>
        </w:rPr>
        <w:t>S</w:t>
      </w:r>
      <w:proofErr w:type="spellStart"/>
      <w:r w:rsidRPr="00062B4F">
        <w:rPr>
          <w:b/>
          <w:szCs w:val="24"/>
          <w:lang w:eastAsia="ru-RU"/>
        </w:rPr>
        <w:t>cale</w:t>
      </w:r>
      <w:proofErr w:type="spellEnd"/>
      <w:r w:rsidRPr="00062B4F">
        <w:rPr>
          <w:b/>
          <w:szCs w:val="24"/>
          <w:lang w:eastAsia="ru-RU"/>
        </w:rPr>
        <w:t>, IS)</w:t>
      </w:r>
      <w:r w:rsidRPr="00062B4F">
        <w:rPr>
          <w:bCs/>
          <w:szCs w:val="24"/>
          <w:lang w:eastAsia="ru-RU"/>
        </w:rPr>
        <w:t xml:space="preserve"> – </w:t>
      </w:r>
      <w:r w:rsidR="00365A02" w:rsidRPr="009D4B3B">
        <w:rPr>
          <w:bCs/>
          <w:szCs w:val="24"/>
          <w:lang w:eastAsia="ru-RU"/>
        </w:rPr>
        <w:t xml:space="preserve">стандартизованная, с учетом фактора конверсии, шкала представления количественного уровня экспрессии гена </w:t>
      </w:r>
      <w:proofErr w:type="gramStart"/>
      <w:r w:rsidR="00365A02" w:rsidRPr="009D4B3B">
        <w:rPr>
          <w:bCs/>
          <w:i/>
          <w:iCs/>
          <w:szCs w:val="24"/>
          <w:lang w:val="en-US" w:eastAsia="ru-RU"/>
        </w:rPr>
        <w:t>BCR</w:t>
      </w:r>
      <w:r w:rsidR="00365A02" w:rsidRPr="009D4B3B">
        <w:rPr>
          <w:i/>
          <w:iCs/>
          <w:szCs w:val="24"/>
          <w:lang w:eastAsia="ru-RU"/>
        </w:rPr>
        <w:t>::</w:t>
      </w:r>
      <w:proofErr w:type="gramEnd"/>
      <w:r w:rsidR="00365A02" w:rsidRPr="009D4B3B">
        <w:rPr>
          <w:bCs/>
          <w:i/>
          <w:iCs/>
          <w:szCs w:val="24"/>
          <w:lang w:val="en-US" w:eastAsia="ru-RU"/>
        </w:rPr>
        <w:t>ABL</w:t>
      </w:r>
      <w:r w:rsidR="00365A02" w:rsidRPr="009D4B3B">
        <w:rPr>
          <w:bCs/>
          <w:i/>
          <w:iCs/>
          <w:szCs w:val="24"/>
          <w:lang w:eastAsia="ru-RU"/>
        </w:rPr>
        <w:t>1</w:t>
      </w:r>
    </w:p>
    <w:p w14:paraId="53152CB3" w14:textId="2E7859D3" w:rsidR="000C7098" w:rsidRPr="00062B4F" w:rsidRDefault="000C7098" w:rsidP="007C5249">
      <w:pPr>
        <w:ind w:firstLine="0"/>
        <w:rPr>
          <w:bCs/>
          <w:szCs w:val="24"/>
          <w:lang w:eastAsia="ru-RU"/>
        </w:rPr>
      </w:pPr>
      <w:r w:rsidRPr="00062B4F">
        <w:rPr>
          <w:b/>
          <w:szCs w:val="24"/>
          <w:lang w:eastAsia="ru-RU"/>
        </w:rPr>
        <w:t>Молекулярно-генетическое исследование уровня</w:t>
      </w:r>
      <w:r w:rsidR="00407C1E">
        <w:rPr>
          <w:b/>
          <w:szCs w:val="24"/>
          <w:lang w:eastAsia="ru-RU"/>
        </w:rPr>
        <w:t xml:space="preserve"> </w:t>
      </w:r>
      <w:proofErr w:type="gramStart"/>
      <w:r w:rsidR="00407C1E" w:rsidRPr="009D4B3B">
        <w:rPr>
          <w:i/>
          <w:iCs/>
          <w:szCs w:val="24"/>
          <w:lang w:eastAsia="ru-RU"/>
        </w:rPr>
        <w:t>BCR::</w:t>
      </w:r>
      <w:proofErr w:type="gramEnd"/>
      <w:r w:rsidR="00407C1E" w:rsidRPr="009D4B3B">
        <w:rPr>
          <w:i/>
          <w:iCs/>
          <w:szCs w:val="24"/>
          <w:lang w:eastAsia="ru-RU"/>
        </w:rPr>
        <w:t>ABL1</w:t>
      </w:r>
      <w:r w:rsidR="00407C1E" w:rsidRPr="009D4B3B">
        <w:rPr>
          <w:szCs w:val="24"/>
          <w:lang w:eastAsia="ru-RU"/>
        </w:rPr>
        <w:t xml:space="preserve"> </w:t>
      </w:r>
      <w:r w:rsidRPr="009D4B3B">
        <w:rPr>
          <w:bCs/>
          <w:szCs w:val="24"/>
          <w:lang w:eastAsia="ru-RU"/>
        </w:rPr>
        <w:t xml:space="preserve">– измерение экспрессии </w:t>
      </w:r>
      <w:r w:rsidR="00407C1E" w:rsidRPr="009D4B3B">
        <w:rPr>
          <w:bCs/>
          <w:szCs w:val="24"/>
          <w:lang w:eastAsia="ru-RU"/>
        </w:rPr>
        <w:t xml:space="preserve">химерного </w:t>
      </w:r>
      <w:r w:rsidRPr="009D4B3B">
        <w:rPr>
          <w:bCs/>
          <w:szCs w:val="24"/>
          <w:lang w:eastAsia="ru-RU"/>
        </w:rPr>
        <w:t xml:space="preserve">гена </w:t>
      </w:r>
      <w:r w:rsidR="00407C1E" w:rsidRPr="009D4B3B">
        <w:rPr>
          <w:i/>
          <w:iCs/>
          <w:szCs w:val="24"/>
          <w:lang w:eastAsia="ru-RU"/>
        </w:rPr>
        <w:t>BCR::ABL1</w:t>
      </w:r>
      <w:r w:rsidR="00407C1E" w:rsidRPr="009D4B3B">
        <w:rPr>
          <w:szCs w:val="24"/>
          <w:lang w:eastAsia="ru-RU"/>
        </w:rPr>
        <w:t xml:space="preserve"> </w:t>
      </w:r>
      <w:r w:rsidRPr="009D4B3B">
        <w:rPr>
          <w:bCs/>
          <w:szCs w:val="24"/>
          <w:lang w:eastAsia="ru-RU"/>
        </w:rPr>
        <w:t xml:space="preserve">методом количественной ПЦР в </w:t>
      </w:r>
      <w:r w:rsidR="00651CAC" w:rsidRPr="009D4B3B">
        <w:rPr>
          <w:bCs/>
          <w:szCs w:val="24"/>
          <w:lang w:eastAsia="ru-RU"/>
        </w:rPr>
        <w:t xml:space="preserve">режиме </w:t>
      </w:r>
      <w:r w:rsidRPr="009D4B3B">
        <w:rPr>
          <w:bCs/>
          <w:szCs w:val="24"/>
          <w:lang w:eastAsia="ru-RU"/>
        </w:rPr>
        <w:t>реальн</w:t>
      </w:r>
      <w:r w:rsidR="009D4B3B" w:rsidRPr="009D4B3B">
        <w:rPr>
          <w:bCs/>
          <w:szCs w:val="24"/>
          <w:lang w:eastAsia="ru-RU"/>
        </w:rPr>
        <w:t>ого</w:t>
      </w:r>
      <w:r w:rsidRPr="009D4B3B">
        <w:rPr>
          <w:bCs/>
          <w:szCs w:val="24"/>
          <w:lang w:eastAsia="ru-RU"/>
        </w:rPr>
        <w:t xml:space="preserve"> времени</w:t>
      </w:r>
      <w:r w:rsidRPr="00062B4F">
        <w:rPr>
          <w:bCs/>
          <w:szCs w:val="24"/>
          <w:lang w:eastAsia="ru-RU"/>
        </w:rPr>
        <w:t>.</w:t>
      </w:r>
    </w:p>
    <w:p w14:paraId="6E60BC0C" w14:textId="77777777" w:rsidR="000C7098" w:rsidRPr="00062B4F" w:rsidRDefault="000C7098" w:rsidP="007C5249">
      <w:pPr>
        <w:ind w:firstLine="0"/>
        <w:rPr>
          <w:bCs/>
          <w:szCs w:val="24"/>
          <w:lang w:eastAsia="ru-RU"/>
        </w:rPr>
      </w:pPr>
      <w:r w:rsidRPr="00062B4F">
        <w:rPr>
          <w:b/>
          <w:szCs w:val="24"/>
          <w:lang w:eastAsia="ru-RU"/>
        </w:rPr>
        <w:t>Непереносимость терапии</w:t>
      </w:r>
      <w:r w:rsidRPr="00062B4F">
        <w:rPr>
          <w:bCs/>
          <w:szCs w:val="24"/>
          <w:lang w:eastAsia="ru-RU"/>
        </w:rPr>
        <w:t xml:space="preserve"> – наличие нежелательных явлений терапии, которые делают невозможным ее проведение в рекомендованном режиме.</w:t>
      </w:r>
    </w:p>
    <w:p w14:paraId="35099A97" w14:textId="77777777" w:rsidR="008C3169" w:rsidRPr="00062B4F" w:rsidRDefault="008C3169" w:rsidP="008C3169">
      <w:pPr>
        <w:ind w:firstLine="0"/>
        <w:rPr>
          <w:bCs/>
          <w:szCs w:val="24"/>
          <w:lang w:eastAsia="ru-RU"/>
        </w:rPr>
      </w:pPr>
      <w:r w:rsidRPr="00062B4F">
        <w:rPr>
          <w:b/>
          <w:szCs w:val="24"/>
          <w:lang w:eastAsia="ru-RU"/>
        </w:rPr>
        <w:t>Неудача терапии</w:t>
      </w:r>
      <w:r w:rsidRPr="00062B4F">
        <w:rPr>
          <w:bCs/>
          <w:szCs w:val="24"/>
          <w:lang w:eastAsia="ru-RU"/>
        </w:rPr>
        <w:t xml:space="preserve"> – </w:t>
      </w:r>
      <w:r w:rsidRPr="009D4B3B">
        <w:rPr>
          <w:bCs/>
          <w:szCs w:val="24"/>
          <w:lang w:eastAsia="ru-RU"/>
        </w:rPr>
        <w:t>ответ на терапию ИТК, недостаточный для предотвращения риска прогрессирования заболевания и смерти пациента – показание для смены лечения на другой ИТК или проведение алло-ТКМ.</w:t>
      </w:r>
    </w:p>
    <w:p w14:paraId="4C7C51F2" w14:textId="77777777" w:rsidR="008C3169" w:rsidRPr="00062B4F" w:rsidRDefault="008C3169" w:rsidP="008C3169">
      <w:pPr>
        <w:ind w:firstLine="0"/>
        <w:rPr>
          <w:bCs/>
          <w:szCs w:val="24"/>
          <w:lang w:eastAsia="ru-RU"/>
        </w:rPr>
      </w:pPr>
      <w:r w:rsidRPr="00062B4F">
        <w:rPr>
          <w:b/>
          <w:szCs w:val="24"/>
          <w:lang w:eastAsia="ru-RU"/>
        </w:rPr>
        <w:t>Оптимальный ответ</w:t>
      </w:r>
      <w:r w:rsidRPr="00062B4F">
        <w:rPr>
          <w:bCs/>
          <w:i/>
          <w:iCs/>
          <w:szCs w:val="24"/>
          <w:lang w:eastAsia="ru-RU"/>
        </w:rPr>
        <w:t xml:space="preserve"> –</w:t>
      </w:r>
      <w:r>
        <w:rPr>
          <w:bCs/>
          <w:i/>
          <w:iCs/>
          <w:szCs w:val="24"/>
          <w:lang w:eastAsia="ru-RU"/>
        </w:rPr>
        <w:t xml:space="preserve"> </w:t>
      </w:r>
      <w:r w:rsidRPr="007A695F">
        <w:rPr>
          <w:bCs/>
          <w:szCs w:val="24"/>
          <w:lang w:eastAsia="ru-RU"/>
        </w:rPr>
        <w:t>ответ на терапию, при котором продолжение лечения данным ИТК максимально снижает риск прогрессирования ХМЛ и смерти пациента.</w:t>
      </w:r>
    </w:p>
    <w:p w14:paraId="58608881" w14:textId="77777777" w:rsidR="008C3169" w:rsidRPr="00062B4F" w:rsidRDefault="008C3169" w:rsidP="008C3169">
      <w:pPr>
        <w:ind w:firstLine="0"/>
        <w:rPr>
          <w:bCs/>
          <w:szCs w:val="24"/>
          <w:lang w:eastAsia="ru-RU"/>
        </w:rPr>
      </w:pPr>
      <w:r w:rsidRPr="00062B4F">
        <w:rPr>
          <w:b/>
          <w:szCs w:val="24"/>
          <w:lang w:eastAsia="ru-RU"/>
        </w:rPr>
        <w:t>Предупреждение</w:t>
      </w:r>
      <w:r w:rsidRPr="00062B4F">
        <w:rPr>
          <w:bCs/>
          <w:szCs w:val="24"/>
          <w:lang w:eastAsia="ru-RU"/>
        </w:rPr>
        <w:t xml:space="preserve"> –</w:t>
      </w:r>
      <w:r>
        <w:rPr>
          <w:bCs/>
          <w:szCs w:val="24"/>
          <w:lang w:eastAsia="ru-RU"/>
        </w:rPr>
        <w:t xml:space="preserve"> </w:t>
      </w:r>
      <w:r w:rsidRPr="007A695F">
        <w:rPr>
          <w:bCs/>
          <w:szCs w:val="24"/>
          <w:lang w:eastAsia="ru-RU"/>
        </w:rPr>
        <w:t>ответ на терапию ИТК, указывающий на необходимость тщательного мониторинга ответа, рассмотрение вопроса о смене ИТК или готовность к смене лечения в случае появления признаков неудачи терапии.</w:t>
      </w:r>
    </w:p>
    <w:p w14:paraId="0A61A3AB" w14:textId="77777777" w:rsidR="008C3169" w:rsidRPr="00062B4F" w:rsidRDefault="008C3169" w:rsidP="008C3169">
      <w:pPr>
        <w:ind w:firstLine="0"/>
        <w:rPr>
          <w:bCs/>
          <w:szCs w:val="24"/>
          <w:lang w:eastAsia="ru-RU"/>
        </w:rPr>
      </w:pPr>
      <w:r w:rsidRPr="00062B4F">
        <w:rPr>
          <w:b/>
          <w:szCs w:val="24"/>
          <w:lang w:eastAsia="ru-RU"/>
        </w:rPr>
        <w:t xml:space="preserve">Приверженность </w:t>
      </w:r>
      <w:r w:rsidRPr="007A695F">
        <w:rPr>
          <w:b/>
          <w:szCs w:val="24"/>
          <w:lang w:eastAsia="ru-RU"/>
        </w:rPr>
        <w:t>к</w:t>
      </w:r>
      <w:r>
        <w:rPr>
          <w:b/>
          <w:szCs w:val="24"/>
          <w:lang w:eastAsia="ru-RU"/>
        </w:rPr>
        <w:t xml:space="preserve"> </w:t>
      </w:r>
      <w:r w:rsidRPr="00062B4F">
        <w:rPr>
          <w:b/>
          <w:szCs w:val="24"/>
          <w:lang w:eastAsia="ru-RU"/>
        </w:rPr>
        <w:t>терапии</w:t>
      </w:r>
      <w:r w:rsidRPr="00062B4F">
        <w:rPr>
          <w:bCs/>
          <w:szCs w:val="24"/>
          <w:lang w:eastAsia="ru-RU"/>
        </w:rPr>
        <w:t xml:space="preserve"> – соблюдение пациентом рекомендаций </w:t>
      </w:r>
      <w:r w:rsidRPr="007A695F">
        <w:rPr>
          <w:bCs/>
          <w:szCs w:val="24"/>
          <w:lang w:eastAsia="ru-RU"/>
        </w:rPr>
        <w:t>врача по обследованию и лечению.</w:t>
      </w:r>
    </w:p>
    <w:p w14:paraId="3B5C171D" w14:textId="03490137" w:rsidR="000C7098" w:rsidRPr="00407C1E" w:rsidRDefault="000C7098" w:rsidP="007C5249">
      <w:pPr>
        <w:ind w:firstLine="0"/>
        <w:rPr>
          <w:bCs/>
          <w:strike/>
          <w:szCs w:val="24"/>
          <w:lang w:eastAsia="ru-RU"/>
        </w:rPr>
      </w:pPr>
      <w:r w:rsidRPr="00062B4F">
        <w:rPr>
          <w:b/>
          <w:szCs w:val="24"/>
          <w:lang w:eastAsia="ru-RU"/>
        </w:rPr>
        <w:lastRenderedPageBreak/>
        <w:t>Стандартное цитогенетическое исследование (СЦИ)</w:t>
      </w:r>
      <w:r w:rsidRPr="00062B4F">
        <w:rPr>
          <w:bCs/>
          <w:szCs w:val="24"/>
          <w:lang w:eastAsia="ru-RU"/>
        </w:rPr>
        <w:t xml:space="preserve"> –исследование</w:t>
      </w:r>
      <w:r w:rsidR="00407C1E">
        <w:rPr>
          <w:bCs/>
          <w:szCs w:val="24"/>
          <w:lang w:eastAsia="ru-RU"/>
        </w:rPr>
        <w:t xml:space="preserve"> </w:t>
      </w:r>
      <w:r w:rsidR="00407C1E" w:rsidRPr="007A695F">
        <w:rPr>
          <w:bCs/>
          <w:szCs w:val="24"/>
          <w:lang w:eastAsia="ru-RU"/>
        </w:rPr>
        <w:t xml:space="preserve">количества и структуры хромосом в клетках </w:t>
      </w:r>
      <w:r w:rsidRPr="007A695F">
        <w:rPr>
          <w:bCs/>
          <w:szCs w:val="24"/>
          <w:lang w:eastAsia="ru-RU"/>
        </w:rPr>
        <w:t xml:space="preserve">костного мозга </w:t>
      </w:r>
      <w:r w:rsidR="00407C1E" w:rsidRPr="007A695F">
        <w:rPr>
          <w:bCs/>
          <w:szCs w:val="24"/>
          <w:lang w:eastAsia="ru-RU"/>
        </w:rPr>
        <w:t xml:space="preserve">после </w:t>
      </w:r>
      <w:r w:rsidR="00407C1E" w:rsidRPr="007A695F">
        <w:rPr>
          <w:bCs/>
          <w:szCs w:val="24"/>
          <w:lang w:val="en-US" w:eastAsia="ru-RU"/>
        </w:rPr>
        <w:t>G</w:t>
      </w:r>
      <w:r w:rsidR="00407C1E" w:rsidRPr="007A695F">
        <w:rPr>
          <w:bCs/>
          <w:szCs w:val="24"/>
          <w:lang w:eastAsia="ru-RU"/>
        </w:rPr>
        <w:t>-окрашивания</w:t>
      </w:r>
      <w:r w:rsidR="00407C1E">
        <w:rPr>
          <w:bCs/>
          <w:szCs w:val="24"/>
          <w:lang w:eastAsia="ru-RU"/>
        </w:rPr>
        <w:t xml:space="preserve"> </w:t>
      </w:r>
    </w:p>
    <w:p w14:paraId="56EF92D8" w14:textId="77777777" w:rsidR="000C7098" w:rsidRPr="00062B4F" w:rsidRDefault="000C7098" w:rsidP="007C5249">
      <w:pPr>
        <w:ind w:firstLine="0"/>
        <w:rPr>
          <w:bCs/>
          <w:szCs w:val="24"/>
          <w:lang w:eastAsia="ru-RU"/>
        </w:rPr>
      </w:pPr>
      <w:r w:rsidRPr="00062B4F">
        <w:rPr>
          <w:b/>
          <w:szCs w:val="24"/>
          <w:lang w:eastAsia="ru-RU"/>
        </w:rPr>
        <w:t xml:space="preserve">Фаза хронического </w:t>
      </w:r>
      <w:proofErr w:type="spellStart"/>
      <w:r w:rsidRPr="00062B4F">
        <w:rPr>
          <w:b/>
          <w:szCs w:val="24"/>
          <w:lang w:eastAsia="ru-RU"/>
        </w:rPr>
        <w:t>миелолейкоза</w:t>
      </w:r>
      <w:proofErr w:type="spellEnd"/>
      <w:r w:rsidRPr="00062B4F">
        <w:rPr>
          <w:b/>
          <w:szCs w:val="24"/>
          <w:lang w:eastAsia="ru-RU"/>
        </w:rPr>
        <w:t xml:space="preserve"> </w:t>
      </w:r>
      <w:r w:rsidRPr="00062B4F">
        <w:rPr>
          <w:bCs/>
          <w:szCs w:val="24"/>
          <w:lang w:eastAsia="ru-RU"/>
        </w:rPr>
        <w:t>– характеристика, определяющая стадию ХМЛ и прогноз; оценивается в дебюте заболевания, при его прогрессировании или изменении лечения.</w:t>
      </w:r>
    </w:p>
    <w:p w14:paraId="2630DD47" w14:textId="1BDB2851" w:rsidR="000C7098" w:rsidRPr="00062B4F" w:rsidRDefault="000C7098" w:rsidP="009D2E3F">
      <w:pPr>
        <w:pageBreakBefore/>
        <w:suppressAutoHyphens/>
        <w:spacing w:before="240"/>
        <w:ind w:firstLine="0"/>
        <w:jc w:val="center"/>
        <w:outlineLvl w:val="0"/>
        <w:rPr>
          <w:b/>
          <w:sz w:val="28"/>
          <w:szCs w:val="28"/>
        </w:rPr>
      </w:pPr>
      <w:bookmarkStart w:id="3" w:name="_Toc86133389"/>
      <w:r w:rsidRPr="00062B4F">
        <w:rPr>
          <w:b/>
          <w:sz w:val="28"/>
          <w:szCs w:val="28"/>
        </w:rPr>
        <w:lastRenderedPageBreak/>
        <w:t xml:space="preserve">1. Краткая информация </w:t>
      </w:r>
      <w:r w:rsidRPr="00062B4F">
        <w:rPr>
          <w:b/>
          <w:bCs/>
          <w:sz w:val="28"/>
          <w:szCs w:val="28"/>
        </w:rPr>
        <w:t>по заболеванию или состоянию (группе заболеваний или состояний)</w:t>
      </w:r>
      <w:bookmarkEnd w:id="3"/>
    </w:p>
    <w:p w14:paraId="3BA5C403" w14:textId="77777777" w:rsidR="000C7098" w:rsidRPr="00062B4F" w:rsidRDefault="000C7098" w:rsidP="008346B4">
      <w:pPr>
        <w:suppressAutoHyphens/>
        <w:spacing w:after="120"/>
        <w:ind w:firstLine="0"/>
        <w:outlineLvl w:val="1"/>
        <w:rPr>
          <w:b/>
          <w:szCs w:val="24"/>
          <w:u w:val="single"/>
        </w:rPr>
      </w:pPr>
      <w:bookmarkStart w:id="4" w:name="_Toc86133390"/>
      <w:r w:rsidRPr="00062B4F">
        <w:rPr>
          <w:b/>
          <w:szCs w:val="24"/>
          <w:u w:val="single"/>
        </w:rPr>
        <w:t>1.1. Определение</w:t>
      </w:r>
      <w:r w:rsidR="00A41584" w:rsidRPr="00062B4F">
        <w:rPr>
          <w:b/>
          <w:szCs w:val="24"/>
          <w:u w:val="single"/>
        </w:rPr>
        <w:t xml:space="preserve"> заболевания или состояния (группы заболеваний или состояний)</w:t>
      </w:r>
      <w:bookmarkEnd w:id="4"/>
    </w:p>
    <w:p w14:paraId="60D6D445" w14:textId="77777777" w:rsidR="008C3169" w:rsidRPr="007A695F" w:rsidRDefault="000C7098" w:rsidP="00CB7E3C">
      <w:pPr>
        <w:spacing w:line="372" w:lineRule="auto"/>
        <w:rPr>
          <w:iCs/>
          <w:szCs w:val="24"/>
          <w:lang w:eastAsia="ru-RU"/>
        </w:rPr>
      </w:pPr>
      <w:r w:rsidRPr="00062B4F">
        <w:rPr>
          <w:szCs w:val="24"/>
          <w:lang w:eastAsia="ru-RU"/>
        </w:rPr>
        <w:t xml:space="preserve">Хронический миелоидный лейкоз (ХМЛ) – это </w:t>
      </w:r>
      <w:proofErr w:type="spellStart"/>
      <w:r w:rsidRPr="00062B4F">
        <w:rPr>
          <w:szCs w:val="24"/>
          <w:lang w:eastAsia="ru-RU"/>
        </w:rPr>
        <w:t>клональное</w:t>
      </w:r>
      <w:proofErr w:type="spellEnd"/>
      <w:r w:rsidRPr="00062B4F">
        <w:rPr>
          <w:szCs w:val="24"/>
          <w:lang w:eastAsia="ru-RU"/>
        </w:rPr>
        <w:t xml:space="preserve"> опухолевое </w:t>
      </w:r>
      <w:proofErr w:type="spellStart"/>
      <w:r w:rsidRPr="00062B4F">
        <w:rPr>
          <w:szCs w:val="24"/>
          <w:lang w:eastAsia="ru-RU"/>
        </w:rPr>
        <w:t>миелопролиферативное</w:t>
      </w:r>
      <w:proofErr w:type="spellEnd"/>
      <w:r w:rsidRPr="00062B4F">
        <w:rPr>
          <w:szCs w:val="24"/>
          <w:lang w:eastAsia="ru-RU"/>
        </w:rPr>
        <w:t xml:space="preserve"> новообразование, обусловленное злокачественным перерождением стволовых гемопоэтических клеток и характеризующееся усилением пролиферации </w:t>
      </w:r>
      <w:proofErr w:type="spellStart"/>
      <w:r w:rsidRPr="00062B4F">
        <w:rPr>
          <w:szCs w:val="24"/>
          <w:lang w:eastAsia="ru-RU"/>
        </w:rPr>
        <w:t>гранулоцитарного</w:t>
      </w:r>
      <w:proofErr w:type="spellEnd"/>
      <w:r w:rsidRPr="00062B4F">
        <w:rPr>
          <w:szCs w:val="24"/>
          <w:lang w:eastAsia="ru-RU"/>
        </w:rPr>
        <w:t xml:space="preserve"> ростка без потери способности к дифференцировке, гиперплазией миелоидной ткани, миелоидной метаплазией кроветворных органов, ассоциированное </w:t>
      </w:r>
      <w:r w:rsidRPr="00242FD4">
        <w:rPr>
          <w:szCs w:val="24"/>
          <w:lang w:eastAsia="ru-RU"/>
        </w:rPr>
        <w:t xml:space="preserve">с хромосомной аномалией – </w:t>
      </w:r>
      <w:proofErr w:type="spellStart"/>
      <w:r w:rsidRPr="00242FD4">
        <w:rPr>
          <w:szCs w:val="24"/>
          <w:lang w:eastAsia="ru-RU"/>
        </w:rPr>
        <w:t>транслокацией</w:t>
      </w:r>
      <w:proofErr w:type="spellEnd"/>
      <w:r w:rsidRPr="00242FD4">
        <w:rPr>
          <w:szCs w:val="24"/>
          <w:lang w:eastAsia="ru-RU"/>
        </w:rPr>
        <w:t xml:space="preserve"> t(9;</w:t>
      </w:r>
      <w:proofErr w:type="gramStart"/>
      <w:r w:rsidRPr="00242FD4">
        <w:rPr>
          <w:szCs w:val="24"/>
          <w:lang w:eastAsia="ru-RU"/>
        </w:rPr>
        <w:t>22)(</w:t>
      </w:r>
      <w:proofErr w:type="gramEnd"/>
      <w:r w:rsidRPr="00242FD4">
        <w:rPr>
          <w:szCs w:val="24"/>
          <w:lang w:eastAsia="ru-RU"/>
        </w:rPr>
        <w:t xml:space="preserve">q34;q11), в результате которой образуется химерный </w:t>
      </w:r>
      <w:r w:rsidRPr="007A695F">
        <w:rPr>
          <w:szCs w:val="24"/>
          <w:lang w:eastAsia="ru-RU"/>
        </w:rPr>
        <w:t xml:space="preserve">ген </w:t>
      </w:r>
      <w:r w:rsidR="00407C1E" w:rsidRPr="007A695F">
        <w:rPr>
          <w:i/>
          <w:iCs/>
          <w:szCs w:val="24"/>
          <w:lang w:eastAsia="ru-RU"/>
        </w:rPr>
        <w:t>BCR::ABL1</w:t>
      </w:r>
      <w:r w:rsidRPr="007A695F">
        <w:rPr>
          <w:i/>
          <w:iCs/>
          <w:szCs w:val="24"/>
          <w:lang w:eastAsia="ru-RU"/>
        </w:rPr>
        <w:t>.</w:t>
      </w:r>
      <w:r w:rsidR="008C3169" w:rsidRPr="007A695F">
        <w:rPr>
          <w:iCs/>
          <w:szCs w:val="24"/>
          <w:lang w:eastAsia="ru-RU"/>
        </w:rPr>
        <w:t xml:space="preserve"> </w:t>
      </w:r>
    </w:p>
    <w:p w14:paraId="29ED2034" w14:textId="05B7850A" w:rsidR="00CB7E3C" w:rsidRDefault="008C3169" w:rsidP="00CB7E3C">
      <w:pPr>
        <w:spacing w:line="372" w:lineRule="auto"/>
        <w:rPr>
          <w:iCs/>
          <w:szCs w:val="24"/>
          <w:lang w:eastAsia="ru-RU"/>
        </w:rPr>
      </w:pPr>
      <w:r w:rsidRPr="007A695F">
        <w:rPr>
          <w:iCs/>
          <w:szCs w:val="24"/>
          <w:lang w:eastAsia="ru-RU"/>
        </w:rPr>
        <w:t xml:space="preserve">Ранее данный химерный ген </w:t>
      </w:r>
      <w:r w:rsidR="00702627" w:rsidRPr="00702627">
        <w:rPr>
          <w:iCs/>
          <w:szCs w:val="24"/>
          <w:lang w:eastAsia="ru-RU"/>
        </w:rPr>
        <w:t>имел</w:t>
      </w:r>
      <w:r w:rsidR="00702627">
        <w:rPr>
          <w:iCs/>
          <w:szCs w:val="24"/>
          <w:lang w:eastAsia="ru-RU"/>
        </w:rPr>
        <w:t xml:space="preserve"> обозначение</w:t>
      </w:r>
      <w:r w:rsidRPr="007A695F">
        <w:rPr>
          <w:iCs/>
          <w:szCs w:val="24"/>
          <w:lang w:eastAsia="ru-RU"/>
        </w:rPr>
        <w:t xml:space="preserve"> </w:t>
      </w:r>
      <w:r w:rsidRPr="007A695F">
        <w:rPr>
          <w:i/>
          <w:iCs/>
          <w:szCs w:val="24"/>
          <w:lang w:val="en-US" w:eastAsia="ru-RU"/>
        </w:rPr>
        <w:t>BCR</w:t>
      </w:r>
      <w:r w:rsidRPr="007A695F">
        <w:rPr>
          <w:i/>
          <w:iCs/>
          <w:szCs w:val="24"/>
          <w:lang w:eastAsia="ru-RU"/>
        </w:rPr>
        <w:t>-</w:t>
      </w:r>
      <w:r w:rsidRPr="007A695F">
        <w:rPr>
          <w:i/>
          <w:iCs/>
          <w:szCs w:val="24"/>
          <w:lang w:val="en-US" w:eastAsia="ru-RU"/>
        </w:rPr>
        <w:t>ABL</w:t>
      </w:r>
      <w:r w:rsidRPr="007A695F">
        <w:rPr>
          <w:i/>
          <w:iCs/>
          <w:szCs w:val="24"/>
          <w:lang w:eastAsia="ru-RU"/>
        </w:rPr>
        <w:t xml:space="preserve">1, </w:t>
      </w:r>
      <w:r w:rsidRPr="007A695F">
        <w:rPr>
          <w:iCs/>
          <w:szCs w:val="24"/>
          <w:lang w:eastAsia="ru-RU"/>
        </w:rPr>
        <w:t>однако в</w:t>
      </w:r>
      <w:r w:rsidR="00CB7E3C" w:rsidRPr="007A695F">
        <w:rPr>
          <w:iCs/>
          <w:szCs w:val="24"/>
          <w:lang w:eastAsia="ru-RU"/>
        </w:rPr>
        <w:t xml:space="preserve"> 2021 году комитет по номенклатуре генов HUGO (</w:t>
      </w:r>
      <w:r w:rsidR="00CB7E3C" w:rsidRPr="007A695F">
        <w:rPr>
          <w:iCs/>
          <w:szCs w:val="24"/>
          <w:lang w:val="en-US" w:eastAsia="ru-RU"/>
        </w:rPr>
        <w:t>HGNC</w:t>
      </w:r>
      <w:r w:rsidR="00CB7E3C" w:rsidRPr="007A695F">
        <w:rPr>
          <w:iCs/>
          <w:szCs w:val="24"/>
          <w:lang w:eastAsia="ru-RU"/>
        </w:rPr>
        <w:t xml:space="preserve">) опубликовал свои рекомендации по обозначению слитных генов, включая химерные, в котором указал на необходимость разделять две части слитного гена новым способом </w:t>
      </w:r>
      <w:r w:rsidR="00876678">
        <w:rPr>
          <w:rStyle w:val="jlqj4b"/>
        </w:rPr>
        <w:t>- двойным двоеточием [103</w:t>
      </w:r>
      <w:r w:rsidR="00DE6752" w:rsidRPr="00DE6752">
        <w:rPr>
          <w:rStyle w:val="jlqj4b"/>
        </w:rPr>
        <w:t>]</w:t>
      </w:r>
      <w:r w:rsidR="00CB7E3C" w:rsidRPr="007A695F">
        <w:rPr>
          <w:rStyle w:val="jlqj4b"/>
        </w:rPr>
        <w:t xml:space="preserve"> </w:t>
      </w:r>
    </w:p>
    <w:p w14:paraId="03E8BBFD" w14:textId="77777777" w:rsidR="00242FD4" w:rsidRPr="008C3169" w:rsidRDefault="00242FD4" w:rsidP="00242FD4">
      <w:pPr>
        <w:spacing w:line="372" w:lineRule="auto"/>
        <w:rPr>
          <w:szCs w:val="24"/>
          <w:lang w:eastAsia="ru-RU"/>
        </w:rPr>
      </w:pPr>
    </w:p>
    <w:p w14:paraId="57E0A1E5" w14:textId="77777777" w:rsidR="000C7098" w:rsidRPr="00062B4F" w:rsidRDefault="000C7098" w:rsidP="008346B4">
      <w:pPr>
        <w:suppressAutoHyphens/>
        <w:spacing w:after="120"/>
        <w:ind w:firstLine="0"/>
        <w:outlineLvl w:val="1"/>
        <w:rPr>
          <w:b/>
          <w:szCs w:val="24"/>
          <w:u w:val="single"/>
        </w:rPr>
      </w:pPr>
      <w:bookmarkStart w:id="5" w:name="_Toc86133391"/>
      <w:r w:rsidRPr="00062B4F">
        <w:rPr>
          <w:b/>
          <w:szCs w:val="24"/>
          <w:u w:val="single"/>
        </w:rPr>
        <w:t>1.2. Этиология и патогенез</w:t>
      </w:r>
      <w:r w:rsidR="00A41584" w:rsidRPr="00062B4F">
        <w:rPr>
          <w:b/>
          <w:szCs w:val="24"/>
          <w:u w:val="single"/>
        </w:rPr>
        <w:t xml:space="preserve"> заболевания или состояния (группы заболеваний или состояний)</w:t>
      </w:r>
      <w:bookmarkEnd w:id="5"/>
    </w:p>
    <w:p w14:paraId="5FAFB5AA" w14:textId="77777777" w:rsidR="000C7098" w:rsidRPr="00062B4F" w:rsidRDefault="000C7098" w:rsidP="008346B4">
      <w:pPr>
        <w:spacing w:line="372" w:lineRule="auto"/>
        <w:rPr>
          <w:szCs w:val="24"/>
          <w:lang w:eastAsia="ru-RU"/>
        </w:rPr>
      </w:pPr>
      <w:r w:rsidRPr="00062B4F">
        <w:rPr>
          <w:szCs w:val="24"/>
          <w:lang w:eastAsia="ru-RU"/>
        </w:rPr>
        <w:t>Этиология заболевания не установлена. Обсуждается роль различных факторов – ионизирующего излучения, инфекций, токсинов, однако четкой взаимосвязи между ними и возникновением ХМЛ не выявлено.</w:t>
      </w:r>
    </w:p>
    <w:p w14:paraId="54E27DC7" w14:textId="07C7FB07" w:rsidR="00242FD4" w:rsidRDefault="000C7098" w:rsidP="00242FD4">
      <w:pPr>
        <w:spacing w:line="372" w:lineRule="auto"/>
      </w:pPr>
      <w:proofErr w:type="spellStart"/>
      <w:r w:rsidRPr="00062B4F">
        <w:rPr>
          <w:szCs w:val="24"/>
          <w:lang w:eastAsia="ru-RU"/>
        </w:rPr>
        <w:t>Патогенетически</w:t>
      </w:r>
      <w:proofErr w:type="spellEnd"/>
      <w:r w:rsidRPr="00062B4F">
        <w:rPr>
          <w:szCs w:val="24"/>
          <w:lang w:eastAsia="ru-RU"/>
        </w:rPr>
        <w:t xml:space="preserve"> ХМЛ представляет собой </w:t>
      </w:r>
      <w:proofErr w:type="spellStart"/>
      <w:r w:rsidRPr="00062B4F">
        <w:rPr>
          <w:szCs w:val="24"/>
          <w:lang w:eastAsia="ru-RU"/>
        </w:rPr>
        <w:t>клональный</w:t>
      </w:r>
      <w:proofErr w:type="spellEnd"/>
      <w:r w:rsidRPr="00062B4F">
        <w:rPr>
          <w:szCs w:val="24"/>
          <w:lang w:eastAsia="ru-RU"/>
        </w:rPr>
        <w:t xml:space="preserve"> </w:t>
      </w:r>
      <w:proofErr w:type="spellStart"/>
      <w:r w:rsidRPr="00062B4F">
        <w:rPr>
          <w:szCs w:val="24"/>
          <w:lang w:eastAsia="ru-RU"/>
        </w:rPr>
        <w:t>миелопролиферативный</w:t>
      </w:r>
      <w:proofErr w:type="spellEnd"/>
      <w:r w:rsidRPr="00062B4F">
        <w:rPr>
          <w:szCs w:val="24"/>
          <w:lang w:eastAsia="ru-RU"/>
        </w:rPr>
        <w:t xml:space="preserve"> процесс, развивающийся в результате злокачественной трансформации в ранних гемопоэтических стволовых клетках. Возникновение </w:t>
      </w:r>
      <w:proofErr w:type="spellStart"/>
      <w:r w:rsidRPr="00062B4F">
        <w:rPr>
          <w:szCs w:val="24"/>
          <w:lang w:eastAsia="ru-RU"/>
        </w:rPr>
        <w:t>транслокации</w:t>
      </w:r>
      <w:proofErr w:type="spellEnd"/>
      <w:r w:rsidRPr="00062B4F">
        <w:rPr>
          <w:szCs w:val="24"/>
          <w:lang w:eastAsia="ru-RU"/>
        </w:rPr>
        <w:t xml:space="preserve"> t(9;</w:t>
      </w:r>
      <w:proofErr w:type="gramStart"/>
      <w:r w:rsidRPr="00062B4F">
        <w:rPr>
          <w:szCs w:val="24"/>
          <w:lang w:eastAsia="ru-RU"/>
        </w:rPr>
        <w:t>22)(</w:t>
      </w:r>
      <w:proofErr w:type="gramEnd"/>
      <w:r w:rsidRPr="00062B4F">
        <w:rPr>
          <w:szCs w:val="24"/>
          <w:lang w:eastAsia="ru-RU"/>
        </w:rPr>
        <w:t>q34;q11) – так называемой «филадельфийской хромосомы» (</w:t>
      </w:r>
      <w:proofErr w:type="spellStart"/>
      <w:r w:rsidRPr="00062B4F">
        <w:rPr>
          <w:szCs w:val="24"/>
          <w:lang w:eastAsia="ru-RU"/>
        </w:rPr>
        <w:t>Ph</w:t>
      </w:r>
      <w:proofErr w:type="spellEnd"/>
      <w:r w:rsidRPr="00062B4F">
        <w:rPr>
          <w:szCs w:val="24"/>
          <w:lang w:eastAsia="ru-RU"/>
        </w:rPr>
        <w:noBreakHyphen/>
        <w:t xml:space="preserve">хромосомы) – и соответственно </w:t>
      </w:r>
      <w:r w:rsidRPr="00576B1D">
        <w:rPr>
          <w:szCs w:val="24"/>
          <w:lang w:eastAsia="ru-RU"/>
        </w:rPr>
        <w:t xml:space="preserve">химерного гена </w:t>
      </w:r>
      <w:r w:rsidR="00C15CE8" w:rsidRPr="00576B1D">
        <w:rPr>
          <w:i/>
          <w:iCs/>
          <w:szCs w:val="24"/>
          <w:lang w:eastAsia="ru-RU"/>
        </w:rPr>
        <w:t>BCR::ABL1</w:t>
      </w:r>
      <w:r w:rsidR="00C15CE8" w:rsidRPr="00576B1D">
        <w:rPr>
          <w:szCs w:val="24"/>
          <w:lang w:eastAsia="ru-RU"/>
        </w:rPr>
        <w:t xml:space="preserve"> </w:t>
      </w:r>
      <w:r w:rsidRPr="00576B1D">
        <w:rPr>
          <w:szCs w:val="24"/>
          <w:lang w:eastAsia="ru-RU"/>
        </w:rPr>
        <w:t xml:space="preserve">лежат в основе патогенеза заболевания. Продукт гена </w:t>
      </w:r>
      <w:r w:rsidR="00C15CE8" w:rsidRPr="00576B1D">
        <w:rPr>
          <w:i/>
          <w:iCs/>
          <w:szCs w:val="24"/>
          <w:lang w:eastAsia="ru-RU"/>
        </w:rPr>
        <w:t>BCR::ABL1</w:t>
      </w:r>
      <w:r w:rsidR="00C15CE8" w:rsidRPr="00576B1D">
        <w:rPr>
          <w:szCs w:val="24"/>
          <w:lang w:eastAsia="ru-RU"/>
        </w:rPr>
        <w:t xml:space="preserve"> </w:t>
      </w:r>
      <w:r w:rsidRPr="00576B1D">
        <w:rPr>
          <w:szCs w:val="24"/>
          <w:lang w:eastAsia="ru-RU"/>
        </w:rPr>
        <w:t xml:space="preserve">представляет собой </w:t>
      </w:r>
      <w:proofErr w:type="spellStart"/>
      <w:r w:rsidRPr="00576B1D">
        <w:rPr>
          <w:szCs w:val="24"/>
          <w:lang w:eastAsia="ru-RU"/>
        </w:rPr>
        <w:t>тирозинкиназу</w:t>
      </w:r>
      <w:proofErr w:type="spellEnd"/>
      <w:r w:rsidRPr="00576B1D">
        <w:rPr>
          <w:szCs w:val="24"/>
          <w:lang w:eastAsia="ru-RU"/>
        </w:rPr>
        <w:t xml:space="preserve"> с аномально повышенной активностью, регулирующую сигналы, ответственные за клеточный рост, активацию, дифференцировку, адгезию и </w:t>
      </w:r>
      <w:proofErr w:type="spellStart"/>
      <w:r w:rsidRPr="00576B1D">
        <w:rPr>
          <w:szCs w:val="24"/>
          <w:lang w:eastAsia="ru-RU"/>
        </w:rPr>
        <w:t>апоптоз</w:t>
      </w:r>
      <w:proofErr w:type="spellEnd"/>
      <w:r w:rsidR="00EA5A09" w:rsidRPr="00576B1D">
        <w:rPr>
          <w:szCs w:val="24"/>
          <w:lang w:eastAsia="ru-RU"/>
        </w:rPr>
        <w:t xml:space="preserve"> </w:t>
      </w:r>
      <w:r w:rsidR="00B963F1" w:rsidRPr="00576B1D">
        <w:rPr>
          <w:szCs w:val="24"/>
          <w:lang w:eastAsia="ru-RU"/>
        </w:rPr>
        <w:fldChar w:fldCharType="begin" w:fldLock="1"/>
      </w:r>
      <w:r w:rsidR="0089323F" w:rsidRPr="00576B1D">
        <w:rPr>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mendeley":{"formattedCitation":"[1]","plainTextFormattedCitation":"[1]","previouslyFormattedCitation":"[1]"},"properties":{"noteIndex":0},"schema":"https://github.com/citation-style-language/schema/raw/master/csl-citation.json"}</w:instrText>
      </w:r>
      <w:r w:rsidR="00B963F1" w:rsidRPr="00576B1D">
        <w:rPr>
          <w:szCs w:val="24"/>
          <w:lang w:eastAsia="ru-RU"/>
        </w:rPr>
        <w:fldChar w:fldCharType="separate"/>
      </w:r>
      <w:r w:rsidR="00B963F1" w:rsidRPr="00576B1D">
        <w:rPr>
          <w:noProof/>
          <w:szCs w:val="24"/>
          <w:lang w:eastAsia="ru-RU"/>
        </w:rPr>
        <w:t>[1]</w:t>
      </w:r>
      <w:r w:rsidR="00B963F1" w:rsidRPr="00576B1D">
        <w:rPr>
          <w:szCs w:val="24"/>
          <w:lang w:eastAsia="ru-RU"/>
        </w:rPr>
        <w:fldChar w:fldCharType="end"/>
      </w:r>
      <w:r w:rsidRPr="00576B1D">
        <w:rPr>
          <w:szCs w:val="24"/>
          <w:lang w:eastAsia="ru-RU"/>
        </w:rPr>
        <w:t xml:space="preserve">. В зависимости от локализации точки разрыва могут выявляться </w:t>
      </w:r>
      <w:r w:rsidR="00242FD4" w:rsidRPr="00576B1D">
        <w:rPr>
          <w:szCs w:val="24"/>
          <w:lang w:eastAsia="ru-RU"/>
        </w:rPr>
        <w:t xml:space="preserve">более 10 разных вариантов химерного </w:t>
      </w:r>
      <w:proofErr w:type="spellStart"/>
      <w:r w:rsidR="00242FD4" w:rsidRPr="00576B1D">
        <w:rPr>
          <w:szCs w:val="24"/>
          <w:lang w:eastAsia="ru-RU"/>
        </w:rPr>
        <w:t>транскрипта</w:t>
      </w:r>
      <w:proofErr w:type="spellEnd"/>
      <w:r w:rsidR="00242FD4" w:rsidRPr="00576B1D">
        <w:rPr>
          <w:szCs w:val="24"/>
          <w:lang w:eastAsia="ru-RU"/>
        </w:rPr>
        <w:t xml:space="preserve"> </w:t>
      </w:r>
      <w:proofErr w:type="gramStart"/>
      <w:r w:rsidR="00242FD4" w:rsidRPr="00576B1D">
        <w:rPr>
          <w:i/>
          <w:iCs/>
          <w:szCs w:val="24"/>
          <w:lang w:eastAsia="ru-RU"/>
        </w:rPr>
        <w:t>BCR::</w:t>
      </w:r>
      <w:proofErr w:type="gramEnd"/>
      <w:r w:rsidR="00242FD4" w:rsidRPr="00576B1D">
        <w:rPr>
          <w:i/>
          <w:iCs/>
          <w:szCs w:val="24"/>
          <w:lang w:eastAsia="ru-RU"/>
        </w:rPr>
        <w:t>ABL1</w:t>
      </w:r>
      <w:r w:rsidR="00242FD4" w:rsidRPr="00576B1D">
        <w:rPr>
          <w:szCs w:val="24"/>
          <w:lang w:eastAsia="ru-RU"/>
        </w:rPr>
        <w:t xml:space="preserve"> с различной молекулярной массой. Наиболее распространенными являются химерные </w:t>
      </w:r>
      <w:proofErr w:type="spellStart"/>
      <w:r w:rsidR="00242FD4" w:rsidRPr="00576B1D">
        <w:rPr>
          <w:szCs w:val="24"/>
          <w:lang w:eastAsia="ru-RU"/>
        </w:rPr>
        <w:t>транскрипты</w:t>
      </w:r>
      <w:proofErr w:type="spellEnd"/>
      <w:r w:rsidR="00242FD4" w:rsidRPr="00576B1D">
        <w:rPr>
          <w:szCs w:val="24"/>
          <w:lang w:eastAsia="ru-RU"/>
        </w:rPr>
        <w:t xml:space="preserve"> </w:t>
      </w:r>
      <w:r w:rsidR="0018504E" w:rsidRPr="00576B1D">
        <w:rPr>
          <w:szCs w:val="24"/>
          <w:lang w:eastAsia="ru-RU"/>
        </w:rPr>
        <w:t xml:space="preserve">образующиеся при слиянии </w:t>
      </w:r>
      <w:r w:rsidR="00242FD4" w:rsidRPr="00576B1D">
        <w:rPr>
          <w:szCs w:val="24"/>
          <w:lang w:eastAsia="ru-RU"/>
        </w:rPr>
        <w:t xml:space="preserve">13-го или 14-го </w:t>
      </w:r>
      <w:proofErr w:type="spellStart"/>
      <w:r w:rsidR="00242FD4" w:rsidRPr="00576B1D">
        <w:rPr>
          <w:szCs w:val="24"/>
          <w:lang w:eastAsia="ru-RU"/>
        </w:rPr>
        <w:t>экзонов</w:t>
      </w:r>
      <w:proofErr w:type="spellEnd"/>
      <w:r w:rsidR="00242FD4" w:rsidRPr="00576B1D">
        <w:rPr>
          <w:szCs w:val="24"/>
          <w:lang w:eastAsia="ru-RU"/>
        </w:rPr>
        <w:t xml:space="preserve"> гена </w:t>
      </w:r>
      <w:r w:rsidR="00242FD4" w:rsidRPr="00576B1D">
        <w:rPr>
          <w:i/>
          <w:szCs w:val="24"/>
          <w:lang w:val="en-US" w:eastAsia="ru-RU"/>
        </w:rPr>
        <w:t>BCR</w:t>
      </w:r>
      <w:r w:rsidR="00242FD4" w:rsidRPr="00576B1D">
        <w:rPr>
          <w:szCs w:val="24"/>
          <w:lang w:eastAsia="ru-RU"/>
        </w:rPr>
        <w:t xml:space="preserve"> со 2-м </w:t>
      </w:r>
      <w:proofErr w:type="spellStart"/>
      <w:r w:rsidR="00242FD4" w:rsidRPr="00576B1D">
        <w:rPr>
          <w:szCs w:val="24"/>
          <w:lang w:eastAsia="ru-RU"/>
        </w:rPr>
        <w:t>экзоном</w:t>
      </w:r>
      <w:proofErr w:type="spellEnd"/>
      <w:r w:rsidR="00242FD4" w:rsidRPr="00576B1D">
        <w:rPr>
          <w:szCs w:val="24"/>
          <w:lang w:eastAsia="ru-RU"/>
        </w:rPr>
        <w:t xml:space="preserve"> гена </w:t>
      </w:r>
      <w:r w:rsidR="00242FD4" w:rsidRPr="00576B1D">
        <w:rPr>
          <w:i/>
          <w:szCs w:val="24"/>
          <w:lang w:val="en-US" w:eastAsia="ru-RU"/>
        </w:rPr>
        <w:t>ABL</w:t>
      </w:r>
      <w:r w:rsidR="00242FD4" w:rsidRPr="00576B1D">
        <w:rPr>
          <w:i/>
          <w:szCs w:val="24"/>
          <w:lang w:eastAsia="ru-RU"/>
        </w:rPr>
        <w:t>1</w:t>
      </w:r>
      <w:r w:rsidR="00242FD4" w:rsidRPr="00576B1D">
        <w:rPr>
          <w:szCs w:val="24"/>
          <w:lang w:eastAsia="ru-RU"/>
        </w:rPr>
        <w:t xml:space="preserve">. В первом случае образуется химерный </w:t>
      </w:r>
      <w:proofErr w:type="spellStart"/>
      <w:r w:rsidR="00242FD4" w:rsidRPr="00576B1D">
        <w:rPr>
          <w:szCs w:val="24"/>
          <w:lang w:eastAsia="ru-RU"/>
        </w:rPr>
        <w:t>транскрипт</w:t>
      </w:r>
      <w:proofErr w:type="spellEnd"/>
      <w:r w:rsidR="00242FD4" w:rsidRPr="00576B1D">
        <w:rPr>
          <w:szCs w:val="24"/>
          <w:lang w:eastAsia="ru-RU"/>
        </w:rPr>
        <w:t xml:space="preserve"> </w:t>
      </w:r>
      <w:r w:rsidR="00242FD4" w:rsidRPr="00576B1D">
        <w:rPr>
          <w:szCs w:val="24"/>
          <w:lang w:val="en-US" w:eastAsia="ru-RU"/>
        </w:rPr>
        <w:t>e</w:t>
      </w:r>
      <w:r w:rsidR="00242FD4" w:rsidRPr="00576B1D">
        <w:rPr>
          <w:szCs w:val="24"/>
          <w:lang w:eastAsia="ru-RU"/>
        </w:rPr>
        <w:t>13</w:t>
      </w:r>
      <w:r w:rsidR="00242FD4" w:rsidRPr="00576B1D">
        <w:rPr>
          <w:szCs w:val="24"/>
          <w:lang w:val="en-US" w:eastAsia="ru-RU"/>
        </w:rPr>
        <w:t>a</w:t>
      </w:r>
      <w:r w:rsidR="00242FD4" w:rsidRPr="00576B1D">
        <w:rPr>
          <w:szCs w:val="24"/>
          <w:lang w:eastAsia="ru-RU"/>
        </w:rPr>
        <w:t xml:space="preserve">2 (ранее известный как </w:t>
      </w:r>
      <w:r w:rsidR="00242FD4" w:rsidRPr="00576B1D">
        <w:rPr>
          <w:szCs w:val="24"/>
          <w:lang w:val="en-US" w:eastAsia="ru-RU"/>
        </w:rPr>
        <w:t>b</w:t>
      </w:r>
      <w:r w:rsidR="00242FD4" w:rsidRPr="00576B1D">
        <w:rPr>
          <w:szCs w:val="24"/>
          <w:lang w:eastAsia="ru-RU"/>
        </w:rPr>
        <w:t>2</w:t>
      </w:r>
      <w:r w:rsidR="00242FD4" w:rsidRPr="00576B1D">
        <w:rPr>
          <w:szCs w:val="24"/>
          <w:lang w:val="en-US" w:eastAsia="ru-RU"/>
        </w:rPr>
        <w:t>a</w:t>
      </w:r>
      <w:r w:rsidR="00242FD4" w:rsidRPr="00576B1D">
        <w:rPr>
          <w:szCs w:val="24"/>
          <w:lang w:eastAsia="ru-RU"/>
        </w:rPr>
        <w:t xml:space="preserve">2), во втором </w:t>
      </w:r>
      <w:r w:rsidR="00242FD4" w:rsidRPr="00576B1D">
        <w:rPr>
          <w:szCs w:val="24"/>
          <w:lang w:val="en-US" w:eastAsia="ru-RU"/>
        </w:rPr>
        <w:t>e</w:t>
      </w:r>
      <w:r w:rsidR="00242FD4" w:rsidRPr="00576B1D">
        <w:rPr>
          <w:szCs w:val="24"/>
          <w:lang w:eastAsia="ru-RU"/>
        </w:rPr>
        <w:t>14</w:t>
      </w:r>
      <w:r w:rsidR="00242FD4" w:rsidRPr="00576B1D">
        <w:rPr>
          <w:szCs w:val="24"/>
          <w:lang w:val="en-US" w:eastAsia="ru-RU"/>
        </w:rPr>
        <w:t>a</w:t>
      </w:r>
      <w:r w:rsidR="00242FD4" w:rsidRPr="00576B1D">
        <w:rPr>
          <w:szCs w:val="24"/>
          <w:lang w:eastAsia="ru-RU"/>
        </w:rPr>
        <w:t>2 (</w:t>
      </w:r>
      <w:r w:rsidR="00242FD4" w:rsidRPr="00576B1D">
        <w:rPr>
          <w:szCs w:val="24"/>
          <w:lang w:val="en-US" w:eastAsia="ru-RU"/>
        </w:rPr>
        <w:t>b</w:t>
      </w:r>
      <w:r w:rsidR="00242FD4" w:rsidRPr="00576B1D">
        <w:rPr>
          <w:szCs w:val="24"/>
          <w:lang w:eastAsia="ru-RU"/>
        </w:rPr>
        <w:t>3</w:t>
      </w:r>
      <w:r w:rsidR="00242FD4" w:rsidRPr="00576B1D">
        <w:rPr>
          <w:szCs w:val="24"/>
          <w:lang w:val="en-US" w:eastAsia="ru-RU"/>
        </w:rPr>
        <w:t>a</w:t>
      </w:r>
      <w:r w:rsidR="00242FD4" w:rsidRPr="00576B1D">
        <w:rPr>
          <w:szCs w:val="24"/>
          <w:lang w:eastAsia="ru-RU"/>
        </w:rPr>
        <w:t xml:space="preserve">2). Суммарно на варианты </w:t>
      </w:r>
      <w:r w:rsidR="00242FD4" w:rsidRPr="00576B1D">
        <w:rPr>
          <w:szCs w:val="24"/>
          <w:lang w:val="en-US" w:eastAsia="ru-RU"/>
        </w:rPr>
        <w:t>e</w:t>
      </w:r>
      <w:r w:rsidR="00242FD4" w:rsidRPr="00576B1D">
        <w:rPr>
          <w:szCs w:val="24"/>
          <w:lang w:eastAsia="ru-RU"/>
        </w:rPr>
        <w:t>13</w:t>
      </w:r>
      <w:r w:rsidR="00242FD4" w:rsidRPr="00576B1D">
        <w:rPr>
          <w:szCs w:val="24"/>
          <w:lang w:val="en-US" w:eastAsia="ru-RU"/>
        </w:rPr>
        <w:t>a</w:t>
      </w:r>
      <w:r w:rsidR="00242FD4" w:rsidRPr="00576B1D">
        <w:rPr>
          <w:szCs w:val="24"/>
          <w:lang w:eastAsia="ru-RU"/>
        </w:rPr>
        <w:t xml:space="preserve">2 и </w:t>
      </w:r>
      <w:r w:rsidR="00242FD4" w:rsidRPr="00576B1D">
        <w:rPr>
          <w:szCs w:val="24"/>
          <w:lang w:val="en-US" w:eastAsia="ru-RU"/>
        </w:rPr>
        <w:t>e</w:t>
      </w:r>
      <w:r w:rsidR="00242FD4" w:rsidRPr="00576B1D">
        <w:rPr>
          <w:szCs w:val="24"/>
          <w:lang w:eastAsia="ru-RU"/>
        </w:rPr>
        <w:t>14</w:t>
      </w:r>
      <w:r w:rsidR="00242FD4" w:rsidRPr="00576B1D">
        <w:rPr>
          <w:szCs w:val="24"/>
          <w:lang w:val="en-US" w:eastAsia="ru-RU"/>
        </w:rPr>
        <w:t>a</w:t>
      </w:r>
      <w:r w:rsidR="00242FD4" w:rsidRPr="00576B1D">
        <w:rPr>
          <w:szCs w:val="24"/>
          <w:lang w:eastAsia="ru-RU"/>
        </w:rPr>
        <w:t xml:space="preserve">2 приходится более 98% случаев ХМЛ. Оба они </w:t>
      </w:r>
      <w:r w:rsidR="00242FD4" w:rsidRPr="00576B1D">
        <w:rPr>
          <w:szCs w:val="24"/>
          <w:lang w:eastAsia="ru-RU"/>
        </w:rPr>
        <w:lastRenderedPageBreak/>
        <w:t xml:space="preserve">приводят к образованию химерного белка с молекулярной массой 210 </w:t>
      </w:r>
      <w:proofErr w:type="spellStart"/>
      <w:r w:rsidR="00242FD4" w:rsidRPr="00576B1D">
        <w:rPr>
          <w:szCs w:val="24"/>
          <w:lang w:eastAsia="ru-RU"/>
        </w:rPr>
        <w:t>кДа</w:t>
      </w:r>
      <w:proofErr w:type="spellEnd"/>
      <w:r w:rsidR="00242FD4" w:rsidRPr="00576B1D">
        <w:rPr>
          <w:szCs w:val="24"/>
          <w:lang w:eastAsia="ru-RU"/>
        </w:rPr>
        <w:t xml:space="preserve">, обозначаемого как p210. Остальные варианты </w:t>
      </w:r>
      <w:proofErr w:type="spellStart"/>
      <w:r w:rsidR="00242FD4" w:rsidRPr="00576B1D">
        <w:rPr>
          <w:szCs w:val="24"/>
          <w:lang w:eastAsia="ru-RU"/>
        </w:rPr>
        <w:t>транскриптов</w:t>
      </w:r>
      <w:proofErr w:type="spellEnd"/>
      <w:r w:rsidR="00242FD4" w:rsidRPr="00576B1D">
        <w:rPr>
          <w:i/>
          <w:iCs/>
          <w:szCs w:val="24"/>
          <w:lang w:eastAsia="ru-RU"/>
        </w:rPr>
        <w:t xml:space="preserve"> </w:t>
      </w:r>
      <w:proofErr w:type="gramStart"/>
      <w:r w:rsidR="00242FD4" w:rsidRPr="00576B1D">
        <w:rPr>
          <w:i/>
          <w:iCs/>
          <w:szCs w:val="24"/>
          <w:lang w:eastAsia="ru-RU"/>
        </w:rPr>
        <w:t>BCR::</w:t>
      </w:r>
      <w:proofErr w:type="gramEnd"/>
      <w:r w:rsidR="00242FD4" w:rsidRPr="00576B1D">
        <w:rPr>
          <w:i/>
          <w:iCs/>
          <w:szCs w:val="24"/>
          <w:lang w:eastAsia="ru-RU"/>
        </w:rPr>
        <w:t>ABL1</w:t>
      </w:r>
      <w:r w:rsidR="00242FD4" w:rsidRPr="00576B1D">
        <w:rPr>
          <w:szCs w:val="24"/>
          <w:lang w:eastAsia="ru-RU"/>
        </w:rPr>
        <w:t xml:space="preserve"> </w:t>
      </w:r>
      <w:r w:rsidR="00EC421C" w:rsidRPr="00576B1D">
        <w:rPr>
          <w:szCs w:val="24"/>
          <w:lang w:eastAsia="ru-RU"/>
        </w:rPr>
        <w:t xml:space="preserve">у пациентов с ХМЛ </w:t>
      </w:r>
      <w:r w:rsidR="00242FD4" w:rsidRPr="00576B1D">
        <w:rPr>
          <w:szCs w:val="24"/>
          <w:lang w:eastAsia="ru-RU"/>
        </w:rPr>
        <w:t xml:space="preserve">носят название атипичные. Среди них чаще других выявляются варианты, образующиеся при слиянии 1-го </w:t>
      </w:r>
      <w:proofErr w:type="spellStart"/>
      <w:r w:rsidR="00242FD4" w:rsidRPr="00576B1D">
        <w:rPr>
          <w:szCs w:val="24"/>
          <w:lang w:eastAsia="ru-RU"/>
        </w:rPr>
        <w:t>экзона</w:t>
      </w:r>
      <w:proofErr w:type="spellEnd"/>
      <w:r w:rsidR="00242FD4" w:rsidRPr="00576B1D">
        <w:rPr>
          <w:szCs w:val="24"/>
          <w:lang w:eastAsia="ru-RU"/>
        </w:rPr>
        <w:t xml:space="preserve"> </w:t>
      </w:r>
      <w:r w:rsidR="00242FD4" w:rsidRPr="00576B1D">
        <w:rPr>
          <w:i/>
          <w:szCs w:val="24"/>
          <w:lang w:val="en-US" w:eastAsia="ru-RU"/>
        </w:rPr>
        <w:t>BCR</w:t>
      </w:r>
      <w:r w:rsidR="00242FD4" w:rsidRPr="00576B1D">
        <w:rPr>
          <w:szCs w:val="24"/>
          <w:lang w:eastAsia="ru-RU"/>
        </w:rPr>
        <w:t xml:space="preserve"> со 2-м </w:t>
      </w:r>
      <w:proofErr w:type="spellStart"/>
      <w:r w:rsidR="00242FD4" w:rsidRPr="00576B1D">
        <w:rPr>
          <w:szCs w:val="24"/>
          <w:lang w:eastAsia="ru-RU"/>
        </w:rPr>
        <w:t>экзоном</w:t>
      </w:r>
      <w:proofErr w:type="spellEnd"/>
      <w:r w:rsidR="00242FD4" w:rsidRPr="00576B1D">
        <w:rPr>
          <w:szCs w:val="24"/>
          <w:lang w:eastAsia="ru-RU"/>
        </w:rPr>
        <w:t xml:space="preserve"> гена </w:t>
      </w:r>
      <w:r w:rsidR="00242FD4" w:rsidRPr="00576B1D">
        <w:rPr>
          <w:i/>
          <w:szCs w:val="24"/>
          <w:lang w:val="en-US" w:eastAsia="ru-RU"/>
        </w:rPr>
        <w:t>ABL</w:t>
      </w:r>
      <w:r w:rsidR="00242FD4" w:rsidRPr="00576B1D">
        <w:rPr>
          <w:i/>
          <w:szCs w:val="24"/>
          <w:lang w:eastAsia="ru-RU"/>
        </w:rPr>
        <w:t>1</w:t>
      </w:r>
      <w:r w:rsidR="00242FD4" w:rsidRPr="00576B1D">
        <w:rPr>
          <w:szCs w:val="24"/>
          <w:lang w:eastAsia="ru-RU"/>
        </w:rPr>
        <w:t xml:space="preserve"> (</w:t>
      </w:r>
      <w:r w:rsidR="00242FD4" w:rsidRPr="00576B1D">
        <w:rPr>
          <w:szCs w:val="24"/>
          <w:lang w:val="en-US" w:eastAsia="ru-RU"/>
        </w:rPr>
        <w:t>e</w:t>
      </w:r>
      <w:r w:rsidR="00242FD4" w:rsidRPr="00576B1D">
        <w:rPr>
          <w:szCs w:val="24"/>
          <w:lang w:eastAsia="ru-RU"/>
        </w:rPr>
        <w:t>1</w:t>
      </w:r>
      <w:r w:rsidR="00242FD4" w:rsidRPr="00576B1D">
        <w:rPr>
          <w:szCs w:val="24"/>
          <w:lang w:val="en-US" w:eastAsia="ru-RU"/>
        </w:rPr>
        <w:t>a</w:t>
      </w:r>
      <w:r w:rsidR="00242FD4" w:rsidRPr="00576B1D">
        <w:rPr>
          <w:szCs w:val="24"/>
          <w:lang w:eastAsia="ru-RU"/>
        </w:rPr>
        <w:t xml:space="preserve">2), ведущий к образованию белка с молекулярной массой 190 </w:t>
      </w:r>
      <w:proofErr w:type="spellStart"/>
      <w:r w:rsidR="00242FD4" w:rsidRPr="00576B1D">
        <w:rPr>
          <w:szCs w:val="24"/>
          <w:lang w:eastAsia="ru-RU"/>
        </w:rPr>
        <w:t>кДа</w:t>
      </w:r>
      <w:proofErr w:type="spellEnd"/>
      <w:r w:rsidR="00242FD4" w:rsidRPr="00576B1D">
        <w:rPr>
          <w:szCs w:val="24"/>
          <w:lang w:eastAsia="ru-RU"/>
        </w:rPr>
        <w:t xml:space="preserve"> (</w:t>
      </w:r>
      <w:r w:rsidR="00242FD4" w:rsidRPr="00576B1D">
        <w:rPr>
          <w:szCs w:val="24"/>
          <w:lang w:val="en-US" w:eastAsia="ru-RU"/>
        </w:rPr>
        <w:t>p</w:t>
      </w:r>
      <w:r w:rsidR="00242FD4" w:rsidRPr="00576B1D">
        <w:rPr>
          <w:szCs w:val="24"/>
          <w:lang w:eastAsia="ru-RU"/>
        </w:rPr>
        <w:t xml:space="preserve">190) или 19-го </w:t>
      </w:r>
      <w:proofErr w:type="spellStart"/>
      <w:r w:rsidR="00242FD4" w:rsidRPr="00576B1D">
        <w:rPr>
          <w:szCs w:val="24"/>
          <w:lang w:eastAsia="ru-RU"/>
        </w:rPr>
        <w:t>экзона</w:t>
      </w:r>
      <w:proofErr w:type="spellEnd"/>
      <w:r w:rsidR="00242FD4" w:rsidRPr="00576B1D">
        <w:rPr>
          <w:szCs w:val="24"/>
          <w:lang w:eastAsia="ru-RU"/>
        </w:rPr>
        <w:t xml:space="preserve"> </w:t>
      </w:r>
      <w:r w:rsidR="00242FD4" w:rsidRPr="00576B1D">
        <w:rPr>
          <w:i/>
          <w:szCs w:val="24"/>
          <w:lang w:val="en-US" w:eastAsia="ru-RU"/>
        </w:rPr>
        <w:t>BCR</w:t>
      </w:r>
      <w:r w:rsidR="00242FD4" w:rsidRPr="00576B1D">
        <w:rPr>
          <w:szCs w:val="24"/>
          <w:lang w:eastAsia="ru-RU"/>
        </w:rPr>
        <w:t xml:space="preserve"> </w:t>
      </w:r>
      <w:r w:rsidR="00242FD4" w:rsidRPr="00576B1D">
        <w:rPr>
          <w:szCs w:val="24"/>
          <w:lang w:val="en-US" w:eastAsia="ru-RU"/>
        </w:rPr>
        <w:t>c</w:t>
      </w:r>
      <w:r w:rsidR="00242FD4" w:rsidRPr="00576B1D">
        <w:rPr>
          <w:szCs w:val="24"/>
          <w:lang w:eastAsia="ru-RU"/>
        </w:rPr>
        <w:t xml:space="preserve">о 2-м </w:t>
      </w:r>
      <w:proofErr w:type="spellStart"/>
      <w:r w:rsidR="00242FD4" w:rsidRPr="00576B1D">
        <w:rPr>
          <w:szCs w:val="24"/>
          <w:lang w:eastAsia="ru-RU"/>
        </w:rPr>
        <w:t>экзоном</w:t>
      </w:r>
      <w:proofErr w:type="spellEnd"/>
      <w:r w:rsidR="00242FD4" w:rsidRPr="00576B1D">
        <w:rPr>
          <w:szCs w:val="24"/>
          <w:lang w:eastAsia="ru-RU"/>
        </w:rPr>
        <w:t xml:space="preserve"> </w:t>
      </w:r>
      <w:r w:rsidR="00242FD4" w:rsidRPr="00576B1D">
        <w:rPr>
          <w:i/>
          <w:szCs w:val="24"/>
          <w:lang w:val="en-US" w:eastAsia="ru-RU"/>
        </w:rPr>
        <w:t>ABL</w:t>
      </w:r>
      <w:r w:rsidR="00242FD4" w:rsidRPr="00576B1D">
        <w:rPr>
          <w:i/>
          <w:szCs w:val="24"/>
          <w:lang w:eastAsia="ru-RU"/>
        </w:rPr>
        <w:t>1</w:t>
      </w:r>
      <w:r w:rsidR="00242FD4" w:rsidRPr="00576B1D">
        <w:rPr>
          <w:szCs w:val="24"/>
          <w:lang w:eastAsia="ru-RU"/>
        </w:rPr>
        <w:t xml:space="preserve"> (</w:t>
      </w:r>
      <w:r w:rsidR="00242FD4" w:rsidRPr="00576B1D">
        <w:rPr>
          <w:szCs w:val="24"/>
          <w:lang w:val="en-US" w:eastAsia="ru-RU"/>
        </w:rPr>
        <w:t>e</w:t>
      </w:r>
      <w:r w:rsidR="00242FD4" w:rsidRPr="00576B1D">
        <w:rPr>
          <w:szCs w:val="24"/>
          <w:lang w:eastAsia="ru-RU"/>
        </w:rPr>
        <w:t>19</w:t>
      </w:r>
      <w:r w:rsidR="00242FD4" w:rsidRPr="00576B1D">
        <w:rPr>
          <w:szCs w:val="24"/>
          <w:lang w:val="en-US" w:eastAsia="ru-RU"/>
        </w:rPr>
        <w:t>a</w:t>
      </w:r>
      <w:r w:rsidR="00242FD4" w:rsidRPr="00576B1D">
        <w:rPr>
          <w:szCs w:val="24"/>
          <w:lang w:eastAsia="ru-RU"/>
        </w:rPr>
        <w:t xml:space="preserve">2, </w:t>
      </w:r>
      <w:r w:rsidR="00242FD4" w:rsidRPr="00576B1D">
        <w:rPr>
          <w:szCs w:val="24"/>
          <w:lang w:val="en-US" w:eastAsia="ru-RU"/>
        </w:rPr>
        <w:t>p</w:t>
      </w:r>
      <w:r w:rsidR="00242FD4" w:rsidRPr="00576B1D">
        <w:rPr>
          <w:szCs w:val="24"/>
          <w:lang w:eastAsia="ru-RU"/>
        </w:rPr>
        <w:t>230).</w:t>
      </w:r>
      <w:r w:rsidR="00242FD4">
        <w:rPr>
          <w:szCs w:val="24"/>
          <w:lang w:eastAsia="ru-RU"/>
        </w:rPr>
        <w:t xml:space="preserve"> </w:t>
      </w:r>
    </w:p>
    <w:p w14:paraId="11D4AB42" w14:textId="1060848D" w:rsidR="000C7098" w:rsidRDefault="00242FD4" w:rsidP="00242FD4">
      <w:pPr>
        <w:spacing w:line="372" w:lineRule="auto"/>
        <w:rPr>
          <w:szCs w:val="24"/>
          <w:lang w:eastAsia="ru-RU"/>
        </w:rPr>
      </w:pPr>
      <w:r>
        <w:rPr>
          <w:szCs w:val="24"/>
          <w:lang w:eastAsia="ru-RU"/>
        </w:rPr>
        <w:t xml:space="preserve">Аномальная </w:t>
      </w:r>
      <w:proofErr w:type="spellStart"/>
      <w:r>
        <w:rPr>
          <w:szCs w:val="24"/>
          <w:lang w:eastAsia="ru-RU"/>
        </w:rPr>
        <w:t>тирозинкиназная</w:t>
      </w:r>
      <w:proofErr w:type="spellEnd"/>
      <w:r>
        <w:rPr>
          <w:szCs w:val="24"/>
          <w:lang w:eastAsia="ru-RU"/>
        </w:rPr>
        <w:t xml:space="preserve"> активность химерного </w:t>
      </w:r>
      <w:r w:rsidRPr="00C92F8A">
        <w:rPr>
          <w:szCs w:val="24"/>
          <w:lang w:eastAsia="ru-RU"/>
        </w:rPr>
        <w:t>белка BCR::ABL</w:t>
      </w:r>
      <w:r w:rsidRPr="00C92F8A">
        <w:rPr>
          <w:iCs/>
          <w:szCs w:val="24"/>
          <w:lang w:eastAsia="ru-RU"/>
        </w:rPr>
        <w:t>1</w:t>
      </w:r>
      <w:r w:rsidRPr="00C92F8A">
        <w:rPr>
          <w:szCs w:val="24"/>
          <w:lang w:eastAsia="ru-RU"/>
        </w:rPr>
        <w:t xml:space="preserve"> определяет не только повышенную частоту деления клеток,</w:t>
      </w:r>
      <w:r>
        <w:rPr>
          <w:szCs w:val="24"/>
          <w:lang w:eastAsia="ru-RU"/>
        </w:rPr>
        <w:t xml:space="preserve"> но и их преимущества для роста, независимого от сигналов, блокирование </w:t>
      </w:r>
      <w:proofErr w:type="spellStart"/>
      <w:r>
        <w:rPr>
          <w:szCs w:val="24"/>
          <w:lang w:eastAsia="ru-RU"/>
        </w:rPr>
        <w:t>апоптоза</w:t>
      </w:r>
      <w:proofErr w:type="spellEnd"/>
      <w:r>
        <w:rPr>
          <w:szCs w:val="24"/>
          <w:lang w:eastAsia="ru-RU"/>
        </w:rPr>
        <w:t xml:space="preserve"> как механизма клеточного самоуничтожения, в</w:t>
      </w:r>
      <w:r w:rsidR="00762AAA">
        <w:rPr>
          <w:szCs w:val="24"/>
          <w:lang w:eastAsia="ru-RU"/>
        </w:rPr>
        <w:t xml:space="preserve"> </w:t>
      </w:r>
      <w:r>
        <w:rPr>
          <w:szCs w:val="24"/>
          <w:lang w:eastAsia="ru-RU"/>
        </w:rPr>
        <w:t>результате чего опухолевое кроветворение получает преимущество перед нормальным и постепенно вытесняет его</w:t>
      </w:r>
      <w:r w:rsidRPr="00062B4F">
        <w:rPr>
          <w:szCs w:val="24"/>
          <w:lang w:eastAsia="ru-RU"/>
        </w:rPr>
        <w:t xml:space="preserve"> </w:t>
      </w:r>
      <w:r w:rsidR="000C7098" w:rsidRPr="00062B4F">
        <w:rPr>
          <w:szCs w:val="24"/>
          <w:lang w:eastAsia="ru-RU"/>
        </w:rPr>
        <w:t xml:space="preserve">По мере нарастания объема опухолевой массы проявляется клиническая симптоматика, связанная с гиперплазией миелоидной ткани; в дальнейшем по мере развития генетической нестабильности появляются новые </w:t>
      </w:r>
      <w:proofErr w:type="spellStart"/>
      <w:r w:rsidR="000C7098" w:rsidRPr="00062B4F">
        <w:rPr>
          <w:szCs w:val="24"/>
          <w:lang w:eastAsia="ru-RU"/>
        </w:rPr>
        <w:t>субклоны</w:t>
      </w:r>
      <w:proofErr w:type="spellEnd"/>
      <w:r w:rsidR="000C7098" w:rsidRPr="00062B4F">
        <w:rPr>
          <w:szCs w:val="24"/>
          <w:lang w:eastAsia="ru-RU"/>
        </w:rPr>
        <w:t xml:space="preserve">, развивается прогрессирование заболевания до фазы </w:t>
      </w:r>
      <w:proofErr w:type="spellStart"/>
      <w:r w:rsidR="000C7098" w:rsidRPr="00062B4F">
        <w:rPr>
          <w:szCs w:val="24"/>
          <w:lang w:eastAsia="ru-RU"/>
        </w:rPr>
        <w:t>бластной</w:t>
      </w:r>
      <w:proofErr w:type="spellEnd"/>
      <w:r w:rsidR="000C7098" w:rsidRPr="00062B4F">
        <w:rPr>
          <w:szCs w:val="24"/>
          <w:lang w:eastAsia="ru-RU"/>
        </w:rPr>
        <w:t xml:space="preserve"> трансформации – БК ХМЛ.</w:t>
      </w:r>
    </w:p>
    <w:p w14:paraId="70A7B06A" w14:textId="77777777" w:rsidR="00242FD4" w:rsidRPr="00062B4F" w:rsidRDefault="00242FD4" w:rsidP="00242FD4">
      <w:pPr>
        <w:spacing w:line="372" w:lineRule="auto"/>
        <w:rPr>
          <w:szCs w:val="24"/>
          <w:lang w:eastAsia="ru-RU"/>
        </w:rPr>
      </w:pPr>
    </w:p>
    <w:p w14:paraId="26BAC8BD" w14:textId="77777777" w:rsidR="000C7098" w:rsidRPr="00062B4F" w:rsidRDefault="000C7098" w:rsidP="00D578D4">
      <w:pPr>
        <w:suppressAutoHyphens/>
        <w:spacing w:after="120"/>
        <w:ind w:firstLine="0"/>
        <w:outlineLvl w:val="1"/>
        <w:rPr>
          <w:b/>
          <w:szCs w:val="24"/>
          <w:u w:val="single"/>
        </w:rPr>
      </w:pPr>
      <w:bookmarkStart w:id="6" w:name="_Toc86133392"/>
      <w:r w:rsidRPr="00062B4F">
        <w:rPr>
          <w:b/>
          <w:szCs w:val="24"/>
          <w:u w:val="single"/>
        </w:rPr>
        <w:t>1.3. Эпидемиология</w:t>
      </w:r>
      <w:r w:rsidR="00A41584" w:rsidRPr="00062B4F">
        <w:rPr>
          <w:b/>
          <w:szCs w:val="24"/>
          <w:u w:val="single"/>
        </w:rPr>
        <w:t xml:space="preserve"> заболевания или состояния (группы заболеваний или состояний)</w:t>
      </w:r>
      <w:bookmarkEnd w:id="6"/>
    </w:p>
    <w:p w14:paraId="66B3B241" w14:textId="1B5C61CB" w:rsidR="000C7098" w:rsidRPr="00062B4F" w:rsidRDefault="000C7098" w:rsidP="004A6EDC">
      <w:pPr>
        <w:spacing w:after="240"/>
        <w:rPr>
          <w:spacing w:val="-2"/>
          <w:szCs w:val="24"/>
          <w:lang w:eastAsia="ru-RU"/>
        </w:rPr>
      </w:pPr>
      <w:r w:rsidRPr="00062B4F">
        <w:rPr>
          <w:spacing w:val="-2"/>
          <w:szCs w:val="24"/>
          <w:lang w:eastAsia="ru-RU"/>
        </w:rPr>
        <w:t>Хронический миелоидный лейкоз (ХМЛ) – редкое заболевание. По данным популяционного исследования в 6 регионах Российской Федерации, нормированная на стандартную популяцию ВОЗ заболеваемость составляет 0,7 на 100 000 взрослого населения </w:t>
      </w:r>
      <w:r w:rsidR="00EA5A09" w:rsidRPr="00062B4F">
        <w:rPr>
          <w:spacing w:val="-2"/>
          <w:szCs w:val="24"/>
          <w:lang w:eastAsia="ru-RU"/>
        </w:rPr>
        <w:fldChar w:fldCharType="begin" w:fldLock="1"/>
      </w:r>
      <w:r w:rsidR="00EA5A09" w:rsidRPr="00062B4F">
        <w:rPr>
          <w:spacing w:val="-2"/>
          <w:szCs w:val="24"/>
          <w:lang w:eastAsia="ru-RU"/>
        </w:rPr>
        <w:instrText>ADDIN CSL_CITATION {"citationItems":[{"id":"ITEM-1","itemData":{"author":[{"dropping-particle":"","family":"Куликов","given":"С.М.","non-dropping-particle":"","parse-names":false,"suffix":""},{"dropping-particle":"","family":"Виноградова","given":"О.Ю.","non-dropping-particle":"","parse-names":false,"suffix":""},{"dropping-particle":"","family":"Челышева","given":"Е.Ю.","non-dropping-particle":"","parse-names":false,"suffix":""},{"dropping-particle":"","family":"Тищенко","given":"И.А.","non-dropping-particle":"","parse-names":false,"suffix":""},{"dropping-particle":"","family":"Галайко","given":"М.А.","non-dropping-particle":"","parse-names":false,"suffix":""},{"dropping-particle":"","family":"Лазарева","given":"О.В.","non-dropping-particle":"","parse-names":false,"suffix":""},{"dropping-particle":"","family":"Сендерова","given":"О.М.","non-dropping-particle":"","parse-names":false,"suffix":""},{"dropping-particle":"","family":"Пепеляева","given":"В.М.","non-dropping-particle":"","parse-names":false,"suffix":""},{"dropping-particle":"","family":"Мересий","given":"С.В.","non-dropping-particle":"","parse-names":false,"suffix":""},{"dropping-particle":"","family":"Лучинин","given":"А.С.","non-dropping-particle":"","parse-names":false,"suffix":""},{"dropping-particle":"","family":"Овсепян","given":"В.А.","non-dropping-particle":"","parse-names":false,"suffix":""},{"dropping-particle":"","family":"Милютина","given":"Г.И.","non-dropping-particle":"","parse-names":false,"suffix":""},{"dropping-particle":"","family":"Гаврилова","given":"Л.В.","non-dropping-particle":"","parse-names":false,"suffix":""},{"dropping-particle":"","family":"Авдеева","given":"Л.Б.","non-dropping-particle":"","parse-names":false,"suffix":""},{"dropping-particle":"","family":"Неверова","given":"А.Л.","non-dropping-particle":"","parse-names":false,"suffix":""},{"dropping-particle":"","family":"Туркина","given":"А.Г.","non-dropping-particle":"","parse-names":false,"suffix":""}],"container-title":"Терапевтический архив","id":"ITEM-1","issue":"7","issued":{"date-parts":[["2014"]]},"page":"24-30","title":"Заболеваемость хроническим миелолейкозом в 6 регионах России по данным популяционного исследования 2009-2012 гг.","type":"article-journal","volume":"86"},"uris":["http://www.mendeley.com/documents/?uuid=b44a9521-4394-41e9-956b-b7dc5f7bd3aa"]}],"mendeley":{"formattedCitation":"[2]","plainTextFormattedCitation":"[2]","previouslyFormattedCitation":"[2]"},"properties":{"noteIndex":0},"schema":"https://github.com/citation-style-language/schema/raw/master/csl-citation.json"}</w:instrText>
      </w:r>
      <w:r w:rsidR="00EA5A09" w:rsidRPr="00062B4F">
        <w:rPr>
          <w:spacing w:val="-2"/>
          <w:szCs w:val="24"/>
          <w:lang w:eastAsia="ru-RU"/>
        </w:rPr>
        <w:fldChar w:fldCharType="separate"/>
      </w:r>
      <w:r w:rsidR="00EA5A09" w:rsidRPr="00062B4F">
        <w:rPr>
          <w:noProof/>
          <w:spacing w:val="-2"/>
          <w:szCs w:val="24"/>
          <w:lang w:eastAsia="ru-RU"/>
        </w:rPr>
        <w:t>[2]</w:t>
      </w:r>
      <w:r w:rsidR="00EA5A09" w:rsidRPr="00062B4F">
        <w:rPr>
          <w:spacing w:val="-2"/>
          <w:szCs w:val="24"/>
          <w:lang w:eastAsia="ru-RU"/>
        </w:rPr>
        <w:fldChar w:fldCharType="end"/>
      </w:r>
      <w:r w:rsidRPr="00062B4F">
        <w:rPr>
          <w:spacing w:val="-2"/>
          <w:szCs w:val="24"/>
          <w:lang w:eastAsia="ru-RU"/>
        </w:rPr>
        <w:t xml:space="preserve">. Медиана возраста у взрослых пациентов составляет 50 лет (от 18 до 82), пик заболеваемости приходится на возраст 50–59 лет, однако значительной является доля молодых пациентов в возрасте до 40 лет – до 33%. Заболевание может быть выявлено в любом возрасте. В 2016 г. в </w:t>
      </w:r>
      <w:r w:rsidR="0076409A">
        <w:rPr>
          <w:spacing w:val="-2"/>
          <w:szCs w:val="24"/>
          <w:lang w:eastAsia="ru-RU"/>
        </w:rPr>
        <w:t>Р</w:t>
      </w:r>
      <w:r w:rsidRPr="00062B4F">
        <w:rPr>
          <w:spacing w:val="-2"/>
          <w:szCs w:val="24"/>
          <w:lang w:eastAsia="ru-RU"/>
        </w:rPr>
        <w:t xml:space="preserve">оссийском регистре больных хроническим </w:t>
      </w:r>
      <w:proofErr w:type="spellStart"/>
      <w:r w:rsidRPr="00062B4F">
        <w:rPr>
          <w:spacing w:val="-2"/>
          <w:szCs w:val="24"/>
          <w:lang w:eastAsia="ru-RU"/>
        </w:rPr>
        <w:t>миелолейкозом</w:t>
      </w:r>
      <w:proofErr w:type="spellEnd"/>
      <w:r w:rsidRPr="00062B4F">
        <w:rPr>
          <w:spacing w:val="-2"/>
          <w:szCs w:val="24"/>
          <w:lang w:eastAsia="ru-RU"/>
        </w:rPr>
        <w:t xml:space="preserve"> содержалась информация о 7609 пациентах с ХМЛ, при этом заболевание было диагностировано в хронической фазе у 6560 (93,8%) пациентов, в фазе акселерации у 380 (5,5%) больных и в фазе </w:t>
      </w:r>
      <w:proofErr w:type="spellStart"/>
      <w:r w:rsidRPr="00062B4F">
        <w:rPr>
          <w:spacing w:val="-2"/>
          <w:szCs w:val="24"/>
          <w:lang w:eastAsia="ru-RU"/>
        </w:rPr>
        <w:t>бластного</w:t>
      </w:r>
      <w:proofErr w:type="spellEnd"/>
      <w:r w:rsidRPr="00062B4F">
        <w:rPr>
          <w:spacing w:val="-2"/>
          <w:szCs w:val="24"/>
          <w:lang w:eastAsia="ru-RU"/>
        </w:rPr>
        <w:t xml:space="preserve"> криза – в 47 (0,7%) случаев </w:t>
      </w:r>
      <w:r w:rsidRPr="00062B4F">
        <w:rPr>
          <w:spacing w:val="-2"/>
          <w:szCs w:val="24"/>
          <w:lang w:eastAsia="ru-RU"/>
        </w:rPr>
        <w:fldChar w:fldCharType="begin" w:fldLock="1"/>
      </w:r>
      <w:r w:rsidR="00EA5A09" w:rsidRPr="00062B4F">
        <w:rPr>
          <w:spacing w:val="-2"/>
          <w:szCs w:val="24"/>
          <w:lang w:eastAsia="ru-RU"/>
        </w:rPr>
        <w:instrText>ADDIN CSL_CITATION {"citationItems":[{"id":"ITEM-1","itemData":{"author":[{"dropping-particle":"","family":"Туркина А.Г., Новицкая Н.В.","given":"Голенков А.К. и др.","non-dropping-particle":"","parse-names":false,"suffix":""}],"container-title":"Клиническая онкогематология","id":"ITEM-1","issue":"3","issued":{"date-parts":[["2017"]]},"page":"390-401","title":"Регистр больных хроническим миелолейкозом в Российской Федерации: от наблюдательного исследования к оценке эффективности терапии в клинической практике","type":"article-journal","volume":"10"},"uris":["http://www.mendeley.com/documents/?uuid=e2459660-9788-3713-89b5-92d78a115284","http://www.mendeley.com/documents/?uuid=9f275fef-c12f-4970-92af-2d0cbb63d01f"]}],"mendeley":{"formattedCitation":"[3]","plainTextFormattedCitation":"[3]","previouslyFormattedCitation":"[3]"},"properties":{"noteIndex":0},"schema":"https://github.com/citation-style-language/schema/raw/master/csl-citation.json"}</w:instrText>
      </w:r>
      <w:r w:rsidRPr="00062B4F">
        <w:rPr>
          <w:spacing w:val="-2"/>
          <w:szCs w:val="24"/>
          <w:lang w:eastAsia="ru-RU"/>
        </w:rPr>
        <w:fldChar w:fldCharType="separate"/>
      </w:r>
      <w:r w:rsidR="00EA5A09" w:rsidRPr="00062B4F">
        <w:rPr>
          <w:noProof/>
          <w:spacing w:val="-2"/>
          <w:szCs w:val="24"/>
          <w:lang w:eastAsia="ru-RU"/>
        </w:rPr>
        <w:t>[3]</w:t>
      </w:r>
      <w:r w:rsidRPr="00062B4F">
        <w:rPr>
          <w:spacing w:val="-2"/>
          <w:szCs w:val="24"/>
          <w:lang w:eastAsia="ru-RU"/>
        </w:rPr>
        <w:fldChar w:fldCharType="end"/>
      </w:r>
      <w:r w:rsidRPr="00062B4F">
        <w:rPr>
          <w:spacing w:val="-2"/>
          <w:szCs w:val="24"/>
          <w:lang w:eastAsia="ru-RU"/>
        </w:rPr>
        <w:t>.</w:t>
      </w:r>
    </w:p>
    <w:p w14:paraId="16CA5F47" w14:textId="77777777" w:rsidR="000C7098" w:rsidRPr="00062B4F" w:rsidRDefault="000C7098" w:rsidP="004A6EDC">
      <w:pPr>
        <w:suppressAutoHyphens/>
        <w:spacing w:after="120"/>
        <w:ind w:firstLine="0"/>
        <w:outlineLvl w:val="1"/>
        <w:rPr>
          <w:b/>
          <w:szCs w:val="24"/>
          <w:u w:val="single"/>
        </w:rPr>
      </w:pPr>
      <w:bookmarkStart w:id="7" w:name="_Toc86133393"/>
      <w:r w:rsidRPr="00062B4F">
        <w:rPr>
          <w:b/>
          <w:szCs w:val="24"/>
          <w:u w:val="single"/>
        </w:rPr>
        <w:t xml:space="preserve">1.4. </w:t>
      </w:r>
      <w:r w:rsidR="00A41584" w:rsidRPr="00062B4F">
        <w:rPr>
          <w:b/>
          <w:szCs w:val="24"/>
          <w:u w:val="single"/>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7"/>
    </w:p>
    <w:p w14:paraId="6CB5DD57" w14:textId="7297A175" w:rsidR="000C7098" w:rsidRPr="00C92F8A" w:rsidRDefault="000C7098" w:rsidP="004A6EDC">
      <w:pPr>
        <w:spacing w:after="120"/>
        <w:rPr>
          <w:szCs w:val="24"/>
          <w:lang w:eastAsia="ru-RU"/>
        </w:rPr>
      </w:pPr>
      <w:r w:rsidRPr="00062B4F">
        <w:rPr>
          <w:b/>
          <w:bCs/>
          <w:szCs w:val="24"/>
          <w:lang w:eastAsia="ru-RU"/>
        </w:rPr>
        <w:t>C92.1</w:t>
      </w:r>
      <w:r w:rsidRPr="00062B4F">
        <w:rPr>
          <w:szCs w:val="24"/>
          <w:lang w:eastAsia="ru-RU"/>
        </w:rPr>
        <w:t xml:space="preserve"> – хронический миелоидный лейкоз</w:t>
      </w:r>
      <w:r w:rsidRPr="00062B4F">
        <w:t xml:space="preserve"> </w:t>
      </w:r>
      <w:r w:rsidRPr="00062B4F">
        <w:rPr>
          <w:szCs w:val="24"/>
          <w:lang w:eastAsia="ru-RU"/>
        </w:rPr>
        <w:t xml:space="preserve">[CML], </w:t>
      </w:r>
      <w:proofErr w:type="gramStart"/>
      <w:r w:rsidR="00C15CE8" w:rsidRPr="00C92F8A">
        <w:rPr>
          <w:i/>
          <w:szCs w:val="24"/>
          <w:lang w:eastAsia="ru-RU"/>
        </w:rPr>
        <w:t>BCR::</w:t>
      </w:r>
      <w:proofErr w:type="gramEnd"/>
      <w:r w:rsidR="00C15CE8" w:rsidRPr="00C92F8A">
        <w:rPr>
          <w:i/>
          <w:szCs w:val="24"/>
          <w:lang w:eastAsia="ru-RU"/>
        </w:rPr>
        <w:t>ABL</w:t>
      </w:r>
      <w:r w:rsidR="00C15CE8" w:rsidRPr="00C92F8A">
        <w:rPr>
          <w:i/>
          <w:iCs/>
          <w:szCs w:val="24"/>
          <w:lang w:eastAsia="ru-RU"/>
        </w:rPr>
        <w:t>1</w:t>
      </w:r>
      <w:r w:rsidR="00C15CE8" w:rsidRPr="00C92F8A">
        <w:rPr>
          <w:szCs w:val="24"/>
          <w:lang w:eastAsia="ru-RU"/>
        </w:rPr>
        <w:t xml:space="preserve"> </w:t>
      </w:r>
      <w:r w:rsidRPr="00C92F8A">
        <w:rPr>
          <w:szCs w:val="24"/>
          <w:lang w:eastAsia="ru-RU"/>
        </w:rPr>
        <w:t>-положительный</w:t>
      </w:r>
    </w:p>
    <w:p w14:paraId="17F93570" w14:textId="3C7D390A" w:rsidR="000C7098" w:rsidRPr="00C92F8A" w:rsidRDefault="000C7098" w:rsidP="00505FD7">
      <w:pPr>
        <w:numPr>
          <w:ilvl w:val="0"/>
          <w:numId w:val="26"/>
        </w:numPr>
        <w:ind w:firstLine="414"/>
        <w:jc w:val="left"/>
        <w:rPr>
          <w:szCs w:val="24"/>
          <w:lang w:eastAsia="ru-RU"/>
        </w:rPr>
      </w:pPr>
      <w:r w:rsidRPr="00C92F8A">
        <w:rPr>
          <w:szCs w:val="24"/>
          <w:lang w:eastAsia="ru-RU"/>
        </w:rPr>
        <w:t>Филадельфийская хромосома (</w:t>
      </w:r>
      <w:proofErr w:type="spellStart"/>
      <w:r w:rsidRPr="00C92F8A">
        <w:rPr>
          <w:szCs w:val="24"/>
          <w:lang w:eastAsia="ru-RU"/>
        </w:rPr>
        <w:t>Ph</w:t>
      </w:r>
      <w:proofErr w:type="spellEnd"/>
      <w:r w:rsidRPr="00C92F8A">
        <w:rPr>
          <w:szCs w:val="24"/>
          <w:lang w:eastAsia="ru-RU"/>
        </w:rPr>
        <w:t>) положительная</w:t>
      </w:r>
    </w:p>
    <w:p w14:paraId="4E83D3A4" w14:textId="77777777" w:rsidR="000C7098" w:rsidRDefault="000C7098" w:rsidP="00505FD7">
      <w:pPr>
        <w:numPr>
          <w:ilvl w:val="0"/>
          <w:numId w:val="26"/>
        </w:numPr>
        <w:spacing w:before="100" w:beforeAutospacing="1" w:after="100" w:afterAutospacing="1"/>
        <w:ind w:firstLine="414"/>
        <w:jc w:val="left"/>
        <w:rPr>
          <w:szCs w:val="24"/>
          <w:lang w:eastAsia="ru-RU"/>
        </w:rPr>
      </w:pPr>
      <w:r w:rsidRPr="00062B4F">
        <w:rPr>
          <w:szCs w:val="24"/>
          <w:lang w:eastAsia="ru-RU"/>
        </w:rPr>
        <w:t>t(9;</w:t>
      </w:r>
      <w:proofErr w:type="gramStart"/>
      <w:r w:rsidRPr="00062B4F">
        <w:rPr>
          <w:szCs w:val="24"/>
          <w:lang w:eastAsia="ru-RU"/>
        </w:rPr>
        <w:t>22)(</w:t>
      </w:r>
      <w:proofErr w:type="gramEnd"/>
      <w:r w:rsidRPr="00062B4F">
        <w:rPr>
          <w:szCs w:val="24"/>
          <w:lang w:eastAsia="ru-RU"/>
        </w:rPr>
        <w:t>q34;q11)</w:t>
      </w:r>
    </w:p>
    <w:p w14:paraId="325B1F22" w14:textId="77777777" w:rsidR="000C7098" w:rsidRPr="00062B4F" w:rsidRDefault="000C7098" w:rsidP="00505FD7">
      <w:pPr>
        <w:numPr>
          <w:ilvl w:val="0"/>
          <w:numId w:val="26"/>
        </w:numPr>
        <w:spacing w:after="120"/>
        <w:ind w:firstLine="414"/>
        <w:jc w:val="left"/>
        <w:rPr>
          <w:szCs w:val="24"/>
          <w:lang w:eastAsia="ru-RU"/>
        </w:rPr>
      </w:pPr>
      <w:r w:rsidRPr="00062B4F">
        <w:rPr>
          <w:szCs w:val="24"/>
          <w:lang w:eastAsia="ru-RU"/>
        </w:rPr>
        <w:t xml:space="preserve">с </w:t>
      </w:r>
      <w:proofErr w:type="spellStart"/>
      <w:r w:rsidRPr="00062B4F">
        <w:rPr>
          <w:szCs w:val="24"/>
          <w:lang w:eastAsia="ru-RU"/>
        </w:rPr>
        <w:t>бластным</w:t>
      </w:r>
      <w:proofErr w:type="spellEnd"/>
      <w:r w:rsidRPr="00062B4F">
        <w:rPr>
          <w:szCs w:val="24"/>
          <w:lang w:eastAsia="ru-RU"/>
        </w:rPr>
        <w:t xml:space="preserve"> кризом.</w:t>
      </w:r>
    </w:p>
    <w:p w14:paraId="6CC62C0C" w14:textId="77777777" w:rsidR="000C7098" w:rsidRPr="00062B4F" w:rsidRDefault="000C7098" w:rsidP="004A6EDC">
      <w:pPr>
        <w:suppressAutoHyphens/>
        <w:spacing w:after="120"/>
        <w:ind w:firstLine="0"/>
        <w:outlineLvl w:val="1"/>
        <w:rPr>
          <w:b/>
          <w:szCs w:val="24"/>
          <w:u w:val="single"/>
        </w:rPr>
      </w:pPr>
      <w:bookmarkStart w:id="8" w:name="_Toc86133394"/>
      <w:r w:rsidRPr="00062B4F">
        <w:rPr>
          <w:b/>
          <w:szCs w:val="24"/>
          <w:u w:val="single"/>
        </w:rPr>
        <w:lastRenderedPageBreak/>
        <w:t>1.5. Классификация</w:t>
      </w:r>
      <w:r w:rsidR="00A41584" w:rsidRPr="00062B4F">
        <w:rPr>
          <w:b/>
          <w:szCs w:val="24"/>
          <w:u w:val="single"/>
        </w:rPr>
        <w:t xml:space="preserve"> заболевания или состояния (группы заболеваний или состояний)</w:t>
      </w:r>
      <w:bookmarkEnd w:id="8"/>
    </w:p>
    <w:p w14:paraId="0994BA41" w14:textId="77777777" w:rsidR="000C7098" w:rsidRPr="00062B4F" w:rsidRDefault="000C7098" w:rsidP="004A6EDC">
      <w:pPr>
        <w:rPr>
          <w:i/>
          <w:szCs w:val="24"/>
          <w:lang w:eastAsia="ru-RU"/>
        </w:rPr>
      </w:pPr>
      <w:r w:rsidRPr="00062B4F">
        <w:rPr>
          <w:b/>
          <w:bCs/>
          <w:i/>
          <w:szCs w:val="24"/>
          <w:lang w:eastAsia="ru-RU"/>
        </w:rPr>
        <w:t>По фазам заболевания</w:t>
      </w:r>
    </w:p>
    <w:p w14:paraId="29BA06B0" w14:textId="77777777" w:rsidR="000C7098" w:rsidRPr="00062B4F" w:rsidRDefault="000C7098" w:rsidP="004A6EDC">
      <w:pPr>
        <w:rPr>
          <w:spacing w:val="-2"/>
          <w:szCs w:val="24"/>
          <w:lang w:eastAsia="ru-RU"/>
        </w:rPr>
      </w:pPr>
      <w:r w:rsidRPr="00062B4F">
        <w:rPr>
          <w:spacing w:val="-2"/>
          <w:szCs w:val="24"/>
          <w:lang w:eastAsia="ru-RU"/>
        </w:rPr>
        <w:t>В течении ХМЛ выделяют 3 фазы, отражающие степень прогрессирования заболевания. Заболевание может быть диагностировано на любом этапе.</w:t>
      </w:r>
    </w:p>
    <w:p w14:paraId="609F54D1" w14:textId="77777777" w:rsidR="000C7098" w:rsidRPr="00062B4F" w:rsidRDefault="000C7098" w:rsidP="00505FD7">
      <w:pPr>
        <w:numPr>
          <w:ilvl w:val="0"/>
          <w:numId w:val="4"/>
        </w:numPr>
        <w:rPr>
          <w:spacing w:val="-2"/>
          <w:szCs w:val="24"/>
          <w:lang w:eastAsia="ru-RU"/>
        </w:rPr>
      </w:pPr>
      <w:r w:rsidRPr="00062B4F">
        <w:rPr>
          <w:b/>
          <w:bCs/>
          <w:spacing w:val="-2"/>
          <w:szCs w:val="24"/>
          <w:lang w:eastAsia="ru-RU"/>
        </w:rPr>
        <w:t>Хроническая фаза (ХФ)</w:t>
      </w:r>
      <w:r w:rsidRPr="00062B4F">
        <w:rPr>
          <w:spacing w:val="-2"/>
          <w:szCs w:val="24"/>
          <w:lang w:eastAsia="ru-RU"/>
        </w:rPr>
        <w:t xml:space="preserve"> является начальной стадией ХМЛ и диагностируется у большинства (до 94 %) впервые выявленных пациентов </w:t>
      </w:r>
      <w:r w:rsidRPr="00062B4F">
        <w:rPr>
          <w:spacing w:val="-2"/>
          <w:szCs w:val="24"/>
          <w:lang w:eastAsia="ru-RU"/>
        </w:rPr>
        <w:fldChar w:fldCharType="begin" w:fldLock="1"/>
      </w:r>
      <w:r w:rsidR="00B963F1" w:rsidRPr="00062B4F">
        <w:rPr>
          <w:spacing w:val="-2"/>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leukaemia","type":"article","volume":"370"},"uris":["http://www.mendeley.com/documents/?uuid=e79646c4-7c7c-3553-bfd7-10298948200e"]},{"id":"ITEM-2","itemData":{"DOI":"10.1038/leu.2016.246","ISSN":"14765551","abstract":"The European Treatment and Outcome Study (EUTOS) population-based registry includes data of all adult patients newly diagnosed with Philadelphia chromosome-positive and/or BCR-ABL1+ chronic myeloid leukemia (CML) in 20 predefined countries and regions of Europe. Registration time ranged from 12 to 60 months between January 2008 and December 2013. Median age was 55 years and median observation time was 29 months. Eighty percent of patients were treated first line with imatinib, and 17% with a second-generation tyrosine kinase inhibitor, mostly according to European LeukemiaNet recommendations. After 12 months, complete cytogenetic remission (CCyR) and major molecular response (MMR) were achieved in 57% and 41% of patients, respectively. Patients with high EUTOS risk scores achieved CCyR and MMR significantly later than patients with low EUTOS risk. Probabilities of overall survival (OS) and progression-free survival for all patients at 12, 24 and 30 months was 97%, 94% and 92%, and 95%, 92% and 90%, respectively. The new EUTOS long-term survival score was validated: the OS of patients differed significantly between the three risk groups. The probability of dying in remission was 1% after 24 months. The current management of patients with tyrosine kinase inhibitors resulted in responses and outcomes in the range reported from clinical trials. These data from a large population-based, patient sample provide a solid benchmark for the evaluation of new treatment policies.","author":[{"dropping-particle":"","family":"Hoffmann","given":"V. S.","non-dropping-particle":"","parse-names":false,"suffix":""},{"dropping-particle":"","family":"Baccarani","given":"M.","non-dropping-particle":"","parse-names":false,"suffix":""},{"dropping-particle":"","family":"Hasford","given":"J.","non-dropping-particle":"","parse-names":false,"suffix":""},{"dropping-particle":"","family":"Castagnetti","given":"F.","non-dropping-particle":"","parse-names":false,"suffix":""},{"dropping-particle":"","family":"Raimondo","given":"F.","non-dropping-particle":"Di","parse-names":false,"suffix":""},{"dropping-particle":"","family":"Casado","given":"L. F.","non-dropping-particle":"","parse-names":false,"suffix":""},{"dropping-particle":"","family":"Turkina","given":"A.","non-dropping-particle":"","parse-names":false,"suffix":""},{"dropping-particle":"","family":"Zackova","given":"D.","non-dropping-particle":"","parse-names":false,"suffix":""},{"dropping-particle":"","family":"Ossenkoppele","given":"G.","non-dropping-particle":"","parse-names":false,"suffix":""},{"dropping-particle":"","family":"Zaritskey","given":"A.","non-dropping-particle":"","parse-names":false,"suffix":""},{"dropping-particle":"","family":"Höglund","given":"M.","non-dropping-particle":"","parse-names":false,"suffix":""},{"dropping-particle":"","family":"Simonsson","given":"B.","non-dropping-particle":"","parse-names":false,"suffix":""},{"dropping-particle":"","family":"Indrak","given":"K.","non-dropping-particle":"","parse-names":false,"suffix":""},{"dropping-particle":"","family":"Sninska","given":"Z.","non-dropping-particle":"","parse-names":false,"suffix":""},{"dropping-particle":"","family":"Sacha","given":"T.","non-dropping-particle":"","parse-names":false,"suffix":""},{"dropping-particle":"","family":"Clark","given":"R.","non-dropping-particle":"","parse-names":false,"suffix":""},{"dropping-particle":"","family":"Bogdanovic","given":"A.","non-dropping-particle":"","parse-names":false,"suffix":""},{"dropping-particle":"","family":"Hellmann","given":"A.","non-dropping-particle":"","parse-names":false,"suffix":""},{"dropping-particle":"","family":"Griskevicius","given":"L.","non-dropping-particle":"","parse-names":false,"suffix":""},{"dropping-particle":"","family":"Schubert-Fritschle","given":"G.","non-dropping-particle":"","parse-names":false,"suffix":""},{"dropping-particle":"","family":"Sertic","given":"D.","non-dropping-particle":"","parse-names":false,"suffix":""},{"dropping-particle":"","family":"Guilhot","given":"J.","non-dropping-particle":"","parse-names":false,"suffix":""},{"dropping-particle":"","family":"Lejniece","given":"S.","non-dropping-particle":"","parse-names":false,"suffix":""},{"dropping-particle":"","family":"Zupan","given":"I.","non-dropping-particle":"","parse-names":false,"suffix":""},{"dropping-particle":"","family":"Burgstaller","given":"S.","non-dropping-particle":"","parse-names":false,"suffix":""},{"dropping-particle":"","family":"Koskenvesa","given":"P.","non-dropping-particle":"","parse-names":false,"suffix":""},{"dropping-particle":"","family":"Everaus","given":"H.","non-dropping-particle":"","parse-names":false,"suffix":""},{"dropping-particle":"","family":"Costeas","given":"P.","non-dropping-particle":"","parse-names":false,"suffix":""},{"dropping-particle":"","family":"Lindoerfer","given":"D.","non-dropping-particle":"","parse-names":false,"suffix":""},{"dropping-particle":"","family":"Rosti","given":"G.","non-dropping-particle":"","parse-names":false,"suffix":""},{"dropping-particle":"","family":"Saussele","given":"S.","non-dropping-particle":"","parse-names":false,"suffix":""},{"dropping-particle":"","family":"Hochhaus","given":"A.","non-dropping-particle":"","parse-names":false,"suffix":""},{"dropping-particle":"","family":"Hehlmann","given":"R.","non-dropping-particle":"","parse-names":false,"suffix":""}],"container-title":"Leukemia","id":"ITEM-2","issue":"3","issued":{"date-parts":[["2017","3","1"]]},"page":"593-601","publisher":"Nature Publishing Group","title":"Treatment and outcome of 2904 CML patients from the EUTOS population-based registry","type":"article-journal","volume":"31"},"uris":["http://www.mendeley.com/documents/?uuid=e5fa6f49-5191-3298-ad58-a98b9fd8c23d"]}],"mendeley":{"formattedCitation":"[1,4]","plainTextFormattedCitation":"[1,4]","previouslyFormattedCitation":"[1,4]"},"properties":{"noteIndex":0},"schema":"https://github.com/citation-style-language/schema/raw/master/csl-citation.json"}</w:instrText>
      </w:r>
      <w:r w:rsidRPr="00062B4F">
        <w:rPr>
          <w:spacing w:val="-2"/>
          <w:szCs w:val="24"/>
          <w:lang w:eastAsia="ru-RU"/>
        </w:rPr>
        <w:fldChar w:fldCharType="separate"/>
      </w:r>
      <w:r w:rsidR="00B963F1" w:rsidRPr="00062B4F">
        <w:rPr>
          <w:noProof/>
          <w:spacing w:val="-2"/>
          <w:szCs w:val="24"/>
          <w:lang w:eastAsia="ru-RU"/>
        </w:rPr>
        <w:t>[1,4]</w:t>
      </w:r>
      <w:r w:rsidRPr="00062B4F">
        <w:rPr>
          <w:spacing w:val="-2"/>
          <w:szCs w:val="24"/>
          <w:lang w:eastAsia="ru-RU"/>
        </w:rPr>
        <w:fldChar w:fldCharType="end"/>
      </w:r>
      <w:r w:rsidRPr="00062B4F">
        <w:rPr>
          <w:spacing w:val="-2"/>
          <w:szCs w:val="24"/>
          <w:lang w:eastAsia="ru-RU"/>
        </w:rPr>
        <w:t>. Диагноз ХФ устанавливают при отсутствии признаков ФА и БК.</w:t>
      </w:r>
    </w:p>
    <w:p w14:paraId="5B85CFAF" w14:textId="77777777" w:rsidR="000C7098" w:rsidRPr="00062B4F" w:rsidRDefault="000C7098" w:rsidP="00505FD7">
      <w:pPr>
        <w:numPr>
          <w:ilvl w:val="0"/>
          <w:numId w:val="4"/>
        </w:numPr>
        <w:rPr>
          <w:spacing w:val="-2"/>
          <w:szCs w:val="24"/>
          <w:lang w:eastAsia="ru-RU"/>
        </w:rPr>
      </w:pPr>
      <w:r w:rsidRPr="00062B4F">
        <w:rPr>
          <w:b/>
          <w:bCs/>
          <w:spacing w:val="-2"/>
          <w:szCs w:val="24"/>
          <w:lang w:eastAsia="ru-RU"/>
        </w:rPr>
        <w:t>Фаза акселерации (ФА)</w:t>
      </w:r>
      <w:r w:rsidRPr="00062B4F">
        <w:rPr>
          <w:spacing w:val="-2"/>
          <w:szCs w:val="24"/>
          <w:lang w:eastAsia="ru-RU"/>
        </w:rPr>
        <w:t xml:space="preserve"> определяется у 3–5 % первичных пациентов с ХМЛ и является более продвинутым по сравнению с ХФ этапом развития патологического процесса при ХМЛ. ФА может также развиться при прогрессировании заболевания.</w:t>
      </w:r>
    </w:p>
    <w:p w14:paraId="377D4CC8" w14:textId="77777777" w:rsidR="000C7098" w:rsidRPr="00062B4F" w:rsidRDefault="000C7098" w:rsidP="00505FD7">
      <w:pPr>
        <w:numPr>
          <w:ilvl w:val="0"/>
          <w:numId w:val="4"/>
        </w:numPr>
        <w:rPr>
          <w:spacing w:val="-2"/>
          <w:szCs w:val="24"/>
          <w:lang w:eastAsia="ru-RU"/>
        </w:rPr>
      </w:pPr>
      <w:proofErr w:type="spellStart"/>
      <w:r w:rsidRPr="00062B4F">
        <w:rPr>
          <w:b/>
          <w:bCs/>
          <w:spacing w:val="-2"/>
          <w:szCs w:val="24"/>
          <w:lang w:eastAsia="ru-RU"/>
        </w:rPr>
        <w:t>Бластный</w:t>
      </w:r>
      <w:proofErr w:type="spellEnd"/>
      <w:r w:rsidRPr="00062B4F">
        <w:rPr>
          <w:b/>
          <w:bCs/>
          <w:spacing w:val="-2"/>
          <w:szCs w:val="24"/>
          <w:lang w:eastAsia="ru-RU"/>
        </w:rPr>
        <w:t xml:space="preserve"> криз (БК)</w:t>
      </w:r>
      <w:r w:rsidRPr="00062B4F">
        <w:rPr>
          <w:spacing w:val="-2"/>
          <w:szCs w:val="24"/>
          <w:lang w:eastAsia="ru-RU"/>
        </w:rPr>
        <w:t xml:space="preserve"> является наиболее агрессивной стадией ХМЛ. Дебют болезни с БК является неблагоприятным прогностическим признаком и наблюдается у 1–2 % пациентов с ХМЛ. Медиана продолжительности жизни при БК ХМЛ составляет 6–12 месяцев</w:t>
      </w:r>
      <w:r w:rsidR="00B963F1" w:rsidRPr="00062B4F">
        <w:rPr>
          <w:spacing w:val="-2"/>
          <w:szCs w:val="24"/>
          <w:lang w:val="en-US" w:eastAsia="ru-RU"/>
        </w:rPr>
        <w:t xml:space="preserve"> </w:t>
      </w:r>
      <w:r w:rsidR="00B963F1" w:rsidRPr="00062B4F">
        <w:rPr>
          <w:spacing w:val="-2"/>
          <w:szCs w:val="24"/>
          <w:lang w:eastAsia="ru-RU"/>
        </w:rPr>
        <w:fldChar w:fldCharType="begin" w:fldLock="1"/>
      </w:r>
      <w:r w:rsidR="00B963F1" w:rsidRPr="00062B4F">
        <w:rPr>
          <w:spacing w:val="-2"/>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leukaemia","type":"article","volume":"370"},"uris":["http://www.mendeley.com/documents/?uuid=e79646c4-7c7c-3553-bfd7-10298948200e"]},{"id":"ITEM-2","itemData":{"DOI":"10.1038/leu.2016.246","ISSN":"14765551","abstract":"The European Treatment and Outcome Study (EUTOS) population-based registry includes data of all adult patients newly diagnosed with Philadelphia chromosome-positive and/or BCR-ABL1+ chronic myeloid leukemia (CML) in 20 predefined countries and regions of Europe. Registration time ranged from 12 to 60 months between January 2008 and December 2013. Median age was 55 years and median observation time was 29 months. Eighty percent of patients were treated first line with imatinib, and 17% with a second-generation tyrosine kinase inhibitor, mostly according to European LeukemiaNet recommendations. After 12 months, complete cytogenetic remission (CCyR) and major molecular response (MMR) were achieved in 57% and 41% of patients, respectively. Patients with high EUTOS risk scores achieved CCyR and MMR significantly later than patients with low EUTOS risk. Probabilities of overall survival (OS) and progression-free survival for all patients at 12, 24 and 30 months was 97%, 94% and 92%, and 95%, 92% and 90%, respectively. The new EUTOS long-term survival score was validated: the OS of patients differed significantly between the three risk groups. The probability of dying in remission was 1% after 24 months. The current management of patients with tyrosine kinase inhibitors resulted in responses and outcomes in the range reported from clinical trials. These data from a large population-based, patient sample provide a solid benchmark for the evaluation of new treatment policies.","author":[{"dropping-particle":"","family":"Hoffmann","given":"V. S.","non-dropping-particle":"","parse-names":false,"suffix":""},{"dropping-particle":"","family":"Baccarani","given":"M.","non-dropping-particle":"","parse-names":false,"suffix":""},{"dropping-particle":"","family":"Hasford","given":"J.","non-dropping-particle":"","parse-names":false,"suffix":""},{"dropping-particle":"","family":"Castagnetti","given":"F.","non-dropping-particle":"","parse-names":false,"suffix":""},{"dropping-particle":"","family":"Raimondo","given":"F.","non-dropping-particle":"Di","parse-names":false,"suffix":""},{"dropping-particle":"","family":"Casado","given":"L. F.","non-dropping-particle":"","parse-names":false,"suffix":""},{"dropping-particle":"","family":"Turkina","given":"A.","non-dropping-particle":"","parse-names":false,"suffix":""},{"dropping-particle":"","family":"Zackova","given":"D.","non-dropping-particle":"","parse-names":false,"suffix":""},{"dropping-particle":"","family":"Ossenkoppele","given":"G.","non-dropping-particle":"","parse-names":false,"suffix":""},{"dropping-particle":"","family":"Zaritskey","given":"A.","non-dropping-particle":"","parse-names":false,"suffix":""},{"dropping-particle":"","family":"Höglund","given":"M.","non-dropping-particle":"","parse-names":false,"suffix":""},{"dropping-particle":"","family":"Simonsson","given":"B.","non-dropping-particle":"","parse-names":false,"suffix":""},{"dropping-particle":"","family":"Indrak","given":"K.","non-dropping-particle":"","parse-names":false,"suffix":""},{"dropping-particle":"","family":"Sninska","given":"Z.","non-dropping-particle":"","parse-names":false,"suffix":""},{"dropping-particle":"","family":"Sacha","given":"T.","non-dropping-particle":"","parse-names":false,"suffix":""},{"dropping-particle":"","family":"Clark","given":"R.","non-dropping-particle":"","parse-names":false,"suffix":""},{"dropping-particle":"","family":"Bogdanovic","given":"A.","non-dropping-particle":"","parse-names":false,"suffix":""},{"dropping-particle":"","family":"Hellmann","given":"A.","non-dropping-particle":"","parse-names":false,"suffix":""},{"dropping-particle":"","family":"Griskevicius","given":"L.","non-dropping-particle":"","parse-names":false,"suffix":""},{"dropping-particle":"","family":"Schubert-Fritschle","given":"G.","non-dropping-particle":"","parse-names":false,"suffix":""},{"dropping-particle":"","family":"Sertic","given":"D.","non-dropping-particle":"","parse-names":false,"suffix":""},{"dropping-particle":"","family":"Guilhot","given":"J.","non-dropping-particle":"","parse-names":false,"suffix":""},{"dropping-particle":"","family":"Lejniece","given":"S.","non-dropping-particle":"","parse-names":false,"suffix":""},{"dropping-particle":"","family":"Zupan","given":"I.","non-dropping-particle":"","parse-names":false,"suffix":""},{"dropping-particle":"","family":"Burgstaller","given":"S.","non-dropping-particle":"","parse-names":false,"suffix":""},{"dropping-particle":"","family":"Koskenvesa","given":"P.","non-dropping-particle":"","parse-names":false,"suffix":""},{"dropping-particle":"","family":"Everaus","given":"H.","non-dropping-particle":"","parse-names":false,"suffix":""},{"dropping-particle":"","family":"Costeas","given":"P.","non-dropping-particle":"","parse-names":false,"suffix":""},{"dropping-particle":"","family":"Lindoerfer","given":"D.","non-dropping-particle":"","parse-names":false,"suffix":""},{"dropping-particle":"","family":"Rosti","given":"G.","non-dropping-particle":"","parse-names":false,"suffix":""},{"dropping-particle":"","family":"Saussele","given":"S.","non-dropping-particle":"","parse-names":false,"suffix":""},{"dropping-particle":"","family":"Hochhaus","given":"A.","non-dropping-particle":"","parse-names":false,"suffix":""},{"dropping-particle":"","family":"Hehlmann","given":"R.","non-dropping-particle":"","parse-names":false,"suffix":""}],"container-title":"Leukemia","id":"ITEM-2","issue":"3","issued":{"date-parts":[["2017","3","1"]]},"page":"593-601","publisher":"Nature Publishing Group","title":"Treatment and outcome of 2904 CML patients from the EUTOS population-based registry","type":"article-journal","volume":"31"},"uris":["http://www.mendeley.com/documents/?uuid=e5fa6f49-5191-3298-ad58-a98b9fd8c23d"]}],"mendeley":{"formattedCitation":"[1,4]","plainTextFormattedCitation":"[1,4]","previouslyFormattedCitation":"[1,4]"},"properties":{"noteIndex":0},"schema":"https://github.com/citation-style-language/schema/raw/master/csl-citation.json"}</w:instrText>
      </w:r>
      <w:r w:rsidR="00B963F1" w:rsidRPr="00062B4F">
        <w:rPr>
          <w:spacing w:val="-2"/>
          <w:szCs w:val="24"/>
          <w:lang w:eastAsia="ru-RU"/>
        </w:rPr>
        <w:fldChar w:fldCharType="separate"/>
      </w:r>
      <w:r w:rsidR="00B963F1" w:rsidRPr="00062B4F">
        <w:rPr>
          <w:noProof/>
          <w:spacing w:val="-2"/>
          <w:szCs w:val="24"/>
          <w:lang w:eastAsia="ru-RU"/>
        </w:rPr>
        <w:t>[1,4]</w:t>
      </w:r>
      <w:r w:rsidR="00B963F1" w:rsidRPr="00062B4F">
        <w:rPr>
          <w:spacing w:val="-2"/>
          <w:szCs w:val="24"/>
          <w:lang w:eastAsia="ru-RU"/>
        </w:rPr>
        <w:fldChar w:fldCharType="end"/>
      </w:r>
      <w:r w:rsidRPr="00062B4F">
        <w:rPr>
          <w:spacing w:val="-2"/>
          <w:szCs w:val="24"/>
          <w:lang w:eastAsia="ru-RU"/>
        </w:rPr>
        <w:t>.</w:t>
      </w:r>
    </w:p>
    <w:p w14:paraId="5CF7772F" w14:textId="77777777" w:rsidR="000C7098" w:rsidRPr="00062B4F" w:rsidRDefault="000C7098" w:rsidP="004A6EDC">
      <w:pPr>
        <w:rPr>
          <w:szCs w:val="24"/>
          <w:lang w:eastAsia="ru-RU"/>
        </w:rPr>
      </w:pPr>
      <w:r w:rsidRPr="00062B4F">
        <w:rPr>
          <w:szCs w:val="24"/>
          <w:lang w:eastAsia="ru-RU"/>
        </w:rPr>
        <w:t>Оценка фазы выполняется в дебюте заболевания, при прогрессировании заболевания и при изменении терапии. Дифференциально-диагностические критерии фаз ХМЛ приведены в табл. 1.</w:t>
      </w:r>
    </w:p>
    <w:p w14:paraId="1CA440CF" w14:textId="77777777" w:rsidR="000C7098" w:rsidRPr="00062B4F" w:rsidRDefault="000C7098" w:rsidP="00D74FC2">
      <w:pPr>
        <w:spacing w:after="120"/>
        <w:jc w:val="left"/>
        <w:rPr>
          <w:szCs w:val="24"/>
          <w:lang w:eastAsia="ru-RU"/>
        </w:rPr>
      </w:pPr>
      <w:r w:rsidRPr="00062B4F">
        <w:rPr>
          <w:b/>
          <w:bCs/>
          <w:szCs w:val="24"/>
          <w:lang w:eastAsia="ru-RU"/>
        </w:rPr>
        <w:t xml:space="preserve">Таблица 1. </w:t>
      </w:r>
      <w:r w:rsidRPr="00062B4F">
        <w:rPr>
          <w:szCs w:val="24"/>
          <w:lang w:eastAsia="ru-RU"/>
        </w:rPr>
        <w:t>Фазы ХМЛ по классификации ELN</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835"/>
        <w:gridCol w:w="7504"/>
      </w:tblGrid>
      <w:tr w:rsidR="000C7098" w:rsidRPr="00062B4F" w14:paraId="0C0C3430" w14:textId="77777777">
        <w:trPr>
          <w:trHeight w:val="632"/>
          <w:jc w:val="center"/>
        </w:trPr>
        <w:tc>
          <w:tcPr>
            <w:tcW w:w="1835" w:type="dxa"/>
            <w:tcBorders>
              <w:top w:val="single" w:sz="6" w:space="0" w:color="000000"/>
              <w:left w:val="single" w:sz="6" w:space="0" w:color="000000"/>
              <w:bottom w:val="single" w:sz="6" w:space="0" w:color="000000"/>
              <w:right w:val="single" w:sz="6" w:space="0" w:color="000000"/>
            </w:tcBorders>
          </w:tcPr>
          <w:p w14:paraId="64570CE7"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Фаза ХМЛ</w:t>
            </w:r>
          </w:p>
        </w:tc>
        <w:tc>
          <w:tcPr>
            <w:tcW w:w="7504" w:type="dxa"/>
            <w:tcBorders>
              <w:top w:val="single" w:sz="6" w:space="0" w:color="000000"/>
              <w:left w:val="single" w:sz="6" w:space="0" w:color="000000"/>
              <w:bottom w:val="single" w:sz="6" w:space="0" w:color="000000"/>
              <w:right w:val="single" w:sz="6" w:space="0" w:color="000000"/>
            </w:tcBorders>
          </w:tcPr>
          <w:p w14:paraId="7A96F399" w14:textId="77777777" w:rsidR="000C7098" w:rsidRPr="00062B4F" w:rsidRDefault="000C7098" w:rsidP="009D2E3F">
            <w:pPr>
              <w:spacing w:beforeAutospacing="1" w:afterAutospacing="1" w:line="288" w:lineRule="auto"/>
              <w:ind w:firstLine="0"/>
              <w:jc w:val="center"/>
              <w:rPr>
                <w:b/>
                <w:szCs w:val="24"/>
                <w:lang w:eastAsia="ru-RU"/>
              </w:rPr>
            </w:pPr>
            <w:r w:rsidRPr="00062B4F">
              <w:rPr>
                <w:b/>
                <w:szCs w:val="24"/>
                <w:lang w:eastAsia="ru-RU"/>
              </w:rPr>
              <w:t>Классификация ELN</w:t>
            </w:r>
          </w:p>
        </w:tc>
      </w:tr>
      <w:tr w:rsidR="000C7098" w:rsidRPr="00062B4F" w14:paraId="5D3633CB" w14:textId="77777777" w:rsidTr="00EC421C">
        <w:trPr>
          <w:trHeight w:val="1109"/>
          <w:jc w:val="center"/>
        </w:trPr>
        <w:tc>
          <w:tcPr>
            <w:tcW w:w="1835" w:type="dxa"/>
            <w:tcBorders>
              <w:top w:val="single" w:sz="6" w:space="0" w:color="000000"/>
              <w:left w:val="single" w:sz="6" w:space="0" w:color="000000"/>
              <w:bottom w:val="single" w:sz="6" w:space="0" w:color="000000"/>
              <w:right w:val="single" w:sz="6" w:space="0" w:color="000000"/>
            </w:tcBorders>
            <w:vAlign w:val="center"/>
          </w:tcPr>
          <w:p w14:paraId="4B3AD5CD" w14:textId="77777777" w:rsidR="000C7098" w:rsidRPr="00062B4F" w:rsidRDefault="000C7098" w:rsidP="00EC421C">
            <w:pPr>
              <w:spacing w:beforeAutospacing="1" w:afterAutospacing="1" w:line="240" w:lineRule="auto"/>
              <w:ind w:firstLine="0"/>
              <w:jc w:val="left"/>
              <w:rPr>
                <w:szCs w:val="24"/>
                <w:lang w:eastAsia="ru-RU"/>
              </w:rPr>
            </w:pPr>
            <w:r w:rsidRPr="00062B4F">
              <w:rPr>
                <w:szCs w:val="24"/>
                <w:lang w:eastAsia="ru-RU"/>
              </w:rPr>
              <w:t>Хроническая</w:t>
            </w:r>
          </w:p>
        </w:tc>
        <w:tc>
          <w:tcPr>
            <w:tcW w:w="7504" w:type="dxa"/>
            <w:tcBorders>
              <w:top w:val="single" w:sz="6" w:space="0" w:color="000000"/>
              <w:left w:val="single" w:sz="6" w:space="0" w:color="000000"/>
              <w:bottom w:val="single" w:sz="6" w:space="0" w:color="000000"/>
              <w:right w:val="single" w:sz="6" w:space="0" w:color="000000"/>
            </w:tcBorders>
            <w:vAlign w:val="center"/>
          </w:tcPr>
          <w:p w14:paraId="2B28F470" w14:textId="77777777" w:rsidR="000C7098" w:rsidRPr="00062B4F" w:rsidRDefault="000C7098" w:rsidP="00EC421C">
            <w:pPr>
              <w:spacing w:beforeAutospacing="1" w:afterAutospacing="1" w:line="288" w:lineRule="auto"/>
              <w:ind w:firstLine="280"/>
              <w:jc w:val="left"/>
              <w:rPr>
                <w:szCs w:val="24"/>
                <w:lang w:eastAsia="ru-RU"/>
              </w:rPr>
            </w:pPr>
            <w:r w:rsidRPr="00062B4F">
              <w:rPr>
                <w:szCs w:val="24"/>
                <w:lang w:eastAsia="ru-RU"/>
              </w:rPr>
              <w:t>Отсутствие признаков ФА или БК</w:t>
            </w:r>
          </w:p>
        </w:tc>
      </w:tr>
      <w:tr w:rsidR="000C7098" w:rsidRPr="00062B4F" w14:paraId="5458C0B4" w14:textId="77777777" w:rsidTr="00F9593B">
        <w:trPr>
          <w:trHeight w:val="2004"/>
          <w:jc w:val="center"/>
        </w:trPr>
        <w:tc>
          <w:tcPr>
            <w:tcW w:w="1835" w:type="dxa"/>
            <w:tcBorders>
              <w:top w:val="single" w:sz="6" w:space="0" w:color="000000"/>
              <w:left w:val="single" w:sz="6" w:space="0" w:color="000000"/>
              <w:bottom w:val="single" w:sz="6" w:space="0" w:color="000000"/>
              <w:right w:val="single" w:sz="6" w:space="0" w:color="000000"/>
            </w:tcBorders>
            <w:vAlign w:val="center"/>
          </w:tcPr>
          <w:p w14:paraId="036DDB0D" w14:textId="77777777" w:rsidR="000C7098" w:rsidRPr="00062B4F" w:rsidRDefault="000C7098" w:rsidP="00EC421C">
            <w:pPr>
              <w:spacing w:beforeAutospacing="1" w:afterAutospacing="1" w:line="240" w:lineRule="auto"/>
              <w:ind w:firstLine="0"/>
              <w:jc w:val="left"/>
              <w:rPr>
                <w:szCs w:val="24"/>
                <w:lang w:eastAsia="ru-RU"/>
              </w:rPr>
            </w:pPr>
            <w:r w:rsidRPr="00062B4F">
              <w:rPr>
                <w:szCs w:val="24"/>
                <w:lang w:eastAsia="ru-RU"/>
              </w:rPr>
              <w:t>Акселерации**</w:t>
            </w:r>
          </w:p>
        </w:tc>
        <w:tc>
          <w:tcPr>
            <w:tcW w:w="7504" w:type="dxa"/>
            <w:tcBorders>
              <w:top w:val="single" w:sz="6" w:space="0" w:color="000000"/>
              <w:left w:val="single" w:sz="6" w:space="0" w:color="000000"/>
              <w:bottom w:val="single" w:sz="6" w:space="0" w:color="000000"/>
              <w:right w:val="single" w:sz="6" w:space="0" w:color="000000"/>
            </w:tcBorders>
            <w:vAlign w:val="center"/>
          </w:tcPr>
          <w:p w14:paraId="28792F35" w14:textId="77777777" w:rsidR="000C7098" w:rsidRPr="00062B4F" w:rsidRDefault="000C7098" w:rsidP="00EC421C">
            <w:pPr>
              <w:numPr>
                <w:ilvl w:val="0"/>
                <w:numId w:val="5"/>
              </w:numPr>
              <w:tabs>
                <w:tab w:val="clear" w:pos="720"/>
                <w:tab w:val="num" w:pos="568"/>
              </w:tabs>
              <w:spacing w:before="100" w:beforeAutospacing="1" w:after="100" w:afterAutospacing="1" w:line="240" w:lineRule="auto"/>
              <w:ind w:left="568" w:hanging="283"/>
              <w:jc w:val="left"/>
              <w:rPr>
                <w:szCs w:val="24"/>
                <w:lang w:eastAsia="ru-RU"/>
              </w:rPr>
            </w:pPr>
            <w:r w:rsidRPr="00062B4F">
              <w:rPr>
                <w:szCs w:val="24"/>
                <w:lang w:eastAsia="ru-RU"/>
              </w:rPr>
              <w:t xml:space="preserve">15–29 % </w:t>
            </w:r>
            <w:proofErr w:type="spellStart"/>
            <w:r w:rsidRPr="00062B4F">
              <w:rPr>
                <w:szCs w:val="24"/>
                <w:lang w:eastAsia="ru-RU"/>
              </w:rPr>
              <w:t>бластных</w:t>
            </w:r>
            <w:proofErr w:type="spellEnd"/>
            <w:r w:rsidRPr="00062B4F">
              <w:rPr>
                <w:szCs w:val="24"/>
                <w:lang w:eastAsia="ru-RU"/>
              </w:rPr>
              <w:t xml:space="preserve"> клеток в периферической крови и/или костном мозге;</w:t>
            </w:r>
          </w:p>
          <w:p w14:paraId="4C14C18B" w14:textId="77777777" w:rsidR="000C7098" w:rsidRPr="00062B4F" w:rsidRDefault="000C7098" w:rsidP="00EC421C">
            <w:pPr>
              <w:numPr>
                <w:ilvl w:val="0"/>
                <w:numId w:val="5"/>
              </w:numPr>
              <w:tabs>
                <w:tab w:val="clear" w:pos="720"/>
                <w:tab w:val="num" w:pos="568"/>
              </w:tabs>
              <w:spacing w:before="100" w:beforeAutospacing="1" w:after="100" w:afterAutospacing="1" w:line="240" w:lineRule="auto"/>
              <w:ind w:left="568" w:hanging="283"/>
              <w:jc w:val="left"/>
            </w:pPr>
            <w:r w:rsidRPr="00062B4F">
              <w:t xml:space="preserve">сумма </w:t>
            </w:r>
            <w:proofErr w:type="spellStart"/>
            <w:r w:rsidRPr="00062B4F">
              <w:t>бластов</w:t>
            </w:r>
            <w:proofErr w:type="spellEnd"/>
            <w:r w:rsidRPr="00062B4F">
              <w:t xml:space="preserve"> и </w:t>
            </w:r>
            <w:proofErr w:type="spellStart"/>
            <w:r w:rsidRPr="00062B4F">
              <w:t>промиелоцитов</w:t>
            </w:r>
            <w:proofErr w:type="spellEnd"/>
            <w:r w:rsidRPr="00062B4F">
              <w:t xml:space="preserve"> ≥30 % (при этом </w:t>
            </w:r>
            <w:proofErr w:type="spellStart"/>
            <w:r w:rsidRPr="00062B4F">
              <w:t>бластов</w:t>
            </w:r>
            <w:proofErr w:type="spellEnd"/>
            <w:r w:rsidRPr="00062B4F">
              <w:t xml:space="preserve"> &lt;30 %);</w:t>
            </w:r>
          </w:p>
          <w:p w14:paraId="5351E1AA" w14:textId="77777777" w:rsidR="000C7098" w:rsidRPr="00062B4F" w:rsidRDefault="000C7098" w:rsidP="00EC421C">
            <w:pPr>
              <w:numPr>
                <w:ilvl w:val="0"/>
                <w:numId w:val="5"/>
              </w:numPr>
              <w:tabs>
                <w:tab w:val="clear" w:pos="720"/>
                <w:tab w:val="num" w:pos="568"/>
              </w:tabs>
              <w:spacing w:before="100" w:beforeAutospacing="1" w:after="100" w:afterAutospacing="1" w:line="240" w:lineRule="auto"/>
              <w:ind w:left="568" w:hanging="283"/>
              <w:jc w:val="left"/>
            </w:pPr>
            <w:r w:rsidRPr="00062B4F">
              <w:t>количество базофилов в крови ≥20 %;</w:t>
            </w:r>
          </w:p>
          <w:p w14:paraId="074B0D61" w14:textId="77777777" w:rsidR="000C7098" w:rsidRPr="00062B4F" w:rsidRDefault="000C7098" w:rsidP="00EC421C">
            <w:pPr>
              <w:numPr>
                <w:ilvl w:val="0"/>
                <w:numId w:val="5"/>
              </w:numPr>
              <w:tabs>
                <w:tab w:val="clear" w:pos="720"/>
                <w:tab w:val="num" w:pos="568"/>
              </w:tabs>
              <w:spacing w:before="100" w:beforeAutospacing="1" w:after="100" w:afterAutospacing="1" w:line="240" w:lineRule="auto"/>
              <w:ind w:left="568" w:hanging="283"/>
              <w:jc w:val="left"/>
            </w:pPr>
            <w:proofErr w:type="spellStart"/>
            <w:r w:rsidRPr="00062B4F">
              <w:t>персистирующая</w:t>
            </w:r>
            <w:proofErr w:type="spellEnd"/>
            <w:r w:rsidRPr="00062B4F">
              <w:t xml:space="preserve"> тромбоцитопения &lt;100 × 10</w:t>
            </w:r>
            <w:r w:rsidRPr="00062B4F">
              <w:rPr>
                <w:vertAlign w:val="superscript"/>
              </w:rPr>
              <w:t>9</w:t>
            </w:r>
            <w:r w:rsidRPr="00062B4F">
              <w:t>/л, не связанная с терапией;</w:t>
            </w:r>
          </w:p>
          <w:p w14:paraId="654CF4D0" w14:textId="02F6FE7B" w:rsidR="000C7098" w:rsidRPr="00062B4F" w:rsidRDefault="00242FD4" w:rsidP="00EC421C">
            <w:pPr>
              <w:numPr>
                <w:ilvl w:val="0"/>
                <w:numId w:val="5"/>
              </w:numPr>
              <w:tabs>
                <w:tab w:val="clear" w:pos="720"/>
                <w:tab w:val="num" w:pos="568"/>
              </w:tabs>
              <w:spacing w:before="100" w:beforeAutospacing="1" w:after="100" w:afterAutospacing="1" w:line="240" w:lineRule="auto"/>
              <w:ind w:left="568" w:hanging="283"/>
              <w:jc w:val="left"/>
            </w:pPr>
            <w:r>
              <w:t xml:space="preserve">ДХА </w:t>
            </w:r>
            <w:r w:rsidRPr="00423910">
              <w:t xml:space="preserve">высокого риска* в </w:t>
            </w:r>
            <w:proofErr w:type="spellStart"/>
            <w:r w:rsidRPr="00423910">
              <w:t>Ph</w:t>
            </w:r>
            <w:proofErr w:type="spellEnd"/>
            <w:r w:rsidRPr="00423910">
              <w:rPr>
                <w:vertAlign w:val="superscript"/>
              </w:rPr>
              <w:t>+</w:t>
            </w:r>
            <w:r w:rsidRPr="00423910">
              <w:t xml:space="preserve"> клетках, выявленные в ходе терапии</w:t>
            </w:r>
          </w:p>
        </w:tc>
      </w:tr>
      <w:tr w:rsidR="000C7098" w:rsidRPr="00062B4F" w14:paraId="3EA4B08C" w14:textId="77777777" w:rsidTr="00EC421C">
        <w:trPr>
          <w:trHeight w:val="1153"/>
          <w:jc w:val="center"/>
        </w:trPr>
        <w:tc>
          <w:tcPr>
            <w:tcW w:w="1835" w:type="dxa"/>
            <w:tcBorders>
              <w:top w:val="single" w:sz="6" w:space="0" w:color="000000"/>
              <w:left w:val="single" w:sz="6" w:space="0" w:color="000000"/>
              <w:bottom w:val="single" w:sz="6" w:space="0" w:color="000000"/>
              <w:right w:val="single" w:sz="6" w:space="0" w:color="000000"/>
            </w:tcBorders>
            <w:vAlign w:val="center"/>
          </w:tcPr>
          <w:p w14:paraId="6BE59DDE" w14:textId="77777777" w:rsidR="000C7098" w:rsidRPr="00062B4F" w:rsidRDefault="000C7098" w:rsidP="00EC421C">
            <w:pPr>
              <w:spacing w:beforeAutospacing="1" w:afterAutospacing="1" w:line="240" w:lineRule="auto"/>
              <w:ind w:firstLine="0"/>
              <w:jc w:val="left"/>
              <w:rPr>
                <w:szCs w:val="24"/>
                <w:lang w:eastAsia="ru-RU"/>
              </w:rPr>
            </w:pPr>
            <w:proofErr w:type="spellStart"/>
            <w:r w:rsidRPr="00062B4F">
              <w:rPr>
                <w:szCs w:val="24"/>
                <w:lang w:eastAsia="ru-RU"/>
              </w:rPr>
              <w:t>Бластный</w:t>
            </w:r>
            <w:proofErr w:type="spellEnd"/>
            <w:r w:rsidRPr="00062B4F">
              <w:rPr>
                <w:szCs w:val="24"/>
                <w:lang w:eastAsia="ru-RU"/>
              </w:rPr>
              <w:t xml:space="preserve"> криз**</w:t>
            </w:r>
          </w:p>
        </w:tc>
        <w:tc>
          <w:tcPr>
            <w:tcW w:w="7504" w:type="dxa"/>
            <w:tcBorders>
              <w:top w:val="single" w:sz="6" w:space="0" w:color="000000"/>
              <w:left w:val="single" w:sz="6" w:space="0" w:color="000000"/>
              <w:bottom w:val="single" w:sz="6" w:space="0" w:color="000000"/>
              <w:right w:val="single" w:sz="6" w:space="0" w:color="000000"/>
            </w:tcBorders>
            <w:vAlign w:val="center"/>
          </w:tcPr>
          <w:p w14:paraId="62E63DBD" w14:textId="77777777" w:rsidR="000C7098" w:rsidRPr="00062B4F" w:rsidRDefault="000C7098" w:rsidP="00EC421C">
            <w:pPr>
              <w:numPr>
                <w:ilvl w:val="0"/>
                <w:numId w:val="6"/>
              </w:numPr>
              <w:tabs>
                <w:tab w:val="clear" w:pos="720"/>
                <w:tab w:val="num" w:pos="568"/>
              </w:tabs>
              <w:spacing w:before="100" w:beforeAutospacing="1" w:after="100" w:afterAutospacing="1" w:line="240" w:lineRule="auto"/>
              <w:ind w:left="568" w:hanging="283"/>
              <w:jc w:val="left"/>
            </w:pPr>
            <w:r w:rsidRPr="00062B4F">
              <w:t xml:space="preserve">наличие в периферической крови или в костном мозге ≥30 % </w:t>
            </w:r>
            <w:proofErr w:type="spellStart"/>
            <w:r w:rsidRPr="00062B4F">
              <w:t>бластных</w:t>
            </w:r>
            <w:proofErr w:type="spellEnd"/>
            <w:r w:rsidRPr="00062B4F">
              <w:t xml:space="preserve"> клеток</w:t>
            </w:r>
          </w:p>
          <w:p w14:paraId="35DB71AC" w14:textId="77777777" w:rsidR="000C7098" w:rsidRPr="00062B4F" w:rsidRDefault="000C7098" w:rsidP="00EC421C">
            <w:pPr>
              <w:numPr>
                <w:ilvl w:val="0"/>
                <w:numId w:val="6"/>
              </w:numPr>
              <w:tabs>
                <w:tab w:val="clear" w:pos="720"/>
                <w:tab w:val="num" w:pos="568"/>
              </w:tabs>
              <w:spacing w:before="100" w:beforeAutospacing="1" w:after="100" w:afterAutospacing="1" w:line="240" w:lineRule="auto"/>
              <w:ind w:left="568" w:hanging="283"/>
              <w:jc w:val="left"/>
            </w:pPr>
            <w:r w:rsidRPr="00062B4F">
              <w:t xml:space="preserve">появление экстрамедуллярных инфильтратов </w:t>
            </w:r>
            <w:proofErr w:type="spellStart"/>
            <w:r w:rsidRPr="00062B4F">
              <w:t>бластных</w:t>
            </w:r>
            <w:proofErr w:type="spellEnd"/>
            <w:r w:rsidRPr="00062B4F">
              <w:t xml:space="preserve"> клеток</w:t>
            </w:r>
          </w:p>
        </w:tc>
      </w:tr>
      <w:tr w:rsidR="000C7098" w:rsidRPr="00062B4F" w14:paraId="0407EEF2" w14:textId="77777777">
        <w:trPr>
          <w:trHeight w:val="1486"/>
          <w:jc w:val="center"/>
        </w:trPr>
        <w:tc>
          <w:tcPr>
            <w:tcW w:w="9339" w:type="dxa"/>
            <w:gridSpan w:val="2"/>
            <w:tcBorders>
              <w:top w:val="single" w:sz="6" w:space="0" w:color="000000"/>
              <w:left w:val="single" w:sz="6" w:space="0" w:color="000000"/>
              <w:bottom w:val="single" w:sz="6" w:space="0" w:color="000000"/>
              <w:right w:val="single" w:sz="6" w:space="0" w:color="000000"/>
            </w:tcBorders>
          </w:tcPr>
          <w:p w14:paraId="4D43CD78" w14:textId="1C0B71DB" w:rsidR="00242FD4" w:rsidRPr="00423910" w:rsidRDefault="00242FD4" w:rsidP="00DF576E">
            <w:pPr>
              <w:spacing w:line="240" w:lineRule="auto"/>
              <w:ind w:left="134" w:firstLine="0"/>
              <w:jc w:val="left"/>
            </w:pPr>
            <w:r w:rsidRPr="00423910">
              <w:rPr>
                <w:szCs w:val="24"/>
                <w:lang w:eastAsia="ru-RU"/>
              </w:rPr>
              <w:lastRenderedPageBreak/>
              <w:t>*</w:t>
            </w:r>
            <w:proofErr w:type="spellStart"/>
            <w:r w:rsidRPr="00423910">
              <w:rPr>
                <w:szCs w:val="24"/>
                <w:lang w:eastAsia="ru-RU"/>
              </w:rPr>
              <w:t>т</w:t>
            </w:r>
            <w:r w:rsidRPr="00423910">
              <w:rPr>
                <w:szCs w:val="24"/>
              </w:rPr>
              <w:t>рисомии</w:t>
            </w:r>
            <w:proofErr w:type="spellEnd"/>
            <w:r w:rsidRPr="00423910">
              <w:rPr>
                <w:szCs w:val="24"/>
              </w:rPr>
              <w:t xml:space="preserve"> 8, 19; </w:t>
            </w:r>
            <w:r w:rsidRPr="00423910">
              <w:rPr>
                <w:szCs w:val="24"/>
                <w:lang w:eastAsia="ru-RU"/>
              </w:rPr>
              <w:t xml:space="preserve">удвоение </w:t>
            </w:r>
            <w:proofErr w:type="spellStart"/>
            <w:r w:rsidRPr="00423910">
              <w:rPr>
                <w:szCs w:val="24"/>
                <w:lang w:eastAsia="ru-RU"/>
              </w:rPr>
              <w:t>Ph</w:t>
            </w:r>
            <w:proofErr w:type="spellEnd"/>
            <w:r w:rsidRPr="00423910">
              <w:rPr>
                <w:szCs w:val="24"/>
                <w:lang w:eastAsia="ru-RU"/>
              </w:rPr>
              <w:noBreakHyphen/>
              <w:t xml:space="preserve">хромосомы; </w:t>
            </w:r>
            <w:proofErr w:type="spellStart"/>
            <w:r w:rsidRPr="00423910">
              <w:rPr>
                <w:szCs w:val="24"/>
                <w:lang w:eastAsia="ru-RU"/>
              </w:rPr>
              <w:t>изохромосома</w:t>
            </w:r>
            <w:proofErr w:type="spellEnd"/>
            <w:r w:rsidRPr="00423910">
              <w:rPr>
                <w:szCs w:val="24"/>
                <w:lang w:eastAsia="ru-RU"/>
              </w:rPr>
              <w:t xml:space="preserve"> 17</w:t>
            </w:r>
            <w:r w:rsidR="008C3169" w:rsidRPr="00423910">
              <w:rPr>
                <w:szCs w:val="24"/>
                <w:lang w:eastAsia="ru-RU"/>
              </w:rPr>
              <w:t xml:space="preserve">; </w:t>
            </w:r>
            <w:proofErr w:type="spellStart"/>
            <w:r w:rsidR="008C3169" w:rsidRPr="00423910">
              <w:rPr>
                <w:szCs w:val="24"/>
              </w:rPr>
              <w:t>моносомия</w:t>
            </w:r>
            <w:proofErr w:type="spellEnd"/>
            <w:r w:rsidR="008C3169" w:rsidRPr="00423910">
              <w:rPr>
                <w:szCs w:val="24"/>
              </w:rPr>
              <w:t xml:space="preserve"> 7; </w:t>
            </w:r>
            <w:proofErr w:type="spellStart"/>
            <w:r w:rsidR="008C3169" w:rsidRPr="00423910">
              <w:rPr>
                <w:szCs w:val="24"/>
              </w:rPr>
              <w:t>делеция</w:t>
            </w:r>
            <w:proofErr w:type="spellEnd"/>
            <w:r w:rsidR="008C3169" w:rsidRPr="00423910">
              <w:rPr>
                <w:szCs w:val="24"/>
              </w:rPr>
              <w:t xml:space="preserve"> 7</w:t>
            </w:r>
            <w:r w:rsidR="008C3169" w:rsidRPr="00423910">
              <w:rPr>
                <w:szCs w:val="24"/>
                <w:lang w:val="en-US"/>
              </w:rPr>
              <w:t>q</w:t>
            </w:r>
            <w:r w:rsidR="008C3169" w:rsidRPr="00423910">
              <w:rPr>
                <w:szCs w:val="24"/>
              </w:rPr>
              <w:t xml:space="preserve">; </w:t>
            </w:r>
            <w:r w:rsidR="008C3169" w:rsidRPr="00423910">
              <w:rPr>
                <w:szCs w:val="24"/>
                <w:lang w:eastAsia="ru-RU"/>
              </w:rPr>
              <w:t>перестройки хромосомного района 3q26.2, а также комплексные аберрации, включающие 2 ДХА и более</w:t>
            </w:r>
            <w:r w:rsidRPr="00423910">
              <w:rPr>
                <w:szCs w:val="24"/>
                <w:lang w:eastAsia="ru-RU"/>
              </w:rPr>
              <w:t xml:space="preserve">. Из этого числа наиболее </w:t>
            </w:r>
            <w:proofErr w:type="spellStart"/>
            <w:r w:rsidRPr="00423910">
              <w:rPr>
                <w:szCs w:val="24"/>
                <w:lang w:eastAsia="ru-RU"/>
              </w:rPr>
              <w:t>прогностически</w:t>
            </w:r>
            <w:proofErr w:type="spellEnd"/>
            <w:r w:rsidRPr="00423910">
              <w:rPr>
                <w:szCs w:val="24"/>
                <w:lang w:eastAsia="ru-RU"/>
              </w:rPr>
              <w:t xml:space="preserve"> неблагоприятными являются </w:t>
            </w:r>
            <w:r w:rsidR="002772C4" w:rsidRPr="00423910">
              <w:rPr>
                <w:szCs w:val="24"/>
                <w:lang w:eastAsia="ru-RU"/>
              </w:rPr>
              <w:t>-7/7</w:t>
            </w:r>
            <w:r w:rsidR="002772C4" w:rsidRPr="00423910">
              <w:rPr>
                <w:szCs w:val="24"/>
                <w:lang w:val="en-US" w:eastAsia="ru-RU"/>
              </w:rPr>
              <w:t>q</w:t>
            </w:r>
            <w:r w:rsidR="002772C4" w:rsidRPr="00423910">
              <w:rPr>
                <w:szCs w:val="24"/>
                <w:lang w:eastAsia="ru-RU"/>
              </w:rPr>
              <w:t xml:space="preserve">-; </w:t>
            </w:r>
            <w:r w:rsidR="008C3169" w:rsidRPr="00423910">
              <w:rPr>
                <w:szCs w:val="24"/>
                <w:lang w:eastAsia="ru-RU"/>
              </w:rPr>
              <w:t>перестройки 3q26.2, а также комплексные аберрации</w:t>
            </w:r>
            <w:r w:rsidR="002772C4" w:rsidRPr="00423910">
              <w:rPr>
                <w:szCs w:val="24"/>
                <w:lang w:eastAsia="ru-RU"/>
              </w:rPr>
              <w:t>, включающие 2 ДХА и более</w:t>
            </w:r>
            <w:r w:rsidR="008C3169" w:rsidRPr="00EA6EC4">
              <w:rPr>
                <w:szCs w:val="24"/>
                <w:lang w:eastAsia="ru-RU"/>
              </w:rPr>
              <w:t xml:space="preserve"> </w:t>
            </w:r>
            <w:r w:rsidRPr="00EA6EC4">
              <w:fldChar w:fldCharType="begin"/>
            </w:r>
            <w:r w:rsidRPr="00EA6EC4">
              <w:instrText>ADDIN CSL_CITATION {"citationItems":[{"id":"ITEM-1","itemData":{"DOI":"10.1182/blood-2011-08-373902","ISSN":"00064971","abstract":"The prognostic relevance of additional cytogenetic findings at diagnosis of chronic myeloid leukemia (CML) is unclear. The impact of additional cytogenetic findings at diagnosis on time to complete cytogenetic (CCR) and major molecular remission (MMR) and progression-free (PFS) and overall survival (OS) was analyzed using data from 1151 Philadelphia chromosome-positive (Ph +) CML patients randomized to the German CML Study IV. At diagnosis, 1003 of 1151 patients (87%) had standard t(9;22)(q34;q11) only, 69 patients (6.0%) had variant t(v;22), and 79 (6.9%) additional cytogenetic aberrations (ACAs). Of these, 38 patients (3.3%) lacked the Y chromosome (-Y) and 41 patients (3.6%) had ACAs except -Y; 16 of these (1.4%) were major route (second Philadelphia [Ph] chromosome, trisomy 8, isochromosome 17q, or trisomy 19) and 25 minor route (all other) ACAs. After a median observation time of 5.3 years for patients with t(9;22), t(v;22), -Y, minor- and major-route ACAs, the 5-year PFS was 90%, 81%, 88%, 96%, and 50%, and the 5-year OS was 92%, 87%, 91%, 96%, and 53%, respectively. In patients with major-route ACAs, the times to CCR and MMR were longer and PFS and OS were shorter (P &lt; .001) than in patients with standard t(9;22). We conclude that major-route ACAs at diagnosis are associated with a negative impact on survival and signify progression to the accelerated phase and blast crisis. © 2011 by The American Society of Hematology.","author":[{"dropping-particle":"","family":"Fabarius","given":"Alice","non-dropping-particle":"","parse-names":false,"suffix":""},{"dropping-particle":"","family":"Leitner","given":"Armin","non-dropping-particle":"","parse-names":false,"suffix":""},{"dropping-particle":"","family":"Hochhaus","given":"Andreas","non-dropping-particle":"","parse-names":false,"suffix":""},{"dropping-particle":"","family":"Müller","given":"Martin C.","non-dropping-particle":"","parse-names":false,"suffix":""},{"dropping-particle":"","family":"Hanfstein","given":"Benjamin","non-dropping-particle":"","parse-names":false,"suffix":""},{"dropping-particle":"","family":"Haferlach","given":"Claudia","non-dropping-particle":"","parse-names":false,"suffix":""},{"dropping-particle":"","family":"Göhring","given":"Gudrun","non-dropping-particle":"","parse-names":false,"suffix":""},{"dropping-particle":"","family":"Schlegelberger","given":"Brigitte","non-dropping-particle":"","parse-names":false,"suffix":""},{"dropping-particle":"","family":"Jotterand","given":"Martine","non-dropping-particle":"","parse-names":false,"suffix":""},{"dropping-particle":"","family":"Reiter","given":"Andreas","non-dropping-particle":"","parse-names":false,"suffix":""},{"dropping-particle":"","family":"Jung-Munkwitz","given":"Susanne","non-dropping-particle":"","parse-names":false,"suffix":""},{"dropping-particle":"","family":"Proetel","given":"Ulrike","non-dropping-particle":"","parse-names":false,"suffix":""},{"dropping-particle":"","family":"Schwaab","given":"Juliana","non-dropping-particle":"","parse-names":false,"suffix":""},{"dropping-particle":"","family":"Hofmann","given":"Wolf Karsten","non-dropping-particle":"","parse-names":false,"suffix":""},{"dropping-particle":"","family":"Schubert","given":"Jörg","non-dropping-particle":"","parse-names":false,"suffix":""},{"dropping-particle":"","family":"Einsele","given":"Hermann","non-dropping-particle":"","parse-names":false,"suffix":""},{"dropping-particle":"","family":"Ho","given":"Anthony D.","non-dropping-particle":"","parse-names":false,"suffix":""},{"dropping-particle":"","family":"Falge","given":"Christiane","non-dropping-particle":"","parse-names":false,"suffix":""},{"dropping-particle":"","family":"Kanz","given":"Lothar","non-dropping-particle":"","parse-names":false,"suffix":""},{"dropping-particle":"","family":"Neubauer","given":"Andreas","non-dropping-particle":"","parse-names":false,"suffix":""},{"dropping-particle":"","family":"Kneba","given":"Michael","non-dropping-particle":"","parse-names":false,"suffix":""},{"dropping-particle":"","family":"Stegelmann","given":"Frank","non-dropping-particle":"","parse-names":false,"suffix":""},{"dropping-particle":"","family":"Pfreundschuh","given":"Michael","non-dropping-particle":"","parse-names":false,"suffix":""},{"dropping-particle":"","family":"Waller","given":"Cornelius F.","non-dropping-particle":"","parse-names":false,"suffix":""},{"dropping-particle":"","family":"Spiekermann","given":"Karsten","non-dropping-particle":"","parse-names":false,"suffix":""},{"dropping-particle":"","family":"Baerlocher","given":"Gabriela M.","non-dropping-particle":"","parse-names":false,"suffix":""},{"dropping-particle":"","family":"Lauseker","given":"Michael","non-dropping-particle":"","parse-names":false,"suffix":""},{"dropping-particle":"","family":"Pfirrmann","given":"Markus","non-dropping-particle":"","parse-names":false,"suffix":""},{"dropping-particle":"","family":"Hasford","given":"Joerg","non-dropping-particle":"","parse-names":false,"suffix":""},{"dropping-particle":"","family":"Saussele","given":"Susanne","non-dropping-particle":"","parse-names":false,"suffix":""},{"dropping-particle":"","family":"Hehlmann","given":"Rüdiger","non-dropping-particle":"","parse-names":false,"suffix":""}],"container-title":"Blood","id":"ITEM-1","issue":"26","issued":{"date-parts":[["2011","12","22"]]},"page":"6760-6768","title":"Impact of additional cytogenetic aberrations at diagnosis on prognosis of CML: Long-term observation of 1151 patients from the randomized CML Study IV","type":"article-journal","volume":"118"},"uris":["http://www.mendeley.com/documents/?uuid=cd65da86-15c7-33bc-8823-c42b2bb7a02a"]}],"mendeley":{"formattedCitation":"[5]","plainTextFormattedCitation":"[5]","previouslyFormattedCitation":"[5]"},"properties":{"noteIndex":0},"schema":"https://github.com/citation-style-language/schema/raw/master/csl-citation.json"}</w:instrText>
            </w:r>
            <w:r w:rsidRPr="00EA6EC4">
              <w:fldChar w:fldCharType="separate"/>
            </w:r>
            <w:bookmarkStart w:id="9" w:name="__Fieldmark__952_2024483163"/>
            <w:r w:rsidRPr="00EA6EC4">
              <w:rPr>
                <w:szCs w:val="24"/>
                <w:lang w:eastAsia="ru-RU"/>
              </w:rPr>
              <w:t>[</w:t>
            </w:r>
            <w:bookmarkStart w:id="10" w:name="__Fieldmark__991_562553030"/>
            <w:r w:rsidRPr="00EA6EC4">
              <w:rPr>
                <w:szCs w:val="24"/>
                <w:lang w:eastAsia="ru-RU"/>
              </w:rPr>
              <w:t>5</w:t>
            </w:r>
            <w:r w:rsidR="00F700E9" w:rsidRPr="00EA6EC4">
              <w:rPr>
                <w:szCs w:val="24"/>
                <w:lang w:eastAsia="ru-RU"/>
              </w:rPr>
              <w:t>, 104</w:t>
            </w:r>
            <w:r w:rsidR="00EA6EC4" w:rsidRPr="00EA6EC4">
              <w:rPr>
                <w:szCs w:val="24"/>
                <w:lang w:eastAsia="ru-RU"/>
              </w:rPr>
              <w:t>]</w:t>
            </w:r>
            <w:bookmarkEnd w:id="9"/>
            <w:bookmarkEnd w:id="10"/>
            <w:r w:rsidRPr="00EA6EC4">
              <w:fldChar w:fldCharType="end"/>
            </w:r>
          </w:p>
          <w:p w14:paraId="0ED7B358" w14:textId="34334D9E" w:rsidR="000C7098" w:rsidRPr="00062B4F" w:rsidRDefault="00242FD4" w:rsidP="00DF576E">
            <w:pPr>
              <w:spacing w:beforeAutospacing="1" w:afterAutospacing="1" w:line="240" w:lineRule="auto"/>
              <w:ind w:left="134" w:firstLine="0"/>
              <w:jc w:val="left"/>
              <w:rPr>
                <w:szCs w:val="24"/>
                <w:lang w:eastAsia="ru-RU"/>
              </w:rPr>
            </w:pPr>
            <w:bookmarkStart w:id="11" w:name="_bookmark0"/>
            <w:bookmarkEnd w:id="11"/>
            <w:r w:rsidRPr="00423910">
              <w:rPr>
                <w:szCs w:val="24"/>
                <w:lang w:eastAsia="ru-RU"/>
              </w:rPr>
              <w:t>**ФА или</w:t>
            </w:r>
            <w:r>
              <w:rPr>
                <w:szCs w:val="24"/>
                <w:lang w:eastAsia="ru-RU"/>
              </w:rPr>
              <w:t xml:space="preserve"> БК устанавливают при наличии хотя бы одного критерия</w:t>
            </w:r>
          </w:p>
        </w:tc>
      </w:tr>
    </w:tbl>
    <w:p w14:paraId="3F666154" w14:textId="77777777" w:rsidR="000C7098" w:rsidRPr="00062B4F" w:rsidRDefault="000C7098" w:rsidP="009D2E3F">
      <w:pPr>
        <w:rPr>
          <w:b/>
          <w:bCs/>
          <w:szCs w:val="24"/>
          <w:lang w:eastAsia="ru-RU"/>
        </w:rPr>
      </w:pPr>
    </w:p>
    <w:p w14:paraId="55B09BD2" w14:textId="77777777" w:rsidR="000C7098" w:rsidRPr="00062B4F" w:rsidRDefault="000C7098" w:rsidP="009D2E3F">
      <w:pPr>
        <w:rPr>
          <w:i/>
          <w:szCs w:val="24"/>
          <w:lang w:eastAsia="ru-RU"/>
        </w:rPr>
      </w:pPr>
      <w:r w:rsidRPr="00062B4F">
        <w:rPr>
          <w:b/>
          <w:bCs/>
          <w:i/>
          <w:szCs w:val="24"/>
          <w:lang w:eastAsia="ru-RU"/>
        </w:rPr>
        <w:t xml:space="preserve">По группе риска для ХФ ХМЛ </w:t>
      </w:r>
    </w:p>
    <w:p w14:paraId="7356ABFD" w14:textId="77777777" w:rsidR="000C7098" w:rsidRPr="00062B4F" w:rsidRDefault="000C7098" w:rsidP="009D2E3F">
      <w:pPr>
        <w:rPr>
          <w:szCs w:val="24"/>
          <w:lang w:eastAsia="ru-RU"/>
        </w:rPr>
      </w:pPr>
      <w:r w:rsidRPr="00062B4F">
        <w:rPr>
          <w:b/>
          <w:bCs/>
          <w:szCs w:val="24"/>
          <w:lang w:eastAsia="ru-RU"/>
        </w:rPr>
        <w:t>Группа риска ХМЛ</w:t>
      </w:r>
      <w:r w:rsidRPr="00062B4F">
        <w:rPr>
          <w:szCs w:val="24"/>
          <w:lang w:eastAsia="ru-RU"/>
        </w:rPr>
        <w:t xml:space="preserve"> рассчитывается на основании </w:t>
      </w:r>
      <w:proofErr w:type="spellStart"/>
      <w:r w:rsidRPr="00062B4F">
        <w:rPr>
          <w:szCs w:val="24"/>
          <w:lang w:eastAsia="ru-RU"/>
        </w:rPr>
        <w:t>прогностически</w:t>
      </w:r>
      <w:proofErr w:type="spellEnd"/>
      <w:r w:rsidRPr="00062B4F">
        <w:rPr>
          <w:szCs w:val="24"/>
          <w:lang w:eastAsia="ru-RU"/>
        </w:rPr>
        <w:t xml:space="preserve"> значимых клинико-гематологических характеристик и оценивается у пациентов с ХФ на момент диагностики заболевания, до начала терапии;</w:t>
      </w:r>
    </w:p>
    <w:p w14:paraId="5F110DE8" w14:textId="77777777" w:rsidR="000C7098" w:rsidRPr="00062B4F" w:rsidRDefault="000C7098" w:rsidP="009D2E3F">
      <w:pPr>
        <w:rPr>
          <w:b/>
          <w:spacing w:val="-2"/>
          <w:szCs w:val="24"/>
          <w:lang w:eastAsia="ru-RU"/>
        </w:rPr>
      </w:pPr>
      <w:r w:rsidRPr="00062B4F">
        <w:rPr>
          <w:b/>
          <w:bCs/>
          <w:spacing w:val="-2"/>
          <w:szCs w:val="24"/>
          <w:lang w:eastAsia="ru-RU"/>
        </w:rPr>
        <w:t xml:space="preserve">Группа риска по J.E. </w:t>
      </w:r>
      <w:proofErr w:type="spellStart"/>
      <w:r w:rsidRPr="00062B4F">
        <w:rPr>
          <w:b/>
          <w:bCs/>
          <w:spacing w:val="-2"/>
          <w:szCs w:val="24"/>
          <w:lang w:eastAsia="ru-RU"/>
        </w:rPr>
        <w:t>Sokal</w:t>
      </w:r>
      <w:proofErr w:type="spellEnd"/>
      <w:r w:rsidRPr="00062B4F">
        <w:rPr>
          <w:b/>
          <w:bCs/>
          <w:spacing w:val="-2"/>
          <w:szCs w:val="24"/>
          <w:lang w:eastAsia="ru-RU"/>
        </w:rPr>
        <w:t xml:space="preserve"> </w:t>
      </w:r>
      <w:r w:rsidRPr="00351AF0">
        <w:rPr>
          <w:bCs/>
          <w:spacing w:val="-2"/>
          <w:szCs w:val="24"/>
          <w:lang w:eastAsia="ru-RU"/>
        </w:rPr>
        <w:t>(прогнозирует вероятность общей выживаемости)</w:t>
      </w:r>
      <w:r w:rsidR="00B963F1" w:rsidRPr="00062B4F">
        <w:rPr>
          <w:b/>
          <w:bCs/>
          <w:spacing w:val="-2"/>
          <w:szCs w:val="24"/>
          <w:lang w:eastAsia="ru-RU"/>
        </w:rPr>
        <w:t xml:space="preserve"> </w:t>
      </w:r>
      <w:r w:rsidR="00C421C7" w:rsidRPr="00062B4F">
        <w:rPr>
          <w:b/>
          <w:bCs/>
          <w:spacing w:val="-2"/>
          <w:szCs w:val="24"/>
          <w:lang w:eastAsia="ru-RU"/>
        </w:rPr>
        <w:fldChar w:fldCharType="begin" w:fldLock="1"/>
      </w:r>
      <w:r w:rsidR="00C421C7" w:rsidRPr="00062B4F">
        <w:rPr>
          <w:b/>
          <w:bCs/>
          <w:spacing w:val="-2"/>
          <w:szCs w:val="24"/>
          <w:lang w:eastAsia="ru-RU"/>
        </w:rPr>
        <w:instrText>ADDIN CSL_CITATION {"citationItems":[{"id":"ITEM-1","itemData":{"author":[{"dropping-particle":"","family":"Sokal","given":"J.E.","non-dropping-particle":"","parse-names":false,"suffix":""},{"dropping-particle":"","family":"Cox","given":"E.B.","non-dropping-particle":"","parse-names":false,"suffix":""},{"dropping-particle":"","family":"Baccarani","given":"M.","non-dropping-particle":"","parse-names":false,"suffix":""},{"dropping-particle":"","family":"Tura","given":"S.","non-dropping-particle":"","parse-names":false,"suffix":""},{"dropping-particle":"","family":"Gomez","given":"G.A.","non-dropping-particle":"","parse-names":false,"suffix":""},{"dropping-particle":"","family":"Robertson","given":"J.E.","non-dropping-particle":"","parse-names":false,"suffix":""}],"container-title":"Blood","id":"ITEM-1","issue":"4","issued":{"date-parts":[["1984"]]},"page":"789-799","title":"Prognostic discrimination in \"good-risk\" chronic granulocytic leukemia","type":"article-journal","volume":"63"},"uris":["http://www.mendeley.com/documents/?uuid=8df94c18-74a6-48a5-b45e-431c3841ed12"]}],"mendeley":{"formattedCitation":"[6]","plainTextFormattedCitation":"[6]","previouslyFormattedCitation":"[6]"},"properties":{"noteIndex":0},"schema":"https://github.com/citation-style-language/schema/raw/master/csl-citation.json"}</w:instrText>
      </w:r>
      <w:r w:rsidR="00C421C7" w:rsidRPr="00062B4F">
        <w:rPr>
          <w:b/>
          <w:bCs/>
          <w:spacing w:val="-2"/>
          <w:szCs w:val="24"/>
          <w:lang w:eastAsia="ru-RU"/>
        </w:rPr>
        <w:fldChar w:fldCharType="separate"/>
      </w:r>
      <w:r w:rsidR="00C421C7" w:rsidRPr="00062B4F">
        <w:rPr>
          <w:bCs/>
          <w:noProof/>
          <w:spacing w:val="-2"/>
          <w:szCs w:val="24"/>
          <w:lang w:eastAsia="ru-RU"/>
        </w:rPr>
        <w:t>[6]</w:t>
      </w:r>
      <w:r w:rsidR="00C421C7" w:rsidRPr="00062B4F">
        <w:rPr>
          <w:b/>
          <w:bCs/>
          <w:spacing w:val="-2"/>
          <w:szCs w:val="24"/>
          <w:lang w:eastAsia="ru-RU"/>
        </w:rPr>
        <w:fldChar w:fldCharType="end"/>
      </w:r>
    </w:p>
    <w:p w14:paraId="2C4F6702" w14:textId="77777777" w:rsidR="000C7098" w:rsidRPr="00062B4F" w:rsidRDefault="000C7098" w:rsidP="00505FD7">
      <w:pPr>
        <w:numPr>
          <w:ilvl w:val="0"/>
          <w:numId w:val="16"/>
        </w:numPr>
        <w:jc w:val="left"/>
        <w:rPr>
          <w:szCs w:val="24"/>
          <w:lang w:eastAsia="ru-RU"/>
        </w:rPr>
      </w:pPr>
      <w:r w:rsidRPr="00062B4F">
        <w:rPr>
          <w:szCs w:val="24"/>
          <w:lang w:eastAsia="ru-RU"/>
        </w:rPr>
        <w:t>низкий риск;</w:t>
      </w:r>
    </w:p>
    <w:p w14:paraId="7D2F7683" w14:textId="77777777" w:rsidR="000C7098" w:rsidRPr="00062B4F" w:rsidRDefault="000C7098" w:rsidP="00505FD7">
      <w:pPr>
        <w:numPr>
          <w:ilvl w:val="0"/>
          <w:numId w:val="16"/>
        </w:numPr>
        <w:jc w:val="left"/>
        <w:rPr>
          <w:szCs w:val="24"/>
          <w:lang w:eastAsia="ru-RU"/>
        </w:rPr>
      </w:pPr>
      <w:r w:rsidRPr="00062B4F">
        <w:rPr>
          <w:szCs w:val="24"/>
          <w:lang w:eastAsia="ru-RU"/>
        </w:rPr>
        <w:t>промежуточный риск;</w:t>
      </w:r>
    </w:p>
    <w:p w14:paraId="20E28809" w14:textId="77777777" w:rsidR="000C7098" w:rsidRPr="00062B4F" w:rsidRDefault="000C7098" w:rsidP="00505FD7">
      <w:pPr>
        <w:numPr>
          <w:ilvl w:val="0"/>
          <w:numId w:val="16"/>
        </w:numPr>
        <w:jc w:val="left"/>
        <w:rPr>
          <w:szCs w:val="24"/>
          <w:lang w:eastAsia="ru-RU"/>
        </w:rPr>
      </w:pPr>
      <w:r w:rsidRPr="00062B4F">
        <w:rPr>
          <w:szCs w:val="24"/>
          <w:lang w:eastAsia="ru-RU"/>
        </w:rPr>
        <w:t>высокий риск.</w:t>
      </w:r>
    </w:p>
    <w:p w14:paraId="5DF22B38" w14:textId="77777777" w:rsidR="000C7098" w:rsidRPr="00062B4F" w:rsidRDefault="000C7098" w:rsidP="009D2E3F">
      <w:pPr>
        <w:rPr>
          <w:szCs w:val="24"/>
          <w:lang w:eastAsia="ru-RU"/>
        </w:rPr>
      </w:pPr>
      <w:r w:rsidRPr="00062B4F">
        <w:rPr>
          <w:b/>
          <w:bCs/>
          <w:szCs w:val="24"/>
          <w:lang w:eastAsia="ru-RU"/>
        </w:rPr>
        <w:t>Группа риска E</w:t>
      </w:r>
      <w:r w:rsidRPr="00062B4F">
        <w:rPr>
          <w:b/>
          <w:bCs/>
          <w:szCs w:val="24"/>
          <w:lang w:val="en-US" w:eastAsia="ru-RU"/>
        </w:rPr>
        <w:t>L</w:t>
      </w:r>
      <w:r w:rsidRPr="00062B4F">
        <w:rPr>
          <w:b/>
          <w:bCs/>
          <w:szCs w:val="24"/>
          <w:lang w:eastAsia="ru-RU"/>
        </w:rPr>
        <w:t>TS (</w:t>
      </w:r>
      <w:r w:rsidRPr="00351AF0">
        <w:rPr>
          <w:bCs/>
          <w:szCs w:val="24"/>
          <w:lang w:eastAsia="ru-RU"/>
        </w:rPr>
        <w:t>прогнозирует вероятность общей выживаемости, выживаемости без прогрессирования и вероятности достижения глубокого молекулярного ответа)</w:t>
      </w:r>
      <w:r w:rsidRPr="00062B4F">
        <w:rPr>
          <w:b/>
          <w:bCs/>
          <w:szCs w:val="24"/>
          <w:lang w:eastAsia="ru-RU"/>
        </w:rPr>
        <w:t xml:space="preserve"> </w:t>
      </w:r>
      <w:r w:rsidRPr="00062B4F">
        <w:rPr>
          <w:b/>
          <w:bCs/>
          <w:szCs w:val="24"/>
          <w:lang w:eastAsia="ru-RU"/>
        </w:rPr>
        <w:fldChar w:fldCharType="begin" w:fldLock="1"/>
      </w:r>
      <w:r w:rsidR="00C421C7" w:rsidRPr="00062B4F">
        <w:rPr>
          <w:b/>
          <w:bCs/>
          <w:szCs w:val="24"/>
          <w:lang w:eastAsia="ru-RU"/>
        </w:rPr>
        <w:instrText>ADDIN CSL_CITATION {"citationItems":[{"id":"ITEM-1","itemData":{"DOI":"10.1038/leu.2015.261","ISSN":"0887-6924","PMID":"26416462","abstract":"In patients with chronic myeloid leukemia (CML), first-line imatinib treatment leads to 8-year overall survival (OS) probabilities above 80%. Many patients die of reasons unrelated to CML. This work tackled the reassessment of prognosis under particular consideration of the probabilities of dying of CML. Analyses were based on 2290 patients with chronic phase CML treated with imatinib in six clinical trials. 'Death due to CML' was defined by death after disease progression. At 8 years, OS was 89%. Of 208 deceased patients, 44% died of CML. Higher age, more peripheral blasts, bigger spleen and low platelet counts were significantly associated with increased probabilities of dying of CML and determined a new long-term survival score with three prognostic groups. Compared with the low-risk group, the patients of the intermediate- and the high-risk group had significantly higher probabilities of dying of CML. The score was successfully validated in an independent sample of 1120 patients. In both samples, the new score differentiated probabilities of dying of CML better than the Sokal, Euro and the European Treatment and Outcome Study (EUTOS) score. The new score identified 61% low-risk patients with excellent long-term outcome and 12% high-risk patients. The new score supports the prospective assessment of long-term antileukemic efficacy and risk-adapted treatment.","author":[{"dropping-particle":"","family":"Pfirrmann","given":"M","non-dropping-particle":"","parse-names":false,"suffix":""},{"dropping-particle":"","family":"Baccarani","given":"M","non-dropping-particle":"","parse-names":false,"suffix":""},{"dropping-particle":"","family":"Saussele","given":"S","non-dropping-particle":"","parse-names":false,"suffix":""},{"dropping-particle":"","family":"Guilhot","given":"J","non-dropping-particle":"","parse-names":false,"suffix":""},{"dropping-particle":"","family":"Cervantes","given":"F","non-dropping-particle":"","parse-names":false,"suffix":""},{"dropping-particle":"","family":"Ossenkoppele","given":"G","non-dropping-particle":"","parse-names":false,"suffix":""},{"dropping-particle":"","family":"Hoffmann","given":"V S","non-dropping-particle":"","parse-names":false,"suffix":""},{"dropping-particle":"","family":"Castagnetti","given":"F","non-dropping-particle":"","parse-names":false,"suffix":""},{"dropping-particle":"","family":"Hasford","given":"J","non-dropping-particle":"","parse-names":false,"suffix":""},{"dropping-particle":"","family":"Hehlmann","given":"R","non-dropping-particle":"","parse-names":false,"suffix":""},{"dropping-particle":"","family":"Simonsson","given":"B","non-dropping-particle":"","parse-names":false,"suffix":""}],"container-title":"Leukemia","id":"ITEM-1","issue":"1","issued":{"date-parts":[["2016","1"]]},"page":"48-56","title":"Prognosis of long-term survival considering disease-specific death in patients with chronic myeloid leukemia","type":"article-journal","volume":"30"},"uris":["http://www.mendeley.com/documents/?uuid=35123df8-9cf7-3a20-8d05-a077324f9f07","http://www.mendeley.com/documents/?uuid=0e128150-2013-40b8-96e2-091ac31f5090"]}],"mendeley":{"formattedCitation":"[9]","plainTextFormattedCitation":"[9]","previouslyFormattedCitation":"[9]"},"properties":{"noteIndex":0},"schema":"https://github.com/citation-style-language/schema/raw/master/csl-citation.json"}</w:instrText>
      </w:r>
      <w:r w:rsidRPr="00062B4F">
        <w:rPr>
          <w:b/>
          <w:bCs/>
          <w:szCs w:val="24"/>
          <w:lang w:eastAsia="ru-RU"/>
        </w:rPr>
        <w:fldChar w:fldCharType="separate"/>
      </w:r>
      <w:r w:rsidR="00C421C7" w:rsidRPr="00062B4F">
        <w:rPr>
          <w:bCs/>
          <w:noProof/>
          <w:szCs w:val="24"/>
          <w:lang w:eastAsia="ru-RU"/>
        </w:rPr>
        <w:t>[9]</w:t>
      </w:r>
      <w:r w:rsidRPr="00062B4F">
        <w:rPr>
          <w:b/>
          <w:bCs/>
          <w:szCs w:val="24"/>
          <w:lang w:eastAsia="ru-RU"/>
        </w:rPr>
        <w:fldChar w:fldCharType="end"/>
      </w:r>
    </w:p>
    <w:p w14:paraId="2E70EF04" w14:textId="77777777" w:rsidR="000C7098" w:rsidRPr="00062B4F" w:rsidRDefault="000C7098" w:rsidP="00505FD7">
      <w:pPr>
        <w:numPr>
          <w:ilvl w:val="0"/>
          <w:numId w:val="17"/>
        </w:numPr>
        <w:jc w:val="left"/>
        <w:rPr>
          <w:szCs w:val="24"/>
          <w:lang w:eastAsia="ru-RU"/>
        </w:rPr>
      </w:pPr>
      <w:r w:rsidRPr="00062B4F">
        <w:rPr>
          <w:szCs w:val="24"/>
          <w:lang w:eastAsia="ru-RU"/>
        </w:rPr>
        <w:t>низкий риск,</w:t>
      </w:r>
    </w:p>
    <w:p w14:paraId="3D8E46F8" w14:textId="77777777" w:rsidR="000C7098" w:rsidRPr="00062B4F" w:rsidRDefault="000C7098" w:rsidP="00505FD7">
      <w:pPr>
        <w:numPr>
          <w:ilvl w:val="0"/>
          <w:numId w:val="17"/>
        </w:numPr>
        <w:jc w:val="left"/>
        <w:rPr>
          <w:szCs w:val="24"/>
          <w:lang w:eastAsia="ru-RU"/>
        </w:rPr>
      </w:pPr>
      <w:r w:rsidRPr="00062B4F">
        <w:rPr>
          <w:szCs w:val="24"/>
          <w:lang w:eastAsia="ru-RU"/>
        </w:rPr>
        <w:t>промежуточный риск,</w:t>
      </w:r>
    </w:p>
    <w:p w14:paraId="16455BC2" w14:textId="77777777" w:rsidR="000C7098" w:rsidRPr="00062B4F" w:rsidRDefault="000C7098" w:rsidP="00505FD7">
      <w:pPr>
        <w:numPr>
          <w:ilvl w:val="0"/>
          <w:numId w:val="17"/>
        </w:numPr>
        <w:jc w:val="left"/>
        <w:rPr>
          <w:szCs w:val="24"/>
          <w:lang w:eastAsia="ru-RU"/>
        </w:rPr>
      </w:pPr>
      <w:r w:rsidRPr="00062B4F">
        <w:rPr>
          <w:szCs w:val="24"/>
          <w:lang w:eastAsia="ru-RU"/>
        </w:rPr>
        <w:t>высокий риск.</w:t>
      </w:r>
    </w:p>
    <w:p w14:paraId="7DDDD5C6" w14:textId="60CF3C0D" w:rsidR="000C7098" w:rsidRPr="00062B4F" w:rsidRDefault="000C7098" w:rsidP="009D2E3F">
      <w:pPr>
        <w:rPr>
          <w:szCs w:val="24"/>
          <w:lang w:eastAsia="ru-RU"/>
        </w:rPr>
      </w:pPr>
      <w:r w:rsidRPr="00062B4F">
        <w:rPr>
          <w:szCs w:val="24"/>
          <w:lang w:eastAsia="ru-RU"/>
        </w:rPr>
        <w:t xml:space="preserve">Совокупность критериев, характеризующих группы риска по системам </w:t>
      </w:r>
      <w:proofErr w:type="spellStart"/>
      <w:r w:rsidRPr="00062B4F">
        <w:rPr>
          <w:szCs w:val="24"/>
          <w:lang w:eastAsia="ru-RU"/>
        </w:rPr>
        <w:t>Sokal</w:t>
      </w:r>
      <w:proofErr w:type="spellEnd"/>
      <w:r w:rsidRPr="00062B4F">
        <w:rPr>
          <w:szCs w:val="24"/>
          <w:lang w:eastAsia="ru-RU"/>
        </w:rPr>
        <w:t xml:space="preserve">, и </w:t>
      </w:r>
      <w:r w:rsidRPr="00062B4F">
        <w:rPr>
          <w:szCs w:val="24"/>
          <w:lang w:val="en-US" w:eastAsia="ru-RU"/>
        </w:rPr>
        <w:t>ELTS</w:t>
      </w:r>
      <w:r w:rsidRPr="00062B4F">
        <w:rPr>
          <w:szCs w:val="24"/>
          <w:lang w:eastAsia="ru-RU"/>
        </w:rPr>
        <w:t xml:space="preserve"> представлена в табл. 2.</w:t>
      </w:r>
    </w:p>
    <w:p w14:paraId="425F04E4" w14:textId="67C9BE1D" w:rsidR="000C7098" w:rsidRPr="00062B4F" w:rsidRDefault="000C7098" w:rsidP="004A6EDC">
      <w:pPr>
        <w:autoSpaceDE w:val="0"/>
        <w:autoSpaceDN w:val="0"/>
        <w:adjustRightInd w:val="0"/>
        <w:spacing w:before="120" w:after="120"/>
        <w:rPr>
          <w:noProof/>
          <w:szCs w:val="24"/>
          <w:lang w:eastAsia="ru-RU"/>
        </w:rPr>
      </w:pPr>
      <w:r w:rsidRPr="00062B4F">
        <w:rPr>
          <w:b/>
          <w:bCs/>
          <w:szCs w:val="24"/>
          <w:lang w:eastAsia="ru-RU"/>
        </w:rPr>
        <w:t>Таблица 2.</w:t>
      </w:r>
      <w:r w:rsidRPr="00062B4F">
        <w:rPr>
          <w:szCs w:val="24"/>
          <w:lang w:eastAsia="ru-RU"/>
        </w:rPr>
        <w:t xml:space="preserve"> Определение групп риска ХМЛ по J.E. </w:t>
      </w:r>
      <w:proofErr w:type="spellStart"/>
      <w:r w:rsidRPr="00062B4F">
        <w:rPr>
          <w:szCs w:val="24"/>
          <w:lang w:eastAsia="ru-RU"/>
        </w:rPr>
        <w:t>Sokal</w:t>
      </w:r>
      <w:proofErr w:type="spellEnd"/>
      <w:r w:rsidR="00B8254B" w:rsidRPr="00351AF0">
        <w:rPr>
          <w:szCs w:val="24"/>
          <w:lang w:eastAsia="ru-RU"/>
        </w:rPr>
        <w:t xml:space="preserve"> </w:t>
      </w:r>
      <w:r w:rsidRPr="00062B4F">
        <w:rPr>
          <w:szCs w:val="24"/>
          <w:lang w:eastAsia="ar-SA"/>
        </w:rPr>
        <w:t xml:space="preserve">и </w:t>
      </w:r>
      <w:r w:rsidRPr="00062B4F">
        <w:rPr>
          <w:bCs/>
          <w:szCs w:val="24"/>
          <w:lang w:val="en-US" w:eastAsia="ar-SA"/>
        </w:rPr>
        <w:t>ELTS</w:t>
      </w:r>
    </w:p>
    <w:tbl>
      <w:tblPr>
        <w:tblW w:w="4548" w:type="pct"/>
        <w:jc w:val="center"/>
        <w:tblBorders>
          <w:top w:val="single" w:sz="4" w:space="0" w:color="000001"/>
          <w:left w:val="single" w:sz="4" w:space="0" w:color="000001"/>
          <w:bottom w:val="single" w:sz="4" w:space="0" w:color="000001"/>
        </w:tblBorders>
        <w:tblCellMar>
          <w:left w:w="10" w:type="dxa"/>
          <w:right w:w="10" w:type="dxa"/>
        </w:tblCellMar>
        <w:tblLook w:val="00A0" w:firstRow="1" w:lastRow="0" w:firstColumn="1" w:lastColumn="0" w:noHBand="0" w:noVBand="0"/>
      </w:tblPr>
      <w:tblGrid>
        <w:gridCol w:w="2110"/>
        <w:gridCol w:w="3272"/>
        <w:gridCol w:w="3118"/>
      </w:tblGrid>
      <w:tr w:rsidR="00B8254B" w:rsidRPr="00062B4F" w14:paraId="16CC2D25" w14:textId="77777777" w:rsidTr="00351AF0">
        <w:trPr>
          <w:trHeight w:val="497"/>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524B7153" w14:textId="77777777" w:rsidR="00B8254B" w:rsidRPr="00062B4F" w:rsidRDefault="00B8254B" w:rsidP="00770C2E">
            <w:pPr>
              <w:suppressAutoHyphens/>
              <w:spacing w:line="276" w:lineRule="auto"/>
              <w:ind w:firstLine="0"/>
              <w:jc w:val="center"/>
              <w:rPr>
                <w:b/>
                <w:szCs w:val="24"/>
                <w:lang w:eastAsia="ar-SA"/>
              </w:rPr>
            </w:pPr>
            <w:r w:rsidRPr="00062B4F">
              <w:rPr>
                <w:b/>
                <w:bCs/>
                <w:szCs w:val="24"/>
                <w:lang w:eastAsia="ar-SA"/>
              </w:rPr>
              <w:t>Признак</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3475678" w14:textId="77777777" w:rsidR="00B8254B" w:rsidRPr="00062B4F" w:rsidRDefault="00B8254B" w:rsidP="00770C2E">
            <w:pPr>
              <w:suppressAutoHyphens/>
              <w:spacing w:line="276" w:lineRule="auto"/>
              <w:ind w:firstLine="0"/>
              <w:jc w:val="center"/>
              <w:rPr>
                <w:b/>
                <w:szCs w:val="24"/>
                <w:lang w:eastAsia="ar-SA"/>
              </w:rPr>
            </w:pPr>
            <w:r w:rsidRPr="00062B4F">
              <w:rPr>
                <w:b/>
                <w:bCs/>
                <w:szCs w:val="24"/>
                <w:lang w:eastAsia="ar-SA"/>
              </w:rPr>
              <w:t xml:space="preserve">Критерии </w:t>
            </w:r>
            <w:r w:rsidRPr="00062B4F">
              <w:rPr>
                <w:b/>
                <w:bCs/>
                <w:szCs w:val="24"/>
                <w:lang w:val="en-US" w:eastAsia="ar-SA"/>
              </w:rPr>
              <w:t>J</w:t>
            </w:r>
            <w:r w:rsidRPr="00062B4F">
              <w:rPr>
                <w:b/>
                <w:bCs/>
                <w:szCs w:val="24"/>
                <w:lang w:eastAsia="ar-SA"/>
              </w:rPr>
              <w:t>.</w:t>
            </w:r>
            <w:r w:rsidRPr="00062B4F">
              <w:rPr>
                <w:b/>
                <w:bCs/>
                <w:szCs w:val="24"/>
                <w:lang w:val="en-US" w:eastAsia="ar-SA"/>
              </w:rPr>
              <w:t>E</w:t>
            </w:r>
            <w:r w:rsidRPr="00062B4F">
              <w:rPr>
                <w:b/>
                <w:bCs/>
                <w:szCs w:val="24"/>
                <w:lang w:eastAsia="ar-SA"/>
              </w:rPr>
              <w:t xml:space="preserve">. </w:t>
            </w:r>
            <w:proofErr w:type="spellStart"/>
            <w:r w:rsidRPr="00062B4F">
              <w:rPr>
                <w:b/>
                <w:bCs/>
                <w:szCs w:val="24"/>
                <w:lang w:val="en-US" w:eastAsia="ar-SA"/>
              </w:rPr>
              <w:t>Sokal</w:t>
            </w:r>
            <w:proofErr w:type="spellEnd"/>
          </w:p>
        </w:tc>
        <w:tc>
          <w:tcPr>
            <w:tcW w:w="3118" w:type="dxa"/>
            <w:tcBorders>
              <w:top w:val="single" w:sz="4" w:space="0" w:color="000001"/>
              <w:left w:val="single" w:sz="4" w:space="0" w:color="000001"/>
              <w:bottom w:val="single" w:sz="4" w:space="0" w:color="000001"/>
              <w:right w:val="single" w:sz="4" w:space="0" w:color="000001"/>
            </w:tcBorders>
          </w:tcPr>
          <w:p w14:paraId="1DA67B12" w14:textId="77777777" w:rsidR="00B8254B" w:rsidRPr="00062B4F" w:rsidRDefault="00B8254B" w:rsidP="00770C2E">
            <w:pPr>
              <w:suppressAutoHyphens/>
              <w:spacing w:line="276" w:lineRule="auto"/>
              <w:ind w:firstLine="0"/>
              <w:jc w:val="center"/>
              <w:rPr>
                <w:b/>
                <w:szCs w:val="24"/>
                <w:lang w:eastAsia="ar-SA"/>
              </w:rPr>
            </w:pPr>
            <w:r w:rsidRPr="00062B4F">
              <w:rPr>
                <w:b/>
                <w:bCs/>
                <w:szCs w:val="24"/>
                <w:lang w:eastAsia="ar-SA"/>
              </w:rPr>
              <w:t xml:space="preserve">Критерии </w:t>
            </w:r>
            <w:r w:rsidRPr="00062B4F">
              <w:rPr>
                <w:b/>
                <w:bCs/>
                <w:szCs w:val="24"/>
                <w:lang w:val="en-US" w:eastAsia="ar-SA"/>
              </w:rPr>
              <w:t>ELTS</w:t>
            </w:r>
          </w:p>
        </w:tc>
      </w:tr>
      <w:tr w:rsidR="00B8254B" w:rsidRPr="00062B4F" w14:paraId="35128195" w14:textId="77777777" w:rsidTr="00351AF0">
        <w:trPr>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31ECA27C" w14:textId="77777777" w:rsidR="00B8254B" w:rsidRPr="00062B4F" w:rsidRDefault="00B8254B" w:rsidP="009D2E3F">
            <w:pPr>
              <w:suppressAutoHyphens/>
              <w:spacing w:line="276" w:lineRule="auto"/>
              <w:ind w:firstLine="0"/>
              <w:rPr>
                <w:szCs w:val="24"/>
                <w:lang w:eastAsia="ar-SA"/>
              </w:rPr>
            </w:pPr>
            <w:r w:rsidRPr="00062B4F">
              <w:rPr>
                <w:bCs/>
                <w:szCs w:val="24"/>
                <w:lang w:eastAsia="ar-SA"/>
              </w:rPr>
              <w:t>Возраст, годы</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E2231CE" w14:textId="77777777" w:rsidR="00B8254B" w:rsidRPr="00062B4F" w:rsidRDefault="00B8254B" w:rsidP="009D2E3F">
            <w:pPr>
              <w:suppressAutoHyphens/>
              <w:spacing w:line="276" w:lineRule="auto"/>
              <w:ind w:firstLine="0"/>
              <w:rPr>
                <w:szCs w:val="24"/>
                <w:lang w:eastAsia="ar-SA"/>
              </w:rPr>
            </w:pPr>
            <w:r w:rsidRPr="00062B4F">
              <w:rPr>
                <w:spacing w:val="-4"/>
                <w:szCs w:val="24"/>
                <w:lang w:eastAsia="ru-RU"/>
              </w:rPr>
              <w:t>0,0116 × (возраст – 43,4)</w:t>
            </w:r>
          </w:p>
        </w:tc>
        <w:tc>
          <w:tcPr>
            <w:tcW w:w="3118" w:type="dxa"/>
            <w:tcBorders>
              <w:top w:val="single" w:sz="4" w:space="0" w:color="000001"/>
              <w:left w:val="single" w:sz="4" w:space="0" w:color="000001"/>
              <w:bottom w:val="single" w:sz="4" w:space="0" w:color="000001"/>
              <w:right w:val="single" w:sz="4" w:space="0" w:color="000001"/>
            </w:tcBorders>
          </w:tcPr>
          <w:p w14:paraId="3234F7C8" w14:textId="77777777" w:rsidR="00B8254B" w:rsidRPr="00062B4F" w:rsidRDefault="00B8254B" w:rsidP="00F85658">
            <w:pPr>
              <w:suppressAutoHyphens/>
              <w:spacing w:line="276" w:lineRule="auto"/>
              <w:ind w:firstLine="69"/>
              <w:rPr>
                <w:szCs w:val="24"/>
                <w:lang w:eastAsia="ar-SA"/>
              </w:rPr>
            </w:pPr>
            <w:r w:rsidRPr="00062B4F">
              <w:rPr>
                <w:szCs w:val="24"/>
                <w:lang w:eastAsia="ar-SA"/>
              </w:rPr>
              <w:t>0,0025 × (возраст/10)</w:t>
            </w:r>
            <w:r w:rsidRPr="00062B4F">
              <w:rPr>
                <w:szCs w:val="24"/>
                <w:vertAlign w:val="superscript"/>
                <w:lang w:eastAsia="ar-SA"/>
              </w:rPr>
              <w:t>3</w:t>
            </w:r>
          </w:p>
        </w:tc>
      </w:tr>
      <w:tr w:rsidR="00B8254B" w:rsidRPr="00062B4F" w14:paraId="1340A975" w14:textId="77777777" w:rsidTr="00351AF0">
        <w:trPr>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22020760" w14:textId="77777777" w:rsidR="00B8254B" w:rsidRPr="00062B4F" w:rsidRDefault="00B8254B" w:rsidP="006A4AB4">
            <w:pPr>
              <w:suppressAutoHyphens/>
              <w:spacing w:line="276" w:lineRule="auto"/>
              <w:ind w:firstLine="0"/>
              <w:rPr>
                <w:szCs w:val="24"/>
                <w:lang w:eastAsia="ar-SA"/>
              </w:rPr>
            </w:pPr>
            <w:r w:rsidRPr="00062B4F">
              <w:rPr>
                <w:bCs/>
                <w:szCs w:val="24"/>
                <w:lang w:eastAsia="ar-SA"/>
              </w:rPr>
              <w:t xml:space="preserve">Селезенка </w:t>
            </w:r>
            <w:r w:rsidRPr="00062B4F">
              <w:rPr>
                <w:bCs/>
                <w:szCs w:val="24"/>
                <w:lang w:eastAsia="ar-SA"/>
              </w:rPr>
              <w:br/>
              <w:t>(см из</w:t>
            </w:r>
            <w:r w:rsidRPr="00062B4F">
              <w:rPr>
                <w:bCs/>
                <w:szCs w:val="24"/>
                <w:lang w:eastAsia="ar-SA"/>
              </w:rPr>
              <w:noBreakHyphen/>
              <w:t>под реберной дуги)</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2E1A3F9" w14:textId="77777777" w:rsidR="00B8254B" w:rsidRPr="00062B4F" w:rsidRDefault="00B8254B" w:rsidP="009D2E3F">
            <w:pPr>
              <w:suppressAutoHyphens/>
              <w:spacing w:line="276" w:lineRule="auto"/>
              <w:ind w:firstLine="0"/>
              <w:rPr>
                <w:szCs w:val="24"/>
                <w:lang w:eastAsia="ar-SA"/>
              </w:rPr>
            </w:pPr>
            <w:r w:rsidRPr="00062B4F">
              <w:rPr>
                <w:szCs w:val="24"/>
                <w:lang w:eastAsia="ar-SA"/>
              </w:rPr>
              <w:t>0,0345 × (размер селезенки, см из-под реберной дуги – 7,51)</w:t>
            </w:r>
          </w:p>
        </w:tc>
        <w:tc>
          <w:tcPr>
            <w:tcW w:w="3118" w:type="dxa"/>
            <w:tcBorders>
              <w:top w:val="single" w:sz="4" w:space="0" w:color="000001"/>
              <w:left w:val="single" w:sz="4" w:space="0" w:color="000001"/>
              <w:bottom w:val="single" w:sz="4" w:space="0" w:color="000001"/>
              <w:right w:val="single" w:sz="4" w:space="0" w:color="000001"/>
            </w:tcBorders>
          </w:tcPr>
          <w:p w14:paraId="24E228B7" w14:textId="77777777" w:rsidR="00B8254B" w:rsidRPr="00062B4F" w:rsidRDefault="00B8254B" w:rsidP="00770C2E">
            <w:pPr>
              <w:suppressAutoHyphens/>
              <w:spacing w:line="276" w:lineRule="auto"/>
              <w:ind w:left="69" w:right="132" w:firstLine="0"/>
              <w:rPr>
                <w:szCs w:val="24"/>
                <w:lang w:eastAsia="ar-SA"/>
              </w:rPr>
            </w:pPr>
            <w:r w:rsidRPr="00062B4F">
              <w:rPr>
                <w:szCs w:val="24"/>
                <w:lang w:eastAsia="ar-SA"/>
              </w:rPr>
              <w:t>0,0615 × (размер селезенки, см из-под реберной дуги)</w:t>
            </w:r>
          </w:p>
        </w:tc>
      </w:tr>
      <w:tr w:rsidR="00B8254B" w:rsidRPr="00062B4F" w14:paraId="311298F3" w14:textId="77777777" w:rsidTr="00351AF0">
        <w:trPr>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32B1B117" w14:textId="77777777" w:rsidR="00B8254B" w:rsidRPr="00062B4F" w:rsidRDefault="00B8254B" w:rsidP="006A4AB4">
            <w:pPr>
              <w:suppressAutoHyphens/>
              <w:spacing w:line="276" w:lineRule="auto"/>
              <w:ind w:firstLine="0"/>
              <w:rPr>
                <w:szCs w:val="24"/>
                <w:lang w:eastAsia="ar-SA"/>
              </w:rPr>
            </w:pPr>
            <w:r w:rsidRPr="00062B4F">
              <w:rPr>
                <w:bCs/>
                <w:szCs w:val="24"/>
                <w:lang w:eastAsia="ar-SA"/>
              </w:rPr>
              <w:t>Тромбоциты (х 10</w:t>
            </w:r>
            <w:r w:rsidRPr="00062B4F">
              <w:rPr>
                <w:bCs/>
                <w:szCs w:val="24"/>
                <w:vertAlign w:val="superscript"/>
                <w:lang w:eastAsia="ar-SA"/>
              </w:rPr>
              <w:t>9</w:t>
            </w:r>
            <w:r w:rsidRPr="00062B4F">
              <w:rPr>
                <w:bCs/>
                <w:szCs w:val="24"/>
                <w:lang w:eastAsia="ar-SA"/>
              </w:rPr>
              <w:t>/л)</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5E3930C" w14:textId="77777777" w:rsidR="00B8254B" w:rsidRPr="00062B4F" w:rsidRDefault="00B8254B" w:rsidP="009D2E3F">
            <w:pPr>
              <w:suppressAutoHyphens/>
              <w:spacing w:line="276" w:lineRule="auto"/>
              <w:ind w:firstLine="0"/>
              <w:rPr>
                <w:szCs w:val="24"/>
                <w:lang w:eastAsia="ar-SA"/>
              </w:rPr>
            </w:pPr>
            <w:r w:rsidRPr="00062B4F">
              <w:rPr>
                <w:szCs w:val="24"/>
                <w:lang w:eastAsia="ar-SA"/>
              </w:rPr>
              <w:t>0,188 × [((число тромбоцитов × 10</w:t>
            </w:r>
            <w:r w:rsidRPr="00062B4F">
              <w:rPr>
                <w:szCs w:val="24"/>
                <w:vertAlign w:val="superscript"/>
                <w:lang w:eastAsia="ar-SA"/>
              </w:rPr>
              <w:t>9</w:t>
            </w:r>
            <w:r w:rsidRPr="00062B4F">
              <w:rPr>
                <w:szCs w:val="24"/>
                <w:lang w:eastAsia="ar-SA"/>
              </w:rPr>
              <w:t>/л) /700)</w:t>
            </w:r>
            <w:r w:rsidRPr="00062B4F">
              <w:rPr>
                <w:szCs w:val="24"/>
                <w:vertAlign w:val="superscript"/>
                <w:lang w:eastAsia="ar-SA"/>
              </w:rPr>
              <w:t xml:space="preserve">2 </w:t>
            </w:r>
            <w:r w:rsidRPr="00062B4F">
              <w:rPr>
                <w:szCs w:val="24"/>
                <w:lang w:eastAsia="ar-SA"/>
              </w:rPr>
              <w:t>– 0,563]</w:t>
            </w:r>
          </w:p>
        </w:tc>
        <w:tc>
          <w:tcPr>
            <w:tcW w:w="3118" w:type="dxa"/>
            <w:tcBorders>
              <w:top w:val="single" w:sz="4" w:space="0" w:color="000001"/>
              <w:left w:val="single" w:sz="4" w:space="0" w:color="000001"/>
              <w:bottom w:val="single" w:sz="4" w:space="0" w:color="000001"/>
              <w:right w:val="single" w:sz="4" w:space="0" w:color="000001"/>
            </w:tcBorders>
          </w:tcPr>
          <w:p w14:paraId="5161D419" w14:textId="77777777" w:rsidR="00B8254B" w:rsidRPr="00062B4F" w:rsidRDefault="00B8254B" w:rsidP="00770C2E">
            <w:pPr>
              <w:suppressAutoHyphens/>
              <w:spacing w:line="276" w:lineRule="auto"/>
              <w:ind w:left="69" w:right="132" w:firstLine="0"/>
              <w:rPr>
                <w:szCs w:val="24"/>
                <w:lang w:eastAsia="ar-SA"/>
              </w:rPr>
            </w:pPr>
            <w:r w:rsidRPr="00062B4F">
              <w:rPr>
                <w:spacing w:val="-4"/>
                <w:szCs w:val="24"/>
                <w:lang w:eastAsia="ar-SA"/>
              </w:rPr>
              <w:t>0,4104 × (число тромбоцитов × 10</w:t>
            </w:r>
            <w:r w:rsidRPr="00062B4F">
              <w:rPr>
                <w:spacing w:val="-4"/>
                <w:szCs w:val="24"/>
                <w:vertAlign w:val="superscript"/>
                <w:lang w:eastAsia="ar-SA"/>
              </w:rPr>
              <w:t>9</w:t>
            </w:r>
            <w:r w:rsidRPr="00062B4F">
              <w:rPr>
                <w:spacing w:val="-4"/>
                <w:szCs w:val="24"/>
                <w:lang w:eastAsia="ar-SA"/>
              </w:rPr>
              <w:t>/л) /1000</w:t>
            </w:r>
            <w:r w:rsidRPr="00062B4F">
              <w:rPr>
                <w:spacing w:val="-4"/>
                <w:szCs w:val="24"/>
                <w:vertAlign w:val="superscript"/>
                <w:lang w:eastAsia="ar-SA"/>
              </w:rPr>
              <w:t>–0,5</w:t>
            </w:r>
          </w:p>
        </w:tc>
      </w:tr>
      <w:tr w:rsidR="00B8254B" w:rsidRPr="00062B4F" w14:paraId="0E139152" w14:textId="77777777" w:rsidTr="00351AF0">
        <w:trPr>
          <w:trHeight w:val="827"/>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31828243" w14:textId="77777777" w:rsidR="00B8254B" w:rsidRPr="00062B4F" w:rsidRDefault="00B8254B" w:rsidP="009D2E3F">
            <w:pPr>
              <w:suppressAutoHyphens/>
              <w:spacing w:line="276" w:lineRule="auto"/>
              <w:ind w:firstLine="0"/>
              <w:rPr>
                <w:szCs w:val="24"/>
                <w:lang w:eastAsia="ar-SA"/>
              </w:rPr>
            </w:pPr>
            <w:proofErr w:type="spellStart"/>
            <w:proofErr w:type="gramStart"/>
            <w:r w:rsidRPr="00062B4F">
              <w:rPr>
                <w:bCs/>
                <w:szCs w:val="24"/>
                <w:lang w:eastAsia="ar-SA"/>
              </w:rPr>
              <w:t>Бласты</w:t>
            </w:r>
            <w:proofErr w:type="spellEnd"/>
            <w:r w:rsidRPr="00062B4F">
              <w:rPr>
                <w:bCs/>
                <w:szCs w:val="24"/>
                <w:lang w:eastAsia="ar-SA"/>
              </w:rPr>
              <w:br/>
              <w:t>(</w:t>
            </w:r>
            <w:proofErr w:type="gramEnd"/>
            <w:r w:rsidRPr="00062B4F">
              <w:rPr>
                <w:bCs/>
                <w:szCs w:val="24"/>
                <w:lang w:eastAsia="ar-SA"/>
              </w:rPr>
              <w:t>костного мозга)</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6CC11F6" w14:textId="77777777" w:rsidR="00B8254B" w:rsidRPr="00062B4F" w:rsidRDefault="00B8254B" w:rsidP="009D2E3F">
            <w:pPr>
              <w:suppressAutoHyphens/>
              <w:spacing w:line="276" w:lineRule="auto"/>
              <w:ind w:firstLine="0"/>
              <w:rPr>
                <w:szCs w:val="24"/>
                <w:lang w:eastAsia="ar-SA"/>
              </w:rPr>
            </w:pPr>
            <w:r w:rsidRPr="00062B4F">
              <w:rPr>
                <w:szCs w:val="24"/>
                <w:lang w:eastAsia="ar-SA"/>
              </w:rPr>
              <w:t xml:space="preserve">0,0887 × (% </w:t>
            </w:r>
            <w:proofErr w:type="spellStart"/>
            <w:r w:rsidRPr="00062B4F">
              <w:rPr>
                <w:szCs w:val="24"/>
                <w:lang w:eastAsia="ar-SA"/>
              </w:rPr>
              <w:t>бластов</w:t>
            </w:r>
            <w:proofErr w:type="spellEnd"/>
            <w:r w:rsidRPr="00062B4F">
              <w:rPr>
                <w:szCs w:val="24"/>
                <w:lang w:eastAsia="ar-SA"/>
              </w:rPr>
              <w:t xml:space="preserve"> – 2,10)</w:t>
            </w:r>
          </w:p>
        </w:tc>
        <w:tc>
          <w:tcPr>
            <w:tcW w:w="3118" w:type="dxa"/>
            <w:tcBorders>
              <w:top w:val="single" w:sz="4" w:space="0" w:color="000001"/>
              <w:left w:val="single" w:sz="4" w:space="0" w:color="000001"/>
              <w:bottom w:val="single" w:sz="4" w:space="0" w:color="000001"/>
              <w:right w:val="single" w:sz="4" w:space="0" w:color="000001"/>
            </w:tcBorders>
          </w:tcPr>
          <w:p w14:paraId="01DCC8E4" w14:textId="77777777" w:rsidR="00B8254B" w:rsidRPr="00062B4F" w:rsidRDefault="00B8254B" w:rsidP="00F85658">
            <w:pPr>
              <w:suppressAutoHyphens/>
              <w:spacing w:line="276" w:lineRule="auto"/>
              <w:ind w:right="132" w:firstLine="69"/>
              <w:rPr>
                <w:szCs w:val="24"/>
                <w:lang w:eastAsia="ar-SA"/>
              </w:rPr>
            </w:pPr>
            <w:r w:rsidRPr="00062B4F">
              <w:rPr>
                <w:szCs w:val="24"/>
                <w:lang w:eastAsia="ar-SA"/>
              </w:rPr>
              <w:t xml:space="preserve">0,1052 × (% </w:t>
            </w:r>
            <w:proofErr w:type="spellStart"/>
            <w:r w:rsidRPr="00062B4F">
              <w:rPr>
                <w:szCs w:val="24"/>
                <w:lang w:eastAsia="ar-SA"/>
              </w:rPr>
              <w:t>бластов</w:t>
            </w:r>
            <w:proofErr w:type="spellEnd"/>
            <w:r w:rsidRPr="00062B4F">
              <w:rPr>
                <w:szCs w:val="24"/>
                <w:lang w:eastAsia="ar-SA"/>
              </w:rPr>
              <w:t>)</w:t>
            </w:r>
          </w:p>
        </w:tc>
      </w:tr>
      <w:tr w:rsidR="00B8254B" w:rsidRPr="00062B4F" w14:paraId="69EECEB3" w14:textId="77777777" w:rsidTr="00351AF0">
        <w:trPr>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138B2E5D" w14:textId="77777777" w:rsidR="00B8254B" w:rsidRPr="00062B4F" w:rsidRDefault="00B8254B" w:rsidP="009D2E3F">
            <w:pPr>
              <w:suppressAutoHyphens/>
              <w:spacing w:line="276" w:lineRule="auto"/>
              <w:ind w:firstLine="0"/>
              <w:rPr>
                <w:szCs w:val="24"/>
                <w:lang w:eastAsia="ar-SA"/>
              </w:rPr>
            </w:pPr>
            <w:r w:rsidRPr="00062B4F">
              <w:rPr>
                <w:bCs/>
                <w:szCs w:val="24"/>
                <w:lang w:eastAsia="ar-SA"/>
              </w:rPr>
              <w:t>Индекс относительного риска</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D7E63E6" w14:textId="77777777" w:rsidR="00B8254B" w:rsidRPr="00062B4F" w:rsidRDefault="00B8254B" w:rsidP="009D2E3F">
            <w:pPr>
              <w:suppressAutoHyphens/>
              <w:spacing w:line="276" w:lineRule="auto"/>
              <w:ind w:firstLine="0"/>
              <w:rPr>
                <w:szCs w:val="24"/>
                <w:lang w:eastAsia="ar-SA"/>
              </w:rPr>
            </w:pPr>
            <w:r w:rsidRPr="00062B4F">
              <w:rPr>
                <w:szCs w:val="24"/>
                <w:lang w:eastAsia="ar-SA"/>
              </w:rPr>
              <w:t>Экспонента суммы</w:t>
            </w:r>
            <w:r w:rsidRPr="00062B4F">
              <w:rPr>
                <w:szCs w:val="24"/>
                <w:vertAlign w:val="superscript"/>
                <w:lang w:eastAsia="ar-SA"/>
              </w:rPr>
              <w:t>1</w:t>
            </w:r>
          </w:p>
        </w:tc>
        <w:tc>
          <w:tcPr>
            <w:tcW w:w="3118" w:type="dxa"/>
            <w:tcBorders>
              <w:top w:val="single" w:sz="4" w:space="0" w:color="000001"/>
              <w:left w:val="single" w:sz="4" w:space="0" w:color="000001"/>
              <w:bottom w:val="single" w:sz="4" w:space="0" w:color="000001"/>
              <w:right w:val="single" w:sz="4" w:space="0" w:color="000001"/>
            </w:tcBorders>
          </w:tcPr>
          <w:p w14:paraId="18FAD5F5" w14:textId="77777777" w:rsidR="00B8254B" w:rsidRPr="00062B4F" w:rsidRDefault="00B8254B" w:rsidP="00F85658">
            <w:pPr>
              <w:suppressAutoHyphens/>
              <w:spacing w:line="276" w:lineRule="auto"/>
              <w:ind w:right="132" w:firstLine="69"/>
              <w:rPr>
                <w:szCs w:val="24"/>
                <w:lang w:eastAsia="ar-SA"/>
              </w:rPr>
            </w:pPr>
            <w:r w:rsidRPr="00062B4F">
              <w:rPr>
                <w:szCs w:val="24"/>
                <w:lang w:eastAsia="ar-SA"/>
              </w:rPr>
              <w:t>Сумма</w:t>
            </w:r>
            <w:r w:rsidRPr="00062B4F">
              <w:rPr>
                <w:szCs w:val="24"/>
                <w:vertAlign w:val="superscript"/>
                <w:lang w:eastAsia="ar-SA"/>
              </w:rPr>
              <w:t>2</w:t>
            </w:r>
          </w:p>
        </w:tc>
      </w:tr>
      <w:tr w:rsidR="0024573E" w:rsidRPr="00062B4F" w14:paraId="25B37AC1" w14:textId="77777777" w:rsidTr="00351AF0">
        <w:trPr>
          <w:jc w:val="center"/>
        </w:trPr>
        <w:tc>
          <w:tcPr>
            <w:tcW w:w="8500" w:type="dxa"/>
            <w:gridSpan w:val="3"/>
            <w:tcBorders>
              <w:top w:val="single" w:sz="4" w:space="0" w:color="000001"/>
              <w:bottom w:val="single" w:sz="4" w:space="0" w:color="000001"/>
              <w:right w:val="single" w:sz="4" w:space="0" w:color="000001"/>
            </w:tcBorders>
            <w:tcMar>
              <w:top w:w="0" w:type="dxa"/>
              <w:left w:w="108" w:type="dxa"/>
              <w:bottom w:w="0" w:type="dxa"/>
              <w:right w:w="108" w:type="dxa"/>
            </w:tcMar>
          </w:tcPr>
          <w:p w14:paraId="62E27BC7" w14:textId="56F12D09" w:rsidR="0024573E" w:rsidRPr="00062B4F" w:rsidRDefault="0024573E" w:rsidP="00F85658">
            <w:pPr>
              <w:suppressAutoHyphens/>
              <w:spacing w:line="276" w:lineRule="auto"/>
              <w:ind w:right="132" w:firstLine="69"/>
              <w:rPr>
                <w:szCs w:val="24"/>
                <w:lang w:eastAsia="ar-SA"/>
              </w:rPr>
            </w:pPr>
            <w:r w:rsidRPr="00062B4F">
              <w:rPr>
                <w:b/>
                <w:bCs/>
                <w:i/>
                <w:szCs w:val="24"/>
                <w:lang w:eastAsia="ar-SA"/>
              </w:rPr>
              <w:t>Группы риска</w:t>
            </w:r>
          </w:p>
        </w:tc>
      </w:tr>
      <w:tr w:rsidR="00B8254B" w:rsidRPr="00062B4F" w14:paraId="2400CA0D" w14:textId="77777777" w:rsidTr="00351AF0">
        <w:trPr>
          <w:trHeight w:val="386"/>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7F01C5B8" w14:textId="5B37D653" w:rsidR="00B8254B" w:rsidRPr="00F60340" w:rsidRDefault="00B8254B" w:rsidP="00F60340">
            <w:pPr>
              <w:suppressAutoHyphens/>
              <w:spacing w:line="276" w:lineRule="auto"/>
              <w:ind w:firstLine="0"/>
              <w:rPr>
                <w:szCs w:val="24"/>
                <w:lang w:eastAsia="ar-SA"/>
              </w:rPr>
            </w:pPr>
            <w:r w:rsidRPr="00062B4F">
              <w:rPr>
                <w:bCs/>
                <w:szCs w:val="24"/>
                <w:lang w:eastAsia="ar-SA"/>
              </w:rPr>
              <w:lastRenderedPageBreak/>
              <w:t>Низк</w:t>
            </w:r>
            <w:r w:rsidR="00F60340" w:rsidRPr="00451837">
              <w:rPr>
                <w:bCs/>
                <w:szCs w:val="24"/>
                <w:lang w:eastAsia="ar-SA"/>
              </w:rPr>
              <w:t>ий</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20B17FD" w14:textId="77777777" w:rsidR="00B8254B" w:rsidRPr="00062B4F" w:rsidRDefault="00B8254B" w:rsidP="009D2E3F">
            <w:pPr>
              <w:suppressAutoHyphens/>
              <w:spacing w:line="276" w:lineRule="auto"/>
              <w:ind w:firstLine="0"/>
              <w:rPr>
                <w:szCs w:val="24"/>
                <w:lang w:eastAsia="ar-SA"/>
              </w:rPr>
            </w:pPr>
            <w:r w:rsidRPr="00062B4F">
              <w:rPr>
                <w:szCs w:val="24"/>
                <w:lang w:eastAsia="ar-SA"/>
              </w:rPr>
              <w:t>&lt;0,8</w:t>
            </w:r>
          </w:p>
        </w:tc>
        <w:tc>
          <w:tcPr>
            <w:tcW w:w="3118" w:type="dxa"/>
            <w:tcBorders>
              <w:top w:val="single" w:sz="4" w:space="0" w:color="000001"/>
              <w:left w:val="single" w:sz="4" w:space="0" w:color="000001"/>
              <w:bottom w:val="single" w:sz="4" w:space="0" w:color="000001"/>
              <w:right w:val="single" w:sz="4" w:space="0" w:color="000001"/>
            </w:tcBorders>
          </w:tcPr>
          <w:p w14:paraId="70E1DDA4" w14:textId="77777777" w:rsidR="00B8254B" w:rsidRPr="00062B4F" w:rsidRDefault="00B8254B" w:rsidP="006A4AB4">
            <w:pPr>
              <w:suppressAutoHyphens/>
              <w:spacing w:line="276" w:lineRule="auto"/>
              <w:ind w:right="132" w:firstLine="69"/>
              <w:rPr>
                <w:szCs w:val="24"/>
                <w:lang w:eastAsia="ar-SA"/>
              </w:rPr>
            </w:pPr>
            <w:r w:rsidRPr="00062B4F">
              <w:rPr>
                <w:szCs w:val="24"/>
                <w:lang w:eastAsia="ar-SA"/>
              </w:rPr>
              <w:t>≤1,5680</w:t>
            </w:r>
          </w:p>
        </w:tc>
      </w:tr>
      <w:tr w:rsidR="00B8254B" w:rsidRPr="00062B4F" w14:paraId="7EFEBAEB" w14:textId="77777777" w:rsidTr="00351AF0">
        <w:trPr>
          <w:trHeight w:val="433"/>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4D5416BC" w14:textId="35D3EF88" w:rsidR="00B8254B" w:rsidRPr="00062B4F" w:rsidRDefault="00B8254B" w:rsidP="00F60340">
            <w:pPr>
              <w:suppressAutoHyphens/>
              <w:spacing w:line="276" w:lineRule="auto"/>
              <w:ind w:firstLine="0"/>
              <w:rPr>
                <w:szCs w:val="24"/>
                <w:lang w:eastAsia="ar-SA"/>
              </w:rPr>
            </w:pPr>
            <w:r w:rsidRPr="00062B4F">
              <w:rPr>
                <w:bCs/>
                <w:szCs w:val="24"/>
                <w:lang w:eastAsia="ar-SA"/>
              </w:rPr>
              <w:t>Промежуточн</w:t>
            </w:r>
            <w:r w:rsidR="00F60340">
              <w:rPr>
                <w:bCs/>
                <w:szCs w:val="24"/>
                <w:lang w:eastAsia="ar-SA"/>
              </w:rPr>
              <w:t>ый</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DF9051D" w14:textId="77777777" w:rsidR="00B8254B" w:rsidRPr="00062B4F" w:rsidRDefault="00B8254B" w:rsidP="009D2E3F">
            <w:pPr>
              <w:suppressAutoHyphens/>
              <w:spacing w:line="276" w:lineRule="auto"/>
              <w:ind w:firstLine="0"/>
              <w:rPr>
                <w:szCs w:val="24"/>
                <w:lang w:eastAsia="ar-SA"/>
              </w:rPr>
            </w:pPr>
            <w:r w:rsidRPr="00062B4F">
              <w:rPr>
                <w:szCs w:val="24"/>
                <w:lang w:eastAsia="ar-SA"/>
              </w:rPr>
              <w:t>0,8–1,2</w:t>
            </w:r>
          </w:p>
        </w:tc>
        <w:tc>
          <w:tcPr>
            <w:tcW w:w="3118" w:type="dxa"/>
            <w:tcBorders>
              <w:top w:val="single" w:sz="4" w:space="0" w:color="000001"/>
              <w:left w:val="single" w:sz="4" w:space="0" w:color="000001"/>
              <w:bottom w:val="single" w:sz="4" w:space="0" w:color="000001"/>
              <w:right w:val="single" w:sz="4" w:space="0" w:color="000001"/>
            </w:tcBorders>
          </w:tcPr>
          <w:p w14:paraId="251703EF" w14:textId="77777777" w:rsidR="00B8254B" w:rsidRPr="00062B4F" w:rsidRDefault="00B8254B" w:rsidP="006A4AB4">
            <w:pPr>
              <w:suppressAutoHyphens/>
              <w:spacing w:line="276" w:lineRule="auto"/>
              <w:ind w:right="132" w:firstLine="69"/>
              <w:rPr>
                <w:szCs w:val="24"/>
                <w:lang w:eastAsia="ar-SA"/>
              </w:rPr>
            </w:pPr>
            <w:r w:rsidRPr="00062B4F">
              <w:rPr>
                <w:szCs w:val="24"/>
                <w:lang w:eastAsia="ar-SA"/>
              </w:rPr>
              <w:t xml:space="preserve">&gt;1,5680, но ≤2,2185 </w:t>
            </w:r>
          </w:p>
        </w:tc>
      </w:tr>
      <w:tr w:rsidR="00B8254B" w:rsidRPr="00062B4F" w14:paraId="5D0691CE" w14:textId="77777777" w:rsidTr="00351AF0">
        <w:trPr>
          <w:trHeight w:val="411"/>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0D55B413" w14:textId="718D8F81" w:rsidR="00B8254B" w:rsidRPr="00062B4F" w:rsidRDefault="00B8254B" w:rsidP="00F60340">
            <w:pPr>
              <w:suppressAutoHyphens/>
              <w:spacing w:line="276" w:lineRule="auto"/>
              <w:ind w:firstLine="0"/>
              <w:rPr>
                <w:szCs w:val="24"/>
                <w:lang w:eastAsia="ar-SA"/>
              </w:rPr>
            </w:pPr>
            <w:r w:rsidRPr="00062B4F">
              <w:rPr>
                <w:bCs/>
                <w:szCs w:val="24"/>
                <w:lang w:eastAsia="ar-SA"/>
              </w:rPr>
              <w:t>Высок</w:t>
            </w:r>
            <w:r w:rsidR="00F60340">
              <w:rPr>
                <w:bCs/>
                <w:szCs w:val="24"/>
                <w:lang w:eastAsia="ar-SA"/>
              </w:rPr>
              <w:t>ий</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BE9E331" w14:textId="77777777" w:rsidR="00B8254B" w:rsidRPr="00062B4F" w:rsidRDefault="00B8254B" w:rsidP="009D2E3F">
            <w:pPr>
              <w:suppressAutoHyphens/>
              <w:spacing w:line="276" w:lineRule="auto"/>
              <w:ind w:firstLine="0"/>
              <w:rPr>
                <w:szCs w:val="24"/>
                <w:lang w:eastAsia="ar-SA"/>
              </w:rPr>
            </w:pPr>
            <w:r w:rsidRPr="00062B4F">
              <w:rPr>
                <w:szCs w:val="24"/>
                <w:lang w:eastAsia="ar-SA"/>
              </w:rPr>
              <w:t>&gt;1,2</w:t>
            </w:r>
          </w:p>
        </w:tc>
        <w:tc>
          <w:tcPr>
            <w:tcW w:w="3118" w:type="dxa"/>
            <w:tcBorders>
              <w:top w:val="single" w:sz="4" w:space="0" w:color="000001"/>
              <w:left w:val="single" w:sz="4" w:space="0" w:color="000001"/>
              <w:bottom w:val="single" w:sz="4" w:space="0" w:color="000001"/>
              <w:right w:val="single" w:sz="4" w:space="0" w:color="000001"/>
            </w:tcBorders>
          </w:tcPr>
          <w:p w14:paraId="73F01946" w14:textId="77777777" w:rsidR="00B8254B" w:rsidRPr="00062B4F" w:rsidRDefault="00B8254B" w:rsidP="006A4AB4">
            <w:pPr>
              <w:suppressAutoHyphens/>
              <w:spacing w:line="276" w:lineRule="auto"/>
              <w:ind w:right="132" w:firstLine="69"/>
              <w:rPr>
                <w:szCs w:val="24"/>
                <w:lang w:eastAsia="ar-SA"/>
              </w:rPr>
            </w:pPr>
            <w:r w:rsidRPr="00062B4F">
              <w:rPr>
                <w:szCs w:val="24"/>
                <w:lang w:eastAsia="ar-SA"/>
              </w:rPr>
              <w:t>&gt;2,218</w:t>
            </w:r>
          </w:p>
        </w:tc>
      </w:tr>
    </w:tbl>
    <w:p w14:paraId="601483F2" w14:textId="77777777" w:rsidR="000C7098" w:rsidRPr="00062B4F" w:rsidRDefault="000C7098" w:rsidP="00951C5C">
      <w:pPr>
        <w:suppressAutoHyphens/>
        <w:spacing w:line="288" w:lineRule="auto"/>
        <w:ind w:firstLine="708"/>
        <w:rPr>
          <w:sz w:val="22"/>
          <w:szCs w:val="28"/>
          <w:lang w:eastAsia="ar-SA"/>
        </w:rPr>
      </w:pPr>
      <w:r w:rsidRPr="00062B4F">
        <w:rPr>
          <w:sz w:val="22"/>
          <w:szCs w:val="28"/>
          <w:lang w:eastAsia="ar-SA"/>
        </w:rPr>
        <w:t>*Автоматический подсчет доступен на сайтах: http://bloodref.com/myeloid/cml/sokal-hasford и http://www.leukemia-net.org/content/leukemias/cml/elts_score/index_eng.html</w:t>
      </w:r>
    </w:p>
    <w:p w14:paraId="4407F1E6" w14:textId="77777777" w:rsidR="000C7098" w:rsidRPr="00062B4F" w:rsidRDefault="000C7098" w:rsidP="00951C5C">
      <w:pPr>
        <w:suppressAutoHyphens/>
        <w:spacing w:after="120" w:line="288" w:lineRule="auto"/>
        <w:rPr>
          <w:sz w:val="22"/>
          <w:szCs w:val="28"/>
          <w:vertAlign w:val="superscript"/>
          <w:lang w:eastAsia="ar-SA"/>
        </w:rPr>
      </w:pPr>
    </w:p>
    <w:p w14:paraId="7FD7CD02" w14:textId="77777777" w:rsidR="000C7098" w:rsidRPr="00062B4F" w:rsidRDefault="000C7098" w:rsidP="00951C5C">
      <w:pPr>
        <w:suppressAutoHyphens/>
        <w:spacing w:before="120" w:after="120"/>
        <w:ind w:firstLine="0"/>
        <w:outlineLvl w:val="1"/>
        <w:rPr>
          <w:b/>
          <w:szCs w:val="24"/>
          <w:u w:val="single"/>
        </w:rPr>
      </w:pPr>
      <w:bookmarkStart w:id="12" w:name="_Toc1378236"/>
      <w:bookmarkStart w:id="13" w:name="_Toc86133395"/>
      <w:r w:rsidRPr="00062B4F">
        <w:rPr>
          <w:b/>
          <w:szCs w:val="24"/>
          <w:u w:val="single"/>
        </w:rPr>
        <w:t xml:space="preserve">1.6. </w:t>
      </w:r>
      <w:bookmarkEnd w:id="12"/>
      <w:r w:rsidRPr="00062B4F">
        <w:rPr>
          <w:b/>
          <w:szCs w:val="24"/>
          <w:u w:val="single"/>
        </w:rPr>
        <w:t>Клиническая картина</w:t>
      </w:r>
      <w:r w:rsidR="00986580" w:rsidRPr="00062B4F">
        <w:rPr>
          <w:b/>
          <w:szCs w:val="24"/>
          <w:u w:val="single"/>
        </w:rPr>
        <w:t xml:space="preserve"> заболевания или состояния (группы заболеваний или состояний)</w:t>
      </w:r>
      <w:bookmarkEnd w:id="13"/>
    </w:p>
    <w:p w14:paraId="14E0B85F" w14:textId="77777777" w:rsidR="000C7098" w:rsidRPr="00062B4F" w:rsidRDefault="000C7098" w:rsidP="007C5249">
      <w:pPr>
        <w:rPr>
          <w:szCs w:val="24"/>
          <w:lang w:eastAsia="ru-RU"/>
        </w:rPr>
      </w:pPr>
      <w:r w:rsidRPr="00062B4F">
        <w:rPr>
          <w:szCs w:val="24"/>
          <w:lang w:eastAsia="ru-RU"/>
        </w:rPr>
        <w:t xml:space="preserve">Клиническая картина при ХМЛ в большинстве случаев может характеризоваться бессимптомным течением; начальный период болезни у большинства пациентов может протекать в течение ряда лет. Нередко признаки заболевания на момент установления диагноза представлены только изменениями в общем анализе крови (самыми частыми из которых являются лейкоцитоз, </w:t>
      </w:r>
      <w:proofErr w:type="spellStart"/>
      <w:r w:rsidRPr="00062B4F">
        <w:rPr>
          <w:szCs w:val="24"/>
          <w:lang w:eastAsia="ru-RU"/>
        </w:rPr>
        <w:t>миелоцитарный</w:t>
      </w:r>
      <w:proofErr w:type="spellEnd"/>
      <w:r w:rsidRPr="00062B4F">
        <w:rPr>
          <w:szCs w:val="24"/>
          <w:lang w:eastAsia="ru-RU"/>
        </w:rPr>
        <w:t xml:space="preserve"> сдвиг, базофильно-эозинофильная ассоциация) и </w:t>
      </w:r>
      <w:proofErr w:type="spellStart"/>
      <w:r w:rsidRPr="00062B4F">
        <w:rPr>
          <w:szCs w:val="24"/>
          <w:lang w:eastAsia="ru-RU"/>
        </w:rPr>
        <w:t>спленомегалией</w:t>
      </w:r>
      <w:proofErr w:type="spellEnd"/>
      <w:r w:rsidRPr="00062B4F">
        <w:rPr>
          <w:szCs w:val="24"/>
          <w:lang w:eastAsia="ru-RU"/>
        </w:rPr>
        <w:t xml:space="preserve">, которые могут обнаруживаться при проведении профилактического осмотра или обращении к врачу по поводу другой патологии </w:t>
      </w:r>
      <w:r w:rsidRPr="00062B4F">
        <w:rPr>
          <w:szCs w:val="24"/>
          <w:lang w:eastAsia="ru-RU"/>
        </w:rPr>
        <w:fldChar w:fldCharType="begin" w:fldLock="1"/>
      </w:r>
      <w:r w:rsidR="00C421C7" w:rsidRPr="00062B4F">
        <w:rPr>
          <w:szCs w:val="24"/>
          <w:lang w:eastAsia="ru-RU"/>
        </w:rPr>
        <w:instrText>ADDIN CSL_CITATION {"citationItems":[{"id":"ITEM-1","itemData":{"DOI":"10.1038/leu.2016.246","ISSN":"14765551","abstract":"The European Treatment and Outcome Study (EUTOS) population-based registry includes data of all adult patients newly diagnosed with Philadelphia chromosome-positive and/or BCR-ABL1+ chronic myeloid leukemia (CML) in 20 predefined countries and regions of Europe. Registration time ranged from 12 to 60 months between January 2008 and December 2013. Median age was 55 years and median observation time was 29 months. Eighty percent of patients were treated first line with imatinib, and 17% with a second-generation tyrosine kinase inhibitor, mostly according to European LeukemiaNet recommendations. After 12 months, complete cytogenetic remission (CCyR) and major molecular response (MMR) were achieved in 57% and 41% of patients, respectively. Patients with high EUTOS risk scores achieved CCyR and MMR significantly later than patients with low EUTOS risk. Probabilities of overall survival (OS) and progression-free survival for all patients at 12, 24 and 30 months was 97%, 94% and 92%, and 95%, 92% and 90%, respectively. The new EUTOS long-term survival score was validated: the OS of patients differed significantly between the three risk groups. The probability of dying in remission was 1% after 24 months. The current management of patients with tyrosine kinase inhibitors resulted in responses and outcomes in the range reported from clinical trials. These data from a large population-based, patient sample provide a solid benchmark for the evaluation of new treatment policies.","author":[{"dropping-particle":"","family":"Hoffmann","given":"V. S.","non-dropping-particle":"","parse-names":false,"suffix":""},{"dropping-particle":"","family":"Baccarani","given":"M.","non-dropping-particle":"","parse-names":false,"suffix":""},{"dropping-particle":"","family":"Hasford","given":"J.","non-dropping-particle":"","parse-names":false,"suffix":""},{"dropping-particle":"","family":"Castagnetti","given":"F.","non-dropping-particle":"","parse-names":false,"suffix":""},{"dropping-particle":"","family":"Raimondo","given":"F.","non-dropping-particle":"Di","parse-names":false,"suffix":""},{"dropping-particle":"","family":"Casado","given":"L. F.","non-dropping-particle":"","parse-names":false,"suffix":""},{"dropping-particle":"","family":"Turkina","given":"A.","non-dropping-particle":"","parse-names":false,"suffix":""},{"dropping-particle":"","family":"Zackova","given":"D.","non-dropping-particle":"","parse-names":false,"suffix":""},{"dropping-particle":"","family":"Ossenkoppele","given":"G.","non-dropping-particle":"","parse-names":false,"suffix":""},{"dropping-particle":"","family":"Zaritskey","given":"A.","non-dropping-particle":"","parse-names":false,"suffix":""},{"dropping-particle":"","family":"Höglund","given":"M.","non-dropping-particle":"","parse-names":false,"suffix":""},{"dropping-particle":"","family":"Simonsson","given":"B.","non-dropping-particle":"","parse-names":false,"suffix":""},{"dropping-particle":"","family":"Indrak","given":"K.","non-dropping-particle":"","parse-names":false,"suffix":""},{"dropping-particle":"","family":"Sninska","given":"Z.","non-dropping-particle":"","parse-names":false,"suffix":""},{"dropping-particle":"","family":"Sacha","given":"T.","non-dropping-particle":"","parse-names":false,"suffix":""},{"dropping-particle":"","family":"Clark","given":"R.","non-dropping-particle":"","parse-names":false,"suffix":""},{"dropping-particle":"","family":"Bogdanovic","given":"A.","non-dropping-particle":"","parse-names":false,"suffix":""},{"dropping-particle":"","family":"Hellmann","given":"A.","non-dropping-particle":"","parse-names":false,"suffix":""},{"dropping-particle":"","family":"Griskevicius","given":"L.","non-dropping-particle":"","parse-names":false,"suffix":""},{"dropping-particle":"","family":"Schubert-Fritschle","given":"G.","non-dropping-particle":"","parse-names":false,"suffix":""},{"dropping-particle":"","family":"Sertic","given":"D.","non-dropping-particle":"","parse-names":false,"suffix":""},{"dropping-particle":"","family":"Guilhot","given":"J.","non-dropping-particle":"","parse-names":false,"suffix":""},{"dropping-particle":"","family":"Lejniece","given":"S.","non-dropping-particle":"","parse-names":false,"suffix":""},{"dropping-particle":"","family":"Zupan","given":"I.","non-dropping-particle":"","parse-names":false,"suffix":""},{"dropping-particle":"","family":"Burgstaller","given":"S.","non-dropping-particle":"","parse-names":false,"suffix":""},{"dropping-particle":"","family":"Koskenvesa","given":"P.","non-dropping-particle":"","parse-names":false,"suffix":""},{"dropping-particle":"","family":"Everaus","given":"H.","non-dropping-particle":"","parse-names":false,"suffix":""},{"dropping-particle":"","family":"Costeas","given":"P.","non-dropping-particle":"","parse-names":false,"suffix":""},{"dropping-particle":"","family":"Lindoerfer","given":"D.","non-dropping-particle":"","parse-names":false,"suffix":""},{"dropping-particle":"","family":"Rosti","given":"G.","non-dropping-particle":"","parse-names":false,"suffix":""},{"dropping-particle":"","family":"Saussele","given":"S.","non-dropping-particle":"","parse-names":false,"suffix":""},{"dropping-particle":"","family":"Hochhaus","given":"A.","non-dropping-particle":"","parse-names":false,"suffix":""},{"dropping-particle":"","family":"Hehlmann","given":"R.","non-dropping-particle":"","parse-names":false,"suffix":""}],"container-title":"Leukemia","id":"ITEM-1","issue":"3","issued":{"date-parts":[["2017","3","1"]]},"page":"593-601","publisher":"Nature Publishing Group","title":"Treatment and outcome of 2904 CML patients from the EUTOS population-based registry","type":"article-journal","volume":"31"},"uris":["http://www.mendeley.com/documents/?uuid=e5fa6f49-5191-3298-ad58-a98b9fd8c23d"]}],"mendeley":{"formattedCitation":"[4]","plainTextFormattedCitation":"[4]","previouslyFormattedCitation":"[4]"},"properties":{"noteIndex":0},"schema":"https://github.com/citation-style-language/schema/raw/master/csl-citation.json"}</w:instrText>
      </w:r>
      <w:r w:rsidRPr="00062B4F">
        <w:rPr>
          <w:szCs w:val="24"/>
          <w:lang w:eastAsia="ru-RU"/>
        </w:rPr>
        <w:fldChar w:fldCharType="separate"/>
      </w:r>
      <w:r w:rsidR="00C421C7" w:rsidRPr="00062B4F">
        <w:rPr>
          <w:noProof/>
          <w:szCs w:val="24"/>
          <w:lang w:eastAsia="ru-RU"/>
        </w:rPr>
        <w:t>[4]</w:t>
      </w:r>
      <w:r w:rsidRPr="00062B4F">
        <w:rPr>
          <w:szCs w:val="24"/>
          <w:lang w:eastAsia="ru-RU"/>
        </w:rPr>
        <w:fldChar w:fldCharType="end"/>
      </w:r>
      <w:r w:rsidRPr="00062B4F">
        <w:rPr>
          <w:szCs w:val="24"/>
          <w:lang w:eastAsia="ru-RU"/>
        </w:rPr>
        <w:t>.</w:t>
      </w:r>
    </w:p>
    <w:p w14:paraId="0C0DC4B2" w14:textId="77777777" w:rsidR="000C7098" w:rsidRPr="00062B4F" w:rsidRDefault="000C7098" w:rsidP="007C5249">
      <w:pPr>
        <w:rPr>
          <w:szCs w:val="24"/>
          <w:lang w:eastAsia="ru-RU"/>
        </w:rPr>
      </w:pPr>
    </w:p>
    <w:p w14:paraId="073F8C47" w14:textId="77777777" w:rsidR="000C7098" w:rsidRPr="00062B4F" w:rsidRDefault="000C7098" w:rsidP="00E26138">
      <w:pPr>
        <w:pStyle w:val="afff2"/>
      </w:pPr>
      <w:bookmarkStart w:id="14" w:name="_Toc86133396"/>
      <w:r w:rsidRPr="00062B4F">
        <w:t>2.</w:t>
      </w:r>
      <w:r w:rsidRPr="00062B4F">
        <w:rPr>
          <w:szCs w:val="24"/>
        </w:rPr>
        <w:t xml:space="preserve"> </w:t>
      </w:r>
      <w:r w:rsidRPr="00062B4F">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14"/>
    </w:p>
    <w:p w14:paraId="2BF52855" w14:textId="77777777" w:rsidR="000C7098" w:rsidRPr="00062B4F" w:rsidRDefault="000C7098" w:rsidP="007C5249">
      <w:pPr>
        <w:rPr>
          <w:b/>
          <w:szCs w:val="24"/>
        </w:rPr>
      </w:pPr>
    </w:p>
    <w:p w14:paraId="7719029E" w14:textId="77777777" w:rsidR="000C7098" w:rsidRPr="00062B4F" w:rsidRDefault="000C7098" w:rsidP="009D2E3F">
      <w:pPr>
        <w:rPr>
          <w:i/>
          <w:iCs/>
          <w:szCs w:val="24"/>
        </w:rPr>
      </w:pPr>
      <w:r w:rsidRPr="00062B4F">
        <w:rPr>
          <w:i/>
          <w:iCs/>
          <w:szCs w:val="24"/>
        </w:rPr>
        <w:t>Многие рекомендованные методы диагностики заболевания и связанных с ним состояний имеют ограниченную доказательную базу (в соответствии с шкалами оценки УДД и УУР) по причине отсутствия посвященных им клинических исследований. Невзирая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15865B04" w14:textId="18F62BC0" w:rsidR="000C7098" w:rsidRPr="008C3169" w:rsidRDefault="000C7098" w:rsidP="009D2E3F">
      <w:pPr>
        <w:rPr>
          <w:i/>
          <w:iCs/>
          <w:szCs w:val="24"/>
        </w:rPr>
      </w:pPr>
      <w:r w:rsidRPr="00062B4F">
        <w:rPr>
          <w:i/>
          <w:iCs/>
          <w:szCs w:val="24"/>
        </w:rPr>
        <w:t xml:space="preserve">Диагноз ХМЛ может быть окончательно установлен только при выявлении специфической для данного заболевания генетической аномалии: </w:t>
      </w:r>
      <w:proofErr w:type="spellStart"/>
      <w:r w:rsidR="008C3169" w:rsidRPr="00AA5B71">
        <w:rPr>
          <w:i/>
          <w:iCs/>
          <w:szCs w:val="24"/>
        </w:rPr>
        <w:t>транслокации</w:t>
      </w:r>
      <w:proofErr w:type="spellEnd"/>
      <w:r w:rsidR="008C3169" w:rsidRPr="00AA5B71">
        <w:rPr>
          <w:i/>
          <w:iCs/>
          <w:szCs w:val="24"/>
        </w:rPr>
        <w:t xml:space="preserve"> t(9;</w:t>
      </w:r>
      <w:proofErr w:type="gramStart"/>
      <w:r w:rsidR="008C3169" w:rsidRPr="00AA5B71">
        <w:rPr>
          <w:i/>
          <w:iCs/>
          <w:szCs w:val="24"/>
        </w:rPr>
        <w:t>22)(</w:t>
      </w:r>
      <w:proofErr w:type="gramEnd"/>
      <w:r w:rsidR="008C3169" w:rsidRPr="00AA5B71">
        <w:rPr>
          <w:i/>
          <w:iCs/>
          <w:szCs w:val="24"/>
        </w:rPr>
        <w:t xml:space="preserve">q34;q11) методом СЦИ и/или </w:t>
      </w:r>
      <w:r w:rsidR="00242FD4" w:rsidRPr="00AA5B71">
        <w:rPr>
          <w:i/>
          <w:iCs/>
          <w:szCs w:val="24"/>
        </w:rPr>
        <w:t xml:space="preserve">химерного гена </w:t>
      </w:r>
      <w:r w:rsidR="00242FD4" w:rsidRPr="00AA5B71">
        <w:rPr>
          <w:i/>
          <w:szCs w:val="24"/>
          <w:lang w:eastAsia="ru-RU"/>
        </w:rPr>
        <w:t>BCR::ABL</w:t>
      </w:r>
      <w:r w:rsidR="00242FD4" w:rsidRPr="00AA5B71">
        <w:rPr>
          <w:i/>
          <w:iCs/>
          <w:szCs w:val="24"/>
          <w:lang w:eastAsia="ru-RU"/>
        </w:rPr>
        <w:t>1 метод</w:t>
      </w:r>
      <w:r w:rsidR="008C3169" w:rsidRPr="00AA5B71">
        <w:rPr>
          <w:i/>
          <w:iCs/>
          <w:szCs w:val="24"/>
          <w:lang w:eastAsia="ru-RU"/>
        </w:rPr>
        <w:t>ами</w:t>
      </w:r>
      <w:r w:rsidR="00242FD4" w:rsidRPr="00AA5B71">
        <w:rPr>
          <w:i/>
          <w:iCs/>
          <w:szCs w:val="24"/>
          <w:lang w:eastAsia="ru-RU"/>
        </w:rPr>
        <w:t xml:space="preserve"> ПЦР</w:t>
      </w:r>
      <w:r w:rsidR="00242FD4" w:rsidRPr="00AA5B71">
        <w:rPr>
          <w:i/>
          <w:iCs/>
          <w:szCs w:val="24"/>
        </w:rPr>
        <w:t xml:space="preserve"> или </w:t>
      </w:r>
      <w:r w:rsidR="008C3169" w:rsidRPr="00AA5B71">
        <w:rPr>
          <w:i/>
          <w:iCs/>
          <w:szCs w:val="24"/>
          <w:lang w:val="en-US"/>
        </w:rPr>
        <w:t>FISH</w:t>
      </w:r>
      <w:r w:rsidR="008C3169" w:rsidRPr="008C3169">
        <w:rPr>
          <w:i/>
          <w:iCs/>
          <w:szCs w:val="24"/>
        </w:rPr>
        <w:t>.</w:t>
      </w:r>
    </w:p>
    <w:p w14:paraId="5E5E666B" w14:textId="77777777" w:rsidR="000C7098" w:rsidRPr="00062B4F" w:rsidRDefault="000C7098" w:rsidP="00872CD9">
      <w:pPr>
        <w:suppressAutoHyphens/>
        <w:spacing w:before="240"/>
        <w:ind w:firstLine="0"/>
        <w:outlineLvl w:val="1"/>
        <w:rPr>
          <w:b/>
          <w:sz w:val="36"/>
          <w:szCs w:val="36"/>
          <w:u w:val="single"/>
        </w:rPr>
      </w:pPr>
      <w:bookmarkStart w:id="15" w:name="_Toc86133397"/>
      <w:r w:rsidRPr="00062B4F">
        <w:rPr>
          <w:b/>
          <w:szCs w:val="24"/>
          <w:u w:val="single"/>
        </w:rPr>
        <w:t>2.1. Жалобы и анамнез</w:t>
      </w:r>
      <w:bookmarkEnd w:id="15"/>
    </w:p>
    <w:p w14:paraId="668BF906" w14:textId="77777777" w:rsidR="000C7098" w:rsidRPr="00062B4F" w:rsidRDefault="000C7098" w:rsidP="00505FD7">
      <w:pPr>
        <w:numPr>
          <w:ilvl w:val="0"/>
          <w:numId w:val="18"/>
        </w:numPr>
        <w:rPr>
          <w:iCs/>
          <w:szCs w:val="24"/>
          <w:lang w:eastAsia="ru-RU"/>
        </w:rPr>
      </w:pPr>
      <w:r w:rsidRPr="00062B4F">
        <w:rPr>
          <w:b/>
          <w:bCs/>
          <w:iCs/>
          <w:szCs w:val="24"/>
          <w:lang w:eastAsia="ru-RU"/>
        </w:rPr>
        <w:t>Рекомендуется</w:t>
      </w:r>
      <w:r w:rsidRPr="00062B4F">
        <w:rPr>
          <w:iCs/>
          <w:szCs w:val="24"/>
          <w:lang w:eastAsia="ru-RU"/>
        </w:rPr>
        <w:t xml:space="preserve"> всем пациентам с подозрением или с установленным ХМЛ проводить сбор анамнеза жизни и жалоб для верификации диагноза</w:t>
      </w:r>
      <w:r w:rsidR="00C421C7" w:rsidRPr="00062B4F">
        <w:rPr>
          <w:iCs/>
          <w:szCs w:val="24"/>
          <w:lang w:eastAsia="ru-RU"/>
        </w:rPr>
        <w:t xml:space="preserve"> </w:t>
      </w:r>
      <w:r w:rsidR="00C421C7" w:rsidRPr="00062B4F">
        <w:rPr>
          <w:iCs/>
          <w:szCs w:val="24"/>
          <w:lang w:eastAsia="ru-RU"/>
        </w:rPr>
        <w:fldChar w:fldCharType="begin" w:fldLock="1"/>
      </w:r>
      <w:r w:rsidR="00C54289"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C421C7" w:rsidRPr="00062B4F">
        <w:rPr>
          <w:iCs/>
          <w:szCs w:val="24"/>
          <w:lang w:eastAsia="ru-RU"/>
        </w:rPr>
        <w:fldChar w:fldCharType="separate"/>
      </w:r>
      <w:r w:rsidR="00C54289" w:rsidRPr="00062B4F">
        <w:rPr>
          <w:iCs/>
          <w:noProof/>
          <w:szCs w:val="24"/>
          <w:lang w:eastAsia="ru-RU"/>
        </w:rPr>
        <w:t>[10]</w:t>
      </w:r>
      <w:r w:rsidR="00C421C7" w:rsidRPr="00062B4F">
        <w:rPr>
          <w:iCs/>
          <w:szCs w:val="24"/>
          <w:lang w:eastAsia="ru-RU"/>
        </w:rPr>
        <w:fldChar w:fldCharType="end"/>
      </w:r>
      <w:r w:rsidRPr="00062B4F">
        <w:rPr>
          <w:iCs/>
          <w:szCs w:val="24"/>
          <w:lang w:eastAsia="ru-RU"/>
        </w:rPr>
        <w:t xml:space="preserve"> </w:t>
      </w:r>
    </w:p>
    <w:p w14:paraId="22DD5970" w14:textId="77777777" w:rsidR="000C7098" w:rsidRPr="00062B4F" w:rsidRDefault="000C7098" w:rsidP="008E7654">
      <w:pPr>
        <w:ind w:left="709" w:firstLine="0"/>
        <w:rPr>
          <w:b/>
          <w:bCs/>
          <w:szCs w:val="24"/>
          <w:lang w:eastAsia="ru-RU"/>
        </w:rPr>
      </w:pPr>
      <w:r w:rsidRPr="00062B4F">
        <w:rPr>
          <w:b/>
          <w:bCs/>
          <w:szCs w:val="24"/>
          <w:lang w:eastAsia="ru-RU"/>
        </w:rPr>
        <w:lastRenderedPageBreak/>
        <w:t>Уровень убедительности рекомендаций</w:t>
      </w:r>
      <w:r w:rsidRPr="00062B4F" w:rsidDel="0045042C">
        <w:rPr>
          <w:b/>
          <w:bCs/>
          <w:szCs w:val="24"/>
          <w:lang w:eastAsia="ru-RU"/>
        </w:rPr>
        <w:t xml:space="preserve"> </w:t>
      </w:r>
      <w:r w:rsidRPr="00062B4F">
        <w:rPr>
          <w:b/>
          <w:bCs/>
          <w:szCs w:val="24"/>
          <w:lang w:eastAsia="ru-RU"/>
        </w:rPr>
        <w:t xml:space="preserve">– </w:t>
      </w:r>
      <w:r w:rsidRPr="00062B4F">
        <w:rPr>
          <w:b/>
          <w:bCs/>
          <w:szCs w:val="24"/>
          <w:lang w:val="en-US" w:eastAsia="ru-RU"/>
        </w:rPr>
        <w:t>C</w:t>
      </w:r>
      <w:r w:rsidRPr="00062B4F">
        <w:rPr>
          <w:b/>
          <w:bCs/>
          <w:szCs w:val="24"/>
          <w:lang w:eastAsia="ru-RU"/>
        </w:rPr>
        <w:t xml:space="preserve"> (уровень достоверности доказательств – 5).</w:t>
      </w:r>
    </w:p>
    <w:p w14:paraId="20BCD3A3" w14:textId="77777777" w:rsidR="000C7098" w:rsidRPr="00062B4F" w:rsidRDefault="000C7098" w:rsidP="009044C3">
      <w:pPr>
        <w:rPr>
          <w:i/>
          <w:iCs/>
          <w:szCs w:val="24"/>
          <w:lang w:eastAsia="ru-RU"/>
        </w:rPr>
      </w:pPr>
      <w:r w:rsidRPr="00062B4F">
        <w:rPr>
          <w:b/>
          <w:bCs/>
          <w:i/>
          <w:iCs/>
          <w:szCs w:val="24"/>
          <w:lang w:eastAsia="ru-RU"/>
        </w:rPr>
        <w:t>Комментарий:</w:t>
      </w:r>
      <w:r w:rsidRPr="00062B4F">
        <w:rPr>
          <w:i/>
          <w:iCs/>
          <w:szCs w:val="24"/>
          <w:lang w:eastAsia="ru-RU"/>
        </w:rPr>
        <w:t xml:space="preserve"> при сборе жалоб и анамнеза необходимо оценить:</w:t>
      </w:r>
    </w:p>
    <w:p w14:paraId="070FE5AA" w14:textId="77777777" w:rsidR="000C7098" w:rsidRPr="00062B4F" w:rsidRDefault="000C7098" w:rsidP="00505FD7">
      <w:pPr>
        <w:numPr>
          <w:ilvl w:val="0"/>
          <w:numId w:val="7"/>
        </w:numPr>
        <w:rPr>
          <w:i/>
          <w:iCs/>
          <w:szCs w:val="24"/>
          <w:lang w:eastAsia="ru-RU"/>
        </w:rPr>
      </w:pPr>
      <w:r w:rsidRPr="00062B4F">
        <w:rPr>
          <w:i/>
          <w:iCs/>
          <w:szCs w:val="24"/>
          <w:lang w:eastAsia="ru-RU"/>
        </w:rPr>
        <w:t>Синдром опухолевой интоксикации (слабость, снижение аппетита, потеря массы тела, потливость, субфебрильная температура).</w:t>
      </w:r>
    </w:p>
    <w:p w14:paraId="07EA6F3F" w14:textId="77777777" w:rsidR="000C7098" w:rsidRPr="00062B4F" w:rsidRDefault="000C7098" w:rsidP="00505FD7">
      <w:pPr>
        <w:numPr>
          <w:ilvl w:val="0"/>
          <w:numId w:val="7"/>
        </w:numPr>
        <w:rPr>
          <w:i/>
          <w:iCs/>
          <w:szCs w:val="24"/>
          <w:lang w:eastAsia="ru-RU"/>
        </w:rPr>
      </w:pPr>
      <w:r w:rsidRPr="00062B4F">
        <w:rPr>
          <w:i/>
          <w:iCs/>
          <w:szCs w:val="24"/>
          <w:lang w:eastAsia="ru-RU"/>
        </w:rPr>
        <w:t xml:space="preserve">Синдром опухолевой пролиферации (боль и чувство тяжести в подреберьях при гепато- и </w:t>
      </w:r>
      <w:proofErr w:type="spellStart"/>
      <w:r w:rsidRPr="00062B4F">
        <w:rPr>
          <w:i/>
          <w:iCs/>
          <w:szCs w:val="24"/>
          <w:lang w:eastAsia="ru-RU"/>
        </w:rPr>
        <w:t>спленомегалии</w:t>
      </w:r>
      <w:proofErr w:type="spellEnd"/>
      <w:r w:rsidRPr="00062B4F">
        <w:rPr>
          <w:i/>
          <w:iCs/>
          <w:szCs w:val="24"/>
          <w:lang w:eastAsia="ru-RU"/>
        </w:rPr>
        <w:t>).</w:t>
      </w:r>
    </w:p>
    <w:p w14:paraId="47BA781D" w14:textId="77777777" w:rsidR="000C7098" w:rsidRPr="00062B4F" w:rsidRDefault="000C7098" w:rsidP="00505FD7">
      <w:pPr>
        <w:numPr>
          <w:ilvl w:val="0"/>
          <w:numId w:val="7"/>
        </w:numPr>
        <w:rPr>
          <w:i/>
          <w:iCs/>
          <w:szCs w:val="24"/>
          <w:lang w:eastAsia="ru-RU"/>
        </w:rPr>
      </w:pPr>
      <w:r w:rsidRPr="00062B4F">
        <w:rPr>
          <w:i/>
          <w:iCs/>
          <w:szCs w:val="24"/>
          <w:lang w:eastAsia="ru-RU"/>
        </w:rPr>
        <w:t>Анемический синдром (общая слабость, одышка, снижение толерантности к физической нагрузке, бледность кожи и слизистых, тахикардия).</w:t>
      </w:r>
    </w:p>
    <w:p w14:paraId="579EBB2A" w14:textId="77777777" w:rsidR="000C7098" w:rsidRPr="00062B4F" w:rsidRDefault="000C7098" w:rsidP="00505FD7">
      <w:pPr>
        <w:numPr>
          <w:ilvl w:val="0"/>
          <w:numId w:val="7"/>
        </w:numPr>
        <w:rPr>
          <w:i/>
          <w:iCs/>
          <w:szCs w:val="24"/>
          <w:lang w:eastAsia="ru-RU"/>
        </w:rPr>
      </w:pPr>
      <w:r w:rsidRPr="00062B4F">
        <w:rPr>
          <w:i/>
          <w:iCs/>
          <w:szCs w:val="24"/>
          <w:lang w:eastAsia="ru-RU"/>
        </w:rPr>
        <w:t xml:space="preserve">Тромботические осложнения при </w:t>
      </w:r>
      <w:proofErr w:type="spellStart"/>
      <w:r w:rsidRPr="00062B4F">
        <w:rPr>
          <w:i/>
          <w:iCs/>
          <w:szCs w:val="24"/>
          <w:lang w:eastAsia="ru-RU"/>
        </w:rPr>
        <w:t>гипертромбоцитозе</w:t>
      </w:r>
      <w:proofErr w:type="spellEnd"/>
      <w:r w:rsidRPr="00062B4F">
        <w:rPr>
          <w:i/>
          <w:iCs/>
          <w:szCs w:val="24"/>
          <w:lang w:eastAsia="ru-RU"/>
        </w:rPr>
        <w:t>.</w:t>
      </w:r>
    </w:p>
    <w:p w14:paraId="11ABD243" w14:textId="77777777" w:rsidR="00423C0A" w:rsidRPr="00AA5B71" w:rsidRDefault="000C7098" w:rsidP="00423C0A">
      <w:pPr>
        <w:numPr>
          <w:ilvl w:val="0"/>
          <w:numId w:val="7"/>
        </w:numPr>
        <w:rPr>
          <w:i/>
          <w:iCs/>
          <w:szCs w:val="24"/>
          <w:lang w:eastAsia="ru-RU"/>
        </w:rPr>
      </w:pPr>
      <w:r w:rsidRPr="00062B4F">
        <w:rPr>
          <w:i/>
          <w:iCs/>
          <w:szCs w:val="24"/>
          <w:lang w:eastAsia="ru-RU"/>
        </w:rPr>
        <w:t>Геморрагический синдром, обусловленный тромбоцитопенией</w:t>
      </w:r>
      <w:r w:rsidR="00423C0A">
        <w:rPr>
          <w:i/>
          <w:iCs/>
          <w:szCs w:val="24"/>
          <w:lang w:eastAsia="ru-RU"/>
        </w:rPr>
        <w:t xml:space="preserve"> </w:t>
      </w:r>
      <w:r w:rsidR="00423C0A" w:rsidRPr="00AA5B71">
        <w:rPr>
          <w:i/>
          <w:iCs/>
          <w:szCs w:val="24"/>
          <w:lang w:eastAsia="ru-RU"/>
        </w:rPr>
        <w:t xml:space="preserve">или </w:t>
      </w:r>
      <w:proofErr w:type="spellStart"/>
      <w:r w:rsidR="00423C0A" w:rsidRPr="00AA5B71">
        <w:rPr>
          <w:i/>
          <w:iCs/>
          <w:szCs w:val="24"/>
          <w:lang w:eastAsia="ru-RU"/>
        </w:rPr>
        <w:t>гипертромбоцитозом</w:t>
      </w:r>
      <w:proofErr w:type="spellEnd"/>
      <w:r w:rsidR="00423C0A" w:rsidRPr="00AA5B71">
        <w:rPr>
          <w:i/>
          <w:iCs/>
          <w:szCs w:val="24"/>
          <w:lang w:eastAsia="ru-RU"/>
        </w:rPr>
        <w:t>.</w:t>
      </w:r>
    </w:p>
    <w:p w14:paraId="48B45A72" w14:textId="77777777" w:rsidR="000C7098" w:rsidRPr="00062B4F" w:rsidRDefault="000C7098" w:rsidP="00505FD7">
      <w:pPr>
        <w:numPr>
          <w:ilvl w:val="0"/>
          <w:numId w:val="7"/>
        </w:numPr>
        <w:rPr>
          <w:i/>
          <w:iCs/>
          <w:szCs w:val="24"/>
          <w:lang w:eastAsia="ru-RU"/>
        </w:rPr>
      </w:pPr>
      <w:r w:rsidRPr="00062B4F">
        <w:rPr>
          <w:i/>
          <w:iCs/>
          <w:szCs w:val="24"/>
          <w:lang w:eastAsia="ru-RU"/>
        </w:rPr>
        <w:t>Неврологическую симптоматику, в особенности при дебюте болезни с ФА или БК.</w:t>
      </w:r>
    </w:p>
    <w:p w14:paraId="49FE9677" w14:textId="77777777" w:rsidR="000C7098" w:rsidRPr="00062B4F" w:rsidRDefault="000C7098" w:rsidP="00505FD7">
      <w:pPr>
        <w:numPr>
          <w:ilvl w:val="0"/>
          <w:numId w:val="7"/>
        </w:numPr>
        <w:rPr>
          <w:i/>
          <w:iCs/>
          <w:szCs w:val="24"/>
          <w:lang w:eastAsia="ru-RU"/>
        </w:rPr>
      </w:pPr>
      <w:r w:rsidRPr="00062B4F">
        <w:rPr>
          <w:i/>
          <w:iCs/>
          <w:szCs w:val="24"/>
          <w:lang w:eastAsia="ru-RU"/>
        </w:rPr>
        <w:t>Сопутствующие заболевания.</w:t>
      </w:r>
    </w:p>
    <w:p w14:paraId="46DF1EE8" w14:textId="77777777" w:rsidR="000C7098" w:rsidRPr="00062B4F" w:rsidRDefault="000C7098" w:rsidP="00505FD7">
      <w:pPr>
        <w:numPr>
          <w:ilvl w:val="0"/>
          <w:numId w:val="7"/>
        </w:numPr>
        <w:rPr>
          <w:i/>
          <w:iCs/>
          <w:szCs w:val="24"/>
          <w:lang w:eastAsia="ru-RU"/>
        </w:rPr>
      </w:pPr>
      <w:r w:rsidRPr="00062B4F">
        <w:rPr>
          <w:i/>
          <w:iCs/>
          <w:szCs w:val="24"/>
          <w:lang w:eastAsia="ru-RU"/>
        </w:rPr>
        <w:t>Сопутствующую терапию.</w:t>
      </w:r>
    </w:p>
    <w:p w14:paraId="78B195A6" w14:textId="77777777" w:rsidR="000C7098" w:rsidRPr="00062B4F" w:rsidRDefault="000C7098" w:rsidP="00505FD7">
      <w:pPr>
        <w:numPr>
          <w:ilvl w:val="0"/>
          <w:numId w:val="7"/>
        </w:numPr>
        <w:rPr>
          <w:i/>
          <w:iCs/>
          <w:szCs w:val="24"/>
          <w:lang w:eastAsia="ru-RU"/>
        </w:rPr>
      </w:pPr>
      <w:r w:rsidRPr="00062B4F">
        <w:rPr>
          <w:i/>
          <w:iCs/>
          <w:szCs w:val="24"/>
          <w:lang w:eastAsia="ru-RU"/>
        </w:rPr>
        <w:t xml:space="preserve">Наличие </w:t>
      </w:r>
      <w:proofErr w:type="spellStart"/>
      <w:r w:rsidRPr="00062B4F">
        <w:rPr>
          <w:i/>
          <w:iCs/>
          <w:szCs w:val="24"/>
          <w:lang w:eastAsia="ru-RU"/>
        </w:rPr>
        <w:t>сиблингов</w:t>
      </w:r>
      <w:proofErr w:type="spellEnd"/>
      <w:r w:rsidRPr="00062B4F">
        <w:rPr>
          <w:i/>
          <w:iCs/>
          <w:szCs w:val="24"/>
          <w:lang w:eastAsia="ru-RU"/>
        </w:rPr>
        <w:t xml:space="preserve"> (для оценки возможностей по выполнению </w:t>
      </w:r>
      <w:proofErr w:type="spellStart"/>
      <w:r w:rsidRPr="00062B4F">
        <w:rPr>
          <w:i/>
          <w:iCs/>
          <w:szCs w:val="24"/>
          <w:lang w:eastAsia="ru-RU"/>
        </w:rPr>
        <w:t>аллоТГСК</w:t>
      </w:r>
      <w:proofErr w:type="spellEnd"/>
      <w:r w:rsidRPr="00062B4F">
        <w:rPr>
          <w:i/>
          <w:iCs/>
          <w:szCs w:val="24"/>
          <w:lang w:eastAsia="ru-RU"/>
        </w:rPr>
        <w:t>).</w:t>
      </w:r>
    </w:p>
    <w:p w14:paraId="4FC70CAC" w14:textId="1D8EFBCF" w:rsidR="00824CD5" w:rsidRPr="00062B4F" w:rsidRDefault="00824CD5" w:rsidP="00872CD9">
      <w:pPr>
        <w:rPr>
          <w:i/>
          <w:iCs/>
          <w:szCs w:val="24"/>
          <w:lang w:eastAsia="ru-RU"/>
        </w:rPr>
      </w:pPr>
      <w:r w:rsidRPr="00062B4F">
        <w:rPr>
          <w:i/>
          <w:iCs/>
          <w:szCs w:val="24"/>
          <w:lang w:eastAsia="ru-RU"/>
        </w:rPr>
        <w:t>Общее состояние пациента должно оцениваться по шкал</w:t>
      </w:r>
      <w:r w:rsidR="00EB1806">
        <w:rPr>
          <w:i/>
          <w:iCs/>
          <w:szCs w:val="24"/>
          <w:lang w:eastAsia="ru-RU"/>
        </w:rPr>
        <w:t>е</w:t>
      </w:r>
      <w:r w:rsidRPr="00062B4F">
        <w:rPr>
          <w:i/>
          <w:iCs/>
          <w:szCs w:val="24"/>
          <w:lang w:eastAsia="ru-RU"/>
        </w:rPr>
        <w:t xml:space="preserve"> оценки – ВОЗ/</w:t>
      </w:r>
      <w:r w:rsidRPr="00062B4F">
        <w:rPr>
          <w:i/>
          <w:iCs/>
          <w:szCs w:val="24"/>
          <w:lang w:val="en-US" w:eastAsia="ru-RU"/>
        </w:rPr>
        <w:t>ECOG</w:t>
      </w:r>
      <w:r w:rsidRPr="00062B4F">
        <w:rPr>
          <w:i/>
          <w:iCs/>
          <w:szCs w:val="24"/>
          <w:lang w:eastAsia="ru-RU"/>
        </w:rPr>
        <w:t xml:space="preserve"> (см. приложения Г</w:t>
      </w:r>
      <w:proofErr w:type="gramStart"/>
      <w:r w:rsidRPr="00062B4F">
        <w:rPr>
          <w:i/>
          <w:iCs/>
          <w:szCs w:val="24"/>
          <w:lang w:eastAsia="ru-RU"/>
        </w:rPr>
        <w:t>1  данных</w:t>
      </w:r>
      <w:proofErr w:type="gramEnd"/>
      <w:r w:rsidRPr="00062B4F">
        <w:rPr>
          <w:i/>
          <w:iCs/>
          <w:szCs w:val="24"/>
          <w:lang w:eastAsia="ru-RU"/>
        </w:rPr>
        <w:t xml:space="preserve"> рекомендаций).</w:t>
      </w:r>
    </w:p>
    <w:p w14:paraId="223DF6A2" w14:textId="01356629" w:rsidR="000C7098" w:rsidRPr="00062B4F" w:rsidRDefault="000C7098" w:rsidP="00872CD9">
      <w:pPr>
        <w:rPr>
          <w:i/>
          <w:iCs/>
          <w:szCs w:val="24"/>
          <w:lang w:eastAsia="ru-RU"/>
        </w:rPr>
      </w:pPr>
      <w:r w:rsidRPr="00062B4F">
        <w:rPr>
          <w:i/>
          <w:iCs/>
          <w:szCs w:val="24"/>
          <w:lang w:eastAsia="ru-RU"/>
        </w:rPr>
        <w:t xml:space="preserve">Клиническая симптоматика при ХМЛ не является специфической, появление указанных синдромов наиболее характерно для продвинутых фаз заболевания (ФА и БК). У большинства пациентов в ХФ жалобы и клиническая симптоматика отсутствуют либо являются неспецифическими, и признаки заболевания на момент установления диагноза могут быть представлены лишь изменениями в </w:t>
      </w:r>
      <w:r w:rsidR="00A43811">
        <w:rPr>
          <w:i/>
          <w:iCs/>
          <w:szCs w:val="24"/>
          <w:lang w:eastAsia="ru-RU"/>
        </w:rPr>
        <w:t>клиническом</w:t>
      </w:r>
      <w:r w:rsidRPr="00062B4F">
        <w:rPr>
          <w:i/>
          <w:iCs/>
          <w:szCs w:val="24"/>
          <w:lang w:eastAsia="ru-RU"/>
        </w:rPr>
        <w:t xml:space="preserve"> анализе крови (лейкоцитоз, </w:t>
      </w:r>
      <w:proofErr w:type="spellStart"/>
      <w:r w:rsidRPr="00062B4F">
        <w:rPr>
          <w:i/>
          <w:iCs/>
          <w:szCs w:val="24"/>
          <w:lang w:eastAsia="ru-RU"/>
        </w:rPr>
        <w:t>миелоцитарный</w:t>
      </w:r>
      <w:proofErr w:type="spellEnd"/>
      <w:r w:rsidRPr="00062B4F">
        <w:rPr>
          <w:i/>
          <w:iCs/>
          <w:szCs w:val="24"/>
          <w:lang w:eastAsia="ru-RU"/>
        </w:rPr>
        <w:t xml:space="preserve"> сдвиг, базофильно-эозинофильная ассоциация) при проведении профилактического осмотра или обращении к врачу по поводу другой патологии. С учетом того, что лекарственная терапия при ХМЛ назначается на длительный срок, при ее выборе учитывается спектр сопутствующей патологии, а также возможность </w:t>
      </w:r>
      <w:proofErr w:type="spellStart"/>
      <w:r w:rsidRPr="00062B4F">
        <w:rPr>
          <w:i/>
          <w:iCs/>
          <w:szCs w:val="24"/>
          <w:lang w:eastAsia="ru-RU"/>
        </w:rPr>
        <w:t>межлекарственных</w:t>
      </w:r>
      <w:proofErr w:type="spellEnd"/>
      <w:r w:rsidRPr="00062B4F">
        <w:rPr>
          <w:i/>
          <w:iCs/>
          <w:szCs w:val="24"/>
          <w:lang w:eastAsia="ru-RU"/>
        </w:rPr>
        <w:t xml:space="preserve"> взаимодействий. </w:t>
      </w:r>
    </w:p>
    <w:p w14:paraId="3E2B57A7" w14:textId="77777777" w:rsidR="000C7098" w:rsidRPr="00062B4F" w:rsidRDefault="000C7098" w:rsidP="00451581">
      <w:pPr>
        <w:suppressAutoHyphens/>
        <w:spacing w:before="120"/>
        <w:ind w:firstLine="0"/>
        <w:outlineLvl w:val="1"/>
        <w:rPr>
          <w:b/>
          <w:szCs w:val="24"/>
          <w:u w:val="single"/>
        </w:rPr>
      </w:pPr>
      <w:bookmarkStart w:id="16" w:name="_Toc86133398"/>
      <w:r w:rsidRPr="00062B4F">
        <w:rPr>
          <w:b/>
          <w:szCs w:val="24"/>
          <w:u w:val="single"/>
        </w:rPr>
        <w:t xml:space="preserve">2.2. </w:t>
      </w:r>
      <w:proofErr w:type="spellStart"/>
      <w:r w:rsidRPr="00062B4F">
        <w:rPr>
          <w:b/>
          <w:szCs w:val="24"/>
          <w:u w:val="single"/>
        </w:rPr>
        <w:t>Физикальное</w:t>
      </w:r>
      <w:proofErr w:type="spellEnd"/>
      <w:r w:rsidRPr="00062B4F">
        <w:rPr>
          <w:b/>
          <w:szCs w:val="24"/>
          <w:u w:val="single"/>
        </w:rPr>
        <w:t xml:space="preserve"> обследование</w:t>
      </w:r>
      <w:bookmarkEnd w:id="16"/>
    </w:p>
    <w:p w14:paraId="1FCE815B" w14:textId="77777777" w:rsidR="000C7098" w:rsidRPr="00062B4F" w:rsidRDefault="000C7098" w:rsidP="00505FD7">
      <w:pPr>
        <w:numPr>
          <w:ilvl w:val="0"/>
          <w:numId w:val="18"/>
        </w:numPr>
        <w:rPr>
          <w:iCs/>
        </w:rPr>
      </w:pPr>
      <w:r w:rsidRPr="00062B4F">
        <w:rPr>
          <w:b/>
          <w:bCs/>
          <w:iCs/>
        </w:rPr>
        <w:t>Рекомендуется</w:t>
      </w:r>
      <w:r w:rsidRPr="00062B4F">
        <w:rPr>
          <w:iCs/>
        </w:rPr>
        <w:t xml:space="preserve"> всем пациентам с подозрением на ХМЛ или установленным диагнозом ХМЛ для верификации диагноза при </w:t>
      </w:r>
      <w:proofErr w:type="spellStart"/>
      <w:r w:rsidRPr="00062B4F">
        <w:rPr>
          <w:iCs/>
        </w:rPr>
        <w:t>физикальном</w:t>
      </w:r>
      <w:proofErr w:type="spellEnd"/>
      <w:r w:rsidRPr="00062B4F">
        <w:rPr>
          <w:iCs/>
        </w:rPr>
        <w:t xml:space="preserve"> обследовании проводить</w:t>
      </w:r>
      <w:r w:rsidR="00C421C7" w:rsidRPr="00062B4F">
        <w:rPr>
          <w:iCs/>
        </w:rPr>
        <w:t xml:space="preserve"> </w:t>
      </w:r>
      <w:r w:rsidR="00C421C7" w:rsidRPr="00062B4F">
        <w:rPr>
          <w:iCs/>
          <w:szCs w:val="24"/>
          <w:lang w:eastAsia="ru-RU"/>
        </w:rPr>
        <w:fldChar w:fldCharType="begin" w:fldLock="1"/>
      </w:r>
      <w:r w:rsidR="00DC464A"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C421C7" w:rsidRPr="00062B4F">
        <w:rPr>
          <w:iCs/>
          <w:szCs w:val="24"/>
          <w:lang w:eastAsia="ru-RU"/>
        </w:rPr>
        <w:fldChar w:fldCharType="separate"/>
      </w:r>
      <w:r w:rsidR="00C54289" w:rsidRPr="00062B4F">
        <w:rPr>
          <w:iCs/>
          <w:noProof/>
          <w:szCs w:val="24"/>
          <w:lang w:eastAsia="ru-RU"/>
        </w:rPr>
        <w:t>[10]</w:t>
      </w:r>
      <w:r w:rsidR="00C421C7" w:rsidRPr="00062B4F">
        <w:rPr>
          <w:iCs/>
          <w:szCs w:val="24"/>
          <w:lang w:eastAsia="ru-RU"/>
        </w:rPr>
        <w:fldChar w:fldCharType="end"/>
      </w:r>
      <w:r w:rsidRPr="00062B4F">
        <w:rPr>
          <w:iCs/>
        </w:rPr>
        <w:t xml:space="preserve">: </w:t>
      </w:r>
    </w:p>
    <w:p w14:paraId="504531CF" w14:textId="77777777" w:rsidR="000C7098" w:rsidRPr="00062B4F" w:rsidRDefault="000C7098" w:rsidP="00505FD7">
      <w:pPr>
        <w:numPr>
          <w:ilvl w:val="0"/>
          <w:numId w:val="8"/>
        </w:numPr>
        <w:tabs>
          <w:tab w:val="clear" w:pos="720"/>
          <w:tab w:val="num" w:pos="993"/>
        </w:tabs>
        <w:ind w:left="993" w:firstLine="0"/>
        <w:jc w:val="left"/>
        <w:rPr>
          <w:iCs/>
          <w:szCs w:val="24"/>
          <w:lang w:eastAsia="ru-RU"/>
        </w:rPr>
      </w:pPr>
      <w:r w:rsidRPr="00062B4F">
        <w:rPr>
          <w:iCs/>
          <w:szCs w:val="24"/>
          <w:lang w:eastAsia="ru-RU"/>
        </w:rPr>
        <w:t>Осмотр кожи и видимых слизистых оболочек.</w:t>
      </w:r>
    </w:p>
    <w:p w14:paraId="0994C36B" w14:textId="77777777" w:rsidR="000C7098" w:rsidRPr="00062B4F" w:rsidRDefault="000C7098" w:rsidP="00505FD7">
      <w:pPr>
        <w:numPr>
          <w:ilvl w:val="0"/>
          <w:numId w:val="8"/>
        </w:numPr>
        <w:tabs>
          <w:tab w:val="clear" w:pos="720"/>
          <w:tab w:val="num" w:pos="993"/>
        </w:tabs>
        <w:ind w:left="993" w:firstLine="0"/>
        <w:jc w:val="left"/>
        <w:rPr>
          <w:iCs/>
          <w:szCs w:val="24"/>
          <w:lang w:eastAsia="ru-RU"/>
        </w:rPr>
      </w:pPr>
      <w:r w:rsidRPr="00062B4F">
        <w:rPr>
          <w:iCs/>
          <w:szCs w:val="24"/>
          <w:lang w:eastAsia="ru-RU"/>
        </w:rPr>
        <w:t>Пальпацию периферических лимфоузлов.</w:t>
      </w:r>
    </w:p>
    <w:p w14:paraId="2B19A4F5" w14:textId="77777777" w:rsidR="000C7098" w:rsidRPr="00062B4F" w:rsidRDefault="000C7098" w:rsidP="00505FD7">
      <w:pPr>
        <w:numPr>
          <w:ilvl w:val="0"/>
          <w:numId w:val="8"/>
        </w:numPr>
        <w:tabs>
          <w:tab w:val="clear" w:pos="720"/>
          <w:tab w:val="num" w:pos="993"/>
        </w:tabs>
        <w:ind w:left="993" w:firstLine="0"/>
        <w:rPr>
          <w:iCs/>
          <w:szCs w:val="24"/>
          <w:lang w:eastAsia="ru-RU"/>
        </w:rPr>
      </w:pPr>
      <w:r w:rsidRPr="00062B4F">
        <w:rPr>
          <w:iCs/>
          <w:szCs w:val="24"/>
          <w:lang w:eastAsia="ru-RU"/>
        </w:rPr>
        <w:lastRenderedPageBreak/>
        <w:t>Определение размеров печени и селезенки (</w:t>
      </w:r>
      <w:proofErr w:type="spellStart"/>
      <w:r w:rsidRPr="00062B4F">
        <w:rPr>
          <w:iCs/>
          <w:szCs w:val="24"/>
          <w:lang w:eastAsia="ru-RU"/>
        </w:rPr>
        <w:t>перкуторно</w:t>
      </w:r>
      <w:proofErr w:type="spellEnd"/>
      <w:r w:rsidRPr="00062B4F">
        <w:rPr>
          <w:iCs/>
          <w:szCs w:val="24"/>
          <w:lang w:eastAsia="ru-RU"/>
        </w:rPr>
        <w:t xml:space="preserve"> и </w:t>
      </w:r>
      <w:proofErr w:type="spellStart"/>
      <w:r w:rsidRPr="00062B4F">
        <w:rPr>
          <w:iCs/>
          <w:szCs w:val="24"/>
          <w:lang w:eastAsia="ru-RU"/>
        </w:rPr>
        <w:t>пальпаторно</w:t>
      </w:r>
      <w:proofErr w:type="spellEnd"/>
      <w:r w:rsidRPr="00062B4F">
        <w:rPr>
          <w:iCs/>
          <w:szCs w:val="24"/>
          <w:lang w:eastAsia="ru-RU"/>
        </w:rPr>
        <w:t>, в сантиметрах из</w:t>
      </w:r>
      <w:r w:rsidRPr="00062B4F">
        <w:rPr>
          <w:iCs/>
          <w:szCs w:val="24"/>
          <w:lang w:eastAsia="ru-RU"/>
        </w:rPr>
        <w:noBreakHyphen/>
        <w:t>под края реберной дуги).</w:t>
      </w:r>
    </w:p>
    <w:p w14:paraId="11DA109E" w14:textId="77777777" w:rsidR="000C7098" w:rsidRPr="00062B4F" w:rsidRDefault="000C7098" w:rsidP="008E7654">
      <w:pPr>
        <w:spacing w:before="120"/>
        <w:ind w:left="709" w:firstLine="0"/>
        <w:rPr>
          <w:b/>
          <w:bCs/>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C</w:t>
      </w:r>
      <w:r w:rsidRPr="00062B4F">
        <w:rPr>
          <w:b/>
          <w:bCs/>
          <w:szCs w:val="24"/>
          <w:lang w:eastAsia="ru-RU"/>
        </w:rPr>
        <w:t xml:space="preserve"> (уровень достоверности доказательств – 5).</w:t>
      </w:r>
    </w:p>
    <w:p w14:paraId="75BC270E" w14:textId="77777777" w:rsidR="000C7098" w:rsidRPr="00062B4F" w:rsidRDefault="000C7098" w:rsidP="006D53AE">
      <w:pPr>
        <w:suppressAutoHyphens/>
        <w:spacing w:before="120"/>
        <w:ind w:firstLine="0"/>
        <w:outlineLvl w:val="1"/>
        <w:rPr>
          <w:b/>
          <w:szCs w:val="24"/>
          <w:u w:val="single"/>
        </w:rPr>
      </w:pPr>
      <w:bookmarkStart w:id="17" w:name="_Toc86133399"/>
      <w:r w:rsidRPr="00062B4F">
        <w:rPr>
          <w:b/>
          <w:szCs w:val="24"/>
          <w:u w:val="single"/>
        </w:rPr>
        <w:t>2.3. Лабораторн</w:t>
      </w:r>
      <w:r w:rsidR="00986580" w:rsidRPr="00062B4F">
        <w:rPr>
          <w:b/>
          <w:szCs w:val="24"/>
          <w:u w:val="single"/>
        </w:rPr>
        <w:t>ые диагностические исследования</w:t>
      </w:r>
      <w:bookmarkEnd w:id="17"/>
    </w:p>
    <w:p w14:paraId="4E3343FD" w14:textId="2D539278" w:rsidR="000C7098" w:rsidRPr="00062B4F" w:rsidRDefault="000C7098" w:rsidP="00505FD7">
      <w:pPr>
        <w:numPr>
          <w:ilvl w:val="0"/>
          <w:numId w:val="18"/>
        </w:numPr>
        <w:rPr>
          <w:iCs/>
        </w:rPr>
      </w:pPr>
      <w:r w:rsidRPr="00062B4F">
        <w:rPr>
          <w:b/>
          <w:bCs/>
          <w:iCs/>
        </w:rPr>
        <w:t xml:space="preserve">Рекомендуется </w:t>
      </w:r>
      <w:r w:rsidRPr="00062B4F">
        <w:rPr>
          <w:bCs/>
          <w:iCs/>
        </w:rPr>
        <w:t>всем пациентам</w:t>
      </w:r>
      <w:r w:rsidRPr="00062B4F">
        <w:rPr>
          <w:b/>
          <w:bCs/>
          <w:iCs/>
        </w:rPr>
        <w:t xml:space="preserve"> </w:t>
      </w:r>
      <w:r w:rsidRPr="00062B4F">
        <w:rPr>
          <w:iCs/>
        </w:rPr>
        <w:t xml:space="preserve">при установлении </w:t>
      </w:r>
      <w:r w:rsidR="00EC421C" w:rsidRPr="00AA5B71">
        <w:rPr>
          <w:iCs/>
        </w:rPr>
        <w:t xml:space="preserve">диагноза </w:t>
      </w:r>
      <w:r w:rsidRPr="00AA5B71">
        <w:rPr>
          <w:iCs/>
        </w:rPr>
        <w:t>Х</w:t>
      </w:r>
      <w:r w:rsidRPr="00062B4F">
        <w:rPr>
          <w:iCs/>
        </w:rPr>
        <w:t>МЛ проводить общий (клинический) анализ крови (развернутый) с подсчетом лейкоцитарной формулы и определением уровня тромбоцитов для верификации диагноза</w:t>
      </w:r>
      <w:r w:rsidR="00C421C7" w:rsidRPr="00062B4F">
        <w:rPr>
          <w:iCs/>
        </w:rPr>
        <w:t xml:space="preserve"> </w:t>
      </w:r>
      <w:r w:rsidR="00C421C7" w:rsidRPr="00062B4F">
        <w:rPr>
          <w:iCs/>
          <w:szCs w:val="24"/>
          <w:lang w:eastAsia="ru-RU"/>
        </w:rPr>
        <w:fldChar w:fldCharType="begin" w:fldLock="1"/>
      </w:r>
      <w:r w:rsidR="00DC464A" w:rsidRPr="00062B4F">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онкогематология","id":"ITEM-2","issue":"3","issued":{"date-parts":[["2017"]]},"page":"294–316","title":"Клинические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[10,11]","plainTextFormattedCitation":"[10,11]","previouslyFormattedCitation":"[10,11]"},"properties":{"noteIndex":0},"schema":"https://github.com/citation-style-language/schema/raw/master/csl-citation.json"}</w:instrText>
      </w:r>
      <w:r w:rsidR="00C421C7" w:rsidRPr="00062B4F">
        <w:rPr>
          <w:iCs/>
          <w:szCs w:val="24"/>
          <w:lang w:eastAsia="ru-RU"/>
        </w:rPr>
        <w:fldChar w:fldCharType="separate"/>
      </w:r>
      <w:r w:rsidR="00DC464A" w:rsidRPr="00062B4F">
        <w:rPr>
          <w:iCs/>
          <w:noProof/>
          <w:szCs w:val="24"/>
          <w:lang w:eastAsia="ru-RU"/>
        </w:rPr>
        <w:t>[10,11]</w:t>
      </w:r>
      <w:r w:rsidR="00C421C7" w:rsidRPr="00062B4F">
        <w:rPr>
          <w:iCs/>
          <w:szCs w:val="24"/>
          <w:lang w:eastAsia="ru-RU"/>
        </w:rPr>
        <w:fldChar w:fldCharType="end"/>
      </w:r>
      <w:r w:rsidRPr="00062B4F">
        <w:rPr>
          <w:iCs/>
        </w:rPr>
        <w:t>.</w:t>
      </w:r>
    </w:p>
    <w:p w14:paraId="1FC41D26" w14:textId="77777777" w:rsidR="000C7098" w:rsidRPr="00062B4F" w:rsidRDefault="000C7098" w:rsidP="00A07025">
      <w:pPr>
        <w:spacing w:before="120"/>
        <w:ind w:firstLine="0"/>
        <w:rPr>
          <w:b/>
          <w:bCs/>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C</w:t>
      </w:r>
      <w:r w:rsidRPr="00062B4F">
        <w:rPr>
          <w:b/>
          <w:bCs/>
          <w:szCs w:val="24"/>
          <w:lang w:eastAsia="ru-RU"/>
        </w:rPr>
        <w:t xml:space="preserve"> (уровень достоверности доказательств </w:t>
      </w:r>
      <w:r w:rsidRPr="00062B4F">
        <w:rPr>
          <w:b/>
          <w:bCs/>
          <w:szCs w:val="24"/>
          <w:lang w:eastAsia="ar-SA"/>
        </w:rPr>
        <w:t xml:space="preserve">– </w:t>
      </w:r>
      <w:r w:rsidRPr="00062B4F">
        <w:rPr>
          <w:b/>
          <w:bCs/>
          <w:szCs w:val="24"/>
          <w:lang w:eastAsia="ru-RU"/>
        </w:rPr>
        <w:t>5).</w:t>
      </w:r>
    </w:p>
    <w:p w14:paraId="419F0549" w14:textId="36686493" w:rsidR="000C7098" w:rsidRPr="00062B4F" w:rsidRDefault="000C7098" w:rsidP="00505FD7">
      <w:pPr>
        <w:numPr>
          <w:ilvl w:val="0"/>
          <w:numId w:val="18"/>
        </w:numPr>
        <w:rPr>
          <w:iCs/>
        </w:rPr>
      </w:pPr>
      <w:r w:rsidRPr="00062B4F">
        <w:rPr>
          <w:b/>
          <w:bCs/>
          <w:iCs/>
        </w:rPr>
        <w:t xml:space="preserve">Рекомендуется </w:t>
      </w:r>
      <w:r w:rsidRPr="00062B4F">
        <w:rPr>
          <w:bCs/>
          <w:iCs/>
        </w:rPr>
        <w:t>всем пациентам</w:t>
      </w:r>
      <w:r w:rsidRPr="00062B4F">
        <w:rPr>
          <w:b/>
          <w:bCs/>
          <w:iCs/>
        </w:rPr>
        <w:t xml:space="preserve"> </w:t>
      </w:r>
      <w:r w:rsidRPr="00062B4F">
        <w:rPr>
          <w:iCs/>
        </w:rPr>
        <w:t xml:space="preserve">при установлении </w:t>
      </w:r>
      <w:r w:rsidR="00EC421C" w:rsidRPr="00AA5B71">
        <w:rPr>
          <w:iCs/>
        </w:rPr>
        <w:t>диагноза</w:t>
      </w:r>
      <w:r w:rsidR="00EC421C" w:rsidRPr="00062B4F">
        <w:rPr>
          <w:iCs/>
        </w:rPr>
        <w:t xml:space="preserve"> </w:t>
      </w:r>
      <w:r w:rsidRPr="00062B4F">
        <w:rPr>
          <w:iCs/>
        </w:rPr>
        <w:t xml:space="preserve">ХМЛ проводить </w:t>
      </w:r>
      <w:r w:rsidR="00555492" w:rsidRPr="00062B4F">
        <w:rPr>
          <w:iCs/>
        </w:rPr>
        <w:t xml:space="preserve">биохимический анализ </w:t>
      </w:r>
      <w:r w:rsidRPr="00062B4F">
        <w:rPr>
          <w:iCs/>
        </w:rPr>
        <w:t>крови</w:t>
      </w:r>
      <w:r w:rsidR="00E74447">
        <w:rPr>
          <w:iCs/>
        </w:rPr>
        <w:t>:</w:t>
      </w:r>
      <w:r w:rsidR="00555492" w:rsidRPr="00062B4F">
        <w:rPr>
          <w:iCs/>
        </w:rPr>
        <w:t xml:space="preserve"> </w:t>
      </w:r>
      <w:r w:rsidRPr="00062B4F">
        <w:rPr>
          <w:iCs/>
        </w:rPr>
        <w:t xml:space="preserve">общий билирубин, </w:t>
      </w:r>
      <w:proofErr w:type="spellStart"/>
      <w:r w:rsidRPr="00062B4F">
        <w:rPr>
          <w:iCs/>
        </w:rPr>
        <w:t>аспартатаминотрансфераза</w:t>
      </w:r>
      <w:proofErr w:type="spellEnd"/>
      <w:r w:rsidRPr="00062B4F">
        <w:rPr>
          <w:iCs/>
        </w:rPr>
        <w:t xml:space="preserve">, </w:t>
      </w:r>
      <w:proofErr w:type="spellStart"/>
      <w:r w:rsidRPr="00062B4F">
        <w:rPr>
          <w:iCs/>
        </w:rPr>
        <w:t>аланинаминотрансфераза</w:t>
      </w:r>
      <w:proofErr w:type="spellEnd"/>
      <w:r w:rsidRPr="00062B4F">
        <w:rPr>
          <w:iCs/>
        </w:rPr>
        <w:t xml:space="preserve">, </w:t>
      </w:r>
      <w:proofErr w:type="spellStart"/>
      <w:r w:rsidRPr="00062B4F">
        <w:rPr>
          <w:iCs/>
        </w:rPr>
        <w:t>лактатдегидрогеназа</w:t>
      </w:r>
      <w:proofErr w:type="spellEnd"/>
      <w:r w:rsidRPr="00062B4F">
        <w:rPr>
          <w:iCs/>
        </w:rPr>
        <w:t xml:space="preserve">, мочевая кислота, мочевина, </w:t>
      </w:r>
      <w:proofErr w:type="spellStart"/>
      <w:r w:rsidRPr="00062B4F">
        <w:rPr>
          <w:iCs/>
        </w:rPr>
        <w:t>креатинин</w:t>
      </w:r>
      <w:proofErr w:type="spellEnd"/>
      <w:r w:rsidRPr="00062B4F">
        <w:rPr>
          <w:iCs/>
        </w:rPr>
        <w:t>, общий белок, альбумин, щелочная фосфатаза, электролиты (калий, натрий, кальций, фосфор, магний), амилаза, липаза, глюкоза, общий холестерин, липопротеины высокой и низкой плотности</w:t>
      </w:r>
      <w:r w:rsidR="007A623E">
        <w:rPr>
          <w:iCs/>
        </w:rPr>
        <w:t xml:space="preserve">, при анемическом синдроме дополнительно: </w:t>
      </w:r>
      <w:r w:rsidR="00194B43">
        <w:rPr>
          <w:iCs/>
        </w:rPr>
        <w:t xml:space="preserve">исследование обмена </w:t>
      </w:r>
      <w:r w:rsidR="007A623E">
        <w:rPr>
          <w:iCs/>
        </w:rPr>
        <w:t>желез</w:t>
      </w:r>
      <w:r w:rsidR="00194B43">
        <w:rPr>
          <w:iCs/>
        </w:rPr>
        <w:t>а</w:t>
      </w:r>
      <w:r w:rsidR="007A623E">
        <w:rPr>
          <w:iCs/>
        </w:rPr>
        <w:t>, фолиевая кислота, В12</w:t>
      </w:r>
      <w:r w:rsidRPr="00062B4F">
        <w:rPr>
          <w:iCs/>
        </w:rPr>
        <w:t xml:space="preserve"> для оценки функции органов и систем на момент установления диагноза и дальнейшего контроля возможной токсичности терапии ИТК</w:t>
      </w:r>
      <w:r w:rsidR="00C421C7" w:rsidRPr="00062B4F">
        <w:rPr>
          <w:iCs/>
        </w:rPr>
        <w:t xml:space="preserve"> </w:t>
      </w:r>
      <w:r w:rsidR="00C421C7" w:rsidRPr="00062B4F">
        <w:rPr>
          <w:iCs/>
          <w:szCs w:val="24"/>
          <w:lang w:eastAsia="ru-RU"/>
        </w:rPr>
        <w:fldChar w:fldCharType="begin" w:fldLock="1"/>
      </w:r>
      <w:r w:rsidR="00DC464A"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[1,10,11]"},"properties":{"noteIndex":0},"schema":"https://github.com/citation-style-language/schema/raw/master/csl-citation.json"}</w:instrText>
      </w:r>
      <w:r w:rsidR="00C421C7" w:rsidRPr="00062B4F">
        <w:rPr>
          <w:iCs/>
          <w:szCs w:val="24"/>
          <w:lang w:eastAsia="ru-RU"/>
        </w:rPr>
        <w:fldChar w:fldCharType="separate"/>
      </w:r>
      <w:r w:rsidR="00DC464A" w:rsidRPr="00062B4F">
        <w:rPr>
          <w:iCs/>
          <w:noProof/>
          <w:szCs w:val="24"/>
          <w:lang w:eastAsia="ru-RU"/>
        </w:rPr>
        <w:t>[10]</w:t>
      </w:r>
      <w:r w:rsidR="00C421C7" w:rsidRPr="00062B4F">
        <w:rPr>
          <w:iCs/>
          <w:szCs w:val="24"/>
          <w:lang w:eastAsia="ru-RU"/>
        </w:rPr>
        <w:fldChar w:fldCharType="end"/>
      </w:r>
      <w:r w:rsidRPr="00062B4F">
        <w:rPr>
          <w:iCs/>
        </w:rPr>
        <w:t>.</w:t>
      </w:r>
    </w:p>
    <w:p w14:paraId="0C9A8A21" w14:textId="77777777" w:rsidR="000C7098" w:rsidRPr="00062B4F" w:rsidRDefault="000C7098" w:rsidP="002E6E9D">
      <w:pPr>
        <w:spacing w:before="120"/>
        <w:ind w:left="709" w:hanging="709"/>
        <w:rPr>
          <w:b/>
          <w:bCs/>
          <w:szCs w:val="24"/>
          <w:lang w:eastAsia="ru-RU"/>
        </w:rPr>
      </w:pPr>
      <w:r w:rsidRPr="00062B4F">
        <w:rPr>
          <w:b/>
          <w:bCs/>
          <w:szCs w:val="24"/>
          <w:lang w:eastAsia="ru-RU"/>
        </w:rPr>
        <w:t xml:space="preserve">Уровень убедительности рекомендаций </w:t>
      </w:r>
      <w:r w:rsidRPr="00062B4F">
        <w:rPr>
          <w:b/>
          <w:bCs/>
          <w:szCs w:val="24"/>
          <w:lang w:eastAsia="ar-SA"/>
        </w:rPr>
        <w:t xml:space="preserve">– </w:t>
      </w:r>
      <w:r w:rsidRPr="00062B4F">
        <w:rPr>
          <w:b/>
          <w:bCs/>
          <w:szCs w:val="24"/>
          <w:lang w:val="en-US" w:eastAsia="ru-RU"/>
        </w:rPr>
        <w:t>C</w:t>
      </w:r>
      <w:r w:rsidRPr="00062B4F">
        <w:rPr>
          <w:b/>
          <w:bCs/>
          <w:szCs w:val="24"/>
          <w:lang w:eastAsia="ru-RU"/>
        </w:rPr>
        <w:t xml:space="preserve"> (уровень достоверности доказательств </w:t>
      </w:r>
      <w:r w:rsidRPr="00062B4F">
        <w:rPr>
          <w:b/>
          <w:bCs/>
          <w:szCs w:val="24"/>
          <w:lang w:eastAsia="ar-SA"/>
        </w:rPr>
        <w:t xml:space="preserve">– </w:t>
      </w:r>
      <w:r w:rsidRPr="00062B4F">
        <w:rPr>
          <w:b/>
          <w:bCs/>
          <w:szCs w:val="24"/>
          <w:lang w:eastAsia="ru-RU"/>
        </w:rPr>
        <w:t>5).</w:t>
      </w:r>
    </w:p>
    <w:p w14:paraId="1FB1C7D7" w14:textId="40703693" w:rsidR="000C7098" w:rsidRPr="00EA6EC4" w:rsidRDefault="000C7098" w:rsidP="00A07025">
      <w:pPr>
        <w:numPr>
          <w:ilvl w:val="0"/>
          <w:numId w:val="18"/>
        </w:numPr>
        <w:rPr>
          <w:iCs/>
        </w:rPr>
      </w:pPr>
      <w:r w:rsidRPr="00EA6EC4">
        <w:rPr>
          <w:b/>
          <w:bCs/>
          <w:iCs/>
        </w:rPr>
        <w:t xml:space="preserve">Рекомендуется </w:t>
      </w:r>
      <w:r w:rsidRPr="00EA6EC4">
        <w:rPr>
          <w:bCs/>
          <w:iCs/>
        </w:rPr>
        <w:t>всем пациентам</w:t>
      </w:r>
      <w:r w:rsidRPr="00EA6EC4">
        <w:rPr>
          <w:b/>
          <w:bCs/>
          <w:iCs/>
        </w:rPr>
        <w:t xml:space="preserve"> </w:t>
      </w:r>
      <w:r w:rsidRPr="00EA6EC4">
        <w:rPr>
          <w:iCs/>
        </w:rPr>
        <w:t xml:space="preserve">при установлении </w:t>
      </w:r>
      <w:r w:rsidR="00AA3586" w:rsidRPr="00EA6EC4">
        <w:rPr>
          <w:iCs/>
        </w:rPr>
        <w:t xml:space="preserve">диагноза </w:t>
      </w:r>
      <w:r w:rsidRPr="00EA6EC4">
        <w:rPr>
          <w:iCs/>
        </w:rPr>
        <w:t xml:space="preserve">ХМЛ проводить цитологическое исследование мазка костного мозга (подсчет </w:t>
      </w:r>
      <w:proofErr w:type="spellStart"/>
      <w:r w:rsidRPr="00EA6EC4">
        <w:rPr>
          <w:iCs/>
        </w:rPr>
        <w:t>миелограммы</w:t>
      </w:r>
      <w:proofErr w:type="spellEnd"/>
      <w:r w:rsidRPr="00EA6EC4">
        <w:rPr>
          <w:iCs/>
        </w:rPr>
        <w:t>) для определения стадии заболевания</w:t>
      </w:r>
      <w:r w:rsidR="00C421C7" w:rsidRPr="00EA6EC4">
        <w:rPr>
          <w:iCs/>
        </w:rPr>
        <w:t xml:space="preserve"> </w:t>
      </w:r>
      <w:r w:rsidR="00C421C7" w:rsidRPr="00EA6EC4">
        <w:rPr>
          <w:iCs/>
          <w:szCs w:val="24"/>
          <w:lang w:eastAsia="ru-RU"/>
        </w:rPr>
        <w:fldChar w:fldCharType="begin" w:fldLock="1"/>
      </w:r>
      <w:r w:rsidR="00C421C7" w:rsidRPr="00EA6EC4">
        <w:rPr>
          <w:iCs/>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онкогематология","id":"ITEM-3","issue":"3","issued":{"date-parts":[["2017"]]},"page":"294–316","title":"Клинические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[1,10,11]","plainTextFormattedCitation":"[1,10,11]","previouslyFormattedCitation":"[1,10,11]"},"properties":{"noteIndex":0},"schema":"https://github.com/citation-style-language/schema/raw/master/csl-citation.json"}</w:instrText>
      </w:r>
      <w:r w:rsidR="00C421C7" w:rsidRPr="00EA6EC4">
        <w:rPr>
          <w:iCs/>
          <w:szCs w:val="24"/>
          <w:lang w:eastAsia="ru-RU"/>
        </w:rPr>
        <w:fldChar w:fldCharType="separate"/>
      </w:r>
      <w:r w:rsidR="00C421C7" w:rsidRPr="00EA6EC4">
        <w:rPr>
          <w:iCs/>
          <w:noProof/>
          <w:szCs w:val="24"/>
          <w:lang w:eastAsia="ru-RU"/>
        </w:rPr>
        <w:t>[1,10,11]</w:t>
      </w:r>
      <w:r w:rsidR="00C421C7" w:rsidRPr="00EA6EC4">
        <w:rPr>
          <w:iCs/>
          <w:szCs w:val="24"/>
          <w:lang w:eastAsia="ru-RU"/>
        </w:rPr>
        <w:fldChar w:fldCharType="end"/>
      </w:r>
      <w:r w:rsidRPr="00EA6EC4">
        <w:rPr>
          <w:iCs/>
        </w:rPr>
        <w:t>.</w:t>
      </w:r>
    </w:p>
    <w:p w14:paraId="024C5143" w14:textId="77777777" w:rsidR="000C7098" w:rsidRPr="00EA6EC4" w:rsidRDefault="000C7098" w:rsidP="00A07025">
      <w:pPr>
        <w:ind w:left="709" w:firstLine="0"/>
        <w:rPr>
          <w:b/>
          <w:bCs/>
        </w:rPr>
      </w:pPr>
      <w:r w:rsidRPr="00EA6EC4">
        <w:rPr>
          <w:b/>
          <w:bCs/>
          <w:szCs w:val="24"/>
          <w:lang w:eastAsia="ru-RU"/>
        </w:rPr>
        <w:t>Уровень</w:t>
      </w:r>
      <w:r w:rsidRPr="00EA6EC4">
        <w:rPr>
          <w:b/>
          <w:bCs/>
        </w:rPr>
        <w:t xml:space="preserve"> убедительности рекомендаций </w:t>
      </w:r>
      <w:r w:rsidRPr="00EA6EC4">
        <w:rPr>
          <w:b/>
          <w:bCs/>
          <w:szCs w:val="24"/>
          <w:lang w:eastAsia="ar-SA"/>
        </w:rPr>
        <w:t xml:space="preserve">– </w:t>
      </w:r>
      <w:r w:rsidRPr="00EA6EC4">
        <w:rPr>
          <w:b/>
          <w:bCs/>
          <w:lang w:val="en-US"/>
        </w:rPr>
        <w:t>C</w:t>
      </w:r>
      <w:r w:rsidRPr="00EA6EC4">
        <w:rPr>
          <w:b/>
          <w:bCs/>
        </w:rPr>
        <w:t xml:space="preserve"> (уровень достоверности доказательств </w:t>
      </w:r>
      <w:r w:rsidRPr="00EA6EC4">
        <w:rPr>
          <w:b/>
          <w:bCs/>
          <w:szCs w:val="24"/>
          <w:lang w:eastAsia="ar-SA"/>
        </w:rPr>
        <w:t xml:space="preserve">– </w:t>
      </w:r>
      <w:r w:rsidRPr="00EA6EC4">
        <w:rPr>
          <w:b/>
          <w:bCs/>
        </w:rPr>
        <w:t>5).</w:t>
      </w:r>
    </w:p>
    <w:p w14:paraId="215BF81C" w14:textId="375E0F41" w:rsidR="005B4688" w:rsidRPr="00EA6EC4" w:rsidRDefault="000C7098" w:rsidP="00505FD7">
      <w:pPr>
        <w:numPr>
          <w:ilvl w:val="0"/>
          <w:numId w:val="31"/>
        </w:numPr>
      </w:pPr>
      <w:r w:rsidRPr="00EA6EC4">
        <w:rPr>
          <w:b/>
          <w:bCs/>
          <w:iCs/>
        </w:rPr>
        <w:t xml:space="preserve">Рекомендуется </w:t>
      </w:r>
      <w:r w:rsidRPr="00EA6EC4">
        <w:rPr>
          <w:bCs/>
          <w:iCs/>
        </w:rPr>
        <w:t>всем пациентам</w:t>
      </w:r>
      <w:r w:rsidRPr="00EA6EC4">
        <w:rPr>
          <w:b/>
          <w:bCs/>
          <w:iCs/>
        </w:rPr>
        <w:t xml:space="preserve"> </w:t>
      </w:r>
      <w:r w:rsidRPr="00EA6EC4">
        <w:rPr>
          <w:iCs/>
        </w:rPr>
        <w:t xml:space="preserve">при установлении </w:t>
      </w:r>
      <w:r w:rsidR="00AA3586" w:rsidRPr="00EA6EC4">
        <w:rPr>
          <w:iCs/>
        </w:rPr>
        <w:t xml:space="preserve">диагноза </w:t>
      </w:r>
      <w:r w:rsidRPr="00EA6EC4">
        <w:rPr>
          <w:iCs/>
        </w:rPr>
        <w:t xml:space="preserve">ХМЛ, </w:t>
      </w:r>
      <w:r w:rsidR="00242FD4" w:rsidRPr="00EA6EC4">
        <w:rPr>
          <w:iCs/>
        </w:rPr>
        <w:t xml:space="preserve">проводить </w:t>
      </w:r>
      <w:r w:rsidR="00A43811">
        <w:rPr>
          <w:iCs/>
        </w:rPr>
        <w:t>ц</w:t>
      </w:r>
      <w:r w:rsidR="00B25112" w:rsidRPr="00EA6EC4">
        <w:rPr>
          <w:iCs/>
        </w:rPr>
        <w:t>итогенетическое исследование (кариотип) клеток</w:t>
      </w:r>
      <w:r w:rsidR="00242FD4" w:rsidRPr="00EA6EC4">
        <w:rPr>
          <w:iCs/>
        </w:rPr>
        <w:t xml:space="preserve"> костного мозга для подтверждения наличия </w:t>
      </w:r>
      <w:proofErr w:type="spellStart"/>
      <w:r w:rsidR="00242FD4" w:rsidRPr="00EA6EC4">
        <w:rPr>
          <w:iCs/>
        </w:rPr>
        <w:t>транслокации</w:t>
      </w:r>
      <w:proofErr w:type="spellEnd"/>
      <w:r w:rsidR="00242FD4" w:rsidRPr="00EA6EC4">
        <w:rPr>
          <w:iCs/>
        </w:rPr>
        <w:t xml:space="preserve"> t(9;</w:t>
      </w:r>
      <w:proofErr w:type="gramStart"/>
      <w:r w:rsidR="00242FD4" w:rsidRPr="00EA6EC4">
        <w:rPr>
          <w:iCs/>
        </w:rPr>
        <w:t>22)(</w:t>
      </w:r>
      <w:proofErr w:type="gramEnd"/>
      <w:r w:rsidR="00242FD4" w:rsidRPr="00EA6EC4">
        <w:rPr>
          <w:iCs/>
        </w:rPr>
        <w:t>q34;q11) (</w:t>
      </w:r>
      <w:proofErr w:type="spellStart"/>
      <w:r w:rsidR="00242FD4" w:rsidRPr="00EA6EC4">
        <w:rPr>
          <w:iCs/>
        </w:rPr>
        <w:t>Ph</w:t>
      </w:r>
      <w:proofErr w:type="spellEnd"/>
      <w:r w:rsidR="00242FD4" w:rsidRPr="00EA6EC4">
        <w:rPr>
          <w:iCs/>
        </w:rPr>
        <w:noBreakHyphen/>
        <w:t xml:space="preserve">хромосомы). </w:t>
      </w:r>
    </w:p>
    <w:p w14:paraId="736B3853" w14:textId="214C3E58" w:rsidR="00242FD4" w:rsidRPr="00251ED0" w:rsidRDefault="005B4688" w:rsidP="00A07025">
      <w:pPr>
        <w:ind w:left="709" w:firstLine="0"/>
        <w:rPr>
          <w:lang w:val="en-US"/>
        </w:rPr>
      </w:pPr>
      <w:r w:rsidRPr="00EA6EC4">
        <w:rPr>
          <w:b/>
          <w:bCs/>
          <w:i/>
          <w:iCs/>
        </w:rPr>
        <w:t>Комме</w:t>
      </w:r>
      <w:r w:rsidRPr="00251ED0">
        <w:rPr>
          <w:b/>
          <w:bCs/>
          <w:i/>
          <w:iCs/>
        </w:rPr>
        <w:t>нтарий</w:t>
      </w:r>
      <w:r w:rsidR="00A07025" w:rsidRPr="00251ED0">
        <w:rPr>
          <w:b/>
          <w:bCs/>
          <w:i/>
          <w:iCs/>
        </w:rPr>
        <w:t>.</w:t>
      </w:r>
      <w:r w:rsidRPr="00251ED0">
        <w:rPr>
          <w:b/>
          <w:bCs/>
          <w:i/>
          <w:iCs/>
        </w:rPr>
        <w:t xml:space="preserve"> </w:t>
      </w:r>
      <w:r w:rsidR="00242FD4" w:rsidRPr="00251ED0">
        <w:rPr>
          <w:i/>
          <w:iCs/>
        </w:rPr>
        <w:t xml:space="preserve">Желательно полное </w:t>
      </w:r>
      <w:proofErr w:type="spellStart"/>
      <w:r w:rsidR="00242FD4" w:rsidRPr="00251ED0">
        <w:rPr>
          <w:i/>
          <w:iCs/>
        </w:rPr>
        <w:t>кариотипирование</w:t>
      </w:r>
      <w:proofErr w:type="spellEnd"/>
      <w:r w:rsidR="00242FD4" w:rsidRPr="00251ED0">
        <w:rPr>
          <w:i/>
          <w:iCs/>
        </w:rPr>
        <w:t xml:space="preserve"> </w:t>
      </w:r>
      <w:r w:rsidR="00A43811">
        <w:rPr>
          <w:i/>
          <w:iCs/>
        </w:rPr>
        <w:t xml:space="preserve">не менее </w:t>
      </w:r>
      <w:r w:rsidR="00242FD4" w:rsidRPr="00251ED0">
        <w:rPr>
          <w:i/>
          <w:iCs/>
        </w:rPr>
        <w:t xml:space="preserve">20 метафаз для исключения ДХА. </w:t>
      </w:r>
      <w:r w:rsidR="00A07025" w:rsidRPr="00251ED0">
        <w:rPr>
          <w:i/>
          <w:iCs/>
        </w:rPr>
        <w:t>М</w:t>
      </w:r>
      <w:r w:rsidR="00076BFF">
        <w:rPr>
          <w:i/>
        </w:rPr>
        <w:t>олекулярно-</w:t>
      </w:r>
      <w:r w:rsidRPr="00251ED0">
        <w:rPr>
          <w:i/>
        </w:rPr>
        <w:t>генетическое исследование (FISH-метод) на одну пару хромосом</w:t>
      </w:r>
      <w:r w:rsidRPr="00251ED0">
        <w:rPr>
          <w:i/>
          <w:iCs/>
        </w:rPr>
        <w:t xml:space="preserve"> для выявления химерного гена </w:t>
      </w:r>
      <w:r w:rsidRPr="00251ED0">
        <w:rPr>
          <w:i/>
          <w:szCs w:val="24"/>
          <w:lang w:eastAsia="ru-RU"/>
        </w:rPr>
        <w:t>BCR::ABL</w:t>
      </w:r>
      <w:r w:rsidRPr="00251ED0">
        <w:rPr>
          <w:i/>
          <w:iCs/>
          <w:szCs w:val="24"/>
          <w:lang w:eastAsia="ru-RU"/>
        </w:rPr>
        <w:t>1</w:t>
      </w:r>
      <w:r w:rsidR="00A07025" w:rsidRPr="00251ED0">
        <w:rPr>
          <w:i/>
          <w:iCs/>
          <w:szCs w:val="24"/>
          <w:lang w:eastAsia="ru-RU"/>
        </w:rPr>
        <w:t xml:space="preserve"> рекомендуется</w:t>
      </w:r>
      <w:r w:rsidRPr="00251ED0">
        <w:rPr>
          <w:i/>
          <w:iCs/>
        </w:rPr>
        <w:t xml:space="preserve"> </w:t>
      </w:r>
      <w:r w:rsidR="00A07025" w:rsidRPr="00251ED0">
        <w:rPr>
          <w:i/>
          <w:iCs/>
        </w:rPr>
        <w:t>п</w:t>
      </w:r>
      <w:r w:rsidR="00242FD4" w:rsidRPr="00251ED0">
        <w:rPr>
          <w:i/>
          <w:iCs/>
        </w:rPr>
        <w:t xml:space="preserve">ри </w:t>
      </w:r>
      <w:proofErr w:type="spellStart"/>
      <w:r w:rsidR="00242FD4" w:rsidRPr="00251ED0">
        <w:rPr>
          <w:i/>
          <w:iCs/>
        </w:rPr>
        <w:t>неинформативности</w:t>
      </w:r>
      <w:proofErr w:type="spellEnd"/>
      <w:r w:rsidR="00242FD4" w:rsidRPr="00251ED0">
        <w:rPr>
          <w:i/>
          <w:iCs/>
        </w:rPr>
        <w:t xml:space="preserve"> </w:t>
      </w:r>
      <w:r w:rsidR="00B25112" w:rsidRPr="00251ED0">
        <w:rPr>
          <w:i/>
          <w:iCs/>
        </w:rPr>
        <w:t xml:space="preserve">стандартного цитогенетического исследования </w:t>
      </w:r>
      <w:r w:rsidR="00242FD4" w:rsidRPr="00251ED0">
        <w:rPr>
          <w:i/>
          <w:iCs/>
        </w:rPr>
        <w:t xml:space="preserve">(нет митозов, неудовлетворительное качество материала), при </w:t>
      </w:r>
      <w:proofErr w:type="spellStart"/>
      <w:r w:rsidR="00242FD4" w:rsidRPr="00251ED0">
        <w:rPr>
          <w:i/>
          <w:iCs/>
        </w:rPr>
        <w:t>криптических</w:t>
      </w:r>
      <w:proofErr w:type="spellEnd"/>
      <w:r w:rsidR="00242FD4" w:rsidRPr="00251ED0">
        <w:rPr>
          <w:i/>
          <w:iCs/>
        </w:rPr>
        <w:t xml:space="preserve"> </w:t>
      </w:r>
      <w:r w:rsidR="00242FD4" w:rsidRPr="00251ED0">
        <w:rPr>
          <w:i/>
          <w:iCs/>
        </w:rPr>
        <w:lastRenderedPageBreak/>
        <w:t>(скрытых) перестройках</w:t>
      </w:r>
      <w:r w:rsidR="002B2FBF" w:rsidRPr="00251ED0">
        <w:rPr>
          <w:i/>
          <w:iCs/>
        </w:rPr>
        <w:t xml:space="preserve">, выявлении вариантных </w:t>
      </w:r>
      <w:proofErr w:type="spellStart"/>
      <w:r w:rsidR="002B2FBF" w:rsidRPr="00251ED0">
        <w:rPr>
          <w:i/>
          <w:iCs/>
        </w:rPr>
        <w:t>транслокаций</w:t>
      </w:r>
      <w:proofErr w:type="spellEnd"/>
      <w:r w:rsidR="002B2FBF" w:rsidRPr="00251ED0">
        <w:rPr>
          <w:i/>
          <w:iCs/>
        </w:rPr>
        <w:t xml:space="preserve"> (сложных </w:t>
      </w:r>
      <w:proofErr w:type="spellStart"/>
      <w:r w:rsidR="002B2FBF" w:rsidRPr="00251ED0">
        <w:rPr>
          <w:i/>
          <w:iCs/>
        </w:rPr>
        <w:t>транслокаций</w:t>
      </w:r>
      <w:proofErr w:type="spellEnd"/>
      <w:r w:rsidR="002B2FBF" w:rsidRPr="00251ED0">
        <w:rPr>
          <w:i/>
          <w:iCs/>
        </w:rPr>
        <w:t xml:space="preserve"> с вовлечением трех и более хромосом)</w:t>
      </w:r>
      <w:r w:rsidR="00242FD4" w:rsidRPr="00251ED0">
        <w:rPr>
          <w:i/>
          <w:iCs/>
        </w:rPr>
        <w:t xml:space="preserve">, а также отсутствии экспрессии </w:t>
      </w:r>
      <w:r w:rsidR="00242FD4" w:rsidRPr="00251ED0">
        <w:rPr>
          <w:i/>
          <w:iCs/>
          <w:lang w:val="en-US"/>
        </w:rPr>
        <w:t>BCR</w:t>
      </w:r>
      <w:r w:rsidR="00242FD4" w:rsidRPr="00251ED0">
        <w:rPr>
          <w:i/>
          <w:szCs w:val="24"/>
          <w:lang w:eastAsia="ru-RU"/>
        </w:rPr>
        <w:t>::</w:t>
      </w:r>
      <w:r w:rsidR="00242FD4" w:rsidRPr="00251ED0">
        <w:rPr>
          <w:i/>
          <w:iCs/>
          <w:lang w:val="en-US"/>
        </w:rPr>
        <w:t>ABL</w:t>
      </w:r>
      <w:r w:rsidR="00242FD4" w:rsidRPr="00251ED0">
        <w:rPr>
          <w:i/>
          <w:iCs/>
        </w:rPr>
        <w:t xml:space="preserve">1 </w:t>
      </w:r>
      <w:r w:rsidR="00242FD4" w:rsidRPr="00251ED0">
        <w:rPr>
          <w:i/>
          <w:iCs/>
          <w:lang w:val="en-US"/>
        </w:rPr>
        <w:t>p</w:t>
      </w:r>
      <w:r w:rsidR="00242FD4" w:rsidRPr="00251ED0">
        <w:rPr>
          <w:i/>
          <w:iCs/>
        </w:rPr>
        <w:t xml:space="preserve">210 и невозможности выявления атипичных вариантов химерных </w:t>
      </w:r>
      <w:proofErr w:type="spellStart"/>
      <w:r w:rsidR="00242FD4" w:rsidRPr="00251ED0">
        <w:rPr>
          <w:i/>
          <w:iCs/>
        </w:rPr>
        <w:t>транскриптов</w:t>
      </w:r>
      <w:proofErr w:type="spellEnd"/>
      <w:r w:rsidR="00242FD4" w:rsidRPr="00251ED0">
        <w:rPr>
          <w:i/>
          <w:iCs/>
        </w:rPr>
        <w:t xml:space="preserve"> методом</w:t>
      </w:r>
      <w:r w:rsidR="00242FD4" w:rsidRPr="00251ED0">
        <w:rPr>
          <w:iCs/>
        </w:rPr>
        <w:t xml:space="preserve"> ПЦР </w:t>
      </w:r>
      <w:r w:rsidR="00242FD4" w:rsidRPr="00251ED0">
        <w:fldChar w:fldCharType="begin"/>
      </w:r>
      <w:r w:rsidR="00242FD4" w:rsidRPr="00251ED0">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leukaemia","type":"article","volume":"370"},"uris":["http://www.mendeley.com/documents/?uuid=e79646c4-7c7c-3553-bfd7-10298948200e"]},{"id":"ITEM-2","itemData":{"DOI":"10.1182/blood.v91.9.3357.3357_3357_3365","ISSN":"00064971","PMID":"9558393","abstract":"We investigated a new method using fluorescence in situ hybridization and DNA probes that span the common break-points of t(9;22)(q34;q11.2) and that detect double BCR/ABL fusion (D-FISH) in bone marrow cells with this translocation, one on the abnormal chromosome 9 and one on the Philadelphia chromosome (Ph chromosome). D-FISH patterns were abnormal in 30 of 30 specimens with classic, simple, complex, and masked Ph chromosomes. Based on 200 nuclei from each of 30 normal specimens, the mean percentage of false- positive cells was 0.25 ± 0.39. Thirty-seven specimens from 10 patients were studied before treatment and two or more times at 4-month intervals after treatment with interferon-α(2b) (IFN-α(2b)) with or without ara-C. Based on 200 nuclei, the results of D-FISH in these specimens correlated closely with quantitative cytogenetics and accurately quantified disease within a few percent. We studied 6,000 nuclei for each of six specimens, three normal and three from patients with chronic myeloid leukemia (CML) in cytogenetic remission. The normal cutoff for 6,000 nuclei was 0.079% and patients in cytogenetic remission had residual disease ranging from 7 (0.117%)to 53 (0.883%) Ph-positive nuclei. We conclude that D-FISH can detect the ph chromosome and its variant translocations and accurately quantify disease in CML at diagnosis and at all times after treatment, including cytogenetic remission.","author":[{"dropping-particle":"","family":"Dewald","given":"Gordon W.","non-dropping-particle":"","parse-names":false,"suffix":""},{"dropping-particle":"","family":"Wyatt","given":"William A.","non-dropping-particle":"","parse-names":false,"suffix":""},{"dropping-particle":"","family":"Juneau","given":"Amy L.","non-dropping-particle":"","parse-names":false,"suffix":""},{"dropping-particle":"","family":"Carlson","given":"Richard O.","non-dropping-particle":"","parse-names":false,"suffix":""},{"dropping-particle":"","family":"Zinsmeister","given":"Alan R.","non-dropping-particle":"","parse-names":false,"suffix":""},{"dropping-particle":"","family":"Jalal","given":"Syed M.","non-dropping-particle":"","parse-names":false,"suffix":""},{"dropping-particle":"","family":"Spurbeck","given":"Jack L.","non-dropping-particle":"","parse-names":false,"suffix":""},{"dropping-particle":"","family":"Silver","given":"Richard T.","non-dropping-particle":"","parse-names":false,"suffix":""}],"container-title":"Blood","id":"ITEM-2","issue":"9","issued":{"date-parts":[["1998","5","1"]]},"page":"3357-3365","publisher":"American Society of Hematology","title":"Highly sensitive fluorescence in situ hybridization method to detect double BCR/ABL fusion and monitor response to therapy in chronic myeloid leukemia","type":"article-journal","volume":"91"},"uris":["http://www.mendeley.com/documents/?uuid=daf09a71-aefe-390e-bd71-468723f9b6de"]},{"id":"ITEM-3","itemData":{"DOI":"10.1002/cncr.25678","ISSN":"0008543X","abstract":"BACKGROUND: The current study was conducted to compare simultaneously obtained bone marrow (BM) cytogenetics (CTG), peripheral blood (PB) and BM fluorescence in situ hybridization (FISH), and quantitative real-time polymerase chain reaction (Q-PCR) for BCR-ABL1 in monitoring response to treatment with tyrosine kinase inhibitors and homoharringtonine (HHT) in patients with chronic myeloid leukemia (CML). METHODS: PB and BM FISH (n = 112 samples) and/or Q-PCR (n = 132 samples) for BCR-ABL1 were simultaneously obtained in 70 patients with Philadelphia chromosome-positive (Ph+) CML in chronic (68%), accelerated (16%), and blast phase (16%) before the initiation of therapy and during the course of treatment with imatinib (IM) (n = 40 patients), dasatinib (n = 20 patients), nilotinib (n = 4 patients), bosutinib (n = 18 patients), or HHT (n = 4 patients) for patients with newly diagnosed (n = 13 patients), IM-sensitive (n = 34 patients), IM-resistant (n = 30 patients), or IM-intolerant (n = 9 patients) disease. Eighteen patients were found to have Ph+ variants or karyotypic abnormalities in addition to the Ph+. RESULTS: Excellent correlations (r) were observed between PB and BM FISH (r = 0.95) and PB and BM Q-PCR (r = 0.87), as well as BM CTG and PB FISH (r = 0.89) and PB Q-PCR (r = 0.82). This correlation was not affected by the presence of the Ph+ variant or additional chromosomal abnormalities, the presence of ABL1 kinase domain mutations, phase of the disease, or treatment. CONCLUSIONS: PB FISH and Q-PCR appear to be reliable methods with which to monitor response to modern therapy in patients with all phases of CML. © 2010 American Cancer Society.","author":[{"dropping-particle":"","family":"Lima","given":"Lisa","non-dropping-particle":"","parse-names":false,"suffix":""},{"dropping-particle":"","family":"Bernal-Mizrachi","given":"Leon","non-dropping-particle":"","parse-names":false,"suffix":""},{"dropping-particle":"","family":"Saxe","given":"Debra","non-dropping-particle":"","parse-names":false,"suffix":""},{"dropping-particle":"","family":"Mann","given":"Karen P.","non-dropping-particle":"","parse-n</w:instrText>
      </w:r>
      <w:r w:rsidR="00242FD4" w:rsidRPr="00251ED0">
        <w:rPr>
          <w:lang w:val="en-US"/>
        </w:rPr>
        <w:instrText>ames":false,"suffix":""},{"dropping-particle":"","family":"Tighiouart","given":"Mourad","non-dropping-particle":"","parse-names":false,"suffix":""},{"dropping-particle":"","family":"Arellano","given":"Martha","non-dropping-particle":"","parse-names":false,"suffix":""},{"dropping-particle":"","family":"Heffner","given":"Leonard","non-dropping-particle":"","parse-names":false,"suffix":""},{"dropping-particle":"","family":"McLemore","given":"Morgan","non-dropping-particle":"","parse-names":false,"suffix":""},{"dropping-particle":"","family":"Langston","given":"Amelia","non-dropping-particle":"","parse-names":false,"suffix":""},{"dropping-particle":"","family":"Winton","given":"Elliott","non-dropping-particle":"","parse-names":false,"suffix":""},{"dropping-particle":"","family":"Khoury","given":"Hanna Jean","non-dropping-particle":"","parse-names":false,"suffix":""}],"container-title":"Cancer","id":"ITEM-3","issue":"6","issued":{"date-parts":[["2011","3","15"]]},"page":"1245-1252","title":"Peripheral blood monitoring of chronic myeloid leukemia during treatment with imatinib, second-line agents, and beyond","type":"article-journal","volume":"117"},"uris":["http://www.mendeley.com/documents/?uuid=995a564b-ca83-3880-a812-8148d7cedb42"]}],"mendeley":{"formattedCitation":"[1,12,13]","plainTextFormattedCitation":"[1,12,13]","previouslyFormattedCitation":"[1,12,13]"},"properties":{"noteIndex":0},"schema":"https://github.com/citation-style-language/schema/raw/master/csl-citation.json"}</w:instrText>
      </w:r>
      <w:r w:rsidR="00242FD4" w:rsidRPr="00251ED0">
        <w:fldChar w:fldCharType="end"/>
      </w:r>
      <w:bookmarkStart w:id="18" w:name="__Fieldmark__1323_2024483163"/>
      <w:bookmarkEnd w:id="18"/>
      <w:r w:rsidR="00242FD4" w:rsidRPr="00251ED0">
        <w:rPr>
          <w:iCs/>
          <w:szCs w:val="24"/>
          <w:lang w:val="en-US" w:eastAsia="ru-RU"/>
        </w:rPr>
        <w:t>[1,12,13</w:t>
      </w:r>
      <w:r w:rsidR="00130BE9" w:rsidRPr="00130BE9">
        <w:rPr>
          <w:iCs/>
          <w:szCs w:val="24"/>
          <w:lang w:val="en-US" w:eastAsia="ru-RU"/>
        </w:rPr>
        <w:t>,105</w:t>
      </w:r>
      <w:r w:rsidR="00242FD4" w:rsidRPr="00251ED0">
        <w:rPr>
          <w:iCs/>
          <w:szCs w:val="24"/>
          <w:lang w:val="en-US" w:eastAsia="ru-RU"/>
        </w:rPr>
        <w:t>]</w:t>
      </w:r>
      <w:bookmarkStart w:id="19" w:name="__Fieldmark__1364_562553030"/>
      <w:bookmarkEnd w:id="19"/>
      <w:r w:rsidR="00242FD4" w:rsidRPr="00251ED0">
        <w:rPr>
          <w:iCs/>
          <w:lang w:val="en-US"/>
        </w:rPr>
        <w:t>.</w:t>
      </w:r>
    </w:p>
    <w:p w14:paraId="640DA9F0" w14:textId="2F47E00E" w:rsidR="000C7098" w:rsidRPr="00242FD4" w:rsidRDefault="000C7098" w:rsidP="00A07025">
      <w:pPr>
        <w:spacing w:before="120"/>
        <w:ind w:firstLine="0"/>
        <w:rPr>
          <w:b/>
          <w:bCs/>
        </w:rPr>
      </w:pPr>
      <w:r w:rsidRPr="00242FD4">
        <w:rPr>
          <w:b/>
          <w:bCs/>
          <w:szCs w:val="24"/>
          <w:lang w:eastAsia="ru-RU"/>
        </w:rPr>
        <w:t>Уровень</w:t>
      </w:r>
      <w:r w:rsidRPr="00242FD4">
        <w:rPr>
          <w:b/>
          <w:bCs/>
        </w:rPr>
        <w:t xml:space="preserve"> убедительности рекомендаций – С (уровень достоверности доказательств – 4).</w:t>
      </w:r>
    </w:p>
    <w:p w14:paraId="76586D0D" w14:textId="6B66785C" w:rsidR="008118AE" w:rsidRPr="00251ED0" w:rsidRDefault="000C7098" w:rsidP="00505FD7">
      <w:pPr>
        <w:numPr>
          <w:ilvl w:val="0"/>
          <w:numId w:val="18"/>
        </w:numPr>
        <w:rPr>
          <w:iCs/>
        </w:rPr>
      </w:pPr>
      <w:r w:rsidRPr="00062B4F">
        <w:rPr>
          <w:b/>
          <w:bCs/>
          <w:iCs/>
        </w:rPr>
        <w:t>Рекомендуется</w:t>
      </w:r>
      <w:r w:rsidRPr="00062B4F">
        <w:rPr>
          <w:bCs/>
          <w:iCs/>
        </w:rPr>
        <w:t xml:space="preserve"> всем пациентам</w:t>
      </w:r>
      <w:r w:rsidRPr="00062B4F">
        <w:rPr>
          <w:b/>
          <w:bCs/>
          <w:iCs/>
        </w:rPr>
        <w:t xml:space="preserve"> </w:t>
      </w:r>
      <w:r w:rsidRPr="00062B4F">
        <w:rPr>
          <w:iCs/>
        </w:rPr>
        <w:t xml:space="preserve">при установлении </w:t>
      </w:r>
      <w:r w:rsidR="00AA3586" w:rsidRPr="00251ED0">
        <w:rPr>
          <w:iCs/>
        </w:rPr>
        <w:t xml:space="preserve">диагноза </w:t>
      </w:r>
      <w:r w:rsidRPr="00251ED0">
        <w:rPr>
          <w:iCs/>
        </w:rPr>
        <w:t xml:space="preserve">ХМЛ проводить </w:t>
      </w:r>
      <w:r w:rsidR="00A07025" w:rsidRPr="00251ED0">
        <w:rPr>
          <w:iCs/>
        </w:rPr>
        <w:t xml:space="preserve">определение типа химерного </w:t>
      </w:r>
      <w:proofErr w:type="spellStart"/>
      <w:r w:rsidR="00A07025" w:rsidRPr="00251ED0">
        <w:rPr>
          <w:iCs/>
        </w:rPr>
        <w:t>транскрипта</w:t>
      </w:r>
      <w:proofErr w:type="spellEnd"/>
      <w:r w:rsidR="00A07025" w:rsidRPr="00251ED0">
        <w:rPr>
          <w:iCs/>
        </w:rPr>
        <w:t xml:space="preserve"> </w:t>
      </w:r>
      <w:proofErr w:type="gramStart"/>
      <w:r w:rsidR="00A07025" w:rsidRPr="00251ED0">
        <w:rPr>
          <w:i/>
          <w:iCs/>
        </w:rPr>
        <w:t>BCR::</w:t>
      </w:r>
      <w:proofErr w:type="gramEnd"/>
      <w:r w:rsidR="00A07025" w:rsidRPr="00251ED0">
        <w:rPr>
          <w:i/>
          <w:iCs/>
        </w:rPr>
        <w:t>ABL</w:t>
      </w:r>
      <w:r w:rsidR="00A07025" w:rsidRPr="00251ED0">
        <w:rPr>
          <w:iCs/>
        </w:rPr>
        <w:t xml:space="preserve"> методом ПЦР, а также </w:t>
      </w:r>
      <w:r w:rsidR="00846D08">
        <w:rPr>
          <w:iCs/>
        </w:rPr>
        <w:t>о</w:t>
      </w:r>
      <w:r w:rsidR="002B2FBF" w:rsidRPr="00251ED0">
        <w:rPr>
          <w:iCs/>
        </w:rPr>
        <w:t xml:space="preserve">пределение экспрессии </w:t>
      </w:r>
      <w:proofErr w:type="spellStart"/>
      <w:r w:rsidR="002B2FBF" w:rsidRPr="00251ED0">
        <w:rPr>
          <w:iCs/>
        </w:rPr>
        <w:t>мРНК</w:t>
      </w:r>
      <w:proofErr w:type="spellEnd"/>
      <w:r w:rsidR="002B2FBF" w:rsidRPr="00251ED0">
        <w:rPr>
          <w:iCs/>
        </w:rPr>
        <w:t xml:space="preserve"> </w:t>
      </w:r>
      <w:r w:rsidR="002B2FBF" w:rsidRPr="00251ED0">
        <w:rPr>
          <w:i/>
          <w:iCs/>
        </w:rPr>
        <w:t>BCR</w:t>
      </w:r>
      <w:r w:rsidR="00A07025" w:rsidRPr="00251ED0">
        <w:rPr>
          <w:i/>
          <w:iCs/>
          <w:color w:val="FF0000"/>
        </w:rPr>
        <w:t>-</w:t>
      </w:r>
      <w:r w:rsidR="002B2FBF" w:rsidRPr="00251ED0">
        <w:rPr>
          <w:i/>
          <w:iCs/>
        </w:rPr>
        <w:t>ABL</w:t>
      </w:r>
      <w:r w:rsidR="00A07025" w:rsidRPr="00251ED0">
        <w:rPr>
          <w:iCs/>
        </w:rPr>
        <w:t xml:space="preserve"> p210 (количественное) для химерных </w:t>
      </w:r>
      <w:proofErr w:type="spellStart"/>
      <w:r w:rsidR="00A07025" w:rsidRPr="00251ED0">
        <w:rPr>
          <w:iCs/>
        </w:rPr>
        <w:t>транскриптов</w:t>
      </w:r>
      <w:proofErr w:type="spellEnd"/>
      <w:r w:rsidR="00A07025" w:rsidRPr="00251ED0">
        <w:rPr>
          <w:iCs/>
        </w:rPr>
        <w:t xml:space="preserve"> </w:t>
      </w:r>
      <w:r w:rsidR="002B2FBF" w:rsidRPr="00251ED0">
        <w:rPr>
          <w:iCs/>
          <w:szCs w:val="24"/>
          <w:lang w:val="en-US" w:eastAsia="ru-RU"/>
        </w:rPr>
        <w:t>e</w:t>
      </w:r>
      <w:r w:rsidR="002B2FBF" w:rsidRPr="00251ED0">
        <w:rPr>
          <w:iCs/>
          <w:szCs w:val="24"/>
          <w:lang w:eastAsia="ru-RU"/>
        </w:rPr>
        <w:t>13</w:t>
      </w:r>
      <w:r w:rsidR="002B2FBF" w:rsidRPr="00251ED0">
        <w:rPr>
          <w:iCs/>
          <w:szCs w:val="24"/>
          <w:lang w:val="en-US" w:eastAsia="ru-RU"/>
        </w:rPr>
        <w:t>a</w:t>
      </w:r>
      <w:r w:rsidR="002B2FBF" w:rsidRPr="00251ED0">
        <w:rPr>
          <w:iCs/>
          <w:szCs w:val="24"/>
          <w:lang w:eastAsia="ru-RU"/>
        </w:rPr>
        <w:t xml:space="preserve">2 или </w:t>
      </w:r>
      <w:r w:rsidR="002B2FBF" w:rsidRPr="00251ED0">
        <w:rPr>
          <w:iCs/>
          <w:szCs w:val="24"/>
          <w:lang w:val="en-US" w:eastAsia="ru-RU"/>
        </w:rPr>
        <w:t>e</w:t>
      </w:r>
      <w:r w:rsidR="002B2FBF" w:rsidRPr="00251ED0">
        <w:rPr>
          <w:iCs/>
          <w:szCs w:val="24"/>
          <w:lang w:eastAsia="ru-RU"/>
        </w:rPr>
        <w:t>14</w:t>
      </w:r>
      <w:r w:rsidR="002B2FBF" w:rsidRPr="00251ED0">
        <w:rPr>
          <w:iCs/>
          <w:szCs w:val="24"/>
          <w:lang w:val="en-US" w:eastAsia="ru-RU"/>
        </w:rPr>
        <w:t>a</w:t>
      </w:r>
      <w:r w:rsidR="00A07025" w:rsidRPr="00251ED0">
        <w:rPr>
          <w:iCs/>
          <w:szCs w:val="24"/>
          <w:lang w:eastAsia="ru-RU"/>
        </w:rPr>
        <w:t>2.</w:t>
      </w:r>
    </w:p>
    <w:p w14:paraId="2A8E0F35" w14:textId="4EC98F1D" w:rsidR="00B72302" w:rsidRPr="00A07025" w:rsidRDefault="00A07025" w:rsidP="008118AE">
      <w:pPr>
        <w:ind w:left="720" w:firstLine="0"/>
        <w:rPr>
          <w:i/>
          <w:iCs/>
        </w:rPr>
      </w:pPr>
      <w:r w:rsidRPr="00846D08">
        <w:rPr>
          <w:b/>
          <w:bCs/>
          <w:i/>
          <w:iCs/>
        </w:rPr>
        <w:t>Комментарий.</w:t>
      </w:r>
      <w:r w:rsidR="008118AE" w:rsidRPr="00846D08">
        <w:rPr>
          <w:i/>
          <w:iCs/>
          <w:szCs w:val="24"/>
          <w:lang w:eastAsia="ru-RU"/>
        </w:rPr>
        <w:t xml:space="preserve"> </w:t>
      </w:r>
      <w:r w:rsidR="002B2FBF" w:rsidRPr="00846D08">
        <w:rPr>
          <w:i/>
          <w:iCs/>
        </w:rPr>
        <w:t xml:space="preserve">В случае отсутствия типичных для ХМЛ химерных </w:t>
      </w:r>
      <w:proofErr w:type="spellStart"/>
      <w:r w:rsidR="002B2FBF" w:rsidRPr="00846D08">
        <w:rPr>
          <w:i/>
          <w:iCs/>
        </w:rPr>
        <w:t>транскриптов</w:t>
      </w:r>
      <w:proofErr w:type="spellEnd"/>
      <w:r w:rsidR="002B2FBF" w:rsidRPr="00846D08">
        <w:rPr>
          <w:i/>
          <w:iCs/>
        </w:rPr>
        <w:t xml:space="preserve"> </w:t>
      </w:r>
      <w:r w:rsidR="002B2FBF" w:rsidRPr="00846D08">
        <w:rPr>
          <w:i/>
          <w:szCs w:val="24"/>
          <w:lang w:eastAsia="ru-RU"/>
        </w:rPr>
        <w:t>BCR::ABL</w:t>
      </w:r>
      <w:r w:rsidR="002B2FBF" w:rsidRPr="00846D08">
        <w:rPr>
          <w:i/>
          <w:iCs/>
          <w:szCs w:val="24"/>
          <w:lang w:eastAsia="ru-RU"/>
        </w:rPr>
        <w:t xml:space="preserve">1 </w:t>
      </w:r>
      <w:r w:rsidR="002B2FBF" w:rsidRPr="00846D08">
        <w:rPr>
          <w:i/>
          <w:iCs/>
        </w:rPr>
        <w:t xml:space="preserve">p210 следует выполнить качественное определение атипичных типов </w:t>
      </w:r>
      <w:proofErr w:type="spellStart"/>
      <w:r w:rsidR="002B2FBF" w:rsidRPr="00846D08">
        <w:rPr>
          <w:i/>
          <w:iCs/>
        </w:rPr>
        <w:t>транскриптов</w:t>
      </w:r>
      <w:proofErr w:type="spellEnd"/>
      <w:r w:rsidR="002B2FBF" w:rsidRPr="00846D08">
        <w:rPr>
          <w:i/>
          <w:iCs/>
        </w:rPr>
        <w:t xml:space="preserve"> </w:t>
      </w:r>
      <w:r w:rsidR="002B2FBF" w:rsidRPr="00846D08">
        <w:rPr>
          <w:i/>
          <w:szCs w:val="24"/>
          <w:lang w:eastAsia="ru-RU"/>
        </w:rPr>
        <w:t>BCR::ABL</w:t>
      </w:r>
      <w:r w:rsidR="002B2FBF" w:rsidRPr="00846D08">
        <w:rPr>
          <w:i/>
          <w:iCs/>
          <w:szCs w:val="24"/>
          <w:lang w:eastAsia="ru-RU"/>
        </w:rPr>
        <w:t xml:space="preserve">1 </w:t>
      </w:r>
      <w:r w:rsidR="002B2FBF" w:rsidRPr="00846D08">
        <w:rPr>
          <w:i/>
          <w:iCs/>
          <w:lang w:val="en-US"/>
        </w:rPr>
        <w:t>p</w:t>
      </w:r>
      <w:r w:rsidR="002B2FBF" w:rsidRPr="00846D08">
        <w:rPr>
          <w:i/>
          <w:iCs/>
        </w:rPr>
        <w:t xml:space="preserve">190 и p230, а в случаях их отсутствия и других более редких в лабораториях, владеющих данными методиками, либо провести исследование методом </w:t>
      </w:r>
      <w:r w:rsidR="002B2FBF" w:rsidRPr="00846D08">
        <w:rPr>
          <w:i/>
          <w:iCs/>
          <w:lang w:val="en-US"/>
        </w:rPr>
        <w:t>FISH</w:t>
      </w:r>
      <w:r w:rsidR="002B2FBF" w:rsidRPr="00846D08">
        <w:rPr>
          <w:i/>
          <w:iCs/>
        </w:rPr>
        <w:t xml:space="preserve"> </w:t>
      </w:r>
      <w:r w:rsidR="00B25112" w:rsidRPr="00846D08">
        <w:rPr>
          <w:i/>
          <w:iCs/>
        </w:rPr>
        <w:t xml:space="preserve">– </w:t>
      </w:r>
      <w:r w:rsidR="00B25112" w:rsidRPr="00846D08">
        <w:rPr>
          <w:i/>
        </w:rPr>
        <w:t>Молекулярно-цитогенетическое исследование (FISH-метод) на одну пару хромосом</w:t>
      </w:r>
      <w:r w:rsidR="00AA3586" w:rsidRPr="00846D08">
        <w:rPr>
          <w:i/>
          <w:iCs/>
        </w:rPr>
        <w:t xml:space="preserve"> для выявления химерного гена </w:t>
      </w:r>
      <w:r w:rsidR="00AA3586" w:rsidRPr="00846D08">
        <w:rPr>
          <w:i/>
          <w:szCs w:val="24"/>
          <w:lang w:eastAsia="ru-RU"/>
        </w:rPr>
        <w:t>BCR::ABL</w:t>
      </w:r>
      <w:r w:rsidR="00AA3586" w:rsidRPr="00846D08">
        <w:rPr>
          <w:i/>
          <w:iCs/>
          <w:szCs w:val="24"/>
          <w:lang w:eastAsia="ru-RU"/>
        </w:rPr>
        <w:t>1</w:t>
      </w:r>
      <w:r w:rsidR="002B2FBF" w:rsidRPr="00846D08">
        <w:rPr>
          <w:i/>
          <w:iCs/>
        </w:rPr>
        <w:t xml:space="preserve">. </w:t>
      </w:r>
      <w:r w:rsidR="00B72302" w:rsidRPr="00846D08">
        <w:rPr>
          <w:i/>
          <w:iCs/>
        </w:rPr>
        <w:fldChar w:fldCharType="begin" w:fldLock="1"/>
      </w:r>
      <w:r w:rsidR="00B72302" w:rsidRPr="00846D08">
        <w:rPr>
          <w:i/>
          <w:iCs/>
        </w:rPr>
        <w:instrText>ADDIN CSL_CITATION {"citationItems":[{"id":"ITEM-1","itemData":{"DOI":"10.1002/cncr.25678","ISSN":"0008543X","abstract":"BACKGROUND: The current study was conducted to compare simultaneously obtained bone marrow (BM) cytogenetics (CTG), peripheral blood (PB) and BM fluorescence in situ hybridization (FISH), and quantitative real-time polymerase chain reaction (Q-PCR) for BCR-ABL1 in monitoring response to treatment with tyrosine kinase inhibitors and homoharringtonine (HHT) in patients with chronic myeloid leukemia (CML). METHODS: PB and BM FISH (n = 112 samples) and/or Q-PCR (n = 132 samples) for BCR-ABL1 were simultaneously obtained in 70 patients with Philadelphia chromosome-positive (Ph+) CML in chronic (68%), accelerated (16%), and blast phase (16%) before the initiation of therapy and during the course of treatment with imatinib (IM) (n = 40 patients), dasatinib (n = 20 patients), nilotinib (n = 4 patients), bosutinib (n = 18 patients), or HHT (n = 4 patients) for patients with newly diagnosed (n = 13 patients), IM-sensitive (n = 34 patients), IM-resistant (n = 30 patients), or IM-intolerant (n = 9 patients) disease. Eighteen patients were found to have Ph+ variants or karyotypic abnormalities in addition to the Ph+. RESULTS: Excellent correlations (r) were observed between PB and BM FISH (r = 0.95) and PB and BM Q-PCR (r = 0.87), as well as BM CTG and PB FISH (r = 0.89) and PB Q-PCR (r = 0.82). This correlation was not affected by the presence of the Ph+ variant or additional chromosomal abnormalities, the presence of ABL1 kinase domain mutations, phase of the disease, or treatment. CONCLUSIONS: PB FISH and Q-PCR appear to be reliable methods with which to monitor response to modern therapy in patients with all phases of CML. © 2010 American Cancer Society.","author":[{"dropping-particle":"","family":"Lima","given":"Lisa","non-dropping-particle":"","parse-names":false,"suffix":""},{"dropping-particle":"","family":"Bernal-Mizrachi","given":"Leon","non-dropping-particle":"","parse-names":false,"suffix":""},{"dropping-particle":"","family":"Saxe","given":"Debra","non-dropping-particle":"","parse-names":false,"suffix":""},{"dropping-particle":"","family":"Mann","given":"Karen P.","non-dropping-particle":"","parse-names":false,"suffix":""},{"dropping-particle":"","family":"Tighiouart","given":"Mourad","non-dropping-particle":"","parse-names":false,"suffix":""},{"dropping-particle":"","family":"Arellano","given":"Martha","non-dropping-particle":"","parse-names":false,"suffix":""},{"dropping-particle":"","family":"Heffner","given":"Leonard","non-dropping-particle":"","parse-names":false,"suffix":""},{"dropping-particle":"","family":"McLemore","given":"Morgan","non-dropping-particle":"","parse-names":false,"suffix":""},{"dropping-particle":"","family":"Langston","given":"Amelia","non-dropping-particle":"","parse-names":false,"suffix":""},{"dropping-particle":"","family":"Winton","given":"Elliott","non-dropping-particle":"","parse-names":false,"suffix":""},{"dropping-particle":"","family":"Khoury","given":"Hanna Jean","non-dropping-particle":"","parse-names":false,"suffix":""}],"container-title":"Cancer","id":"ITEM-1","issue":"6","issued":{"date-parts":[["2011","3","15"]]},"page":"1245-1252","title":"Peripheral blood monitoring of chronic myeloid leukemia during treatment with imatinib, second-line agents, and beyond","type":"article-journal","volume":"117"},"uris":["http://www.mendeley.com/documents/?uuid=995a564b-ca83-3880-a812-8148d7cedb42"]},{"id":"ITEM-2","itemData":{"ISSN":"1078-0432","PMID":"12538464","abstract":"PURPOSE The purpose of our investigation was to evaluate the response and minimal residual disease by quantitative competitive PCR (QC-PCR) studies in patients with chronic myeloid leukemia (CML) treated with imatinib mesylate. EXPERIMENTAL DESIGN One hundred eighty patients with Philadelphia chromosome (Ph)-positive chronic-phase CML after IFN-alpha failure, treated with imatinib mesylate, had 543 simultaneous cytogenetic and QC-PCR analyses at different times during their therapy. RESULTS The median QC-PCR values [ratio-percentage of (BCR-ABL/ABL transcripts) x 100] for cytogenetic response categories were: no response (Ph, &gt;90%), 36%; minor response (Ph, 35-90%), 22%; partial response (Ph, 1-34%), 7.3%; complete response (Ph, 0%), 0.89%. There was good correlation between cytogenetic and QC-PCR studies (P &lt; 0.001; r = 0.92) and good concordance between QC-PCR values (&gt;10%, 2-10%, and &lt;2%) and cytogenetic response categories (none, minor, partial, complete) with a concordance rate of 66%, and major discordance of only 10%. Of 170 samples in complete cytogenetic response, 21% still had QC-PCR values of &gt;10%, and 53% had QC-PCR values of &lt;1%. There was excellent concordance between blood and marrow QC-PCR values (r = 0.965; P &lt; 0.01; concordance rate, 88%; major discordance, 0%). No patient in complete cytogenetic response regardless of QC-PCR value has yet relapsed. At a median follow-up time of 26 months, higher QC-PCR values within each cytogenetic category at 3, 6, and 9 months have not been associated with a higher occurrence cytogenetic relapse or disease progression. However, the significance of this may become different with longer follow-up. CONCLUSION QC-PCR studies provide a useful tool to monitor patients with CML on imatinib mesylate therapy.","author":[{"dropping-particle":"","family":"Kantarjian","given":"Hagop M","non-dropping-particle":"","parse-names":false,"suffix":""},{"dropping-particle":"","family":"Talpaz","given":"Moshe","non-dropping-particle":"","parse-names":false,"suffix":""},{"dropping-particle":"","family":"Cortes","given":"Jorge","non-dropping-particle":"","parse-names":false,"suffix":""},{"dropping-particle":"","family":"O'Brien","given":"Susan","non-dropping-particle":"","parse-names":false,"suffix":""},{"dropping-particle":"","family":"Faderl","given":"Stefan","non-dropping-particle":"","parse-names":false,"suffix":""},{"dropping-particle":"","family":"Thomas","given":"Deborah","non-dropping-particle":"","parse-names":false,"suffix":""},{"dropping-particle":"","family":"Giles","given":"Francis","non-dropping-particle":"","parse-names":false,"suffix":""},{"dropping-particle":"","family":"Rios","given":"Mary Beth","non-dropping-particle":"","parse-names":false,"suffix":""},{"dropping-particle":"","family":"Shan","given":"Jianqin","non-dropping-particle":"","parse-names":false,"suffix":""},{"dropping-particle":"","family":"Arlinghaus","given":"Ralph","non-dropping-particle":"","parse-names":false,"suffix":""}],"container-title":"Clinical cancer research : an official journal of the American Association for Cancer Research","id":"ITEM-2","issue":"1","issued":{"date-parts":[["2003","1"]]},"page":"160-6","title":"Quantitative polymerase chain reaction monitoring of BCR-ABL during therapy with imatinib mesylate (STI571; gleevec) in chronic-phase chronic myelogenous leukemia.","type":"article-journal","volume":"9"},"uris":["http://www.mendeley.com/documents/?uuid=94c743b3-7cd3-374f-a5b3-4bdf4d1ed70a","http://www.mendeley.com/documents/?uuid=62ac2471-5b3a-4c19-87d4-172582dc6d01"]},{"id":"ITEM-3","itemData":{"DOI":"10.1182/blood-2006-01-0092","ISSN":"0006-4971","PMID":"16522812","abstract":"The introduction in 1998 of imatinib mesylate (IM) revolutionized management of patients with chronic myeloid leukemia (CML) and the second generation of tyrosine kinase inhibitors may prove superior to IM. Real-time quantitative polymerase chain reaction (RQ-PCR) provides an accurate measure of the total leukemiacell mass and the degree to which BCR-ABL transcripts are reduced by therapy correlates with progression-free survival. Because a rising level of BCR-ABL is an early indication of loss of response and thus the need to reassess therapeutic strategy, regular molecular monitoring of individual patients is clearly desirable. Here we summarize the results of a consensus meeting that took place at the National Institutes of Health (NIH) in Bethesda in October 2005. We make suggestions for (1) harmonizing the differing methodologies for measuring BCR-ABL transcripts in patients with CML undergoing treatment and using a conversion factor whereby individual laboratories can express BCR-ABL transcript levels on an internationally agreed scale; (2) using serial RQ-PCR results rather than bone marrow cytogenetics or fluorescence in situ hybridization (FISH) for the BCR-ABL gene to monitor individual patients responding to treatment; and (3) detecting and reporting Philadelphia (Ph) chromosome-positive subpopulations bearing BCR-ABL kinase domain mutations. We recognize that our recommendations are provisional and will require revision as new evidence emerges.","author":[{"dropping-particle":"","family":"Hughes","given":"T.","non-dropping-particle":"","parse-names":false,"suffix":""},{"dropping-particle":"","family":"Deininger","given":"Michael","non-dropping-particle":"","parse-names":false,"suffix":""},{"dropping-particle":"","family":"Hochhaus","given":"Andreas","non-dropping-particle":"","parse-names":false,"suffix":""},{"dropping-particle":"","family":"Branford","given":"Susan","non-dropping-particle":"","parse-names":false,"suffix":""},{"dropping-particle":"","family":"Radich","given":"Jerald","non-dropping-particle":"","parse-names":false,"suffix":""},{"dropping-particle":"","family":"Kaeda","given":"Jaspal","non-dropping-particle":"","parse-names":false,"suffix":""},{"dropping-particle":"","family":"Baccarani","given":"Michele","non-dropping-particle":"","parse-names":false,"suffix":""},{"dropping-particle":"","family":"Cortes","given":"Jorge","non-dropping-particle":"","parse-names":false,"suffix":""},{"dropping-particle":"","family":"Cross","given":"Nicholas C P","non-dropping-particle":"","parse-names":false,"suffix":""},{"dropping-particle":"","family":"Druker","given":"Brian J","non-dropping-particle":"","parse-names":false,"suffix":""},{"dropping-particle":"","family":"Gabert","given":"Jean","non-dropping-particle":"","parse-names":false,"suffix":""},{"dropping-particle":"","family":"Grimwade","given":"David","non-dropping-particle":"","parse-names":false,"suffix":""},{"dropping-particle":"","family":"Hehlmann","given":"Rüdiger","non-dropping-particle":"","parse-names":false,"suffix":""},{"dropping-particle":"","family":"Kamel-Reid","given":"Suzanne","non-dropping-particle":"","parse-names":false,"suffix":""},{"dropping-particle":"","family":"Lipton","given":"Jeffrey H","non-dropping-particle":"","parse-names":false,"suffix":""},{"dropping-particle":"","family":"Longtine","given":"Janina","non-dropping-particle":"","parse-names":false,"suffix":""},{"dropping-particle":"","family":"Martinelli","given":"Giovanni","non-dropping-particle":"","parse-names":false,"suffix":""},{"dropping-particle":"","family":"Saglio","given":"Giuseppe","non-dropping-particle":"","parse-names":false,"suffix":""},{"dropping-particle":"","family":"Soverini","given":"Simona","non-dropping-particle":"","parse-names":false,"suffix":""},{"dropping-particle":"","family":"Stock","given":"Wendy","non-dropping-particle":"","parse-names":false,"suffix":""},{"dropping-particle":"","family":"Goldman","given":"John M","non-dropping-particle":"","parse-names":false,"suffix":""}],"container-title":"Blood","id":"ITEM-3","issue":"1","issued":{"date-parts":[["2006","7"]]},"page":"28-37","title":"Monitoring CML patients responding to treatment with tyrosine kinase inhibitors: review and recommendations for harmonizing current methodology for detecting BCR-ABL transcripts and kinase domain mutations and for expressing results","type":"article-journal","volume":"108"},"uris":["http://www.mendeley.com/documents/?uuid=71c8ca6b-7581-47eb-9cb2-d4cf3d18d8b4"]},{"id":"ITEM-4","itemData":{"DOI":"10.1046/j.1365-2141.1999.01749.x","ISSN":"00071048","abstract":"We have developed a rapid real-time quantitative PCR method for measuring BCR-ABL mRNA levels in peripheral blood in chronic myeloid leukaemia (CML). The technique was used to monitor minimal residual disease for the early detection of relapse and as an assessment of treatment response. Normal BCR mRNA was quantitated to control for RNA degradation and the results reported as a percentage of BCR-ABL/BCR. Every patient measured at diagnosis (n = 21) had increased expression of BCR-ABL of up to 5-fold above the normal BCR levels. With effective treatment the BCR-ABL levels decreased. The molecular data was correlated with Philadelphia chromosome levels in bone marrow and a good correlation was found when treatment induced a cytogenetic response (Spearman correlation = 0.94, P &lt; 0.0001, n = 67 samples). In patients receiving interferon-α therapy we found a significant difference in the BCR-ABL levels between cytogenetic response groups. The method was sensitive, reproducible, and readily detected a change in BCR-ABL transcript levels in serial blood samples. Sample throughput was high because post PCR processing was unnecessary. We conclude that real-time quantitative PCR monitoring of peripheral blood can be used to reliably monitor disease response in CML.","author":[{"dropping-particle":"","family":"Branford","given":"S.","non-dropping-particle":"","parse-names":false,"suffix":""},{"dropping-particle":"","family":"Hughes","given":"T. P.","non-dropping-particle":"","parse-names":false,"suffix":""},{"dropping-particle":"","family":"Rudzki","given":"Z.","non-dropping-particle":"","parse-names":false,"suffix":""}],"container-title":"British Journal of Haematology","id":"ITEM-4","issue":"3","issued":{"date-parts":[["1999"]]},"page":"587-599","publisher":"Blackwell Publishing Ltd.","title":"Monitoring chronic myeloid leukaemia therapy by real-time quantitative PCR in blood is a reliable alternative to bone marrow cytogenetics","type":"article-journal","volume":"107"},"uris":["http://www.mendeley.com/documents/?uuid=20504abf-0ce6-3559-a230-cb7246cac108"]},{"id":"ITEM-5","itemData":{"DOI":"10.1046/j.1365-2141.2002.03705.x","ISSN":"00071048","abstract":"Imatinib mesylate (trade name Glivec® or Gleevec) is emerging as an important therapy in the management of chronic myeloid leukaemia (CML). It is clinically useful to monitor the cytogenetic response to imatinib, although frequent marrow examinations are inconvenient. We have used serial real-time reverse transcription-polymerase chain reaction (RT-PCR) to monitor the ratio of peripheral blood BCR-ABL to normal ABL transcripts in 43 patients receiving imatinib, and compared the results to concurrent conventional bone marrow (BM) cytogenetics. After 6 months of treatment, 13 cases were complete cytogenetic responders, defined as all BM metaphases negative for the Philadelphia (Ph) chromosome. In these patients, the BCR-ABL/ABL ratio was less than 0.08%. Six cases achieved a partial cytogenetic response (1-35% Ph-positive BM metaphases) and their BCR-ABL/ABL ratio was between 0.08 and 10%. In total, 24 cases were cytogenetic non-responders, and their BCR-ABL/ABL ratio exceeded 11%. The data suggested that the 6-month BCR-ABL/ABL ratio may reliably predict the contemporary marrow cytogenetic response. It was concluded that serial real-time RT-PCR may offer a convenient surrogate assessment of the marrow cytogenetic response to imatinib therapy in CML.","author":[{"dropping-particle":"","family":"Wang","given":"Lihui","non-dropping-particle":"","parse-names":false,"suffix":""},{"dropping-particle":"","family":"Pearson","given":"Kevin","non-dropping-particle":"","parse-names":false,"suffix":""},{"dropping-particle":"","family":"Pillitteri","given":"Lynne","non-dropping-particle":"","parse-names":false,"suffix":""},{"dropping-particle":"","family":"Ferguson","given":"Julia E.","non-dropping-particle":"","parse-names":false,"suffix":""},{"dropping-particle":"","family":"Clark","given":"Richard E.","non-dropping-particle":"","parse-names":false,"suffix":""}],"container-title":"British Journal of Haematology","id":"ITEM-5","issue":"3","issued":{"date-parts":[["2002"]]},"page":"771-777","title":"Serial monitoring of BCR-ABL by peripheral blood real-time polymerase chain reaction predicts the marrow cytogenetic response to imatinib mesylate in chronic myeloid leukaemia","type":"article-journal","volume":"118"},"uris":["http://www.mendeley.com/documents/?uuid=6e5cbe83-ead2-3724-bac3-349fea7eb23f"]}],"mendeley":{"formattedCitation":"[13–17]","plainTextFormattedCitation":"[13–17]","previouslyFormattedCitation":"[13–17]"},"properties":{"noteIndex":0},"schema":"https://github.com/citation-style-language/schema/raw/master/csl-citation.json"}</w:instrText>
      </w:r>
      <w:r w:rsidR="00B72302" w:rsidRPr="00846D08">
        <w:rPr>
          <w:i/>
          <w:iCs/>
        </w:rPr>
        <w:fldChar w:fldCharType="separate"/>
      </w:r>
      <w:r w:rsidR="00B72302" w:rsidRPr="00846D08">
        <w:rPr>
          <w:i/>
          <w:iCs/>
          <w:noProof/>
        </w:rPr>
        <w:t>[13–17]</w:t>
      </w:r>
      <w:r w:rsidR="00B72302" w:rsidRPr="00846D08">
        <w:rPr>
          <w:i/>
          <w:iCs/>
        </w:rPr>
        <w:fldChar w:fldCharType="end"/>
      </w:r>
      <w:r w:rsidR="00B72302" w:rsidRPr="00846D08">
        <w:rPr>
          <w:i/>
          <w:iCs/>
          <w:lang w:val="en-US"/>
        </w:rPr>
        <w:t>.</w:t>
      </w:r>
    </w:p>
    <w:p w14:paraId="4296D037" w14:textId="77777777" w:rsidR="006369C6" w:rsidRPr="00062B4F" w:rsidRDefault="006369C6" w:rsidP="00A07025">
      <w:pPr>
        <w:pStyle w:val="afe"/>
        <w:ind w:left="0" w:firstLine="0"/>
        <w:rPr>
          <w:b/>
          <w:bCs/>
          <w:szCs w:val="24"/>
          <w:lang w:eastAsia="ru-RU"/>
        </w:rPr>
      </w:pPr>
      <w:r w:rsidRPr="00062B4F">
        <w:rPr>
          <w:b/>
          <w:bCs/>
          <w:szCs w:val="24"/>
          <w:lang w:eastAsia="ru-RU"/>
        </w:rPr>
        <w:t>Уровень убедительности рекомендаций</w:t>
      </w:r>
      <w:r w:rsidRPr="00062B4F" w:rsidDel="0034299D">
        <w:rPr>
          <w:b/>
          <w:bCs/>
          <w:szCs w:val="24"/>
          <w:lang w:eastAsia="ru-RU"/>
        </w:rPr>
        <w:t xml:space="preserve"> </w:t>
      </w:r>
      <w:r w:rsidRPr="00062B4F">
        <w:rPr>
          <w:b/>
          <w:bCs/>
          <w:szCs w:val="24"/>
          <w:lang w:eastAsia="ru-RU"/>
        </w:rPr>
        <w:t>– В (уровень достоверности доказательств – 3).</w:t>
      </w:r>
    </w:p>
    <w:p w14:paraId="50EBF039" w14:textId="5F2B8D82" w:rsidR="000C7098" w:rsidRPr="00A17470" w:rsidRDefault="000C7098" w:rsidP="00A17470">
      <w:pPr>
        <w:numPr>
          <w:ilvl w:val="0"/>
          <w:numId w:val="18"/>
        </w:numPr>
        <w:rPr>
          <w:iCs/>
        </w:rPr>
      </w:pPr>
      <w:r w:rsidRPr="00062B4F">
        <w:rPr>
          <w:b/>
          <w:bCs/>
          <w:iCs/>
        </w:rPr>
        <w:t>Рекомендуется</w:t>
      </w:r>
      <w:r w:rsidRPr="00062B4F">
        <w:rPr>
          <w:bCs/>
          <w:iCs/>
        </w:rPr>
        <w:t xml:space="preserve"> </w:t>
      </w:r>
      <w:r w:rsidRPr="00062B4F">
        <w:rPr>
          <w:iCs/>
        </w:rPr>
        <w:t>проведение</w:t>
      </w:r>
      <w:r w:rsidRPr="00062B4F">
        <w:rPr>
          <w:bCs/>
          <w:iCs/>
        </w:rPr>
        <w:t xml:space="preserve"> пациентам</w:t>
      </w:r>
      <w:r w:rsidRPr="00062B4F">
        <w:rPr>
          <w:b/>
          <w:bCs/>
          <w:iCs/>
        </w:rPr>
        <w:t xml:space="preserve"> </w:t>
      </w:r>
      <w:r w:rsidRPr="00062B4F">
        <w:rPr>
          <w:iCs/>
        </w:rPr>
        <w:t xml:space="preserve">в фазе акселерации или </w:t>
      </w:r>
      <w:proofErr w:type="spellStart"/>
      <w:r w:rsidRPr="00062B4F">
        <w:rPr>
          <w:iCs/>
        </w:rPr>
        <w:t>бластном</w:t>
      </w:r>
      <w:proofErr w:type="spellEnd"/>
      <w:r w:rsidRPr="00062B4F">
        <w:rPr>
          <w:iCs/>
        </w:rPr>
        <w:t xml:space="preserve"> кризе ХМЛ для </w:t>
      </w:r>
      <w:r w:rsidRPr="00A17470">
        <w:rPr>
          <w:iCs/>
        </w:rPr>
        <w:t xml:space="preserve">определения оптимальной тактики терапии </w:t>
      </w:r>
      <w:r w:rsidR="00A17470" w:rsidRPr="00A17470">
        <w:rPr>
          <w:iCs/>
        </w:rPr>
        <w:t xml:space="preserve">по показаниям </w:t>
      </w:r>
      <w:r w:rsidR="00A17470" w:rsidRPr="00A17470">
        <w:rPr>
          <w:iCs/>
          <w:szCs w:val="24"/>
          <w:lang w:eastAsia="ru-RU"/>
        </w:rPr>
        <w:t>следующих</w:t>
      </w:r>
      <w:r w:rsidR="00A17470" w:rsidRPr="00A17470">
        <w:rPr>
          <w:iCs/>
        </w:rPr>
        <w:t xml:space="preserve"> </w:t>
      </w:r>
      <w:r w:rsidRPr="00A17470">
        <w:rPr>
          <w:iCs/>
        </w:rPr>
        <w:t xml:space="preserve">дополнительных исследований </w:t>
      </w:r>
      <w:r w:rsidR="00261F17" w:rsidRPr="00A17470">
        <w:rPr>
          <w:iCs/>
          <w:szCs w:val="24"/>
          <w:lang w:eastAsia="ru-RU"/>
        </w:rPr>
        <w:fldChar w:fldCharType="begin" w:fldLock="1"/>
      </w:r>
      <w:r w:rsidR="00261F17" w:rsidRPr="00A17470">
        <w:rPr>
          <w:iCs/>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w:instrText>
      </w:r>
      <w:r w:rsidR="00261F17" w:rsidRPr="00A17470">
        <w:rPr>
          <w:iCs/>
          <w:szCs w:val="24"/>
          <w:lang w:val="en-US" w:eastAsia="ru-RU"/>
        </w:rPr>
        <w:instrText>given</w:instrText>
      </w:r>
      <w:r w:rsidR="00261F17" w:rsidRPr="00A17470">
        <w:rPr>
          <w:iCs/>
          <w:szCs w:val="24"/>
          <w:lang w:eastAsia="ru-RU"/>
        </w:rPr>
        <w:instrText>":"А.К.","</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family</w:instrText>
      </w:r>
      <w:r w:rsidR="00261F17" w:rsidRPr="00A17470">
        <w:rPr>
          <w:iCs/>
          <w:szCs w:val="24"/>
          <w:lang w:eastAsia="ru-RU"/>
        </w:rPr>
        <w:instrText>":"Поспелова","</w:instrText>
      </w:r>
      <w:r w:rsidR="00261F17" w:rsidRPr="00A17470">
        <w:rPr>
          <w:iCs/>
          <w:szCs w:val="24"/>
          <w:lang w:val="en-US" w:eastAsia="ru-RU"/>
        </w:rPr>
        <w:instrText>given</w:instrText>
      </w:r>
      <w:r w:rsidR="00261F17" w:rsidRPr="00A17470">
        <w:rPr>
          <w:iCs/>
          <w:szCs w:val="24"/>
          <w:lang w:eastAsia="ru-RU"/>
        </w:rPr>
        <w:instrText>":"Т.И.","</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family</w:instrText>
      </w:r>
      <w:r w:rsidR="00261F17" w:rsidRPr="00A17470">
        <w:rPr>
          <w:iCs/>
          <w:szCs w:val="24"/>
          <w:lang w:eastAsia="ru-RU"/>
        </w:rPr>
        <w:instrText>":"Шухов","</w:instrText>
      </w:r>
      <w:r w:rsidR="00261F17" w:rsidRPr="00A17470">
        <w:rPr>
          <w:iCs/>
          <w:szCs w:val="24"/>
          <w:lang w:val="en-US" w:eastAsia="ru-RU"/>
        </w:rPr>
        <w:instrText>given</w:instrText>
      </w:r>
      <w:r w:rsidR="00261F17" w:rsidRPr="00A17470">
        <w:rPr>
          <w:iCs/>
          <w:szCs w:val="24"/>
          <w:lang w:eastAsia="ru-RU"/>
        </w:rPr>
        <w:instrText>":"О.А.","</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family</w:instrText>
      </w:r>
      <w:r w:rsidR="00261F17" w:rsidRPr="00A17470">
        <w:rPr>
          <w:iCs/>
          <w:szCs w:val="24"/>
          <w:lang w:eastAsia="ru-RU"/>
        </w:rPr>
        <w:instrText>":"Фоминых","</w:instrText>
      </w:r>
      <w:r w:rsidR="00261F17" w:rsidRPr="00A17470">
        <w:rPr>
          <w:iCs/>
          <w:szCs w:val="24"/>
          <w:lang w:val="en-US" w:eastAsia="ru-RU"/>
        </w:rPr>
        <w:instrText>given</w:instrText>
      </w:r>
      <w:r w:rsidR="00261F17" w:rsidRPr="00A17470">
        <w:rPr>
          <w:iCs/>
          <w:szCs w:val="24"/>
          <w:lang w:eastAsia="ru-RU"/>
        </w:rPr>
        <w:instrText>":"М.С.","</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family</w:instrText>
      </w:r>
      <w:r w:rsidR="00261F17" w:rsidRPr="00A17470">
        <w:rPr>
          <w:iCs/>
          <w:szCs w:val="24"/>
          <w:lang w:eastAsia="ru-RU"/>
        </w:rPr>
        <w:instrText>":"Гусарова","</w:instrText>
      </w:r>
      <w:r w:rsidR="00261F17" w:rsidRPr="00A17470">
        <w:rPr>
          <w:iCs/>
          <w:szCs w:val="24"/>
          <w:lang w:val="en-US" w:eastAsia="ru-RU"/>
        </w:rPr>
        <w:instrText>given</w:instrText>
      </w:r>
      <w:r w:rsidR="00261F17" w:rsidRPr="00A17470">
        <w:rPr>
          <w:iCs/>
          <w:szCs w:val="24"/>
          <w:lang w:eastAsia="ru-RU"/>
        </w:rPr>
        <w:instrText>":"Г.А.","</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family</w:instrText>
      </w:r>
      <w:r w:rsidR="00261F17" w:rsidRPr="00A17470">
        <w:rPr>
          <w:iCs/>
          <w:szCs w:val="24"/>
          <w:lang w:eastAsia="ru-RU"/>
        </w:rPr>
        <w:instrText>":"Кузьмина","</w:instrText>
      </w:r>
      <w:r w:rsidR="00261F17" w:rsidRPr="00A17470">
        <w:rPr>
          <w:iCs/>
          <w:szCs w:val="24"/>
          <w:lang w:val="en-US" w:eastAsia="ru-RU"/>
        </w:rPr>
        <w:instrText>given</w:instrText>
      </w:r>
      <w:r w:rsidR="00261F17" w:rsidRPr="00A17470">
        <w:rPr>
          <w:iCs/>
          <w:szCs w:val="24"/>
          <w:lang w:eastAsia="ru-RU"/>
        </w:rPr>
        <w:instrText>":"Л.А.","</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family</w:instrText>
      </w:r>
      <w:r w:rsidR="00261F17" w:rsidRPr="00A17470">
        <w:rPr>
          <w:iCs/>
          <w:szCs w:val="24"/>
          <w:lang w:eastAsia="ru-RU"/>
        </w:rPr>
        <w:instrText>":"Абдуллаев","</w:instrText>
      </w:r>
      <w:r w:rsidR="00261F17" w:rsidRPr="00A17470">
        <w:rPr>
          <w:iCs/>
          <w:szCs w:val="24"/>
          <w:lang w:val="en-US" w:eastAsia="ru-RU"/>
        </w:rPr>
        <w:instrText>given</w:instrText>
      </w:r>
      <w:r w:rsidR="00261F17" w:rsidRPr="00A17470">
        <w:rPr>
          <w:iCs/>
          <w:szCs w:val="24"/>
          <w:lang w:eastAsia="ru-RU"/>
        </w:rPr>
        <w:instrText>":"А.О.","</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family</w:instrText>
      </w:r>
      <w:r w:rsidR="00261F17" w:rsidRPr="00A17470">
        <w:rPr>
          <w:iCs/>
          <w:szCs w:val="24"/>
          <w:lang w:eastAsia="ru-RU"/>
        </w:rPr>
        <w:instrText>":"Мартынкевич","</w:instrText>
      </w:r>
      <w:r w:rsidR="00261F17" w:rsidRPr="00A17470">
        <w:rPr>
          <w:iCs/>
          <w:szCs w:val="24"/>
          <w:lang w:val="en-US" w:eastAsia="ru-RU"/>
        </w:rPr>
        <w:instrText>given</w:instrText>
      </w:r>
      <w:r w:rsidR="00261F17" w:rsidRPr="00A17470">
        <w:rPr>
          <w:iCs/>
          <w:szCs w:val="24"/>
          <w:lang w:eastAsia="ru-RU"/>
        </w:rPr>
        <w:instrText>":"И.С.","</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container</w:instrText>
      </w:r>
      <w:r w:rsidR="00261F17" w:rsidRPr="00A17470">
        <w:rPr>
          <w:iCs/>
          <w:szCs w:val="24"/>
          <w:lang w:eastAsia="ru-RU"/>
        </w:rPr>
        <w:instrText>-</w:instrText>
      </w:r>
      <w:r w:rsidR="00261F17" w:rsidRPr="00A17470">
        <w:rPr>
          <w:iCs/>
          <w:szCs w:val="24"/>
          <w:lang w:val="en-US" w:eastAsia="ru-RU"/>
        </w:rPr>
        <w:instrText>title</w:instrText>
      </w:r>
      <w:r w:rsidR="00261F17" w:rsidRPr="00A17470">
        <w:rPr>
          <w:iCs/>
          <w:szCs w:val="24"/>
          <w:lang w:eastAsia="ru-RU"/>
        </w:rPr>
        <w:instrText>":"Клиническая онкогематология","</w:instrText>
      </w:r>
      <w:r w:rsidR="00261F17" w:rsidRPr="00A17470">
        <w:rPr>
          <w:iCs/>
          <w:szCs w:val="24"/>
          <w:lang w:val="en-US" w:eastAsia="ru-RU"/>
        </w:rPr>
        <w:instrText>id</w:instrText>
      </w:r>
      <w:r w:rsidR="00261F17" w:rsidRPr="00A17470">
        <w:rPr>
          <w:iCs/>
          <w:szCs w:val="24"/>
          <w:lang w:eastAsia="ru-RU"/>
        </w:rPr>
        <w:instrText>":"</w:instrText>
      </w:r>
      <w:r w:rsidR="00261F17" w:rsidRPr="00A17470">
        <w:rPr>
          <w:iCs/>
          <w:szCs w:val="24"/>
          <w:lang w:val="en-US" w:eastAsia="ru-RU"/>
        </w:rPr>
        <w:instrText>ITEM</w:instrText>
      </w:r>
      <w:r w:rsidR="00261F17" w:rsidRPr="00A17470">
        <w:rPr>
          <w:iCs/>
          <w:szCs w:val="24"/>
          <w:lang w:eastAsia="ru-RU"/>
        </w:rPr>
        <w:instrText>-3","</w:instrText>
      </w:r>
      <w:r w:rsidR="00261F17" w:rsidRPr="00A17470">
        <w:rPr>
          <w:iCs/>
          <w:szCs w:val="24"/>
          <w:lang w:val="en-US" w:eastAsia="ru-RU"/>
        </w:rPr>
        <w:instrText>issue</w:instrText>
      </w:r>
      <w:r w:rsidR="00261F17" w:rsidRPr="00A17470">
        <w:rPr>
          <w:iCs/>
          <w:szCs w:val="24"/>
          <w:lang w:eastAsia="ru-RU"/>
        </w:rPr>
        <w:instrText>":"3","</w:instrText>
      </w:r>
      <w:r w:rsidR="00261F17" w:rsidRPr="00A17470">
        <w:rPr>
          <w:iCs/>
          <w:szCs w:val="24"/>
          <w:lang w:val="en-US" w:eastAsia="ru-RU"/>
        </w:rPr>
        <w:instrText>issued</w:instrText>
      </w:r>
      <w:r w:rsidR="00261F17" w:rsidRPr="00A17470">
        <w:rPr>
          <w:iCs/>
          <w:szCs w:val="24"/>
          <w:lang w:eastAsia="ru-RU"/>
        </w:rPr>
        <w:instrText>":{"</w:instrText>
      </w:r>
      <w:r w:rsidR="00261F17" w:rsidRPr="00A17470">
        <w:rPr>
          <w:iCs/>
          <w:szCs w:val="24"/>
          <w:lang w:val="en-US" w:eastAsia="ru-RU"/>
        </w:rPr>
        <w:instrText>date</w:instrText>
      </w:r>
      <w:r w:rsidR="00261F17" w:rsidRPr="00A17470">
        <w:rPr>
          <w:iCs/>
          <w:szCs w:val="24"/>
          <w:lang w:eastAsia="ru-RU"/>
        </w:rPr>
        <w:instrText>-</w:instrText>
      </w:r>
      <w:r w:rsidR="00261F17" w:rsidRPr="00A17470">
        <w:rPr>
          <w:iCs/>
          <w:szCs w:val="24"/>
          <w:lang w:val="en-US" w:eastAsia="ru-RU"/>
        </w:rPr>
        <w:instrText>parts</w:instrText>
      </w:r>
      <w:r w:rsidR="00261F17" w:rsidRPr="00A17470">
        <w:rPr>
          <w:iCs/>
          <w:szCs w:val="24"/>
          <w:lang w:eastAsia="ru-RU"/>
        </w:rPr>
        <w:instrText>":[["2017"]]},"</w:instrText>
      </w:r>
      <w:r w:rsidR="00261F17" w:rsidRPr="00A17470">
        <w:rPr>
          <w:iCs/>
          <w:szCs w:val="24"/>
          <w:lang w:val="en-US" w:eastAsia="ru-RU"/>
        </w:rPr>
        <w:instrText>page</w:instrText>
      </w:r>
      <w:r w:rsidR="00261F17" w:rsidRPr="00A17470">
        <w:rPr>
          <w:iCs/>
          <w:szCs w:val="24"/>
          <w:lang w:eastAsia="ru-RU"/>
        </w:rPr>
        <w:instrText>":"294–316","</w:instrText>
      </w:r>
      <w:r w:rsidR="00261F17" w:rsidRPr="00A17470">
        <w:rPr>
          <w:iCs/>
          <w:szCs w:val="24"/>
          <w:lang w:val="en-US" w:eastAsia="ru-RU"/>
        </w:rPr>
        <w:instrText>title</w:instrText>
      </w:r>
      <w:r w:rsidR="00261F17" w:rsidRPr="00A17470">
        <w:rPr>
          <w:iCs/>
          <w:szCs w:val="24"/>
          <w:lang w:eastAsia="ru-RU"/>
        </w:rPr>
        <w:instrText>":"Клинические рекомендации по диагностике и лечению хронического миелолейкоза","</w:instrText>
      </w:r>
      <w:r w:rsidR="00261F17" w:rsidRPr="00A17470">
        <w:rPr>
          <w:iCs/>
          <w:szCs w:val="24"/>
          <w:lang w:val="en-US" w:eastAsia="ru-RU"/>
        </w:rPr>
        <w:instrText>type</w:instrText>
      </w:r>
      <w:r w:rsidR="00261F17" w:rsidRPr="00A17470">
        <w:rPr>
          <w:iCs/>
          <w:szCs w:val="24"/>
          <w:lang w:eastAsia="ru-RU"/>
        </w:rPr>
        <w:instrText>":"</w:instrText>
      </w:r>
      <w:r w:rsidR="00261F17" w:rsidRPr="00A17470">
        <w:rPr>
          <w:iCs/>
          <w:szCs w:val="24"/>
          <w:lang w:val="en-US" w:eastAsia="ru-RU"/>
        </w:rPr>
        <w:instrText>article</w:instrText>
      </w:r>
      <w:r w:rsidR="00261F17" w:rsidRPr="00A17470">
        <w:rPr>
          <w:iCs/>
          <w:szCs w:val="24"/>
          <w:lang w:eastAsia="ru-RU"/>
        </w:rPr>
        <w:instrText>-</w:instrText>
      </w:r>
      <w:r w:rsidR="00261F17" w:rsidRPr="00A17470">
        <w:rPr>
          <w:iCs/>
          <w:szCs w:val="24"/>
          <w:lang w:val="en-US" w:eastAsia="ru-RU"/>
        </w:rPr>
        <w:instrText>journal</w:instrText>
      </w:r>
      <w:r w:rsidR="00261F17" w:rsidRPr="00A17470">
        <w:rPr>
          <w:iCs/>
          <w:szCs w:val="24"/>
          <w:lang w:eastAsia="ru-RU"/>
        </w:rPr>
        <w:instrText>","</w:instrText>
      </w:r>
      <w:r w:rsidR="00261F17" w:rsidRPr="00A17470">
        <w:rPr>
          <w:iCs/>
          <w:szCs w:val="24"/>
          <w:lang w:val="en-US" w:eastAsia="ru-RU"/>
        </w:rPr>
        <w:instrText>volume</w:instrText>
      </w:r>
      <w:r w:rsidR="00261F17" w:rsidRPr="00A17470">
        <w:rPr>
          <w:iCs/>
          <w:szCs w:val="24"/>
          <w:lang w:eastAsia="ru-RU"/>
        </w:rPr>
        <w:instrText>":"10"},"</w:instrText>
      </w:r>
      <w:r w:rsidR="00261F17" w:rsidRPr="00A17470">
        <w:rPr>
          <w:iCs/>
          <w:szCs w:val="24"/>
          <w:lang w:val="en-US" w:eastAsia="ru-RU"/>
        </w:rPr>
        <w:instrText>uris</w:instrText>
      </w:r>
      <w:r w:rsidR="00261F17" w:rsidRPr="00A17470">
        <w:rPr>
          <w:iCs/>
          <w:szCs w:val="24"/>
          <w:lang w:eastAsia="ru-RU"/>
        </w:rPr>
        <w:instrText>":["</w:instrText>
      </w:r>
      <w:r w:rsidR="00261F17" w:rsidRPr="00A17470">
        <w:rPr>
          <w:iCs/>
          <w:szCs w:val="24"/>
          <w:lang w:val="en-US" w:eastAsia="ru-RU"/>
        </w:rPr>
        <w:instrText>http</w:instrText>
      </w:r>
      <w:r w:rsidR="00261F17" w:rsidRPr="00A17470">
        <w:rPr>
          <w:iCs/>
          <w:szCs w:val="24"/>
          <w:lang w:eastAsia="ru-RU"/>
        </w:rPr>
        <w:instrText>://</w:instrText>
      </w:r>
      <w:r w:rsidR="00261F17" w:rsidRPr="00A17470">
        <w:rPr>
          <w:iCs/>
          <w:szCs w:val="24"/>
          <w:lang w:val="en-US" w:eastAsia="ru-RU"/>
        </w:rPr>
        <w:instrText>www</w:instrText>
      </w:r>
      <w:r w:rsidR="00261F17" w:rsidRPr="00A17470">
        <w:rPr>
          <w:iCs/>
          <w:szCs w:val="24"/>
          <w:lang w:eastAsia="ru-RU"/>
        </w:rPr>
        <w:instrText>.</w:instrText>
      </w:r>
      <w:r w:rsidR="00261F17" w:rsidRPr="00A17470">
        <w:rPr>
          <w:iCs/>
          <w:szCs w:val="24"/>
          <w:lang w:val="en-US" w:eastAsia="ru-RU"/>
        </w:rPr>
        <w:instrText>mendeley</w:instrText>
      </w:r>
      <w:r w:rsidR="00261F17" w:rsidRPr="00A17470">
        <w:rPr>
          <w:iCs/>
          <w:szCs w:val="24"/>
          <w:lang w:eastAsia="ru-RU"/>
        </w:rPr>
        <w:instrText>.</w:instrText>
      </w:r>
      <w:r w:rsidR="00261F17" w:rsidRPr="00A17470">
        <w:rPr>
          <w:iCs/>
          <w:szCs w:val="24"/>
          <w:lang w:val="en-US" w:eastAsia="ru-RU"/>
        </w:rPr>
        <w:instrText>com</w:instrText>
      </w:r>
      <w:r w:rsidR="00261F17" w:rsidRPr="00A17470">
        <w:rPr>
          <w:iCs/>
          <w:szCs w:val="24"/>
          <w:lang w:eastAsia="ru-RU"/>
        </w:rPr>
        <w:instrText>/</w:instrText>
      </w:r>
      <w:r w:rsidR="00261F17" w:rsidRPr="00A17470">
        <w:rPr>
          <w:iCs/>
          <w:szCs w:val="24"/>
          <w:lang w:val="en-US" w:eastAsia="ru-RU"/>
        </w:rPr>
        <w:instrText>documents</w:instrText>
      </w:r>
      <w:r w:rsidR="00261F17" w:rsidRPr="00A17470">
        <w:rPr>
          <w:iCs/>
          <w:szCs w:val="24"/>
          <w:lang w:eastAsia="ru-RU"/>
        </w:rPr>
        <w:instrText>/?</w:instrText>
      </w:r>
      <w:r w:rsidR="00261F17" w:rsidRPr="00A17470">
        <w:rPr>
          <w:iCs/>
          <w:szCs w:val="24"/>
          <w:lang w:val="en-US" w:eastAsia="ru-RU"/>
        </w:rPr>
        <w:instrText>uuid</w:instrText>
      </w:r>
      <w:r w:rsidR="00261F17" w:rsidRPr="00A17470">
        <w:rPr>
          <w:iCs/>
          <w:szCs w:val="24"/>
          <w:lang w:eastAsia="ru-RU"/>
        </w:rPr>
        <w:instrText>=397</w:instrText>
      </w:r>
      <w:r w:rsidR="00261F17" w:rsidRPr="00A17470">
        <w:rPr>
          <w:iCs/>
          <w:szCs w:val="24"/>
          <w:lang w:val="en-US" w:eastAsia="ru-RU"/>
        </w:rPr>
        <w:instrText>be</w:instrText>
      </w:r>
      <w:r w:rsidR="00261F17" w:rsidRPr="00A17470">
        <w:rPr>
          <w:iCs/>
          <w:szCs w:val="24"/>
          <w:lang w:eastAsia="ru-RU"/>
        </w:rPr>
        <w:instrText>9</w:instrText>
      </w:r>
      <w:r w:rsidR="00261F17" w:rsidRPr="00A17470">
        <w:rPr>
          <w:iCs/>
          <w:szCs w:val="24"/>
          <w:lang w:val="en-US" w:eastAsia="ru-RU"/>
        </w:rPr>
        <w:instrText>b</w:instrText>
      </w:r>
      <w:r w:rsidR="00261F17" w:rsidRPr="00A17470">
        <w:rPr>
          <w:iCs/>
          <w:szCs w:val="24"/>
          <w:lang w:eastAsia="ru-RU"/>
        </w:rPr>
        <w:instrText>3-</w:instrText>
      </w:r>
      <w:r w:rsidR="00261F17" w:rsidRPr="00A17470">
        <w:rPr>
          <w:iCs/>
          <w:szCs w:val="24"/>
          <w:lang w:val="en-US" w:eastAsia="ru-RU"/>
        </w:rPr>
        <w:instrText>e</w:instrText>
      </w:r>
      <w:r w:rsidR="00261F17" w:rsidRPr="00A17470">
        <w:rPr>
          <w:iCs/>
          <w:szCs w:val="24"/>
          <w:lang w:eastAsia="ru-RU"/>
        </w:rPr>
        <w:instrText>69</w:instrText>
      </w:r>
      <w:r w:rsidR="00261F17" w:rsidRPr="00A17470">
        <w:rPr>
          <w:iCs/>
          <w:szCs w:val="24"/>
          <w:lang w:val="en-US" w:eastAsia="ru-RU"/>
        </w:rPr>
        <w:instrText>b</w:instrText>
      </w:r>
      <w:r w:rsidR="00261F17" w:rsidRPr="00A17470">
        <w:rPr>
          <w:iCs/>
          <w:szCs w:val="24"/>
          <w:lang w:eastAsia="ru-RU"/>
        </w:rPr>
        <w:instrText>-4</w:instrText>
      </w:r>
      <w:r w:rsidR="00261F17" w:rsidRPr="00A17470">
        <w:rPr>
          <w:iCs/>
          <w:szCs w:val="24"/>
          <w:lang w:val="en-US" w:eastAsia="ru-RU"/>
        </w:rPr>
        <w:instrText>f</w:instrText>
      </w:r>
      <w:r w:rsidR="00261F17" w:rsidRPr="00A17470">
        <w:rPr>
          <w:iCs/>
          <w:szCs w:val="24"/>
          <w:lang w:eastAsia="ru-RU"/>
        </w:rPr>
        <w:instrText>4</w:instrText>
      </w:r>
      <w:r w:rsidR="00261F17" w:rsidRPr="00A17470">
        <w:rPr>
          <w:iCs/>
          <w:szCs w:val="24"/>
          <w:lang w:val="en-US" w:eastAsia="ru-RU"/>
        </w:rPr>
        <w:instrText>a</w:instrText>
      </w:r>
      <w:r w:rsidR="00261F17" w:rsidRPr="00A17470">
        <w:rPr>
          <w:iCs/>
          <w:szCs w:val="24"/>
          <w:lang w:eastAsia="ru-RU"/>
        </w:rPr>
        <w:instrText>-84</w:instrText>
      </w:r>
      <w:r w:rsidR="00261F17" w:rsidRPr="00A17470">
        <w:rPr>
          <w:iCs/>
          <w:szCs w:val="24"/>
          <w:lang w:val="en-US" w:eastAsia="ru-RU"/>
        </w:rPr>
        <w:instrText>ed</w:instrText>
      </w:r>
      <w:r w:rsidR="00261F17" w:rsidRPr="00A17470">
        <w:rPr>
          <w:iCs/>
          <w:szCs w:val="24"/>
          <w:lang w:eastAsia="ru-RU"/>
        </w:rPr>
        <w:instrText>-5</w:instrText>
      </w:r>
      <w:r w:rsidR="00261F17" w:rsidRPr="00A17470">
        <w:rPr>
          <w:iCs/>
          <w:szCs w:val="24"/>
          <w:lang w:val="en-US" w:eastAsia="ru-RU"/>
        </w:rPr>
        <w:instrText>ca</w:instrText>
      </w:r>
      <w:r w:rsidR="00261F17" w:rsidRPr="00A17470">
        <w:rPr>
          <w:iCs/>
          <w:szCs w:val="24"/>
          <w:lang w:eastAsia="ru-RU"/>
        </w:rPr>
        <w:instrText>19</w:instrText>
      </w:r>
      <w:r w:rsidR="00261F17" w:rsidRPr="00A17470">
        <w:rPr>
          <w:iCs/>
          <w:szCs w:val="24"/>
          <w:lang w:val="en-US" w:eastAsia="ru-RU"/>
        </w:rPr>
        <w:instrText>a</w:instrText>
      </w:r>
      <w:r w:rsidR="00261F17" w:rsidRPr="00A17470">
        <w:rPr>
          <w:iCs/>
          <w:szCs w:val="24"/>
          <w:lang w:eastAsia="ru-RU"/>
        </w:rPr>
        <w:instrText>8</w:instrText>
      </w:r>
      <w:r w:rsidR="00261F17" w:rsidRPr="00A17470">
        <w:rPr>
          <w:iCs/>
          <w:szCs w:val="24"/>
          <w:lang w:val="en-US" w:eastAsia="ru-RU"/>
        </w:rPr>
        <w:instrText>b</w:instrText>
      </w:r>
      <w:r w:rsidR="00261F17" w:rsidRPr="00A17470">
        <w:rPr>
          <w:iCs/>
          <w:szCs w:val="24"/>
          <w:lang w:eastAsia="ru-RU"/>
        </w:rPr>
        <w:instrText>5</w:instrText>
      </w:r>
      <w:r w:rsidR="00261F17" w:rsidRPr="00A17470">
        <w:rPr>
          <w:iCs/>
          <w:szCs w:val="24"/>
          <w:lang w:val="en-US" w:eastAsia="ru-RU"/>
        </w:rPr>
        <w:instrText>f</w:instrText>
      </w:r>
      <w:r w:rsidR="00261F17" w:rsidRPr="00A17470">
        <w:rPr>
          <w:iCs/>
          <w:szCs w:val="24"/>
          <w:lang w:eastAsia="ru-RU"/>
        </w:rPr>
        <w:instrText>12"]}],"</w:instrText>
      </w:r>
      <w:r w:rsidR="00261F17" w:rsidRPr="00A17470">
        <w:rPr>
          <w:iCs/>
          <w:szCs w:val="24"/>
          <w:lang w:val="en-US" w:eastAsia="ru-RU"/>
        </w:rPr>
        <w:instrText>mendeley</w:instrText>
      </w:r>
      <w:r w:rsidR="00261F17" w:rsidRPr="00A17470">
        <w:rPr>
          <w:iCs/>
          <w:szCs w:val="24"/>
          <w:lang w:eastAsia="ru-RU"/>
        </w:rPr>
        <w:instrText>":{"</w:instrText>
      </w:r>
      <w:r w:rsidR="00261F17" w:rsidRPr="00A17470">
        <w:rPr>
          <w:iCs/>
          <w:szCs w:val="24"/>
          <w:lang w:val="en-US" w:eastAsia="ru-RU"/>
        </w:rPr>
        <w:instrText>formattedCitation</w:instrText>
      </w:r>
      <w:r w:rsidR="00261F17" w:rsidRPr="00A17470">
        <w:rPr>
          <w:iCs/>
          <w:szCs w:val="24"/>
          <w:lang w:eastAsia="ru-RU"/>
        </w:rPr>
        <w:instrText>":"[1,10,11]","</w:instrText>
      </w:r>
      <w:r w:rsidR="00261F17" w:rsidRPr="00A17470">
        <w:rPr>
          <w:iCs/>
          <w:szCs w:val="24"/>
          <w:lang w:val="en-US" w:eastAsia="ru-RU"/>
        </w:rPr>
        <w:instrText>plainTextFormattedCitation</w:instrText>
      </w:r>
      <w:r w:rsidR="00261F17" w:rsidRPr="00A17470">
        <w:rPr>
          <w:iCs/>
          <w:szCs w:val="24"/>
          <w:lang w:eastAsia="ru-RU"/>
        </w:rPr>
        <w:instrText>":"[1,10,11]","</w:instrText>
      </w:r>
      <w:r w:rsidR="00261F17" w:rsidRPr="00A17470">
        <w:rPr>
          <w:iCs/>
          <w:szCs w:val="24"/>
          <w:lang w:val="en-US" w:eastAsia="ru-RU"/>
        </w:rPr>
        <w:instrText>previouslyFormattedCitation</w:instrText>
      </w:r>
      <w:r w:rsidR="00261F17" w:rsidRPr="00A17470">
        <w:rPr>
          <w:iCs/>
          <w:szCs w:val="24"/>
          <w:lang w:eastAsia="ru-RU"/>
        </w:rPr>
        <w:instrText>":"[1,10,11]"},"</w:instrText>
      </w:r>
      <w:r w:rsidR="00261F17" w:rsidRPr="00A17470">
        <w:rPr>
          <w:iCs/>
          <w:szCs w:val="24"/>
          <w:lang w:val="en-US" w:eastAsia="ru-RU"/>
        </w:rPr>
        <w:instrText>properties</w:instrText>
      </w:r>
      <w:r w:rsidR="00261F17" w:rsidRPr="00A17470">
        <w:rPr>
          <w:iCs/>
          <w:szCs w:val="24"/>
          <w:lang w:eastAsia="ru-RU"/>
        </w:rPr>
        <w:instrText>":{"</w:instrText>
      </w:r>
      <w:r w:rsidR="00261F17" w:rsidRPr="00A17470">
        <w:rPr>
          <w:iCs/>
          <w:szCs w:val="24"/>
          <w:lang w:val="en-US" w:eastAsia="ru-RU"/>
        </w:rPr>
        <w:instrText>noteIndex</w:instrText>
      </w:r>
      <w:r w:rsidR="00261F17" w:rsidRPr="00A17470">
        <w:rPr>
          <w:iCs/>
          <w:szCs w:val="24"/>
          <w:lang w:eastAsia="ru-RU"/>
        </w:rPr>
        <w:instrText>":0},"</w:instrText>
      </w:r>
      <w:r w:rsidR="00261F17" w:rsidRPr="00A17470">
        <w:rPr>
          <w:iCs/>
          <w:szCs w:val="24"/>
          <w:lang w:val="en-US" w:eastAsia="ru-RU"/>
        </w:rPr>
        <w:instrText>schema</w:instrText>
      </w:r>
      <w:r w:rsidR="00261F17" w:rsidRPr="00A17470">
        <w:rPr>
          <w:iCs/>
          <w:szCs w:val="24"/>
          <w:lang w:eastAsia="ru-RU"/>
        </w:rPr>
        <w:instrText>":"</w:instrText>
      </w:r>
      <w:r w:rsidR="00261F17" w:rsidRPr="00A17470">
        <w:rPr>
          <w:iCs/>
          <w:szCs w:val="24"/>
          <w:lang w:val="en-US" w:eastAsia="ru-RU"/>
        </w:rPr>
        <w:instrText>https</w:instrText>
      </w:r>
      <w:r w:rsidR="00261F17" w:rsidRPr="00A17470">
        <w:rPr>
          <w:iCs/>
          <w:szCs w:val="24"/>
          <w:lang w:eastAsia="ru-RU"/>
        </w:rPr>
        <w:instrText>://</w:instrText>
      </w:r>
      <w:r w:rsidR="00261F17" w:rsidRPr="00A17470">
        <w:rPr>
          <w:iCs/>
          <w:szCs w:val="24"/>
          <w:lang w:val="en-US" w:eastAsia="ru-RU"/>
        </w:rPr>
        <w:instrText>github</w:instrText>
      </w:r>
      <w:r w:rsidR="00261F17" w:rsidRPr="00A17470">
        <w:rPr>
          <w:iCs/>
          <w:szCs w:val="24"/>
          <w:lang w:eastAsia="ru-RU"/>
        </w:rPr>
        <w:instrText>.</w:instrText>
      </w:r>
      <w:r w:rsidR="00261F17" w:rsidRPr="00A17470">
        <w:rPr>
          <w:iCs/>
          <w:szCs w:val="24"/>
          <w:lang w:val="en-US" w:eastAsia="ru-RU"/>
        </w:rPr>
        <w:instrText>com</w:instrText>
      </w:r>
      <w:r w:rsidR="00261F17" w:rsidRPr="00A17470">
        <w:rPr>
          <w:iCs/>
          <w:szCs w:val="24"/>
          <w:lang w:eastAsia="ru-RU"/>
        </w:rPr>
        <w:instrText>/</w:instrText>
      </w:r>
      <w:r w:rsidR="00261F17" w:rsidRPr="00A17470">
        <w:rPr>
          <w:iCs/>
          <w:szCs w:val="24"/>
          <w:lang w:val="en-US" w:eastAsia="ru-RU"/>
        </w:rPr>
        <w:instrText>citation</w:instrText>
      </w:r>
      <w:r w:rsidR="00261F17" w:rsidRPr="00A17470">
        <w:rPr>
          <w:iCs/>
          <w:szCs w:val="24"/>
          <w:lang w:eastAsia="ru-RU"/>
        </w:rPr>
        <w:instrText>-</w:instrText>
      </w:r>
      <w:r w:rsidR="00261F17" w:rsidRPr="00A17470">
        <w:rPr>
          <w:iCs/>
          <w:szCs w:val="24"/>
          <w:lang w:val="en-US" w:eastAsia="ru-RU"/>
        </w:rPr>
        <w:instrText>style</w:instrText>
      </w:r>
      <w:r w:rsidR="00261F17" w:rsidRPr="00A17470">
        <w:rPr>
          <w:iCs/>
          <w:szCs w:val="24"/>
          <w:lang w:eastAsia="ru-RU"/>
        </w:rPr>
        <w:instrText>-</w:instrText>
      </w:r>
      <w:r w:rsidR="00261F17" w:rsidRPr="00A17470">
        <w:rPr>
          <w:iCs/>
          <w:szCs w:val="24"/>
          <w:lang w:val="en-US" w:eastAsia="ru-RU"/>
        </w:rPr>
        <w:instrText>language</w:instrText>
      </w:r>
      <w:r w:rsidR="00261F17" w:rsidRPr="00A17470">
        <w:rPr>
          <w:iCs/>
          <w:szCs w:val="24"/>
          <w:lang w:eastAsia="ru-RU"/>
        </w:rPr>
        <w:instrText>/</w:instrText>
      </w:r>
      <w:r w:rsidR="00261F17" w:rsidRPr="00A17470">
        <w:rPr>
          <w:iCs/>
          <w:szCs w:val="24"/>
          <w:lang w:val="en-US" w:eastAsia="ru-RU"/>
        </w:rPr>
        <w:instrText>schema</w:instrText>
      </w:r>
      <w:r w:rsidR="00261F17" w:rsidRPr="00A17470">
        <w:rPr>
          <w:iCs/>
          <w:szCs w:val="24"/>
          <w:lang w:eastAsia="ru-RU"/>
        </w:rPr>
        <w:instrText>/</w:instrText>
      </w:r>
      <w:r w:rsidR="00261F17" w:rsidRPr="00A17470">
        <w:rPr>
          <w:iCs/>
          <w:szCs w:val="24"/>
          <w:lang w:val="en-US" w:eastAsia="ru-RU"/>
        </w:rPr>
        <w:instrText>raw</w:instrText>
      </w:r>
      <w:r w:rsidR="00261F17" w:rsidRPr="00A17470">
        <w:rPr>
          <w:iCs/>
          <w:szCs w:val="24"/>
          <w:lang w:eastAsia="ru-RU"/>
        </w:rPr>
        <w:instrText>/</w:instrText>
      </w:r>
      <w:r w:rsidR="00261F17" w:rsidRPr="00A17470">
        <w:rPr>
          <w:iCs/>
          <w:szCs w:val="24"/>
          <w:lang w:val="en-US" w:eastAsia="ru-RU"/>
        </w:rPr>
        <w:instrText>master</w:instrText>
      </w:r>
      <w:r w:rsidR="00261F17" w:rsidRPr="00A17470">
        <w:rPr>
          <w:iCs/>
          <w:szCs w:val="24"/>
          <w:lang w:eastAsia="ru-RU"/>
        </w:rPr>
        <w:instrText>/</w:instrText>
      </w:r>
      <w:r w:rsidR="00261F17" w:rsidRPr="00A17470">
        <w:rPr>
          <w:iCs/>
          <w:szCs w:val="24"/>
          <w:lang w:val="en-US" w:eastAsia="ru-RU"/>
        </w:rPr>
        <w:instrText>csl</w:instrText>
      </w:r>
      <w:r w:rsidR="00261F17" w:rsidRPr="00A17470">
        <w:rPr>
          <w:iCs/>
          <w:szCs w:val="24"/>
          <w:lang w:eastAsia="ru-RU"/>
        </w:rPr>
        <w:instrText>-</w:instrText>
      </w:r>
      <w:r w:rsidR="00261F17" w:rsidRPr="00A17470">
        <w:rPr>
          <w:iCs/>
          <w:szCs w:val="24"/>
          <w:lang w:val="en-US" w:eastAsia="ru-RU"/>
        </w:rPr>
        <w:instrText>citation</w:instrText>
      </w:r>
      <w:r w:rsidR="00261F17" w:rsidRPr="00A17470">
        <w:rPr>
          <w:iCs/>
          <w:szCs w:val="24"/>
          <w:lang w:eastAsia="ru-RU"/>
        </w:rPr>
        <w:instrText>.</w:instrText>
      </w:r>
      <w:r w:rsidR="00261F17" w:rsidRPr="00A17470">
        <w:rPr>
          <w:iCs/>
          <w:szCs w:val="24"/>
          <w:lang w:val="en-US" w:eastAsia="ru-RU"/>
        </w:rPr>
        <w:instrText>json</w:instrText>
      </w:r>
      <w:r w:rsidR="00261F17" w:rsidRPr="00A17470">
        <w:rPr>
          <w:iCs/>
          <w:szCs w:val="24"/>
          <w:lang w:eastAsia="ru-RU"/>
        </w:rPr>
        <w:instrText>"}</w:instrText>
      </w:r>
      <w:r w:rsidR="00261F17" w:rsidRPr="00A17470">
        <w:rPr>
          <w:iCs/>
          <w:szCs w:val="24"/>
          <w:lang w:eastAsia="ru-RU"/>
        </w:rPr>
        <w:fldChar w:fldCharType="separate"/>
      </w:r>
      <w:r w:rsidR="00261F17" w:rsidRPr="00A17470">
        <w:rPr>
          <w:iCs/>
          <w:noProof/>
          <w:szCs w:val="24"/>
          <w:lang w:eastAsia="ru-RU"/>
        </w:rPr>
        <w:t>[1,10,11]</w:t>
      </w:r>
      <w:r w:rsidR="00261F17" w:rsidRPr="00A17470">
        <w:rPr>
          <w:iCs/>
          <w:szCs w:val="24"/>
          <w:lang w:eastAsia="ru-RU"/>
        </w:rPr>
        <w:fldChar w:fldCharType="end"/>
      </w:r>
      <w:r w:rsidRPr="00A17470">
        <w:rPr>
          <w:iCs/>
        </w:rPr>
        <w:t xml:space="preserve">: </w:t>
      </w:r>
    </w:p>
    <w:p w14:paraId="066B91DA" w14:textId="7C18186A" w:rsidR="000C7098" w:rsidRPr="00F31660" w:rsidRDefault="00A07025" w:rsidP="00A07025">
      <w:pPr>
        <w:numPr>
          <w:ilvl w:val="0"/>
          <w:numId w:val="19"/>
        </w:numPr>
        <w:rPr>
          <w:iCs/>
          <w:szCs w:val="24"/>
          <w:lang w:eastAsia="ru-RU"/>
        </w:rPr>
      </w:pPr>
      <w:r w:rsidRPr="00F31660">
        <w:rPr>
          <w:iCs/>
          <w:szCs w:val="24"/>
          <w:lang w:eastAsia="ru-RU"/>
        </w:rPr>
        <w:t xml:space="preserve">Определение </w:t>
      </w:r>
      <w:r w:rsidRPr="00F31660">
        <w:rPr>
          <w:iCs/>
          <w:szCs w:val="24"/>
          <w:lang w:val="en-US" w:eastAsia="ru-RU"/>
        </w:rPr>
        <w:t>HLA</w:t>
      </w:r>
      <w:r w:rsidRPr="00F31660">
        <w:rPr>
          <w:iCs/>
          <w:szCs w:val="24"/>
          <w:lang w:eastAsia="ru-RU"/>
        </w:rPr>
        <w:t xml:space="preserve">-антигенов или </w:t>
      </w:r>
      <w:r w:rsidR="00F03E92">
        <w:rPr>
          <w:iCs/>
          <w:szCs w:val="24"/>
          <w:lang w:eastAsia="ru-RU"/>
        </w:rPr>
        <w:t>м</w:t>
      </w:r>
      <w:r w:rsidR="000C7098" w:rsidRPr="00F31660">
        <w:rPr>
          <w:iCs/>
          <w:szCs w:val="24"/>
          <w:lang w:eastAsia="ru-RU"/>
        </w:rPr>
        <w:t xml:space="preserve">олекулярно-генетическое исследование </w:t>
      </w:r>
      <w:proofErr w:type="spellStart"/>
      <w:r w:rsidR="000C7098" w:rsidRPr="00F31660">
        <w:rPr>
          <w:iCs/>
          <w:szCs w:val="24"/>
          <w:lang w:eastAsia="ru-RU"/>
        </w:rPr>
        <w:t>гистосовместимости</w:t>
      </w:r>
      <w:proofErr w:type="spellEnd"/>
      <w:r w:rsidR="000C7098" w:rsidRPr="00F31660">
        <w:rPr>
          <w:iCs/>
          <w:szCs w:val="24"/>
          <w:lang w:eastAsia="ru-RU"/>
        </w:rPr>
        <w:t xml:space="preserve"> (</w:t>
      </w:r>
      <w:r w:rsidR="000C7098" w:rsidRPr="00F31660">
        <w:rPr>
          <w:iCs/>
          <w:szCs w:val="24"/>
          <w:lang w:val="en-US" w:eastAsia="ru-RU"/>
        </w:rPr>
        <w:t>HLA</w:t>
      </w:r>
      <w:r w:rsidR="000C7098" w:rsidRPr="00F31660">
        <w:rPr>
          <w:iCs/>
          <w:szCs w:val="24"/>
          <w:lang w:eastAsia="ru-RU"/>
        </w:rPr>
        <w:t xml:space="preserve">) высокого разрешения при помощи </w:t>
      </w:r>
      <w:proofErr w:type="spellStart"/>
      <w:r w:rsidR="000C7098" w:rsidRPr="00F31660">
        <w:rPr>
          <w:iCs/>
          <w:szCs w:val="24"/>
          <w:lang w:eastAsia="ru-RU"/>
        </w:rPr>
        <w:t>секвенирования</w:t>
      </w:r>
      <w:proofErr w:type="spellEnd"/>
      <w:r w:rsidR="000C7098" w:rsidRPr="00F31660">
        <w:rPr>
          <w:iCs/>
          <w:szCs w:val="24"/>
          <w:lang w:eastAsia="ru-RU"/>
        </w:rPr>
        <w:t xml:space="preserve"> для подбора донора костного мозга</w:t>
      </w:r>
      <w:r w:rsidR="00D03E4D" w:rsidRPr="00F31660">
        <w:rPr>
          <w:iCs/>
          <w:szCs w:val="24"/>
          <w:lang w:eastAsia="ru-RU"/>
        </w:rPr>
        <w:t xml:space="preserve"> </w:t>
      </w:r>
    </w:p>
    <w:p w14:paraId="19458E36" w14:textId="1920B355" w:rsidR="00D03E4D" w:rsidRPr="00D03E4D" w:rsidRDefault="00A07025" w:rsidP="00D03E4D">
      <w:pPr>
        <w:ind w:left="720" w:firstLine="0"/>
        <w:rPr>
          <w:iCs/>
          <w:color w:val="FF0000"/>
          <w:szCs w:val="24"/>
          <w:lang w:eastAsia="ru-RU"/>
        </w:rPr>
      </w:pPr>
      <w:r w:rsidRPr="00F31660">
        <w:rPr>
          <w:b/>
          <w:bCs/>
          <w:i/>
          <w:iCs/>
        </w:rPr>
        <w:t>Комментарий.</w:t>
      </w:r>
      <w:r w:rsidR="00D03E4D" w:rsidRPr="00F31660">
        <w:rPr>
          <w:iCs/>
          <w:color w:val="FF0000"/>
          <w:szCs w:val="24"/>
          <w:lang w:eastAsia="ru-RU"/>
        </w:rPr>
        <w:t xml:space="preserve"> </w:t>
      </w:r>
      <w:r w:rsidRPr="00F31660">
        <w:rPr>
          <w:iCs/>
          <w:szCs w:val="24"/>
          <w:lang w:eastAsia="ru-RU"/>
        </w:rPr>
        <w:t>Исследование выполняются после консультации в трансплантационной клинике. У</w:t>
      </w:r>
      <w:r w:rsidR="00D03E4D" w:rsidRPr="00F31660">
        <w:rPr>
          <w:iCs/>
          <w:szCs w:val="24"/>
          <w:lang w:eastAsia="ru-RU"/>
        </w:rPr>
        <w:t xml:space="preserve"> больных с БК </w:t>
      </w:r>
      <w:r w:rsidRPr="00F31660">
        <w:rPr>
          <w:iCs/>
          <w:szCs w:val="24"/>
          <w:lang w:eastAsia="ru-RU"/>
        </w:rPr>
        <w:t xml:space="preserve">ХМЛ </w:t>
      </w:r>
      <w:r w:rsidR="00D03E4D" w:rsidRPr="00F31660">
        <w:rPr>
          <w:iCs/>
          <w:szCs w:val="24"/>
          <w:lang w:eastAsia="ru-RU"/>
        </w:rPr>
        <w:t>исследование проводится при достижении 2-й ХФ</w:t>
      </w:r>
      <w:r w:rsidRPr="00F31660">
        <w:rPr>
          <w:iCs/>
          <w:szCs w:val="24"/>
          <w:lang w:eastAsia="ru-RU"/>
        </w:rPr>
        <w:t>, в случае</w:t>
      </w:r>
      <w:r w:rsidR="00DB1B12" w:rsidRPr="00F31660">
        <w:rPr>
          <w:iCs/>
          <w:szCs w:val="24"/>
          <w:lang w:eastAsia="ru-RU"/>
        </w:rPr>
        <w:t>,</w:t>
      </w:r>
      <w:r w:rsidRPr="00F31660">
        <w:rPr>
          <w:iCs/>
          <w:szCs w:val="24"/>
          <w:lang w:eastAsia="ru-RU"/>
        </w:rPr>
        <w:t xml:space="preserve"> если п</w:t>
      </w:r>
      <w:r w:rsidR="00D03E4D" w:rsidRPr="00F31660">
        <w:rPr>
          <w:iCs/>
          <w:szCs w:val="24"/>
          <w:lang w:eastAsia="ru-RU"/>
        </w:rPr>
        <w:t>ациент моложе 65</w:t>
      </w:r>
      <w:r w:rsidRPr="00F31660">
        <w:rPr>
          <w:iCs/>
          <w:szCs w:val="24"/>
          <w:lang w:eastAsia="ru-RU"/>
        </w:rPr>
        <w:t xml:space="preserve"> лет.</w:t>
      </w:r>
    </w:p>
    <w:p w14:paraId="67C7152F" w14:textId="055A7E0B" w:rsidR="000C7098" w:rsidRPr="00062B4F" w:rsidRDefault="000C7098" w:rsidP="00505FD7">
      <w:pPr>
        <w:numPr>
          <w:ilvl w:val="0"/>
          <w:numId w:val="19"/>
        </w:numPr>
        <w:rPr>
          <w:iCs/>
          <w:szCs w:val="24"/>
          <w:lang w:eastAsia="ru-RU"/>
        </w:rPr>
      </w:pPr>
      <w:r w:rsidRPr="00062B4F">
        <w:rPr>
          <w:iCs/>
          <w:szCs w:val="24"/>
          <w:lang w:eastAsia="ru-RU"/>
        </w:rPr>
        <w:t xml:space="preserve">Цитохимическое исследование микропрепарата костного мозга: </w:t>
      </w:r>
      <w:proofErr w:type="spellStart"/>
      <w:r w:rsidRPr="00062B4F">
        <w:rPr>
          <w:iCs/>
          <w:szCs w:val="24"/>
          <w:lang w:eastAsia="ru-RU"/>
        </w:rPr>
        <w:t>миелопероксидаза</w:t>
      </w:r>
      <w:proofErr w:type="spellEnd"/>
      <w:r w:rsidRPr="00062B4F">
        <w:rPr>
          <w:iCs/>
          <w:szCs w:val="24"/>
          <w:lang w:eastAsia="ru-RU"/>
        </w:rPr>
        <w:t>, липиды, PAS-реакция, альфа-</w:t>
      </w:r>
      <w:proofErr w:type="spellStart"/>
      <w:r w:rsidRPr="00062B4F">
        <w:rPr>
          <w:iCs/>
          <w:szCs w:val="24"/>
          <w:lang w:eastAsia="ru-RU"/>
        </w:rPr>
        <w:t>нафтилэстераза</w:t>
      </w:r>
      <w:proofErr w:type="spellEnd"/>
      <w:r w:rsidRPr="00062B4F">
        <w:rPr>
          <w:iCs/>
          <w:szCs w:val="24"/>
          <w:lang w:eastAsia="ru-RU"/>
        </w:rPr>
        <w:t xml:space="preserve"> при </w:t>
      </w:r>
      <w:proofErr w:type="spellStart"/>
      <w:r w:rsidR="00353345">
        <w:rPr>
          <w:iCs/>
          <w:szCs w:val="24"/>
          <w:lang w:eastAsia="ru-RU"/>
        </w:rPr>
        <w:t>бластном</w:t>
      </w:r>
      <w:proofErr w:type="spellEnd"/>
      <w:r w:rsidR="00353345">
        <w:rPr>
          <w:iCs/>
          <w:szCs w:val="24"/>
          <w:lang w:eastAsia="ru-RU"/>
        </w:rPr>
        <w:t xml:space="preserve"> кризе ХМЛ</w:t>
      </w:r>
      <w:r w:rsidRPr="00062B4F">
        <w:rPr>
          <w:iCs/>
          <w:szCs w:val="24"/>
          <w:lang w:eastAsia="ru-RU"/>
        </w:rPr>
        <w:t>.</w:t>
      </w:r>
    </w:p>
    <w:p w14:paraId="5B84A6BB" w14:textId="5FC1C3C6" w:rsidR="000C7098" w:rsidRPr="00062B4F" w:rsidRDefault="00B25112" w:rsidP="00505FD7">
      <w:pPr>
        <w:numPr>
          <w:ilvl w:val="0"/>
          <w:numId w:val="19"/>
        </w:numPr>
        <w:rPr>
          <w:iCs/>
          <w:szCs w:val="24"/>
          <w:lang w:eastAsia="ru-RU"/>
        </w:rPr>
      </w:pPr>
      <w:proofErr w:type="spellStart"/>
      <w:r w:rsidRPr="00F31660">
        <w:t>Иммунофенотипирование</w:t>
      </w:r>
      <w:proofErr w:type="spellEnd"/>
      <w:r w:rsidRPr="00F31660">
        <w:t xml:space="preserve"> биологического материала для выявления маркеров </w:t>
      </w:r>
      <w:proofErr w:type="spellStart"/>
      <w:r w:rsidRPr="00F31660">
        <w:t>гемобластозов</w:t>
      </w:r>
      <w:proofErr w:type="spellEnd"/>
      <w:r w:rsidRPr="00062B4F">
        <w:rPr>
          <w:iCs/>
          <w:szCs w:val="24"/>
          <w:lang w:eastAsia="ru-RU"/>
        </w:rPr>
        <w:t xml:space="preserve"> </w:t>
      </w:r>
      <w:r w:rsidR="000C7098" w:rsidRPr="00062B4F">
        <w:rPr>
          <w:iCs/>
          <w:szCs w:val="24"/>
          <w:lang w:eastAsia="ru-RU"/>
        </w:rPr>
        <w:t>при</w:t>
      </w:r>
      <w:r w:rsidR="00DB47D7" w:rsidRPr="00062B4F">
        <w:rPr>
          <w:iCs/>
          <w:szCs w:val="24"/>
          <w:lang w:eastAsia="ru-RU"/>
        </w:rPr>
        <w:t xml:space="preserve"> </w:t>
      </w:r>
      <w:proofErr w:type="spellStart"/>
      <w:r w:rsidR="00DB47D7">
        <w:rPr>
          <w:iCs/>
          <w:szCs w:val="24"/>
          <w:lang w:eastAsia="ru-RU"/>
        </w:rPr>
        <w:t>бластном</w:t>
      </w:r>
      <w:proofErr w:type="spellEnd"/>
      <w:r w:rsidR="00DB47D7">
        <w:rPr>
          <w:iCs/>
          <w:szCs w:val="24"/>
          <w:lang w:eastAsia="ru-RU"/>
        </w:rPr>
        <w:t xml:space="preserve"> кризе ХМЛ</w:t>
      </w:r>
      <w:r w:rsidR="000C7098" w:rsidRPr="00062B4F">
        <w:rPr>
          <w:iCs/>
          <w:szCs w:val="24"/>
          <w:lang w:eastAsia="ru-RU"/>
        </w:rPr>
        <w:t>.</w:t>
      </w:r>
    </w:p>
    <w:p w14:paraId="0AFD3B0A" w14:textId="77777777" w:rsidR="000C7098" w:rsidRDefault="000C7098" w:rsidP="00505FD7">
      <w:pPr>
        <w:numPr>
          <w:ilvl w:val="0"/>
          <w:numId w:val="19"/>
        </w:numPr>
        <w:rPr>
          <w:iCs/>
          <w:szCs w:val="24"/>
          <w:lang w:eastAsia="ru-RU"/>
        </w:rPr>
      </w:pPr>
      <w:r w:rsidRPr="00062B4F">
        <w:rPr>
          <w:iCs/>
          <w:szCs w:val="24"/>
          <w:lang w:eastAsia="ru-RU"/>
        </w:rPr>
        <w:t xml:space="preserve">Патологоанатомическое исследование </w:t>
      </w:r>
      <w:proofErr w:type="spellStart"/>
      <w:r w:rsidRPr="00062B4F">
        <w:rPr>
          <w:iCs/>
          <w:szCs w:val="24"/>
          <w:lang w:eastAsia="ru-RU"/>
        </w:rPr>
        <w:t>биопсийного</w:t>
      </w:r>
      <w:proofErr w:type="spellEnd"/>
      <w:r w:rsidRPr="00062B4F">
        <w:rPr>
          <w:iCs/>
          <w:szCs w:val="24"/>
          <w:lang w:eastAsia="ru-RU"/>
        </w:rPr>
        <w:t xml:space="preserve"> (операционного) материала костного мозга (</w:t>
      </w:r>
      <w:proofErr w:type="spellStart"/>
      <w:r w:rsidRPr="00062B4F">
        <w:rPr>
          <w:iCs/>
          <w:szCs w:val="24"/>
          <w:lang w:eastAsia="ru-RU"/>
        </w:rPr>
        <w:t>трепанобиопсия</w:t>
      </w:r>
      <w:proofErr w:type="spellEnd"/>
      <w:r w:rsidRPr="00062B4F">
        <w:rPr>
          <w:iCs/>
          <w:szCs w:val="24"/>
          <w:lang w:eastAsia="ru-RU"/>
        </w:rPr>
        <w:t xml:space="preserve">) с определением </w:t>
      </w:r>
      <w:proofErr w:type="spellStart"/>
      <w:r w:rsidRPr="00062B4F">
        <w:rPr>
          <w:iCs/>
          <w:szCs w:val="24"/>
          <w:lang w:eastAsia="ru-RU"/>
        </w:rPr>
        <w:t>клеточности</w:t>
      </w:r>
      <w:proofErr w:type="spellEnd"/>
      <w:r w:rsidRPr="00062B4F">
        <w:rPr>
          <w:iCs/>
          <w:szCs w:val="24"/>
          <w:lang w:eastAsia="ru-RU"/>
        </w:rPr>
        <w:t xml:space="preserve"> и степени фиброза при </w:t>
      </w:r>
      <w:proofErr w:type="spellStart"/>
      <w:r w:rsidRPr="00062B4F">
        <w:rPr>
          <w:iCs/>
          <w:szCs w:val="24"/>
          <w:lang w:eastAsia="ru-RU"/>
        </w:rPr>
        <w:t>цитопении</w:t>
      </w:r>
      <w:proofErr w:type="spellEnd"/>
      <w:r w:rsidRPr="00062B4F">
        <w:rPr>
          <w:iCs/>
          <w:szCs w:val="24"/>
          <w:lang w:eastAsia="ru-RU"/>
        </w:rPr>
        <w:t>.</w:t>
      </w:r>
    </w:p>
    <w:p w14:paraId="54A8899E" w14:textId="6DCC31D8" w:rsidR="00DB1B12" w:rsidRPr="00F31660" w:rsidRDefault="00DB1B12" w:rsidP="00DB1B12">
      <w:pPr>
        <w:numPr>
          <w:ilvl w:val="0"/>
          <w:numId w:val="19"/>
        </w:numPr>
        <w:spacing w:before="120"/>
        <w:rPr>
          <w:b/>
          <w:bCs/>
          <w:szCs w:val="24"/>
          <w:lang w:eastAsia="ru-RU"/>
        </w:rPr>
      </w:pPr>
      <w:r w:rsidRPr="00F31660">
        <w:rPr>
          <w:iCs/>
          <w:szCs w:val="24"/>
          <w:lang w:eastAsia="ru-RU"/>
        </w:rPr>
        <w:lastRenderedPageBreak/>
        <w:t xml:space="preserve">У пациентов с БК ХМЛ – спинномозговая пункция с последующим цитологическим исследованием и/или </w:t>
      </w:r>
      <w:proofErr w:type="spellStart"/>
      <w:r w:rsidRPr="00F31660">
        <w:t>иммунофенотипированием</w:t>
      </w:r>
      <w:proofErr w:type="spellEnd"/>
      <w:r w:rsidRPr="00F31660">
        <w:t xml:space="preserve"> биологического материала для выявления маркеров </w:t>
      </w:r>
      <w:proofErr w:type="spellStart"/>
      <w:r w:rsidRPr="00F31660">
        <w:t>гемобластозов</w:t>
      </w:r>
      <w:proofErr w:type="spellEnd"/>
    </w:p>
    <w:p w14:paraId="2FCE9FB6" w14:textId="60B45441" w:rsidR="000C7098" w:rsidRPr="00DB1B12" w:rsidRDefault="000C7098" w:rsidP="00DB1B12">
      <w:pPr>
        <w:spacing w:before="120"/>
        <w:ind w:firstLine="0"/>
        <w:rPr>
          <w:b/>
          <w:bCs/>
          <w:szCs w:val="24"/>
          <w:lang w:eastAsia="ru-RU"/>
        </w:rPr>
      </w:pPr>
      <w:r w:rsidRPr="00DB1B12">
        <w:rPr>
          <w:b/>
          <w:bCs/>
          <w:szCs w:val="24"/>
          <w:lang w:eastAsia="ru-RU"/>
        </w:rPr>
        <w:t>Уровень убедительности рекомендаций – C (уровень достоверности доказательств – 5).</w:t>
      </w:r>
    </w:p>
    <w:p w14:paraId="24D1E1FC" w14:textId="5979A418" w:rsidR="000C7098" w:rsidRPr="00062B4F" w:rsidRDefault="000C7098" w:rsidP="009D2E3F">
      <w:pPr>
        <w:rPr>
          <w:i/>
          <w:iCs/>
          <w:szCs w:val="24"/>
          <w:lang w:eastAsia="ru-RU"/>
        </w:rPr>
      </w:pPr>
      <w:r w:rsidRPr="00062B4F">
        <w:rPr>
          <w:b/>
          <w:bCs/>
          <w:i/>
          <w:iCs/>
          <w:szCs w:val="24"/>
          <w:lang w:eastAsia="ru-RU"/>
        </w:rPr>
        <w:t>Комментарии</w:t>
      </w:r>
      <w:r w:rsidRPr="00062B4F">
        <w:rPr>
          <w:i/>
          <w:iCs/>
          <w:szCs w:val="24"/>
          <w:lang w:eastAsia="ru-RU"/>
        </w:rPr>
        <w:t xml:space="preserve">: </w:t>
      </w:r>
      <w:r w:rsidR="00E606EF">
        <w:rPr>
          <w:i/>
          <w:iCs/>
          <w:szCs w:val="24"/>
          <w:lang w:eastAsia="ru-RU"/>
        </w:rPr>
        <w:t>HLA-типирование проводится для поиска</w:t>
      </w:r>
      <w:r w:rsidRPr="00F31660">
        <w:rPr>
          <w:i/>
          <w:iCs/>
          <w:szCs w:val="24"/>
          <w:lang w:eastAsia="ru-RU"/>
        </w:rPr>
        <w:t xml:space="preserve"> HLA</w:t>
      </w:r>
      <w:r w:rsidRPr="00F31660">
        <w:rPr>
          <w:i/>
          <w:iCs/>
          <w:szCs w:val="24"/>
          <w:lang w:eastAsia="ru-RU"/>
        </w:rPr>
        <w:noBreakHyphen/>
        <w:t xml:space="preserve">совместимого донора </w:t>
      </w:r>
      <w:r w:rsidR="00E606EF">
        <w:rPr>
          <w:i/>
          <w:iCs/>
          <w:szCs w:val="24"/>
          <w:lang w:eastAsia="ru-RU"/>
        </w:rPr>
        <w:t>пациентам, которым показано выполнение</w:t>
      </w:r>
      <w:r w:rsidRPr="00F31660">
        <w:rPr>
          <w:i/>
          <w:iCs/>
          <w:szCs w:val="24"/>
          <w:lang w:eastAsia="ru-RU"/>
        </w:rPr>
        <w:t xml:space="preserve"> алло</w:t>
      </w:r>
      <w:r w:rsidR="00FD1CA7" w:rsidRPr="00F31660">
        <w:rPr>
          <w:i/>
          <w:iCs/>
          <w:szCs w:val="24"/>
          <w:lang w:eastAsia="ru-RU"/>
        </w:rPr>
        <w:t>генн</w:t>
      </w:r>
      <w:r w:rsidR="00E606EF">
        <w:rPr>
          <w:i/>
          <w:iCs/>
          <w:szCs w:val="24"/>
          <w:lang w:eastAsia="ru-RU"/>
        </w:rPr>
        <w:t>ой</w:t>
      </w:r>
      <w:r w:rsidR="00FD1CA7" w:rsidRPr="00F31660">
        <w:rPr>
          <w:i/>
          <w:iCs/>
          <w:szCs w:val="24"/>
          <w:lang w:eastAsia="ru-RU"/>
        </w:rPr>
        <w:t xml:space="preserve"> </w:t>
      </w:r>
      <w:r w:rsidRPr="00F31660">
        <w:rPr>
          <w:i/>
          <w:iCs/>
          <w:szCs w:val="24"/>
          <w:lang w:eastAsia="ru-RU"/>
        </w:rPr>
        <w:t>ТГСК. Цит</w:t>
      </w:r>
      <w:r w:rsidRPr="00062B4F">
        <w:rPr>
          <w:i/>
          <w:iCs/>
          <w:szCs w:val="24"/>
          <w:lang w:eastAsia="ru-RU"/>
        </w:rPr>
        <w:t xml:space="preserve">охимическое и </w:t>
      </w:r>
      <w:proofErr w:type="spellStart"/>
      <w:r w:rsidRPr="00062B4F">
        <w:rPr>
          <w:i/>
          <w:iCs/>
          <w:szCs w:val="24"/>
          <w:lang w:eastAsia="ru-RU"/>
        </w:rPr>
        <w:t>иммунофенотипическое</w:t>
      </w:r>
      <w:proofErr w:type="spellEnd"/>
      <w:r w:rsidRPr="00062B4F">
        <w:rPr>
          <w:i/>
          <w:iCs/>
          <w:szCs w:val="24"/>
          <w:lang w:eastAsia="ru-RU"/>
        </w:rPr>
        <w:t xml:space="preserve"> исследования </w:t>
      </w:r>
      <w:proofErr w:type="spellStart"/>
      <w:r w:rsidRPr="00062B4F">
        <w:rPr>
          <w:i/>
          <w:iCs/>
          <w:szCs w:val="24"/>
          <w:lang w:eastAsia="ru-RU"/>
        </w:rPr>
        <w:t>бластных</w:t>
      </w:r>
      <w:proofErr w:type="spellEnd"/>
      <w:r w:rsidRPr="00062B4F">
        <w:rPr>
          <w:i/>
          <w:iCs/>
          <w:szCs w:val="24"/>
          <w:lang w:eastAsia="ru-RU"/>
        </w:rPr>
        <w:t xml:space="preserve"> клеток при </w:t>
      </w:r>
      <w:proofErr w:type="spellStart"/>
      <w:r w:rsidRPr="00062B4F">
        <w:rPr>
          <w:i/>
          <w:iCs/>
          <w:szCs w:val="24"/>
          <w:lang w:eastAsia="ru-RU"/>
        </w:rPr>
        <w:t>бластном</w:t>
      </w:r>
      <w:proofErr w:type="spellEnd"/>
      <w:r w:rsidRPr="00062B4F">
        <w:rPr>
          <w:i/>
          <w:iCs/>
          <w:szCs w:val="24"/>
          <w:lang w:eastAsia="ru-RU"/>
        </w:rPr>
        <w:t xml:space="preserve"> кризе ХМЛ требуются для определения линейной направленности </w:t>
      </w:r>
      <w:proofErr w:type="spellStart"/>
      <w:r w:rsidRPr="00062B4F">
        <w:rPr>
          <w:i/>
          <w:iCs/>
          <w:szCs w:val="24"/>
          <w:lang w:eastAsia="ru-RU"/>
        </w:rPr>
        <w:t>бластных</w:t>
      </w:r>
      <w:proofErr w:type="spellEnd"/>
      <w:r w:rsidRPr="00062B4F">
        <w:rPr>
          <w:i/>
          <w:iCs/>
          <w:szCs w:val="24"/>
          <w:lang w:eastAsia="ru-RU"/>
        </w:rPr>
        <w:t xml:space="preserve"> клеток и выбора оптимальной схемы химиотерапевтического воздействия. Гистологическое исследование костного мозга необходимо для определения причины развития </w:t>
      </w:r>
      <w:proofErr w:type="spellStart"/>
      <w:r w:rsidRPr="00062B4F">
        <w:rPr>
          <w:i/>
          <w:iCs/>
          <w:szCs w:val="24"/>
          <w:lang w:eastAsia="ru-RU"/>
        </w:rPr>
        <w:t>цитопении</w:t>
      </w:r>
      <w:proofErr w:type="spellEnd"/>
      <w:r w:rsidRPr="00062B4F">
        <w:rPr>
          <w:i/>
          <w:iCs/>
          <w:szCs w:val="24"/>
          <w:lang w:eastAsia="ru-RU"/>
        </w:rPr>
        <w:t xml:space="preserve"> и выбора оптимальной тактики ее коррекции. </w:t>
      </w:r>
    </w:p>
    <w:p w14:paraId="22D7445C" w14:textId="77777777" w:rsidR="000C7098" w:rsidRPr="00062B4F" w:rsidRDefault="000C7098" w:rsidP="00872CD9">
      <w:pPr>
        <w:suppressAutoHyphens/>
        <w:spacing w:before="240"/>
        <w:ind w:firstLine="0"/>
        <w:outlineLvl w:val="1"/>
        <w:rPr>
          <w:b/>
          <w:szCs w:val="24"/>
          <w:u w:val="single"/>
        </w:rPr>
      </w:pPr>
      <w:bookmarkStart w:id="20" w:name="_Toc86133400"/>
      <w:r w:rsidRPr="00062B4F">
        <w:rPr>
          <w:b/>
          <w:szCs w:val="24"/>
          <w:u w:val="single"/>
        </w:rPr>
        <w:t>2.4. Инструментальная диагностика</w:t>
      </w:r>
      <w:bookmarkEnd w:id="20"/>
    </w:p>
    <w:p w14:paraId="37663FA9" w14:textId="622D3D27" w:rsidR="000C7098" w:rsidRPr="00062B4F" w:rsidRDefault="000C7098" w:rsidP="00505FD7">
      <w:pPr>
        <w:numPr>
          <w:ilvl w:val="0"/>
          <w:numId w:val="18"/>
        </w:numPr>
        <w:rPr>
          <w:iCs/>
          <w:szCs w:val="24"/>
          <w:lang w:eastAsia="ru-RU"/>
        </w:rPr>
      </w:pPr>
      <w:r w:rsidRPr="00062B4F">
        <w:rPr>
          <w:b/>
          <w:bCs/>
          <w:iCs/>
          <w:szCs w:val="24"/>
          <w:lang w:eastAsia="ru-RU"/>
        </w:rPr>
        <w:t xml:space="preserve">Рекомендуется </w:t>
      </w:r>
      <w:r w:rsidRPr="00062B4F">
        <w:rPr>
          <w:iCs/>
          <w:szCs w:val="24"/>
          <w:lang w:eastAsia="ru-RU"/>
        </w:rPr>
        <w:t xml:space="preserve">проводить всем пациентам при подозрении на ХМЛ ультразвуковое исследование (УЗИ) селезенки с целью определения ее размеров для оценки </w:t>
      </w:r>
      <w:r w:rsidR="00962763" w:rsidRPr="00062B4F">
        <w:rPr>
          <w:iCs/>
          <w:szCs w:val="24"/>
          <w:lang w:eastAsia="ru-RU"/>
        </w:rPr>
        <w:t>объёма</w:t>
      </w:r>
      <w:r w:rsidRPr="00062B4F">
        <w:rPr>
          <w:iCs/>
          <w:szCs w:val="24"/>
          <w:lang w:eastAsia="ru-RU"/>
        </w:rPr>
        <w:t xml:space="preserve"> опухолевой массы и </w:t>
      </w:r>
      <w:proofErr w:type="spellStart"/>
      <w:r w:rsidRPr="00062B4F">
        <w:rPr>
          <w:iCs/>
          <w:szCs w:val="24"/>
          <w:lang w:eastAsia="ru-RU"/>
        </w:rPr>
        <w:t>стадирования</w:t>
      </w:r>
      <w:proofErr w:type="spellEnd"/>
      <w:r w:rsidRPr="00062B4F">
        <w:rPr>
          <w:iCs/>
          <w:szCs w:val="24"/>
          <w:lang w:eastAsia="ru-RU"/>
        </w:rPr>
        <w:t xml:space="preserve"> процесса </w:t>
      </w:r>
      <w:r w:rsidR="00261F17" w:rsidRPr="00062B4F">
        <w:rPr>
          <w:iCs/>
          <w:szCs w:val="24"/>
          <w:lang w:eastAsia="ru-RU"/>
        </w:rPr>
        <w:fldChar w:fldCharType="begin" w:fldLock="1"/>
      </w:r>
      <w:r w:rsidR="00C54289"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261F17" w:rsidRPr="00062B4F">
        <w:rPr>
          <w:iCs/>
          <w:szCs w:val="24"/>
          <w:lang w:eastAsia="ru-RU"/>
        </w:rPr>
        <w:fldChar w:fldCharType="separate"/>
      </w:r>
      <w:r w:rsidR="00C54289" w:rsidRPr="00062B4F">
        <w:rPr>
          <w:iCs/>
          <w:noProof/>
          <w:szCs w:val="24"/>
          <w:lang w:eastAsia="ru-RU"/>
        </w:rPr>
        <w:t>[10]</w:t>
      </w:r>
      <w:r w:rsidR="00261F17" w:rsidRPr="00062B4F">
        <w:rPr>
          <w:iCs/>
          <w:szCs w:val="24"/>
          <w:lang w:eastAsia="ru-RU"/>
        </w:rPr>
        <w:fldChar w:fldCharType="end"/>
      </w:r>
      <w:r w:rsidR="00261F17" w:rsidRPr="00062B4F">
        <w:rPr>
          <w:iCs/>
        </w:rPr>
        <w:t>.</w:t>
      </w:r>
      <w:r w:rsidR="00261F17" w:rsidRPr="00062B4F" w:rsidDel="00261F17">
        <w:rPr>
          <w:iCs/>
          <w:szCs w:val="24"/>
          <w:lang w:eastAsia="ru-RU"/>
        </w:rPr>
        <w:t xml:space="preserve"> </w:t>
      </w:r>
    </w:p>
    <w:p w14:paraId="68A4FFBF" w14:textId="77777777" w:rsidR="000C7098" w:rsidRPr="00062B4F" w:rsidRDefault="000C7098" w:rsidP="008E7654">
      <w:pPr>
        <w:spacing w:before="120"/>
        <w:ind w:left="709" w:firstLine="0"/>
        <w:rPr>
          <w:b/>
          <w:bCs/>
          <w:szCs w:val="24"/>
          <w:lang w:eastAsia="ru-RU"/>
        </w:rPr>
      </w:pPr>
      <w:r w:rsidRPr="00062B4F">
        <w:rPr>
          <w:b/>
          <w:bCs/>
          <w:szCs w:val="24"/>
          <w:lang w:eastAsia="ru-RU"/>
        </w:rPr>
        <w:t>Уровень убедительности рекомендаций – C (уровень достоверности доказательств – 5).</w:t>
      </w:r>
    </w:p>
    <w:p w14:paraId="1CF43BEC" w14:textId="77777777" w:rsidR="000C7098" w:rsidRPr="00062B4F" w:rsidRDefault="000C7098" w:rsidP="004A1907">
      <w:pPr>
        <w:suppressAutoHyphens/>
        <w:spacing w:before="240"/>
        <w:ind w:firstLine="0"/>
        <w:outlineLvl w:val="1"/>
        <w:rPr>
          <w:b/>
          <w:szCs w:val="24"/>
          <w:u w:val="single"/>
        </w:rPr>
      </w:pPr>
      <w:bookmarkStart w:id="21" w:name="_Toc86133401"/>
      <w:r w:rsidRPr="00062B4F">
        <w:rPr>
          <w:b/>
          <w:szCs w:val="24"/>
          <w:u w:val="single"/>
        </w:rPr>
        <w:t>2.5. Иная диагностика</w:t>
      </w:r>
      <w:bookmarkEnd w:id="21"/>
    </w:p>
    <w:p w14:paraId="60AB9809" w14:textId="11ED7260" w:rsidR="000C7098" w:rsidRPr="00062B4F" w:rsidRDefault="000C7098" w:rsidP="00505FD7">
      <w:pPr>
        <w:numPr>
          <w:ilvl w:val="0"/>
          <w:numId w:val="18"/>
        </w:numPr>
        <w:rPr>
          <w:iCs/>
          <w:szCs w:val="24"/>
          <w:lang w:eastAsia="ru-RU"/>
        </w:rPr>
      </w:pPr>
      <w:r w:rsidRPr="00062B4F">
        <w:rPr>
          <w:b/>
          <w:bCs/>
          <w:iCs/>
          <w:szCs w:val="24"/>
          <w:lang w:eastAsia="ru-RU"/>
        </w:rPr>
        <w:t>Рекомендуются</w:t>
      </w:r>
      <w:r w:rsidRPr="00062B4F">
        <w:rPr>
          <w:iCs/>
          <w:szCs w:val="24"/>
          <w:lang w:eastAsia="ru-RU"/>
        </w:rPr>
        <w:t xml:space="preserve"> консультации специалистов по показаниям (</w:t>
      </w:r>
      <w:r w:rsidR="002F0AE2" w:rsidRPr="00062B4F">
        <w:rPr>
          <w:iCs/>
          <w:szCs w:val="24"/>
          <w:lang w:eastAsia="ru-RU"/>
        </w:rPr>
        <w:t>врача-</w:t>
      </w:r>
      <w:r w:rsidRPr="00062B4F">
        <w:rPr>
          <w:iCs/>
          <w:szCs w:val="24"/>
          <w:lang w:eastAsia="ru-RU"/>
        </w:rPr>
        <w:t xml:space="preserve">кардиолога, </w:t>
      </w:r>
      <w:r w:rsidR="002F0AE2" w:rsidRPr="00062B4F">
        <w:rPr>
          <w:iCs/>
          <w:szCs w:val="24"/>
          <w:lang w:eastAsia="ru-RU"/>
        </w:rPr>
        <w:t>врача-</w:t>
      </w:r>
      <w:r w:rsidRPr="00062B4F">
        <w:rPr>
          <w:iCs/>
          <w:szCs w:val="24"/>
          <w:lang w:eastAsia="ru-RU"/>
        </w:rPr>
        <w:t xml:space="preserve">эндокринолога, </w:t>
      </w:r>
      <w:r w:rsidR="002F0AE2" w:rsidRPr="00062B4F">
        <w:rPr>
          <w:iCs/>
          <w:szCs w:val="24"/>
          <w:lang w:eastAsia="ru-RU"/>
        </w:rPr>
        <w:t>врача-</w:t>
      </w:r>
      <w:r w:rsidR="004952D5">
        <w:rPr>
          <w:iCs/>
          <w:szCs w:val="24"/>
          <w:lang w:eastAsia="ru-RU"/>
        </w:rPr>
        <w:t>гинеколога и др.)</w:t>
      </w:r>
      <w:r w:rsidRPr="00062B4F">
        <w:rPr>
          <w:iCs/>
          <w:szCs w:val="24"/>
          <w:lang w:eastAsia="ru-RU"/>
        </w:rPr>
        <w:t xml:space="preserve"> </w:t>
      </w:r>
      <w:r w:rsidR="00261F17" w:rsidRPr="00062B4F">
        <w:rPr>
          <w:iCs/>
          <w:szCs w:val="24"/>
          <w:lang w:eastAsia="ru-RU"/>
        </w:rPr>
        <w:fldChar w:fldCharType="begin" w:fldLock="1"/>
      </w:r>
      <w:r w:rsidR="00C54289"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261F17" w:rsidRPr="00062B4F">
        <w:rPr>
          <w:iCs/>
          <w:szCs w:val="24"/>
          <w:lang w:eastAsia="ru-RU"/>
        </w:rPr>
        <w:fldChar w:fldCharType="separate"/>
      </w:r>
      <w:r w:rsidR="00C54289" w:rsidRPr="00062B4F">
        <w:rPr>
          <w:iCs/>
          <w:noProof/>
          <w:szCs w:val="24"/>
          <w:lang w:eastAsia="ru-RU"/>
        </w:rPr>
        <w:t>[10]</w:t>
      </w:r>
      <w:r w:rsidR="00261F17" w:rsidRPr="00062B4F">
        <w:rPr>
          <w:iCs/>
          <w:szCs w:val="24"/>
          <w:lang w:eastAsia="ru-RU"/>
        </w:rPr>
        <w:fldChar w:fldCharType="end"/>
      </w:r>
      <w:r w:rsidR="00261F17" w:rsidRPr="00062B4F">
        <w:rPr>
          <w:iCs/>
        </w:rPr>
        <w:t>.</w:t>
      </w:r>
    </w:p>
    <w:p w14:paraId="31F4802A" w14:textId="346C0016" w:rsidR="000C7098" w:rsidRPr="00062B4F" w:rsidRDefault="000C7098" w:rsidP="00986580">
      <w:pPr>
        <w:spacing w:before="120"/>
        <w:ind w:left="709" w:firstLine="0"/>
        <w:rPr>
          <w:b/>
          <w:bCs/>
          <w:szCs w:val="24"/>
          <w:lang w:eastAsia="ru-RU"/>
        </w:rPr>
      </w:pPr>
      <w:r w:rsidRPr="00062B4F">
        <w:rPr>
          <w:b/>
          <w:bCs/>
          <w:szCs w:val="24"/>
          <w:lang w:eastAsia="ru-RU"/>
        </w:rPr>
        <w:t>Уровен</w:t>
      </w:r>
      <w:r w:rsidR="004952D5" w:rsidRPr="00062B4F">
        <w:rPr>
          <w:b/>
          <w:bCs/>
          <w:szCs w:val="24"/>
          <w:lang w:eastAsia="ru-RU"/>
        </w:rPr>
        <w:t>ь</w:t>
      </w:r>
      <w:r w:rsidR="0003507F">
        <w:rPr>
          <w:b/>
          <w:bCs/>
          <w:szCs w:val="24"/>
          <w:lang w:eastAsia="ru-RU"/>
        </w:rPr>
        <w:t xml:space="preserve"> </w:t>
      </w:r>
      <w:r w:rsidRPr="00062B4F">
        <w:rPr>
          <w:b/>
          <w:bCs/>
          <w:szCs w:val="24"/>
          <w:lang w:eastAsia="ru-RU"/>
        </w:rPr>
        <w:t>убедительности рекомендаций – C (уровень достоверности доказательств – 5).</w:t>
      </w:r>
    </w:p>
    <w:p w14:paraId="0BE59E82" w14:textId="77777777" w:rsidR="000C7098" w:rsidRPr="00062B4F" w:rsidRDefault="000C7098" w:rsidP="007E700E">
      <w:pPr>
        <w:rPr>
          <w:i/>
          <w:iCs/>
          <w:szCs w:val="24"/>
          <w:lang w:eastAsia="ru-RU"/>
        </w:rPr>
      </w:pPr>
      <w:r w:rsidRPr="00062B4F">
        <w:rPr>
          <w:b/>
          <w:bCs/>
          <w:i/>
          <w:iCs/>
          <w:szCs w:val="24"/>
          <w:lang w:eastAsia="ru-RU"/>
        </w:rPr>
        <w:t>Комментарий:</w:t>
      </w:r>
      <w:r w:rsidRPr="00062B4F">
        <w:rPr>
          <w:i/>
          <w:iCs/>
          <w:szCs w:val="24"/>
          <w:lang w:eastAsia="ru-RU"/>
        </w:rPr>
        <w:t xml:space="preserve"> особое внимание следует уделить оценке кардиоваскулярных рисков.</w:t>
      </w:r>
    </w:p>
    <w:p w14:paraId="02FE8D23" w14:textId="77777777" w:rsidR="000C7098" w:rsidRPr="00062B4F" w:rsidRDefault="000C7098" w:rsidP="007E700E">
      <w:pPr>
        <w:rPr>
          <w:i/>
          <w:iCs/>
          <w:szCs w:val="24"/>
          <w:lang w:eastAsia="ru-RU"/>
        </w:rPr>
      </w:pPr>
    </w:p>
    <w:p w14:paraId="7A793C1F" w14:textId="77777777" w:rsidR="000C7098" w:rsidRPr="00062B4F" w:rsidRDefault="000C7098" w:rsidP="00E26138">
      <w:pPr>
        <w:pStyle w:val="afff2"/>
        <w:rPr>
          <w:szCs w:val="24"/>
        </w:rPr>
      </w:pPr>
      <w:bookmarkStart w:id="22" w:name="_Toc86133402"/>
      <w:r w:rsidRPr="00062B4F">
        <w:t>3.</w:t>
      </w:r>
      <w:r w:rsidRPr="00062B4F">
        <w:rPr>
          <w:szCs w:val="24"/>
        </w:rPr>
        <w:t xml:space="preserve"> </w:t>
      </w:r>
      <w:r w:rsidRPr="00062B4F">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2"/>
    </w:p>
    <w:p w14:paraId="18046B40" w14:textId="77777777" w:rsidR="000C7098" w:rsidRPr="00062B4F" w:rsidRDefault="000C7098" w:rsidP="004A1907">
      <w:pPr>
        <w:spacing w:after="120"/>
        <w:rPr>
          <w:b/>
          <w:i/>
          <w:szCs w:val="24"/>
        </w:rPr>
      </w:pPr>
    </w:p>
    <w:p w14:paraId="7C9335B6" w14:textId="77777777" w:rsidR="000C7098" w:rsidRPr="00062B4F" w:rsidRDefault="000C7098" w:rsidP="004A1907">
      <w:pPr>
        <w:spacing w:after="120"/>
        <w:rPr>
          <w:b/>
          <w:i/>
          <w:sz w:val="36"/>
          <w:szCs w:val="36"/>
        </w:rPr>
      </w:pPr>
      <w:r w:rsidRPr="00062B4F">
        <w:rPr>
          <w:b/>
          <w:i/>
          <w:szCs w:val="24"/>
        </w:rPr>
        <w:t>Общие принципы лечения</w:t>
      </w:r>
    </w:p>
    <w:p w14:paraId="3680818D" w14:textId="51FD2CEC" w:rsidR="000C7098" w:rsidRPr="00062B4F" w:rsidRDefault="000C7098" w:rsidP="009D2E3F">
      <w:pPr>
        <w:rPr>
          <w:szCs w:val="24"/>
          <w:lang w:eastAsia="ru-RU"/>
        </w:rPr>
      </w:pPr>
      <w:r w:rsidRPr="00062B4F">
        <w:rPr>
          <w:iCs/>
          <w:szCs w:val="24"/>
          <w:lang w:eastAsia="ru-RU"/>
        </w:rPr>
        <w:lastRenderedPageBreak/>
        <w:t xml:space="preserve">Цель современной терапии ХМЛ – максимальное подавление </w:t>
      </w:r>
      <w:proofErr w:type="spellStart"/>
      <w:r w:rsidRPr="00062B4F">
        <w:rPr>
          <w:iCs/>
          <w:szCs w:val="24"/>
          <w:lang w:eastAsia="ru-RU"/>
        </w:rPr>
        <w:t>Ph</w:t>
      </w:r>
      <w:proofErr w:type="spellEnd"/>
      <w:r w:rsidRPr="00062B4F">
        <w:rPr>
          <w:iCs/>
          <w:szCs w:val="24"/>
          <w:lang w:eastAsia="ru-RU"/>
        </w:rPr>
        <w:noBreakHyphen/>
        <w:t xml:space="preserve">положительного опухолевого клона, предупреждение развития резистентности и обеспечение длительной выживаемости при хорошем качестве жизни. Основным средством терапии и стандартом лечения в настоящее время является применение ингибиторов </w:t>
      </w:r>
      <w:proofErr w:type="spellStart"/>
      <w:r w:rsidRPr="00062B4F">
        <w:rPr>
          <w:iCs/>
          <w:szCs w:val="24"/>
          <w:lang w:eastAsia="ru-RU"/>
        </w:rPr>
        <w:t>тирозинкиназы</w:t>
      </w:r>
      <w:proofErr w:type="spellEnd"/>
      <w:r w:rsidRPr="00062B4F">
        <w:rPr>
          <w:iCs/>
          <w:szCs w:val="24"/>
          <w:lang w:eastAsia="ru-RU"/>
        </w:rPr>
        <w:t xml:space="preserve"> (ИТК). </w:t>
      </w:r>
      <w:r w:rsidR="00B25112">
        <w:rPr>
          <w:iCs/>
          <w:szCs w:val="24"/>
          <w:lang w:eastAsia="ru-RU"/>
        </w:rPr>
        <w:t xml:space="preserve">Данные препараты </w:t>
      </w:r>
      <w:r w:rsidR="00B25112" w:rsidRPr="00692DF2">
        <w:rPr>
          <w:iCs/>
          <w:szCs w:val="24"/>
          <w:lang w:eastAsia="ru-RU"/>
        </w:rPr>
        <w:t xml:space="preserve">обладают способностью </w:t>
      </w:r>
      <w:proofErr w:type="spellStart"/>
      <w:r w:rsidR="00B25112" w:rsidRPr="00692DF2">
        <w:rPr>
          <w:iCs/>
          <w:szCs w:val="24"/>
          <w:lang w:eastAsia="ru-RU"/>
        </w:rPr>
        <w:t>таргетного</w:t>
      </w:r>
      <w:proofErr w:type="spellEnd"/>
      <w:r w:rsidR="00B25112" w:rsidRPr="00692DF2">
        <w:rPr>
          <w:iCs/>
          <w:szCs w:val="24"/>
          <w:lang w:eastAsia="ru-RU"/>
        </w:rPr>
        <w:t xml:space="preserve"> (целенаправленного) воздействия на </w:t>
      </w:r>
      <w:proofErr w:type="gramStart"/>
      <w:r w:rsidR="00B25112" w:rsidRPr="00692DF2">
        <w:rPr>
          <w:szCs w:val="24"/>
          <w:lang w:eastAsia="ru-RU"/>
        </w:rPr>
        <w:t>BCR::</w:t>
      </w:r>
      <w:proofErr w:type="gramEnd"/>
      <w:r w:rsidR="00B25112" w:rsidRPr="00692DF2">
        <w:rPr>
          <w:szCs w:val="24"/>
          <w:lang w:eastAsia="ru-RU"/>
        </w:rPr>
        <w:t>ABL</w:t>
      </w:r>
      <w:r w:rsidR="00B25112" w:rsidRPr="00692DF2">
        <w:rPr>
          <w:iCs/>
          <w:szCs w:val="24"/>
          <w:lang w:eastAsia="ru-RU"/>
        </w:rPr>
        <w:t xml:space="preserve">1-положительные опухолевые клетки </w:t>
      </w:r>
      <w:r w:rsidRPr="00692DF2">
        <w:rPr>
          <w:iCs/>
          <w:szCs w:val="24"/>
          <w:lang w:eastAsia="ru-RU"/>
        </w:rPr>
        <w:t xml:space="preserve">и должны назначаться всем </w:t>
      </w:r>
      <w:r w:rsidRPr="00692DF2">
        <w:rPr>
          <w:szCs w:val="24"/>
          <w:lang w:eastAsia="ru-RU"/>
        </w:rPr>
        <w:t>пациентам</w:t>
      </w:r>
      <w:r w:rsidRPr="00692DF2">
        <w:rPr>
          <w:iCs/>
          <w:szCs w:val="24"/>
          <w:lang w:eastAsia="ru-RU"/>
        </w:rPr>
        <w:t xml:space="preserve"> после подтверждения диагноза ХМЛ. Механизм действия ИТК обусловлен блокадой АТФ</w:t>
      </w:r>
      <w:r w:rsidRPr="00692DF2">
        <w:rPr>
          <w:iCs/>
          <w:szCs w:val="24"/>
          <w:lang w:eastAsia="ru-RU"/>
        </w:rPr>
        <w:noBreakHyphen/>
        <w:t xml:space="preserve">связывающего кармана молекулы </w:t>
      </w:r>
      <w:proofErr w:type="gramStart"/>
      <w:r w:rsidR="00FD1CA7" w:rsidRPr="00692DF2">
        <w:rPr>
          <w:szCs w:val="24"/>
          <w:lang w:eastAsia="ru-RU"/>
        </w:rPr>
        <w:t>BCR::</w:t>
      </w:r>
      <w:proofErr w:type="gramEnd"/>
      <w:r w:rsidR="00FD1CA7" w:rsidRPr="00692DF2">
        <w:rPr>
          <w:szCs w:val="24"/>
          <w:lang w:eastAsia="ru-RU"/>
        </w:rPr>
        <w:t>ABL</w:t>
      </w:r>
      <w:r w:rsidR="00FD1CA7" w:rsidRPr="00692DF2">
        <w:rPr>
          <w:iCs/>
          <w:szCs w:val="24"/>
          <w:lang w:eastAsia="ru-RU"/>
        </w:rPr>
        <w:t>1</w:t>
      </w:r>
      <w:r w:rsidRPr="00692DF2">
        <w:rPr>
          <w:iCs/>
          <w:szCs w:val="24"/>
          <w:lang w:eastAsia="ru-RU"/>
        </w:rPr>
        <w:t xml:space="preserve">, что лишает белок </w:t>
      </w:r>
      <w:r w:rsidR="00FD1CA7" w:rsidRPr="00692DF2">
        <w:rPr>
          <w:szCs w:val="24"/>
          <w:lang w:eastAsia="ru-RU"/>
        </w:rPr>
        <w:t>BCR::ABL</w:t>
      </w:r>
      <w:r w:rsidR="00FD1CA7" w:rsidRPr="00692DF2">
        <w:rPr>
          <w:iCs/>
          <w:szCs w:val="24"/>
          <w:lang w:eastAsia="ru-RU"/>
        </w:rPr>
        <w:t xml:space="preserve">1 </w:t>
      </w:r>
      <w:proofErr w:type="spellStart"/>
      <w:r w:rsidRPr="00692DF2">
        <w:rPr>
          <w:iCs/>
          <w:szCs w:val="24"/>
          <w:lang w:eastAsia="ru-RU"/>
        </w:rPr>
        <w:t>тирозинкиназной</w:t>
      </w:r>
      <w:proofErr w:type="spellEnd"/>
      <w:r w:rsidRPr="00692DF2">
        <w:rPr>
          <w:iCs/>
          <w:szCs w:val="24"/>
          <w:lang w:eastAsia="ru-RU"/>
        </w:rPr>
        <w:t xml:space="preserve"> активности, дающей опухолевым клеткам пролиферативное</w:t>
      </w:r>
      <w:r w:rsidRPr="00062B4F">
        <w:rPr>
          <w:iCs/>
          <w:szCs w:val="24"/>
          <w:lang w:eastAsia="ru-RU"/>
        </w:rPr>
        <w:t xml:space="preserve"> преимущество.</w:t>
      </w:r>
    </w:p>
    <w:p w14:paraId="7AF6D091" w14:textId="69048D54" w:rsidR="000C7098" w:rsidRPr="00A87C17" w:rsidRDefault="000C7098" w:rsidP="009D2E3F">
      <w:pPr>
        <w:rPr>
          <w:iCs/>
          <w:szCs w:val="24"/>
          <w:lang w:eastAsia="ru-RU"/>
        </w:rPr>
      </w:pPr>
      <w:r w:rsidRPr="00062B4F">
        <w:rPr>
          <w:iCs/>
          <w:szCs w:val="24"/>
          <w:lang w:eastAsia="ru-RU"/>
        </w:rPr>
        <w:t>Соблюдение принципа непрерывного и постоянного воздействия на опухолевый клон является основой эффективности лечения. Перерывы в приеме ИТК могут способствовать снижению эффективности терапии. Регулярный контроль результатов терапии с помощью молекулярно-генетических методов, своевременная оценка ответа</w:t>
      </w:r>
      <w:r w:rsidR="008B129F">
        <w:rPr>
          <w:iCs/>
          <w:szCs w:val="24"/>
          <w:lang w:eastAsia="ru-RU"/>
        </w:rPr>
        <w:t xml:space="preserve"> на</w:t>
      </w:r>
      <w:r w:rsidR="004639FC">
        <w:rPr>
          <w:iCs/>
          <w:szCs w:val="24"/>
          <w:lang w:eastAsia="ru-RU"/>
        </w:rPr>
        <w:t xml:space="preserve"> </w:t>
      </w:r>
      <w:r w:rsidR="00063AD0">
        <w:rPr>
          <w:iCs/>
          <w:szCs w:val="24"/>
          <w:lang w:eastAsia="ru-RU"/>
        </w:rPr>
        <w:t>лечение</w:t>
      </w:r>
      <w:r w:rsidRPr="00062B4F">
        <w:rPr>
          <w:iCs/>
          <w:szCs w:val="24"/>
          <w:lang w:eastAsia="ru-RU"/>
        </w:rPr>
        <w:t xml:space="preserve"> и переключение на следующую линию </w:t>
      </w:r>
      <w:r w:rsidR="008B129F">
        <w:rPr>
          <w:iCs/>
          <w:szCs w:val="24"/>
          <w:lang w:eastAsia="ru-RU"/>
        </w:rPr>
        <w:t>ИТК</w:t>
      </w:r>
      <w:r w:rsidR="008B129F" w:rsidRPr="00062B4F">
        <w:rPr>
          <w:iCs/>
          <w:szCs w:val="24"/>
          <w:lang w:eastAsia="ru-RU"/>
        </w:rPr>
        <w:t xml:space="preserve"> </w:t>
      </w:r>
      <w:r w:rsidR="008B129F">
        <w:rPr>
          <w:iCs/>
          <w:szCs w:val="24"/>
          <w:lang w:eastAsia="ru-RU"/>
        </w:rPr>
        <w:t>в случае</w:t>
      </w:r>
      <w:r w:rsidR="004639FC">
        <w:rPr>
          <w:iCs/>
          <w:szCs w:val="24"/>
          <w:lang w:eastAsia="ru-RU"/>
        </w:rPr>
        <w:t xml:space="preserve"> </w:t>
      </w:r>
      <w:r w:rsidR="008B129F">
        <w:rPr>
          <w:iCs/>
          <w:szCs w:val="24"/>
          <w:lang w:eastAsia="ru-RU"/>
        </w:rPr>
        <w:t>резистентности</w:t>
      </w:r>
      <w:r w:rsidR="00743C43">
        <w:rPr>
          <w:iCs/>
          <w:szCs w:val="24"/>
          <w:lang w:eastAsia="ru-RU"/>
        </w:rPr>
        <w:t xml:space="preserve"> к проводимой терапии</w:t>
      </w:r>
      <w:r w:rsidR="00EA177D">
        <w:rPr>
          <w:iCs/>
          <w:szCs w:val="24"/>
          <w:lang w:eastAsia="ru-RU"/>
        </w:rPr>
        <w:t xml:space="preserve"> явля</w:t>
      </w:r>
      <w:r w:rsidR="00063AD0">
        <w:rPr>
          <w:iCs/>
          <w:szCs w:val="24"/>
          <w:lang w:eastAsia="ru-RU"/>
        </w:rPr>
        <w:t>ю</w:t>
      </w:r>
      <w:r w:rsidR="00EA177D">
        <w:rPr>
          <w:iCs/>
          <w:szCs w:val="24"/>
          <w:lang w:eastAsia="ru-RU"/>
        </w:rPr>
        <w:t>тся ключевым</w:t>
      </w:r>
      <w:r w:rsidR="00063AD0">
        <w:rPr>
          <w:iCs/>
          <w:szCs w:val="24"/>
          <w:lang w:eastAsia="ru-RU"/>
        </w:rPr>
        <w:t>и</w:t>
      </w:r>
      <w:r w:rsidR="00EA177D">
        <w:rPr>
          <w:iCs/>
          <w:szCs w:val="24"/>
          <w:lang w:eastAsia="ru-RU"/>
        </w:rPr>
        <w:t xml:space="preserve"> фактор</w:t>
      </w:r>
      <w:r w:rsidR="00063AD0">
        <w:rPr>
          <w:iCs/>
          <w:szCs w:val="24"/>
          <w:lang w:eastAsia="ru-RU"/>
        </w:rPr>
        <w:t>а</w:t>
      </w:r>
      <w:r w:rsidR="00EA177D">
        <w:rPr>
          <w:iCs/>
          <w:szCs w:val="24"/>
          <w:lang w:eastAsia="ru-RU"/>
        </w:rPr>
        <w:t>м</w:t>
      </w:r>
      <w:r w:rsidR="00063AD0">
        <w:rPr>
          <w:iCs/>
          <w:szCs w:val="24"/>
          <w:lang w:eastAsia="ru-RU"/>
        </w:rPr>
        <w:t>и</w:t>
      </w:r>
      <w:r w:rsidR="00EA177D">
        <w:rPr>
          <w:iCs/>
          <w:szCs w:val="24"/>
          <w:lang w:eastAsia="ru-RU"/>
        </w:rPr>
        <w:t>, влияющим на</w:t>
      </w:r>
      <w:r w:rsidR="008B129F">
        <w:rPr>
          <w:iCs/>
          <w:szCs w:val="24"/>
          <w:lang w:eastAsia="ru-RU"/>
        </w:rPr>
        <w:t xml:space="preserve"> отдаленные результаты выживаемости</w:t>
      </w:r>
      <w:r w:rsidRPr="00062B4F">
        <w:rPr>
          <w:iCs/>
          <w:szCs w:val="24"/>
          <w:lang w:eastAsia="ru-RU"/>
        </w:rPr>
        <w:t xml:space="preserve"> при ХМЛ. Аллогенная трансплантация гемопоэтических стволовых клеток (</w:t>
      </w:r>
      <w:proofErr w:type="spellStart"/>
      <w:r w:rsidRPr="00062B4F">
        <w:rPr>
          <w:iCs/>
          <w:szCs w:val="24"/>
          <w:lang w:eastAsia="ru-RU"/>
        </w:rPr>
        <w:t>аллоТГСК</w:t>
      </w:r>
      <w:proofErr w:type="spellEnd"/>
      <w:r w:rsidRPr="00062B4F">
        <w:rPr>
          <w:iCs/>
          <w:szCs w:val="24"/>
          <w:lang w:eastAsia="ru-RU"/>
        </w:rPr>
        <w:t xml:space="preserve">) рассматривается для </w:t>
      </w:r>
      <w:r w:rsidRPr="00062B4F">
        <w:rPr>
          <w:szCs w:val="24"/>
          <w:lang w:eastAsia="ru-RU"/>
        </w:rPr>
        <w:t>пациенто</w:t>
      </w:r>
      <w:r w:rsidRPr="00692DF2">
        <w:rPr>
          <w:szCs w:val="24"/>
          <w:lang w:eastAsia="ru-RU"/>
        </w:rPr>
        <w:t>в</w:t>
      </w:r>
      <w:r w:rsidRPr="00692DF2">
        <w:rPr>
          <w:iCs/>
          <w:szCs w:val="24"/>
          <w:lang w:eastAsia="ru-RU"/>
        </w:rPr>
        <w:t xml:space="preserve"> ХМЛ ХФ с неудачей терапии </w:t>
      </w:r>
      <w:r w:rsidR="00A87C17" w:rsidRPr="00692DF2">
        <w:rPr>
          <w:iCs/>
          <w:szCs w:val="24"/>
          <w:lang w:eastAsia="ru-RU"/>
        </w:rPr>
        <w:t>2</w:t>
      </w:r>
      <w:r w:rsidR="00DB1B12" w:rsidRPr="00692DF2">
        <w:rPr>
          <w:iCs/>
          <w:szCs w:val="24"/>
          <w:lang w:eastAsia="ru-RU"/>
        </w:rPr>
        <w:t>-х</w:t>
      </w:r>
      <w:r w:rsidRPr="00692DF2">
        <w:rPr>
          <w:iCs/>
          <w:szCs w:val="24"/>
          <w:lang w:eastAsia="ru-RU"/>
        </w:rPr>
        <w:t xml:space="preserve"> и</w:t>
      </w:r>
      <w:r w:rsidR="00A87C17" w:rsidRPr="00692DF2">
        <w:rPr>
          <w:iCs/>
          <w:szCs w:val="24"/>
          <w:lang w:eastAsia="ru-RU"/>
        </w:rPr>
        <w:t xml:space="preserve"> более</w:t>
      </w:r>
      <w:r w:rsidRPr="00692DF2">
        <w:rPr>
          <w:iCs/>
          <w:szCs w:val="24"/>
          <w:lang w:eastAsia="ru-RU"/>
        </w:rPr>
        <w:t xml:space="preserve"> линий ИТК, в продвинутых фазах ХМЛ</w:t>
      </w:r>
      <w:r w:rsidR="00DB1B12" w:rsidRPr="00692DF2">
        <w:rPr>
          <w:iCs/>
          <w:szCs w:val="24"/>
          <w:lang w:eastAsia="ru-RU"/>
        </w:rPr>
        <w:t xml:space="preserve"> (ФА и БК)</w:t>
      </w:r>
      <w:r w:rsidR="00DF3F33">
        <w:rPr>
          <w:iCs/>
          <w:szCs w:val="24"/>
          <w:lang w:eastAsia="ru-RU"/>
        </w:rPr>
        <w:t>,</w:t>
      </w:r>
      <w:r w:rsidR="00DB1B12" w:rsidRPr="00692DF2">
        <w:rPr>
          <w:iCs/>
          <w:szCs w:val="24"/>
          <w:lang w:eastAsia="ru-RU"/>
        </w:rPr>
        <w:t xml:space="preserve"> при </w:t>
      </w:r>
      <w:r w:rsidR="00DB1B12" w:rsidRPr="001F3EDA">
        <w:rPr>
          <w:iCs/>
          <w:szCs w:val="24"/>
          <w:lang w:eastAsia="ru-RU"/>
        </w:rPr>
        <w:t xml:space="preserve">наличии мутации </w:t>
      </w:r>
      <w:r w:rsidR="00A87C17" w:rsidRPr="001F3EDA">
        <w:rPr>
          <w:iCs/>
          <w:szCs w:val="24"/>
          <w:lang w:val="en-US" w:eastAsia="ru-RU"/>
        </w:rPr>
        <w:t>T</w:t>
      </w:r>
      <w:r w:rsidR="00A87C17" w:rsidRPr="001F3EDA">
        <w:rPr>
          <w:iCs/>
          <w:szCs w:val="24"/>
          <w:lang w:eastAsia="ru-RU"/>
        </w:rPr>
        <w:t>315</w:t>
      </w:r>
      <w:r w:rsidR="00A87C17" w:rsidRPr="001F3EDA">
        <w:rPr>
          <w:iCs/>
          <w:szCs w:val="24"/>
          <w:lang w:val="en-US" w:eastAsia="ru-RU"/>
        </w:rPr>
        <w:t>I</w:t>
      </w:r>
      <w:r w:rsidR="00A87C17" w:rsidRPr="001F3EDA">
        <w:rPr>
          <w:iCs/>
          <w:szCs w:val="24"/>
          <w:lang w:eastAsia="ru-RU"/>
        </w:rPr>
        <w:t xml:space="preserve"> </w:t>
      </w:r>
      <w:r w:rsidR="00DB1B12" w:rsidRPr="001F3EDA">
        <w:rPr>
          <w:iCs/>
          <w:szCs w:val="24"/>
          <w:lang w:eastAsia="ru-RU"/>
        </w:rPr>
        <w:t xml:space="preserve">в гене </w:t>
      </w:r>
      <w:proofErr w:type="gramStart"/>
      <w:r w:rsidR="00DB1B12" w:rsidRPr="001F3EDA">
        <w:rPr>
          <w:i/>
          <w:iCs/>
          <w:szCs w:val="24"/>
          <w:lang w:val="en-US" w:eastAsia="ru-RU"/>
        </w:rPr>
        <w:t>BCR</w:t>
      </w:r>
      <w:r w:rsidR="00DB1B12" w:rsidRPr="001F3EDA">
        <w:rPr>
          <w:i/>
          <w:iCs/>
          <w:szCs w:val="24"/>
          <w:lang w:eastAsia="ru-RU"/>
        </w:rPr>
        <w:t>::</w:t>
      </w:r>
      <w:proofErr w:type="gramEnd"/>
      <w:r w:rsidR="00DB1B12" w:rsidRPr="001F3EDA">
        <w:rPr>
          <w:i/>
          <w:iCs/>
          <w:szCs w:val="24"/>
          <w:lang w:val="en-US" w:eastAsia="ru-RU"/>
        </w:rPr>
        <w:t>ABL</w:t>
      </w:r>
      <w:r w:rsidR="00DB1B12" w:rsidRPr="001F3EDA">
        <w:rPr>
          <w:i/>
          <w:iCs/>
          <w:szCs w:val="24"/>
          <w:lang w:eastAsia="ru-RU"/>
        </w:rPr>
        <w:t>1</w:t>
      </w:r>
      <w:r w:rsidR="002078A9" w:rsidRPr="001F3EDA">
        <w:rPr>
          <w:i/>
          <w:iCs/>
          <w:szCs w:val="24"/>
          <w:lang w:eastAsia="ru-RU"/>
        </w:rPr>
        <w:t xml:space="preserve"> </w:t>
      </w:r>
      <w:r w:rsidR="002078A9" w:rsidRPr="001F3EDA">
        <w:rPr>
          <w:iCs/>
          <w:szCs w:val="24"/>
          <w:lang w:eastAsia="ru-RU"/>
        </w:rPr>
        <w:t xml:space="preserve">и </w:t>
      </w:r>
      <w:r w:rsidR="005C1A06" w:rsidRPr="001F3EDA">
        <w:rPr>
          <w:iCs/>
          <w:szCs w:val="24"/>
          <w:lang w:eastAsia="ru-RU"/>
        </w:rPr>
        <w:t xml:space="preserve">неэффективности </w:t>
      </w:r>
      <w:proofErr w:type="spellStart"/>
      <w:r w:rsidR="005C1A06" w:rsidRPr="001F3EDA">
        <w:rPr>
          <w:iCs/>
          <w:szCs w:val="24"/>
          <w:lang w:eastAsia="ru-RU"/>
        </w:rPr>
        <w:t>понатиниба</w:t>
      </w:r>
      <w:proofErr w:type="spellEnd"/>
      <w:r w:rsidR="00DB1B12" w:rsidRPr="001F3EDA">
        <w:rPr>
          <w:iCs/>
          <w:szCs w:val="24"/>
          <w:lang w:eastAsia="ru-RU"/>
        </w:rPr>
        <w:t xml:space="preserve">, а также при </w:t>
      </w:r>
      <w:r w:rsidR="00A87C17" w:rsidRPr="001F3EDA">
        <w:rPr>
          <w:iCs/>
          <w:szCs w:val="24"/>
          <w:lang w:eastAsia="ru-RU"/>
        </w:rPr>
        <w:t xml:space="preserve"> </w:t>
      </w:r>
      <w:r w:rsidR="00DB1B12" w:rsidRPr="001F3EDA">
        <w:rPr>
          <w:iCs/>
          <w:szCs w:val="24"/>
          <w:lang w:eastAsia="ru-RU"/>
        </w:rPr>
        <w:t>непе</w:t>
      </w:r>
      <w:r w:rsidR="00DB1B12" w:rsidRPr="00692DF2">
        <w:rPr>
          <w:iCs/>
          <w:szCs w:val="24"/>
          <w:lang w:eastAsia="ru-RU"/>
        </w:rPr>
        <w:t>реносимости</w:t>
      </w:r>
      <w:r w:rsidR="005A6B7C">
        <w:rPr>
          <w:iCs/>
          <w:szCs w:val="24"/>
          <w:lang w:eastAsia="ru-RU"/>
        </w:rPr>
        <w:t xml:space="preserve"> всех доступных</w:t>
      </w:r>
      <w:r w:rsidR="00DB1B12" w:rsidRPr="00692DF2">
        <w:rPr>
          <w:iCs/>
          <w:szCs w:val="24"/>
          <w:lang w:eastAsia="ru-RU"/>
        </w:rPr>
        <w:t xml:space="preserve"> ИТК.</w:t>
      </w:r>
    </w:p>
    <w:p w14:paraId="69AC3C6A" w14:textId="17281EF0" w:rsidR="000C7098" w:rsidRPr="00062B4F" w:rsidRDefault="00DB1B12" w:rsidP="009D2E3F">
      <w:pPr>
        <w:ind w:firstLine="708"/>
        <w:rPr>
          <w:szCs w:val="24"/>
          <w:lang w:eastAsia="ru-RU"/>
        </w:rPr>
      </w:pPr>
      <w:r w:rsidRPr="00692DF2">
        <w:rPr>
          <w:bCs/>
          <w:szCs w:val="24"/>
          <w:lang w:eastAsia="ru-RU"/>
        </w:rPr>
        <w:t>Терапия</w:t>
      </w:r>
      <w:r w:rsidRPr="00692DF2">
        <w:rPr>
          <w:szCs w:val="24"/>
          <w:lang w:eastAsia="ru-RU"/>
        </w:rPr>
        <w:t xml:space="preserve"> ИТК показана всем пациентам ХМЛ. Режим приема ежедневно, длительно, постоянно</w:t>
      </w:r>
      <w:r w:rsidR="00692DF2" w:rsidRPr="00692DF2">
        <w:rPr>
          <w:szCs w:val="24"/>
          <w:lang w:eastAsia="ru-RU"/>
        </w:rPr>
        <w:t>.</w:t>
      </w:r>
      <w:r w:rsidRPr="00062B4F">
        <w:rPr>
          <w:bCs/>
          <w:szCs w:val="24"/>
          <w:lang w:eastAsia="ru-RU"/>
        </w:rPr>
        <w:t xml:space="preserve"> </w:t>
      </w:r>
      <w:r w:rsidR="000C7098" w:rsidRPr="00062B4F">
        <w:rPr>
          <w:szCs w:val="24"/>
          <w:lang w:eastAsia="ru-RU"/>
        </w:rPr>
        <w:t>Начальная доза их не зависит от пола, массы тела, роста, расы пациента. Прием препаратов можно начинать при любом числе лейкоцитов. Возможность отмены ИТК у пациентов со стабильным глубоким МО описана в разделе 6.</w:t>
      </w:r>
    </w:p>
    <w:p w14:paraId="0F96A486" w14:textId="1CF59D1D" w:rsidR="000C7098" w:rsidRPr="00062B4F" w:rsidRDefault="000C7098" w:rsidP="00945170">
      <w:pPr>
        <w:rPr>
          <w:szCs w:val="24"/>
          <w:lang w:eastAsia="ru-RU"/>
        </w:rPr>
      </w:pPr>
      <w:r w:rsidRPr="00062B4F">
        <w:rPr>
          <w:iCs/>
          <w:szCs w:val="24"/>
          <w:lang w:eastAsia="ru-RU"/>
        </w:rPr>
        <w:t xml:space="preserve"> При постоянном воздействии ИТК происходят редукция опухолевого клона и восстановление нормального </w:t>
      </w:r>
      <w:proofErr w:type="spellStart"/>
      <w:r w:rsidRPr="00062B4F">
        <w:rPr>
          <w:iCs/>
          <w:szCs w:val="24"/>
          <w:lang w:eastAsia="ru-RU"/>
        </w:rPr>
        <w:t>гемопоэза</w:t>
      </w:r>
      <w:proofErr w:type="spellEnd"/>
      <w:r w:rsidRPr="00062B4F">
        <w:rPr>
          <w:iCs/>
          <w:szCs w:val="24"/>
          <w:lang w:eastAsia="ru-RU"/>
        </w:rPr>
        <w:t>, снижается риск прогресси</w:t>
      </w:r>
      <w:r w:rsidR="00133420">
        <w:rPr>
          <w:iCs/>
          <w:szCs w:val="24"/>
          <w:lang w:eastAsia="ru-RU"/>
        </w:rPr>
        <w:t>рования</w:t>
      </w:r>
      <w:r w:rsidRPr="00062B4F">
        <w:rPr>
          <w:iCs/>
          <w:szCs w:val="24"/>
          <w:lang w:eastAsia="ru-RU"/>
        </w:rPr>
        <w:t xml:space="preserve"> заболевания, </w:t>
      </w:r>
      <w:r w:rsidR="00DB1B12" w:rsidRPr="00692DF2">
        <w:rPr>
          <w:iCs/>
          <w:szCs w:val="24"/>
          <w:lang w:eastAsia="ru-RU"/>
        </w:rPr>
        <w:t xml:space="preserve">увеличивается длительная выживаемость пациентов. Достижение большого молекулярного ответа (БМО) является основным целевым результатом терапии и </w:t>
      </w:r>
      <w:proofErr w:type="spellStart"/>
      <w:r w:rsidR="00DB1B12" w:rsidRPr="00692DF2">
        <w:rPr>
          <w:iCs/>
          <w:szCs w:val="24"/>
          <w:lang w:eastAsia="ru-RU"/>
        </w:rPr>
        <w:t>прогностически</w:t>
      </w:r>
      <w:proofErr w:type="spellEnd"/>
      <w:r w:rsidR="005A6B7C">
        <w:rPr>
          <w:iCs/>
          <w:szCs w:val="24"/>
          <w:lang w:eastAsia="ru-RU"/>
        </w:rPr>
        <w:t xml:space="preserve"> </w:t>
      </w:r>
      <w:r w:rsidR="00DB1B12" w:rsidRPr="00692DF2">
        <w:rPr>
          <w:iCs/>
          <w:szCs w:val="24"/>
          <w:lang w:eastAsia="ru-RU"/>
        </w:rPr>
        <w:t>благоприятным фактором длительной выживаемости без</w:t>
      </w:r>
      <w:r w:rsidR="00DB1B12" w:rsidRPr="00062B4F">
        <w:rPr>
          <w:iCs/>
          <w:szCs w:val="24"/>
          <w:lang w:eastAsia="ru-RU"/>
        </w:rPr>
        <w:t xml:space="preserve"> прогрессирования при условии постоянной терапии</w:t>
      </w:r>
      <w:r w:rsidRPr="00062B4F">
        <w:rPr>
          <w:iCs/>
          <w:szCs w:val="24"/>
          <w:lang w:eastAsia="ru-RU"/>
        </w:rPr>
        <w:t>.</w:t>
      </w:r>
    </w:p>
    <w:p w14:paraId="21325F61" w14:textId="0EE817FC" w:rsidR="000C7098" w:rsidRPr="00062B4F" w:rsidRDefault="000C7098" w:rsidP="009D2E3F">
      <w:pPr>
        <w:rPr>
          <w:szCs w:val="24"/>
          <w:lang w:eastAsia="ru-RU"/>
        </w:rPr>
      </w:pPr>
      <w:r w:rsidRPr="00062B4F">
        <w:rPr>
          <w:iCs/>
          <w:szCs w:val="24"/>
          <w:lang w:eastAsia="ru-RU"/>
        </w:rPr>
        <w:t>Критерии определения гематологического цитогенетического, молекулярного ответов при терапии ИТК у пациентов с ХМЛ представлены в табл. 3.</w:t>
      </w:r>
    </w:p>
    <w:p w14:paraId="2481D6A5" w14:textId="02B5FE87" w:rsidR="000C7098" w:rsidRPr="00062B4F" w:rsidRDefault="000C7098" w:rsidP="00D560BF">
      <w:pPr>
        <w:spacing w:before="120" w:after="120" w:line="288" w:lineRule="auto"/>
        <w:rPr>
          <w:iCs/>
          <w:szCs w:val="24"/>
          <w:lang w:eastAsia="ru-RU"/>
        </w:rPr>
      </w:pPr>
      <w:r w:rsidRPr="00062B4F">
        <w:rPr>
          <w:b/>
          <w:bCs/>
          <w:iCs/>
          <w:szCs w:val="24"/>
          <w:lang w:eastAsia="ru-RU"/>
        </w:rPr>
        <w:t>Таблица 3.</w:t>
      </w:r>
      <w:r w:rsidRPr="00062B4F">
        <w:rPr>
          <w:iCs/>
          <w:szCs w:val="24"/>
          <w:lang w:eastAsia="ru-RU"/>
        </w:rPr>
        <w:t xml:space="preserve"> Критерии гематологического, цитогенетического и молекулярного ответов</w:t>
      </w:r>
      <w:r w:rsidRPr="00062B4F">
        <w:rPr>
          <w:szCs w:val="24"/>
          <w:lang w:eastAsia="ru-RU"/>
        </w:rPr>
        <w:t xml:space="preserve"> </w:t>
      </w:r>
      <w:r w:rsidR="00261F17" w:rsidRPr="00062B4F">
        <w:rPr>
          <w:iCs/>
          <w:szCs w:val="24"/>
          <w:lang w:eastAsia="ru-RU"/>
        </w:rPr>
        <w:fldChar w:fldCharType="begin" w:fldLock="1"/>
      </w:r>
      <w:r w:rsidR="00261F17" w:rsidRPr="00062B4F">
        <w:rPr>
          <w:iCs/>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онкогематология","id":"ITEM-3","issue":"3","issued":{"date-parts":[["2017"]]},"page":"294–316","title":"Клинические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[1,10,11]","plainTextFormattedCitation":"[1,10,11]","previouslyFormattedCitation":"[1,10,11]"},"properties":{"noteIndex":0},"schema":"https://github.com/citation-style-language/schema/raw/master/csl-citation.json"}</w:instrText>
      </w:r>
      <w:r w:rsidR="00261F17" w:rsidRPr="00062B4F">
        <w:rPr>
          <w:iCs/>
          <w:szCs w:val="24"/>
          <w:lang w:eastAsia="ru-RU"/>
        </w:rPr>
        <w:fldChar w:fldCharType="separate"/>
      </w:r>
      <w:r w:rsidR="00261F17" w:rsidRPr="00062B4F">
        <w:rPr>
          <w:iCs/>
          <w:noProof/>
          <w:szCs w:val="24"/>
          <w:lang w:eastAsia="ru-RU"/>
        </w:rPr>
        <w:t>[1,10,11]</w:t>
      </w:r>
      <w:r w:rsidR="00261F17" w:rsidRPr="00062B4F">
        <w:rPr>
          <w:iCs/>
          <w:szCs w:val="24"/>
          <w:lang w:eastAsia="ru-RU"/>
        </w:rPr>
        <w:fldChar w:fldCharType="end"/>
      </w:r>
      <w:r w:rsidR="00261F17" w:rsidRPr="00062B4F">
        <w:rPr>
          <w:iCs/>
          <w:lang w:val="en-US"/>
        </w:rPr>
        <w:t>.</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569"/>
        <w:gridCol w:w="865"/>
        <w:gridCol w:w="5905"/>
      </w:tblGrid>
      <w:tr w:rsidR="000C7098" w:rsidRPr="00062B4F" w14:paraId="7389D038" w14:textId="77777777" w:rsidTr="00FD1CA7">
        <w:trPr>
          <w:trHeight w:val="618"/>
          <w:jc w:val="center"/>
        </w:trPr>
        <w:tc>
          <w:tcPr>
            <w:tcW w:w="2569" w:type="dxa"/>
            <w:tcBorders>
              <w:top w:val="single" w:sz="6" w:space="0" w:color="000000"/>
              <w:left w:val="single" w:sz="6" w:space="0" w:color="000000"/>
              <w:bottom w:val="single" w:sz="6" w:space="0" w:color="000000"/>
              <w:right w:val="single" w:sz="6" w:space="0" w:color="000000"/>
            </w:tcBorders>
            <w:vAlign w:val="center"/>
          </w:tcPr>
          <w:p w14:paraId="24143995" w14:textId="77777777" w:rsidR="000C7098" w:rsidRPr="00062B4F" w:rsidRDefault="000C7098" w:rsidP="00FD1CA7">
            <w:pPr>
              <w:spacing w:line="240" w:lineRule="auto"/>
              <w:ind w:firstLine="0"/>
              <w:jc w:val="center"/>
              <w:rPr>
                <w:b/>
                <w:i/>
                <w:szCs w:val="24"/>
                <w:lang w:eastAsia="ru-RU"/>
              </w:rPr>
            </w:pPr>
            <w:r w:rsidRPr="00062B4F">
              <w:rPr>
                <w:b/>
                <w:iCs/>
                <w:szCs w:val="24"/>
                <w:lang w:eastAsia="ru-RU"/>
              </w:rPr>
              <w:lastRenderedPageBreak/>
              <w:t>Вид ответа</w:t>
            </w:r>
          </w:p>
        </w:tc>
        <w:tc>
          <w:tcPr>
            <w:tcW w:w="6770" w:type="dxa"/>
            <w:gridSpan w:val="2"/>
            <w:tcBorders>
              <w:top w:val="single" w:sz="6" w:space="0" w:color="000000"/>
              <w:left w:val="single" w:sz="6" w:space="0" w:color="000000"/>
              <w:bottom w:val="single" w:sz="6" w:space="0" w:color="000000"/>
              <w:right w:val="single" w:sz="6" w:space="0" w:color="000000"/>
            </w:tcBorders>
            <w:vAlign w:val="center"/>
          </w:tcPr>
          <w:p w14:paraId="36F1C11A" w14:textId="77777777" w:rsidR="000C7098" w:rsidRPr="00062B4F" w:rsidRDefault="000C7098" w:rsidP="00FD1CA7">
            <w:pPr>
              <w:spacing w:line="240" w:lineRule="auto"/>
              <w:ind w:firstLine="0"/>
              <w:jc w:val="center"/>
              <w:rPr>
                <w:b/>
                <w:i/>
                <w:szCs w:val="24"/>
                <w:lang w:eastAsia="ru-RU"/>
              </w:rPr>
            </w:pPr>
            <w:r w:rsidRPr="00062B4F">
              <w:rPr>
                <w:b/>
                <w:iCs/>
                <w:szCs w:val="24"/>
                <w:lang w:eastAsia="ru-RU"/>
              </w:rPr>
              <w:t>Определение</w:t>
            </w:r>
          </w:p>
        </w:tc>
      </w:tr>
      <w:tr w:rsidR="00B67D6A" w:rsidRPr="00062B4F" w14:paraId="35270041" w14:textId="77777777" w:rsidTr="00DF32E4">
        <w:trPr>
          <w:trHeight w:val="525"/>
          <w:jc w:val="center"/>
        </w:trPr>
        <w:tc>
          <w:tcPr>
            <w:tcW w:w="9339" w:type="dxa"/>
            <w:gridSpan w:val="3"/>
            <w:tcBorders>
              <w:top w:val="single" w:sz="6" w:space="0" w:color="000000"/>
              <w:left w:val="single" w:sz="6" w:space="0" w:color="000000"/>
              <w:bottom w:val="single" w:sz="6" w:space="0" w:color="000000"/>
              <w:right w:val="single" w:sz="6" w:space="0" w:color="000000"/>
            </w:tcBorders>
          </w:tcPr>
          <w:p w14:paraId="7BE0FBC5" w14:textId="77777777" w:rsidR="00B67D6A" w:rsidRPr="00062B4F" w:rsidRDefault="00B67D6A" w:rsidP="00B67D6A">
            <w:pPr>
              <w:spacing w:line="240" w:lineRule="auto"/>
              <w:ind w:firstLine="0"/>
              <w:jc w:val="left"/>
              <w:rPr>
                <w:b/>
                <w:i/>
                <w:szCs w:val="24"/>
                <w:lang w:eastAsia="ru-RU"/>
              </w:rPr>
            </w:pPr>
            <w:r w:rsidRPr="00062B4F">
              <w:rPr>
                <w:b/>
                <w:iCs/>
                <w:szCs w:val="24"/>
                <w:lang w:eastAsia="ru-RU"/>
              </w:rPr>
              <w:t>Гематологический</w:t>
            </w:r>
            <w:r w:rsidRPr="00062B4F">
              <w:rPr>
                <w:b/>
                <w:i/>
                <w:szCs w:val="24"/>
                <w:lang w:eastAsia="ru-RU"/>
              </w:rPr>
              <w:br/>
            </w:r>
            <w:r w:rsidRPr="00062B4F">
              <w:rPr>
                <w:b/>
                <w:iCs/>
                <w:szCs w:val="24"/>
                <w:lang w:eastAsia="ru-RU"/>
              </w:rPr>
              <w:t>(клинико-гематологический)</w:t>
            </w:r>
          </w:p>
          <w:p w14:paraId="41E2CEDE" w14:textId="0127AE7B" w:rsidR="00B67D6A" w:rsidRPr="00062B4F" w:rsidRDefault="00B67D6A" w:rsidP="00B67D6A">
            <w:pPr>
              <w:spacing w:line="240" w:lineRule="auto"/>
              <w:ind w:firstLine="0"/>
              <w:jc w:val="center"/>
              <w:rPr>
                <w:i/>
                <w:szCs w:val="24"/>
                <w:lang w:eastAsia="ru-RU"/>
              </w:rPr>
            </w:pPr>
          </w:p>
        </w:tc>
      </w:tr>
      <w:tr w:rsidR="000C7098" w:rsidRPr="00062B4F" w14:paraId="07B1DBBE" w14:textId="77777777" w:rsidTr="00B72302">
        <w:trPr>
          <w:trHeight w:val="1360"/>
          <w:jc w:val="center"/>
        </w:trPr>
        <w:tc>
          <w:tcPr>
            <w:tcW w:w="2569" w:type="dxa"/>
            <w:tcBorders>
              <w:top w:val="single" w:sz="6" w:space="0" w:color="000000"/>
              <w:left w:val="single" w:sz="6" w:space="0" w:color="000000"/>
              <w:bottom w:val="single" w:sz="6" w:space="0" w:color="000000"/>
              <w:right w:val="single" w:sz="6" w:space="0" w:color="000000"/>
            </w:tcBorders>
            <w:vAlign w:val="center"/>
          </w:tcPr>
          <w:p w14:paraId="34417CC7" w14:textId="77777777" w:rsidR="000C7098" w:rsidRPr="00062B4F" w:rsidRDefault="000C7098" w:rsidP="00B72302">
            <w:pPr>
              <w:spacing w:line="240" w:lineRule="auto"/>
              <w:ind w:firstLine="0"/>
              <w:jc w:val="left"/>
              <w:rPr>
                <w:i/>
                <w:szCs w:val="24"/>
                <w:lang w:eastAsia="ru-RU"/>
              </w:rPr>
            </w:pPr>
            <w:r w:rsidRPr="00062B4F">
              <w:rPr>
                <w:iCs/>
                <w:szCs w:val="24"/>
                <w:lang w:eastAsia="ru-RU"/>
              </w:rPr>
              <w:t>Полный (ПГО)</w:t>
            </w:r>
          </w:p>
        </w:tc>
        <w:tc>
          <w:tcPr>
            <w:tcW w:w="6770" w:type="dxa"/>
            <w:gridSpan w:val="2"/>
            <w:tcBorders>
              <w:top w:val="single" w:sz="6" w:space="0" w:color="000000"/>
              <w:left w:val="single" w:sz="6" w:space="0" w:color="000000"/>
              <w:bottom w:val="single" w:sz="6" w:space="0" w:color="000000"/>
              <w:right w:val="single" w:sz="6" w:space="0" w:color="000000"/>
            </w:tcBorders>
          </w:tcPr>
          <w:p w14:paraId="4F5CBCDA" w14:textId="77777777" w:rsidR="000C7098" w:rsidRPr="00062B4F" w:rsidRDefault="000C7098" w:rsidP="009D2E3F">
            <w:pPr>
              <w:spacing w:line="240" w:lineRule="auto"/>
              <w:ind w:firstLine="0"/>
              <w:jc w:val="left"/>
              <w:rPr>
                <w:i/>
                <w:szCs w:val="24"/>
                <w:lang w:eastAsia="ru-RU"/>
              </w:rPr>
            </w:pPr>
            <w:r w:rsidRPr="00062B4F">
              <w:rPr>
                <w:iCs/>
                <w:szCs w:val="24"/>
                <w:lang w:eastAsia="ru-RU"/>
              </w:rPr>
              <w:t>Лейкоциты менее 10 × 10</w:t>
            </w:r>
            <w:r w:rsidRPr="00062B4F">
              <w:rPr>
                <w:iCs/>
                <w:szCs w:val="24"/>
                <w:vertAlign w:val="superscript"/>
                <w:lang w:eastAsia="ru-RU"/>
              </w:rPr>
              <w:t>9</w:t>
            </w:r>
            <w:r w:rsidRPr="00062B4F">
              <w:rPr>
                <w:iCs/>
                <w:szCs w:val="24"/>
                <w:lang w:eastAsia="ru-RU"/>
              </w:rPr>
              <w:t>/л</w:t>
            </w:r>
          </w:p>
          <w:p w14:paraId="33C5D9E0" w14:textId="77777777" w:rsidR="000C7098" w:rsidRPr="00062B4F" w:rsidRDefault="000C7098" w:rsidP="009D2E3F">
            <w:pPr>
              <w:spacing w:line="240" w:lineRule="auto"/>
              <w:ind w:firstLine="0"/>
              <w:jc w:val="left"/>
              <w:rPr>
                <w:i/>
                <w:szCs w:val="24"/>
                <w:lang w:eastAsia="ru-RU"/>
              </w:rPr>
            </w:pPr>
            <w:r w:rsidRPr="00062B4F">
              <w:rPr>
                <w:iCs/>
                <w:szCs w:val="24"/>
                <w:lang w:eastAsia="ru-RU"/>
              </w:rPr>
              <w:t>Базофилы менее 5 %</w:t>
            </w:r>
          </w:p>
          <w:p w14:paraId="484448AE" w14:textId="77777777" w:rsidR="000C7098" w:rsidRPr="00062B4F" w:rsidRDefault="000C7098" w:rsidP="009D2E3F">
            <w:pPr>
              <w:spacing w:line="240" w:lineRule="auto"/>
              <w:ind w:firstLine="0"/>
              <w:jc w:val="left"/>
              <w:rPr>
                <w:i/>
                <w:szCs w:val="24"/>
                <w:lang w:eastAsia="ru-RU"/>
              </w:rPr>
            </w:pPr>
            <w:r w:rsidRPr="00062B4F">
              <w:rPr>
                <w:iCs/>
                <w:szCs w:val="24"/>
                <w:lang w:eastAsia="ru-RU"/>
              </w:rPr>
              <w:t xml:space="preserve">В гемограмме нет миелоцитов, </w:t>
            </w:r>
            <w:proofErr w:type="spellStart"/>
            <w:r w:rsidRPr="00062B4F">
              <w:rPr>
                <w:iCs/>
                <w:szCs w:val="24"/>
                <w:lang w:eastAsia="ru-RU"/>
              </w:rPr>
              <w:t>промиелоцитов</w:t>
            </w:r>
            <w:proofErr w:type="spellEnd"/>
            <w:r w:rsidRPr="00062B4F">
              <w:rPr>
                <w:iCs/>
                <w:szCs w:val="24"/>
                <w:lang w:eastAsia="ru-RU"/>
              </w:rPr>
              <w:t xml:space="preserve">, </w:t>
            </w:r>
            <w:proofErr w:type="spellStart"/>
            <w:r w:rsidRPr="00062B4F">
              <w:rPr>
                <w:iCs/>
                <w:szCs w:val="24"/>
                <w:lang w:eastAsia="ru-RU"/>
              </w:rPr>
              <w:t>миелобластов</w:t>
            </w:r>
            <w:proofErr w:type="spellEnd"/>
          </w:p>
          <w:p w14:paraId="7EA52109" w14:textId="77777777" w:rsidR="000C7098" w:rsidRPr="00062B4F" w:rsidRDefault="000C7098" w:rsidP="009D2E3F">
            <w:pPr>
              <w:spacing w:line="240" w:lineRule="auto"/>
              <w:ind w:firstLine="0"/>
              <w:jc w:val="left"/>
              <w:rPr>
                <w:i/>
                <w:szCs w:val="24"/>
                <w:lang w:eastAsia="ru-RU"/>
              </w:rPr>
            </w:pPr>
            <w:r w:rsidRPr="00062B4F">
              <w:rPr>
                <w:iCs/>
                <w:szCs w:val="24"/>
                <w:lang w:eastAsia="ru-RU"/>
              </w:rPr>
              <w:t>Тромбоциты менее 450 × 10</w:t>
            </w:r>
            <w:r w:rsidRPr="00062B4F">
              <w:rPr>
                <w:iCs/>
                <w:szCs w:val="24"/>
                <w:vertAlign w:val="superscript"/>
                <w:lang w:eastAsia="ru-RU"/>
              </w:rPr>
              <w:t>9</w:t>
            </w:r>
            <w:r w:rsidRPr="00062B4F">
              <w:rPr>
                <w:iCs/>
                <w:szCs w:val="24"/>
                <w:lang w:eastAsia="ru-RU"/>
              </w:rPr>
              <w:t>/л</w:t>
            </w:r>
          </w:p>
          <w:p w14:paraId="1FF150B4" w14:textId="77777777" w:rsidR="000C7098" w:rsidRPr="00062B4F" w:rsidRDefault="000C7098" w:rsidP="009D2E3F">
            <w:pPr>
              <w:spacing w:line="240" w:lineRule="auto"/>
              <w:ind w:firstLine="0"/>
              <w:jc w:val="left"/>
              <w:rPr>
                <w:i/>
                <w:szCs w:val="24"/>
                <w:lang w:eastAsia="ru-RU"/>
              </w:rPr>
            </w:pPr>
            <w:r w:rsidRPr="00062B4F">
              <w:rPr>
                <w:iCs/>
                <w:szCs w:val="24"/>
                <w:lang w:eastAsia="ru-RU"/>
              </w:rPr>
              <w:t>Селезенка не пальпируется</w:t>
            </w:r>
          </w:p>
        </w:tc>
      </w:tr>
      <w:tr w:rsidR="00B67D6A" w:rsidRPr="00062B4F" w14:paraId="39FE6F7A" w14:textId="77777777" w:rsidTr="00DF32E4">
        <w:trPr>
          <w:trHeight w:val="574"/>
          <w:jc w:val="center"/>
        </w:trPr>
        <w:tc>
          <w:tcPr>
            <w:tcW w:w="9339" w:type="dxa"/>
            <w:gridSpan w:val="3"/>
            <w:tcBorders>
              <w:top w:val="single" w:sz="6" w:space="0" w:color="000000"/>
              <w:left w:val="single" w:sz="6" w:space="0" w:color="000000"/>
              <w:bottom w:val="single" w:sz="6" w:space="0" w:color="000000"/>
              <w:right w:val="single" w:sz="6" w:space="0" w:color="000000"/>
            </w:tcBorders>
            <w:vAlign w:val="center"/>
          </w:tcPr>
          <w:p w14:paraId="5022C44F" w14:textId="77777777" w:rsidR="00B67D6A" w:rsidRPr="00062B4F" w:rsidRDefault="00B67D6A" w:rsidP="00B72302">
            <w:pPr>
              <w:spacing w:line="240" w:lineRule="auto"/>
              <w:ind w:firstLine="0"/>
              <w:jc w:val="left"/>
              <w:rPr>
                <w:b/>
                <w:i/>
                <w:szCs w:val="24"/>
                <w:lang w:eastAsia="ru-RU"/>
              </w:rPr>
            </w:pPr>
            <w:r w:rsidRPr="00062B4F">
              <w:rPr>
                <w:b/>
                <w:iCs/>
                <w:szCs w:val="24"/>
                <w:lang w:eastAsia="ru-RU"/>
              </w:rPr>
              <w:t>Цитогенетический</w:t>
            </w:r>
            <w:r w:rsidRPr="00062B4F">
              <w:rPr>
                <w:b/>
                <w:iCs/>
                <w:szCs w:val="24"/>
                <w:vertAlign w:val="superscript"/>
                <w:lang w:eastAsia="ru-RU"/>
              </w:rPr>
              <w:t>1</w:t>
            </w:r>
          </w:p>
          <w:p w14:paraId="51C62822" w14:textId="27ED27F6" w:rsidR="00B67D6A" w:rsidRPr="00062B4F" w:rsidRDefault="00B67D6A" w:rsidP="009D2E3F">
            <w:pPr>
              <w:spacing w:line="240" w:lineRule="auto"/>
              <w:ind w:firstLine="0"/>
              <w:jc w:val="left"/>
              <w:rPr>
                <w:i/>
                <w:szCs w:val="24"/>
                <w:lang w:eastAsia="ru-RU"/>
              </w:rPr>
            </w:pPr>
            <w:r w:rsidRPr="00062B4F">
              <w:rPr>
                <w:iCs/>
                <w:szCs w:val="24"/>
                <w:lang w:eastAsia="ru-RU"/>
              </w:rPr>
              <w:t> </w:t>
            </w:r>
          </w:p>
        </w:tc>
      </w:tr>
      <w:tr w:rsidR="000C7098" w:rsidRPr="00062B4F" w14:paraId="725E19B5" w14:textId="77777777" w:rsidTr="00B72302">
        <w:trPr>
          <w:trHeight w:val="330"/>
          <w:jc w:val="center"/>
        </w:trPr>
        <w:tc>
          <w:tcPr>
            <w:tcW w:w="2569" w:type="dxa"/>
            <w:tcBorders>
              <w:top w:val="single" w:sz="6" w:space="0" w:color="000000"/>
              <w:left w:val="single" w:sz="6" w:space="0" w:color="000000"/>
              <w:bottom w:val="single" w:sz="6" w:space="0" w:color="000000"/>
              <w:right w:val="single" w:sz="6" w:space="0" w:color="000000"/>
            </w:tcBorders>
            <w:vAlign w:val="center"/>
          </w:tcPr>
          <w:p w14:paraId="71076DF7" w14:textId="77777777" w:rsidR="000C7098" w:rsidRPr="00062B4F" w:rsidRDefault="000C7098" w:rsidP="00B72302">
            <w:pPr>
              <w:spacing w:line="240" w:lineRule="auto"/>
              <w:ind w:firstLine="0"/>
              <w:jc w:val="left"/>
              <w:rPr>
                <w:i/>
                <w:szCs w:val="24"/>
                <w:lang w:eastAsia="ru-RU"/>
              </w:rPr>
            </w:pPr>
            <w:r w:rsidRPr="00062B4F">
              <w:rPr>
                <w:iCs/>
                <w:szCs w:val="24"/>
                <w:lang w:eastAsia="ru-RU"/>
              </w:rPr>
              <w:t>Полный (ПЦО)</w:t>
            </w:r>
          </w:p>
        </w:tc>
        <w:tc>
          <w:tcPr>
            <w:tcW w:w="6770" w:type="dxa"/>
            <w:gridSpan w:val="2"/>
            <w:tcBorders>
              <w:top w:val="single" w:sz="6" w:space="0" w:color="000000"/>
              <w:left w:val="single" w:sz="6" w:space="0" w:color="000000"/>
              <w:bottom w:val="single" w:sz="6" w:space="0" w:color="000000"/>
              <w:right w:val="single" w:sz="6" w:space="0" w:color="000000"/>
            </w:tcBorders>
          </w:tcPr>
          <w:p w14:paraId="451283FB" w14:textId="78B12A94" w:rsidR="000C7098" w:rsidRPr="00062B4F" w:rsidRDefault="000C7098" w:rsidP="00925D5F">
            <w:pPr>
              <w:spacing w:line="240" w:lineRule="auto"/>
              <w:ind w:firstLine="0"/>
              <w:jc w:val="left"/>
              <w:rPr>
                <w:i/>
                <w:szCs w:val="24"/>
                <w:lang w:eastAsia="ru-RU"/>
              </w:rPr>
            </w:pPr>
            <w:proofErr w:type="spellStart"/>
            <w:r w:rsidRPr="00062B4F">
              <w:rPr>
                <w:iCs/>
                <w:szCs w:val="24"/>
                <w:lang w:eastAsia="ru-RU"/>
              </w:rPr>
              <w:t>Ph</w:t>
            </w:r>
            <w:proofErr w:type="spellEnd"/>
            <w:r w:rsidRPr="00062B4F">
              <w:rPr>
                <w:iCs/>
                <w:szCs w:val="24"/>
                <w:lang w:eastAsia="ru-RU"/>
              </w:rPr>
              <w:noBreakHyphen/>
              <w:t>хромосома в метафазах не определяется (</w:t>
            </w:r>
            <w:proofErr w:type="spellStart"/>
            <w:r w:rsidRPr="00062B4F">
              <w:rPr>
                <w:iCs/>
                <w:szCs w:val="24"/>
                <w:lang w:eastAsia="ru-RU"/>
              </w:rPr>
              <w:t>Ph</w:t>
            </w:r>
            <w:proofErr w:type="spellEnd"/>
            <w:r w:rsidRPr="001B1F61">
              <w:rPr>
                <w:iCs/>
                <w:szCs w:val="24"/>
                <w:vertAlign w:val="superscript"/>
                <w:lang w:eastAsia="ru-RU"/>
              </w:rPr>
              <w:t xml:space="preserve">+ </w:t>
            </w:r>
            <w:r w:rsidRPr="001B1F61">
              <w:rPr>
                <w:iCs/>
                <w:szCs w:val="24"/>
                <w:lang w:eastAsia="ru-RU"/>
              </w:rPr>
              <w:t>0%)</w:t>
            </w:r>
          </w:p>
        </w:tc>
      </w:tr>
      <w:tr w:rsidR="00DB1B12" w:rsidRPr="00062B4F" w14:paraId="1F8D5DD1" w14:textId="77777777" w:rsidTr="00FC558B">
        <w:trPr>
          <w:trHeight w:val="330"/>
          <w:jc w:val="center"/>
        </w:trPr>
        <w:tc>
          <w:tcPr>
            <w:tcW w:w="2569" w:type="dxa"/>
            <w:tcBorders>
              <w:top w:val="single" w:sz="6" w:space="0" w:color="000000"/>
              <w:left w:val="single" w:sz="6" w:space="0" w:color="000000"/>
              <w:bottom w:val="single" w:sz="6" w:space="0" w:color="000000"/>
              <w:right w:val="single" w:sz="6" w:space="0" w:color="000000"/>
            </w:tcBorders>
          </w:tcPr>
          <w:p w14:paraId="241D81C4" w14:textId="36E31B2B" w:rsidR="00DB1B12" w:rsidRPr="001B1F61" w:rsidRDefault="00DB1B12" w:rsidP="00DB1B12">
            <w:pPr>
              <w:spacing w:line="240" w:lineRule="auto"/>
              <w:ind w:firstLine="0"/>
              <w:jc w:val="left"/>
              <w:rPr>
                <w:iCs/>
                <w:szCs w:val="24"/>
                <w:lang w:eastAsia="ru-RU"/>
              </w:rPr>
            </w:pPr>
            <w:r w:rsidRPr="001B1F61">
              <w:rPr>
                <w:iCs/>
                <w:szCs w:val="24"/>
                <w:lang w:eastAsia="ru-RU"/>
              </w:rPr>
              <w:t>Частичный (ЧЦО)</w:t>
            </w:r>
          </w:p>
        </w:tc>
        <w:tc>
          <w:tcPr>
            <w:tcW w:w="6770" w:type="dxa"/>
            <w:gridSpan w:val="2"/>
            <w:tcBorders>
              <w:top w:val="single" w:sz="6" w:space="0" w:color="000000"/>
              <w:left w:val="single" w:sz="6" w:space="0" w:color="000000"/>
              <w:bottom w:val="single" w:sz="6" w:space="0" w:color="000000"/>
              <w:right w:val="single" w:sz="6" w:space="0" w:color="000000"/>
            </w:tcBorders>
          </w:tcPr>
          <w:p w14:paraId="1B081153" w14:textId="41960329" w:rsidR="00DB1B12" w:rsidRPr="001B1F61" w:rsidRDefault="00DB1B12" w:rsidP="00DB1B12">
            <w:pPr>
              <w:spacing w:line="240" w:lineRule="auto"/>
              <w:ind w:firstLine="0"/>
              <w:jc w:val="left"/>
              <w:rPr>
                <w:iCs/>
                <w:szCs w:val="24"/>
                <w:lang w:eastAsia="ru-RU"/>
              </w:rPr>
            </w:pPr>
            <w:proofErr w:type="spellStart"/>
            <w:r w:rsidRPr="001B1F61">
              <w:rPr>
                <w:iCs/>
                <w:szCs w:val="24"/>
                <w:lang w:eastAsia="ru-RU"/>
              </w:rPr>
              <w:t>Ph</w:t>
            </w:r>
            <w:proofErr w:type="spellEnd"/>
            <w:r w:rsidRPr="001B1F61">
              <w:rPr>
                <w:iCs/>
                <w:szCs w:val="24"/>
                <w:lang w:eastAsia="ru-RU"/>
              </w:rPr>
              <w:noBreakHyphen/>
              <w:t>хромосома в 1-35 % метафаз (</w:t>
            </w:r>
            <w:proofErr w:type="spellStart"/>
            <w:r w:rsidRPr="001B1F61">
              <w:rPr>
                <w:iCs/>
                <w:szCs w:val="24"/>
                <w:lang w:eastAsia="ru-RU"/>
              </w:rPr>
              <w:t>Ph</w:t>
            </w:r>
            <w:proofErr w:type="spellEnd"/>
            <w:r w:rsidRPr="001B1F61">
              <w:rPr>
                <w:iCs/>
                <w:szCs w:val="24"/>
                <w:vertAlign w:val="superscript"/>
                <w:lang w:eastAsia="ru-RU"/>
              </w:rPr>
              <w:t xml:space="preserve">+ </w:t>
            </w:r>
            <w:r w:rsidRPr="001B1F61">
              <w:rPr>
                <w:iCs/>
                <w:szCs w:val="24"/>
                <w:lang w:eastAsia="ru-RU"/>
              </w:rPr>
              <w:t>1-35 %)</w:t>
            </w:r>
          </w:p>
        </w:tc>
      </w:tr>
      <w:tr w:rsidR="00DB1B12" w:rsidRPr="00062B4F" w14:paraId="6FAE1A9E" w14:textId="77777777" w:rsidTr="00FC558B">
        <w:trPr>
          <w:trHeight w:val="330"/>
          <w:jc w:val="center"/>
        </w:trPr>
        <w:tc>
          <w:tcPr>
            <w:tcW w:w="2569" w:type="dxa"/>
            <w:tcBorders>
              <w:top w:val="single" w:sz="6" w:space="0" w:color="000000"/>
              <w:left w:val="single" w:sz="6" w:space="0" w:color="000000"/>
              <w:bottom w:val="single" w:sz="6" w:space="0" w:color="000000"/>
              <w:right w:val="single" w:sz="6" w:space="0" w:color="000000"/>
            </w:tcBorders>
          </w:tcPr>
          <w:p w14:paraId="5BBB6AE4" w14:textId="330411C3" w:rsidR="00DB1B12" w:rsidRPr="001B1F61" w:rsidRDefault="00DB1B12" w:rsidP="00DB1B12">
            <w:pPr>
              <w:spacing w:line="240" w:lineRule="auto"/>
              <w:ind w:firstLine="0"/>
              <w:jc w:val="left"/>
              <w:rPr>
                <w:iCs/>
                <w:szCs w:val="24"/>
                <w:lang w:eastAsia="ru-RU"/>
              </w:rPr>
            </w:pPr>
            <w:r w:rsidRPr="001B1F61">
              <w:rPr>
                <w:iCs/>
                <w:szCs w:val="24"/>
                <w:lang w:eastAsia="ru-RU"/>
              </w:rPr>
              <w:t>Малый (МЦО)</w:t>
            </w:r>
          </w:p>
        </w:tc>
        <w:tc>
          <w:tcPr>
            <w:tcW w:w="6770" w:type="dxa"/>
            <w:gridSpan w:val="2"/>
            <w:tcBorders>
              <w:top w:val="single" w:sz="6" w:space="0" w:color="000000"/>
              <w:left w:val="single" w:sz="6" w:space="0" w:color="000000"/>
              <w:bottom w:val="single" w:sz="6" w:space="0" w:color="000000"/>
              <w:right w:val="single" w:sz="6" w:space="0" w:color="000000"/>
            </w:tcBorders>
          </w:tcPr>
          <w:p w14:paraId="400089AA" w14:textId="3E2A45D3" w:rsidR="00DB1B12" w:rsidRPr="001B1F61" w:rsidRDefault="00DB1B12" w:rsidP="00DB1B12">
            <w:pPr>
              <w:spacing w:line="240" w:lineRule="auto"/>
              <w:ind w:firstLine="0"/>
              <w:jc w:val="left"/>
              <w:rPr>
                <w:iCs/>
                <w:szCs w:val="24"/>
                <w:lang w:eastAsia="ru-RU"/>
              </w:rPr>
            </w:pPr>
            <w:proofErr w:type="spellStart"/>
            <w:r w:rsidRPr="001B1F61">
              <w:rPr>
                <w:iCs/>
                <w:szCs w:val="24"/>
                <w:lang w:eastAsia="ru-RU"/>
              </w:rPr>
              <w:t>Ph</w:t>
            </w:r>
            <w:proofErr w:type="spellEnd"/>
            <w:r w:rsidRPr="001B1F61">
              <w:rPr>
                <w:iCs/>
                <w:szCs w:val="24"/>
                <w:lang w:eastAsia="ru-RU"/>
              </w:rPr>
              <w:noBreakHyphen/>
              <w:t>хромосома в 36-65 % метафаз (</w:t>
            </w:r>
            <w:proofErr w:type="spellStart"/>
            <w:r w:rsidRPr="001B1F61">
              <w:rPr>
                <w:iCs/>
                <w:szCs w:val="24"/>
                <w:lang w:eastAsia="ru-RU"/>
              </w:rPr>
              <w:t>Ph</w:t>
            </w:r>
            <w:proofErr w:type="spellEnd"/>
            <w:r w:rsidRPr="001B1F61">
              <w:rPr>
                <w:iCs/>
                <w:szCs w:val="24"/>
                <w:vertAlign w:val="superscript"/>
                <w:lang w:eastAsia="ru-RU"/>
              </w:rPr>
              <w:t xml:space="preserve">+ </w:t>
            </w:r>
            <w:r w:rsidRPr="001B1F61">
              <w:rPr>
                <w:iCs/>
                <w:szCs w:val="24"/>
                <w:lang w:eastAsia="ru-RU"/>
              </w:rPr>
              <w:t>36-65 %)</w:t>
            </w:r>
          </w:p>
        </w:tc>
      </w:tr>
      <w:tr w:rsidR="00DB1B12" w:rsidRPr="00062B4F" w14:paraId="4F21D597" w14:textId="77777777" w:rsidTr="00FC558B">
        <w:trPr>
          <w:trHeight w:val="330"/>
          <w:jc w:val="center"/>
        </w:trPr>
        <w:tc>
          <w:tcPr>
            <w:tcW w:w="2569" w:type="dxa"/>
            <w:tcBorders>
              <w:top w:val="single" w:sz="6" w:space="0" w:color="000000"/>
              <w:left w:val="single" w:sz="6" w:space="0" w:color="000000"/>
              <w:bottom w:val="single" w:sz="6" w:space="0" w:color="000000"/>
              <w:right w:val="single" w:sz="6" w:space="0" w:color="000000"/>
            </w:tcBorders>
          </w:tcPr>
          <w:p w14:paraId="2017BA6F" w14:textId="76C57D46" w:rsidR="00DB1B12" w:rsidRPr="001B1F61" w:rsidRDefault="00DB1B12" w:rsidP="00DB1B12">
            <w:pPr>
              <w:spacing w:line="240" w:lineRule="auto"/>
              <w:ind w:firstLine="0"/>
              <w:jc w:val="left"/>
              <w:rPr>
                <w:iCs/>
                <w:szCs w:val="24"/>
                <w:lang w:eastAsia="ru-RU"/>
              </w:rPr>
            </w:pPr>
            <w:r w:rsidRPr="001B1F61">
              <w:rPr>
                <w:iCs/>
                <w:szCs w:val="24"/>
                <w:lang w:eastAsia="ru-RU"/>
              </w:rPr>
              <w:t>Минимальный (</w:t>
            </w:r>
            <w:proofErr w:type="spellStart"/>
            <w:r w:rsidRPr="001B1F61">
              <w:rPr>
                <w:iCs/>
                <w:szCs w:val="24"/>
                <w:lang w:eastAsia="ru-RU"/>
              </w:rPr>
              <w:t>МинЦО</w:t>
            </w:r>
            <w:proofErr w:type="spellEnd"/>
            <w:r w:rsidRPr="001B1F61">
              <w:rPr>
                <w:iCs/>
                <w:szCs w:val="24"/>
                <w:lang w:eastAsia="ru-RU"/>
              </w:rPr>
              <w:t>)</w:t>
            </w:r>
          </w:p>
        </w:tc>
        <w:tc>
          <w:tcPr>
            <w:tcW w:w="6770" w:type="dxa"/>
            <w:gridSpan w:val="2"/>
            <w:tcBorders>
              <w:top w:val="single" w:sz="6" w:space="0" w:color="000000"/>
              <w:left w:val="single" w:sz="6" w:space="0" w:color="000000"/>
              <w:bottom w:val="single" w:sz="6" w:space="0" w:color="000000"/>
              <w:right w:val="single" w:sz="6" w:space="0" w:color="000000"/>
            </w:tcBorders>
          </w:tcPr>
          <w:p w14:paraId="4957FA15" w14:textId="419C1AB3" w:rsidR="00DB1B12" w:rsidRPr="001B1F61" w:rsidRDefault="00DB1B12" w:rsidP="00DB1B12">
            <w:pPr>
              <w:spacing w:line="240" w:lineRule="auto"/>
              <w:ind w:firstLine="0"/>
              <w:jc w:val="left"/>
              <w:rPr>
                <w:iCs/>
                <w:szCs w:val="24"/>
                <w:lang w:eastAsia="ru-RU"/>
              </w:rPr>
            </w:pPr>
            <w:proofErr w:type="spellStart"/>
            <w:r w:rsidRPr="001B1F61">
              <w:rPr>
                <w:iCs/>
                <w:szCs w:val="24"/>
                <w:lang w:eastAsia="ru-RU"/>
              </w:rPr>
              <w:t>Ph</w:t>
            </w:r>
            <w:proofErr w:type="spellEnd"/>
            <w:r w:rsidRPr="001B1F61">
              <w:rPr>
                <w:iCs/>
                <w:szCs w:val="24"/>
                <w:lang w:eastAsia="ru-RU"/>
              </w:rPr>
              <w:noBreakHyphen/>
              <w:t>хромосома в 66-95 % метафаз (</w:t>
            </w:r>
            <w:proofErr w:type="spellStart"/>
            <w:r w:rsidRPr="001B1F61">
              <w:rPr>
                <w:iCs/>
                <w:szCs w:val="24"/>
                <w:lang w:eastAsia="ru-RU"/>
              </w:rPr>
              <w:t>Ph</w:t>
            </w:r>
            <w:proofErr w:type="spellEnd"/>
            <w:r w:rsidRPr="001B1F61">
              <w:rPr>
                <w:iCs/>
                <w:szCs w:val="24"/>
                <w:vertAlign w:val="superscript"/>
                <w:lang w:eastAsia="ru-RU"/>
              </w:rPr>
              <w:t xml:space="preserve">+ </w:t>
            </w:r>
            <w:r w:rsidRPr="001B1F61">
              <w:rPr>
                <w:iCs/>
                <w:szCs w:val="24"/>
                <w:lang w:eastAsia="ru-RU"/>
              </w:rPr>
              <w:t>66-95 %)</w:t>
            </w:r>
          </w:p>
        </w:tc>
      </w:tr>
      <w:tr w:rsidR="000C7098" w:rsidRPr="00062B4F" w14:paraId="3D49CEC3" w14:textId="77777777" w:rsidTr="00B72302">
        <w:trPr>
          <w:trHeight w:val="345"/>
          <w:jc w:val="center"/>
        </w:trPr>
        <w:tc>
          <w:tcPr>
            <w:tcW w:w="2569" w:type="dxa"/>
            <w:tcBorders>
              <w:top w:val="single" w:sz="6" w:space="0" w:color="000000"/>
              <w:left w:val="single" w:sz="6" w:space="0" w:color="000000"/>
              <w:bottom w:val="single" w:sz="6" w:space="0" w:color="000000"/>
              <w:right w:val="single" w:sz="6" w:space="0" w:color="000000"/>
            </w:tcBorders>
            <w:vAlign w:val="center"/>
          </w:tcPr>
          <w:p w14:paraId="3E1AC5DA" w14:textId="77777777" w:rsidR="000C7098" w:rsidRPr="001B1F61" w:rsidRDefault="000C7098" w:rsidP="00B72302">
            <w:pPr>
              <w:spacing w:line="240" w:lineRule="auto"/>
              <w:ind w:firstLine="0"/>
              <w:jc w:val="left"/>
              <w:rPr>
                <w:i/>
                <w:szCs w:val="24"/>
                <w:lang w:eastAsia="ru-RU"/>
              </w:rPr>
            </w:pPr>
            <w:r w:rsidRPr="001B1F61">
              <w:rPr>
                <w:iCs/>
                <w:szCs w:val="24"/>
                <w:lang w:eastAsia="ru-RU"/>
              </w:rPr>
              <w:t>Отсутствие (нет ЦО)</w:t>
            </w:r>
          </w:p>
        </w:tc>
        <w:tc>
          <w:tcPr>
            <w:tcW w:w="6770" w:type="dxa"/>
            <w:gridSpan w:val="2"/>
            <w:tcBorders>
              <w:top w:val="single" w:sz="6" w:space="0" w:color="000000"/>
              <w:left w:val="single" w:sz="6" w:space="0" w:color="000000"/>
              <w:bottom w:val="single" w:sz="6" w:space="0" w:color="000000"/>
              <w:right w:val="single" w:sz="6" w:space="0" w:color="000000"/>
            </w:tcBorders>
          </w:tcPr>
          <w:p w14:paraId="242512AA" w14:textId="7C573CE1" w:rsidR="000C7098" w:rsidRPr="001B1F61" w:rsidRDefault="000C7098" w:rsidP="00925D5F">
            <w:pPr>
              <w:spacing w:line="240" w:lineRule="auto"/>
              <w:ind w:firstLine="0"/>
              <w:jc w:val="left"/>
              <w:rPr>
                <w:i/>
                <w:szCs w:val="24"/>
                <w:lang w:eastAsia="ru-RU"/>
              </w:rPr>
            </w:pPr>
            <w:proofErr w:type="spellStart"/>
            <w:r w:rsidRPr="001B1F61">
              <w:rPr>
                <w:iCs/>
                <w:szCs w:val="24"/>
                <w:lang w:eastAsia="ru-RU"/>
              </w:rPr>
              <w:t>Ph</w:t>
            </w:r>
            <w:proofErr w:type="spellEnd"/>
            <w:r w:rsidRPr="001B1F61">
              <w:rPr>
                <w:iCs/>
                <w:szCs w:val="24"/>
                <w:lang w:eastAsia="ru-RU"/>
              </w:rPr>
              <w:noBreakHyphen/>
              <w:t>хромосома в более 95% метафаз (</w:t>
            </w:r>
            <w:proofErr w:type="spellStart"/>
            <w:r w:rsidRPr="001B1F61">
              <w:rPr>
                <w:iCs/>
                <w:szCs w:val="24"/>
                <w:lang w:eastAsia="ru-RU"/>
              </w:rPr>
              <w:t>Ph</w:t>
            </w:r>
            <w:proofErr w:type="spellEnd"/>
            <w:r w:rsidRPr="001B1F61">
              <w:rPr>
                <w:iCs/>
                <w:szCs w:val="24"/>
                <w:vertAlign w:val="superscript"/>
                <w:lang w:eastAsia="ru-RU"/>
              </w:rPr>
              <w:t xml:space="preserve">+ </w:t>
            </w:r>
            <w:r w:rsidRPr="001B1F61">
              <w:rPr>
                <w:iCs/>
                <w:szCs w:val="24"/>
                <w:lang w:eastAsia="ru-RU"/>
              </w:rPr>
              <w:t>&gt;95%)</w:t>
            </w:r>
          </w:p>
        </w:tc>
      </w:tr>
      <w:tr w:rsidR="00B67D6A" w:rsidRPr="00062B4F" w14:paraId="01D30F72" w14:textId="77777777" w:rsidTr="00DF32E4">
        <w:trPr>
          <w:trHeight w:val="490"/>
          <w:jc w:val="center"/>
        </w:trPr>
        <w:tc>
          <w:tcPr>
            <w:tcW w:w="9339" w:type="dxa"/>
            <w:gridSpan w:val="3"/>
            <w:tcBorders>
              <w:top w:val="single" w:sz="6" w:space="0" w:color="000000"/>
              <w:left w:val="single" w:sz="6" w:space="0" w:color="000000"/>
              <w:bottom w:val="single" w:sz="6" w:space="0" w:color="000000"/>
              <w:right w:val="single" w:sz="6" w:space="0" w:color="000000"/>
            </w:tcBorders>
            <w:vAlign w:val="center"/>
          </w:tcPr>
          <w:p w14:paraId="3180FB8E" w14:textId="77777777" w:rsidR="00B67D6A" w:rsidRPr="001B1F61" w:rsidRDefault="00B67D6A" w:rsidP="00B72302">
            <w:pPr>
              <w:spacing w:line="240" w:lineRule="auto"/>
              <w:ind w:firstLine="0"/>
              <w:jc w:val="left"/>
              <w:rPr>
                <w:b/>
                <w:i/>
                <w:szCs w:val="24"/>
                <w:lang w:eastAsia="ru-RU"/>
              </w:rPr>
            </w:pPr>
            <w:r w:rsidRPr="001B1F61">
              <w:rPr>
                <w:b/>
                <w:iCs/>
                <w:szCs w:val="24"/>
                <w:lang w:eastAsia="ru-RU"/>
              </w:rPr>
              <w:t>Молекулярный</w:t>
            </w:r>
            <w:r w:rsidRPr="001B1F61">
              <w:rPr>
                <w:b/>
                <w:iCs/>
                <w:szCs w:val="24"/>
                <w:vertAlign w:val="superscript"/>
                <w:lang w:eastAsia="ru-RU"/>
              </w:rPr>
              <w:t>3</w:t>
            </w:r>
          </w:p>
          <w:p w14:paraId="051E98A8" w14:textId="096CE45A" w:rsidR="00B67D6A" w:rsidRPr="001B1F61" w:rsidRDefault="00B67D6A" w:rsidP="009D2E3F">
            <w:pPr>
              <w:spacing w:line="240" w:lineRule="auto"/>
              <w:ind w:firstLine="0"/>
              <w:jc w:val="left"/>
              <w:rPr>
                <w:i/>
                <w:szCs w:val="24"/>
                <w:lang w:eastAsia="ru-RU"/>
              </w:rPr>
            </w:pPr>
            <w:r w:rsidRPr="001B1F61">
              <w:rPr>
                <w:iCs/>
                <w:szCs w:val="24"/>
                <w:lang w:eastAsia="ru-RU"/>
              </w:rPr>
              <w:t> </w:t>
            </w:r>
          </w:p>
        </w:tc>
      </w:tr>
      <w:tr w:rsidR="000C7098" w:rsidRPr="00062B4F" w14:paraId="0686749C" w14:textId="77777777" w:rsidTr="00B72302">
        <w:trPr>
          <w:trHeight w:val="345"/>
          <w:jc w:val="center"/>
        </w:trPr>
        <w:tc>
          <w:tcPr>
            <w:tcW w:w="2569" w:type="dxa"/>
            <w:tcBorders>
              <w:top w:val="single" w:sz="6" w:space="0" w:color="000000"/>
              <w:left w:val="single" w:sz="6" w:space="0" w:color="000000"/>
              <w:bottom w:val="single" w:sz="6" w:space="0" w:color="000000"/>
              <w:right w:val="single" w:sz="6" w:space="0" w:color="000000"/>
            </w:tcBorders>
            <w:vAlign w:val="center"/>
          </w:tcPr>
          <w:p w14:paraId="1904348D" w14:textId="77777777" w:rsidR="000C7098" w:rsidRPr="001B1F61" w:rsidRDefault="000C7098" w:rsidP="00B72302">
            <w:pPr>
              <w:spacing w:line="240" w:lineRule="auto"/>
              <w:ind w:firstLine="0"/>
              <w:jc w:val="left"/>
              <w:rPr>
                <w:i/>
                <w:szCs w:val="24"/>
                <w:lang w:eastAsia="ru-RU"/>
              </w:rPr>
            </w:pPr>
            <w:r w:rsidRPr="001B1F61">
              <w:rPr>
                <w:iCs/>
                <w:szCs w:val="24"/>
                <w:lang w:eastAsia="ru-RU"/>
              </w:rPr>
              <w:t>БМО (МО3,0)</w:t>
            </w:r>
          </w:p>
        </w:tc>
        <w:tc>
          <w:tcPr>
            <w:tcW w:w="6770" w:type="dxa"/>
            <w:gridSpan w:val="2"/>
            <w:tcBorders>
              <w:top w:val="single" w:sz="6" w:space="0" w:color="000000"/>
              <w:left w:val="single" w:sz="6" w:space="0" w:color="000000"/>
              <w:bottom w:val="single" w:sz="6" w:space="0" w:color="000000"/>
              <w:right w:val="single" w:sz="6" w:space="0" w:color="000000"/>
            </w:tcBorders>
            <w:vAlign w:val="center"/>
          </w:tcPr>
          <w:p w14:paraId="5160B82D" w14:textId="3FBB6F98" w:rsidR="000C7098" w:rsidRPr="001B1F61" w:rsidRDefault="000C7098" w:rsidP="00925D5F">
            <w:pPr>
              <w:spacing w:line="240" w:lineRule="auto"/>
              <w:ind w:firstLine="0"/>
              <w:jc w:val="left"/>
              <w:rPr>
                <w:i/>
                <w:szCs w:val="24"/>
                <w:lang w:eastAsia="ru-RU"/>
              </w:rPr>
            </w:pPr>
            <w:r w:rsidRPr="001B1F61">
              <w:rPr>
                <w:iCs/>
                <w:szCs w:val="24"/>
                <w:lang w:eastAsia="ru-RU"/>
              </w:rPr>
              <w:t xml:space="preserve">Соотношение </w:t>
            </w:r>
            <w:proofErr w:type="gramStart"/>
            <w:r w:rsidR="00FD1CA7" w:rsidRPr="001B1F61">
              <w:rPr>
                <w:i/>
                <w:szCs w:val="24"/>
                <w:lang w:eastAsia="ru-RU"/>
              </w:rPr>
              <w:t>BCR::</w:t>
            </w:r>
            <w:proofErr w:type="gramEnd"/>
            <w:r w:rsidR="00FD1CA7" w:rsidRPr="001B1F61">
              <w:rPr>
                <w:i/>
                <w:szCs w:val="24"/>
                <w:lang w:eastAsia="ru-RU"/>
              </w:rPr>
              <w:t>ABL</w:t>
            </w:r>
            <w:r w:rsidR="00FD1CA7" w:rsidRPr="001B1F61">
              <w:rPr>
                <w:i/>
                <w:iCs/>
                <w:szCs w:val="24"/>
                <w:lang w:eastAsia="ru-RU"/>
              </w:rPr>
              <w:t xml:space="preserve">1 </w:t>
            </w:r>
            <w:r w:rsidRPr="001B1F61">
              <w:rPr>
                <w:i/>
                <w:iCs/>
                <w:szCs w:val="24"/>
                <w:lang w:eastAsia="ru-RU"/>
              </w:rPr>
              <w:t>/ABL</w:t>
            </w:r>
            <w:r w:rsidR="00FD1CA7" w:rsidRPr="001B1F61">
              <w:rPr>
                <w:i/>
                <w:iCs/>
                <w:szCs w:val="24"/>
                <w:lang w:eastAsia="ru-RU"/>
              </w:rPr>
              <w:t>1</w:t>
            </w:r>
            <w:r w:rsidRPr="001B1F61">
              <w:rPr>
                <w:i/>
                <w:iCs/>
                <w:szCs w:val="24"/>
                <w:lang w:eastAsia="ru-RU"/>
              </w:rPr>
              <w:t xml:space="preserve"> </w:t>
            </w:r>
            <w:r w:rsidRPr="001B1F61">
              <w:rPr>
                <w:iCs/>
                <w:szCs w:val="24"/>
                <w:lang w:eastAsia="ru-RU"/>
              </w:rPr>
              <w:t>≤0,1 % и &gt;0,01% по международной шкале (IS)</w:t>
            </w:r>
          </w:p>
        </w:tc>
      </w:tr>
      <w:tr w:rsidR="000C7098" w:rsidRPr="00062B4F" w14:paraId="304AD8A8" w14:textId="77777777" w:rsidTr="00B72302">
        <w:trPr>
          <w:trHeight w:val="300"/>
          <w:jc w:val="center"/>
        </w:trPr>
        <w:tc>
          <w:tcPr>
            <w:tcW w:w="2569" w:type="dxa"/>
            <w:vMerge w:val="restart"/>
            <w:tcBorders>
              <w:top w:val="single" w:sz="6" w:space="0" w:color="000000"/>
              <w:left w:val="single" w:sz="6" w:space="0" w:color="000000"/>
              <w:bottom w:val="single" w:sz="6" w:space="0" w:color="000000"/>
              <w:right w:val="single" w:sz="6" w:space="0" w:color="000000"/>
            </w:tcBorders>
            <w:vAlign w:val="center"/>
          </w:tcPr>
          <w:p w14:paraId="6F344B7A" w14:textId="77777777" w:rsidR="000C7098" w:rsidRPr="001B1F61" w:rsidRDefault="000C7098" w:rsidP="00B72302">
            <w:pPr>
              <w:spacing w:line="240" w:lineRule="auto"/>
              <w:ind w:firstLine="0"/>
              <w:jc w:val="left"/>
              <w:rPr>
                <w:i/>
                <w:szCs w:val="24"/>
                <w:lang w:eastAsia="ru-RU"/>
              </w:rPr>
            </w:pPr>
            <w:r w:rsidRPr="001B1F61">
              <w:rPr>
                <w:iCs/>
                <w:szCs w:val="24"/>
                <w:lang w:eastAsia="ru-RU"/>
              </w:rPr>
              <w:t>Глубокий МО</w:t>
            </w:r>
          </w:p>
        </w:tc>
        <w:tc>
          <w:tcPr>
            <w:tcW w:w="865" w:type="dxa"/>
            <w:tcBorders>
              <w:top w:val="single" w:sz="6" w:space="0" w:color="000000"/>
              <w:left w:val="single" w:sz="6" w:space="0" w:color="000000"/>
              <w:bottom w:val="single" w:sz="6" w:space="0" w:color="000000"/>
              <w:right w:val="single" w:sz="6" w:space="0" w:color="000000"/>
            </w:tcBorders>
            <w:vAlign w:val="center"/>
          </w:tcPr>
          <w:p w14:paraId="44407A1C" w14:textId="77777777" w:rsidR="000C7098" w:rsidRPr="001B1F61" w:rsidRDefault="000C7098" w:rsidP="009D2E3F">
            <w:pPr>
              <w:spacing w:line="240" w:lineRule="auto"/>
              <w:ind w:firstLine="0"/>
              <w:jc w:val="left"/>
              <w:rPr>
                <w:i/>
                <w:szCs w:val="24"/>
                <w:lang w:eastAsia="ru-RU"/>
              </w:rPr>
            </w:pPr>
            <w:r w:rsidRPr="001B1F61">
              <w:rPr>
                <w:iCs/>
                <w:szCs w:val="24"/>
                <w:lang w:eastAsia="ru-RU"/>
              </w:rPr>
              <w:t>МО 4,0</w:t>
            </w:r>
          </w:p>
        </w:tc>
        <w:tc>
          <w:tcPr>
            <w:tcW w:w="5905" w:type="dxa"/>
            <w:tcBorders>
              <w:top w:val="single" w:sz="6" w:space="0" w:color="000000"/>
              <w:left w:val="single" w:sz="6" w:space="0" w:color="000000"/>
              <w:bottom w:val="single" w:sz="6" w:space="0" w:color="000000"/>
              <w:right w:val="single" w:sz="6" w:space="0" w:color="000000"/>
            </w:tcBorders>
            <w:vAlign w:val="center"/>
          </w:tcPr>
          <w:p w14:paraId="7899687F" w14:textId="4563E7F8" w:rsidR="000C7098" w:rsidRPr="001B1F61" w:rsidRDefault="000C7098" w:rsidP="00B25112">
            <w:pPr>
              <w:spacing w:line="240" w:lineRule="auto"/>
              <w:ind w:firstLine="0"/>
              <w:jc w:val="left"/>
              <w:rPr>
                <w:i/>
                <w:szCs w:val="24"/>
                <w:lang w:eastAsia="ru-RU"/>
              </w:rPr>
            </w:pPr>
            <w:r w:rsidRPr="001B1F61">
              <w:rPr>
                <w:iCs/>
                <w:szCs w:val="24"/>
                <w:lang w:eastAsia="ru-RU"/>
              </w:rPr>
              <w:t xml:space="preserve"> Соотношение </w:t>
            </w:r>
            <w:proofErr w:type="gramStart"/>
            <w:r w:rsidR="00FD1CA7" w:rsidRPr="001B1F61">
              <w:rPr>
                <w:i/>
                <w:szCs w:val="24"/>
                <w:lang w:eastAsia="ru-RU"/>
              </w:rPr>
              <w:t>BCR::</w:t>
            </w:r>
            <w:proofErr w:type="gramEnd"/>
            <w:r w:rsidR="00FD1CA7" w:rsidRPr="001B1F61">
              <w:rPr>
                <w:i/>
                <w:szCs w:val="24"/>
                <w:lang w:eastAsia="ru-RU"/>
              </w:rPr>
              <w:t>ABL</w:t>
            </w:r>
            <w:r w:rsidR="00FD1CA7" w:rsidRPr="001B1F61">
              <w:rPr>
                <w:i/>
                <w:iCs/>
                <w:szCs w:val="24"/>
                <w:lang w:eastAsia="ru-RU"/>
              </w:rPr>
              <w:t xml:space="preserve">1 </w:t>
            </w:r>
            <w:r w:rsidRPr="001B1F61">
              <w:rPr>
                <w:i/>
                <w:iCs/>
                <w:szCs w:val="24"/>
                <w:lang w:eastAsia="ru-RU"/>
              </w:rPr>
              <w:t>/ABL</w:t>
            </w:r>
            <w:r w:rsidR="00FD1CA7" w:rsidRPr="001B1F61">
              <w:rPr>
                <w:i/>
                <w:szCs w:val="24"/>
                <w:lang w:eastAsia="ru-RU"/>
              </w:rPr>
              <w:t xml:space="preserve"> BCR::ABL</w:t>
            </w:r>
            <w:r w:rsidR="00FD1CA7" w:rsidRPr="001B1F61">
              <w:rPr>
                <w:i/>
                <w:iCs/>
                <w:szCs w:val="24"/>
                <w:lang w:eastAsia="ru-RU"/>
              </w:rPr>
              <w:t xml:space="preserve">1 </w:t>
            </w:r>
            <w:r w:rsidRPr="001B1F61">
              <w:rPr>
                <w:iCs/>
                <w:szCs w:val="24"/>
                <w:lang w:eastAsia="ru-RU"/>
              </w:rPr>
              <w:t>≤0,01</w:t>
            </w:r>
            <w:r w:rsidR="00B25112" w:rsidRPr="001B1F61">
              <w:rPr>
                <w:iCs/>
                <w:szCs w:val="24"/>
                <w:lang w:eastAsia="ru-RU"/>
              </w:rPr>
              <w:t>%</w:t>
            </w:r>
            <w:r w:rsidRPr="001B1F61">
              <w:rPr>
                <w:iCs/>
                <w:szCs w:val="24"/>
                <w:lang w:eastAsia="ru-RU"/>
              </w:rPr>
              <w:t xml:space="preserve"> и &gt;0,0032% по международной шкале (IS) или неопределяемый уровень </w:t>
            </w:r>
            <w:r w:rsidR="00FD1CA7" w:rsidRPr="001B1F61">
              <w:rPr>
                <w:i/>
                <w:szCs w:val="24"/>
                <w:lang w:eastAsia="ru-RU"/>
              </w:rPr>
              <w:t>BCR::ABL</w:t>
            </w:r>
            <w:r w:rsidR="00FD1CA7" w:rsidRPr="001B1F61">
              <w:rPr>
                <w:i/>
                <w:iCs/>
                <w:szCs w:val="24"/>
                <w:lang w:eastAsia="ru-RU"/>
              </w:rPr>
              <w:t xml:space="preserve">1 </w:t>
            </w:r>
            <w:r w:rsidRPr="001B1F61">
              <w:rPr>
                <w:iCs/>
                <w:szCs w:val="24"/>
                <w:lang w:eastAsia="ru-RU"/>
              </w:rPr>
              <w:t xml:space="preserve">при количестве </w:t>
            </w:r>
            <w:r w:rsidR="00FD1CA7" w:rsidRPr="001B1F61">
              <w:rPr>
                <w:i/>
                <w:szCs w:val="24"/>
                <w:lang w:eastAsia="ru-RU"/>
              </w:rPr>
              <w:t>ABL</w:t>
            </w:r>
            <w:r w:rsidR="00FD1CA7" w:rsidRPr="001B1F61">
              <w:rPr>
                <w:i/>
                <w:iCs/>
                <w:szCs w:val="24"/>
                <w:lang w:eastAsia="ru-RU"/>
              </w:rPr>
              <w:t>1</w:t>
            </w:r>
            <w:r w:rsidR="00F01374" w:rsidRPr="001B1F61">
              <w:rPr>
                <w:iCs/>
                <w:szCs w:val="24"/>
                <w:lang w:eastAsia="ru-RU"/>
              </w:rPr>
              <w:t xml:space="preserve"> ≥10000 и &lt;32000</w:t>
            </w:r>
            <w:r w:rsidR="00B25112" w:rsidRPr="001B1F61">
              <w:rPr>
                <w:iCs/>
                <w:szCs w:val="24"/>
                <w:lang w:eastAsia="ru-RU"/>
              </w:rPr>
              <w:t xml:space="preserve"> копий</w:t>
            </w:r>
          </w:p>
        </w:tc>
      </w:tr>
      <w:tr w:rsidR="000C7098" w:rsidRPr="00062B4F" w14:paraId="6BF16929" w14:textId="77777777" w:rsidTr="0067333F">
        <w:trPr>
          <w:trHeight w:val="465"/>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42667D12" w14:textId="77777777" w:rsidR="000C7098" w:rsidRPr="001B1F61" w:rsidRDefault="000C7098" w:rsidP="009D2E3F">
            <w:pPr>
              <w:spacing w:line="240" w:lineRule="auto"/>
              <w:ind w:firstLine="0"/>
              <w:jc w:val="left"/>
              <w:rPr>
                <w:szCs w:val="24"/>
              </w:rPr>
            </w:pPr>
          </w:p>
        </w:tc>
        <w:tc>
          <w:tcPr>
            <w:tcW w:w="865" w:type="dxa"/>
            <w:tcBorders>
              <w:top w:val="single" w:sz="6" w:space="0" w:color="000000"/>
              <w:left w:val="single" w:sz="6" w:space="0" w:color="000000"/>
              <w:bottom w:val="single" w:sz="6" w:space="0" w:color="000000"/>
              <w:right w:val="single" w:sz="6" w:space="0" w:color="000000"/>
            </w:tcBorders>
            <w:vAlign w:val="center"/>
          </w:tcPr>
          <w:p w14:paraId="70D905C9" w14:textId="77777777" w:rsidR="000C7098" w:rsidRPr="001B1F61" w:rsidRDefault="000C7098" w:rsidP="009D2E3F">
            <w:pPr>
              <w:spacing w:line="240" w:lineRule="auto"/>
              <w:ind w:firstLine="0"/>
              <w:jc w:val="left"/>
              <w:rPr>
                <w:szCs w:val="24"/>
                <w:lang w:eastAsia="ru-RU"/>
              </w:rPr>
            </w:pPr>
            <w:r w:rsidRPr="001B1F61">
              <w:rPr>
                <w:iCs/>
                <w:szCs w:val="24"/>
                <w:lang w:eastAsia="ru-RU"/>
              </w:rPr>
              <w:t>МО 4,5</w:t>
            </w:r>
          </w:p>
        </w:tc>
        <w:tc>
          <w:tcPr>
            <w:tcW w:w="5905" w:type="dxa"/>
            <w:tcBorders>
              <w:top w:val="single" w:sz="6" w:space="0" w:color="000000"/>
              <w:left w:val="single" w:sz="6" w:space="0" w:color="000000"/>
              <w:bottom w:val="single" w:sz="6" w:space="0" w:color="000000"/>
              <w:right w:val="single" w:sz="6" w:space="0" w:color="000000"/>
            </w:tcBorders>
            <w:vAlign w:val="center"/>
          </w:tcPr>
          <w:p w14:paraId="50BFDF96" w14:textId="0887F036" w:rsidR="000C7098" w:rsidRPr="001B1F61" w:rsidRDefault="000C7098" w:rsidP="00B25112">
            <w:pPr>
              <w:spacing w:line="240" w:lineRule="auto"/>
              <w:ind w:firstLine="0"/>
              <w:jc w:val="left"/>
              <w:rPr>
                <w:szCs w:val="24"/>
                <w:lang w:eastAsia="ru-RU"/>
              </w:rPr>
            </w:pPr>
            <w:r w:rsidRPr="001B1F61">
              <w:rPr>
                <w:iCs/>
                <w:szCs w:val="24"/>
                <w:lang w:eastAsia="ru-RU"/>
              </w:rPr>
              <w:t xml:space="preserve">Соотношение </w:t>
            </w:r>
            <w:proofErr w:type="gramStart"/>
            <w:r w:rsidR="00FD1CA7" w:rsidRPr="001B1F61">
              <w:rPr>
                <w:i/>
                <w:szCs w:val="24"/>
                <w:lang w:eastAsia="ru-RU"/>
              </w:rPr>
              <w:t>BCR::</w:t>
            </w:r>
            <w:proofErr w:type="gramEnd"/>
            <w:r w:rsidR="00FD1CA7" w:rsidRPr="001B1F61">
              <w:rPr>
                <w:i/>
                <w:szCs w:val="24"/>
                <w:lang w:eastAsia="ru-RU"/>
              </w:rPr>
              <w:t>ABL</w:t>
            </w:r>
            <w:r w:rsidR="00FD1CA7" w:rsidRPr="001B1F61">
              <w:rPr>
                <w:i/>
                <w:iCs/>
                <w:szCs w:val="24"/>
                <w:lang w:eastAsia="ru-RU"/>
              </w:rPr>
              <w:t xml:space="preserve">1 </w:t>
            </w:r>
            <w:r w:rsidRPr="001B1F61">
              <w:rPr>
                <w:i/>
                <w:iCs/>
                <w:szCs w:val="24"/>
                <w:lang w:eastAsia="ru-RU"/>
              </w:rPr>
              <w:t>/ABL</w:t>
            </w:r>
            <w:r w:rsidR="00FD1CA7" w:rsidRPr="001B1F61">
              <w:rPr>
                <w:i/>
                <w:iCs/>
                <w:szCs w:val="24"/>
                <w:lang w:eastAsia="ru-RU"/>
              </w:rPr>
              <w:t>1</w:t>
            </w:r>
            <w:r w:rsidRPr="001B1F61">
              <w:rPr>
                <w:iCs/>
                <w:szCs w:val="24"/>
                <w:lang w:eastAsia="ru-RU"/>
              </w:rPr>
              <w:t xml:space="preserve">≤0,0032% и &gt;0,001% по международной шкале (IS) или неопределяемый уровень </w:t>
            </w:r>
            <w:r w:rsidR="00FD1CA7" w:rsidRPr="001B1F61">
              <w:rPr>
                <w:i/>
                <w:szCs w:val="24"/>
                <w:lang w:eastAsia="ru-RU"/>
              </w:rPr>
              <w:t>BCR::ABL</w:t>
            </w:r>
            <w:r w:rsidR="00FD1CA7" w:rsidRPr="001B1F61">
              <w:rPr>
                <w:i/>
                <w:iCs/>
                <w:szCs w:val="24"/>
                <w:lang w:eastAsia="ru-RU"/>
              </w:rPr>
              <w:t xml:space="preserve">1 </w:t>
            </w:r>
            <w:r w:rsidRPr="001B1F61">
              <w:rPr>
                <w:iCs/>
                <w:szCs w:val="24"/>
                <w:lang w:eastAsia="ru-RU"/>
              </w:rPr>
              <w:t xml:space="preserve">при количестве </w:t>
            </w:r>
            <w:r w:rsidRPr="001B1F61">
              <w:rPr>
                <w:i/>
                <w:iCs/>
                <w:szCs w:val="24"/>
                <w:lang w:eastAsia="ru-RU"/>
              </w:rPr>
              <w:t>ABL</w:t>
            </w:r>
            <w:r w:rsidR="00FD1CA7" w:rsidRPr="001B1F61">
              <w:rPr>
                <w:i/>
                <w:iCs/>
                <w:szCs w:val="24"/>
                <w:lang w:eastAsia="ru-RU"/>
              </w:rPr>
              <w:t>1</w:t>
            </w:r>
            <w:r w:rsidRPr="001B1F61">
              <w:rPr>
                <w:iCs/>
                <w:szCs w:val="24"/>
                <w:lang w:eastAsia="ru-RU"/>
              </w:rPr>
              <w:t xml:space="preserve"> </w:t>
            </w:r>
            <w:r w:rsidR="00F01374" w:rsidRPr="001B1F61">
              <w:rPr>
                <w:iCs/>
                <w:szCs w:val="24"/>
                <w:lang w:eastAsia="ru-RU"/>
              </w:rPr>
              <w:t>≥32</w:t>
            </w:r>
            <w:r w:rsidR="00FD1CA7" w:rsidRPr="001B1F61">
              <w:rPr>
                <w:iCs/>
                <w:szCs w:val="24"/>
                <w:lang w:eastAsia="ru-RU"/>
              </w:rPr>
              <w:t xml:space="preserve"> </w:t>
            </w:r>
            <w:r w:rsidR="00F01374" w:rsidRPr="001B1F61">
              <w:rPr>
                <w:iCs/>
                <w:szCs w:val="24"/>
                <w:lang w:eastAsia="ru-RU"/>
              </w:rPr>
              <w:t>000 и &lt;100</w:t>
            </w:r>
            <w:r w:rsidR="00B25112" w:rsidRPr="001B1F61">
              <w:rPr>
                <w:iCs/>
                <w:szCs w:val="24"/>
                <w:lang w:eastAsia="ru-RU"/>
              </w:rPr>
              <w:t> </w:t>
            </w:r>
            <w:r w:rsidR="00F01374" w:rsidRPr="001B1F61">
              <w:rPr>
                <w:iCs/>
                <w:szCs w:val="24"/>
                <w:lang w:eastAsia="ru-RU"/>
              </w:rPr>
              <w:t>000</w:t>
            </w:r>
            <w:r w:rsidR="00B25112" w:rsidRPr="001B1F61">
              <w:rPr>
                <w:iCs/>
                <w:szCs w:val="24"/>
                <w:lang w:eastAsia="ru-RU"/>
              </w:rPr>
              <w:t xml:space="preserve"> копий</w:t>
            </w:r>
          </w:p>
        </w:tc>
      </w:tr>
      <w:tr w:rsidR="000C7098" w:rsidRPr="00062B4F" w14:paraId="112807EB" w14:textId="77777777" w:rsidTr="0067333F">
        <w:trPr>
          <w:trHeight w:val="463"/>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275C4AC6" w14:textId="77777777" w:rsidR="000C7098" w:rsidRPr="001B1F61" w:rsidRDefault="000C7098" w:rsidP="009D2E3F">
            <w:pPr>
              <w:spacing w:line="240" w:lineRule="auto"/>
              <w:ind w:firstLine="0"/>
              <w:jc w:val="left"/>
              <w:rPr>
                <w:szCs w:val="24"/>
              </w:rPr>
            </w:pPr>
          </w:p>
        </w:tc>
        <w:tc>
          <w:tcPr>
            <w:tcW w:w="865" w:type="dxa"/>
            <w:tcBorders>
              <w:top w:val="single" w:sz="6" w:space="0" w:color="000000"/>
              <w:left w:val="single" w:sz="6" w:space="0" w:color="000000"/>
              <w:bottom w:val="single" w:sz="6" w:space="0" w:color="000000"/>
              <w:right w:val="single" w:sz="6" w:space="0" w:color="000000"/>
            </w:tcBorders>
            <w:vAlign w:val="center"/>
          </w:tcPr>
          <w:p w14:paraId="1AAD5198" w14:textId="77777777" w:rsidR="000C7098" w:rsidRPr="001B1F61" w:rsidRDefault="000C7098" w:rsidP="009D2E3F">
            <w:pPr>
              <w:spacing w:line="240" w:lineRule="auto"/>
              <w:ind w:firstLine="0"/>
              <w:jc w:val="left"/>
              <w:rPr>
                <w:szCs w:val="24"/>
                <w:lang w:eastAsia="ru-RU"/>
              </w:rPr>
            </w:pPr>
            <w:r w:rsidRPr="001B1F61">
              <w:rPr>
                <w:iCs/>
                <w:szCs w:val="24"/>
                <w:lang w:eastAsia="ru-RU"/>
              </w:rPr>
              <w:t>МО 5,0</w:t>
            </w:r>
          </w:p>
        </w:tc>
        <w:tc>
          <w:tcPr>
            <w:tcW w:w="5905" w:type="dxa"/>
            <w:tcBorders>
              <w:top w:val="single" w:sz="6" w:space="0" w:color="000000"/>
              <w:left w:val="single" w:sz="6" w:space="0" w:color="000000"/>
              <w:bottom w:val="single" w:sz="6" w:space="0" w:color="000000"/>
              <w:right w:val="single" w:sz="6" w:space="0" w:color="000000"/>
            </w:tcBorders>
            <w:vAlign w:val="center"/>
          </w:tcPr>
          <w:p w14:paraId="061FE886" w14:textId="2D91FE42" w:rsidR="000C7098" w:rsidRPr="001B1F61" w:rsidRDefault="000C7098" w:rsidP="00B25112">
            <w:pPr>
              <w:spacing w:line="240" w:lineRule="auto"/>
              <w:ind w:firstLine="0"/>
              <w:jc w:val="left"/>
              <w:rPr>
                <w:szCs w:val="24"/>
                <w:lang w:eastAsia="ru-RU"/>
              </w:rPr>
            </w:pPr>
            <w:r w:rsidRPr="001B1F61">
              <w:rPr>
                <w:iCs/>
                <w:szCs w:val="24"/>
                <w:lang w:eastAsia="ru-RU"/>
              </w:rPr>
              <w:t xml:space="preserve">Соотношение </w:t>
            </w:r>
            <w:proofErr w:type="gramStart"/>
            <w:r w:rsidR="00FD1CA7" w:rsidRPr="001B1F61">
              <w:rPr>
                <w:i/>
                <w:szCs w:val="24"/>
                <w:lang w:eastAsia="ru-RU"/>
              </w:rPr>
              <w:t>BCR::</w:t>
            </w:r>
            <w:proofErr w:type="gramEnd"/>
            <w:r w:rsidR="00FD1CA7" w:rsidRPr="001B1F61">
              <w:rPr>
                <w:i/>
                <w:szCs w:val="24"/>
                <w:lang w:eastAsia="ru-RU"/>
              </w:rPr>
              <w:t>ABL</w:t>
            </w:r>
            <w:r w:rsidR="00FD1CA7" w:rsidRPr="001B1F61">
              <w:rPr>
                <w:i/>
                <w:iCs/>
                <w:szCs w:val="24"/>
                <w:lang w:eastAsia="ru-RU"/>
              </w:rPr>
              <w:t xml:space="preserve">1 </w:t>
            </w:r>
            <w:r w:rsidRPr="001B1F61">
              <w:rPr>
                <w:i/>
                <w:iCs/>
                <w:szCs w:val="24"/>
                <w:lang w:eastAsia="ru-RU"/>
              </w:rPr>
              <w:t>/ABL</w:t>
            </w:r>
            <w:r w:rsidR="00FD1CA7" w:rsidRPr="001B1F61">
              <w:rPr>
                <w:i/>
                <w:iCs/>
                <w:szCs w:val="24"/>
                <w:lang w:eastAsia="ru-RU"/>
              </w:rPr>
              <w:t>1</w:t>
            </w:r>
            <w:r w:rsidRPr="001B1F61">
              <w:rPr>
                <w:iCs/>
                <w:szCs w:val="24"/>
                <w:lang w:eastAsia="ru-RU"/>
              </w:rPr>
              <w:t xml:space="preserve">≤0,001% по международной шкале (IS) или неопределяемый уровень </w:t>
            </w:r>
            <w:r w:rsidR="00FD1CA7" w:rsidRPr="001B1F61">
              <w:rPr>
                <w:i/>
                <w:szCs w:val="24"/>
                <w:lang w:eastAsia="ru-RU"/>
              </w:rPr>
              <w:t>BCR::ABL</w:t>
            </w:r>
            <w:r w:rsidR="00FD1CA7" w:rsidRPr="001B1F61">
              <w:rPr>
                <w:i/>
                <w:iCs/>
                <w:szCs w:val="24"/>
                <w:lang w:eastAsia="ru-RU"/>
              </w:rPr>
              <w:t xml:space="preserve">1 </w:t>
            </w:r>
            <w:r w:rsidRPr="001B1F61">
              <w:rPr>
                <w:iCs/>
                <w:szCs w:val="24"/>
                <w:lang w:eastAsia="ru-RU"/>
              </w:rPr>
              <w:t xml:space="preserve">при количестве </w:t>
            </w:r>
            <w:r w:rsidR="00F01374" w:rsidRPr="001B1F61">
              <w:rPr>
                <w:i/>
                <w:iCs/>
                <w:szCs w:val="24"/>
                <w:lang w:eastAsia="ru-RU"/>
              </w:rPr>
              <w:t>ABL</w:t>
            </w:r>
            <w:r w:rsidR="00FD1CA7" w:rsidRPr="001B1F61">
              <w:rPr>
                <w:i/>
                <w:iCs/>
                <w:szCs w:val="24"/>
                <w:lang w:eastAsia="ru-RU"/>
              </w:rPr>
              <w:t>1</w:t>
            </w:r>
            <w:r w:rsidR="00F01374" w:rsidRPr="001B1F61">
              <w:rPr>
                <w:iCs/>
                <w:szCs w:val="24"/>
                <w:lang w:eastAsia="ru-RU"/>
              </w:rPr>
              <w:t xml:space="preserve"> ≥100</w:t>
            </w:r>
            <w:r w:rsidR="00B25112" w:rsidRPr="001B1F61">
              <w:rPr>
                <w:iCs/>
                <w:szCs w:val="24"/>
                <w:lang w:eastAsia="ru-RU"/>
              </w:rPr>
              <w:t> </w:t>
            </w:r>
            <w:r w:rsidR="00F01374" w:rsidRPr="001B1F61">
              <w:rPr>
                <w:iCs/>
                <w:szCs w:val="24"/>
                <w:lang w:eastAsia="ru-RU"/>
              </w:rPr>
              <w:t>000</w:t>
            </w:r>
            <w:r w:rsidR="00B25112" w:rsidRPr="001B1F61">
              <w:rPr>
                <w:iCs/>
                <w:szCs w:val="24"/>
                <w:lang w:eastAsia="ru-RU"/>
              </w:rPr>
              <w:t xml:space="preserve"> копий</w:t>
            </w:r>
          </w:p>
        </w:tc>
      </w:tr>
    </w:tbl>
    <w:p w14:paraId="406D0CC4" w14:textId="42F536D2" w:rsidR="000C7098" w:rsidRDefault="000C7098" w:rsidP="00351AF0">
      <w:pPr>
        <w:spacing w:line="288" w:lineRule="auto"/>
        <w:rPr>
          <w:iCs/>
          <w:sz w:val="22"/>
          <w:lang w:eastAsia="ru-RU"/>
        </w:rPr>
      </w:pPr>
    </w:p>
    <w:p w14:paraId="2F50C9AF" w14:textId="77777777" w:rsidR="00DF32E4" w:rsidRPr="00062B4F" w:rsidRDefault="00DF32E4" w:rsidP="00DF32E4">
      <w:pPr>
        <w:rPr>
          <w:szCs w:val="24"/>
        </w:rPr>
      </w:pPr>
      <w:r w:rsidRPr="00062B4F">
        <w:rPr>
          <w:szCs w:val="24"/>
        </w:rPr>
        <w:t>Следует учесть, что у пациента могут быть нестандартные проявления болезни, а</w:t>
      </w:r>
      <w:r>
        <w:rPr>
          <w:szCs w:val="24"/>
        </w:rPr>
        <w:t xml:space="preserve"> </w:t>
      </w:r>
      <w:r w:rsidRPr="00062B4F">
        <w:rPr>
          <w:szCs w:val="24"/>
        </w:rPr>
        <w:t>также сочетание конкретной болезни с другими патологиями, что может диктовать лечащему врачу изменения в алгоритме выбора оптимальной тактики диагностики и</w:t>
      </w:r>
      <w:r>
        <w:rPr>
          <w:szCs w:val="24"/>
        </w:rPr>
        <w:t xml:space="preserve"> </w:t>
      </w:r>
      <w:r w:rsidRPr="00062B4F">
        <w:rPr>
          <w:szCs w:val="24"/>
        </w:rPr>
        <w:t>лечения.</w:t>
      </w:r>
    </w:p>
    <w:p w14:paraId="328F8A54" w14:textId="5733C2D0" w:rsidR="000C7098" w:rsidRPr="00062B4F" w:rsidRDefault="000C7098" w:rsidP="00065DED">
      <w:pPr>
        <w:pStyle w:val="20"/>
        <w:rPr>
          <w:u w:val="none"/>
        </w:rPr>
      </w:pPr>
      <w:bookmarkStart w:id="23" w:name="_Toc86133403"/>
      <w:r w:rsidRPr="00062B4F">
        <w:rPr>
          <w:u w:val="none"/>
        </w:rPr>
        <w:t>3.1. Лекарственное лечение</w:t>
      </w:r>
      <w:bookmarkEnd w:id="23"/>
    </w:p>
    <w:p w14:paraId="47BA8B29" w14:textId="77777777" w:rsidR="000C7098" w:rsidRPr="00062B4F" w:rsidRDefault="000C7098" w:rsidP="00065DED">
      <w:pPr>
        <w:pStyle w:val="3"/>
        <w:rPr>
          <w:rFonts w:ascii="Times New Roman" w:hAnsi="Times New Roman"/>
          <w:b/>
          <w:iCs/>
          <w:color w:val="auto"/>
        </w:rPr>
      </w:pPr>
      <w:bookmarkStart w:id="24" w:name="_Toc86133404"/>
      <w:r w:rsidRPr="00062B4F">
        <w:rPr>
          <w:rFonts w:ascii="Times New Roman" w:hAnsi="Times New Roman"/>
          <w:b/>
          <w:iCs/>
          <w:color w:val="auto"/>
        </w:rPr>
        <w:t>3.1.1. Препараты для терапии ХМЛ и режим дозирования</w:t>
      </w:r>
      <w:bookmarkEnd w:id="24"/>
    </w:p>
    <w:p w14:paraId="5A798B25" w14:textId="04FA8621" w:rsidR="000C7098" w:rsidRPr="00062B4F" w:rsidRDefault="000C7098" w:rsidP="009D2E3F">
      <w:pPr>
        <w:ind w:firstLine="708"/>
        <w:rPr>
          <w:iCs/>
          <w:szCs w:val="24"/>
          <w:lang w:eastAsia="ru-RU"/>
        </w:rPr>
      </w:pPr>
      <w:r w:rsidRPr="00062B4F">
        <w:rPr>
          <w:iCs/>
          <w:szCs w:val="24"/>
          <w:lang w:eastAsia="ru-RU"/>
        </w:rPr>
        <w:t xml:space="preserve">В Российской Федерации для лечения ХМЛ в настоящее время зарегистрированы ИТК первого поколения (ИТК1) </w:t>
      </w:r>
      <w:proofErr w:type="spellStart"/>
      <w:r w:rsidRPr="00062B4F">
        <w:rPr>
          <w:iCs/>
          <w:szCs w:val="24"/>
          <w:lang w:eastAsia="ru-RU"/>
        </w:rPr>
        <w:t>иматиниб</w:t>
      </w:r>
      <w:proofErr w:type="spellEnd"/>
      <w:r w:rsidRPr="00062B4F">
        <w:rPr>
          <w:iCs/>
          <w:szCs w:val="24"/>
          <w:lang w:eastAsia="ru-RU"/>
        </w:rPr>
        <w:t>** и ИТК</w:t>
      </w:r>
      <w:r w:rsidR="00F72BC8">
        <w:rPr>
          <w:iCs/>
          <w:szCs w:val="24"/>
          <w:lang w:eastAsia="ru-RU"/>
        </w:rPr>
        <w:t xml:space="preserve"> второго поколения (ИТК</w:t>
      </w:r>
      <w:r w:rsidRPr="00062B4F">
        <w:rPr>
          <w:iCs/>
          <w:szCs w:val="24"/>
          <w:lang w:eastAsia="ru-RU"/>
        </w:rPr>
        <w:t>2</w:t>
      </w:r>
      <w:r w:rsidR="00F72BC8">
        <w:rPr>
          <w:iCs/>
          <w:szCs w:val="24"/>
          <w:lang w:eastAsia="ru-RU"/>
        </w:rPr>
        <w:t>)</w:t>
      </w:r>
      <w:r w:rsidRPr="00062B4F">
        <w:rPr>
          <w:iCs/>
          <w:szCs w:val="24"/>
          <w:lang w:eastAsia="ru-RU"/>
        </w:rPr>
        <w:t xml:space="preserve"> </w:t>
      </w:r>
      <w:proofErr w:type="spellStart"/>
      <w:r w:rsidRPr="00062B4F">
        <w:rPr>
          <w:iCs/>
          <w:szCs w:val="24"/>
          <w:lang w:eastAsia="ru-RU"/>
        </w:rPr>
        <w:t>нилотиниб</w:t>
      </w:r>
      <w:proofErr w:type="spellEnd"/>
      <w:r w:rsidRPr="00062B4F">
        <w:rPr>
          <w:iCs/>
          <w:szCs w:val="24"/>
          <w:lang w:eastAsia="ru-RU"/>
        </w:rPr>
        <w:t xml:space="preserve">**, </w:t>
      </w:r>
      <w:proofErr w:type="spellStart"/>
      <w:r w:rsidRPr="00062B4F">
        <w:rPr>
          <w:iCs/>
          <w:szCs w:val="24"/>
          <w:lang w:eastAsia="ru-RU"/>
        </w:rPr>
        <w:t>дазатиниб</w:t>
      </w:r>
      <w:proofErr w:type="spellEnd"/>
      <w:r w:rsidRPr="00062B4F">
        <w:rPr>
          <w:iCs/>
          <w:szCs w:val="24"/>
          <w:lang w:eastAsia="ru-RU"/>
        </w:rPr>
        <w:t xml:space="preserve">**, </w:t>
      </w:r>
      <w:proofErr w:type="spellStart"/>
      <w:r w:rsidRPr="00062B4F">
        <w:rPr>
          <w:iCs/>
          <w:szCs w:val="24"/>
          <w:lang w:eastAsia="ru-RU"/>
        </w:rPr>
        <w:t>бозутиниб</w:t>
      </w:r>
      <w:proofErr w:type="spellEnd"/>
      <w:r w:rsidR="009B2E6C">
        <w:rPr>
          <w:iCs/>
          <w:szCs w:val="24"/>
          <w:lang w:eastAsia="ru-RU"/>
        </w:rPr>
        <w:t>**</w:t>
      </w:r>
      <w:r w:rsidRPr="00062B4F">
        <w:rPr>
          <w:iCs/>
          <w:szCs w:val="24"/>
          <w:lang w:eastAsia="ru-RU"/>
        </w:rPr>
        <w:t>.</w:t>
      </w:r>
      <w:r w:rsidR="00095194">
        <w:rPr>
          <w:iCs/>
          <w:szCs w:val="24"/>
          <w:lang w:eastAsia="ru-RU"/>
        </w:rPr>
        <w:t xml:space="preserve"> </w:t>
      </w:r>
      <w:r w:rsidR="00F72BC8">
        <w:rPr>
          <w:iCs/>
          <w:szCs w:val="24"/>
          <w:lang w:eastAsia="ru-RU"/>
        </w:rPr>
        <w:t xml:space="preserve">Все ИТК зарегистрированы для терапии в первой и последующих линиях терапии. </w:t>
      </w:r>
      <w:r w:rsidRPr="00062B4F">
        <w:rPr>
          <w:iCs/>
          <w:szCs w:val="24"/>
          <w:lang w:eastAsia="ru-RU"/>
        </w:rPr>
        <w:t xml:space="preserve"> Выбор ИТК выполняется с учетом сопутствующей патологии, мутационного статуса, фазы ХМЛ.</w:t>
      </w:r>
    </w:p>
    <w:p w14:paraId="03DBEFD3" w14:textId="77777777" w:rsidR="000C7098" w:rsidRPr="00062B4F" w:rsidRDefault="000C7098" w:rsidP="009D2E3F">
      <w:pPr>
        <w:ind w:firstLine="708"/>
        <w:rPr>
          <w:iCs/>
          <w:szCs w:val="24"/>
          <w:lang w:eastAsia="ru-RU"/>
        </w:rPr>
      </w:pPr>
    </w:p>
    <w:p w14:paraId="278C1BEA" w14:textId="77777777" w:rsidR="000C7098" w:rsidRPr="00062B4F" w:rsidRDefault="000C7098" w:rsidP="00324D0A">
      <w:pPr>
        <w:pStyle w:val="3"/>
        <w:rPr>
          <w:rFonts w:ascii="Times New Roman" w:hAnsi="Times New Roman"/>
          <w:b/>
          <w:iCs/>
          <w:color w:val="auto"/>
        </w:rPr>
      </w:pPr>
      <w:bookmarkStart w:id="25" w:name="_Toc86133405"/>
      <w:r w:rsidRPr="00062B4F">
        <w:rPr>
          <w:rFonts w:ascii="Times New Roman" w:hAnsi="Times New Roman"/>
          <w:b/>
          <w:iCs/>
          <w:color w:val="auto"/>
        </w:rPr>
        <w:t>3.1.2. Первая линия терапии ИТК пациентов с ХМЛ</w:t>
      </w:r>
      <w:bookmarkEnd w:id="25"/>
    </w:p>
    <w:p w14:paraId="4517A491" w14:textId="77777777" w:rsidR="000C7098" w:rsidRPr="00062B4F" w:rsidRDefault="000C7098" w:rsidP="00505FD7">
      <w:pPr>
        <w:numPr>
          <w:ilvl w:val="0"/>
          <w:numId w:val="9"/>
        </w:numPr>
        <w:rPr>
          <w:iCs/>
          <w:szCs w:val="24"/>
          <w:lang w:eastAsia="ru-RU"/>
        </w:rPr>
      </w:pPr>
      <w:r w:rsidRPr="00062B4F">
        <w:rPr>
          <w:b/>
          <w:bCs/>
          <w:iCs/>
          <w:szCs w:val="24"/>
          <w:lang w:eastAsia="ru-RU"/>
        </w:rPr>
        <w:t xml:space="preserve">Рекомендуется </w:t>
      </w:r>
      <w:r w:rsidRPr="00062B4F">
        <w:rPr>
          <w:bCs/>
          <w:iCs/>
          <w:szCs w:val="24"/>
          <w:lang w:eastAsia="ru-RU"/>
        </w:rPr>
        <w:t>всем</w:t>
      </w:r>
      <w:r w:rsidRPr="00062B4F">
        <w:rPr>
          <w:b/>
          <w:bCs/>
          <w:iCs/>
          <w:szCs w:val="24"/>
          <w:lang w:eastAsia="ru-RU"/>
        </w:rPr>
        <w:t xml:space="preserve"> </w:t>
      </w:r>
      <w:r w:rsidRPr="00062B4F">
        <w:rPr>
          <w:bCs/>
          <w:iCs/>
          <w:szCs w:val="24"/>
          <w:lang w:eastAsia="ru-RU"/>
        </w:rPr>
        <w:t xml:space="preserve">пациентам </w:t>
      </w:r>
      <w:r w:rsidRPr="00062B4F">
        <w:rPr>
          <w:iCs/>
          <w:szCs w:val="24"/>
          <w:lang w:eastAsia="ru-RU"/>
        </w:rPr>
        <w:t xml:space="preserve">в ХФ, ФА использование </w:t>
      </w:r>
      <w:proofErr w:type="spellStart"/>
      <w:r w:rsidRPr="00062B4F">
        <w:rPr>
          <w:iCs/>
          <w:szCs w:val="24"/>
          <w:lang w:eastAsia="ru-RU"/>
        </w:rPr>
        <w:t>иматиниба</w:t>
      </w:r>
      <w:proofErr w:type="spellEnd"/>
      <w:r w:rsidRPr="00062B4F">
        <w:rPr>
          <w:iCs/>
          <w:szCs w:val="24"/>
          <w:lang w:eastAsia="ru-RU"/>
        </w:rPr>
        <w:t xml:space="preserve">** как препарата 1 линии для терапии ХМЛ в режиме </w:t>
      </w:r>
      <w:proofErr w:type="spellStart"/>
      <w:r w:rsidRPr="00062B4F">
        <w:rPr>
          <w:iCs/>
          <w:szCs w:val="24"/>
          <w:lang w:eastAsia="ru-RU"/>
        </w:rPr>
        <w:t>монотерапии</w:t>
      </w:r>
      <w:proofErr w:type="spellEnd"/>
      <w:r w:rsidRPr="00062B4F">
        <w:rPr>
          <w:iCs/>
          <w:szCs w:val="24"/>
          <w:lang w:eastAsia="ru-RU"/>
        </w:rPr>
        <w:t xml:space="preserve"> и в</w:t>
      </w:r>
      <w:r w:rsidR="0021232C" w:rsidRPr="00062B4F">
        <w:rPr>
          <w:iCs/>
          <w:szCs w:val="24"/>
          <w:lang w:eastAsia="ru-RU"/>
        </w:rPr>
        <w:t>сем пациентам в БК как препарат</w:t>
      </w:r>
      <w:r w:rsidR="00986580" w:rsidRPr="00062B4F">
        <w:rPr>
          <w:iCs/>
          <w:szCs w:val="24"/>
          <w:lang w:eastAsia="ru-RU"/>
        </w:rPr>
        <w:t>а</w:t>
      </w:r>
      <w:r w:rsidRPr="00062B4F">
        <w:rPr>
          <w:iCs/>
          <w:szCs w:val="24"/>
          <w:lang w:eastAsia="ru-RU"/>
        </w:rPr>
        <w:t xml:space="preserve"> 1 линии в режиме </w:t>
      </w:r>
      <w:proofErr w:type="spellStart"/>
      <w:r w:rsidRPr="00062B4F">
        <w:rPr>
          <w:iCs/>
          <w:szCs w:val="24"/>
          <w:lang w:eastAsia="ru-RU"/>
        </w:rPr>
        <w:t>монотерапии</w:t>
      </w:r>
      <w:proofErr w:type="spellEnd"/>
      <w:r w:rsidRPr="00062B4F">
        <w:rPr>
          <w:iCs/>
          <w:szCs w:val="24"/>
          <w:lang w:eastAsia="ru-RU"/>
        </w:rPr>
        <w:t xml:space="preserve"> и в комбинации с другими химиотерапевтическими препаратами</w:t>
      </w:r>
      <w:r w:rsidR="00261F17" w:rsidRPr="00062B4F">
        <w:rPr>
          <w:iCs/>
          <w:szCs w:val="24"/>
          <w:lang w:eastAsia="ru-RU"/>
        </w:rPr>
        <w:t xml:space="preserve"> </w:t>
      </w:r>
      <w:r w:rsidR="00817AE4" w:rsidRPr="00062B4F">
        <w:rPr>
          <w:iCs/>
          <w:szCs w:val="24"/>
          <w:lang w:eastAsia="ru-RU"/>
        </w:rPr>
        <w:fldChar w:fldCharType="begin" w:fldLock="1"/>
      </w:r>
      <w:r w:rsidR="00817AE4" w:rsidRPr="00062B4F">
        <w:rPr>
          <w:iCs/>
          <w:szCs w:val="24"/>
          <w:lang w:eastAsia="ru-RU"/>
        </w:rPr>
        <w:instrText>ADDIN CSL_CITATION {"citationItems":[{"id":"ITEM-1","itemData":{"DOI":"10.1007/s00432-017-2385-7","ISSN":"14321335","abstract":"Purpose: Most randomized clinical trials evaluating second generation tyrosine kinase inhibitors (TKI) for the first-line treatment of Chronic Myeloid Leukemia used as comparator the ‘standard’ dose of 400 mg imatinib daily. Several studies showed higher rates of major molecular remission (MMR) at 12 months with 800 mg compared to 400 mg, suggesting that high-dose imatinib may be the appropriate comparator rather than 400 mg. Methods: We systematically reviewed randomized trials comparing the two dosages, calculated a common estimator and compared the result to a common estimator of trials evaluating a second generation TKI in comparison with 400 mg imatinib daily. Results: We identified three trials comparing 400–800 mg imatinib resulting in a common relative risk of 1.30 (1.13–1.49) and indicating a significantly higher rate of MMR in patients treated with 800 mg imatinib (p = 0.0003). We identified five trials comparing 400 mg imatinib daily to a second generation TKI. The common relative risk for MMR at 12 months was 1.69 (1.50–1.90, p &lt; 0.0001). Differences in the prognostic profiles precluded a direct comparison of the common efficacy estimates. Conclusions: We conclude that imatinib was probably not licensed at the optimal dose initially. We suggest that in the future, new TKIs are compared with a higher dose of imatinib. In addition, high-dose imatinib should be considered more often for routine clinical decisions based on the characteristics of the individual patient.","author":[{"dropping-particle":"","family":"Hoffmann","given":"Verena S.","non-dropping-particle":"","parse-names":false,"suffix":""},{"dropping-particle":"","family":"Hasford","given":"Joerg","non-dropping-particle":"","parse-names":false,"suffix":""},{"dropping-particle":"","family":"Deininger","given":"Michael","non-dropping-particle":"","parse-names":false,"suffix":""},{"dropping-particle":"","family":"Cortes","given":"Jorge","non-dropping-particle":"","parse-names":false,"suffix":""},{"dropping-particle":"","family":"Baccarani","given":"Michele","non-dropping-particle":"","parse-names":false,"suffix":""},{"dropping-particle":"","family":"Hehlmann","given":"Rüdiger","non-dropping-particle":"","parse-names":false,"suffix":""}],"container-title":"Journal of Cancer Research and Clinical Oncology","id":"ITEM-1","issue":"7","issued":{"date-parts":[["2017","7","1"]]},"page":"1311-1318","publisher":"Springer Verlag","title":"Systematic review and meta-analysis of standard-dose imatinib vs. high-dose imatinib and second generation tyrosine kinase inhibitors for chronic myeloid leukemia","type":"article-journal","volume":"143"},"uris":["http://www.mendeley.com/documents/?uuid=8a66665a-96a9-3741-938b-d2949a4dc4c9"]},{"id":"ITEM-2","itemData":{"DOI":"10.1056/NEJMoa1609324","ISSN":"0028-4793","PMID":"28273028","abstract":"BACKGROUND Imatinib, a selective BCR-ABL1 kinase inhibitor, improved the prognosis for patients with chronic myeloid leukemia (CML). We conducted efficacy and safety analyses on the basis of more than 10 years of follow-up in patients with CML who were treated with imatinib as initial therapy. METHODS In this open-label, multicenter trial with crossover design, we randomly assigned patients with newly diagnosed CML in the chronic phase to receive either imatinib or interferon alfa plus cytarabine. Long-term analyses included overall survival, response to treatment, and serious adverse events. RESULTS The median follow-up was 10.9 years. Given the high rate of crossover among patients who had been randomly assigned to receive interferon alfa plus cytarabine (65.6%) and the short duration of therapy before crossover in these patients (median, 0.8 years), the current analyses focused on patients who had been randomly assigned to receive imatinib. Among the patients in the imatinib group, the estimated overall survival rate at 10 years was 83.3%. Approximately half the patients (48.3%) who had been randomly assigned to imatinib completed study treatment with imatinib, and 82.8% had a complete cytogenetic response. Serious adverse events that were considered by the investigators to be related to imatinib were uncommon and most frequently occurred during the first year of treatment. CONCLUSIONS Almost 11 years of follow-up showed that the efficacy of imatinib persisted over time and that long-term administration of imatinib was not associated with unacceptable cumulative or late toxic effects. (Funded by Novartis Pharmaceuticals; IRIS ClinicalTrials.gov numbers, NCT00006343 and NCT00333840 .).","author":[{"dropping-particle":"","family":"Hochhaus","given":"Andreas","non-dropping-particle":"","parse-names":false,"suffix":""},{"dropping-particle":"","family":"Larson","given":"Richard A.","non-dropping-particle":"","parse-names":false,"suffix":""},{"dropping-particle":"","family":"Guilhot","given":"François","non-dropping-particle":"","parse-names":false,"suffix":""},{"dropping-particle":"","family":"Radich","given":"Jerald P.","non-dropping-particle":"","parse-names":false,"suffix":""},{"dropping-particle":"","family":"Branford","given":"Susan","non-dropping-particle":"","parse-names":false,"suffix":""},{"dropping-particle":"","family":"Hughes","given":"Timothy P.","non-dropping-particle":"","parse-names":false,"suffix":""},{"dropping-particle":"","family":"Baccarani","given":"Michele","non-dropping-particle":"","parse-names":false,"suffix":""},{"dropping-particle":"","family":"Deininger","given":"Michael W.","non-dropping-particle":"","parse-names":false,"suffix":""},{"dropping-particle":"","family":"Cervantes","given":"Francisco","non-dropping-particle":"","parse-names":false,"suffix":""},{"dropping-particle":"","family":"Fujihara","given":"Satoko","non-dropping-particle":"","parse-names":false,"suffix":""},{"dropping-particle":"","family":"Ortmann","given":"Christine-Elke","non-dropping-particle":"","parse-names":false,"suffix":""},{"dropping-particle":"","family":"Menssen","given":"Hans D.","non-dropping-particle":"","parse-names":false,"suffix":""},{"dropping-particle":"","family":"Kantarjian","given":"Hagop","non-dropping-particle":"","parse-names":false,"suffix":""},{"dropping-particle":"","family":"O’Brien","given":"Stephen G.","non-dropping-particle":"","parse-names":false,"suffix":""},{"dropping-particle":"","family":"Druker","given":"Brian J.","non-dropping-particle":"","parse-names":false,"suffix":""},{"dropping-particle":"","family":"IRIS Investigators","given":"","non-dropping-particle":"","parse-names":false,"suffix":""}],"container-title":"New England Journal of Medicine","id":"ITEM-2","issue":"10","issued":{"date-parts":[["2017","3"]]},"page":"917-927","title":"Long-Term Outcomes of Imatinib Treatment for Chronic Myeloid Leukemia","type":"article-journal","volume":"376"},"uris":["http://www.mendeley.com/documents/?uuid=a972a18f-ad26-485e-a2e9-11932c643c3b"]},{"id":"ITEM-3","itemData":{"DOI":"10.1182/blood.V99.6.1928","ISSN":"00064971","PMID":"11877262","abstract":"Chronic myelogenous leukemia (CML) is caused by expression of the BCR-ABL tyrosine kinase oncogene, the product of the t(9;22) Philadelphia translocation. Patients with CML in accelerated phase have rapidly progressive disease and are characteristically unresponsive to existing therapies. Imatinib (formerly STI571) is a rationally developed, orally administered inhibitor of the Bcr-Abl kinase. A total of 235 CML patients were enrolled in this study, of whom 181 had a confirmed diagnosis of accelerated phase. Patients were treated with imatinib at 400 or 600 mg/d and were evaluated for hematologic and cytogenetic response, time to progression, survival, and toxicity. Imatinib induced hematologic response in 82% of patients and sustained hematologic responses lasting at least 4 weeks in 69% (complete in 34%). The rate of major cytogenetic response was 24% (complete in 17%). Estimated 12-month progression-free and overall survival rates were 59% and 74%, respectively. Nonhematologic toxicity was usually mild or moderate, and hematologic toxicity was manageable. In comparison to 400 mg, imatinib doses of 600 mg/d led to more cytogenetic responses (28% compared to 16%), longer duration of response (79% compared to 57% at 12 months), time to disease progression (67% compared to 44% at 12 months), and overall survival (78% compared to 65% at 12 months), with no clinically relevant increase in toxicity. Orally administered imatinib is an effective and well-tolerated treatment for patients with CML in accelerated phase. A daily dose of 600 mg is more effective than 400 mg, with similar toxicity. © 2002 by The American Society of Hematology.","author":[{"dropping-particle":"","family":"Talpaz","given":"Moshe","non-dropping-particle":"","parse-names":false,"suffix":""},{"dropping-particle":"","family":"Silver","given":"Richard T.","non-dropping-particle":"","parse-names":false,"suffix":""},{"dropping-particle":"","family":"Druker","given":"Brian J.","non-dropping-particle":"","parse-names":false,"suffix":""},{"dropping-particle":"","family":"Goldman","given":"John M.","non-dropping-particle":"","parse-names":false,"suffix":""},{"dropping-particle":"","family":"Gambacorti-Passerini","given":"Carlo","non-dropping-particle":"","parse-names":false,"suffix":""},{"dropping-particle":"","family":"Guilhot","given":"Francois","non-dropping-particle":"","parse-names":false,"suffix":""},{"dropping-particle":"","family":"Schiffer","given":"Charles A.","non-dropping-particle":"","parse-names":false,"suffix":""},{"dropping-particle":"","family":"Fischer","given":"Thomas","non-dropping-particle":"","parse-names":false,"suffix":""},{"dropping-particle":"","family":"Deininger","given":"Michael W.N.","non-dropping-particle":"","parse-names":false,"suffix":""},{"dropping-particle":"","family":"Lennard","given":"Anne L.","non-dropping-particle":"","parse-names":false,"suffix":""},{"dropping-particle":"","family":"Hochhaus","given":"Andreas","non-dropping-particle":"","parse-names":false,"suffix":""},{"dropping-particle":"","family":"Ottmann","given":"Oliver G.","non-dropping-particle":"","parse-names":false,"suffix":""},{"dropping-particle":"","family":"Gratwohl","given":"Alois","non-dropping-particle":"","parse-names":false,"suffix":""},{"dropping-particle":"","family":"Baccarani","given":"Michele","non-dropping-particle":"","parse-names":false,"suffix":""},{"dropping-particle":"","family":"Stone","given":"Richard","non-dropping-particle":"","parse-names":false,"suffix":""},{"dropping-particle":"","family":"Tura","given":"Sante","non-dropping-particle":"","parse-names":false,"suffix":""},{"dropping-particle":"","family":"Mahon","given":"Francois Xavier","non-dropping-particle":"","parse-names":false,"suffix":""},{"dropping-particle":"","family":"Fernandes-Reese","given":"Sofia","non-dropping-particle":"","parse-names":false,"suffix":""},{"dropping-particle":"","family":"Gathmann","given":"Insa","non-dropping-particle":"","parse-names":false,"suffix":""},{"dropping-particle":"","family":"Capdeville","given":"Renaud","non-dropping-particle":"","parse-names":false,"suffix":""},{"dropping-particle":"","family":"Kantarjian","given":"Hagop M.","non-dropping-particle":"","parse-names":false,"suffix":""},{"dropping-particle":"","family":"Sawyers","given":"Charles L.","non-dropping-particle":"","parse-names":false,"suffix":""}],"container-title":"Blood","id":"ITEM-3","issue":"6","issued":{"date-parts":[["2002","3","15"]]},"page":"1928-1937","title":"Imatinib induces durable hematologic and cytogenetic responses in patients with accelerated phase chronic myeloid leukemia: Results of a phase 2 study","type":"article-journal","volume":"99"},"uris":["http://www.mendeley.com/documents/?uuid=a987bddc-d316-3126-a260-7b0a147cf309"]},{"id":"ITEM-4","itemData":{"DOI":"10.1182/blood.v99.10.3547","ISSN":"0006-4971","PMID":"11986206","abstract":"Molecular abnormalities caused by the hybrid Bcr-Abl gene are causally associated with the development and progression of Philadelphia chromosome-positive (Ph(+)) chronic myelogenous leukemia (CML). Imatinib mesylate (STI571), a specific Bcr-Abl tyrosine-kinase signal-transduction inhibitor, has shown encouraging activity in phase I and II studies of CML. Here, we describe the use of imatinib mesylate to treat 75 patients in blast-phase CML (median age, 53 years; 65 with nonlymphoid and 10 with lymphoid blasts), and compare the results with those of a historical control group treated with standard cytarabine-based therapy. Imatinib mesylate was given as oral doses at 300 to 1000 mg per day and was the first salvage therapy for 47 patients. The objective response rate was 52% (39 of 75 patients: 16 had complete and 3 had partial hematologic response; 12 had hematologic improvement; 7 returned to second chronic phase; and 1 had a complete response in extramedullary blastic disease). Response rates were not different between nonlymphoid and lymphoid groups. The cytogenetic response rate was 16% (12 patients: 5 complete, 3 partial [Ph(+) below 35%], and 4 minor [Ph(+), 34% to 90%]). The estimated median overall survival was 6.5 months; the estimated 1-year survival was 22%. Response to therapy (landmark analysis at 8 weeks) was associated with survival prolongation. Compared with standard cytarabine combinations, imatinib mesylate therapy was less toxic and produced a higher response rate (55% versus 29%, P =.001), longer median survival (7 versus 4 months, P =.04), and lower 4-week induction mortality (4% versus 15%, P =.07). Imatinib mesylate is currently being tested in combination with other drugs to improve the prognosis for blast-phase CML.","author":[{"dropping-particle":"","family":"Kantarjian","given":"Hagop M","non-dropping-particle":"","parse-names":false,"suffix":""},{"dropping-particle":"","family":"Cortes","given":"Jorge","non-dropping-particle":"","parse-names":false,"suffix":""},{"dropping-particle":"","family":"O'Brien","given":"Susan","non-dropping-particle":"","parse-names":false,"suffix":""},{"dropping-particle":"","family":"Giles","given":"Francis J","non-dropping-particle":"","parse-names":false,"suffix":""},{"dropping-particle":"","family":"Albitar","given":"Maher","non-dropping-particle":"","parse-names":false,"suffix":""},{"dropping-particle":"","family":"Rios","given":"Mary Beth","non-dropping-particle":"","parse-names":false,"suffix":""},{"dropping-particle":"","family":"Shan","given":"Jianqin","non-dropping-particle":"","parse-names":false,"suffix":""},{"dropping-particle":"","family":"Faderl","given":"Stefan","non-dropping-particle":"","parse-names":false,"suffix":""},{"dropping-particle":"","family":"Garcia-Manero","given":"Guillermo","non-dropping-particle":"","parse-names":false,"suffix":""},{"dropping-particle":"","family":"Thomas","given":"Deborah A","non-dropping-particle":"","parse-names":false,"suffix":""},{"dropping-particle":"","family":"Resta","given":"Debra","non-dropping-particle":"","parse-names":false,"suffix":""},{"dropping-particle":"","family":"Talpaz","given":"Moshe","non-dropping-particle":"","parse-names":false,"suffix":""}],"container-title":"Blood","id":"ITEM-4","issue":"10","issued":{"date-parts":[["2002","5","15"]]},"page":"3547-53","title":"Imatinib mesylate (STI571) therapy for Philadelphia chromosome-positive chronic myelogenous leukemia in blast phase.","type":"article-journal","volume":"99"},"uris":["http://www.mendeley.com/documents/?uuid=7b2eb6d5-5147-3536-b08f-db012d294525"]},{"id":"ITEM-5","itemData":{"DOI":"10.1182/blood.v99.10.3530","ISSN":"0006-4971","PMID":"11986204","abstract":"Blast crisis is the most advanced stage of chronic myelogenous leukemia (CML) and is highly refractory to therapy. CML is caused by expression of the chimeric BCR-ABL tyrosine kinase oncogene, the product of the t(9;22) Philadelphia translocation. Imatinib (Glivec, formerly STI571) is a rationally developed, orally administered inhibitor of the Bcr-Abl tyrosine kinase. A total of 260 patients with CML were enrolled in a phase II trial, of whom 229 had a confirmed diagnosis of CML in blast crisis. Patients were treated with imatinib in daily oral doses of 400 mg or 600 mg. Imatinib induced hematologic responses in 52% of patients and sustained hematologic responses lasting at least 4 weeks in 31% of patients, including complete hematologic responses in 8%. For patients with a sustained response, the estimated median response duration was 10 months. Imatinib induced major cytogenetic responses in 16% of patients, with 7% of the responses being complete. Median survival time was 6.9 months. Nonhematologic adverse reactions were frequent but generally mild or moderate. Episodes of severe cytopenia were also frequent and were attributable to the underlying condition and treatment with imatinib. Drug-related adverse events led to discontinuation of therapy in 5% of patients, most often because of cytopenia, skin disorders, or gastrointestinal reactions. These results demonstrate that imatinib has substantial activity and a favorable safety profile when used as a single agent in patients with CML in blast crisis. Additional clinical studies are warranted to explore the efficacy and feasibility of imatinib used in combination with other antileukemic drugs.","author":[{"dropping-particle":"","family":"Sawyers","given":"Charles L","non-dropping-particle":"","parse-names":false,"suffix":""},{"dropping-particle":"","family":"Hochhaus","given":"Andreas","non-dropping-particle":"","parse-names":false,"suffix":""},{"dropping-particle":"","family":"Feldman","given":"Eric","non-dropping-particle":"","parse-names":false,"suffix":""},{"dropping-particle":"","family":"Goldman","given":"John M","non-dropping-particle":"","parse-names":false,"suffix":""},{"dropping-particle":"","family":"Miller","given":"Carole B","non-dropping-particle":"","parse-names":false,"suffix":""},{"dropping-particle":"","family":"Ottmann","given":"Oliver G","non-dropping-particle":"","parse-names":false,"suffix":""},{"dropping-particle":"","family":"Schiffer","given":"Charles A","non-dropping-particle":"","parse-names":false,"suffix":""},{"dropping-particle":"","family":"Talpaz","given":"Moshe","non-dropping-particle":"","parse-names":false,"suffix":""},{"dropping-particle":"","family":"Guilhot","given":"Francois","non-dropping-particle":"","parse-names":false,"suffix":""},{"dropping-particle":"","family":"Deininger","given":"Michael W N","non-dropping-particle":"","parse-names":false,"suffix":""},{"dropping-particle":"","family":"Fischer","given":"Thomas","non-dropping-particle":"","parse-names":false,"suffix":""},{"dropping-particle":"","family":"O'Brien","given":"Steve G","non-dropping-particle":"","parse-names":false,"suffix":""},{"dropping-particle":"","family":"Stone","given":"Richard M","non-dropping-particle":"","parse-names":false,"suffix":""},{"dropping-particle":"","family":"Gambacorti-Passerini","given":"Carlo B","non-dropping-particle":"","parse-names":false,"suffix":""},{"dropping-particle":"","family":"Russell","given":"Nigel H","non-dropping-particle":"","parse-names":false,"suffix":""},{"dropping-particle":"","family":"Reiffers","given":"Jose J","non-dropping-particle":"","parse-names":false,"suffix":""},{"dropping-particle":"","family":"Shea","given":"Thomas C","non-dropping-particle":"","parse-names":false,"suffix":""},{"dropping-particle":"","family":"Chapuis","given":"Bernard","non-dropping-particle":"","parse-names":false,"suffix":""},{"dropping-particle":"","family":"Coutre","given":"Steven","non-dropping-particle":"","parse-names":false,"suffix":""},{"dropping-particle":"","family":"Tura","given":"Sante","non-dropping-particle":"","parse-names":false,"suffix":""},{"dropping-particle":"","family":"Morra","given":"Enrica","non-dropping-particle":"","parse-names":false,"suffix":""},{"dropping-particle":"","family":"Larson","given":"Richard A","non-dropping-particle":"","parse-names":false,"suffix":""},{"dropping-particle":"","family":"Saven","given":"Alan","non-dropping-particle":"","parse-names":false,"suffix":""},{"dropping-particle":"","family":"Peschel","given":"Christian","non-dropping-particle":"","parse-names":false,"suffix":""},{"dropping-particle":"","family":"Gratwohl","given":"Alois","non-dropping-particle":"","parse-names":false,"suffix":""},{"dropping-particle":"","family":"Mandelli","given":"Franco","non-dropping-particle":"","parse-names":false,"suffix":""},{"dropping-particle":"","family":"Ben-Am","given":"Monique","non-dropping-particle":"","parse-names":false,"suffix":""},{"dropping-particle":"","family":"Gathmann","given":"Insa","non-dropping-particle":"","parse-names":false,"suffix":""},{"dropping-particle":"","family":"Capdeville","given":"Renaud","non-dropping-particle":"","parse-names":false,"suffix":""},{"dropping-particle":"","family":"Paquette","given":"Ronald L","non-dropping-particle":"","parse-names":false,"suffix":""},{"dropping-particle":"","family":"Druker","given":"Brian J","non-dropping-particle":"","parse-names":false,"suffix":""}],"container-title":"Blood","id":"ITEM-5","issue":"10","issued":{"date-parts":[["2002","5","15"]]},"page":"3530-9","title":"Imatinib induces hematologic and cytogenetic responses in patients with chronic myelogenous leukemia in myeloid blast crisis: results of a phase II study.","type":"article-journal","volume":"99"},"uris":["http://www.mendeley.com/documents/?uuid=37a4c516-f3d0-3907-8548-191d0d0fadb4"]},{"id":"ITEM-6","itemData":{"DOI":"10.3324/haematol.13529","ISSN":"03906078","abstract":"Background: Imatinib mesylate is the first line treatment for chronic myeloid leukemia. The advent of imatinib increased survival significantly in patients in an advanced phase of the disease. However, few long-term data on the outcome of these patients based on large, prospective and controlled trials are available. Design and Methods: A phase 2 multicenter trial of the use of imatinib 600 mg/daily in patients with accelerated phase chronic myeloid leukemia was sponsored and promoted by the Italian Cooperative Study Group on Chronic Myeloid Leukemia in 2001. Results: One hundred and eleven patients were enrolled; the median follow-up of the 41 living patients is 82 months (range, 73-87). One hundred and seven patients (96%) returned to chronic phase and 79 patients (71%) achieved a complete hematologic response. Cumulative best rates of major cytogenetic response and complete cytogenetic response were 30% and 21%, respectively. All responses were maintained for a minimum of 4 weeks. At last follow-up, four patients were alive in complete remission after allogeneic transplant, 16 patients (14%) had switched to a second generation tyrosine kinase inhibitor and 21 patients (19%) were alive on imatinib therapy. No late toxicities were observed. Progression-free survival and event-free survival rates were 36.5% and 15%, respectively, at 7 years. The median survival time was 37 months, and was significantly associated with the achievement of a complete hematologic response or a complete cytogenetic response. Conclusions: Imatinib may induce durable responses, associated with prolonged survival, in patients with accelerated phase chronic myeloid leukemia (clinicaltrials.gov identifier: NCT00514969). ©2009 Ferrata Storti Foundation.","author":[{"dropping-particle":"","family":"Palandri","given":"Francesca","non-dropping-particle":"","parse-names":false,"suffix":""},{"dropping-particle":"","family":"Castagnetti","given":"Fausto","non-dropping-particle":"","parse-names":false,"suffix":""},{"dropping-particle":"","family":"Alimena","given":"Giuliana","non-dropping-particle":"","parse-names":false,"suffix":""},{"dropping-particle":"","family":"Testoni","given":"Nicoletta","non-dropping-particle":"","parse-names":false,"suffix":""},{"dropping-particle":"","family":"Breccia","given":"Massimo","non-dropping-particle":"","parse-names":false,"suffix":""},{"dropping-particle":"","family":"Luatti","given":"Simona","non-dropping-particle":"","parse-names":false,"suffix":""},{"dropping-particle":"","family":"Rege-Cambrin","given":"Giovanna","non-dropping-particle":"","parse-names":false,"suffix":""},{"dropping-particle":"","family":"Stagno","given":"Fabio","non-dropping-particle":"","parse-names":false,"suffix":""},{"dropping-particle":"","family":"Specchia","given":"Giorgina","non-dropping-particle":"","parse-names":false,"suffix":""},{"dropping-particle":"","family":"Martino","given":"Bruno","non-dropping-particle":"","parse-names":false,"suffix":""},{"dropping-particle":"","family":"Levato","given":"Luciano","non-dropping-particle":"","parse-names":false,"suffix":""},{"dropping-particle":"","family":"Merante","given":"Serena","non-dropping-particle":"","parse-names":false,"suffix":""},{"dropping-particle":"","family":"Liberati","given":"Anna Maria","non-dropping-particle":"","parse-names":false,"suffix":""},{"dropping-particle":"","family":"Pane","given":"Fabrizio","non-dropping-particle":"","parse-names":false,"suffix":""},{"dropping-particle":"","family":"Saglio","given":"Giuseppe","non-dropping-particle":"","parse-names":false,"suffix":""},{"dropping-particle":"","family":"Alberti","given":"Daniele","non-dropping-particle":"","parse-names":false,"suffix":""},{"dropping-particle":"","family":"Martinelli","given":"Giovanni","non-dropping-particle":"","parse-names":false,"suffix":""},{"dropping-particle":"","family":"Baccarani","given":"Michele","non-dropping-particle":"","parse-names":false,"suffix":""},{"dropping-particle":"","family":"Rosti","given":"Gianantonio","non-dropping-particle":"","parse-names":false,"suffix":""}],"container-title":"Haematologica","id":"ITEM-6","issue":"2","issued":{"date-parts":[["2009","2"]]},"page":"205-212","title":"The long-term durability of cytogenetic responses in patients with accelerated phase chronic myeloid leukemia treated with imatinib 600 mg: The GIMEMA CML Working Party experience after a 7-year follow-up","type":"article-journal","volume":"94"},"uris":["http://www.mendeley.com/documents/?uuid=5a545536-0bc5-3a97-90dc-a75131b61d63"]},{"id":"ITEM-7","itemData":{"DOI":"10.1056/NEJMoa022457","ISSN":"00284793","PMID":"12637609","abstract":"BACKGROUND: Imatinib, a selective inhibitor of the BCR-ABL tyrosine kinase, produces high response rates in patients with chronic-phase chronic myeloid leukemia (CML) who have had no response to interferon alfa. We compared the efficacy of imatinib with that of interferon alfa combined with low-dose cytarabine in newly diagnosed chronic-phase CML. METHODS: We randomly assigned 1106 patients to receive imatinib (553 patients) or interferon alfa plus low-dose cytarabine (553 patients). Crossover to the alternative group was allowed if stringent criteria defining treatment failure or intolerance were met. Patients were evaluated for hematologic and cytogenetic responses, toxic effects, and rates of progression. RESULTS After a median follow-up of 19 months, the estimated rate of a major cytogenetic response (0 to 35 percent of cells in metaphase positive for the Philadelphia chromosome) at 18 months was 87.1 percent (95 percent confidence interval, 84.1 to 90.0) in the imatinib group and 34.7 percent (95 percent confidence interval, 29.3 to 40.0) in the group given interferon alfa plus cytarabine (P&lt;0.001). The estimated rates of complete cytogenetic response were 76.2 percent (95 percent confidence interval, 72.5 to 79.9) and 14.5 percent (95 percent confidence interval, 10.5 to 18.5), respectively (P&lt;0.001). At 18 months, the estimated rate of freedom from progression to accelerated-phase or blast-crisis CML was 96.7 percent in the imatinib group and 91.5 percent in the combination-therapy group (P&lt;0.001). Imatinib was better tolerated than combination therapy. CONCLUSIONS: In terms of hematologic and cytogenetic responses, tolerability, and the likelihood of progression to accelerated-phase or blast-crisis CML, imatinib was superior to interferon alfa plus low-dose cytarabine as first-line therapy in newly diagnosed chronic-phase CML.","author":[{"dropping-particle":"","family":"O'Brien","given":"Stephen G.","non-dropping-particle":"","parse-names":false,"suffix":""},{"dropping-particle":"","family":"Guilhot","given":"François","non-dropping-particle":"","parse-names":false,"suffix":""},{"dropping-particle":"","family":"Larson","given":"Richard A.","non-dropping-particle":"","parse-names":false,"suffix":""},{"dropping-particle":"","family":"Gathmann","given":"Insa","non-dropping-particle":"","parse-names":false,"suffix":""},{"dropping-particle":"","family":"Baccarani","given":"Michele","non-dropping-particle":"","parse-names":false,"suffix":""},{"dropping-particle":"","family":"Cervantes","given":"Francisco","non-dropping-particle":"","parse-names":false,"suffix":""},{"dropping-particle":"","family":"Cornelissen","given":"Jan J.","non-dropping-particle":"","parse-names":false,"suffix":""},{"dropping-particle":"","family":"Fischer","given":"Thomas","non-dropping-particle":"","parse-names":false,"suffix":""},{"dropping-particle":"","family":"Hochhaus","given":"Andreas","non-dropping-particle":"","parse-names":false,"suffix":""},{"dropping-particle":"","family":"Hughes","given":"Timothy","non-dropping-particle":"","parse-names":false,"suffix":""},{"dropping-particle":"","family":"Lechner","given":"Klaus","non-dropping-particle":"","parse-names":false,"suffix":""},{"dropping-particle":"","family":"Nielsen","given":"Johan L.","non-dropping-particle":"","parse-names":false,"suffix":""},{"dropping-particle":"","family":"Rousselot","given":"Philippe","non-dropping-particle":"","parse-names":false,"suffix":""},{"dropping-particle":"","family":"Reiffers","given":"Josy","non-dropping-particle":"","parse-names":false,"suffix":""},{"dropping-particle":"","family":"Saglio","given":"Giuseppe","non-dropping-particle":"","parse-names":false,"suffix":""},{"dropping-particle":"","family":"Shepherd","given":"John","non-dropping-particle":"","parse-names":false,"suffix":""},{"dropping-particle":"","family":"Simonsson","given":"Bengt","non-dropping-particle":"","parse-names":false,"suffix":""},{"dropping-particle":"","family":"Gratwohl","given":"Alois","non-dropping-particle":"","parse-names":false,"suffix":""},{"dropping-particle":"","family":"Goldman","given":"John M.","non-dropping-particle":"","parse-names":false,"suffix":""},{"dropping-particle":"","family":"Kantarjian","given":"Hagop","non-dropping-particle":"","parse-names":false,"suffix":""},{"dropping-particle":"","family":"Taylor","given":"Kerry","non-dropping-particle":"","parse-names":false,"suffix":""},{"dropping-particle":"","family":"Verhoef","given":"Gregor","non-dropping-particle":"","parse-names":false,"suffix":""},{"dropping-particle":"","family":"Bolton","given":"Ann E.","non-dropping-particle":"","parse-names":false,"suffix":""},{"dropping-particle":"","family":"Capdeville","given":"Renaud","non-dropping-particle":"","parse-names":false,"suffix":""},{"dropping-particle":"","family":"Druker","given":"Brian J.","non-dropping-particle":"","parse-names":false,"suffix":""}],"container-title":"New England Journal of Medicine","id":"ITEM-7","issue":"11","issued":{"date-parts":[["2003","3","13"]]},"page":"994-1004","title":"Imatinib compared with interferon and low-dose cytarabine for newly diagnosed chronic-phase chronic myeloid leukemia","type":"article-journal","volume":"348"},"uris":["http://www.mendeley.com/documents/?uuid=dad0b541-9ebd-347e-a50c-82912ee2381f"]}],"mendeley":{"formattedCitation":"[18–24]","plainTextFormattedCitation":"[18–24]","previouslyFormattedCitation":"[18–24]"},"properties":{"noteIndex":0},"schema":"https://github.com/citation-style-language/schema/raw/master/csl-citation.json"}</w:instrText>
      </w:r>
      <w:r w:rsidR="00817AE4" w:rsidRPr="00062B4F">
        <w:rPr>
          <w:iCs/>
          <w:szCs w:val="24"/>
          <w:lang w:eastAsia="ru-RU"/>
        </w:rPr>
        <w:fldChar w:fldCharType="separate"/>
      </w:r>
      <w:r w:rsidR="00817AE4" w:rsidRPr="00062B4F">
        <w:rPr>
          <w:iCs/>
          <w:noProof/>
          <w:szCs w:val="24"/>
          <w:lang w:eastAsia="ru-RU"/>
        </w:rPr>
        <w:t>[18–24]</w:t>
      </w:r>
      <w:r w:rsidR="00817AE4" w:rsidRPr="00062B4F">
        <w:rPr>
          <w:iCs/>
          <w:szCs w:val="24"/>
          <w:lang w:eastAsia="ru-RU"/>
        </w:rPr>
        <w:fldChar w:fldCharType="end"/>
      </w:r>
      <w:r w:rsidRPr="00062B4F">
        <w:rPr>
          <w:iCs/>
          <w:szCs w:val="24"/>
          <w:lang w:eastAsia="ru-RU"/>
        </w:rPr>
        <w:t>.</w:t>
      </w:r>
    </w:p>
    <w:p w14:paraId="3711303C" w14:textId="77777777" w:rsidR="000C7098" w:rsidRPr="00062B4F" w:rsidRDefault="000C7098" w:rsidP="008E7654">
      <w:pPr>
        <w:ind w:left="709" w:firstLine="0"/>
        <w:rPr>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A</w:t>
      </w:r>
      <w:r w:rsidRPr="00062B4F">
        <w:rPr>
          <w:b/>
          <w:bCs/>
          <w:szCs w:val="24"/>
          <w:lang w:eastAsia="ru-RU"/>
        </w:rPr>
        <w:t xml:space="preserve"> </w:t>
      </w:r>
      <w:r w:rsidRPr="00062B4F">
        <w:rPr>
          <w:bCs/>
          <w:szCs w:val="24"/>
          <w:lang w:eastAsia="ru-RU"/>
        </w:rPr>
        <w:t>(уровень достоверности доказательств – 1)</w:t>
      </w:r>
      <w:r w:rsidRPr="00062B4F">
        <w:rPr>
          <w:szCs w:val="24"/>
          <w:lang w:eastAsia="ru-RU"/>
        </w:rPr>
        <w:t>.</w:t>
      </w:r>
    </w:p>
    <w:p w14:paraId="2974344E" w14:textId="3B9FFCEF" w:rsidR="000C7098" w:rsidRPr="00062B4F" w:rsidRDefault="000C7098" w:rsidP="009D2E3F">
      <w:pPr>
        <w:rPr>
          <w:b/>
          <w:bCs/>
          <w:i/>
          <w:iCs/>
          <w:szCs w:val="24"/>
          <w:lang w:eastAsia="ru-RU"/>
        </w:rPr>
      </w:pPr>
      <w:r w:rsidRPr="00062B4F">
        <w:rPr>
          <w:b/>
          <w:bCs/>
          <w:i/>
          <w:iCs/>
          <w:szCs w:val="24"/>
          <w:lang w:eastAsia="ru-RU"/>
        </w:rPr>
        <w:t xml:space="preserve">Комментарии: </w:t>
      </w:r>
      <w:proofErr w:type="spellStart"/>
      <w:r w:rsidRPr="00062B4F">
        <w:rPr>
          <w:i/>
          <w:iCs/>
          <w:szCs w:val="24"/>
          <w:lang w:eastAsia="ru-RU"/>
        </w:rPr>
        <w:t>иматиниб</w:t>
      </w:r>
      <w:proofErr w:type="spellEnd"/>
      <w:r w:rsidRPr="00062B4F">
        <w:rPr>
          <w:i/>
          <w:iCs/>
          <w:szCs w:val="24"/>
          <w:lang w:eastAsia="ru-RU"/>
        </w:rPr>
        <w:t xml:space="preserve">** </w:t>
      </w:r>
      <w:r w:rsidRPr="00114D20">
        <w:rPr>
          <w:i/>
          <w:iCs/>
          <w:szCs w:val="24"/>
          <w:lang w:eastAsia="ru-RU"/>
        </w:rPr>
        <w:t xml:space="preserve">– ИТК первого поколения с селективностью в отношении </w:t>
      </w:r>
      <w:proofErr w:type="gramStart"/>
      <w:r w:rsidR="00FD1CA7" w:rsidRPr="00114D20">
        <w:rPr>
          <w:szCs w:val="24"/>
          <w:lang w:eastAsia="ru-RU"/>
        </w:rPr>
        <w:t>BCR::</w:t>
      </w:r>
      <w:proofErr w:type="gramEnd"/>
      <w:r w:rsidR="00FD1CA7" w:rsidRPr="00114D20">
        <w:rPr>
          <w:szCs w:val="24"/>
          <w:lang w:eastAsia="ru-RU"/>
        </w:rPr>
        <w:t>ABL</w:t>
      </w:r>
      <w:r w:rsidR="00FD1CA7" w:rsidRPr="00114D20">
        <w:rPr>
          <w:iCs/>
          <w:szCs w:val="24"/>
          <w:lang w:eastAsia="ru-RU"/>
        </w:rPr>
        <w:t>1</w:t>
      </w:r>
      <w:r w:rsidR="00FD1CA7" w:rsidRPr="00114D20">
        <w:rPr>
          <w:i/>
          <w:iCs/>
          <w:szCs w:val="24"/>
          <w:lang w:eastAsia="ru-RU"/>
        </w:rPr>
        <w:t xml:space="preserve"> </w:t>
      </w:r>
      <w:proofErr w:type="spellStart"/>
      <w:r w:rsidRPr="00114D20">
        <w:rPr>
          <w:i/>
          <w:iCs/>
          <w:szCs w:val="24"/>
          <w:lang w:eastAsia="ru-RU"/>
        </w:rPr>
        <w:t>тирозинкиназы</w:t>
      </w:r>
      <w:proofErr w:type="spellEnd"/>
      <w:r w:rsidRPr="00114D20">
        <w:rPr>
          <w:i/>
          <w:iCs/>
          <w:szCs w:val="24"/>
          <w:lang w:eastAsia="ru-RU"/>
        </w:rPr>
        <w:t xml:space="preserve">, также способен ингибировать </w:t>
      </w:r>
      <w:r w:rsidRPr="00114D20">
        <w:rPr>
          <w:iCs/>
          <w:szCs w:val="24"/>
          <w:lang w:eastAsia="ru-RU"/>
        </w:rPr>
        <w:t>c</w:t>
      </w:r>
      <w:r w:rsidRPr="00114D20">
        <w:rPr>
          <w:iCs/>
          <w:szCs w:val="24"/>
          <w:lang w:eastAsia="ru-RU"/>
        </w:rPr>
        <w:noBreakHyphen/>
        <w:t>KIT, PDGFR</w:t>
      </w:r>
      <w:r w:rsidRPr="00062B4F">
        <w:rPr>
          <w:i/>
          <w:iCs/>
          <w:szCs w:val="24"/>
          <w:lang w:eastAsia="ru-RU"/>
        </w:rPr>
        <w:t>-</w:t>
      </w:r>
      <w:proofErr w:type="spellStart"/>
      <w:r w:rsidRPr="00062B4F">
        <w:rPr>
          <w:i/>
          <w:iCs/>
          <w:szCs w:val="24"/>
          <w:lang w:eastAsia="ru-RU"/>
        </w:rPr>
        <w:t>киназную</w:t>
      </w:r>
      <w:proofErr w:type="spellEnd"/>
      <w:r w:rsidRPr="00062B4F">
        <w:rPr>
          <w:i/>
          <w:iCs/>
          <w:szCs w:val="24"/>
          <w:lang w:eastAsia="ru-RU"/>
        </w:rPr>
        <w:t xml:space="preserve"> активность. При применении </w:t>
      </w:r>
      <w:proofErr w:type="spellStart"/>
      <w:r w:rsidRPr="00062B4F">
        <w:rPr>
          <w:i/>
          <w:iCs/>
          <w:szCs w:val="24"/>
          <w:lang w:eastAsia="ru-RU"/>
        </w:rPr>
        <w:t>иматиниба</w:t>
      </w:r>
      <w:proofErr w:type="spellEnd"/>
      <w:r w:rsidRPr="00062B4F">
        <w:rPr>
          <w:i/>
          <w:iCs/>
          <w:szCs w:val="24"/>
          <w:lang w:eastAsia="ru-RU"/>
        </w:rPr>
        <w:t>** в 1 линии терапии общая выживаемость к 11 годам составляет 83 %, выживаемость без прогрессирования до ФА и БК – 92%, частота прогрессирования болезни к 11 годам терапии не превышает 7%. Полный цитогенетический (ПЦО) достигается у 83 % пациентов</w:t>
      </w:r>
      <w:r w:rsidRPr="00062B4F">
        <w:rPr>
          <w:b/>
          <w:bCs/>
          <w:i/>
          <w:iCs/>
          <w:szCs w:val="24"/>
          <w:lang w:eastAsia="ru-RU"/>
        </w:rPr>
        <w:t xml:space="preserve"> </w:t>
      </w:r>
      <w:r w:rsidRPr="00062B4F">
        <w:rPr>
          <w:bCs/>
          <w:i/>
          <w:iCs/>
          <w:szCs w:val="24"/>
          <w:lang w:eastAsia="ru-RU"/>
        </w:rPr>
        <w:fldChar w:fldCharType="begin" w:fldLock="1"/>
      </w:r>
      <w:r w:rsidR="00817AE4" w:rsidRPr="00062B4F">
        <w:rPr>
          <w:bCs/>
          <w:i/>
          <w:iCs/>
          <w:szCs w:val="24"/>
          <w:lang w:eastAsia="ru-RU"/>
        </w:rPr>
        <w:instrText>ADDIN CSL_CITATION {"citationItems":[{"id":"ITEM-1","itemData":{"DOI":"10.1056/NEJMoa1609324","ISSN":"0028-4793","PMID":"28273028","abstract":"BACKGROUND Imatinib, a selective BCR-ABL1 kinase inhibitor, improved the prognosis for patients with chronic myeloid leukemia (CML). We conducted efficacy and safety analyses on the basis of more than 10 years of follow-up in patients with CML who were treated with imatinib as initial therapy. METHODS In this open-label, multicenter trial with crossover design, we randomly assigned patients with newly diagnosed CML in the chronic phase to receive either imatinib or interferon alfa plus cytarabine. Long-term analyses included overall survival, response to treatment, and serious adverse events. RESULTS The median follow-up was 10.9 years. Given the high rate of crossover among patients who had been randomly assigned to receive interferon alfa plus cytarabine (65.6%) and the short duration of therapy before crossover in these patients (median, 0.8 years), the current analyses focused on patients who had been randomly assigned to receive imatinib. Among the patients in the imatinib group, the estimated overall survival rate at 10 years was 83.3%. Approximately half the patients (48.3%) who had been randomly assigned to imatinib completed study treatment with imatinib, and 82.8% had a complete cytogenetic response. Serious adverse events that were considered by the investigators to be related to imatinib were uncommon and most frequently occurred during the first year of treatment. CONCLUSIONS Almost 11 years of follow-up showed that the efficacy of imatinib persisted over time and that long-term administration of imatinib was not associated with unacceptable cumulative or late toxic effects. (Funded by Novartis Pharmaceuticals; IRIS ClinicalTrials.gov numbers, NCT00006343 and NCT00333840 .).","author":[{"dropping-particle":"","family":"Hochhaus","given":"Andreas","non-dropping-particle":"","parse-names":false,"suffix":""},{"dropping-particle":"","family":"Larson","given":"Richard A.","non-dropping-particle":"","parse-names":false,"suffix":""},{"dropping-particle":"","family":"Guilhot","given":"François","non-dropping-particle":"","parse-names":false,"suffix":""},{"dropping-particle":"","family":"Radich","given":"Jerald P.","non-dropping-particle":"","parse-names":false,"suffix":""},{"dropping-particle":"","family":"Branford","given":"Susan","non-dropping-particle":"","parse-names":false,"suffix":""},{"dropping-particle":"","family":"Hughes","given":"Timothy P.","non-dropping-particle":"","parse-names":false,"suffix":""},{"dropping-particle":"","family":"Baccarani","given":"Michele","non-dropping-particle":"","parse-names":false,"suffix":""},{"dropping-particle":"","family":"Deininger","given":"Michael W.","non-dropping-particle":"","parse-names":false,"suffix":""},{"dropping-particle":"","family":"Cervantes","given":"Francisco","non-dropping-particle":"","parse-names":false,"suffix":""},{"dropping-particle":"","family":"Fujihara","given":"Satoko","non-dropping-particle":"","parse-names":false,"suffix":""},{"dropping-particle":"","family":"Ortmann","given":"Christine-Elke","non-dropping-particle":"","parse-names":false,"suffix":""},{"dropping-particle":"","family":"Menssen","given":"Hans D.","non-dropping-particle":"","parse-names":false,"suffix":""},{"dropping-particle":"","family":"Kantarjian","given":"Hagop","non-dropping-particle":"","parse-names":false,"suffix":""},{"dropping-particle":"","family":"O’Brien","given":"Stephen G.","non-dropping-particle":"","parse-names":false,"suffix":""},{"dropping-particle":"","family":"Druker","given":"Brian J.","non-dropping-particle":"","parse-names":false,"suffix":""},{"dropping-particle":"","family":"IRIS Investigators","given":"","non-dropping-particle":"","parse-names":false,"suffix":""}],"container-title":"New England Journal of Medicine","id":"ITEM-1","issue":"10","issued":{"date-parts":[["2017","3"]]},"page":"917-927","title":"Long-Term Outcomes of Imatinib Treatment for Chronic Myeloid Leukemia","type":"article-journal","volume":"376"},"uris":["http://www.mendeley.com/documents/?uuid=c11c7205-12c5-3dc7-bef1-21ae0a6400e2","http://www.mendeley.com/documents/?uuid=a972a18f-ad26-485e-a2e9-11932c643c3b"]}],"mendeley":{"formattedCitation":"[19]","plainTextFormattedCitation":"[19]","previouslyFormattedCitation":"[19]"},"properties":{"noteIndex":0},"schema":"https://github.com/citation-style-language/schema/raw/master/csl-citation.json"}</w:instrText>
      </w:r>
      <w:r w:rsidRPr="00062B4F">
        <w:rPr>
          <w:bCs/>
          <w:i/>
          <w:iCs/>
          <w:szCs w:val="24"/>
          <w:lang w:eastAsia="ru-RU"/>
        </w:rPr>
        <w:fldChar w:fldCharType="separate"/>
      </w:r>
      <w:r w:rsidR="00817AE4" w:rsidRPr="00062B4F">
        <w:rPr>
          <w:bCs/>
          <w:iCs/>
          <w:noProof/>
          <w:szCs w:val="24"/>
          <w:lang w:eastAsia="ru-RU"/>
        </w:rPr>
        <w:t>[19]</w:t>
      </w:r>
      <w:r w:rsidRPr="00062B4F">
        <w:rPr>
          <w:bCs/>
          <w:i/>
          <w:iCs/>
          <w:szCs w:val="24"/>
          <w:lang w:eastAsia="ru-RU"/>
        </w:rPr>
        <w:fldChar w:fldCharType="end"/>
      </w:r>
      <w:r w:rsidRPr="00062B4F">
        <w:rPr>
          <w:bCs/>
          <w:i/>
          <w:iCs/>
          <w:szCs w:val="24"/>
          <w:lang w:eastAsia="ru-RU"/>
        </w:rPr>
        <w:t>.</w:t>
      </w:r>
    </w:p>
    <w:p w14:paraId="6A076B40" w14:textId="77777777" w:rsidR="000C7098" w:rsidRDefault="000C7098" w:rsidP="009D2E3F">
      <w:pPr>
        <w:rPr>
          <w:i/>
          <w:iCs/>
          <w:szCs w:val="24"/>
          <w:lang w:eastAsia="ru-RU"/>
        </w:rPr>
      </w:pPr>
      <w:r w:rsidRPr="00062B4F">
        <w:rPr>
          <w:i/>
          <w:iCs/>
          <w:szCs w:val="24"/>
          <w:lang w:eastAsia="ru-RU"/>
        </w:rPr>
        <w:t>У большинства пациентов сохраняются хорошее качество жизни и </w:t>
      </w:r>
      <w:proofErr w:type="spellStart"/>
      <w:proofErr w:type="gramStart"/>
      <w:r w:rsidRPr="00062B4F">
        <w:rPr>
          <w:i/>
          <w:iCs/>
          <w:szCs w:val="24"/>
          <w:lang w:eastAsia="ru-RU"/>
        </w:rPr>
        <w:t>трудо</w:t>
      </w:r>
      <w:proofErr w:type="spellEnd"/>
      <w:r w:rsidRPr="00062B4F">
        <w:rPr>
          <w:i/>
          <w:iCs/>
          <w:szCs w:val="24"/>
          <w:lang w:eastAsia="ru-RU"/>
        </w:rPr>
        <w:t>-способность</w:t>
      </w:r>
      <w:proofErr w:type="gramEnd"/>
      <w:r w:rsidRPr="00062B4F">
        <w:rPr>
          <w:i/>
          <w:iCs/>
          <w:szCs w:val="24"/>
          <w:lang w:eastAsia="ru-RU"/>
        </w:rPr>
        <w:t>.</w:t>
      </w:r>
    </w:p>
    <w:p w14:paraId="663B3B49" w14:textId="77777777" w:rsidR="00423C0A" w:rsidRPr="00FB7DCE" w:rsidRDefault="00423C0A" w:rsidP="00423C0A">
      <w:pPr>
        <w:rPr>
          <w:i/>
          <w:iCs/>
          <w:szCs w:val="24"/>
          <w:lang w:eastAsia="ru-RU"/>
        </w:rPr>
      </w:pPr>
      <w:r w:rsidRPr="00FB7DCE">
        <w:rPr>
          <w:i/>
          <w:iCs/>
          <w:szCs w:val="24"/>
          <w:lang w:eastAsia="ru-RU"/>
        </w:rPr>
        <w:t xml:space="preserve">Абсолютных противопоказаний для применения </w:t>
      </w:r>
      <w:proofErr w:type="spellStart"/>
      <w:r w:rsidRPr="00FB7DCE">
        <w:rPr>
          <w:i/>
          <w:iCs/>
          <w:szCs w:val="24"/>
          <w:lang w:eastAsia="ru-RU"/>
        </w:rPr>
        <w:t>иматиниба</w:t>
      </w:r>
      <w:proofErr w:type="spellEnd"/>
      <w:r w:rsidRPr="00FB7DCE">
        <w:rPr>
          <w:i/>
          <w:iCs/>
          <w:szCs w:val="24"/>
          <w:lang w:eastAsia="ru-RU"/>
        </w:rPr>
        <w:t xml:space="preserve"> не зарегистрировано, </w:t>
      </w:r>
    </w:p>
    <w:p w14:paraId="095E4427" w14:textId="77777777" w:rsidR="00423C0A" w:rsidRPr="00FB7DCE" w:rsidRDefault="00423C0A" w:rsidP="00423C0A">
      <w:pPr>
        <w:rPr>
          <w:i/>
          <w:iCs/>
          <w:szCs w:val="24"/>
          <w:lang w:eastAsia="ru-RU"/>
        </w:rPr>
      </w:pPr>
      <w:r w:rsidRPr="00FB7DCE">
        <w:rPr>
          <w:i/>
          <w:iCs/>
          <w:szCs w:val="24"/>
          <w:lang w:eastAsia="ru-RU"/>
        </w:rPr>
        <w:t xml:space="preserve">Следует тщательно наблюдать за пациентами с низкой фракцией выброса сердца </w:t>
      </w:r>
    </w:p>
    <w:p w14:paraId="00693D7A" w14:textId="77777777" w:rsidR="00423C0A" w:rsidRPr="00FB7DCE" w:rsidRDefault="00423C0A" w:rsidP="00423C0A">
      <w:pPr>
        <w:rPr>
          <w:i/>
          <w:iCs/>
          <w:szCs w:val="24"/>
          <w:lang w:eastAsia="ru-RU"/>
        </w:rPr>
      </w:pPr>
      <w:r w:rsidRPr="00FB7DCE">
        <w:rPr>
          <w:i/>
          <w:iCs/>
          <w:szCs w:val="24"/>
          <w:lang w:eastAsia="ru-RU"/>
        </w:rPr>
        <w:t xml:space="preserve">Следует тщательно наблюдать за пациентами с низкой скоростью клубочковой фильтрации </w:t>
      </w:r>
    </w:p>
    <w:p w14:paraId="6068125D" w14:textId="3321F52B" w:rsidR="00423C0A" w:rsidRPr="00FB7DCE" w:rsidRDefault="00423C0A" w:rsidP="00423C0A">
      <w:pPr>
        <w:rPr>
          <w:i/>
          <w:iCs/>
          <w:szCs w:val="24"/>
          <w:lang w:eastAsia="ru-RU"/>
        </w:rPr>
      </w:pPr>
      <w:r w:rsidRPr="00FB7DCE">
        <w:rPr>
          <w:i/>
          <w:iCs/>
          <w:szCs w:val="24"/>
          <w:lang w:eastAsia="ru-RU"/>
        </w:rPr>
        <w:t xml:space="preserve">Наиболее частыми причинами плохой переносимости </w:t>
      </w:r>
      <w:proofErr w:type="spellStart"/>
      <w:r w:rsidR="00E639AF">
        <w:rPr>
          <w:i/>
          <w:iCs/>
          <w:szCs w:val="24"/>
          <w:lang w:eastAsia="ru-RU"/>
        </w:rPr>
        <w:t>иматиниба</w:t>
      </w:r>
      <w:proofErr w:type="spellEnd"/>
      <w:r w:rsidR="00E639AF">
        <w:rPr>
          <w:i/>
          <w:iCs/>
          <w:szCs w:val="24"/>
          <w:lang w:eastAsia="ru-RU"/>
        </w:rPr>
        <w:t xml:space="preserve"> </w:t>
      </w:r>
      <w:r w:rsidRPr="00FB7DCE">
        <w:rPr>
          <w:i/>
          <w:iCs/>
          <w:szCs w:val="24"/>
          <w:lang w:eastAsia="ru-RU"/>
        </w:rPr>
        <w:t>являются:</w:t>
      </w:r>
    </w:p>
    <w:p w14:paraId="1395579A" w14:textId="6B2CC9A9" w:rsidR="00423C0A" w:rsidRPr="00FB7DCE" w:rsidRDefault="00423C0A" w:rsidP="00423C0A">
      <w:pPr>
        <w:pStyle w:val="afe"/>
        <w:numPr>
          <w:ilvl w:val="0"/>
          <w:numId w:val="18"/>
        </w:numPr>
        <w:rPr>
          <w:i/>
          <w:iCs/>
          <w:szCs w:val="24"/>
          <w:lang w:eastAsia="ru-RU"/>
        </w:rPr>
      </w:pPr>
      <w:r w:rsidRPr="00FB7DCE">
        <w:rPr>
          <w:i/>
          <w:iCs/>
          <w:szCs w:val="24"/>
          <w:lang w:eastAsia="ru-RU"/>
        </w:rPr>
        <w:t xml:space="preserve">задержка жидкости, </w:t>
      </w:r>
    </w:p>
    <w:p w14:paraId="634E5A54" w14:textId="77777777" w:rsidR="00423C0A" w:rsidRPr="00FB7DCE" w:rsidRDefault="00423C0A" w:rsidP="00423C0A">
      <w:pPr>
        <w:pStyle w:val="afe"/>
        <w:numPr>
          <w:ilvl w:val="0"/>
          <w:numId w:val="18"/>
        </w:numPr>
        <w:rPr>
          <w:i/>
          <w:iCs/>
          <w:szCs w:val="24"/>
          <w:lang w:eastAsia="ru-RU"/>
        </w:rPr>
      </w:pPr>
      <w:r w:rsidRPr="00FB7DCE">
        <w:rPr>
          <w:i/>
          <w:iCs/>
          <w:szCs w:val="24"/>
          <w:lang w:eastAsia="ru-RU"/>
        </w:rPr>
        <w:t xml:space="preserve">симптомы со стороны желудочно-кишечного тракта, </w:t>
      </w:r>
    </w:p>
    <w:p w14:paraId="4FEC28DF" w14:textId="77777777" w:rsidR="00423C0A" w:rsidRPr="00FB7DCE" w:rsidRDefault="00423C0A" w:rsidP="00423C0A">
      <w:pPr>
        <w:pStyle w:val="afe"/>
        <w:numPr>
          <w:ilvl w:val="0"/>
          <w:numId w:val="18"/>
        </w:numPr>
        <w:rPr>
          <w:i/>
          <w:iCs/>
          <w:szCs w:val="24"/>
          <w:lang w:eastAsia="ru-RU"/>
        </w:rPr>
      </w:pPr>
      <w:r w:rsidRPr="00FB7DCE">
        <w:rPr>
          <w:i/>
          <w:iCs/>
          <w:szCs w:val="24"/>
          <w:lang w:eastAsia="ru-RU"/>
        </w:rPr>
        <w:t xml:space="preserve">мышечные спазмы, </w:t>
      </w:r>
    </w:p>
    <w:p w14:paraId="31E8E37B" w14:textId="77777777" w:rsidR="00423C0A" w:rsidRPr="00FB7DCE" w:rsidRDefault="00423C0A" w:rsidP="00423C0A">
      <w:pPr>
        <w:pStyle w:val="afe"/>
        <w:numPr>
          <w:ilvl w:val="0"/>
          <w:numId w:val="18"/>
        </w:numPr>
        <w:rPr>
          <w:i/>
          <w:iCs/>
          <w:szCs w:val="24"/>
          <w:lang w:eastAsia="ru-RU"/>
        </w:rPr>
      </w:pPr>
      <w:r w:rsidRPr="00FB7DCE">
        <w:rPr>
          <w:i/>
          <w:iCs/>
          <w:szCs w:val="24"/>
          <w:lang w:eastAsia="ru-RU"/>
        </w:rPr>
        <w:t xml:space="preserve">боли в суставах, </w:t>
      </w:r>
    </w:p>
    <w:p w14:paraId="4E6BB1CF" w14:textId="77777777" w:rsidR="00423C0A" w:rsidRPr="00FB7DCE" w:rsidRDefault="00423C0A" w:rsidP="00423C0A">
      <w:pPr>
        <w:pStyle w:val="afe"/>
        <w:numPr>
          <w:ilvl w:val="0"/>
          <w:numId w:val="18"/>
        </w:numPr>
        <w:rPr>
          <w:i/>
          <w:iCs/>
          <w:szCs w:val="24"/>
          <w:lang w:eastAsia="ru-RU"/>
        </w:rPr>
      </w:pPr>
      <w:r w:rsidRPr="00FB7DCE">
        <w:rPr>
          <w:i/>
          <w:iCs/>
          <w:szCs w:val="24"/>
          <w:lang w:eastAsia="ru-RU"/>
        </w:rPr>
        <w:t xml:space="preserve">кожная сыпь </w:t>
      </w:r>
    </w:p>
    <w:p w14:paraId="14914105" w14:textId="77777777" w:rsidR="00423C0A" w:rsidRPr="00FB7DCE" w:rsidRDefault="00423C0A" w:rsidP="00423C0A">
      <w:pPr>
        <w:pStyle w:val="afe"/>
        <w:numPr>
          <w:ilvl w:val="0"/>
          <w:numId w:val="18"/>
        </w:numPr>
        <w:rPr>
          <w:i/>
          <w:iCs/>
          <w:szCs w:val="24"/>
          <w:lang w:eastAsia="ru-RU"/>
        </w:rPr>
      </w:pPr>
      <w:r w:rsidRPr="00FB7DCE">
        <w:rPr>
          <w:i/>
          <w:iCs/>
          <w:szCs w:val="24"/>
          <w:lang w:eastAsia="ru-RU"/>
        </w:rPr>
        <w:t>повышенная утомляемость</w:t>
      </w:r>
    </w:p>
    <w:p w14:paraId="23782918" w14:textId="4D7013DC" w:rsidR="00423C0A" w:rsidRPr="00062B4F" w:rsidRDefault="00423C0A" w:rsidP="00423C0A">
      <w:pPr>
        <w:rPr>
          <w:i/>
          <w:iCs/>
          <w:szCs w:val="24"/>
          <w:lang w:eastAsia="ru-RU"/>
        </w:rPr>
      </w:pPr>
      <w:r w:rsidRPr="00FB7DCE">
        <w:rPr>
          <w:i/>
          <w:iCs/>
          <w:szCs w:val="24"/>
          <w:lang w:eastAsia="ru-RU"/>
        </w:rPr>
        <w:t xml:space="preserve">Многие из этих нежелательных явлений проходят со временем или после короткого прерывания лечения. </w:t>
      </w:r>
      <w:r w:rsidR="00B80137">
        <w:rPr>
          <w:i/>
          <w:iCs/>
          <w:szCs w:val="24"/>
          <w:lang w:eastAsia="ru-RU"/>
        </w:rPr>
        <w:t>У пациентов с хронической токсичностью</w:t>
      </w:r>
      <w:r w:rsidR="008E749B">
        <w:rPr>
          <w:i/>
          <w:iCs/>
          <w:szCs w:val="24"/>
          <w:lang w:eastAsia="ru-RU"/>
        </w:rPr>
        <w:t xml:space="preserve"> 1-2 степени</w:t>
      </w:r>
      <w:r w:rsidR="00B80137">
        <w:rPr>
          <w:i/>
          <w:iCs/>
          <w:szCs w:val="24"/>
          <w:lang w:eastAsia="ru-RU"/>
        </w:rPr>
        <w:t xml:space="preserve"> возможно </w:t>
      </w:r>
      <w:r w:rsidR="008E749B">
        <w:rPr>
          <w:i/>
          <w:iCs/>
          <w:szCs w:val="24"/>
          <w:lang w:eastAsia="ru-RU"/>
        </w:rPr>
        <w:t>длительное</w:t>
      </w:r>
      <w:r w:rsidR="00B80137">
        <w:rPr>
          <w:i/>
          <w:iCs/>
          <w:szCs w:val="24"/>
          <w:lang w:eastAsia="ru-RU"/>
        </w:rPr>
        <w:t xml:space="preserve"> </w:t>
      </w:r>
      <w:r w:rsidR="004F670B">
        <w:rPr>
          <w:i/>
          <w:iCs/>
          <w:szCs w:val="24"/>
          <w:lang w:eastAsia="ru-RU"/>
        </w:rPr>
        <w:t>снижение</w:t>
      </w:r>
      <w:r w:rsidRPr="00FB7DCE">
        <w:rPr>
          <w:i/>
          <w:iCs/>
          <w:szCs w:val="24"/>
          <w:lang w:eastAsia="ru-RU"/>
        </w:rPr>
        <w:t xml:space="preserve"> дозы</w:t>
      </w:r>
      <w:r w:rsidR="00E90938">
        <w:rPr>
          <w:i/>
          <w:iCs/>
          <w:szCs w:val="24"/>
          <w:lang w:eastAsia="ru-RU"/>
        </w:rPr>
        <w:t xml:space="preserve"> </w:t>
      </w:r>
      <w:proofErr w:type="spellStart"/>
      <w:r w:rsidR="00E90938">
        <w:rPr>
          <w:i/>
          <w:iCs/>
          <w:szCs w:val="24"/>
          <w:lang w:eastAsia="ru-RU"/>
        </w:rPr>
        <w:t>иматиниба</w:t>
      </w:r>
      <w:proofErr w:type="spellEnd"/>
      <w:r w:rsidR="00B80137">
        <w:rPr>
          <w:i/>
          <w:iCs/>
          <w:szCs w:val="24"/>
          <w:lang w:eastAsia="ru-RU"/>
        </w:rPr>
        <w:t xml:space="preserve"> </w:t>
      </w:r>
      <w:r w:rsidR="008E749B">
        <w:rPr>
          <w:i/>
          <w:iCs/>
          <w:szCs w:val="24"/>
          <w:lang w:eastAsia="ru-RU"/>
        </w:rPr>
        <w:t>при условии</w:t>
      </w:r>
      <w:r w:rsidR="00B80137">
        <w:rPr>
          <w:i/>
          <w:iCs/>
          <w:szCs w:val="24"/>
          <w:lang w:eastAsia="ru-RU"/>
        </w:rPr>
        <w:t xml:space="preserve"> </w:t>
      </w:r>
      <w:r w:rsidR="008E749B">
        <w:rPr>
          <w:i/>
          <w:iCs/>
          <w:szCs w:val="24"/>
          <w:lang w:eastAsia="ru-RU"/>
        </w:rPr>
        <w:t>достижения и сохранения</w:t>
      </w:r>
      <w:r w:rsidRPr="00FB7DCE">
        <w:rPr>
          <w:i/>
          <w:iCs/>
          <w:szCs w:val="24"/>
          <w:lang w:eastAsia="ru-RU"/>
        </w:rPr>
        <w:t xml:space="preserve"> БМО </w:t>
      </w:r>
      <w:r w:rsidRPr="0088127B">
        <w:rPr>
          <w:i/>
          <w:iCs/>
          <w:szCs w:val="24"/>
          <w:lang w:eastAsia="ru-RU"/>
        </w:rPr>
        <w:t>[</w:t>
      </w:r>
      <w:r w:rsidR="0088127B" w:rsidRPr="0088127B">
        <w:rPr>
          <w:i/>
          <w:iCs/>
          <w:szCs w:val="24"/>
          <w:lang w:eastAsia="ru-RU"/>
        </w:rPr>
        <w:t>101</w:t>
      </w:r>
      <w:r w:rsidRPr="00FB7DCE">
        <w:rPr>
          <w:i/>
          <w:iCs/>
          <w:szCs w:val="24"/>
          <w:lang w:eastAsia="ru-RU"/>
        </w:rPr>
        <w:t>].</w:t>
      </w:r>
    </w:p>
    <w:p w14:paraId="3B4174BA" w14:textId="77777777" w:rsidR="00423C0A" w:rsidRDefault="00423C0A" w:rsidP="009D2E3F">
      <w:pPr>
        <w:rPr>
          <w:i/>
          <w:iCs/>
          <w:szCs w:val="24"/>
          <w:lang w:eastAsia="ru-RU"/>
        </w:rPr>
      </w:pPr>
    </w:p>
    <w:p w14:paraId="39AA6B10" w14:textId="2B99E54B" w:rsidR="000C7098" w:rsidRPr="00062B4F" w:rsidRDefault="000C7098" w:rsidP="009D2E3F">
      <w:pPr>
        <w:rPr>
          <w:i/>
          <w:iCs/>
          <w:szCs w:val="24"/>
          <w:lang w:eastAsia="ru-RU"/>
        </w:rPr>
      </w:pPr>
      <w:r w:rsidRPr="00062B4F">
        <w:rPr>
          <w:i/>
          <w:iCs/>
          <w:szCs w:val="24"/>
          <w:lang w:eastAsia="ru-RU"/>
        </w:rPr>
        <w:t xml:space="preserve">Доза </w:t>
      </w:r>
      <w:proofErr w:type="spellStart"/>
      <w:r w:rsidRPr="00062B4F">
        <w:rPr>
          <w:i/>
          <w:iCs/>
          <w:szCs w:val="24"/>
          <w:lang w:eastAsia="ru-RU"/>
        </w:rPr>
        <w:t>иматиниба</w:t>
      </w:r>
      <w:proofErr w:type="spellEnd"/>
      <w:r w:rsidRPr="00062B4F">
        <w:rPr>
          <w:i/>
          <w:iCs/>
          <w:szCs w:val="24"/>
          <w:lang w:eastAsia="ru-RU"/>
        </w:rPr>
        <w:t xml:space="preserve">** составляет 400 мг в сутки для ХФ и 600 мг в сутки для ФА и БК </w:t>
      </w:r>
      <w:r w:rsidRPr="00062B4F">
        <w:rPr>
          <w:i/>
          <w:iCs/>
          <w:szCs w:val="24"/>
          <w:lang w:eastAsia="ru-RU"/>
        </w:rPr>
        <w:fldChar w:fldCharType="begin" w:fldLock="1"/>
      </w:r>
      <w:r w:rsidR="00817AE4" w:rsidRPr="00062B4F">
        <w:rPr>
          <w:i/>
          <w:iCs/>
          <w:szCs w:val="24"/>
          <w:lang w:eastAsia="ru-RU"/>
        </w:rPr>
        <w:instrText>ADDIN CSL_CITATION {"citationItems":[{"id":"ITEM-1","itemData":{"DOI":"10.1056/NEJMoa1609324","ISSN":"0028-4793","PMID":"28273028","abstract":"BACKGROUND Imatinib, a selective BCR-ABL1 kinase inhibitor, improved the prognosis for patients with chronic myeloid leukemia (CML). We conducted efficacy and safety analyses on the basis of more than 10 years of follow-up in patients with CML who were treated with imatinib as initial therapy. METHODS In this open-label, multicenter trial with crossover design, we randomly assigned patients with newly diagnosed CML in the chronic phase to receive either imatinib or interferon alfa plus cytarabine. Long-term analyses included overall survival, response to treatment, and serious adverse events. RESULTS The median follow-up was 10.9 years. Given the high rate of crossover among patients who had been randomly assigned to receive interferon alfa plus cytarabine (65.6%) and the short duration of therapy before crossover in these patients (median, 0.8 years), the current analyses focused on patients who had been randomly assigned to receive imatinib. Among the patients in the imatinib group, the estimated overall survival rate at 10 years was 83.3%. Approximately half the patients (48.3%) who had been randomly assigned to imatinib completed study treatment with imatinib, and 82.8% had a complete cytogenetic response. Serious adverse events that were considered by the investigators to be related to imatinib were uncommon and most frequently occurred during the first year of treatment. CONCLUSIONS Almost 11 years of follow-up showed that the efficacy of imatinib persisted over time and that long-term administration of imatinib was not associated with unacceptable cumulative or late toxic effects. (Funded by Novartis Pharmaceuticals; IRIS ClinicalTrials.gov numbers, NCT00006343 and NCT00333840 .).","author":[{"dropping-particle":"","family":"Hochhaus","given":"Andreas","non-dropping-particle":"","parse-names":false,"suffix":""},{"dropping-particle":"","family":"Larson","given":"Richard A.","non-dropping-particle":"","parse-names":false,"suffix":""},{"dropping-particle":"","family":"Guilhot","given":"François","non-dropping-particle":"","parse-names":false,"suffix":""},{"dropping-particle":"","family":"Radich","given":"Jerald P.","non-dropping-particle":"","parse-names":false,"suffix":""},{"dropping-particle":"","family":"Branford","given":"Susan","non-dropping-particle":"","parse-names":false,"suffix":""},{"dropping-particle":"","family":"Hughes","given":"Timothy P.","non-dropping-particle":"","parse-names":false,"suffix":""},{"dropping-particle":"","family":"Baccarani","given":"Michele","non-dropping-particle":"","parse-names":false,"suffix":""},{"dropping-particle":"","family":"Deininger","given":"Michael W.","non-dropping-particle":"","parse-names":false,"suffix":""},{"dropping-particle":"","family":"Cervantes","given":"Francisco","non-dropping-particle":"","parse-names":false,"suffix":""},{"dropping-particle":"","family":"Fujihara","given":"Satoko","non-dropping-particle":"","parse-names":false,"suffix":""},{"dropping-particle":"","family":"Ortmann","given":"Christine-Elke","non-dropping-particle":"","parse-names":false,"suffix":""},{"dropping-particle":"","family":"Menssen","given":"Hans D.","non-dropping-particle":"","parse-names":false,"suffix":""},{"dropping-particle":"","family":"Kantarjian","given":"Hagop","non-dropping-particle":"","parse-names":false,"suffix":""},{"dropping-particle":"","family":"O’Brien","given":"Stephen G.","non-dropping-particle":"","parse-names":false,"suffix":""},{"dropping-particle":"","family":"Druker","given":"Brian J.","non-dropping-particle":"","parse-names":false,"suffix":""},{"dropping-particle":"","family":"IRIS Investigators","given":"","non-dropping-particle":"","parse-names":false,"suffix":""}],"container-title":"New England Journal of Medicine","id":"ITEM-1","issue":"10","issued":{"date-parts":[["2017","3"]]},"page":"917-927","title":"Long-Term Outcomes of Imatinib Treatment for Chronic Myeloid Leukemia","type":"article-journal","volume":"376"},"uris":["http://www.mendeley.com/documents/?uuid=a972a18f-ad26-485e-a2e9-11932c643c3b","http://www.mendeley.com/documents/?uuid=c11c7205-12c5-3dc7-bef1-21ae0a6400e2"]},{"id":"ITEM-2","itemData":{"DOI":"10.1182/blood.V99.6.1928","ISSN":"00064971","PMID":"11877262","abstract":"Chronic myelogenous leukemia (CML) is caused by expression of the BCR-ABL tyrosine kinase oncogene, the product of the t(9;22) Philadelphia translocation. Patients with CML in accelerated phase have rapidly progressive disease and are characteristically unresponsive to existing therapies. Imatinib (formerly STI571) is a rationally developed, orally administered inhibitor of the Bcr-Abl kinase. A total of 235 CML patients were enrolled in this study, of whom 181 had a confirmed diagnosis of accelerated phase. Patients were treated with imatinib at 400 or 600 mg/d and were evaluated for hematologic and cytogenetic response, time to progression, survival, and toxicity. Imatinib induced hematologic response in 82% of patients and sustained hematologic responses lasting at least 4 weeks in 69% (complete in 34%). The rate of major cytogenetic response was 24% (complete in 17%). Estimated 12-month progression-free and overall survival rates were 59% and 74%, respectively. Nonhematologic toxicity was usually mild or moderate, and hematologic toxicity was manageable. In comparison to 400 mg, imatinib doses of 600 mg/d led to more cytogenetic responses (28% compared to 16%), longer duration of response (79% compared to 57% at 12 months), time to disease progression (67% compared to 44% at 12 months), and overall survival (78% compared to 65% at 12 months), with no clinically relevant increase in toxicity. Orally administered imatinib is an effective and well-tolerated treatment for patients with CML in accelerated phase. A daily dose of 600 mg is more effective than 400 mg, with similar toxicity. © 2002 by The American Society of Hematology.","author":[{"dropping-particle":"","family":"Talpaz","given":"Moshe","non-dropping-particle":"","parse-names":false,"suffix":""},{"dropping-particle":"","family":"Silver","given":"Richard T.","non-dropping-particle":"","parse-names":false,"suffix":""},{"dropping-particle":"","family":"Druker","given":"Brian J.","non-dropping-particle":"","parse-names":false,"suffix":""},{"dropping-particle":"","family":"Goldman","given":"John M.","non-dropping-particle":"","parse-names":false,"suffix":""},{"dropping-particle":"","family":"Gambacorti-Passerini","given":"Carlo","non-dropping-particle":"","parse-names":false,"suffix":""},{"dropping-particle":"","family":"Guilhot","given":"Francois","non-dropping-particle":"","parse-names":false,"suffix":""},{"dropping-particle":"","family":"Schiffer","given":"Charles A.","non-dropping-particle":"","parse-names":false,"suffix":""},{"dropping-particle":"","family":"Fischer","given":"Thomas","non-dropping-particle":"","parse-names":false,"suffix":""},{"dropping-particle":"","family":"Deininger","given":"Michael W.N.","non-dropping-particle":"","parse-names":false,"suffix":""},{"dropping-particle":"","family":"Lennard","given":"Anne L.","non-dropping-particle":"","parse-names":false,"suffix":""},{"dropping-particle":"","family":"Hochhaus","given":"Andreas","non-dropping-particle":"","parse-names":false,"suffix":""},{"dropping-particle":"","family":"Ottmann","given":"Oliver G.","non-dropping-particle":"","parse-names":false,"suffix":""},{"dropping-particle":"","family":"Gratwohl","given":"Alois","non-dropping-particle":"","parse-names":false,"suffix":""},{"dropping-particle":"","family":"Baccarani","given":"Michele","non-dropping-particle":"","parse-names":false,"suffix":""},{"dropping-particle":"","family":"Stone","given":"Richard","non-dropping-particle":"","parse-names":false,"suffix":""},{"dropping-particle":"","family":"Tura","given":"Sante","non-dropping-particle":"","parse-names":false,"suffix":""},{"dropping-particle":"","family":"Mahon","given":"Francois Xavier","non-dropping-particle":"","parse-names":false,"suffix":""},{"dropping-particle":"","family":"Fernandes-Reese","given":"Sofia","non-dropping-particle":"","parse-names":false,"suffix":""},{"dropping-particle":"","family":"Gathmann","given":"Insa","non-dropping-particle":"","parse-names":false,"suffix":""},{"dropping-particle":"","family":"Capdeville","given":"Renaud","non-dropping-particle":"","parse-names":false,"suffix":""},{"dropping-particle":"","family":"Kantarjian","given":"Hagop M.","non-dropping-particle":"","parse-names":false,"suffix":""},{"dropping-particle":"","family":"Sawyers","given":"Charles L.","non-dropping-particle":"","parse-names":false,"suffix":""}],"container-title":"Blood","id":"ITEM-2","issue":"6","issued":{"date-parts":[["2002","3","15"]]},"page":"1928-1937","title":"Imatinib induces durable hematologic and cytogenetic responses in patients with accelerated phase chronic myeloid leukemia: Results of a phase 2 study","type":"article-journal","volume":"99"},"uris":["http://www.mendeley.com/documents/?uuid=a987bddc-d316-3126-a260-7b0a147cf309"]},{"id":"ITEM-3","itemData":{"DOI":"10.1182/blood.v99.10.3547","ISSN":"0006-4971","PMID":"11986206","abstract":"Molecular abnormalities caused by the hybrid Bcr-Abl gene are causally associated with the development and progression of Philadelphia chromosome-positive (Ph(+)) chronic myelogenous leukemia (CML). Imatinib mesylate (STI571), a specific Bcr-Abl tyrosine-kinase signal-transduction inhibitor, has shown encouraging activity in phase I and II studies of CML. Here, we describe the use of imatinib mesylate to treat 75 patients in blast-phase CML (median age, 53 years; 65 with nonlymphoid and 10 with lymphoid blasts), and compare the results with those of a historical control group treated with standard cytarabine-based therapy. Imatinib mesylate was given as oral doses at 300 to 1000 mg per day and was the first salvage therapy for 47 patients. The objective response rate was 52% (39 of 75 patients: 16 had complete and 3 had partial hematologic response; 12 had hematologic improvement; 7 returned to second chronic phase; and 1 had a complete response in extramedullary blastic disease). Response rates were not different between nonlymphoid and lymphoid groups. The cytogenetic response rate was 16% (12 patients: 5 complete, 3 partial [Ph(+) below 35%], and 4 minor [Ph(+), 34% to 90%]). The estimated median overall survival was 6.5 months; the estimated 1-year survival was 22%. Response to therapy (landmark analysis at 8 weeks) was associated with survival prolongation. Compared with standard cytarabine combinations, imatinib mesylate therapy was less toxic and produced a higher response rate (55% versus 29%, P =.001), longer median survival (7 versus 4 months, P =.04), and lower 4-week induction mortality (4% versus 15%, P =.07). Imatinib mesylate is currently being tested in combination with other drugs to improve the prognosis for blast-phase CML.","author":[{"dropping-particle":"","family":"Kantarjian","given":"Hagop M","non-dropping-particle":"","parse-names":false,"suffix":""},{"dropping-particle":"","family":"Cortes","given":"Jorge","non-dropping-particle":"","parse-names":false,"suffix":""},{"dropping-particle":"","family":"O'Brien","given":"Susan","non-dropping-particle":"","parse-names":false,"suffix":""},{"dropping-particle":"","family":"Giles","given":"Francis J","non-dropping-particle":"","parse-names":false,"suffix":""},{"dropping-particle":"","family":"Albitar","given":"Maher","non-dropping-particle":"","parse-names":false,"suffix":""},{"dropping-particle":"","family":"Rios","given":"Mary Beth","non-dropping-particle":"","parse-names":false,"suffix":""},{"dropping-particle":"","family":"Shan","given":"Jianqin","non-dropping-particle":"","parse-names":false,"suffix":""},{"dropping-particle":"","family":"Faderl","given":"Stefan","non-dropping-particle":"","parse-names":false,"suffix":""},{"dropping-particle":"","family":"Garcia-Manero","given":"Guillermo","non-dropping-particle":"","parse-names":false,"suffix":""},{"dropping-particle":"","family":"Thomas","given":"Deborah A","non-dropping-particle":"","parse-names":false,"suffix":""},{"dropping-particle":"","family":"Resta","given":"Debra","non-dropping-particle":"","parse-names":false,"suffix":""},{"dropping-particle":"","family":"Talpaz","given":"Moshe","non-dropping-particle":"","parse-names":false,"suffix":""}],"container-title":"Blood","id":"ITEM-3","issue":"10","issued":{"date-parts":[["2002","5","15"]]},"page":"3547-53","title":"Imatinib mesylate (STI571) therapy for Philadelphia chromosome-positive chronic myelogenous leukemia in blast phase.","type":"article-journal","volume":"99"},"uris":["http://www.mendeley.com/documents/?uuid=7b2eb6d5-5147-3536-b08f-db012d294525"]},{"id":"ITEM-4","itemData":{"DOI":"10.1182/blood.v99.10.3530","ISSN":"0006-4971","PMID":"11986204","abstract":"Blast crisis is the most advanced stage of chronic myelogenous leukemia (CML) and is highly refractory to therapy. CML is caused by expression of the chimeric BCR-ABL tyrosine kinase oncogene, the product of the t(9;22) Philadelphia translocation. Imatinib (Glivec, formerly STI571) is a rationally developed, orally administered inhibitor of the Bcr-Abl tyrosine kinase. A total of 260 patients with CML were enrolled in a phase II trial, of whom 229 had a confirmed diagnosis of CML in blast crisis. Patients were treated with imatinib in daily oral doses of 400 mg or 600 mg. Imatinib induced hematologic responses in 52% of patients and sustained hematologic responses lasting at least 4 weeks in 31% of patients, including complete hematologic responses in 8%. For patients with a sustained response, the estimated median response duration was 10 months. Imatinib induced major cytogenetic responses in 16% of patients, with 7% of the responses being complete. Median survival time was 6.9 months. Nonhematologic adverse reactions were frequent but generally mild or moderate. Episodes of severe cytopenia were also frequent and were attributable to the underlying condition and treatment with imatinib. Drug-related adverse events led to discontinuation of therapy in 5% of patients, most often because of cytopenia, skin disorders, or gastrointestinal reactions. These results demonstrate that imatinib has substantial activity and a favorable safety profile when used as a single agent in patients with CML in blast crisis. Additional clinical studies are warranted to explore the efficacy and feasibility of imatinib used in combination with other antileukemic drugs.","author":[{"dropping-particle":"","family":"Sawyers","given":"Charles L","non-dropping-particle":"","parse-names":false,"suffix":""},{"dropping-particle":"","family":"Hochhaus","given":"Andreas","non-dropping-particle":"","parse-names":false,"suffix":""},{"dropping-particle":"","family":"Feldman","given":"Eric","non-dropping-particle":"","parse-names":false,"suffix":""},{"dropping-particle":"","family":"Goldman","given":"John M","non-dropping-particle":"","parse-names":false,"suffix":""},{"dropping-particle":"","family":"Miller","given":"Carole B","non-dropping-particle":"","parse-names":false,"suffix":""},{"dropping-particle":"","family":"Ottmann","given":"Oliver G","non-dropping-particle":"","parse-names":false,"suffix":""},{"dropping-particle":"","family":"Schiffer","given":"Charles A","non-dropping-particle":"","parse-names":false,"suffix":""},{"dropping-particle":"","family":"Talpaz","given":"Moshe","non-dropping-particle":"","parse-names":false,"suffix":""},{"dropping-particle":"","family":"Guilhot","given":"Francois","non-dropping-particle":"","parse-names":false,"suffix":""},{"dropping-particle":"","family":"Deininger","given":"Michael W N","non-dropping-particle":"","parse-names":false,"suffix":""},{"dropping-particle":"","family":"Fischer","given":"Thomas","non-dropping-particle":"","parse-names":false,"suffix":""},{"dropping-particle":"","family":"O'Brien","given":"Steve G","non-dropping-particle":"","parse-names":false,"suffix":""},{"dropping-particle":"","family":"Stone","given":"Richard M","non-dropping-particle":"","parse-names":false,"suffix":""},{"dropping-particle":"","family":"Gambacorti-Passerini","given":"Carlo B","non-dropping-particle":"","parse-names":false,"suffix":""},{"dropping-particle":"","family":"Russell","given":"Nigel H","non-dropping-particle":"","parse-names":false,"suffix":""},{"dropping-particle":"","family":"Reiffers","given":"Jose J","non-dropping-particle":"","parse-names":false,"suffix":""},{"dropping-particle":"","family":"Shea","given":"Thomas C","non-dropping-particle":"","parse-names":false,"suffix":""},{"dropping-particle":"","family":"Chapuis","given":"Bernard","non-dropping-particle":"","parse-names":false,"suffix":""},{"dropping-particle":"","family":"Coutre","given":"Steven","non-dropping-particle":"","parse-names":false,"suffix":""},{"dropping-particle":"","family":"Tura","given":"Sante","non-dropping-particle":"","parse-names":false,"suffix":""},{"dropping-particle":"","family":"Morra","given":"Enrica","non-dropping-particle":"","parse-names":false,"suffix":""},{"dropping-particle":"","family":"Larson","given":"Richard A","non-dropping-particle":"","parse-names":false,"suffix":""},{"dropping-particle":"","family":"Saven","given":"Alan","non-dropping-particle":"","parse-names":false,"suffix":""},{"dropping-particle":"","family":"Peschel","given":"Christian","non-dropping-particle":"","parse-names":false,"suffix":""},{"dropping-particle":"","family":"Gratwohl","given":"Alois","non-dropping-particle":"","parse-names":false,"suffix":""},{"dropping-particle":"","family":"Mandelli","given":"Franco","non-dropping-particle":"","parse-names":false,"suffix":""},{"dropping-particle":"","family":"Ben-Am","given":"Monique","non-dropping-particle":"","parse-names":false,"suffix":""},{"dropping-particle":"","family":"Gathmann","given":"Insa","non-dropping-particle":"","parse-names":false,"suffix":""},{"dropping-particle":"","family":"Capdeville","given":"Renaud","non-dropping-particle":"","parse-names":false,"suffix":""},{"dropping-particle":"","family":"Paquette","given":"Ronald L","non-dropping-particle":"","parse-names":false,"suffix":""},{"dropping-particle":"","family":"Druker","given":"Brian J","non-dropping-particle":"","parse-names":false,"suffix":""}],"container-title":"Blood","id":"ITEM-4","issue":"10","issued":{"date-parts":[["2002","5","15"]]},"page":"3530-9","title":"Imatinib induces hematologic and cytogenetic responses in patients with chronic myelogenous leukemia in myeloid blast crisis: results of a phase II study.","type":"article-journal","volume":"99"},"uris":["http://www.mendeley.com/documents/?uuid=37a4c516-f3d0-3907-8548-191d0d0fadb4"]},{"id":"ITEM-5","itemData":{"DOI":"10.3324/haematol.13529","ISSN":"03906078","abstract":"Background: Imatinib mesylate is the first line treatment for chronic myeloid leukemia. The advent of imatinib increased survival significantly in patients in an advanced phase of the disease. However, few long-term data on the outcome of these patients based on large, prospective and controlled trials are available. Design and Methods: A phase 2 multicenter trial of the use of imatinib 600 mg/daily in patients with accelerated phase chronic myeloid leukemia was sponsored and promoted by the Italian Cooperative Study Group on Chronic Myeloid Leukemia in 2001. Results: One hundred and eleven patients were enrolled; the median follow-up of the 41 living patients is 82 months (range, 73-87). One hundred and seven patients (96%) returned to chronic phase and 79 patients (71%) achieved a complete hematologic response. Cumulative best rates of major cytogenetic response and complete cytogenetic response were 30% and 21%, respectively. All responses were maintained for a minimum of 4 weeks. At last follow-up, four patients were alive in complete remission after allogeneic transplant, 16 patients (14%) had switched to a second generation tyrosine kinase inhibitor and 21 patients (19%) were alive on imatinib therapy. No late toxicities were observed. Progression-free survival and event-free survival rates were 36.5% and 15%, respectively, at 7 years. The median survival time was 37 months, and was significantly associated with the achievement of a complete hematologic response or a complete cytogenetic response. Conclusions: Imatinib may induce durable responses, associated with prolonged survival, in patients with accelerated phase chronic myeloid leukemia (clinicaltrials.gov identifier: NCT00514969). ©2009 Ferrata Storti Foundation.","author":[{"dropping-particle":"","family":"Palandri","given":"Francesca","non-dropping-particle":"","parse-names":false,"suffix":""},{"dropping-particle":"","family":"Castagnetti","given":"Fausto","non-dropping-particle":"","parse-names":false,"suffix":""},{"dropping-particle":"","family":"Alimena","given":"Giuliana","non-dropping-particle":"","parse-names":false,"suffix":""},{"dropping-particle":"","family":"Testoni","given":"Nicoletta","non-dropping-particle":"","parse-names":false,"suffix":""},{"dropping-particle":"","family":"Breccia","given":"Massimo","non-dropping-particle":"","parse-names":false,"suffix":""},{"dropping-particle":"","family":"Luatti","given":"Simona","non-dropping-particle":"","parse-names":false,"suffix":""},{"dropping-particle":"","family":"Rege-Cambrin","given":"Giovanna","non-dropping-particle":"","parse-names":false,"suffix":""},{"dropping-particle":"","family":"Stagno","given":"Fabio","non-dropping-particle":"","parse-names":false,"suffix":""},{"dropping-particle":"","family":"Specchia","given":"Giorgina","non-dropping-particle":"","parse-names":false,"suffix":""},{"dropping-particle":"","family":"Martino","given":"Bruno","non-dropping-particle":"","parse-names":false,"suffix":""},{"dropping-particle":"","family":"Levato","given":"Luciano","non-dropping-particle":"","parse-names":false,"suffix":""},{"dropping-particle":"","family":"Merante","given":"Serena","non-dropping-particle":"","parse-names":false,"suffix":""},{"dropping-particle":"","family":"Liberati","given":"Anna Maria","non-dropping-particle":"","parse-names":false,"suffix":""},{"dropping-particle":"","family":"Pane","given":"Fabrizio","non-dropping-particle":"","parse-names":false,"suffix":""},{"dropping-particle":"","family":"Saglio","given":"Giuseppe","non-dropping-particle":"","parse-names":false,"suffix":""},{"dropping-particle":"","family":"Alberti","given":"Daniele","non-dropping-particle":"","parse-names":false,"suffix":""},{"dropping-particle":"","family":"Martinelli","given":"Giovanni","non-dropping-particle":"","parse-names":false,"suffix":""},{"dropping-particle":"","family":"Baccarani","given":"Michele","non-dropping-particle":"","parse-names":false,"suffix":""},{"dropping-particle":"","family":"Rosti","given":"Gianantonio","non-dropping-particle":"","parse-names":false,"suffix":""}],"container-title":"Haematologica","id":"ITEM-5","issue":"2","issued":{"date-parts":[["2009","2"]]},"page":"205-212","title":"The long-term durability of cytogenetic responses in patients with accelerated phase chronic myeloid leukemia treated with imatinib 600 mg: The GIMEMA CML Working Party experience after a 7-year follow-up","type":"article-journal","volume":"94"},"uris":["http://www.mendeley.com/documents/?uuid=5a545536-0bc5-3a97-90dc-a75131b61d63"]}],"mendeley":{"formattedCitation":"[19–23]","plainTextFormattedCitation":"[19–23]","previouslyFormattedCitation":"[19–23]"},"properties":{"noteIndex":0},"schema":"https://github.com/citation-style-language/schema/raw/master/csl-citation.json"}</w:instrText>
      </w:r>
      <w:r w:rsidRPr="00062B4F">
        <w:rPr>
          <w:i/>
          <w:iCs/>
          <w:szCs w:val="24"/>
          <w:lang w:eastAsia="ru-RU"/>
        </w:rPr>
        <w:fldChar w:fldCharType="separate"/>
      </w:r>
      <w:r w:rsidR="00817AE4" w:rsidRPr="00062B4F">
        <w:rPr>
          <w:iCs/>
          <w:noProof/>
          <w:szCs w:val="24"/>
          <w:lang w:eastAsia="ru-RU"/>
        </w:rPr>
        <w:t>[19–23]</w:t>
      </w:r>
      <w:r w:rsidRPr="00062B4F">
        <w:rPr>
          <w:i/>
          <w:iCs/>
          <w:szCs w:val="24"/>
          <w:lang w:eastAsia="ru-RU"/>
        </w:rPr>
        <w:fldChar w:fldCharType="end"/>
      </w:r>
      <w:r w:rsidRPr="00062B4F">
        <w:rPr>
          <w:i/>
          <w:iCs/>
          <w:szCs w:val="24"/>
          <w:lang w:eastAsia="ru-RU"/>
        </w:rPr>
        <w:t>. Препарат рекомендовано принимать</w:t>
      </w:r>
      <w:r w:rsidR="00600648">
        <w:rPr>
          <w:i/>
          <w:iCs/>
          <w:szCs w:val="24"/>
          <w:lang w:eastAsia="ru-RU"/>
        </w:rPr>
        <w:t xml:space="preserve"> однократно</w:t>
      </w:r>
      <w:r w:rsidRPr="00062B4F">
        <w:rPr>
          <w:i/>
          <w:iCs/>
          <w:szCs w:val="24"/>
          <w:lang w:eastAsia="ru-RU"/>
        </w:rPr>
        <w:t xml:space="preserve"> во время еды, запивая полным стаканом воды. Дозы препарата в зависимости от фазы ХМЛ указаны в табл. 4.</w:t>
      </w:r>
    </w:p>
    <w:p w14:paraId="59DA2578" w14:textId="77777777" w:rsidR="000C7098" w:rsidRPr="00062B4F" w:rsidRDefault="000C7098" w:rsidP="00D560BF">
      <w:pPr>
        <w:spacing w:after="120"/>
        <w:rPr>
          <w:i/>
          <w:iCs/>
          <w:szCs w:val="24"/>
          <w:lang w:eastAsia="ru-RU"/>
        </w:rPr>
      </w:pPr>
      <w:r w:rsidRPr="00062B4F">
        <w:rPr>
          <w:i/>
          <w:iCs/>
          <w:szCs w:val="24"/>
          <w:lang w:eastAsia="ru-RU"/>
        </w:rPr>
        <w:t>Снижение дозы необходимо проводить при развитии явлений токсичности.</w:t>
      </w:r>
    </w:p>
    <w:p w14:paraId="20DC5293" w14:textId="77777777" w:rsidR="000C7098" w:rsidRPr="00062B4F" w:rsidRDefault="000C7098" w:rsidP="00D560BF">
      <w:pPr>
        <w:spacing w:before="120" w:after="120"/>
        <w:rPr>
          <w:szCs w:val="24"/>
          <w:lang w:eastAsia="ru-RU"/>
        </w:rPr>
      </w:pPr>
      <w:r w:rsidRPr="00062B4F">
        <w:rPr>
          <w:b/>
          <w:bCs/>
          <w:iCs/>
          <w:szCs w:val="24"/>
          <w:lang w:eastAsia="ru-RU"/>
        </w:rPr>
        <w:lastRenderedPageBreak/>
        <w:t>Таблица 4.</w:t>
      </w:r>
      <w:r w:rsidRPr="00062B4F">
        <w:rPr>
          <w:iCs/>
          <w:szCs w:val="24"/>
          <w:lang w:eastAsia="ru-RU"/>
        </w:rPr>
        <w:t xml:space="preserve"> Дозы </w:t>
      </w:r>
      <w:proofErr w:type="spellStart"/>
      <w:r w:rsidRPr="00062B4F">
        <w:rPr>
          <w:iCs/>
          <w:szCs w:val="24"/>
          <w:lang w:eastAsia="ru-RU"/>
        </w:rPr>
        <w:t>иматиниба</w:t>
      </w:r>
      <w:proofErr w:type="spellEnd"/>
      <w:r w:rsidR="00577329" w:rsidRPr="00062B4F">
        <w:rPr>
          <w:iCs/>
          <w:szCs w:val="24"/>
          <w:lang w:eastAsia="ru-RU"/>
        </w:rPr>
        <w:t>**</w:t>
      </w:r>
      <w:r w:rsidRPr="00062B4F">
        <w:rPr>
          <w:iCs/>
          <w:szCs w:val="24"/>
          <w:lang w:eastAsia="ru-RU"/>
        </w:rPr>
        <w:t xml:space="preserve"> при лечении ХМЛ</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630"/>
        <w:gridCol w:w="2355"/>
        <w:gridCol w:w="3300"/>
      </w:tblGrid>
      <w:tr w:rsidR="000C7098" w:rsidRPr="00062B4F" w14:paraId="33A8C219" w14:textId="77777777">
        <w:trPr>
          <w:trHeight w:val="672"/>
          <w:jc w:val="center"/>
        </w:trPr>
        <w:tc>
          <w:tcPr>
            <w:tcW w:w="3630" w:type="dxa"/>
            <w:tcBorders>
              <w:top w:val="single" w:sz="6" w:space="0" w:color="000000"/>
              <w:left w:val="single" w:sz="6" w:space="0" w:color="000000"/>
              <w:bottom w:val="single" w:sz="6" w:space="0" w:color="000000"/>
              <w:right w:val="single" w:sz="6" w:space="0" w:color="000000"/>
            </w:tcBorders>
            <w:vAlign w:val="center"/>
          </w:tcPr>
          <w:p w14:paraId="3F588D0C" w14:textId="77777777" w:rsidR="000C7098" w:rsidRPr="00062B4F" w:rsidRDefault="000C7098" w:rsidP="009D2E3F">
            <w:pPr>
              <w:spacing w:beforeAutospacing="1" w:afterAutospacing="1" w:line="288" w:lineRule="auto"/>
              <w:ind w:firstLine="0"/>
              <w:jc w:val="center"/>
              <w:rPr>
                <w:b/>
                <w:szCs w:val="24"/>
                <w:lang w:eastAsia="ru-RU"/>
              </w:rPr>
            </w:pPr>
            <w:r w:rsidRPr="00062B4F">
              <w:rPr>
                <w:b/>
                <w:iCs/>
                <w:szCs w:val="24"/>
                <w:lang w:eastAsia="ru-RU"/>
              </w:rPr>
              <w:t>Доза</w:t>
            </w:r>
          </w:p>
        </w:tc>
        <w:tc>
          <w:tcPr>
            <w:tcW w:w="2355" w:type="dxa"/>
            <w:tcBorders>
              <w:top w:val="single" w:sz="6" w:space="0" w:color="000000"/>
              <w:left w:val="single" w:sz="6" w:space="0" w:color="000000"/>
              <w:bottom w:val="single" w:sz="6" w:space="0" w:color="000000"/>
              <w:right w:val="single" w:sz="6" w:space="0" w:color="000000"/>
            </w:tcBorders>
            <w:vAlign w:val="center"/>
          </w:tcPr>
          <w:p w14:paraId="4327CF50" w14:textId="77777777" w:rsidR="000C7098" w:rsidRPr="00062B4F" w:rsidRDefault="000C7098" w:rsidP="009D2E3F">
            <w:pPr>
              <w:spacing w:beforeAutospacing="1" w:afterAutospacing="1" w:line="288" w:lineRule="auto"/>
              <w:ind w:firstLine="0"/>
              <w:jc w:val="center"/>
              <w:rPr>
                <w:b/>
                <w:szCs w:val="24"/>
                <w:lang w:eastAsia="ru-RU"/>
              </w:rPr>
            </w:pPr>
            <w:r w:rsidRPr="00062B4F">
              <w:rPr>
                <w:b/>
                <w:iCs/>
                <w:szCs w:val="24"/>
                <w:lang w:eastAsia="ru-RU"/>
              </w:rPr>
              <w:t>ХФ</w:t>
            </w:r>
          </w:p>
        </w:tc>
        <w:tc>
          <w:tcPr>
            <w:tcW w:w="3300" w:type="dxa"/>
            <w:tcBorders>
              <w:top w:val="single" w:sz="6" w:space="0" w:color="000000"/>
              <w:left w:val="single" w:sz="6" w:space="0" w:color="000000"/>
              <w:bottom w:val="single" w:sz="6" w:space="0" w:color="000000"/>
              <w:right w:val="single" w:sz="6" w:space="0" w:color="000000"/>
            </w:tcBorders>
            <w:vAlign w:val="center"/>
          </w:tcPr>
          <w:p w14:paraId="6949149D" w14:textId="77777777" w:rsidR="000C7098" w:rsidRPr="00062B4F" w:rsidRDefault="000C7098" w:rsidP="009D2E3F">
            <w:pPr>
              <w:spacing w:beforeAutospacing="1" w:afterAutospacing="1" w:line="288" w:lineRule="auto"/>
              <w:ind w:firstLine="0"/>
              <w:jc w:val="center"/>
              <w:rPr>
                <w:b/>
                <w:szCs w:val="24"/>
                <w:lang w:eastAsia="ru-RU"/>
              </w:rPr>
            </w:pPr>
            <w:r w:rsidRPr="00062B4F">
              <w:rPr>
                <w:b/>
                <w:iCs/>
                <w:szCs w:val="24"/>
                <w:lang w:eastAsia="ru-RU"/>
              </w:rPr>
              <w:t>ФА и БК</w:t>
            </w:r>
          </w:p>
        </w:tc>
      </w:tr>
      <w:tr w:rsidR="000C7098" w:rsidRPr="00062B4F" w14:paraId="4C64035A" w14:textId="77777777">
        <w:trPr>
          <w:trHeight w:val="425"/>
          <w:jc w:val="center"/>
        </w:trPr>
        <w:tc>
          <w:tcPr>
            <w:tcW w:w="3630" w:type="dxa"/>
            <w:tcBorders>
              <w:top w:val="single" w:sz="6" w:space="0" w:color="000000"/>
              <w:left w:val="single" w:sz="6" w:space="0" w:color="000000"/>
              <w:bottom w:val="single" w:sz="6" w:space="0" w:color="000000"/>
              <w:right w:val="single" w:sz="6" w:space="0" w:color="000000"/>
            </w:tcBorders>
            <w:vAlign w:val="center"/>
          </w:tcPr>
          <w:p w14:paraId="6C2B049B" w14:textId="77777777" w:rsidR="000C7098" w:rsidRPr="00062B4F" w:rsidRDefault="000C7098" w:rsidP="009D2E3F">
            <w:pPr>
              <w:spacing w:beforeAutospacing="1" w:afterAutospacing="1" w:line="288" w:lineRule="auto"/>
              <w:ind w:firstLine="0"/>
              <w:jc w:val="left"/>
              <w:rPr>
                <w:szCs w:val="24"/>
                <w:lang w:eastAsia="ru-RU"/>
              </w:rPr>
            </w:pPr>
            <w:r w:rsidRPr="00062B4F">
              <w:rPr>
                <w:iCs/>
                <w:szCs w:val="24"/>
                <w:lang w:eastAsia="ru-RU"/>
              </w:rPr>
              <w:t>Стартовая доза</w:t>
            </w:r>
          </w:p>
        </w:tc>
        <w:tc>
          <w:tcPr>
            <w:tcW w:w="2355" w:type="dxa"/>
            <w:tcBorders>
              <w:top w:val="single" w:sz="6" w:space="0" w:color="000000"/>
              <w:left w:val="single" w:sz="6" w:space="0" w:color="000000"/>
              <w:bottom w:val="single" w:sz="6" w:space="0" w:color="000000"/>
              <w:right w:val="single" w:sz="6" w:space="0" w:color="000000"/>
            </w:tcBorders>
            <w:vAlign w:val="center"/>
          </w:tcPr>
          <w:p w14:paraId="495CB21B"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400 мг/</w:t>
            </w:r>
            <w:proofErr w:type="spellStart"/>
            <w:r w:rsidRPr="00062B4F">
              <w:rPr>
                <w:iCs/>
                <w:szCs w:val="24"/>
                <w:lang w:eastAsia="ru-RU"/>
              </w:rPr>
              <w:t>сут</w:t>
            </w:r>
            <w:proofErr w:type="spellEnd"/>
          </w:p>
        </w:tc>
        <w:tc>
          <w:tcPr>
            <w:tcW w:w="3300" w:type="dxa"/>
            <w:tcBorders>
              <w:top w:val="single" w:sz="6" w:space="0" w:color="000000"/>
              <w:left w:val="single" w:sz="6" w:space="0" w:color="000000"/>
              <w:bottom w:val="single" w:sz="6" w:space="0" w:color="000000"/>
              <w:right w:val="single" w:sz="6" w:space="0" w:color="000000"/>
            </w:tcBorders>
            <w:vAlign w:val="center"/>
          </w:tcPr>
          <w:p w14:paraId="0429A322"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600 мг/</w:t>
            </w:r>
            <w:proofErr w:type="spellStart"/>
            <w:r w:rsidRPr="00062B4F">
              <w:rPr>
                <w:iCs/>
                <w:szCs w:val="24"/>
                <w:lang w:eastAsia="ru-RU"/>
              </w:rPr>
              <w:t>сут</w:t>
            </w:r>
            <w:proofErr w:type="spellEnd"/>
          </w:p>
        </w:tc>
      </w:tr>
      <w:tr w:rsidR="000C7098" w:rsidRPr="00062B4F" w14:paraId="0E03CD5D" w14:textId="77777777">
        <w:trPr>
          <w:trHeight w:val="389"/>
          <w:jc w:val="center"/>
        </w:trPr>
        <w:tc>
          <w:tcPr>
            <w:tcW w:w="3630" w:type="dxa"/>
            <w:tcBorders>
              <w:top w:val="single" w:sz="6" w:space="0" w:color="000000"/>
              <w:left w:val="single" w:sz="6" w:space="0" w:color="000000"/>
              <w:bottom w:val="single" w:sz="6" w:space="0" w:color="000000"/>
              <w:right w:val="single" w:sz="6" w:space="0" w:color="000000"/>
            </w:tcBorders>
            <w:vAlign w:val="center"/>
          </w:tcPr>
          <w:p w14:paraId="33E16FC9"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Повышение дозы (+1)</w:t>
            </w:r>
          </w:p>
        </w:tc>
        <w:tc>
          <w:tcPr>
            <w:tcW w:w="2355" w:type="dxa"/>
            <w:tcBorders>
              <w:top w:val="single" w:sz="6" w:space="0" w:color="000000"/>
              <w:left w:val="single" w:sz="6" w:space="0" w:color="000000"/>
              <w:bottom w:val="single" w:sz="6" w:space="0" w:color="000000"/>
              <w:right w:val="single" w:sz="6" w:space="0" w:color="000000"/>
            </w:tcBorders>
            <w:vAlign w:val="center"/>
          </w:tcPr>
          <w:p w14:paraId="6A8A2E8F"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600 мг/</w:t>
            </w:r>
            <w:proofErr w:type="spellStart"/>
            <w:r w:rsidRPr="00062B4F">
              <w:rPr>
                <w:iCs/>
                <w:szCs w:val="24"/>
                <w:lang w:eastAsia="ru-RU"/>
              </w:rPr>
              <w:t>сут</w:t>
            </w:r>
            <w:proofErr w:type="spellEnd"/>
          </w:p>
        </w:tc>
        <w:tc>
          <w:tcPr>
            <w:tcW w:w="3300" w:type="dxa"/>
            <w:tcBorders>
              <w:top w:val="single" w:sz="6" w:space="0" w:color="000000"/>
              <w:left w:val="single" w:sz="6" w:space="0" w:color="000000"/>
              <w:bottom w:val="single" w:sz="6" w:space="0" w:color="000000"/>
              <w:right w:val="single" w:sz="6" w:space="0" w:color="000000"/>
            </w:tcBorders>
            <w:vAlign w:val="center"/>
          </w:tcPr>
          <w:p w14:paraId="52291B29"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800 мг /</w:t>
            </w:r>
            <w:proofErr w:type="spellStart"/>
            <w:r w:rsidRPr="00062B4F">
              <w:rPr>
                <w:iCs/>
                <w:szCs w:val="24"/>
                <w:lang w:eastAsia="ru-RU"/>
              </w:rPr>
              <w:t>сут</w:t>
            </w:r>
            <w:proofErr w:type="spellEnd"/>
          </w:p>
        </w:tc>
      </w:tr>
      <w:tr w:rsidR="000C7098" w:rsidRPr="00062B4F" w14:paraId="2D91B457" w14:textId="77777777">
        <w:trPr>
          <w:trHeight w:val="408"/>
          <w:jc w:val="center"/>
        </w:trPr>
        <w:tc>
          <w:tcPr>
            <w:tcW w:w="3630" w:type="dxa"/>
            <w:tcBorders>
              <w:top w:val="single" w:sz="6" w:space="0" w:color="000000"/>
              <w:left w:val="single" w:sz="6" w:space="0" w:color="000000"/>
              <w:bottom w:val="single" w:sz="6" w:space="0" w:color="000000"/>
              <w:right w:val="single" w:sz="6" w:space="0" w:color="000000"/>
            </w:tcBorders>
            <w:vAlign w:val="center"/>
          </w:tcPr>
          <w:p w14:paraId="42EA179E"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Повышение дозы (+2)</w:t>
            </w:r>
          </w:p>
        </w:tc>
        <w:tc>
          <w:tcPr>
            <w:tcW w:w="2355" w:type="dxa"/>
            <w:tcBorders>
              <w:top w:val="single" w:sz="6" w:space="0" w:color="000000"/>
              <w:left w:val="single" w:sz="6" w:space="0" w:color="000000"/>
              <w:bottom w:val="single" w:sz="6" w:space="0" w:color="000000"/>
              <w:right w:val="single" w:sz="6" w:space="0" w:color="000000"/>
            </w:tcBorders>
            <w:vAlign w:val="center"/>
          </w:tcPr>
          <w:p w14:paraId="2998D008"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800 мг/</w:t>
            </w:r>
            <w:proofErr w:type="spellStart"/>
            <w:r w:rsidRPr="00062B4F">
              <w:rPr>
                <w:iCs/>
                <w:szCs w:val="24"/>
                <w:lang w:eastAsia="ru-RU"/>
              </w:rPr>
              <w:t>сут</w:t>
            </w:r>
            <w:proofErr w:type="spellEnd"/>
          </w:p>
        </w:tc>
        <w:tc>
          <w:tcPr>
            <w:tcW w:w="3300" w:type="dxa"/>
            <w:tcBorders>
              <w:top w:val="single" w:sz="6" w:space="0" w:color="000000"/>
              <w:left w:val="single" w:sz="6" w:space="0" w:color="000000"/>
              <w:bottom w:val="single" w:sz="6" w:space="0" w:color="000000"/>
              <w:right w:val="single" w:sz="6" w:space="0" w:color="000000"/>
            </w:tcBorders>
            <w:vAlign w:val="center"/>
          </w:tcPr>
          <w:p w14:paraId="66718F42"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w:t>
            </w:r>
          </w:p>
        </w:tc>
      </w:tr>
      <w:tr w:rsidR="000C7098" w:rsidRPr="00062B4F" w14:paraId="44914ABF" w14:textId="77777777">
        <w:trPr>
          <w:trHeight w:val="428"/>
          <w:jc w:val="center"/>
        </w:trPr>
        <w:tc>
          <w:tcPr>
            <w:tcW w:w="3630" w:type="dxa"/>
            <w:tcBorders>
              <w:top w:val="single" w:sz="6" w:space="0" w:color="000000"/>
              <w:left w:val="single" w:sz="6" w:space="0" w:color="000000"/>
              <w:bottom w:val="single" w:sz="6" w:space="0" w:color="000000"/>
              <w:right w:val="single" w:sz="6" w:space="0" w:color="000000"/>
            </w:tcBorders>
            <w:vAlign w:val="center"/>
          </w:tcPr>
          <w:p w14:paraId="49C02D85"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Снижение дозы (–1)</w:t>
            </w:r>
          </w:p>
        </w:tc>
        <w:tc>
          <w:tcPr>
            <w:tcW w:w="2355" w:type="dxa"/>
            <w:tcBorders>
              <w:top w:val="single" w:sz="6" w:space="0" w:color="000000"/>
              <w:left w:val="single" w:sz="6" w:space="0" w:color="000000"/>
              <w:bottom w:val="single" w:sz="6" w:space="0" w:color="000000"/>
              <w:right w:val="single" w:sz="6" w:space="0" w:color="000000"/>
            </w:tcBorders>
            <w:vAlign w:val="center"/>
          </w:tcPr>
          <w:p w14:paraId="6C9F1ED5"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300 мг/</w:t>
            </w:r>
            <w:proofErr w:type="spellStart"/>
            <w:r w:rsidRPr="00062B4F">
              <w:rPr>
                <w:iCs/>
                <w:szCs w:val="24"/>
                <w:lang w:eastAsia="ru-RU"/>
              </w:rPr>
              <w:t>сут</w:t>
            </w:r>
            <w:proofErr w:type="spellEnd"/>
          </w:p>
        </w:tc>
        <w:tc>
          <w:tcPr>
            <w:tcW w:w="3300" w:type="dxa"/>
            <w:tcBorders>
              <w:top w:val="single" w:sz="6" w:space="0" w:color="000000"/>
              <w:left w:val="single" w:sz="6" w:space="0" w:color="000000"/>
              <w:bottom w:val="single" w:sz="6" w:space="0" w:color="000000"/>
              <w:right w:val="single" w:sz="6" w:space="0" w:color="000000"/>
            </w:tcBorders>
            <w:vAlign w:val="center"/>
          </w:tcPr>
          <w:p w14:paraId="2F6EB137" w14:textId="77777777" w:rsidR="000C7098" w:rsidRPr="00062B4F" w:rsidRDefault="000C7098" w:rsidP="009D2E3F">
            <w:pPr>
              <w:suppressLineNumbers/>
              <w:spacing w:before="120" w:beforeAutospacing="1" w:after="120" w:afterAutospacing="1" w:line="288" w:lineRule="auto"/>
              <w:ind w:firstLine="0"/>
              <w:jc w:val="left"/>
              <w:rPr>
                <w:szCs w:val="24"/>
                <w:lang w:eastAsia="ru-RU"/>
              </w:rPr>
            </w:pPr>
            <w:r w:rsidRPr="00062B4F">
              <w:rPr>
                <w:iCs/>
                <w:szCs w:val="24"/>
                <w:lang w:eastAsia="ru-RU"/>
              </w:rPr>
              <w:t>400 мг/</w:t>
            </w:r>
            <w:proofErr w:type="spellStart"/>
            <w:r w:rsidRPr="00062B4F">
              <w:rPr>
                <w:iCs/>
                <w:szCs w:val="24"/>
                <w:lang w:eastAsia="ru-RU"/>
              </w:rPr>
              <w:t>сут</w:t>
            </w:r>
            <w:proofErr w:type="spellEnd"/>
          </w:p>
        </w:tc>
      </w:tr>
    </w:tbl>
    <w:p w14:paraId="14ED4AF8" w14:textId="77777777" w:rsidR="000C7098" w:rsidRPr="00062B4F" w:rsidRDefault="000C7098" w:rsidP="00065DED">
      <w:pPr>
        <w:ind w:left="357" w:firstLine="0"/>
        <w:rPr>
          <w:szCs w:val="24"/>
          <w:lang w:eastAsia="ru-RU"/>
        </w:rPr>
      </w:pPr>
    </w:p>
    <w:p w14:paraId="6E61CDCE" w14:textId="381548B6" w:rsidR="000C7098" w:rsidRPr="00062B4F" w:rsidRDefault="000C7098" w:rsidP="00505FD7">
      <w:pPr>
        <w:numPr>
          <w:ilvl w:val="0"/>
          <w:numId w:val="10"/>
        </w:numPr>
        <w:ind w:left="714" w:hanging="357"/>
        <w:rPr>
          <w:iCs/>
          <w:szCs w:val="24"/>
          <w:lang w:eastAsia="ru-RU"/>
        </w:rPr>
      </w:pPr>
      <w:r w:rsidRPr="00062B4F">
        <w:rPr>
          <w:b/>
          <w:bCs/>
          <w:iCs/>
          <w:szCs w:val="24"/>
          <w:lang w:eastAsia="ru-RU"/>
        </w:rPr>
        <w:t>Рекомендуется</w:t>
      </w:r>
      <w:r w:rsidRPr="00062B4F">
        <w:rPr>
          <w:iCs/>
          <w:szCs w:val="24"/>
          <w:lang w:eastAsia="ru-RU"/>
        </w:rPr>
        <w:t xml:space="preserve"> </w:t>
      </w:r>
      <w:r w:rsidRPr="00062B4F">
        <w:rPr>
          <w:bCs/>
          <w:iCs/>
          <w:szCs w:val="24"/>
          <w:lang w:eastAsia="ru-RU"/>
        </w:rPr>
        <w:t>всем</w:t>
      </w:r>
      <w:r w:rsidRPr="00062B4F">
        <w:rPr>
          <w:b/>
          <w:bCs/>
          <w:iCs/>
          <w:szCs w:val="24"/>
          <w:lang w:eastAsia="ru-RU"/>
        </w:rPr>
        <w:t xml:space="preserve"> </w:t>
      </w:r>
      <w:r w:rsidRPr="00062B4F">
        <w:rPr>
          <w:bCs/>
          <w:iCs/>
          <w:szCs w:val="24"/>
          <w:lang w:eastAsia="ru-RU"/>
        </w:rPr>
        <w:t>пациентам</w:t>
      </w:r>
      <w:r w:rsidRPr="00062B4F">
        <w:rPr>
          <w:b/>
          <w:bCs/>
          <w:iCs/>
          <w:szCs w:val="24"/>
          <w:lang w:eastAsia="ru-RU"/>
        </w:rPr>
        <w:t xml:space="preserve"> </w:t>
      </w:r>
      <w:r w:rsidRPr="00062B4F">
        <w:rPr>
          <w:iCs/>
          <w:szCs w:val="24"/>
          <w:lang w:eastAsia="ru-RU"/>
        </w:rPr>
        <w:t xml:space="preserve">в ХФ и ФА использование </w:t>
      </w:r>
      <w:proofErr w:type="spellStart"/>
      <w:r w:rsidRPr="00062B4F">
        <w:rPr>
          <w:iCs/>
          <w:szCs w:val="24"/>
          <w:lang w:eastAsia="ru-RU"/>
        </w:rPr>
        <w:t>нилотиниба</w:t>
      </w:r>
      <w:proofErr w:type="spellEnd"/>
      <w:r w:rsidRPr="00062B4F">
        <w:rPr>
          <w:iCs/>
          <w:szCs w:val="24"/>
          <w:lang w:eastAsia="ru-RU"/>
        </w:rPr>
        <w:t>** как препарата первой лини</w:t>
      </w:r>
      <w:r w:rsidR="00600648">
        <w:rPr>
          <w:iCs/>
          <w:szCs w:val="24"/>
          <w:lang w:eastAsia="ru-RU"/>
        </w:rPr>
        <w:t>и</w:t>
      </w:r>
      <w:r w:rsidRPr="00062B4F">
        <w:rPr>
          <w:iCs/>
          <w:szCs w:val="24"/>
          <w:lang w:eastAsia="ru-RU"/>
        </w:rPr>
        <w:t xml:space="preserve"> для терапии ХМЛ в режиме </w:t>
      </w:r>
      <w:proofErr w:type="spellStart"/>
      <w:r w:rsidRPr="00062B4F">
        <w:rPr>
          <w:iCs/>
          <w:szCs w:val="24"/>
          <w:lang w:eastAsia="ru-RU"/>
        </w:rPr>
        <w:t>монотерапии</w:t>
      </w:r>
      <w:proofErr w:type="spellEnd"/>
      <w:r w:rsidRPr="00062B4F">
        <w:rPr>
          <w:iCs/>
          <w:szCs w:val="24"/>
          <w:lang w:eastAsia="ru-RU"/>
        </w:rPr>
        <w:t xml:space="preserve"> </w:t>
      </w:r>
      <w:r w:rsidR="00D079D3" w:rsidRPr="00062B4F">
        <w:rPr>
          <w:iCs/>
          <w:szCs w:val="24"/>
          <w:lang w:eastAsia="ru-RU"/>
        </w:rPr>
        <w:fldChar w:fldCharType="begin" w:fldLock="1"/>
      </w:r>
      <w:r w:rsidR="00C54289" w:rsidRPr="00062B4F">
        <w:rPr>
          <w:iCs/>
          <w:szCs w:val="24"/>
          <w:lang w:eastAsia="ru-RU"/>
        </w:rPr>
        <w:instrText>ADDIN CSL_CITATION {"citationItems":[{"id":"ITEM-1","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M.","non-dropping-particle":"","parse-names":false,"suffix":""}],"container-title":"Leukemia","id":"ITEM-1","issue":"5","issued":{"date-parts":[["2016","5","1"]]},"page":"1044-1054","publisher":"Nature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plainTextFormattedCitation":"[25]","previouslyFormattedCitation":"[25]"},"properties":{"noteIndex":0},"schema":"https://github.com/citation-style-language/schema/raw/master/csl-citation.json"}</w:instrText>
      </w:r>
      <w:r w:rsidR="00D079D3" w:rsidRPr="00062B4F">
        <w:rPr>
          <w:iCs/>
          <w:szCs w:val="24"/>
          <w:lang w:eastAsia="ru-RU"/>
        </w:rPr>
        <w:fldChar w:fldCharType="separate"/>
      </w:r>
      <w:r w:rsidR="00817AE4" w:rsidRPr="00062B4F">
        <w:rPr>
          <w:iCs/>
          <w:noProof/>
          <w:szCs w:val="24"/>
          <w:lang w:eastAsia="ru-RU"/>
        </w:rPr>
        <w:t>[25]</w:t>
      </w:r>
      <w:r w:rsidR="00D079D3" w:rsidRPr="00062B4F">
        <w:rPr>
          <w:iCs/>
          <w:szCs w:val="24"/>
          <w:lang w:eastAsia="ru-RU"/>
        </w:rPr>
        <w:fldChar w:fldCharType="end"/>
      </w:r>
      <w:r w:rsidRPr="00062B4F">
        <w:rPr>
          <w:iCs/>
          <w:szCs w:val="24"/>
          <w:lang w:eastAsia="ru-RU"/>
        </w:rPr>
        <w:t>.</w:t>
      </w:r>
    </w:p>
    <w:p w14:paraId="39213D24" w14:textId="77777777" w:rsidR="000C7098" w:rsidRPr="00062B4F" w:rsidRDefault="000C7098" w:rsidP="008E7654">
      <w:pPr>
        <w:ind w:left="709" w:firstLine="0"/>
        <w:rPr>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A</w:t>
      </w:r>
      <w:r w:rsidRPr="00062B4F">
        <w:rPr>
          <w:b/>
          <w:bCs/>
          <w:szCs w:val="24"/>
          <w:lang w:eastAsia="ru-RU"/>
        </w:rPr>
        <w:t xml:space="preserve"> </w:t>
      </w:r>
      <w:r w:rsidRPr="00062B4F">
        <w:rPr>
          <w:bCs/>
          <w:szCs w:val="24"/>
          <w:lang w:eastAsia="ru-RU"/>
        </w:rPr>
        <w:t>(уровень достоверности доказательств – 2).</w:t>
      </w:r>
    </w:p>
    <w:p w14:paraId="4B3357BB" w14:textId="737C04B9" w:rsidR="000C7098" w:rsidRPr="00062B4F" w:rsidRDefault="000C7098" w:rsidP="009F0639">
      <w:pPr>
        <w:rPr>
          <w:i/>
          <w:iCs/>
          <w:szCs w:val="24"/>
          <w:lang w:eastAsia="ru-RU"/>
        </w:rPr>
      </w:pPr>
      <w:r w:rsidRPr="00062B4F">
        <w:rPr>
          <w:b/>
          <w:bCs/>
          <w:i/>
          <w:iCs/>
          <w:szCs w:val="24"/>
          <w:lang w:eastAsia="ru-RU"/>
        </w:rPr>
        <w:t xml:space="preserve">Комментарии: </w:t>
      </w:r>
      <w:proofErr w:type="spellStart"/>
      <w:r w:rsidRPr="00062B4F">
        <w:rPr>
          <w:i/>
          <w:iCs/>
          <w:szCs w:val="24"/>
          <w:lang w:eastAsia="ru-RU"/>
        </w:rPr>
        <w:t>нилотиниб</w:t>
      </w:r>
      <w:proofErr w:type="spellEnd"/>
      <w:r w:rsidRPr="00062B4F">
        <w:rPr>
          <w:i/>
          <w:iCs/>
          <w:szCs w:val="24"/>
          <w:lang w:eastAsia="ru-RU"/>
        </w:rPr>
        <w:t xml:space="preserve">** – мощный, высокоселективный ингибитор </w:t>
      </w:r>
      <w:proofErr w:type="gramStart"/>
      <w:r w:rsidR="00602FD9" w:rsidRPr="00114D20">
        <w:rPr>
          <w:szCs w:val="24"/>
          <w:lang w:eastAsia="ru-RU"/>
        </w:rPr>
        <w:t>BCR::</w:t>
      </w:r>
      <w:proofErr w:type="gramEnd"/>
      <w:r w:rsidR="00602FD9" w:rsidRPr="00114D20">
        <w:rPr>
          <w:szCs w:val="24"/>
          <w:lang w:eastAsia="ru-RU"/>
        </w:rPr>
        <w:t>ABL</w:t>
      </w:r>
      <w:r w:rsidR="00602FD9" w:rsidRPr="00114D20">
        <w:rPr>
          <w:iCs/>
          <w:szCs w:val="24"/>
          <w:lang w:eastAsia="ru-RU"/>
        </w:rPr>
        <w:t>1</w:t>
      </w:r>
      <w:r w:rsidR="00602FD9" w:rsidRPr="00114D20">
        <w:rPr>
          <w:i/>
          <w:iCs/>
          <w:szCs w:val="24"/>
          <w:lang w:eastAsia="ru-RU"/>
        </w:rPr>
        <w:t xml:space="preserve"> </w:t>
      </w:r>
      <w:proofErr w:type="spellStart"/>
      <w:r w:rsidRPr="00114D20">
        <w:rPr>
          <w:i/>
          <w:iCs/>
          <w:szCs w:val="24"/>
          <w:lang w:eastAsia="ru-RU"/>
        </w:rPr>
        <w:t>тирозинкиназы</w:t>
      </w:r>
      <w:proofErr w:type="spellEnd"/>
      <w:r w:rsidRPr="00114D20">
        <w:rPr>
          <w:i/>
          <w:iCs/>
          <w:szCs w:val="24"/>
          <w:lang w:eastAsia="ru-RU"/>
        </w:rPr>
        <w:t>. Имеет большее сродство к ней по сравнению с </w:t>
      </w:r>
      <w:proofErr w:type="spellStart"/>
      <w:r w:rsidRPr="00114D20">
        <w:rPr>
          <w:i/>
          <w:iCs/>
          <w:szCs w:val="24"/>
          <w:lang w:eastAsia="ru-RU"/>
        </w:rPr>
        <w:t>иматинибом</w:t>
      </w:r>
      <w:proofErr w:type="spellEnd"/>
      <w:r w:rsidRPr="00114D20">
        <w:rPr>
          <w:i/>
          <w:iCs/>
          <w:szCs w:val="24"/>
          <w:lang w:eastAsia="ru-RU"/>
        </w:rPr>
        <w:t xml:space="preserve">**, активен в отношении </w:t>
      </w:r>
      <w:r w:rsidR="00602FD9" w:rsidRPr="00114D20">
        <w:rPr>
          <w:i/>
          <w:iCs/>
          <w:szCs w:val="24"/>
          <w:lang w:eastAsia="ru-RU"/>
        </w:rPr>
        <w:t xml:space="preserve">большинства мутаций </w:t>
      </w:r>
      <w:proofErr w:type="gramStart"/>
      <w:r w:rsidR="00602FD9" w:rsidRPr="00114D20">
        <w:rPr>
          <w:i/>
          <w:szCs w:val="24"/>
          <w:lang w:eastAsia="ru-RU"/>
        </w:rPr>
        <w:t>BCR::</w:t>
      </w:r>
      <w:proofErr w:type="gramEnd"/>
      <w:r w:rsidR="00602FD9" w:rsidRPr="00114D20">
        <w:rPr>
          <w:i/>
          <w:szCs w:val="24"/>
          <w:lang w:eastAsia="ru-RU"/>
        </w:rPr>
        <w:t>ABL</w:t>
      </w:r>
      <w:r w:rsidR="00602FD9" w:rsidRPr="00114D20">
        <w:rPr>
          <w:i/>
          <w:iCs/>
          <w:szCs w:val="24"/>
          <w:lang w:eastAsia="ru-RU"/>
        </w:rPr>
        <w:t>1</w:t>
      </w:r>
      <w:r w:rsidRPr="00114D20">
        <w:rPr>
          <w:i/>
          <w:iCs/>
          <w:szCs w:val="24"/>
          <w:lang w:eastAsia="ru-RU"/>
        </w:rPr>
        <w:t>.</w:t>
      </w:r>
      <w:r w:rsidRPr="00062B4F">
        <w:rPr>
          <w:i/>
          <w:iCs/>
          <w:szCs w:val="24"/>
          <w:lang w:eastAsia="ru-RU"/>
        </w:rPr>
        <w:t xml:space="preserve"> Выпускается в виде капсул по 150 и 200 мг. В 1 линии терапии показан пациентам с ХФ ХМЛ в начальной дозе 600 мг/</w:t>
      </w:r>
      <w:proofErr w:type="spellStart"/>
      <w:r w:rsidRPr="00062B4F">
        <w:rPr>
          <w:i/>
          <w:iCs/>
          <w:szCs w:val="24"/>
          <w:lang w:eastAsia="ru-RU"/>
        </w:rPr>
        <w:t>сут</w:t>
      </w:r>
      <w:proofErr w:type="spellEnd"/>
      <w:r w:rsidRPr="00062B4F">
        <w:rPr>
          <w:i/>
          <w:iCs/>
          <w:szCs w:val="24"/>
          <w:lang w:eastAsia="ru-RU"/>
        </w:rPr>
        <w:t xml:space="preserve"> и в дозе 800 мг/</w:t>
      </w:r>
      <w:proofErr w:type="spellStart"/>
      <w:r w:rsidRPr="00062B4F">
        <w:rPr>
          <w:i/>
          <w:iCs/>
          <w:szCs w:val="24"/>
          <w:lang w:eastAsia="ru-RU"/>
        </w:rPr>
        <w:t>сут</w:t>
      </w:r>
      <w:proofErr w:type="spellEnd"/>
      <w:r w:rsidRPr="00062B4F">
        <w:rPr>
          <w:i/>
          <w:iCs/>
          <w:szCs w:val="24"/>
          <w:lang w:eastAsia="ru-RU"/>
        </w:rPr>
        <w:t xml:space="preserve"> в ФА </w:t>
      </w:r>
      <w:r w:rsidRPr="00062B4F">
        <w:rPr>
          <w:i/>
          <w:iCs/>
          <w:szCs w:val="24"/>
          <w:lang w:eastAsia="ru-RU"/>
        </w:rPr>
        <w:fldChar w:fldCharType="begin" w:fldLock="1"/>
      </w:r>
      <w:r w:rsidR="00C54289" w:rsidRPr="00062B4F">
        <w:rPr>
          <w:i/>
          <w:iCs/>
          <w:szCs w:val="24"/>
          <w:lang w:eastAsia="ru-RU"/>
        </w:rPr>
        <w:instrText>ADDIN CSL_CITATION {"citationItems":[{"id":"ITEM-1","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M.","non-dropping-particle":"","parse-names":false,"suffix":""}],"container-title":"Leukemia","id":"ITEM-1","issue":"5","issued":{"date-parts":[["2016","5","1"]]},"page":"1044-1054","publisher":"Nature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plainTextFormattedCitation":"[25]","previouslyFormattedCitation":"[25]"},"properties":{"noteIndex":0},"schema":"https://github.com/citation-style-language/schema/raw/master/csl-citation.json"}</w:instrText>
      </w:r>
      <w:r w:rsidRPr="00062B4F">
        <w:rPr>
          <w:i/>
          <w:iCs/>
          <w:szCs w:val="24"/>
          <w:lang w:eastAsia="ru-RU"/>
        </w:rPr>
        <w:fldChar w:fldCharType="separate"/>
      </w:r>
      <w:r w:rsidR="0022783A" w:rsidRPr="00062B4F">
        <w:rPr>
          <w:iCs/>
          <w:noProof/>
          <w:szCs w:val="24"/>
          <w:lang w:eastAsia="ru-RU"/>
        </w:rPr>
        <w:t>[25]</w:t>
      </w:r>
      <w:r w:rsidRPr="00062B4F">
        <w:rPr>
          <w:i/>
          <w:iCs/>
          <w:szCs w:val="24"/>
          <w:lang w:eastAsia="ru-RU"/>
        </w:rPr>
        <w:fldChar w:fldCharType="end"/>
      </w:r>
      <w:r w:rsidRPr="00062B4F">
        <w:rPr>
          <w:i/>
          <w:iCs/>
          <w:szCs w:val="24"/>
          <w:lang w:eastAsia="ru-RU"/>
        </w:rPr>
        <w:t xml:space="preserve">. Независимо от фазы ХМЛ прием осуществляется 2 раза в сутки в равных дозах (300 мг или 400 мг) с интервалом примерно 12 часов. Рекомендован прием препарата строго натощак, так как пища значительно увеличивает </w:t>
      </w:r>
      <w:proofErr w:type="spellStart"/>
      <w:r w:rsidRPr="00062B4F">
        <w:rPr>
          <w:i/>
          <w:iCs/>
          <w:szCs w:val="24"/>
          <w:lang w:eastAsia="ru-RU"/>
        </w:rPr>
        <w:t>биодоступность</w:t>
      </w:r>
      <w:proofErr w:type="spellEnd"/>
      <w:r w:rsidRPr="00062B4F">
        <w:rPr>
          <w:i/>
          <w:iCs/>
          <w:szCs w:val="24"/>
          <w:lang w:eastAsia="ru-RU"/>
        </w:rPr>
        <w:t xml:space="preserve"> препарата (до 80 %), что ведет к увеличению концентрации </w:t>
      </w:r>
      <w:proofErr w:type="spellStart"/>
      <w:r w:rsidRPr="00062B4F">
        <w:rPr>
          <w:i/>
          <w:iCs/>
          <w:szCs w:val="24"/>
          <w:lang w:eastAsia="ru-RU"/>
        </w:rPr>
        <w:t>нилотиниба</w:t>
      </w:r>
      <w:proofErr w:type="spellEnd"/>
      <w:r w:rsidRPr="00062B4F">
        <w:rPr>
          <w:i/>
          <w:iCs/>
          <w:szCs w:val="24"/>
          <w:lang w:eastAsia="ru-RU"/>
        </w:rPr>
        <w:t xml:space="preserve">** в плазме. Принимать препарат следует не ранее чем через 2 часа после еды; после приема </w:t>
      </w:r>
      <w:proofErr w:type="spellStart"/>
      <w:r w:rsidRPr="00062B4F">
        <w:rPr>
          <w:i/>
          <w:iCs/>
          <w:szCs w:val="24"/>
          <w:lang w:eastAsia="ru-RU"/>
        </w:rPr>
        <w:t>нилотиниба</w:t>
      </w:r>
      <w:proofErr w:type="spellEnd"/>
      <w:r w:rsidRPr="00062B4F">
        <w:rPr>
          <w:i/>
          <w:iCs/>
          <w:szCs w:val="24"/>
          <w:lang w:eastAsia="ru-RU"/>
        </w:rPr>
        <w:t>** пищу следует принимать не ранее чем через 1 час. Капсулы необходимо запивать достаточным количеством воды.</w:t>
      </w:r>
    </w:p>
    <w:p w14:paraId="0BB98FFB" w14:textId="2D68839E" w:rsidR="000C7098" w:rsidRDefault="000C7098" w:rsidP="00E41552">
      <w:pPr>
        <w:rPr>
          <w:i/>
          <w:iCs/>
          <w:szCs w:val="24"/>
          <w:lang w:eastAsia="ru-RU"/>
        </w:rPr>
      </w:pPr>
      <w:r w:rsidRPr="00062B4F">
        <w:rPr>
          <w:i/>
          <w:iCs/>
          <w:szCs w:val="24"/>
          <w:lang w:eastAsia="ru-RU"/>
        </w:rPr>
        <w:t xml:space="preserve">При развитии токсических явлений доза </w:t>
      </w:r>
      <w:proofErr w:type="spellStart"/>
      <w:r w:rsidRPr="00062B4F">
        <w:rPr>
          <w:i/>
          <w:iCs/>
          <w:szCs w:val="24"/>
          <w:lang w:eastAsia="ru-RU"/>
        </w:rPr>
        <w:t>нилотиниба</w:t>
      </w:r>
      <w:proofErr w:type="spellEnd"/>
      <w:r w:rsidRPr="00062B4F">
        <w:rPr>
          <w:i/>
          <w:iCs/>
          <w:szCs w:val="24"/>
          <w:lang w:eastAsia="ru-RU"/>
        </w:rPr>
        <w:t xml:space="preserve">** может быть снижена до 300 мг 2 раза в сутки или 400 мг 1 раз в сутки (табл. 5). </w:t>
      </w:r>
    </w:p>
    <w:p w14:paraId="65A0A972" w14:textId="46FE4A97" w:rsidR="00423C0A" w:rsidRPr="00E0336C" w:rsidRDefault="00423C0A" w:rsidP="00423C0A">
      <w:pPr>
        <w:rPr>
          <w:i/>
          <w:iCs/>
          <w:szCs w:val="24"/>
          <w:lang w:eastAsia="ru-RU"/>
        </w:rPr>
      </w:pPr>
      <w:r w:rsidRPr="00E0336C">
        <w:rPr>
          <w:i/>
          <w:iCs/>
          <w:szCs w:val="24"/>
          <w:lang w:eastAsia="ru-RU"/>
        </w:rPr>
        <w:t xml:space="preserve">При терапии </w:t>
      </w:r>
      <w:proofErr w:type="spellStart"/>
      <w:r w:rsidRPr="00E0336C">
        <w:rPr>
          <w:i/>
          <w:iCs/>
          <w:szCs w:val="24"/>
          <w:lang w:eastAsia="ru-RU"/>
        </w:rPr>
        <w:t>нилотинибом</w:t>
      </w:r>
      <w:proofErr w:type="spellEnd"/>
      <w:r w:rsidRPr="00E0336C">
        <w:rPr>
          <w:i/>
          <w:iCs/>
          <w:szCs w:val="24"/>
          <w:lang w:eastAsia="ru-RU"/>
        </w:rPr>
        <w:t xml:space="preserve"> следует </w:t>
      </w:r>
      <w:proofErr w:type="spellStart"/>
      <w:r w:rsidRPr="00E0336C">
        <w:rPr>
          <w:i/>
          <w:iCs/>
          <w:szCs w:val="24"/>
          <w:lang w:eastAsia="ru-RU"/>
        </w:rPr>
        <w:t>мониторировать</w:t>
      </w:r>
      <w:proofErr w:type="spellEnd"/>
      <w:r w:rsidRPr="00E0336C">
        <w:rPr>
          <w:i/>
          <w:iCs/>
          <w:szCs w:val="24"/>
          <w:lang w:eastAsia="ru-RU"/>
        </w:rPr>
        <w:t xml:space="preserve"> показатели </w:t>
      </w:r>
      <w:r w:rsidR="00FB08DA">
        <w:rPr>
          <w:i/>
          <w:iCs/>
          <w:szCs w:val="24"/>
          <w:lang w:eastAsia="ru-RU"/>
        </w:rPr>
        <w:t xml:space="preserve">состояния </w:t>
      </w:r>
      <w:r w:rsidRPr="00E0336C">
        <w:rPr>
          <w:i/>
          <w:iCs/>
          <w:szCs w:val="24"/>
          <w:lang w:eastAsia="ru-RU"/>
        </w:rPr>
        <w:t xml:space="preserve">сердечно-сосудистой системы. </w:t>
      </w:r>
    </w:p>
    <w:p w14:paraId="31CE7ED8" w14:textId="6C282201" w:rsidR="00423C0A" w:rsidRPr="00141F64" w:rsidRDefault="00141F64" w:rsidP="00141F64">
      <w:pPr>
        <w:ind w:left="360" w:firstLine="0"/>
        <w:rPr>
          <w:i/>
          <w:iCs/>
          <w:szCs w:val="24"/>
          <w:lang w:eastAsia="ru-RU"/>
        </w:rPr>
      </w:pPr>
      <w:r>
        <w:rPr>
          <w:i/>
          <w:iCs/>
          <w:szCs w:val="24"/>
          <w:lang w:eastAsia="ru-RU"/>
        </w:rPr>
        <w:t xml:space="preserve">Наличие в анамнезе </w:t>
      </w:r>
      <w:r w:rsidR="00423C0A" w:rsidRPr="00141F64">
        <w:rPr>
          <w:i/>
          <w:iCs/>
          <w:szCs w:val="24"/>
          <w:lang w:eastAsia="ru-RU"/>
        </w:rPr>
        <w:t>ишемической болезни сердца,</w:t>
      </w:r>
      <w:r>
        <w:rPr>
          <w:i/>
          <w:iCs/>
          <w:szCs w:val="24"/>
          <w:lang w:eastAsia="ru-RU"/>
        </w:rPr>
        <w:t xml:space="preserve"> </w:t>
      </w:r>
      <w:r w:rsidR="00423C0A" w:rsidRPr="00141F64">
        <w:rPr>
          <w:i/>
          <w:iCs/>
          <w:szCs w:val="24"/>
          <w:lang w:eastAsia="ru-RU"/>
        </w:rPr>
        <w:t xml:space="preserve">цереброваскулярных болезней, </w:t>
      </w:r>
      <w:proofErr w:type="spellStart"/>
      <w:r w:rsidR="00423C0A" w:rsidRPr="00141F64">
        <w:rPr>
          <w:i/>
          <w:iCs/>
          <w:szCs w:val="24"/>
          <w:lang w:eastAsia="ru-RU"/>
        </w:rPr>
        <w:t>окклюзионных</w:t>
      </w:r>
      <w:proofErr w:type="spellEnd"/>
      <w:r w:rsidR="00423C0A" w:rsidRPr="00141F64">
        <w:rPr>
          <w:i/>
          <w:iCs/>
          <w:szCs w:val="24"/>
          <w:lang w:eastAsia="ru-RU"/>
        </w:rPr>
        <w:t xml:space="preserve"> заболеваний периферических артерий является строгим противопоказанием для применения </w:t>
      </w:r>
      <w:proofErr w:type="spellStart"/>
      <w:r w:rsidR="00423C0A" w:rsidRPr="00141F64">
        <w:rPr>
          <w:i/>
          <w:iCs/>
          <w:szCs w:val="24"/>
          <w:lang w:eastAsia="ru-RU"/>
        </w:rPr>
        <w:t>нилотиниба</w:t>
      </w:r>
      <w:proofErr w:type="spellEnd"/>
      <w:r w:rsidR="00423C0A" w:rsidRPr="00141F64">
        <w:rPr>
          <w:i/>
          <w:iCs/>
          <w:szCs w:val="24"/>
          <w:lang w:eastAsia="ru-RU"/>
        </w:rPr>
        <w:t xml:space="preserve"> в качестве первой линии терапии. </w:t>
      </w:r>
    </w:p>
    <w:p w14:paraId="59E4F338" w14:textId="036CF964" w:rsidR="00423C0A" w:rsidRPr="00062B4F" w:rsidRDefault="00423C0A" w:rsidP="00423C0A">
      <w:pPr>
        <w:rPr>
          <w:i/>
          <w:iCs/>
          <w:szCs w:val="24"/>
          <w:lang w:eastAsia="ru-RU"/>
        </w:rPr>
      </w:pPr>
      <w:r w:rsidRPr="00E0336C">
        <w:rPr>
          <w:i/>
          <w:iCs/>
          <w:szCs w:val="24"/>
          <w:lang w:eastAsia="ru-RU"/>
        </w:rPr>
        <w:t xml:space="preserve">Пациенты с артериальной гипертензией, </w:t>
      </w:r>
      <w:proofErr w:type="spellStart"/>
      <w:r w:rsidRPr="00E0336C">
        <w:rPr>
          <w:i/>
          <w:iCs/>
          <w:szCs w:val="24"/>
          <w:lang w:eastAsia="ru-RU"/>
        </w:rPr>
        <w:t>гиперхолестеринемией</w:t>
      </w:r>
      <w:proofErr w:type="spellEnd"/>
      <w:r w:rsidRPr="00E0336C">
        <w:rPr>
          <w:i/>
          <w:iCs/>
          <w:szCs w:val="24"/>
          <w:lang w:eastAsia="ru-RU"/>
        </w:rPr>
        <w:t xml:space="preserve"> и сахарным диабетом также имеют повышенный риск при применении </w:t>
      </w:r>
      <w:proofErr w:type="spellStart"/>
      <w:r w:rsidRPr="00E0336C">
        <w:rPr>
          <w:i/>
          <w:iCs/>
          <w:szCs w:val="24"/>
          <w:lang w:eastAsia="ru-RU"/>
        </w:rPr>
        <w:t>нилотиниба</w:t>
      </w:r>
      <w:proofErr w:type="spellEnd"/>
      <w:r w:rsidRPr="00E0336C">
        <w:rPr>
          <w:i/>
          <w:iCs/>
          <w:szCs w:val="24"/>
          <w:lang w:eastAsia="ru-RU"/>
        </w:rPr>
        <w:t xml:space="preserve"> [</w:t>
      </w:r>
      <w:r w:rsidR="0088127B" w:rsidRPr="0088127B">
        <w:rPr>
          <w:i/>
          <w:iCs/>
          <w:szCs w:val="24"/>
          <w:lang w:eastAsia="ru-RU"/>
        </w:rPr>
        <w:t>101</w:t>
      </w:r>
      <w:r w:rsidR="00E0336C" w:rsidRPr="00E0336C">
        <w:rPr>
          <w:i/>
          <w:iCs/>
          <w:szCs w:val="24"/>
          <w:lang w:eastAsia="ru-RU"/>
        </w:rPr>
        <w:t>]</w:t>
      </w:r>
    </w:p>
    <w:p w14:paraId="683C1FE6" w14:textId="77777777" w:rsidR="00423C0A" w:rsidRPr="00062B4F" w:rsidRDefault="00423C0A" w:rsidP="00E41552">
      <w:pPr>
        <w:rPr>
          <w:i/>
          <w:iCs/>
          <w:szCs w:val="24"/>
          <w:lang w:eastAsia="ru-RU"/>
        </w:rPr>
      </w:pPr>
    </w:p>
    <w:p w14:paraId="68D54B00" w14:textId="084F9441" w:rsidR="000C7098" w:rsidRPr="00062B4F" w:rsidRDefault="000C7098" w:rsidP="00505FD7">
      <w:pPr>
        <w:numPr>
          <w:ilvl w:val="0"/>
          <w:numId w:val="18"/>
        </w:numPr>
        <w:spacing w:before="120"/>
        <w:ind w:left="714" w:hanging="357"/>
        <w:rPr>
          <w:iCs/>
          <w:szCs w:val="24"/>
          <w:lang w:eastAsia="ru-RU"/>
        </w:rPr>
      </w:pPr>
      <w:r w:rsidRPr="00062B4F">
        <w:rPr>
          <w:b/>
          <w:bCs/>
          <w:iCs/>
          <w:szCs w:val="24"/>
          <w:lang w:eastAsia="ru-RU"/>
        </w:rPr>
        <w:t xml:space="preserve">Рекомендуется </w:t>
      </w:r>
      <w:r w:rsidRPr="00062B4F">
        <w:rPr>
          <w:bCs/>
          <w:iCs/>
          <w:szCs w:val="24"/>
          <w:lang w:eastAsia="ru-RU"/>
        </w:rPr>
        <w:t>всем</w:t>
      </w:r>
      <w:r w:rsidRPr="00062B4F">
        <w:rPr>
          <w:b/>
          <w:bCs/>
          <w:iCs/>
          <w:szCs w:val="24"/>
          <w:lang w:eastAsia="ru-RU"/>
        </w:rPr>
        <w:t xml:space="preserve"> </w:t>
      </w:r>
      <w:r w:rsidRPr="00062B4F">
        <w:rPr>
          <w:bCs/>
          <w:iCs/>
          <w:szCs w:val="24"/>
          <w:lang w:eastAsia="ru-RU"/>
        </w:rPr>
        <w:t xml:space="preserve">пациентам </w:t>
      </w:r>
      <w:r w:rsidRPr="00062B4F">
        <w:rPr>
          <w:iCs/>
          <w:szCs w:val="24"/>
          <w:lang w:eastAsia="ru-RU"/>
        </w:rPr>
        <w:t xml:space="preserve">в ХФ и ФА использование </w:t>
      </w:r>
      <w:proofErr w:type="spellStart"/>
      <w:r w:rsidRPr="00062B4F">
        <w:rPr>
          <w:iCs/>
          <w:szCs w:val="24"/>
          <w:lang w:eastAsia="ru-RU"/>
        </w:rPr>
        <w:t>дазатиниба</w:t>
      </w:r>
      <w:proofErr w:type="spellEnd"/>
      <w:r w:rsidRPr="00062B4F">
        <w:rPr>
          <w:iCs/>
          <w:szCs w:val="24"/>
          <w:lang w:eastAsia="ru-RU"/>
        </w:rPr>
        <w:t>** как препарата первой лини</w:t>
      </w:r>
      <w:r w:rsidR="00DE08BB">
        <w:rPr>
          <w:iCs/>
          <w:szCs w:val="24"/>
          <w:lang w:eastAsia="ru-RU"/>
        </w:rPr>
        <w:t>и</w:t>
      </w:r>
      <w:r w:rsidRPr="00062B4F">
        <w:rPr>
          <w:iCs/>
          <w:szCs w:val="24"/>
          <w:lang w:eastAsia="ru-RU"/>
        </w:rPr>
        <w:t xml:space="preserve"> для терапии ХМЛ в режиме </w:t>
      </w:r>
      <w:proofErr w:type="spellStart"/>
      <w:r w:rsidRPr="00062B4F">
        <w:rPr>
          <w:iCs/>
          <w:szCs w:val="24"/>
          <w:lang w:eastAsia="ru-RU"/>
        </w:rPr>
        <w:t>монотерапии</w:t>
      </w:r>
      <w:proofErr w:type="spellEnd"/>
      <w:r w:rsidRPr="00062B4F">
        <w:rPr>
          <w:iCs/>
          <w:szCs w:val="24"/>
          <w:lang w:eastAsia="ru-RU"/>
        </w:rPr>
        <w:t xml:space="preserve"> и всем пациентам </w:t>
      </w:r>
      <w:r w:rsidRPr="00062B4F">
        <w:rPr>
          <w:iCs/>
          <w:szCs w:val="24"/>
          <w:lang w:eastAsia="ru-RU"/>
        </w:rPr>
        <w:lastRenderedPageBreak/>
        <w:t>в БК как препарата первой лини</w:t>
      </w:r>
      <w:r w:rsidR="00DE08BB">
        <w:rPr>
          <w:iCs/>
          <w:szCs w:val="24"/>
          <w:lang w:eastAsia="ru-RU"/>
        </w:rPr>
        <w:t>и</w:t>
      </w:r>
      <w:r w:rsidRPr="00062B4F">
        <w:rPr>
          <w:iCs/>
          <w:szCs w:val="24"/>
          <w:lang w:eastAsia="ru-RU"/>
        </w:rPr>
        <w:t xml:space="preserve"> в режиме </w:t>
      </w:r>
      <w:proofErr w:type="spellStart"/>
      <w:r w:rsidRPr="00062B4F">
        <w:rPr>
          <w:iCs/>
          <w:szCs w:val="24"/>
          <w:lang w:eastAsia="ru-RU"/>
        </w:rPr>
        <w:t>монотерапии</w:t>
      </w:r>
      <w:proofErr w:type="spellEnd"/>
      <w:r w:rsidRPr="00062B4F">
        <w:rPr>
          <w:iCs/>
          <w:szCs w:val="24"/>
          <w:lang w:eastAsia="ru-RU"/>
        </w:rPr>
        <w:t xml:space="preserve"> и в комбинации с другими химиотерапевтическими препаратами </w:t>
      </w:r>
      <w:r w:rsidRPr="00062B4F">
        <w:rPr>
          <w:iCs/>
          <w:szCs w:val="24"/>
          <w:lang w:eastAsia="ru-RU"/>
        </w:rPr>
        <w:fldChar w:fldCharType="begin" w:fldLock="1"/>
      </w:r>
      <w:r w:rsidR="00151215" w:rsidRPr="00062B4F">
        <w:rPr>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061e8cb3-0a95-4ad6-bb8a-8bff331a2f2d","http://www.mendeley.com/documents/?uuid=24835c3f-9e36-40d5-9e73-ab0133733bec"]},{"id":"ITEM-2","itemData":{"DOI":"10.1182/blood-2008-11-186817","ISSN":"0006-4971","PMID":"19369231","abstract":"Dasatinib is the most potent BCR-ABL inhibitor, with 325-fold higher potency than imatinib against unmutated BCR-ABL in vitro. Studies have demonstrated the benefits of dasatinib 70 mg twice daily in patients with accelerated-phase chronic myeloid leukemia intolerant or resistant to imatinib. A phase 3 study compared the efficacy and safety of dasatinib 140 mg once daily with the current twice-daily regimen. Here, results from the subgroup with accelerated-phase chronic myeloid leukemia (n = 317) with a median follow-up of 15 months (treatment duration, 0.03-31.15 months) are reported. Among patients randomized to once-daily (n = 158) or twice-daily (n = 159) treatment, rates of major hematologic and cytogenetic responses were comparable (major hematologic response, 66% vs 68%; major cytogenetic response, 39% vs 43%, respectively). Estimated progression-free survival rates at 24 months were 51% and 55%, whereas overall survival rates were 63% versus 72%. Once-daily treatment was associated with an improved safety profile. In particular, significantly fewer patients in the once-daily group experienced a pleural effusion (all grades, 20% vs 39% P &lt; .001). These results demonstrate that dasatinib 140 mg once daily has similar efficacy to dasatinib 70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C.","non-dropping-particle":"","parse-names":false,"suffix":""},{"dropping-particle":"","family":"Radich","given":"J. P.","non-dropping-particle":"","parse-names":false,"suffix":""},{"dropping-particle":"","family":"Khoury","given":"H. J.","non-dropping-particle":"","parse-names":false,"suffix":""},{"dropping-particle":"","family":"Khoroshko","given":"N.","non-dropping-particle":"","parse-names":false,"suffix":""},{"dropping-particle":"","family":"Bradley-Garelik","given":"M. B.","non-dropping-particle":"","parse-names":false,"suffix":""},{"dropping-particle":"","family":"Zhu","given":"C.","non-dropping-particle":"","parse-names":false,"suffix":""},{"dropping-particle":"","family":"Tallman","given":"M. S.","non-dropping-particle":"","parse-names":false,"suffix":""}],"container-title":"Blood","id":"ITEM-2","issue":"25","issued":{"date-parts":[["2009","6"]]},"page":"6322-6329","title":"Phase 3 study of dasatinib 140 mg once daily versus 70 mg twice daily in patients with chronic myeloid leukemia in accelerated phase resistant or intolerant to imatinib: 15-month median follow-up","type":"article-journal","volume":"113"},"uris":["http://www.mendeley.com/documents/?uuid=e9b7e499-beb9-4b23-8c72-8821f8450217"]},{"id":"ITEM-3","itemData":{"DOI":"10.1182/blood-2006-09-046888","ISSN":"00064971","abstract":"The prognosis for patients with chronic myeloid leukemia (CML) in myeloid blast crisis (MBC) or lymphoid blast crisis (LBC) remains poor. Although imatinib can induce responses in a subset of these patients, resistance to the drug develops rapidly. Dasatinib is a novel, oral, multitargeted kinase inhibitor of BCR-ABL and SRC family kinases. After promising phase 1 results, we report the results of phase 2 clinical trials of dasatinib in patients with imatinib-resistant or -intolerant blast crisis CML (MBC, n = 74; LBC, n = 42). At the 8-month follow-up, dasatinib induced major hematologic responses (MaHRs) in 34% and 31% of MBC- and LBC-CML patients and major cytogenetic responses (MCyRs) in 31% and 50% of these patients, respectively. Most (86%) of these MCyRs were complete cytogenetic responses (CCyRs). Responses were rapid and durable: 88% and 46%, respectively, of MBC- and LBC-CML patients achieving MaHR had not experienced disease progression at the 8-month follow-up. Response rates were similar in patients with and without BCR-ABL mutations known to confer resistance to imatinib. Dasatinib was well tolerated. Nonhematologic adverse events were mild to moderate. Cytopenias were common and could be managed by dose modification. Dasatinib is highly active and produces hematologic and cytogenetic responses in a significant number of patients with imatinib-resistant or -intolerant MBC- and LBC-CML. These trials were registered at www.clinicaltrials.gov as #CA180006 and #CA180015. © 2007 by The American Society of Hematology.","author":[{"dropping-particle":"","family":"Cortes","given":"Jorge","non-dropping-particle":"","parse-names":false,"suffix":""},{"dropping-particle":"","family":"Rousselot","given":"Philippe","non-dropping-particle":"","parse-names":false,"suffix":""},{"dropping-particle":"","family":"Kim","given":"Dong Wook","non-dropping-particle":"","parse-names":false,"suffix":""},{"dropping-particle":"","family":"Ritchie","given":"Ellen","non-dropping-particle":"","parse-names":false,"suffix":""},{"dropping-particle":"","family":"Hamerschlak","given":"Nelson","non-dropping-particle":"","parse-names":false,"suffix":""},{"dropping-particle":"","family":"Coutre","given":"Steven","non-dropping-particle":"","parse-names":false,"suffix":""},{"dropping-particle":"","family":"Hochhaus","given":"Andreas","non-dropping-particle":"","parse-names":false,"suffix":""},{"dropping-particle":"","family":"Guilhot","given":"Francois","non-dropping-particle":"","parse-names":false,"suffix":""},{"dropping-particle":"","family":"Saglio","given":"Giuseppe","non-dropping-particle":"","parse-names":false,"suffix":""},{"dropping-particle":"","family":"Apperley","given":"Jane","non-dropping-particle":"","parse-names":false,"suffix":""},{"dropping-particle":"","family":"Ottmann","given":"Oliver","non-dropping-particle":"","parse-names":false,"suffix":""},{"dropping-particle":"","family":"Shah","given":"Neil","non-dropping-particle":"","parse-names":false,"suffix":""},{"dropping-particle":"","family":"Erben","given":"Philipp","non-dropping-particle":"","parse-names":false,"suffix":""},{"dropping-particle":"","family":"Branford","given":"Susan","non-dropping-particle":"","parse-names":false,"suffix":""},{"dropping-particle":"","family":"Agarwal","given":"Prasheen","non-dropping-particle":"","parse-names":false,"suffix":""},{"dropping-particle":"","family":"Gollerkeri","given":"Ashwin","non-dropping-particle":"","parse-names":false,"suffix":""},{"dropping-particle":"","family":"Baccarani","given":"Michele","non-dropping-particle":"","parse-names":false,"suffix":""}],"container-title":"Blood","id":"ITEM-3","issue":"8","issued":{"date-parts":[["2007","4","15"]]},"page":"3207-3213","title":"Dasatinib induces complete hematologic and cytogenetic responses in patients with imatinib-resistant or -intolerant chronic myeloid leukemia in blast crisis","type":"article-journal","volume":"109"},"uris":["http://www.mendeley.com/documents/?uuid=cac0fc92-098d-3b77-adc8-dbf5acabff46"]}],"mendeley":{"formattedCitation":"[26–28]","plainTextFormattedCitation":"[26–28]","previouslyFormattedCitation":"[26–28]"},"properties":{"noteIndex":0},"schema":"https://github.com/citation-style-language/schema/raw/master/csl-citation.json"}</w:instrText>
      </w:r>
      <w:r w:rsidRPr="00062B4F">
        <w:rPr>
          <w:iCs/>
          <w:szCs w:val="24"/>
          <w:lang w:eastAsia="ru-RU"/>
        </w:rPr>
        <w:fldChar w:fldCharType="separate"/>
      </w:r>
      <w:r w:rsidR="00151215" w:rsidRPr="00062B4F">
        <w:rPr>
          <w:iCs/>
          <w:noProof/>
          <w:szCs w:val="24"/>
          <w:lang w:eastAsia="ru-RU"/>
        </w:rPr>
        <w:t>[26–28]</w:t>
      </w:r>
      <w:r w:rsidRPr="00062B4F">
        <w:rPr>
          <w:iCs/>
          <w:szCs w:val="24"/>
          <w:lang w:eastAsia="ru-RU"/>
        </w:rPr>
        <w:fldChar w:fldCharType="end"/>
      </w:r>
      <w:r w:rsidRPr="00062B4F">
        <w:rPr>
          <w:iCs/>
          <w:szCs w:val="24"/>
          <w:lang w:eastAsia="ru-RU"/>
        </w:rPr>
        <w:t>.</w:t>
      </w:r>
    </w:p>
    <w:p w14:paraId="59AB2F64" w14:textId="77777777" w:rsidR="000C7098" w:rsidRPr="00062B4F" w:rsidRDefault="000C7098" w:rsidP="008E7654">
      <w:pPr>
        <w:ind w:left="709" w:firstLine="0"/>
        <w:rPr>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A</w:t>
      </w:r>
      <w:r w:rsidRPr="00062B4F">
        <w:rPr>
          <w:b/>
          <w:bCs/>
          <w:szCs w:val="24"/>
          <w:lang w:eastAsia="ru-RU"/>
        </w:rPr>
        <w:t xml:space="preserve"> </w:t>
      </w:r>
      <w:r w:rsidRPr="00062B4F">
        <w:rPr>
          <w:bCs/>
          <w:szCs w:val="24"/>
          <w:lang w:eastAsia="ru-RU"/>
        </w:rPr>
        <w:t>(уровень достоверности доказательств – 2).</w:t>
      </w:r>
    </w:p>
    <w:p w14:paraId="1745FADA" w14:textId="68B9C11C" w:rsidR="000C7098" w:rsidRPr="00062B4F" w:rsidRDefault="000C7098" w:rsidP="007E700E">
      <w:pPr>
        <w:rPr>
          <w:i/>
          <w:iCs/>
          <w:szCs w:val="24"/>
          <w:lang w:eastAsia="ru-RU"/>
        </w:rPr>
      </w:pPr>
      <w:r w:rsidRPr="00062B4F">
        <w:rPr>
          <w:b/>
          <w:bCs/>
          <w:i/>
          <w:iCs/>
          <w:szCs w:val="24"/>
          <w:lang w:eastAsia="ru-RU"/>
        </w:rPr>
        <w:t>Комментарии</w:t>
      </w:r>
      <w:r w:rsidRPr="00062B4F">
        <w:rPr>
          <w:i/>
          <w:iCs/>
          <w:szCs w:val="24"/>
          <w:lang w:eastAsia="ru-RU"/>
        </w:rPr>
        <w:t xml:space="preserve">: </w:t>
      </w:r>
      <w:proofErr w:type="spellStart"/>
      <w:r w:rsidRPr="00062B4F">
        <w:rPr>
          <w:i/>
          <w:iCs/>
          <w:szCs w:val="24"/>
          <w:lang w:eastAsia="ru-RU"/>
        </w:rPr>
        <w:t>дазатиниб</w:t>
      </w:r>
      <w:proofErr w:type="spellEnd"/>
      <w:r w:rsidRPr="00062B4F">
        <w:rPr>
          <w:i/>
          <w:iCs/>
          <w:szCs w:val="24"/>
          <w:lang w:eastAsia="ru-RU"/>
        </w:rPr>
        <w:t xml:space="preserve">** – многоцелевой препарат, взаимодействующий со многими </w:t>
      </w:r>
      <w:proofErr w:type="spellStart"/>
      <w:r w:rsidRPr="00062B4F">
        <w:rPr>
          <w:i/>
          <w:iCs/>
          <w:szCs w:val="24"/>
          <w:lang w:eastAsia="ru-RU"/>
        </w:rPr>
        <w:t>тирозинкиназными</w:t>
      </w:r>
      <w:proofErr w:type="spellEnd"/>
      <w:r w:rsidRPr="00062B4F">
        <w:rPr>
          <w:i/>
          <w:iCs/>
          <w:szCs w:val="24"/>
          <w:lang w:eastAsia="ru-RU"/>
        </w:rPr>
        <w:t xml:space="preserve"> и </w:t>
      </w:r>
      <w:proofErr w:type="spellStart"/>
      <w:r w:rsidRPr="002866A1">
        <w:rPr>
          <w:i/>
          <w:iCs/>
          <w:szCs w:val="24"/>
          <w:lang w:eastAsia="ru-RU"/>
        </w:rPr>
        <w:t>нетирозинкиназными</w:t>
      </w:r>
      <w:proofErr w:type="spellEnd"/>
      <w:r w:rsidRPr="002866A1">
        <w:rPr>
          <w:i/>
          <w:iCs/>
          <w:szCs w:val="24"/>
          <w:lang w:eastAsia="ru-RU"/>
        </w:rPr>
        <w:t xml:space="preserve"> белками. Он ингибирует следующие </w:t>
      </w:r>
      <w:proofErr w:type="spellStart"/>
      <w:r w:rsidRPr="002866A1">
        <w:rPr>
          <w:i/>
          <w:iCs/>
          <w:szCs w:val="24"/>
          <w:lang w:eastAsia="ru-RU"/>
        </w:rPr>
        <w:t>тирозинкиназы</w:t>
      </w:r>
      <w:proofErr w:type="spellEnd"/>
      <w:r w:rsidRPr="002866A1">
        <w:rPr>
          <w:iCs/>
          <w:szCs w:val="24"/>
          <w:lang w:eastAsia="ru-RU"/>
        </w:rPr>
        <w:t xml:space="preserve">: </w:t>
      </w:r>
      <w:proofErr w:type="gramStart"/>
      <w:r w:rsidRPr="002866A1">
        <w:rPr>
          <w:iCs/>
          <w:szCs w:val="24"/>
          <w:lang w:eastAsia="ru-RU"/>
        </w:rPr>
        <w:t>BCR</w:t>
      </w:r>
      <w:r w:rsidR="00925D5F" w:rsidRPr="002866A1">
        <w:rPr>
          <w:iCs/>
          <w:szCs w:val="24"/>
          <w:lang w:eastAsia="ru-RU"/>
        </w:rPr>
        <w:t>::</w:t>
      </w:r>
      <w:proofErr w:type="gramEnd"/>
      <w:r w:rsidRPr="002866A1">
        <w:rPr>
          <w:iCs/>
          <w:szCs w:val="24"/>
          <w:lang w:eastAsia="ru-RU"/>
        </w:rPr>
        <w:t>ABL</w:t>
      </w:r>
      <w:r w:rsidRPr="002866A1">
        <w:rPr>
          <w:i/>
          <w:iCs/>
          <w:szCs w:val="24"/>
          <w:lang w:eastAsia="ru-RU"/>
        </w:rPr>
        <w:t xml:space="preserve"> и семейства </w:t>
      </w:r>
      <w:r w:rsidR="00925D5F" w:rsidRPr="002866A1">
        <w:rPr>
          <w:iCs/>
          <w:szCs w:val="24"/>
          <w:lang w:eastAsia="ru-RU"/>
        </w:rPr>
        <w:t xml:space="preserve">SRC </w:t>
      </w:r>
      <w:r w:rsidRPr="002866A1">
        <w:rPr>
          <w:iCs/>
          <w:szCs w:val="24"/>
          <w:lang w:eastAsia="ru-RU"/>
        </w:rPr>
        <w:t>(SRC, LCK, YES, FYN), c-KIT, EPHA2, PDGFRβ, PDGFRα.</w:t>
      </w:r>
      <w:r w:rsidRPr="002866A1">
        <w:rPr>
          <w:i/>
          <w:iCs/>
          <w:szCs w:val="24"/>
          <w:lang w:eastAsia="ru-RU"/>
        </w:rPr>
        <w:t xml:space="preserve"> Способен </w:t>
      </w:r>
      <w:proofErr w:type="spellStart"/>
      <w:r w:rsidRPr="002866A1">
        <w:rPr>
          <w:i/>
          <w:iCs/>
          <w:szCs w:val="24"/>
          <w:lang w:eastAsia="ru-RU"/>
        </w:rPr>
        <w:t>in</w:t>
      </w:r>
      <w:proofErr w:type="spellEnd"/>
      <w:r w:rsidRPr="002866A1">
        <w:rPr>
          <w:i/>
          <w:iCs/>
          <w:szCs w:val="24"/>
          <w:lang w:eastAsia="ru-RU"/>
        </w:rPr>
        <w:t xml:space="preserve"> </w:t>
      </w:r>
      <w:proofErr w:type="spellStart"/>
      <w:r w:rsidRPr="002866A1">
        <w:rPr>
          <w:i/>
          <w:iCs/>
          <w:szCs w:val="24"/>
          <w:lang w:eastAsia="ru-RU"/>
        </w:rPr>
        <w:t>vitro</w:t>
      </w:r>
      <w:proofErr w:type="spellEnd"/>
      <w:r w:rsidRPr="002866A1">
        <w:rPr>
          <w:i/>
          <w:iCs/>
          <w:szCs w:val="24"/>
          <w:lang w:eastAsia="ru-RU"/>
        </w:rPr>
        <w:t xml:space="preserve"> ингибировать рост клеточных линий с </w:t>
      </w:r>
      <w:proofErr w:type="spellStart"/>
      <w:r w:rsidRPr="002866A1">
        <w:rPr>
          <w:i/>
          <w:iCs/>
          <w:szCs w:val="24"/>
          <w:lang w:eastAsia="ru-RU"/>
        </w:rPr>
        <w:t>гиперэкспрессией</w:t>
      </w:r>
      <w:proofErr w:type="spellEnd"/>
      <w:r w:rsidRPr="002866A1">
        <w:rPr>
          <w:i/>
          <w:iCs/>
          <w:szCs w:val="24"/>
          <w:lang w:eastAsia="ru-RU"/>
        </w:rPr>
        <w:t xml:space="preserve"> </w:t>
      </w:r>
      <w:r w:rsidR="00925D5F" w:rsidRPr="002866A1">
        <w:rPr>
          <w:iCs/>
          <w:szCs w:val="24"/>
          <w:lang w:eastAsia="ru-RU"/>
        </w:rPr>
        <w:t>BCR::ABL</w:t>
      </w:r>
      <w:r w:rsidRPr="002866A1">
        <w:rPr>
          <w:i/>
          <w:iCs/>
          <w:szCs w:val="24"/>
          <w:lang w:eastAsia="ru-RU"/>
        </w:rPr>
        <w:t xml:space="preserve">, активацией альтернативных онкогенных путей, включающих </w:t>
      </w:r>
      <w:proofErr w:type="spellStart"/>
      <w:r w:rsidRPr="002866A1">
        <w:rPr>
          <w:i/>
          <w:iCs/>
          <w:szCs w:val="24"/>
          <w:lang w:eastAsia="ru-RU"/>
        </w:rPr>
        <w:t>киназы</w:t>
      </w:r>
      <w:proofErr w:type="spellEnd"/>
      <w:r w:rsidRPr="002866A1">
        <w:rPr>
          <w:i/>
          <w:iCs/>
          <w:szCs w:val="24"/>
          <w:lang w:eastAsia="ru-RU"/>
        </w:rPr>
        <w:t xml:space="preserve"> семейства </w:t>
      </w:r>
      <w:r w:rsidRPr="002866A1">
        <w:rPr>
          <w:iCs/>
          <w:szCs w:val="24"/>
          <w:lang w:eastAsia="ru-RU"/>
        </w:rPr>
        <w:t>SRC (LYN, HCK</w:t>
      </w:r>
      <w:r w:rsidRPr="002866A1">
        <w:rPr>
          <w:i/>
          <w:iCs/>
          <w:szCs w:val="24"/>
          <w:lang w:eastAsia="ru-RU"/>
        </w:rPr>
        <w:t>). Показана возможность препарата проникать через гематоэнцефалический барьер.</w:t>
      </w:r>
      <w:r w:rsidRPr="00062B4F">
        <w:rPr>
          <w:i/>
          <w:iCs/>
          <w:szCs w:val="24"/>
          <w:lang w:eastAsia="ru-RU"/>
        </w:rPr>
        <w:t xml:space="preserve"> </w:t>
      </w:r>
    </w:p>
    <w:p w14:paraId="72B549C5" w14:textId="36CAD389" w:rsidR="000C7098" w:rsidRDefault="000C7098" w:rsidP="007E700E">
      <w:pPr>
        <w:rPr>
          <w:i/>
          <w:iCs/>
          <w:szCs w:val="24"/>
          <w:lang w:eastAsia="ru-RU"/>
        </w:rPr>
      </w:pPr>
      <w:r w:rsidRPr="00062B4F">
        <w:rPr>
          <w:i/>
          <w:iCs/>
          <w:szCs w:val="24"/>
          <w:lang w:eastAsia="ru-RU"/>
        </w:rPr>
        <w:t xml:space="preserve">Рекомендуемая доза </w:t>
      </w:r>
      <w:proofErr w:type="spellStart"/>
      <w:r w:rsidRPr="00062B4F">
        <w:rPr>
          <w:i/>
          <w:iCs/>
          <w:szCs w:val="24"/>
          <w:lang w:eastAsia="ru-RU"/>
        </w:rPr>
        <w:t>дазатиниба</w:t>
      </w:r>
      <w:proofErr w:type="spellEnd"/>
      <w:r w:rsidRPr="00062B4F">
        <w:rPr>
          <w:i/>
          <w:iCs/>
          <w:szCs w:val="24"/>
          <w:lang w:eastAsia="ru-RU"/>
        </w:rPr>
        <w:t>** для ХФ составляет 100 мг/</w:t>
      </w:r>
      <w:proofErr w:type="spellStart"/>
      <w:r w:rsidRPr="00062B4F">
        <w:rPr>
          <w:i/>
          <w:iCs/>
          <w:szCs w:val="24"/>
          <w:lang w:eastAsia="ru-RU"/>
        </w:rPr>
        <w:t>сут</w:t>
      </w:r>
      <w:proofErr w:type="spellEnd"/>
      <w:r w:rsidRPr="00062B4F">
        <w:rPr>
          <w:i/>
          <w:iCs/>
          <w:szCs w:val="24"/>
          <w:lang w:eastAsia="ru-RU"/>
        </w:rPr>
        <w:t>, а для ФА и БК – 140 мг/</w:t>
      </w:r>
      <w:proofErr w:type="spellStart"/>
      <w:r w:rsidRPr="00062B4F">
        <w:rPr>
          <w:i/>
          <w:iCs/>
          <w:szCs w:val="24"/>
          <w:lang w:eastAsia="ru-RU"/>
        </w:rPr>
        <w:t>сут</w:t>
      </w:r>
      <w:proofErr w:type="spellEnd"/>
      <w:r w:rsidR="00151215" w:rsidRPr="00062B4F">
        <w:rPr>
          <w:i/>
          <w:iCs/>
          <w:szCs w:val="24"/>
          <w:lang w:eastAsia="ru-RU"/>
        </w:rPr>
        <w:t xml:space="preserve"> </w:t>
      </w:r>
      <w:r w:rsidR="00151215" w:rsidRPr="00062B4F">
        <w:rPr>
          <w:iCs/>
          <w:szCs w:val="24"/>
          <w:lang w:eastAsia="ru-RU"/>
        </w:rPr>
        <w:fldChar w:fldCharType="begin" w:fldLock="1"/>
      </w:r>
      <w:r w:rsidR="00151215" w:rsidRPr="00062B4F">
        <w:rPr>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061e8cb3-0a95-4ad6-bb8a-8bff331a2f2d","http://www.mendeley.com/documents/?uuid=24835c3f-9e36-40d5-9e73-ab0133733bec"]},{"id":"ITEM-2","itemData":{"DOI":"10.1182/blood-2008-11-186817","ISSN":"0006-4971","PMID":"19369231","abstract":"Dasatinib is the most potent BCR-ABL inhibitor, with 325-fold higher potency than imatinib against unmutated BCR-ABL in vitro. Studies have demonstrated the benefits of dasatinib 70 mg twice daily in patients with accelerated-phase chronic myeloid leukemia intolerant or resistant to imatinib. A phase 3 study compared the efficacy and safety of dasatinib 140 mg once daily with the current twice-daily regimen. Here, results from the subgroup with accelerated-phase chronic myeloid leukemia (n = 317) with a median follow-up of 15 months (treatment duration, 0.03-31.15 months) are reported. Among patients randomized to once-daily (n = 158) or twice-daily (n = 159) treatment, rates of major hematologic and cytogenetic responses were comparable (major hematologic response, 66% vs 68%; major cytogenetic response, 39% vs 43%, respectively). Estimated progression-free survival rates at 24 months were 51% and 55%, whereas overall survival rates were 63% versus 72%. Once-daily treatment was associated with an improved safety profile. In particular, significantly fewer patients in the once-daily group experienced a pleural effusion (all grades, 20% vs 39% P &lt; .001). These results demonstrate that dasatinib 140 mg once daily has similar efficacy to dasatinib 70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C.","non-dropping-particle":"","parse-names":false,"suffix":""},{"dropping-particle":"","family":"Radich","given":"J. P.","non-dropping-particle":"","parse-names":false,"suffix":""},{"dropping-particle":"","family":"Khoury","given":"H. J.","non-dropping-particle":"","parse-names":false,"suffix":""},{"dropping-particle":"","family":"Khoroshko","given":"N.","non-dropping-particle":"","parse-names":false,"suffix":""},{"dropping-particle":"","family":"Bradley-Garelik","given":"M. B.","non-dropping-particle":"","parse-names":false,"suffix":""},{"dropping-particle":"","family":"Zhu","given":"C.","non-dropping-particle":"","parse-names":false,"suffix":""},{"dropping-particle":"","family":"Tallman","given":"M. S.","non-dropping-particle":"","parse-names":false,"suffix":""}],"container-title":"Blood","id":"ITEM-2","issue":"25","issued":{"date-parts":[["2009","6"]]},"page":"6322-6329","title":"Phase 3 study of dasatinib 140 mg once daily versus 70 mg twice daily in patients with chronic myeloid leukemia in accelerated phase resistant or intolerant to imatinib: 15-month median follow-up","type":"article-journal","volume":"113"},"uris":["http://www.mendeley.com/documents/?uuid=e9b7e499-beb9-4b23-8c72-8821f8450217"]},{"id":"ITEM-3","itemData":{"DOI":"10.1182/blood-2006-09-046888","ISSN":"00064971","abstract":"The prognosis for patients with chronic myeloid leukemia (CML) in myeloid blast crisis (MBC) or lymphoid blast crisis (LBC) remains poor. Although imatinib can induce responses in a subset of these patients, resistance to the drug develops rapidly. Dasatinib is a novel, oral, multitargeted kinase inhibitor of BCR-ABL and SRC family kinases. After promising phase 1 results, we report the results of phase 2 clinical trials of dasatinib in patients with imatinib-resistant or -intolerant blast crisis CML (MBC, n = 74; LBC, n = 42). At the 8-month follow-up, dasatinib induced major hematologic responses (MaHRs) in 34% and 31% of MBC- and LBC-CML patients and major cytogenetic responses (MCyRs) in 31% and 50% of these patients, respectively. Most (86%) of these MCyRs were complete cytogenetic responses (CCyRs). Responses were rapid and durable: 88% and 46%, respectively, of MBC- and LBC-CML patients achieving MaHR had not experienced disease progression at the 8-month follow-up. Response rates were similar in patients with and without BCR-ABL mutations known to confer resistance to imatinib. Dasatinib was well tolerated. Nonhematologic adverse events were mild to moderate. Cytopenias were common and could be managed by dose modification. Dasatinib is highly active and produces hematologic and cytogenetic responses in a significant number of patients with imatinib-resistant or -intolerant MBC- and LBC-CML. These trials were registered at www.clinicaltrials.gov as #CA180006 and #CA180015. © 2007 by The American Society of Hematology.","author":[{"dropping-particle":"","family":"Cortes","given":"Jorge","non-dropping-particle":"","parse-names":false,"suffix":""},{"dropping-particle":"","family":"Rousselot","given":"Philippe","non-dropping-particle":"","parse-names":false,"suffix":""},{"dropping-particle":"","family":"Kim","given":"Dong Wook","non-dropping-particle":"","parse-names":false,"suffix":""},{"dropping-particle":"","family":"Ritchie","given":"Ellen","non-dropping-particle":"","parse-names":false,"suffix":""},{"dropping-particle":"","family":"Hamerschlak","given":"Nelson","non-dropping-particle":"","parse-names":false,"suffix":""},{"dropping-particle":"","family":"Coutre","given":"Steven","non-dropping-particle":"","parse-names":false,"suffix":""},{"dropping-particle":"","family":"Hochhaus","given":"Andreas","non-dropping-particle":"","parse-names":false,"suffix":""},{"dropping-particle":"","family":"Guilhot","given":"Francois","non-dropping-particle":"","parse-names":false,"suffix":""},{"dropping-particle":"","family":"Saglio","given":"Giuseppe","non-dropping-particle":"","parse-names":false,"suffix":""},{"dropping-particle":"","family":"Apperley","given":"Jane","non-dropping-particle":"","parse-names":false,"suffix":""},{"dropping-particle":"","family":"Ottmann","given":"Oliver","non-dropping-particle":"","parse-names":false,"suffix":""},{"dropping-particle":"","family":"Shah","given":"Neil","non-dropping-particle":"","parse-names":false,"suffix":""},{"dropping-particle":"","family":"Erben","given":"Philipp","non-dropping-particle":"","parse-names":false,"suffix":""},{"dropping-particle":"","family":"Branford","given":"Susan","non-dropping-particle":"","parse-names":false,"suffix":""},{"dropping-particle":"","family":"Agarwal","given":"Prasheen","non-dropping-particle":"","parse-names":false,"suffix":""},{"dropping-particle":"","family":"Gollerkeri","given":"Ashwin","non-dropping-particle":"","parse-names":false,"suffix":""},{"dropping-particle":"","family":"Baccarani","given":"Michele","non-dropping-particle":"","parse-names":false,"suffix":""}],"container-title":"Blood","id":"ITEM-3","issue":"8","issued":{"date-parts":[["2007","4","15"]]},"page":"3207-3213","title":"Dasatinib induces complete hematologic and cytogenetic responses in patients with imatinib-resistant or -intolerant chronic myeloid leukemia in blast crisis","type":"article-journal","volume":"109"},"uris":["http://www.mendeley.com/documents/?uuid=cac0fc92-098d-3b77-adc8-dbf5acabff46"]}],"mendeley":{"formattedCitation":"[26–28]","plainTextFormattedCitation":"[26–28]","previouslyFormattedCitation":"[26–28]"},"properties":{"noteIndex":0},"schema":"https://github.com/citation-style-language/schema/raw/master/csl-citation.json"}</w:instrText>
      </w:r>
      <w:r w:rsidR="00151215" w:rsidRPr="00062B4F">
        <w:rPr>
          <w:iCs/>
          <w:szCs w:val="24"/>
          <w:lang w:eastAsia="ru-RU"/>
        </w:rPr>
        <w:fldChar w:fldCharType="separate"/>
      </w:r>
      <w:r w:rsidR="00151215" w:rsidRPr="00062B4F">
        <w:rPr>
          <w:iCs/>
          <w:noProof/>
          <w:szCs w:val="24"/>
          <w:lang w:eastAsia="ru-RU"/>
        </w:rPr>
        <w:t>[26–28]</w:t>
      </w:r>
      <w:r w:rsidR="00151215" w:rsidRPr="00062B4F">
        <w:rPr>
          <w:iCs/>
          <w:szCs w:val="24"/>
          <w:lang w:eastAsia="ru-RU"/>
        </w:rPr>
        <w:fldChar w:fldCharType="end"/>
      </w:r>
      <w:r w:rsidRPr="00062B4F">
        <w:rPr>
          <w:i/>
          <w:iCs/>
          <w:szCs w:val="24"/>
          <w:lang w:eastAsia="ru-RU"/>
        </w:rPr>
        <w:t xml:space="preserve">. При явлениях токсичности доза </w:t>
      </w:r>
      <w:proofErr w:type="spellStart"/>
      <w:r w:rsidRPr="00062B4F">
        <w:rPr>
          <w:i/>
          <w:iCs/>
          <w:szCs w:val="24"/>
          <w:lang w:eastAsia="ru-RU"/>
        </w:rPr>
        <w:t>дазатиниба</w:t>
      </w:r>
      <w:proofErr w:type="spellEnd"/>
      <w:r w:rsidRPr="00062B4F">
        <w:rPr>
          <w:i/>
          <w:iCs/>
          <w:szCs w:val="24"/>
          <w:lang w:eastAsia="ru-RU"/>
        </w:rPr>
        <w:t xml:space="preserve">** пациентам в ХФ может быть снижена до </w:t>
      </w:r>
      <w:r w:rsidR="000E45A0">
        <w:rPr>
          <w:i/>
          <w:iCs/>
          <w:szCs w:val="24"/>
          <w:lang w:eastAsia="ru-RU"/>
        </w:rPr>
        <w:t>7</w:t>
      </w:r>
      <w:r w:rsidRPr="00062B4F">
        <w:rPr>
          <w:i/>
          <w:iCs/>
          <w:szCs w:val="24"/>
          <w:lang w:eastAsia="ru-RU"/>
        </w:rPr>
        <w:t xml:space="preserve">0 мг 1 раз в, пациентам в ФА и БК до 100 мг 1 раз в сутки, при повторных эпизодах токсичности – до </w:t>
      </w:r>
      <w:r w:rsidR="000E45A0">
        <w:rPr>
          <w:i/>
          <w:iCs/>
          <w:szCs w:val="24"/>
          <w:lang w:eastAsia="ru-RU"/>
        </w:rPr>
        <w:t>7</w:t>
      </w:r>
      <w:r w:rsidRPr="00062B4F">
        <w:rPr>
          <w:i/>
          <w:iCs/>
          <w:szCs w:val="24"/>
          <w:lang w:eastAsia="ru-RU"/>
        </w:rPr>
        <w:t>0 мг/</w:t>
      </w:r>
      <w:proofErr w:type="spellStart"/>
      <w:r w:rsidRPr="00062B4F">
        <w:rPr>
          <w:i/>
          <w:iCs/>
          <w:szCs w:val="24"/>
          <w:lang w:eastAsia="ru-RU"/>
        </w:rPr>
        <w:t>сут</w:t>
      </w:r>
      <w:proofErr w:type="spellEnd"/>
      <w:r w:rsidRPr="00062B4F">
        <w:rPr>
          <w:i/>
          <w:iCs/>
          <w:szCs w:val="24"/>
          <w:lang w:eastAsia="ru-RU"/>
        </w:rPr>
        <w:t xml:space="preserve"> (табл. 5). Данных об эффективности повышения дозы </w:t>
      </w:r>
      <w:proofErr w:type="spellStart"/>
      <w:r w:rsidRPr="00062B4F">
        <w:rPr>
          <w:i/>
          <w:iCs/>
          <w:szCs w:val="24"/>
          <w:lang w:eastAsia="ru-RU"/>
        </w:rPr>
        <w:t>дазатиниба</w:t>
      </w:r>
      <w:proofErr w:type="spellEnd"/>
      <w:r w:rsidRPr="00062B4F">
        <w:rPr>
          <w:i/>
          <w:iCs/>
          <w:szCs w:val="24"/>
          <w:lang w:eastAsia="ru-RU"/>
        </w:rPr>
        <w:t>** до 140 мг/</w:t>
      </w:r>
      <w:proofErr w:type="spellStart"/>
      <w:r w:rsidRPr="00062B4F">
        <w:rPr>
          <w:i/>
          <w:iCs/>
          <w:szCs w:val="24"/>
          <w:lang w:eastAsia="ru-RU"/>
        </w:rPr>
        <w:t>сут</w:t>
      </w:r>
      <w:proofErr w:type="spellEnd"/>
      <w:r w:rsidRPr="00062B4F">
        <w:rPr>
          <w:i/>
          <w:iCs/>
          <w:szCs w:val="24"/>
          <w:lang w:eastAsia="ru-RU"/>
        </w:rPr>
        <w:t xml:space="preserve"> при резистентности к стандартной дозе нет. В связи с этим в клинической практике увеличение дозы препарата при недостаточной эффективности его стандартной дозы нецелесообразно.</w:t>
      </w:r>
    </w:p>
    <w:p w14:paraId="2E5192D3" w14:textId="4683223D" w:rsidR="00423C0A" w:rsidRPr="0088127B" w:rsidRDefault="00E8196B" w:rsidP="00423C0A">
      <w:pPr>
        <w:rPr>
          <w:i/>
          <w:iCs/>
          <w:szCs w:val="24"/>
          <w:lang w:eastAsia="ru-RU"/>
        </w:rPr>
      </w:pPr>
      <w:r w:rsidRPr="00985F08">
        <w:rPr>
          <w:i/>
          <w:iCs/>
          <w:szCs w:val="24"/>
          <w:lang w:eastAsia="ru-RU"/>
        </w:rPr>
        <w:t xml:space="preserve">Терапия </w:t>
      </w:r>
      <w:proofErr w:type="spellStart"/>
      <w:r w:rsidRPr="00985F08">
        <w:rPr>
          <w:i/>
          <w:iCs/>
          <w:szCs w:val="24"/>
          <w:lang w:eastAsia="ru-RU"/>
        </w:rPr>
        <w:t>дазатинибом</w:t>
      </w:r>
      <w:proofErr w:type="spellEnd"/>
      <w:r w:rsidRPr="00985F08">
        <w:rPr>
          <w:i/>
          <w:iCs/>
          <w:szCs w:val="24"/>
          <w:lang w:eastAsia="ru-RU"/>
        </w:rPr>
        <w:t xml:space="preserve"> сопряжена с повышенным риском </w:t>
      </w:r>
      <w:r w:rsidR="008E70C5" w:rsidRPr="00985F08">
        <w:rPr>
          <w:i/>
          <w:iCs/>
          <w:szCs w:val="24"/>
          <w:lang w:eastAsia="ru-RU"/>
        </w:rPr>
        <w:t>развития плевральных выпотов (до 37%), которые могут развиваться даже после нескольких лет ранее неосложненного лечения.</w:t>
      </w:r>
      <w:r w:rsidR="009A523B" w:rsidRPr="00985F08">
        <w:rPr>
          <w:i/>
          <w:iCs/>
          <w:szCs w:val="24"/>
          <w:lang w:eastAsia="ru-RU"/>
        </w:rPr>
        <w:t xml:space="preserve"> В редких случаях развивается легочная артериальная гипертензия. Наличие в анамнезе </w:t>
      </w:r>
      <w:proofErr w:type="spellStart"/>
      <w:r w:rsidR="00985F08" w:rsidRPr="00985F08">
        <w:rPr>
          <w:i/>
          <w:iCs/>
          <w:szCs w:val="24"/>
          <w:lang w:eastAsia="ru-RU"/>
        </w:rPr>
        <w:t>плевро</w:t>
      </w:r>
      <w:proofErr w:type="spellEnd"/>
      <w:r w:rsidR="00985F08" w:rsidRPr="00985F08">
        <w:rPr>
          <w:i/>
          <w:iCs/>
          <w:szCs w:val="24"/>
          <w:lang w:eastAsia="ru-RU"/>
        </w:rPr>
        <w:t xml:space="preserve">-пульмональных или перикардиальных </w:t>
      </w:r>
      <w:r w:rsidR="009A523B" w:rsidRPr="00985F08">
        <w:rPr>
          <w:i/>
          <w:iCs/>
          <w:szCs w:val="24"/>
          <w:lang w:eastAsia="ru-RU"/>
        </w:rPr>
        <w:t>заболеваний</w:t>
      </w:r>
      <w:r w:rsidR="00985F08" w:rsidRPr="00985F08">
        <w:rPr>
          <w:i/>
          <w:iCs/>
          <w:szCs w:val="24"/>
          <w:lang w:eastAsia="ru-RU"/>
        </w:rPr>
        <w:t xml:space="preserve"> являются строгими противопоказаниями к применению </w:t>
      </w:r>
      <w:proofErr w:type="spellStart"/>
      <w:r w:rsidR="00985F08" w:rsidRPr="00985F08">
        <w:rPr>
          <w:i/>
          <w:iCs/>
          <w:szCs w:val="24"/>
          <w:lang w:eastAsia="ru-RU"/>
        </w:rPr>
        <w:t>дазатиниба</w:t>
      </w:r>
      <w:proofErr w:type="spellEnd"/>
      <w:r w:rsidR="00985F08" w:rsidRPr="00985F08">
        <w:rPr>
          <w:i/>
          <w:iCs/>
          <w:szCs w:val="24"/>
          <w:lang w:eastAsia="ru-RU"/>
        </w:rPr>
        <w:t xml:space="preserve"> в качестве препарата первой линии </w:t>
      </w:r>
      <w:proofErr w:type="gramStart"/>
      <w:r w:rsidR="00985F08" w:rsidRPr="00985F08">
        <w:rPr>
          <w:i/>
          <w:iCs/>
          <w:szCs w:val="24"/>
          <w:lang w:eastAsia="ru-RU"/>
        </w:rPr>
        <w:t>терапии</w:t>
      </w:r>
      <w:r w:rsidR="009A523B" w:rsidRPr="00985F08">
        <w:rPr>
          <w:i/>
          <w:iCs/>
          <w:szCs w:val="24"/>
          <w:lang w:eastAsia="ru-RU"/>
        </w:rPr>
        <w:t xml:space="preserve"> </w:t>
      </w:r>
      <w:r w:rsidR="00423C0A" w:rsidRPr="000375D7">
        <w:rPr>
          <w:i/>
          <w:iCs/>
          <w:szCs w:val="24"/>
          <w:lang w:eastAsia="ru-RU"/>
        </w:rPr>
        <w:t xml:space="preserve"> </w:t>
      </w:r>
      <w:r w:rsidR="00423C0A" w:rsidRPr="0088127B">
        <w:rPr>
          <w:i/>
          <w:iCs/>
          <w:szCs w:val="24"/>
          <w:lang w:eastAsia="ru-RU"/>
        </w:rPr>
        <w:t>[</w:t>
      </w:r>
      <w:proofErr w:type="gramEnd"/>
      <w:r w:rsidR="0088127B" w:rsidRPr="0088127B">
        <w:rPr>
          <w:i/>
          <w:iCs/>
          <w:szCs w:val="24"/>
          <w:lang w:eastAsia="ru-RU"/>
        </w:rPr>
        <w:t>101</w:t>
      </w:r>
      <w:r w:rsidR="00423C0A" w:rsidRPr="0088127B">
        <w:rPr>
          <w:i/>
          <w:iCs/>
          <w:szCs w:val="24"/>
          <w:lang w:eastAsia="ru-RU"/>
        </w:rPr>
        <w:t>].</w:t>
      </w:r>
    </w:p>
    <w:p w14:paraId="1A9187E9" w14:textId="77777777" w:rsidR="00423C0A" w:rsidRPr="0088127B" w:rsidRDefault="00423C0A" w:rsidP="007E700E">
      <w:pPr>
        <w:rPr>
          <w:i/>
          <w:iCs/>
          <w:szCs w:val="24"/>
          <w:lang w:eastAsia="ru-RU"/>
        </w:rPr>
      </w:pPr>
    </w:p>
    <w:p w14:paraId="007DC6DE" w14:textId="0CDC87B8" w:rsidR="00BB4A5E" w:rsidRPr="00062B4F" w:rsidRDefault="00BB4A5E" w:rsidP="00505FD7">
      <w:pPr>
        <w:numPr>
          <w:ilvl w:val="0"/>
          <w:numId w:val="10"/>
        </w:numPr>
        <w:ind w:left="714" w:hanging="357"/>
        <w:rPr>
          <w:iCs/>
          <w:szCs w:val="24"/>
          <w:lang w:eastAsia="ru-RU"/>
        </w:rPr>
      </w:pPr>
      <w:r w:rsidRPr="00062B4F">
        <w:rPr>
          <w:b/>
          <w:bCs/>
          <w:iCs/>
          <w:szCs w:val="24"/>
          <w:lang w:eastAsia="ru-RU"/>
        </w:rPr>
        <w:t>Рекомендуется</w:t>
      </w:r>
      <w:r w:rsidRPr="00062B4F">
        <w:rPr>
          <w:iCs/>
          <w:szCs w:val="24"/>
          <w:lang w:eastAsia="ru-RU"/>
        </w:rPr>
        <w:t xml:space="preserve"> </w:t>
      </w:r>
      <w:r w:rsidRPr="00062B4F">
        <w:rPr>
          <w:bCs/>
          <w:iCs/>
          <w:szCs w:val="24"/>
          <w:lang w:eastAsia="ru-RU"/>
        </w:rPr>
        <w:t>всем</w:t>
      </w:r>
      <w:r w:rsidRPr="00062B4F">
        <w:rPr>
          <w:b/>
          <w:bCs/>
          <w:iCs/>
          <w:szCs w:val="24"/>
          <w:lang w:eastAsia="ru-RU"/>
        </w:rPr>
        <w:t xml:space="preserve"> </w:t>
      </w:r>
      <w:r w:rsidRPr="00062B4F">
        <w:rPr>
          <w:bCs/>
          <w:iCs/>
          <w:szCs w:val="24"/>
          <w:lang w:eastAsia="ru-RU"/>
        </w:rPr>
        <w:t>пациентам</w:t>
      </w:r>
      <w:r w:rsidRPr="00062B4F">
        <w:rPr>
          <w:b/>
          <w:bCs/>
          <w:iCs/>
          <w:szCs w:val="24"/>
          <w:lang w:eastAsia="ru-RU"/>
        </w:rPr>
        <w:t xml:space="preserve"> </w:t>
      </w:r>
      <w:r w:rsidRPr="00062B4F">
        <w:rPr>
          <w:iCs/>
          <w:szCs w:val="24"/>
          <w:lang w:eastAsia="ru-RU"/>
        </w:rPr>
        <w:t xml:space="preserve">в ХФ использование </w:t>
      </w:r>
      <w:proofErr w:type="spellStart"/>
      <w:r w:rsidR="000E338F">
        <w:rPr>
          <w:iCs/>
          <w:szCs w:val="24"/>
          <w:lang w:eastAsia="ru-RU"/>
        </w:rPr>
        <w:t>б</w:t>
      </w:r>
      <w:r>
        <w:rPr>
          <w:iCs/>
          <w:szCs w:val="24"/>
          <w:lang w:eastAsia="ru-RU"/>
        </w:rPr>
        <w:t>озутиниба</w:t>
      </w:r>
      <w:proofErr w:type="spellEnd"/>
      <w:r w:rsidRPr="00062B4F">
        <w:rPr>
          <w:iCs/>
          <w:szCs w:val="24"/>
          <w:lang w:eastAsia="ru-RU"/>
        </w:rPr>
        <w:t>** как препарата первой лини</w:t>
      </w:r>
      <w:r w:rsidR="00462B75">
        <w:rPr>
          <w:iCs/>
          <w:szCs w:val="24"/>
          <w:lang w:eastAsia="ru-RU"/>
        </w:rPr>
        <w:t>и</w:t>
      </w:r>
      <w:r w:rsidRPr="00062B4F">
        <w:rPr>
          <w:iCs/>
          <w:szCs w:val="24"/>
          <w:lang w:eastAsia="ru-RU"/>
        </w:rPr>
        <w:t xml:space="preserve"> для терапии ХМЛ в режиме </w:t>
      </w:r>
      <w:proofErr w:type="spellStart"/>
      <w:r w:rsidRPr="00062B4F">
        <w:rPr>
          <w:iCs/>
          <w:szCs w:val="24"/>
          <w:lang w:eastAsia="ru-RU"/>
        </w:rPr>
        <w:t>монотерапии</w:t>
      </w:r>
      <w:proofErr w:type="spellEnd"/>
      <w:r w:rsidRPr="00062B4F">
        <w:rPr>
          <w:iCs/>
          <w:szCs w:val="24"/>
          <w:lang w:eastAsia="ru-RU"/>
        </w:rPr>
        <w:t xml:space="preserve"> </w:t>
      </w:r>
      <w:r w:rsidRPr="00062B4F">
        <w:rPr>
          <w:iCs/>
          <w:szCs w:val="24"/>
          <w:lang w:eastAsia="ru-RU"/>
        </w:rPr>
        <w:fldChar w:fldCharType="begin" w:fldLock="1"/>
      </w:r>
      <w:r w:rsidRPr="00062B4F">
        <w:rPr>
          <w:iCs/>
          <w:szCs w:val="24"/>
          <w:lang w:eastAsia="ru-RU"/>
        </w:rPr>
        <w:instrText>ADDIN CSL_CITATION {"citationItems":[{"id":"ITEM-1","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M.","non-dropping-particle":"","parse-names":false,"suffix":""}],"container-title":"Leukemia","id":"ITEM-1","issue":"5","issued":{"date-parts":[["2016","5","1"]]},"page":"1044-1054","publisher":"Nature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plainTextFormattedCitation":"[25]","previouslyFormattedCitation":"[25]"},"properties":{"noteIndex":0},"schema":"https://github.com/citation-style-language/schema/raw/master/csl-citation.json"}</w:instrText>
      </w:r>
      <w:r w:rsidRPr="00062B4F">
        <w:rPr>
          <w:iCs/>
          <w:szCs w:val="24"/>
          <w:lang w:eastAsia="ru-RU"/>
        </w:rPr>
        <w:fldChar w:fldCharType="separate"/>
      </w:r>
      <w:r w:rsidRPr="00062B4F">
        <w:rPr>
          <w:iCs/>
          <w:noProof/>
          <w:szCs w:val="24"/>
          <w:lang w:eastAsia="ru-RU"/>
        </w:rPr>
        <w:t>[</w:t>
      </w:r>
      <w:r w:rsidR="00832B83" w:rsidRPr="0088127B">
        <w:rPr>
          <w:iCs/>
          <w:noProof/>
          <w:szCs w:val="24"/>
          <w:lang w:eastAsia="ru-RU"/>
        </w:rPr>
        <w:t>100</w:t>
      </w:r>
      <w:r w:rsidRPr="00062B4F">
        <w:rPr>
          <w:iCs/>
          <w:noProof/>
          <w:szCs w:val="24"/>
          <w:lang w:eastAsia="ru-RU"/>
        </w:rPr>
        <w:t>]</w:t>
      </w:r>
      <w:r w:rsidRPr="00062B4F">
        <w:rPr>
          <w:iCs/>
          <w:szCs w:val="24"/>
          <w:lang w:eastAsia="ru-RU"/>
        </w:rPr>
        <w:fldChar w:fldCharType="end"/>
      </w:r>
      <w:r w:rsidRPr="00062B4F">
        <w:rPr>
          <w:iCs/>
          <w:szCs w:val="24"/>
          <w:lang w:eastAsia="ru-RU"/>
        </w:rPr>
        <w:t>.</w:t>
      </w:r>
    </w:p>
    <w:p w14:paraId="7442D5B6" w14:textId="77777777" w:rsidR="00BB4A5E" w:rsidRPr="00062B4F" w:rsidRDefault="00BB4A5E" w:rsidP="00BB4A5E">
      <w:pPr>
        <w:ind w:left="709" w:firstLine="0"/>
        <w:rPr>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A</w:t>
      </w:r>
      <w:r w:rsidRPr="00062B4F">
        <w:rPr>
          <w:b/>
          <w:bCs/>
          <w:szCs w:val="24"/>
          <w:lang w:eastAsia="ru-RU"/>
        </w:rPr>
        <w:t xml:space="preserve"> </w:t>
      </w:r>
      <w:r w:rsidRPr="00062B4F">
        <w:rPr>
          <w:bCs/>
          <w:szCs w:val="24"/>
          <w:lang w:eastAsia="ru-RU"/>
        </w:rPr>
        <w:t>(уровень достоверности доказательств – 2).</w:t>
      </w:r>
    </w:p>
    <w:p w14:paraId="371D7AF9" w14:textId="034F572B" w:rsidR="00E00172" w:rsidRPr="00375E1F" w:rsidRDefault="00E00172" w:rsidP="00E00172">
      <w:pPr>
        <w:spacing w:line="372" w:lineRule="auto"/>
        <w:rPr>
          <w:i/>
          <w:iCs/>
          <w:szCs w:val="24"/>
          <w:lang w:eastAsia="ru-RU"/>
        </w:rPr>
      </w:pPr>
      <w:r w:rsidRPr="00062B4F">
        <w:rPr>
          <w:b/>
          <w:bCs/>
          <w:i/>
          <w:iCs/>
          <w:szCs w:val="24"/>
          <w:lang w:eastAsia="ru-RU"/>
        </w:rPr>
        <w:t>Комментарии</w:t>
      </w:r>
      <w:r w:rsidRPr="00062B4F">
        <w:rPr>
          <w:i/>
          <w:iCs/>
          <w:szCs w:val="24"/>
          <w:lang w:eastAsia="ru-RU"/>
        </w:rPr>
        <w:t>:</w:t>
      </w:r>
      <w:r>
        <w:rPr>
          <w:i/>
          <w:iCs/>
          <w:szCs w:val="24"/>
          <w:lang w:eastAsia="ru-RU"/>
        </w:rPr>
        <w:t xml:space="preserve"> </w:t>
      </w:r>
      <w:proofErr w:type="spellStart"/>
      <w:r w:rsidRPr="00375E1F">
        <w:rPr>
          <w:i/>
          <w:iCs/>
          <w:szCs w:val="24"/>
          <w:lang w:eastAsia="ru-RU"/>
        </w:rPr>
        <w:t>Бозутиниб</w:t>
      </w:r>
      <w:proofErr w:type="spellEnd"/>
      <w:r w:rsidR="009B2E6C" w:rsidRPr="00375E1F">
        <w:rPr>
          <w:i/>
          <w:iCs/>
          <w:szCs w:val="24"/>
          <w:lang w:eastAsia="ru-RU"/>
        </w:rPr>
        <w:t>**</w:t>
      </w:r>
      <w:r w:rsidRPr="00375E1F">
        <w:rPr>
          <w:i/>
          <w:iCs/>
          <w:szCs w:val="24"/>
          <w:lang w:eastAsia="ru-RU"/>
        </w:rPr>
        <w:t xml:space="preserve"> – ингибитор </w:t>
      </w:r>
      <w:proofErr w:type="spellStart"/>
      <w:r w:rsidRPr="00375E1F">
        <w:rPr>
          <w:i/>
          <w:iCs/>
          <w:szCs w:val="24"/>
          <w:lang w:eastAsia="ru-RU"/>
        </w:rPr>
        <w:t>киназы</w:t>
      </w:r>
      <w:proofErr w:type="spellEnd"/>
      <w:r w:rsidRPr="00375E1F">
        <w:rPr>
          <w:i/>
          <w:iCs/>
          <w:szCs w:val="24"/>
          <w:lang w:eastAsia="ru-RU"/>
        </w:rPr>
        <w:t xml:space="preserve"> </w:t>
      </w:r>
      <w:proofErr w:type="gramStart"/>
      <w:r w:rsidR="00602FD9" w:rsidRPr="00375E1F">
        <w:rPr>
          <w:szCs w:val="24"/>
          <w:lang w:eastAsia="ru-RU"/>
        </w:rPr>
        <w:t>BCR::</w:t>
      </w:r>
      <w:proofErr w:type="gramEnd"/>
      <w:r w:rsidR="00602FD9" w:rsidRPr="00375E1F">
        <w:rPr>
          <w:szCs w:val="24"/>
          <w:lang w:eastAsia="ru-RU"/>
        </w:rPr>
        <w:t>ABL</w:t>
      </w:r>
      <w:r w:rsidR="00602FD9" w:rsidRPr="00375E1F">
        <w:rPr>
          <w:iCs/>
          <w:szCs w:val="24"/>
          <w:lang w:eastAsia="ru-RU"/>
        </w:rPr>
        <w:t>1</w:t>
      </w:r>
      <w:r w:rsidRPr="00375E1F">
        <w:rPr>
          <w:i/>
          <w:iCs/>
          <w:szCs w:val="24"/>
          <w:lang w:eastAsia="ru-RU"/>
        </w:rPr>
        <w:t xml:space="preserve">, а также </w:t>
      </w:r>
      <w:proofErr w:type="spellStart"/>
      <w:r w:rsidRPr="00375E1F">
        <w:rPr>
          <w:i/>
          <w:iCs/>
          <w:szCs w:val="24"/>
          <w:lang w:eastAsia="ru-RU"/>
        </w:rPr>
        <w:t>киназ</w:t>
      </w:r>
      <w:proofErr w:type="spellEnd"/>
      <w:r w:rsidRPr="00375E1F">
        <w:rPr>
          <w:i/>
          <w:iCs/>
          <w:szCs w:val="24"/>
          <w:lang w:eastAsia="ru-RU"/>
        </w:rPr>
        <w:t xml:space="preserve"> семейства </w:t>
      </w:r>
      <w:r w:rsidRPr="00375E1F">
        <w:rPr>
          <w:iCs/>
          <w:szCs w:val="24"/>
          <w:lang w:eastAsia="ru-RU"/>
        </w:rPr>
        <w:t>SRC</w:t>
      </w:r>
      <w:r w:rsidRPr="00375E1F">
        <w:rPr>
          <w:i/>
          <w:iCs/>
          <w:szCs w:val="24"/>
          <w:lang w:eastAsia="ru-RU"/>
        </w:rPr>
        <w:t xml:space="preserve">, в том числе </w:t>
      </w:r>
      <w:r w:rsidRPr="00375E1F">
        <w:rPr>
          <w:iCs/>
          <w:szCs w:val="24"/>
          <w:lang w:eastAsia="ru-RU"/>
        </w:rPr>
        <w:t>SRC, LYN и HCK</w:t>
      </w:r>
      <w:r w:rsidRPr="00375E1F">
        <w:rPr>
          <w:i/>
          <w:iCs/>
          <w:szCs w:val="24"/>
          <w:lang w:eastAsia="ru-RU"/>
        </w:rPr>
        <w:t xml:space="preserve">. Препарат обладает минимальной ингибирующей активностью в отношении рецепторов PDGFR. Стандартная доза для </w:t>
      </w:r>
      <w:r w:rsidR="0079164C" w:rsidRPr="00375E1F">
        <w:rPr>
          <w:i/>
          <w:iCs/>
          <w:szCs w:val="24"/>
          <w:lang w:eastAsia="ru-RU"/>
        </w:rPr>
        <w:t>терапии в 1ой линии</w:t>
      </w:r>
      <w:r w:rsidR="00462B75">
        <w:rPr>
          <w:i/>
          <w:iCs/>
          <w:szCs w:val="24"/>
          <w:lang w:eastAsia="ru-RU"/>
        </w:rPr>
        <w:t xml:space="preserve"> у</w:t>
      </w:r>
      <w:r w:rsidR="0079164C" w:rsidRPr="00375E1F">
        <w:rPr>
          <w:i/>
          <w:iCs/>
          <w:szCs w:val="24"/>
          <w:lang w:eastAsia="ru-RU"/>
        </w:rPr>
        <w:t xml:space="preserve"> пациентов</w:t>
      </w:r>
      <w:r w:rsidR="00C12346" w:rsidRPr="00375E1F">
        <w:rPr>
          <w:i/>
          <w:iCs/>
          <w:szCs w:val="24"/>
          <w:lang w:eastAsia="ru-RU"/>
        </w:rPr>
        <w:t xml:space="preserve"> в ХФ составляет</w:t>
      </w:r>
      <w:r w:rsidRPr="00375E1F">
        <w:rPr>
          <w:i/>
          <w:iCs/>
          <w:szCs w:val="24"/>
          <w:lang w:eastAsia="ru-RU"/>
        </w:rPr>
        <w:t xml:space="preserve"> </w:t>
      </w:r>
      <w:r w:rsidR="00C12346" w:rsidRPr="00375E1F">
        <w:rPr>
          <w:i/>
          <w:iCs/>
          <w:szCs w:val="24"/>
          <w:lang w:eastAsia="ru-RU"/>
        </w:rPr>
        <w:t>4</w:t>
      </w:r>
      <w:r w:rsidRPr="00375E1F">
        <w:rPr>
          <w:i/>
          <w:iCs/>
          <w:szCs w:val="24"/>
          <w:lang w:eastAsia="ru-RU"/>
        </w:rPr>
        <w:t>00 мг в сутки</w:t>
      </w:r>
      <w:r w:rsidR="00B64063" w:rsidRPr="00375E1F">
        <w:rPr>
          <w:i/>
          <w:iCs/>
          <w:szCs w:val="24"/>
          <w:lang w:eastAsia="ru-RU"/>
        </w:rPr>
        <w:t>.</w:t>
      </w:r>
      <w:r w:rsidRPr="00375E1F">
        <w:rPr>
          <w:i/>
          <w:iCs/>
          <w:szCs w:val="24"/>
          <w:lang w:eastAsia="ru-RU"/>
        </w:rPr>
        <w:t xml:space="preserve"> В случае нежелательных явлений, препятствующих продолжению терапии в стандартной дозе, доза может быть снижена </w:t>
      </w:r>
      <w:proofErr w:type="gramStart"/>
      <w:r w:rsidRPr="00375E1F">
        <w:rPr>
          <w:i/>
          <w:iCs/>
          <w:szCs w:val="24"/>
          <w:lang w:eastAsia="ru-RU"/>
        </w:rPr>
        <w:t>до  300</w:t>
      </w:r>
      <w:proofErr w:type="gramEnd"/>
      <w:r w:rsidRPr="00375E1F">
        <w:rPr>
          <w:i/>
          <w:iCs/>
          <w:szCs w:val="24"/>
          <w:lang w:eastAsia="ru-RU"/>
        </w:rPr>
        <w:t xml:space="preserve"> мг 1 раз в сутки (табл. 5). Нет данных об эффективности повышения </w:t>
      </w:r>
      <w:r w:rsidRPr="00375E1F">
        <w:rPr>
          <w:i/>
          <w:iCs/>
          <w:szCs w:val="24"/>
          <w:lang w:eastAsia="ru-RU"/>
        </w:rPr>
        <w:lastRenderedPageBreak/>
        <w:t xml:space="preserve">дозы </w:t>
      </w:r>
      <w:proofErr w:type="spellStart"/>
      <w:r w:rsidRPr="00375E1F">
        <w:rPr>
          <w:i/>
          <w:iCs/>
          <w:szCs w:val="24"/>
          <w:lang w:eastAsia="ru-RU"/>
        </w:rPr>
        <w:t>бозутиниба</w:t>
      </w:r>
      <w:proofErr w:type="spellEnd"/>
      <w:r w:rsidR="00192F67" w:rsidRPr="00375E1F">
        <w:rPr>
          <w:i/>
          <w:iCs/>
          <w:szCs w:val="24"/>
          <w:lang w:eastAsia="ru-RU"/>
        </w:rPr>
        <w:t>**</w:t>
      </w:r>
      <w:r w:rsidRPr="00375E1F">
        <w:rPr>
          <w:i/>
          <w:iCs/>
          <w:szCs w:val="24"/>
          <w:lang w:eastAsia="ru-RU"/>
        </w:rPr>
        <w:t xml:space="preserve"> при неэффективности стандартной дозы препарата. В связи с этим в клинической практике увеличение дозы препарата при недостаточной эффективности его стандартной дозы нецелесообразно.</w:t>
      </w:r>
    </w:p>
    <w:p w14:paraId="1DA99C5A" w14:textId="77777777" w:rsidR="00423C0A" w:rsidRPr="00375E1F" w:rsidRDefault="00423C0A" w:rsidP="00423C0A">
      <w:pPr>
        <w:spacing w:line="372" w:lineRule="auto"/>
        <w:rPr>
          <w:i/>
          <w:iCs/>
          <w:szCs w:val="24"/>
          <w:lang w:eastAsia="ru-RU"/>
        </w:rPr>
      </w:pPr>
      <w:r w:rsidRPr="00375E1F">
        <w:rPr>
          <w:i/>
          <w:iCs/>
          <w:szCs w:val="24"/>
          <w:lang w:eastAsia="ru-RU"/>
        </w:rPr>
        <w:t xml:space="preserve">Никаких сопутствующих состояний и серьезных противопоказаний для терапии </w:t>
      </w:r>
      <w:proofErr w:type="spellStart"/>
      <w:r w:rsidRPr="00375E1F">
        <w:rPr>
          <w:i/>
          <w:iCs/>
          <w:szCs w:val="24"/>
          <w:lang w:eastAsia="ru-RU"/>
        </w:rPr>
        <w:t>бозутинибом</w:t>
      </w:r>
      <w:proofErr w:type="spellEnd"/>
      <w:r w:rsidRPr="00375E1F">
        <w:rPr>
          <w:i/>
          <w:iCs/>
          <w:szCs w:val="24"/>
          <w:lang w:eastAsia="ru-RU"/>
        </w:rPr>
        <w:t xml:space="preserve"> не выявлено. </w:t>
      </w:r>
    </w:p>
    <w:p w14:paraId="0EDFE65D" w14:textId="77777777" w:rsidR="00423C0A" w:rsidRPr="00375E1F" w:rsidRDefault="00423C0A" w:rsidP="00423C0A">
      <w:pPr>
        <w:spacing w:line="372" w:lineRule="auto"/>
        <w:rPr>
          <w:i/>
          <w:iCs/>
          <w:szCs w:val="24"/>
          <w:lang w:eastAsia="ru-RU"/>
        </w:rPr>
      </w:pPr>
      <w:r w:rsidRPr="00375E1F">
        <w:rPr>
          <w:i/>
          <w:iCs/>
          <w:szCs w:val="24"/>
          <w:lang w:eastAsia="ru-RU"/>
        </w:rPr>
        <w:t xml:space="preserve">Обычно преходящая диарея встречается у 30 % пациентов, что может быть беспокоящим побочным эффектом. </w:t>
      </w:r>
    </w:p>
    <w:p w14:paraId="3E954411" w14:textId="3FE21447" w:rsidR="00423C0A" w:rsidRPr="00062B4F" w:rsidRDefault="00423C0A" w:rsidP="00423C0A">
      <w:pPr>
        <w:spacing w:line="372" w:lineRule="auto"/>
        <w:rPr>
          <w:i/>
          <w:iCs/>
          <w:szCs w:val="24"/>
          <w:lang w:eastAsia="ru-RU"/>
        </w:rPr>
      </w:pPr>
      <w:r w:rsidRPr="00375E1F">
        <w:rPr>
          <w:i/>
          <w:iCs/>
          <w:szCs w:val="24"/>
          <w:lang w:eastAsia="ru-RU"/>
        </w:rPr>
        <w:t xml:space="preserve">Может наблюдаться временное повышение уровня </w:t>
      </w:r>
      <w:proofErr w:type="spellStart"/>
      <w:r w:rsidRPr="00375E1F">
        <w:rPr>
          <w:i/>
          <w:iCs/>
          <w:szCs w:val="24"/>
          <w:lang w:eastAsia="ru-RU"/>
        </w:rPr>
        <w:t>трансаминаз</w:t>
      </w:r>
      <w:proofErr w:type="spellEnd"/>
      <w:r w:rsidRPr="00375E1F">
        <w:rPr>
          <w:i/>
          <w:iCs/>
          <w:szCs w:val="24"/>
          <w:lang w:eastAsia="ru-RU"/>
        </w:rPr>
        <w:t xml:space="preserve">, в основном в первые недели или месяцы лечения </w:t>
      </w:r>
      <w:r w:rsidRPr="0088127B">
        <w:rPr>
          <w:i/>
          <w:iCs/>
          <w:szCs w:val="24"/>
          <w:lang w:eastAsia="ru-RU"/>
        </w:rPr>
        <w:t>[</w:t>
      </w:r>
      <w:r w:rsidR="0088127B" w:rsidRPr="0088127B">
        <w:rPr>
          <w:i/>
          <w:iCs/>
          <w:szCs w:val="24"/>
          <w:lang w:eastAsia="ru-RU"/>
        </w:rPr>
        <w:t>101</w:t>
      </w:r>
      <w:r w:rsidRPr="0088127B">
        <w:rPr>
          <w:i/>
          <w:iCs/>
          <w:szCs w:val="24"/>
          <w:lang w:eastAsia="ru-RU"/>
        </w:rPr>
        <w:t>].</w:t>
      </w:r>
    </w:p>
    <w:p w14:paraId="1555F520" w14:textId="77777777" w:rsidR="00423C0A" w:rsidRPr="00062B4F" w:rsidRDefault="00423C0A" w:rsidP="00E00172">
      <w:pPr>
        <w:spacing w:line="372" w:lineRule="auto"/>
        <w:rPr>
          <w:i/>
          <w:iCs/>
          <w:szCs w:val="24"/>
          <w:lang w:eastAsia="ru-RU"/>
        </w:rPr>
      </w:pPr>
    </w:p>
    <w:p w14:paraId="2FDBFCD5" w14:textId="0B6EEF8C" w:rsidR="000C7098" w:rsidRPr="00062B4F" w:rsidRDefault="000C7098" w:rsidP="007E700E">
      <w:pPr>
        <w:rPr>
          <w:i/>
          <w:iCs/>
          <w:szCs w:val="24"/>
          <w:lang w:eastAsia="ru-RU"/>
        </w:rPr>
      </w:pPr>
      <w:r w:rsidRPr="00062B4F">
        <w:rPr>
          <w:i/>
          <w:iCs/>
          <w:szCs w:val="24"/>
          <w:lang w:eastAsia="ru-RU"/>
        </w:rPr>
        <w:t>Применение ИТК2 (</w:t>
      </w:r>
      <w:proofErr w:type="spellStart"/>
      <w:r w:rsidRPr="00062B4F">
        <w:rPr>
          <w:i/>
          <w:iCs/>
          <w:szCs w:val="24"/>
          <w:lang w:eastAsia="ru-RU"/>
        </w:rPr>
        <w:t>нилотиниб</w:t>
      </w:r>
      <w:proofErr w:type="spellEnd"/>
      <w:r w:rsidRPr="00062B4F">
        <w:rPr>
          <w:i/>
          <w:iCs/>
          <w:szCs w:val="24"/>
          <w:lang w:eastAsia="ru-RU"/>
        </w:rPr>
        <w:t xml:space="preserve">**, </w:t>
      </w:r>
      <w:proofErr w:type="spellStart"/>
      <w:r w:rsidRPr="00062B4F">
        <w:rPr>
          <w:i/>
          <w:iCs/>
          <w:szCs w:val="24"/>
          <w:lang w:eastAsia="ru-RU"/>
        </w:rPr>
        <w:t>дазатиниб</w:t>
      </w:r>
      <w:proofErr w:type="spellEnd"/>
      <w:r w:rsidRPr="00062B4F">
        <w:rPr>
          <w:i/>
          <w:iCs/>
          <w:szCs w:val="24"/>
          <w:lang w:eastAsia="ru-RU"/>
        </w:rPr>
        <w:t>**</w:t>
      </w:r>
      <w:r w:rsidR="00090656">
        <w:rPr>
          <w:i/>
          <w:iCs/>
          <w:szCs w:val="24"/>
          <w:lang w:eastAsia="ru-RU"/>
        </w:rPr>
        <w:t xml:space="preserve">, </w:t>
      </w:r>
      <w:proofErr w:type="spellStart"/>
      <w:r w:rsidR="00090656">
        <w:rPr>
          <w:i/>
          <w:iCs/>
          <w:szCs w:val="24"/>
          <w:lang w:eastAsia="ru-RU"/>
        </w:rPr>
        <w:t>бозутиниб</w:t>
      </w:r>
      <w:proofErr w:type="spellEnd"/>
      <w:r w:rsidR="00090656" w:rsidRPr="00062B4F">
        <w:rPr>
          <w:iCs/>
          <w:szCs w:val="24"/>
          <w:lang w:eastAsia="ru-RU"/>
        </w:rPr>
        <w:t>**</w:t>
      </w:r>
      <w:r w:rsidRPr="00062B4F">
        <w:rPr>
          <w:i/>
          <w:iCs/>
          <w:szCs w:val="24"/>
          <w:lang w:eastAsia="ru-RU"/>
        </w:rPr>
        <w:t>) в 1 линии лечения по сравнению с </w:t>
      </w:r>
      <w:proofErr w:type="spellStart"/>
      <w:r w:rsidRPr="00062B4F">
        <w:rPr>
          <w:i/>
          <w:iCs/>
          <w:szCs w:val="24"/>
          <w:lang w:eastAsia="ru-RU"/>
        </w:rPr>
        <w:t>иматинибом</w:t>
      </w:r>
      <w:proofErr w:type="spellEnd"/>
      <w:r w:rsidRPr="00062B4F">
        <w:rPr>
          <w:i/>
          <w:iCs/>
          <w:szCs w:val="24"/>
          <w:lang w:eastAsia="ru-RU"/>
        </w:rPr>
        <w:t>**</w:t>
      </w:r>
      <w:r w:rsidR="00407608" w:rsidRPr="00062B4F">
        <w:rPr>
          <w:i/>
          <w:iCs/>
          <w:szCs w:val="24"/>
          <w:lang w:eastAsia="ru-RU"/>
        </w:rPr>
        <w:t xml:space="preserve"> </w:t>
      </w:r>
      <w:r w:rsidRPr="00062B4F">
        <w:rPr>
          <w:i/>
          <w:iCs/>
          <w:szCs w:val="24"/>
          <w:lang w:eastAsia="ru-RU"/>
        </w:rPr>
        <w:t xml:space="preserve">достоверно более эффективно по снижению вероятности прогрессирования ХМЛ и более высокой частоте достижения глубокого МО в более ранние сроки. Применение </w:t>
      </w:r>
      <w:proofErr w:type="spellStart"/>
      <w:r w:rsidRPr="00062B4F">
        <w:rPr>
          <w:i/>
          <w:iCs/>
          <w:szCs w:val="24"/>
          <w:lang w:eastAsia="ru-RU"/>
        </w:rPr>
        <w:t>нилотиниба</w:t>
      </w:r>
      <w:proofErr w:type="spellEnd"/>
      <w:r w:rsidRPr="00062B4F">
        <w:rPr>
          <w:i/>
          <w:iCs/>
          <w:szCs w:val="24"/>
          <w:lang w:eastAsia="ru-RU"/>
        </w:rPr>
        <w:t>** в первой линии в дозе 600 мг/</w:t>
      </w:r>
      <w:proofErr w:type="spellStart"/>
      <w:r w:rsidRPr="00062B4F">
        <w:rPr>
          <w:i/>
          <w:iCs/>
          <w:szCs w:val="24"/>
          <w:lang w:eastAsia="ru-RU"/>
        </w:rPr>
        <w:t>сут</w:t>
      </w:r>
      <w:proofErr w:type="spellEnd"/>
      <w:r w:rsidRPr="00062B4F">
        <w:rPr>
          <w:i/>
          <w:iCs/>
          <w:szCs w:val="24"/>
          <w:lang w:eastAsia="ru-RU"/>
        </w:rPr>
        <w:t xml:space="preserve"> позволило через 1 год терапии достичь БМО у 77 % пациентов по сравнению с достижением БМО у 60 % пациентов, получавших 400 мг/</w:t>
      </w:r>
      <w:proofErr w:type="spellStart"/>
      <w:r w:rsidRPr="00062B4F">
        <w:rPr>
          <w:i/>
          <w:iCs/>
          <w:szCs w:val="24"/>
          <w:lang w:eastAsia="ru-RU"/>
        </w:rPr>
        <w:t>сут</w:t>
      </w:r>
      <w:proofErr w:type="spellEnd"/>
      <w:r w:rsidRPr="00062B4F">
        <w:rPr>
          <w:i/>
          <w:iCs/>
          <w:szCs w:val="24"/>
          <w:lang w:eastAsia="ru-RU"/>
        </w:rPr>
        <w:t xml:space="preserve"> </w:t>
      </w:r>
      <w:proofErr w:type="spellStart"/>
      <w:r w:rsidRPr="00062B4F">
        <w:rPr>
          <w:i/>
          <w:iCs/>
          <w:szCs w:val="24"/>
          <w:lang w:eastAsia="ru-RU"/>
        </w:rPr>
        <w:t>иматиниба</w:t>
      </w:r>
      <w:proofErr w:type="spellEnd"/>
      <w:r w:rsidRPr="00062B4F">
        <w:rPr>
          <w:i/>
          <w:iCs/>
          <w:szCs w:val="24"/>
          <w:lang w:eastAsia="ru-RU"/>
        </w:rPr>
        <w:t xml:space="preserve">**. К 5 годам терапии глубокий МО4,5 достигнут у 54 % пациентов в группе </w:t>
      </w:r>
      <w:proofErr w:type="spellStart"/>
      <w:r w:rsidRPr="00062B4F">
        <w:rPr>
          <w:i/>
          <w:iCs/>
          <w:szCs w:val="24"/>
          <w:lang w:eastAsia="ru-RU"/>
        </w:rPr>
        <w:t>нилотиниба</w:t>
      </w:r>
      <w:proofErr w:type="spellEnd"/>
      <w:r w:rsidRPr="00062B4F">
        <w:rPr>
          <w:i/>
          <w:iCs/>
          <w:szCs w:val="24"/>
          <w:lang w:eastAsia="ru-RU"/>
        </w:rPr>
        <w:t>** 600 мг/</w:t>
      </w:r>
      <w:proofErr w:type="spellStart"/>
      <w:r w:rsidRPr="00062B4F">
        <w:rPr>
          <w:i/>
          <w:iCs/>
          <w:szCs w:val="24"/>
          <w:lang w:eastAsia="ru-RU"/>
        </w:rPr>
        <w:t>сут</w:t>
      </w:r>
      <w:proofErr w:type="spellEnd"/>
      <w:r w:rsidRPr="00062B4F">
        <w:rPr>
          <w:i/>
          <w:iCs/>
          <w:szCs w:val="24"/>
          <w:lang w:eastAsia="ru-RU"/>
        </w:rPr>
        <w:t xml:space="preserve"> в сравнении с 31 % пациентов в группе </w:t>
      </w:r>
      <w:proofErr w:type="spellStart"/>
      <w:r w:rsidRPr="00062B4F">
        <w:rPr>
          <w:i/>
          <w:iCs/>
          <w:szCs w:val="24"/>
          <w:lang w:eastAsia="ru-RU"/>
        </w:rPr>
        <w:t>иматиниба</w:t>
      </w:r>
      <w:proofErr w:type="spellEnd"/>
      <w:r w:rsidRPr="00062B4F">
        <w:rPr>
          <w:i/>
          <w:iCs/>
          <w:szCs w:val="24"/>
          <w:lang w:eastAsia="ru-RU"/>
        </w:rPr>
        <w:t xml:space="preserve">** </w:t>
      </w:r>
      <w:r w:rsidRPr="00062B4F">
        <w:rPr>
          <w:i/>
          <w:iCs/>
          <w:szCs w:val="24"/>
          <w:lang w:eastAsia="ru-RU"/>
        </w:rPr>
        <w:fldChar w:fldCharType="begin" w:fldLock="1"/>
      </w:r>
      <w:r w:rsidR="00C54289" w:rsidRPr="00062B4F">
        <w:rPr>
          <w:i/>
          <w:iCs/>
          <w:szCs w:val="24"/>
          <w:lang w:eastAsia="ru-RU"/>
        </w:rPr>
        <w:instrText>ADDIN CSL_CITATION {"citationItems":[{"id":"ITEM-1","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M.","non-dropping-particle":"","parse-names":false,"suffix":""}],"container-title":"Leukemia","id":"ITEM-1","issue":"5","issued":{"date-parts":[["2016","5","1"]]},"page":"1044-1054","publisher":"Nature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plainTextFormattedCitation":"[25]","previouslyFormattedCitation":"[25]"},"properties":{"noteIndex":0},"schema":"https://github.com/citation-style-language/schema/raw/master/csl-citation.json"}</w:instrText>
      </w:r>
      <w:r w:rsidRPr="00062B4F">
        <w:rPr>
          <w:i/>
          <w:iCs/>
          <w:szCs w:val="24"/>
          <w:lang w:eastAsia="ru-RU"/>
        </w:rPr>
        <w:fldChar w:fldCharType="separate"/>
      </w:r>
      <w:r w:rsidR="0022783A" w:rsidRPr="00062B4F">
        <w:rPr>
          <w:iCs/>
          <w:noProof/>
          <w:szCs w:val="24"/>
          <w:lang w:eastAsia="ru-RU"/>
        </w:rPr>
        <w:t>[25]</w:t>
      </w:r>
      <w:r w:rsidRPr="00062B4F">
        <w:rPr>
          <w:i/>
          <w:iCs/>
          <w:szCs w:val="24"/>
          <w:lang w:eastAsia="ru-RU"/>
        </w:rPr>
        <w:fldChar w:fldCharType="end"/>
      </w:r>
      <w:r w:rsidRPr="00062B4F">
        <w:rPr>
          <w:i/>
          <w:iCs/>
          <w:szCs w:val="24"/>
          <w:lang w:eastAsia="ru-RU"/>
        </w:rPr>
        <w:t xml:space="preserve">. Сравнение </w:t>
      </w:r>
      <w:proofErr w:type="spellStart"/>
      <w:r w:rsidRPr="00062B4F">
        <w:rPr>
          <w:i/>
          <w:iCs/>
          <w:szCs w:val="24"/>
          <w:lang w:eastAsia="ru-RU"/>
        </w:rPr>
        <w:t>дазатиниба</w:t>
      </w:r>
      <w:proofErr w:type="spellEnd"/>
      <w:r w:rsidRPr="00062B4F">
        <w:rPr>
          <w:i/>
          <w:iCs/>
          <w:szCs w:val="24"/>
          <w:lang w:eastAsia="ru-RU"/>
        </w:rPr>
        <w:t>** в дозе 100 мг/</w:t>
      </w:r>
      <w:proofErr w:type="spellStart"/>
      <w:r w:rsidRPr="00062B4F">
        <w:rPr>
          <w:i/>
          <w:iCs/>
          <w:szCs w:val="24"/>
          <w:lang w:eastAsia="ru-RU"/>
        </w:rPr>
        <w:t>сут</w:t>
      </w:r>
      <w:proofErr w:type="spellEnd"/>
      <w:r w:rsidRPr="00062B4F">
        <w:rPr>
          <w:i/>
          <w:iCs/>
          <w:szCs w:val="24"/>
          <w:lang w:eastAsia="ru-RU"/>
        </w:rPr>
        <w:t xml:space="preserve"> с </w:t>
      </w:r>
      <w:proofErr w:type="spellStart"/>
      <w:r w:rsidRPr="00062B4F">
        <w:rPr>
          <w:i/>
          <w:iCs/>
          <w:szCs w:val="24"/>
          <w:lang w:eastAsia="ru-RU"/>
        </w:rPr>
        <w:t>иматинибом</w:t>
      </w:r>
      <w:proofErr w:type="spellEnd"/>
      <w:r w:rsidRPr="00062B4F">
        <w:rPr>
          <w:i/>
          <w:iCs/>
          <w:szCs w:val="24"/>
          <w:lang w:eastAsia="ru-RU"/>
        </w:rPr>
        <w:t>** в дозе 400 мг/</w:t>
      </w:r>
      <w:proofErr w:type="spellStart"/>
      <w:r w:rsidRPr="00062B4F">
        <w:rPr>
          <w:i/>
          <w:iCs/>
          <w:szCs w:val="24"/>
          <w:lang w:eastAsia="ru-RU"/>
        </w:rPr>
        <w:t>сут</w:t>
      </w:r>
      <w:proofErr w:type="spellEnd"/>
      <w:r w:rsidRPr="00062B4F">
        <w:rPr>
          <w:i/>
          <w:iCs/>
          <w:szCs w:val="24"/>
          <w:lang w:eastAsia="ru-RU"/>
        </w:rPr>
        <w:t xml:space="preserve"> в 1 линии также показало преимущество в достижении БМО к 1 году лечения: у 76 % пациентов, получавших </w:t>
      </w:r>
      <w:proofErr w:type="spellStart"/>
      <w:r w:rsidRPr="00062B4F">
        <w:rPr>
          <w:i/>
          <w:iCs/>
          <w:szCs w:val="24"/>
          <w:lang w:eastAsia="ru-RU"/>
        </w:rPr>
        <w:t>дазатиниб</w:t>
      </w:r>
      <w:proofErr w:type="spellEnd"/>
      <w:r w:rsidRPr="00062B4F">
        <w:rPr>
          <w:i/>
          <w:iCs/>
          <w:szCs w:val="24"/>
          <w:lang w:eastAsia="ru-RU"/>
        </w:rPr>
        <w:t xml:space="preserve">**, против 64 % пациентов на терапии </w:t>
      </w:r>
      <w:proofErr w:type="spellStart"/>
      <w:r w:rsidRPr="00062B4F">
        <w:rPr>
          <w:i/>
          <w:iCs/>
          <w:szCs w:val="24"/>
          <w:lang w:eastAsia="ru-RU"/>
        </w:rPr>
        <w:t>иматинибом</w:t>
      </w:r>
      <w:proofErr w:type="spellEnd"/>
      <w:r w:rsidRPr="00062B4F">
        <w:rPr>
          <w:i/>
          <w:iCs/>
          <w:szCs w:val="24"/>
          <w:lang w:eastAsia="ru-RU"/>
        </w:rPr>
        <w:t xml:space="preserve">** </w:t>
      </w:r>
      <w:r w:rsidRPr="00062B4F">
        <w:rPr>
          <w:i/>
          <w:iCs/>
          <w:szCs w:val="24"/>
          <w:lang w:eastAsia="ru-RU"/>
        </w:rPr>
        <w:fldChar w:fldCharType="begin" w:fldLock="1"/>
      </w:r>
      <w:r w:rsidR="0022783A" w:rsidRPr="00062B4F">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mendeley":{"formattedCitation":"[26]","plainTextFormattedCitation":"[26]","previouslyFormattedCitation":"[26]"},"properties":{"noteIndex":0},"schema":"https://github.com/citation-style-language/schema/raw/master/csl-citation.json"}</w:instrText>
      </w:r>
      <w:r w:rsidRPr="00062B4F">
        <w:rPr>
          <w:i/>
          <w:iCs/>
          <w:szCs w:val="24"/>
          <w:lang w:eastAsia="ru-RU"/>
        </w:rPr>
        <w:fldChar w:fldCharType="separate"/>
      </w:r>
      <w:r w:rsidR="0022783A" w:rsidRPr="00062B4F">
        <w:rPr>
          <w:iCs/>
          <w:noProof/>
          <w:szCs w:val="24"/>
          <w:lang w:eastAsia="ru-RU"/>
        </w:rPr>
        <w:t>[26]</w:t>
      </w:r>
      <w:r w:rsidRPr="00062B4F">
        <w:rPr>
          <w:i/>
          <w:iCs/>
          <w:szCs w:val="24"/>
          <w:lang w:eastAsia="ru-RU"/>
        </w:rPr>
        <w:fldChar w:fldCharType="end"/>
      </w:r>
      <w:r w:rsidRPr="00062B4F">
        <w:rPr>
          <w:i/>
          <w:iCs/>
          <w:szCs w:val="24"/>
          <w:lang w:eastAsia="ru-RU"/>
        </w:rPr>
        <w:t>.</w:t>
      </w:r>
      <w:r w:rsidR="008B6A7B">
        <w:rPr>
          <w:i/>
          <w:iCs/>
          <w:szCs w:val="24"/>
          <w:lang w:eastAsia="ru-RU"/>
        </w:rPr>
        <w:t xml:space="preserve"> Применение </w:t>
      </w:r>
      <w:proofErr w:type="spellStart"/>
      <w:r w:rsidR="008B6A7B">
        <w:rPr>
          <w:i/>
          <w:iCs/>
          <w:szCs w:val="24"/>
          <w:lang w:eastAsia="ru-RU"/>
        </w:rPr>
        <w:t>бозутиниба</w:t>
      </w:r>
      <w:proofErr w:type="spellEnd"/>
      <w:r w:rsidR="008B6A7B" w:rsidRPr="00062B4F">
        <w:rPr>
          <w:i/>
          <w:iCs/>
          <w:szCs w:val="24"/>
          <w:lang w:eastAsia="ru-RU"/>
        </w:rPr>
        <w:t xml:space="preserve">** в первой линии в дозе </w:t>
      </w:r>
      <w:r w:rsidR="008B6A7B">
        <w:rPr>
          <w:i/>
          <w:iCs/>
          <w:szCs w:val="24"/>
          <w:lang w:eastAsia="ru-RU"/>
        </w:rPr>
        <w:t>4</w:t>
      </w:r>
      <w:r w:rsidR="008B6A7B" w:rsidRPr="00062B4F">
        <w:rPr>
          <w:i/>
          <w:iCs/>
          <w:szCs w:val="24"/>
          <w:lang w:eastAsia="ru-RU"/>
        </w:rPr>
        <w:t>00 мг/</w:t>
      </w:r>
      <w:proofErr w:type="spellStart"/>
      <w:r w:rsidR="008B6A7B" w:rsidRPr="00062B4F">
        <w:rPr>
          <w:i/>
          <w:iCs/>
          <w:szCs w:val="24"/>
          <w:lang w:eastAsia="ru-RU"/>
        </w:rPr>
        <w:t>сут</w:t>
      </w:r>
      <w:proofErr w:type="spellEnd"/>
      <w:r w:rsidR="008B6A7B" w:rsidRPr="00062B4F">
        <w:rPr>
          <w:i/>
          <w:iCs/>
          <w:szCs w:val="24"/>
          <w:lang w:eastAsia="ru-RU"/>
        </w:rPr>
        <w:t xml:space="preserve"> позволило через </w:t>
      </w:r>
      <w:r w:rsidR="008B6A7B">
        <w:rPr>
          <w:i/>
          <w:iCs/>
          <w:szCs w:val="24"/>
          <w:lang w:eastAsia="ru-RU"/>
        </w:rPr>
        <w:t>2</w:t>
      </w:r>
      <w:r w:rsidR="008B6A7B" w:rsidRPr="00062B4F">
        <w:rPr>
          <w:i/>
          <w:iCs/>
          <w:szCs w:val="24"/>
          <w:lang w:eastAsia="ru-RU"/>
        </w:rPr>
        <w:t xml:space="preserve"> год</w:t>
      </w:r>
      <w:r w:rsidR="008B6A7B">
        <w:rPr>
          <w:i/>
          <w:iCs/>
          <w:szCs w:val="24"/>
          <w:lang w:eastAsia="ru-RU"/>
        </w:rPr>
        <w:t>а</w:t>
      </w:r>
      <w:r w:rsidR="008B6A7B" w:rsidRPr="00062B4F">
        <w:rPr>
          <w:i/>
          <w:iCs/>
          <w:szCs w:val="24"/>
          <w:lang w:eastAsia="ru-RU"/>
        </w:rPr>
        <w:t xml:space="preserve"> терапии достичь БМО у </w:t>
      </w:r>
      <w:r w:rsidR="005E586A">
        <w:rPr>
          <w:i/>
          <w:iCs/>
          <w:szCs w:val="24"/>
          <w:lang w:eastAsia="ru-RU"/>
        </w:rPr>
        <w:t>6</w:t>
      </w:r>
      <w:r w:rsidR="008B6A7B" w:rsidRPr="00062B4F">
        <w:rPr>
          <w:i/>
          <w:iCs/>
          <w:szCs w:val="24"/>
          <w:lang w:eastAsia="ru-RU"/>
        </w:rPr>
        <w:t xml:space="preserve">7 % пациентов по сравнению с достижением БМО у </w:t>
      </w:r>
      <w:r w:rsidR="005E586A">
        <w:rPr>
          <w:i/>
          <w:iCs/>
          <w:szCs w:val="24"/>
          <w:lang w:eastAsia="ru-RU"/>
        </w:rPr>
        <w:t>57,5</w:t>
      </w:r>
      <w:r w:rsidR="008B6A7B" w:rsidRPr="00062B4F">
        <w:rPr>
          <w:i/>
          <w:iCs/>
          <w:szCs w:val="24"/>
          <w:lang w:eastAsia="ru-RU"/>
        </w:rPr>
        <w:t> % пациентов, получавших 400 мг/</w:t>
      </w:r>
      <w:proofErr w:type="spellStart"/>
      <w:r w:rsidR="008B6A7B" w:rsidRPr="00062B4F">
        <w:rPr>
          <w:i/>
          <w:iCs/>
          <w:szCs w:val="24"/>
          <w:lang w:eastAsia="ru-RU"/>
        </w:rPr>
        <w:t>сут</w:t>
      </w:r>
      <w:proofErr w:type="spellEnd"/>
      <w:r w:rsidR="008B6A7B" w:rsidRPr="00062B4F">
        <w:rPr>
          <w:i/>
          <w:iCs/>
          <w:szCs w:val="24"/>
          <w:lang w:eastAsia="ru-RU"/>
        </w:rPr>
        <w:t xml:space="preserve"> </w:t>
      </w:r>
      <w:proofErr w:type="spellStart"/>
      <w:r w:rsidR="008B6A7B" w:rsidRPr="00062B4F">
        <w:rPr>
          <w:i/>
          <w:iCs/>
          <w:szCs w:val="24"/>
          <w:lang w:eastAsia="ru-RU"/>
        </w:rPr>
        <w:t>иматиниба</w:t>
      </w:r>
      <w:proofErr w:type="spellEnd"/>
      <w:r w:rsidR="008B6A7B" w:rsidRPr="00062B4F">
        <w:rPr>
          <w:i/>
          <w:iCs/>
          <w:szCs w:val="24"/>
          <w:lang w:eastAsia="ru-RU"/>
        </w:rPr>
        <w:t>**</w:t>
      </w:r>
    </w:p>
    <w:p w14:paraId="257F515F" w14:textId="18FD0A43" w:rsidR="000C7098" w:rsidRPr="00062B4F" w:rsidRDefault="000C7098" w:rsidP="007E700E">
      <w:pPr>
        <w:rPr>
          <w:i/>
          <w:iCs/>
          <w:szCs w:val="24"/>
          <w:lang w:eastAsia="ru-RU"/>
        </w:rPr>
      </w:pPr>
      <w:proofErr w:type="spellStart"/>
      <w:r w:rsidRPr="00062B4F">
        <w:rPr>
          <w:i/>
          <w:iCs/>
          <w:szCs w:val="24"/>
          <w:lang w:eastAsia="ru-RU"/>
        </w:rPr>
        <w:t>Нилотиниб</w:t>
      </w:r>
      <w:proofErr w:type="spellEnd"/>
      <w:r w:rsidRPr="00062B4F">
        <w:rPr>
          <w:i/>
          <w:iCs/>
          <w:szCs w:val="24"/>
          <w:lang w:eastAsia="ru-RU"/>
        </w:rPr>
        <w:t xml:space="preserve">** и </w:t>
      </w:r>
      <w:proofErr w:type="spellStart"/>
      <w:r w:rsidRPr="00062B4F">
        <w:rPr>
          <w:i/>
          <w:iCs/>
          <w:szCs w:val="24"/>
          <w:lang w:eastAsia="ru-RU"/>
        </w:rPr>
        <w:t>дазатиниб</w:t>
      </w:r>
      <w:proofErr w:type="spellEnd"/>
      <w:r w:rsidRPr="00062B4F">
        <w:rPr>
          <w:i/>
          <w:iCs/>
          <w:szCs w:val="24"/>
          <w:lang w:eastAsia="ru-RU"/>
        </w:rPr>
        <w:t xml:space="preserve">** обеспечивают более высокую частоту достижения МО4 и МО4,5 по сравнению с </w:t>
      </w:r>
      <w:proofErr w:type="spellStart"/>
      <w:r w:rsidRPr="00062B4F">
        <w:rPr>
          <w:i/>
          <w:iCs/>
          <w:szCs w:val="24"/>
          <w:lang w:eastAsia="ru-RU"/>
        </w:rPr>
        <w:t>иматинибом</w:t>
      </w:r>
      <w:proofErr w:type="spellEnd"/>
      <w:r w:rsidRPr="00062B4F">
        <w:rPr>
          <w:i/>
          <w:iCs/>
          <w:szCs w:val="24"/>
          <w:lang w:eastAsia="ru-RU"/>
        </w:rPr>
        <w:t xml:space="preserve">**, что может увеличить число пациентов, готовых в перспективе к контролируемому наблюдению без терапии. К 5 годам терапии глубокий МО4,5 достигнут у 42% пациентов в группе </w:t>
      </w:r>
      <w:proofErr w:type="spellStart"/>
      <w:r w:rsidRPr="00062B4F">
        <w:rPr>
          <w:i/>
          <w:iCs/>
          <w:szCs w:val="24"/>
          <w:lang w:eastAsia="ru-RU"/>
        </w:rPr>
        <w:t>дазатиниба</w:t>
      </w:r>
      <w:proofErr w:type="spellEnd"/>
      <w:r w:rsidRPr="00062B4F">
        <w:rPr>
          <w:i/>
          <w:iCs/>
          <w:szCs w:val="24"/>
          <w:lang w:eastAsia="ru-RU"/>
        </w:rPr>
        <w:t xml:space="preserve">** в сравнении с 33 % пациентов в группе </w:t>
      </w:r>
      <w:proofErr w:type="spellStart"/>
      <w:r w:rsidRPr="00062B4F">
        <w:rPr>
          <w:i/>
          <w:iCs/>
          <w:szCs w:val="24"/>
          <w:lang w:eastAsia="ru-RU"/>
        </w:rPr>
        <w:t>иматиниба</w:t>
      </w:r>
      <w:proofErr w:type="spellEnd"/>
      <w:r w:rsidRPr="00062B4F">
        <w:rPr>
          <w:i/>
          <w:iCs/>
          <w:szCs w:val="24"/>
          <w:lang w:eastAsia="ru-RU"/>
        </w:rPr>
        <w:t xml:space="preserve">** </w:t>
      </w:r>
      <w:r w:rsidRPr="00062B4F">
        <w:rPr>
          <w:i/>
          <w:iCs/>
          <w:szCs w:val="24"/>
          <w:lang w:eastAsia="ru-RU"/>
        </w:rPr>
        <w:fldChar w:fldCharType="begin" w:fldLock="1"/>
      </w:r>
      <w:r w:rsidR="00C54289" w:rsidRPr="00062B4F">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M.","non-dropping-particle":"","parse-names":false,"suffix":""}],"container-title":"Leukemia","id":"ITEM-2","issue":"5","issued":{"date-parts":[["2016","5","1"]]},"page":"1044-1054","publisher":"Nature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[25,26]","plainTextFormattedCitation":"[25,26]","previouslyFormattedCitation":"[25,26]"},"properties":{"noteIndex":0},"schema":"https://github.com/citation-style-language/schema/raw/master/csl-citation.json"}</w:instrText>
      </w:r>
      <w:r w:rsidRPr="00062B4F">
        <w:rPr>
          <w:i/>
          <w:iCs/>
          <w:szCs w:val="24"/>
          <w:lang w:eastAsia="ru-RU"/>
        </w:rPr>
        <w:fldChar w:fldCharType="separate"/>
      </w:r>
      <w:r w:rsidR="00151215" w:rsidRPr="00062B4F">
        <w:rPr>
          <w:iCs/>
          <w:noProof/>
          <w:szCs w:val="24"/>
          <w:lang w:eastAsia="ru-RU"/>
        </w:rPr>
        <w:t>[25,26]</w:t>
      </w:r>
      <w:r w:rsidRPr="00062B4F">
        <w:rPr>
          <w:i/>
          <w:iCs/>
          <w:szCs w:val="24"/>
          <w:lang w:eastAsia="ru-RU"/>
        </w:rPr>
        <w:fldChar w:fldCharType="end"/>
      </w:r>
      <w:r w:rsidRPr="00062B4F">
        <w:rPr>
          <w:i/>
          <w:iCs/>
          <w:szCs w:val="24"/>
          <w:lang w:eastAsia="ru-RU"/>
        </w:rPr>
        <w:t xml:space="preserve">. </w:t>
      </w:r>
      <w:r w:rsidR="00423C0A" w:rsidRPr="005C0683">
        <w:rPr>
          <w:i/>
          <w:iCs/>
          <w:szCs w:val="24"/>
          <w:lang w:eastAsia="ru-RU"/>
        </w:rPr>
        <w:t xml:space="preserve">Также имеются данные и о большей частоте МО4,5 при лечении </w:t>
      </w:r>
      <w:proofErr w:type="spellStart"/>
      <w:r w:rsidR="00423C0A" w:rsidRPr="005C0683">
        <w:rPr>
          <w:i/>
          <w:iCs/>
          <w:szCs w:val="24"/>
          <w:lang w:eastAsia="ru-RU"/>
        </w:rPr>
        <w:t>бозутинибом</w:t>
      </w:r>
      <w:proofErr w:type="spellEnd"/>
      <w:r w:rsidR="00423C0A" w:rsidRPr="005C0683">
        <w:rPr>
          <w:i/>
          <w:iCs/>
          <w:szCs w:val="24"/>
          <w:lang w:eastAsia="ru-RU"/>
        </w:rPr>
        <w:t xml:space="preserve"> по сравнению с </w:t>
      </w:r>
      <w:proofErr w:type="spellStart"/>
      <w:r w:rsidR="00423C0A" w:rsidRPr="005C0683">
        <w:rPr>
          <w:i/>
          <w:iCs/>
          <w:szCs w:val="24"/>
          <w:lang w:eastAsia="ru-RU"/>
        </w:rPr>
        <w:t>иматинибом</w:t>
      </w:r>
      <w:proofErr w:type="spellEnd"/>
      <w:r w:rsidR="00423C0A" w:rsidRPr="005C0683">
        <w:rPr>
          <w:i/>
          <w:iCs/>
          <w:szCs w:val="24"/>
          <w:lang w:eastAsia="ru-RU"/>
        </w:rPr>
        <w:t xml:space="preserve">: 47,4% и 36,6% соответственно к </w:t>
      </w:r>
      <w:r w:rsidR="000C0D2A" w:rsidRPr="005C0683">
        <w:rPr>
          <w:i/>
          <w:iCs/>
          <w:szCs w:val="24"/>
          <w:lang w:eastAsia="ru-RU"/>
        </w:rPr>
        <w:t xml:space="preserve">5 </w:t>
      </w:r>
      <w:r w:rsidR="00423C0A" w:rsidRPr="005C0683">
        <w:rPr>
          <w:i/>
          <w:iCs/>
          <w:szCs w:val="24"/>
          <w:lang w:eastAsia="ru-RU"/>
        </w:rPr>
        <w:t>год</w:t>
      </w:r>
      <w:r w:rsidR="000C0D2A" w:rsidRPr="005C0683">
        <w:rPr>
          <w:i/>
          <w:iCs/>
          <w:szCs w:val="24"/>
          <w:lang w:eastAsia="ru-RU"/>
        </w:rPr>
        <w:t xml:space="preserve">у </w:t>
      </w:r>
      <w:r w:rsidR="00423C0A" w:rsidRPr="005C0683">
        <w:rPr>
          <w:i/>
          <w:iCs/>
          <w:szCs w:val="24"/>
          <w:lang w:eastAsia="ru-RU"/>
        </w:rPr>
        <w:t xml:space="preserve">терапии </w:t>
      </w:r>
      <w:r w:rsidR="00423C0A" w:rsidRPr="0073710A">
        <w:rPr>
          <w:iCs/>
          <w:szCs w:val="24"/>
          <w:lang w:eastAsia="ru-RU"/>
        </w:rPr>
        <w:t>[</w:t>
      </w:r>
      <w:r w:rsidR="0073710A" w:rsidRPr="0073710A">
        <w:rPr>
          <w:iCs/>
          <w:szCs w:val="24"/>
          <w:lang w:eastAsia="ru-RU"/>
        </w:rPr>
        <w:t>106</w:t>
      </w:r>
      <w:r w:rsidR="009E7023" w:rsidRPr="0073710A">
        <w:rPr>
          <w:iCs/>
          <w:szCs w:val="24"/>
          <w:lang w:eastAsia="ru-RU"/>
        </w:rPr>
        <w:t>]</w:t>
      </w:r>
      <w:r w:rsidR="009E7023" w:rsidRPr="0073710A">
        <w:rPr>
          <w:i/>
          <w:iCs/>
          <w:szCs w:val="24"/>
          <w:lang w:eastAsia="ru-RU"/>
        </w:rPr>
        <w:t>.</w:t>
      </w:r>
      <w:r w:rsidR="0073710A" w:rsidRPr="0073710A">
        <w:rPr>
          <w:i/>
          <w:iCs/>
          <w:szCs w:val="24"/>
          <w:lang w:eastAsia="ru-RU"/>
        </w:rPr>
        <w:t xml:space="preserve"> </w:t>
      </w:r>
      <w:r w:rsidRPr="00062B4F">
        <w:rPr>
          <w:i/>
          <w:iCs/>
          <w:szCs w:val="24"/>
          <w:lang w:eastAsia="ru-RU"/>
        </w:rPr>
        <w:t xml:space="preserve">При этом возможность развития неблагоприятных событий (например, окклюзии периферических сосудов при применении </w:t>
      </w:r>
      <w:proofErr w:type="spellStart"/>
      <w:r w:rsidRPr="00062B4F">
        <w:rPr>
          <w:i/>
          <w:iCs/>
          <w:szCs w:val="24"/>
          <w:lang w:eastAsia="ru-RU"/>
        </w:rPr>
        <w:t>нилотиниба</w:t>
      </w:r>
      <w:proofErr w:type="spellEnd"/>
      <w:r w:rsidR="006851B6" w:rsidRPr="00062B4F">
        <w:rPr>
          <w:i/>
          <w:iCs/>
          <w:szCs w:val="24"/>
          <w:lang w:eastAsia="ru-RU"/>
        </w:rPr>
        <w:t>**</w:t>
      </w:r>
      <w:r w:rsidRPr="00062B4F">
        <w:rPr>
          <w:i/>
          <w:iCs/>
          <w:szCs w:val="24"/>
          <w:lang w:eastAsia="ru-RU"/>
        </w:rPr>
        <w:t xml:space="preserve">, развитие плеврального выпота при длительной терапии </w:t>
      </w:r>
      <w:proofErr w:type="spellStart"/>
      <w:r w:rsidRPr="00062B4F">
        <w:rPr>
          <w:i/>
          <w:iCs/>
          <w:szCs w:val="24"/>
          <w:lang w:eastAsia="ru-RU"/>
        </w:rPr>
        <w:t>дазатинибом</w:t>
      </w:r>
      <w:proofErr w:type="spellEnd"/>
      <w:r w:rsidR="006851B6" w:rsidRPr="00062B4F">
        <w:rPr>
          <w:i/>
          <w:iCs/>
          <w:szCs w:val="24"/>
          <w:lang w:eastAsia="ru-RU"/>
        </w:rPr>
        <w:t>**</w:t>
      </w:r>
      <w:r w:rsidRPr="00062B4F">
        <w:rPr>
          <w:i/>
          <w:iCs/>
          <w:szCs w:val="24"/>
          <w:lang w:eastAsia="ru-RU"/>
        </w:rPr>
        <w:t xml:space="preserve">) требует оценки соответствующих факторов риска у </w:t>
      </w:r>
      <w:r w:rsidR="00151215" w:rsidRPr="00062B4F">
        <w:rPr>
          <w:i/>
          <w:iCs/>
          <w:szCs w:val="24"/>
          <w:lang w:eastAsia="ru-RU"/>
        </w:rPr>
        <w:t xml:space="preserve">пациентов </w:t>
      </w:r>
      <w:r w:rsidRPr="00062B4F">
        <w:rPr>
          <w:i/>
          <w:iCs/>
          <w:szCs w:val="24"/>
          <w:lang w:eastAsia="ru-RU"/>
        </w:rPr>
        <w:fldChar w:fldCharType="begin" w:fldLock="1"/>
      </w:r>
      <w:r w:rsidR="00947941" w:rsidRPr="00062B4F">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E.","non-dropping-particle":"","parse-names":false,"suffix":""}],"container-title":"Cancer","id":"ITEM-2","issue":"2","issued":{"date-parts":[["2010","1"]]},"page":"377-386","title":"Dasatinib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id":"ITEM-3","itemData":{"DOI":"10.1016/j.leukres.2011.08.007","ISSN":"01452126","author":[{"dropping-particle":"","family":"Orlandi","given":"Ester M.","non-dropping-particle":"","parse-names":false,"suffix":""},{"dropping-particle":"","family":"Rocca","given":"Barbara","non-dropping-particle":"","parse-names":false,"suffix":""},{"dropping-particle":"","family":"Pazzano","given":"Anna S.","non-dropping-particle":"","parse-names":false,"suffix":""},{"dropping-particle":"","family":"Ghio","given":"Stefano","non-dropping-particle":"","parse-names":false,"suffix":""}],"container-title":"Leukemia Research","id":"ITEM-3","issue":"1","issued":{"date-parts":[["2012","1"]]},"title":"Reversible pulmonary arterial hypertension likely related to long-term, low-dose dasatinib treatment for chronic myeloid leukaemia","type":"article","volume":"36"},"uris":["http://www.mendeley.com/documents/?uuid=306496b8-7103-33ed-a813-89bbdfcb0e5b"]},{"id":"ITEM-4","itemData":{"DOI":"10.1038/leu.2013.69","ISSN":"08876924","abstract":"Peripheral arterial occlusive disease (PAOD) occurs in patients with chronic phase chronic myeloid leukemia (CML-CP) treated with tyrosine kinase inhibitors (TKIs). The risk of developing PAOD on TKI therapy is unknown and causality has not been established. Patients with CML-CP from three randomized phase III studies (IRIS, TOPS and ENESTnd) were divided into three cohorts: no TKI (cohort 1; n=533), nilotinib (cohort 2; n=556) and imatinib (cohort 3; n=1301). Patients with atherosclerotic risk factors were not excluded. Data were queried for terms indicative of PAOD. Overall, 3, 7 and 2 patients in cohorts 1, 2 and 3, respectively, had PAOD; 11/12 patients had baseline PAOD risk factors. Compared with that of cohort 1, exposure-adjusted risks of PAOD for cohorts 2 and 3 were 0.9 (95% CI, 0.2-3.3) and 0.1 (95% CI, 0.0-0.5), respectively. Multivariate logistic regression revealed that nilotinib had no impact on PAOD rates compared with no TKI, whereas imatinib had decreased rates of PAOD compared with no TKI. Nilotinib was associated with higher rates of PAOD versus imatinib. Baseline assessments, preferably within clinical studies, of PAOD and associated risk factors should occur when initiating TKI therapy in CML; patients should receive monitoring and treatment according to the standard of care for these comorbidities. © 2013 Macmillan Publishers Limited.","author":[{"dropping-particle":"","family":"Giles","given":"F. J.","non-dropping-particle":"","parse-names":false,"suffix":""},{"dropping-particle":"","family":"Mauro","given":"M. J.","non-dropping-particle":"","parse-names":false,"suffix":""},{"dropping-particle":"","family":"Hong","given":"F.","non-dropping-particle":"","parse-names":false,"suffix":""},{"dropping-particle":"","family":"Ortmann","given":"C. E.","non-dropping-particle":"","parse-names":false,"suffix":""},{"dropping-particle":"","family":"McNeill","given":"C.","non-dropping-particle":"","parse-names":false,"suffix":""},{"dropping-particle":"","family":"Woodman","given":"R. C.","non-dropping-particle":"","parse-names":false,"suffix":""},{"dropping-particle":"","family":"Hochhaus","given":"A.","non-dropping-particle":"","parse-names":false,"suffix":""},{"dropping-particle":"","family":"Coutre","given":"P. D.","non-dropping-particle":"Le","parse-names":false,"suffix":""},{"dropping-particle":"","family":"Saglio","given":"G.","non-dropping-particle":"","parse-names":false,"suffix":""}],"container-title":"Leukemia","id":"ITEM-4","issue":"6","issued":{"date-parts":[["2013","6"]]},"page":"1310-1315","title":"Rates of peripheral arterial occlusive disease in patients with chronic myeloid leukemia in the chronic phase treated with imatinib, nilotinib, or non-tyrosine kinase therapy: A retrospective cohort analysis","type":"article-journal","volume":"27"},"uris":["http://www.mendeley.com/documents/?uuid=3f9df915-a76e-3570-8de4-04f9f5d07b2f"]}],"mendeley":{"formattedCitation":"[26,29–31]","plainTextFormattedCitation":"[26,29–31]","previouslyFormattedCitation":"[26,29–31]"},"properties":{"noteIndex":0},"schema":"https://github.com/citation-style-language/schema/raw/master/csl-citation.json"}</w:instrText>
      </w:r>
      <w:r w:rsidRPr="00062B4F">
        <w:rPr>
          <w:i/>
          <w:iCs/>
          <w:szCs w:val="24"/>
          <w:lang w:eastAsia="ru-RU"/>
        </w:rPr>
        <w:fldChar w:fldCharType="separate"/>
      </w:r>
      <w:r w:rsidR="00151215" w:rsidRPr="00062B4F">
        <w:rPr>
          <w:iCs/>
          <w:noProof/>
          <w:szCs w:val="24"/>
          <w:lang w:eastAsia="ru-RU"/>
        </w:rPr>
        <w:t>[26,29–31]</w:t>
      </w:r>
      <w:r w:rsidRPr="00062B4F">
        <w:rPr>
          <w:i/>
          <w:iCs/>
          <w:szCs w:val="24"/>
          <w:lang w:eastAsia="ru-RU"/>
        </w:rPr>
        <w:fldChar w:fldCharType="end"/>
      </w:r>
      <w:r w:rsidRPr="00062B4F">
        <w:rPr>
          <w:i/>
          <w:iCs/>
          <w:szCs w:val="24"/>
          <w:lang w:eastAsia="ru-RU"/>
        </w:rPr>
        <w:t xml:space="preserve">. Профиль токсичности </w:t>
      </w:r>
      <w:proofErr w:type="spellStart"/>
      <w:r w:rsidRPr="00062B4F">
        <w:rPr>
          <w:i/>
          <w:iCs/>
          <w:szCs w:val="24"/>
          <w:lang w:eastAsia="ru-RU"/>
        </w:rPr>
        <w:t>иматиниба</w:t>
      </w:r>
      <w:proofErr w:type="spellEnd"/>
      <w:r w:rsidRPr="00062B4F">
        <w:rPr>
          <w:i/>
          <w:iCs/>
          <w:szCs w:val="24"/>
          <w:lang w:eastAsia="ru-RU"/>
        </w:rPr>
        <w:t xml:space="preserve">** является наиболее безопасным, а опыт применения в 1 линии лечения – наиболее длительным в сравнении с другими ИТК. Также это наиболее </w:t>
      </w:r>
      <w:r w:rsidRPr="00062B4F">
        <w:rPr>
          <w:i/>
          <w:iCs/>
          <w:szCs w:val="24"/>
          <w:lang w:eastAsia="ru-RU"/>
        </w:rPr>
        <w:lastRenderedPageBreak/>
        <w:t xml:space="preserve">доступный на сегодняшний день препарат. Однако, вероятность быстрого достижения БМО и глубокого МО при лечении </w:t>
      </w:r>
      <w:proofErr w:type="spellStart"/>
      <w:r w:rsidRPr="00062B4F">
        <w:rPr>
          <w:i/>
          <w:iCs/>
          <w:szCs w:val="24"/>
          <w:lang w:eastAsia="ru-RU"/>
        </w:rPr>
        <w:t>иматинибом</w:t>
      </w:r>
      <w:proofErr w:type="spellEnd"/>
      <w:r w:rsidRPr="00062B4F">
        <w:rPr>
          <w:i/>
          <w:iCs/>
          <w:szCs w:val="24"/>
          <w:lang w:eastAsia="ru-RU"/>
        </w:rPr>
        <w:t>** по сравнению с ИТК2 ниже</w:t>
      </w:r>
      <w:r w:rsidR="00151215" w:rsidRPr="00062B4F">
        <w:rPr>
          <w:i/>
          <w:iCs/>
          <w:szCs w:val="24"/>
          <w:lang w:eastAsia="ru-RU"/>
        </w:rPr>
        <w:t xml:space="preserve"> </w:t>
      </w:r>
      <w:r w:rsidR="00151215" w:rsidRPr="00062B4F">
        <w:rPr>
          <w:i/>
          <w:iCs/>
          <w:szCs w:val="24"/>
          <w:lang w:eastAsia="ru-RU"/>
        </w:rPr>
        <w:fldChar w:fldCharType="begin" w:fldLock="1"/>
      </w:r>
      <w:r w:rsidR="00C54289" w:rsidRPr="00062B4F">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M.","non-dropping-particle":"","parse-names":false,"suffix":""}],"container-title":"Leukemia","id":"ITEM-2","issue":"5","issued":{"date-parts":[["2016","5","1"]]},"page":"1044-1054","publisher":"Nature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[25,26]","plainTextFormattedCitation":"[25,26]","previouslyFormattedCitation":"[25,26]"},"properties":{"noteIndex":0},"schema":"https://github.com/citation-style-language/schema/raw/master/csl-citation.json"}</w:instrText>
      </w:r>
      <w:r w:rsidR="00151215" w:rsidRPr="00062B4F">
        <w:rPr>
          <w:i/>
          <w:iCs/>
          <w:szCs w:val="24"/>
          <w:lang w:eastAsia="ru-RU"/>
        </w:rPr>
        <w:fldChar w:fldCharType="separate"/>
      </w:r>
      <w:r w:rsidR="00151215" w:rsidRPr="00062B4F">
        <w:rPr>
          <w:iCs/>
          <w:noProof/>
          <w:szCs w:val="24"/>
          <w:lang w:eastAsia="ru-RU"/>
        </w:rPr>
        <w:t>[25,26]</w:t>
      </w:r>
      <w:r w:rsidR="00151215" w:rsidRPr="00062B4F">
        <w:rPr>
          <w:i/>
          <w:iCs/>
          <w:szCs w:val="24"/>
          <w:lang w:eastAsia="ru-RU"/>
        </w:rPr>
        <w:fldChar w:fldCharType="end"/>
      </w:r>
      <w:r w:rsidRPr="00062B4F">
        <w:rPr>
          <w:i/>
          <w:iCs/>
          <w:szCs w:val="24"/>
          <w:lang w:eastAsia="ru-RU"/>
        </w:rPr>
        <w:t xml:space="preserve">. </w:t>
      </w:r>
      <w:proofErr w:type="spellStart"/>
      <w:r w:rsidRPr="00062B4F">
        <w:rPr>
          <w:i/>
          <w:iCs/>
          <w:szCs w:val="24"/>
          <w:lang w:eastAsia="ru-RU"/>
        </w:rPr>
        <w:t>Иматиниб</w:t>
      </w:r>
      <w:proofErr w:type="spellEnd"/>
      <w:r w:rsidRPr="00062B4F">
        <w:rPr>
          <w:i/>
          <w:iCs/>
          <w:szCs w:val="24"/>
          <w:lang w:eastAsia="ru-RU"/>
        </w:rPr>
        <w:t>** может быть оптимальной терапией для пациентов с группой</w:t>
      </w:r>
      <w:r w:rsidR="00443F64">
        <w:rPr>
          <w:i/>
          <w:iCs/>
          <w:szCs w:val="24"/>
          <w:lang w:eastAsia="ru-RU"/>
        </w:rPr>
        <w:t xml:space="preserve"> </w:t>
      </w:r>
      <w:r w:rsidR="00443F64" w:rsidRPr="00062B4F">
        <w:rPr>
          <w:i/>
          <w:iCs/>
          <w:szCs w:val="24"/>
          <w:lang w:eastAsia="ru-RU"/>
        </w:rPr>
        <w:t>низко</w:t>
      </w:r>
      <w:r w:rsidR="00443F64">
        <w:rPr>
          <w:i/>
          <w:iCs/>
          <w:szCs w:val="24"/>
          <w:lang w:eastAsia="ru-RU"/>
        </w:rPr>
        <w:t>го</w:t>
      </w:r>
      <w:r w:rsidRPr="00062B4F">
        <w:rPr>
          <w:i/>
          <w:iCs/>
          <w:szCs w:val="24"/>
          <w:lang w:eastAsia="ru-RU"/>
        </w:rPr>
        <w:t xml:space="preserve"> риска, больных старше 60 лет и/или пациентов с сопутствующими заболеваниями, ограничивающими назначение ИТК2.</w:t>
      </w:r>
    </w:p>
    <w:p w14:paraId="206162C2" w14:textId="77777777" w:rsidR="000C7098" w:rsidRPr="00062B4F" w:rsidRDefault="000C7098" w:rsidP="007E700E">
      <w:pPr>
        <w:rPr>
          <w:i/>
          <w:iCs/>
          <w:szCs w:val="24"/>
          <w:lang w:eastAsia="ru-RU"/>
        </w:rPr>
      </w:pPr>
    </w:p>
    <w:p w14:paraId="53167DA0" w14:textId="77777777" w:rsidR="000C7098" w:rsidRPr="00062B4F" w:rsidRDefault="000C7098" w:rsidP="004022E1">
      <w:pPr>
        <w:pStyle w:val="3"/>
        <w:spacing w:before="120" w:after="120"/>
        <w:rPr>
          <w:rFonts w:ascii="Times New Roman" w:hAnsi="Times New Roman"/>
          <w:b/>
          <w:i/>
          <w:color w:val="auto"/>
        </w:rPr>
      </w:pPr>
      <w:bookmarkStart w:id="26" w:name="_Toc86133406"/>
      <w:r w:rsidRPr="00062B4F">
        <w:rPr>
          <w:rFonts w:ascii="Times New Roman" w:hAnsi="Times New Roman"/>
          <w:b/>
          <w:iCs/>
          <w:color w:val="auto"/>
        </w:rPr>
        <w:t>3.1.3.</w:t>
      </w:r>
      <w:r w:rsidRPr="00062B4F">
        <w:rPr>
          <w:rFonts w:ascii="Times New Roman" w:hAnsi="Times New Roman"/>
          <w:b/>
          <w:i/>
          <w:color w:val="auto"/>
        </w:rPr>
        <w:t xml:space="preserve"> </w:t>
      </w:r>
      <w:r w:rsidRPr="00062B4F">
        <w:rPr>
          <w:rFonts w:ascii="Times New Roman" w:hAnsi="Times New Roman"/>
          <w:b/>
          <w:iCs/>
          <w:color w:val="auto"/>
        </w:rPr>
        <w:t>Вторая и следующие линии терапии ИТК пациентов с ХМЛ</w:t>
      </w:r>
      <w:bookmarkEnd w:id="26"/>
    </w:p>
    <w:p w14:paraId="20DE321A" w14:textId="38979416" w:rsidR="000C7098" w:rsidRPr="00062B4F" w:rsidRDefault="000C7098" w:rsidP="00505FD7">
      <w:pPr>
        <w:numPr>
          <w:ilvl w:val="0"/>
          <w:numId w:val="18"/>
        </w:numPr>
        <w:ind w:left="714" w:hanging="357"/>
        <w:rPr>
          <w:iCs/>
          <w:szCs w:val="24"/>
          <w:lang w:eastAsia="ru-RU"/>
        </w:rPr>
      </w:pPr>
      <w:r w:rsidRPr="00062B4F">
        <w:rPr>
          <w:b/>
          <w:bCs/>
          <w:iCs/>
          <w:szCs w:val="24"/>
          <w:lang w:eastAsia="ru-RU"/>
        </w:rPr>
        <w:t>Рекомендуется</w:t>
      </w:r>
      <w:r w:rsidRPr="00062B4F">
        <w:rPr>
          <w:iCs/>
          <w:szCs w:val="24"/>
          <w:lang w:eastAsia="ru-RU"/>
        </w:rPr>
        <w:t xml:space="preserve"> </w:t>
      </w:r>
      <w:r w:rsidRPr="00062B4F">
        <w:rPr>
          <w:bCs/>
          <w:iCs/>
          <w:szCs w:val="24"/>
          <w:lang w:eastAsia="ru-RU"/>
        </w:rPr>
        <w:t>всем</w:t>
      </w:r>
      <w:r w:rsidRPr="00062B4F">
        <w:rPr>
          <w:b/>
          <w:bCs/>
          <w:iCs/>
          <w:szCs w:val="24"/>
          <w:lang w:eastAsia="ru-RU"/>
        </w:rPr>
        <w:t xml:space="preserve"> </w:t>
      </w:r>
      <w:r w:rsidRPr="00062B4F">
        <w:rPr>
          <w:bCs/>
          <w:iCs/>
          <w:szCs w:val="24"/>
          <w:lang w:eastAsia="ru-RU"/>
        </w:rPr>
        <w:t xml:space="preserve">пациентам </w:t>
      </w:r>
      <w:r w:rsidRPr="00062B4F">
        <w:rPr>
          <w:iCs/>
          <w:szCs w:val="24"/>
          <w:lang w:eastAsia="ru-RU"/>
        </w:rPr>
        <w:t>в ХФ и ФА использование ИТК2 (</w:t>
      </w:r>
      <w:proofErr w:type="spellStart"/>
      <w:r w:rsidRPr="00062B4F">
        <w:rPr>
          <w:iCs/>
          <w:szCs w:val="24"/>
          <w:lang w:eastAsia="ru-RU"/>
        </w:rPr>
        <w:t>нилотиниб</w:t>
      </w:r>
      <w:proofErr w:type="spellEnd"/>
      <w:r w:rsidRPr="00062B4F">
        <w:rPr>
          <w:iCs/>
          <w:szCs w:val="24"/>
          <w:lang w:eastAsia="ru-RU"/>
        </w:rPr>
        <w:t xml:space="preserve">**, </w:t>
      </w:r>
      <w:proofErr w:type="spellStart"/>
      <w:r w:rsidRPr="00062B4F">
        <w:rPr>
          <w:iCs/>
          <w:szCs w:val="24"/>
          <w:lang w:eastAsia="ru-RU"/>
        </w:rPr>
        <w:t>дазатиниб</w:t>
      </w:r>
      <w:proofErr w:type="spellEnd"/>
      <w:r w:rsidRPr="00062B4F">
        <w:rPr>
          <w:iCs/>
          <w:szCs w:val="24"/>
          <w:lang w:eastAsia="ru-RU"/>
        </w:rPr>
        <w:t xml:space="preserve">**, </w:t>
      </w:r>
      <w:proofErr w:type="spellStart"/>
      <w:r w:rsidRPr="00062B4F">
        <w:rPr>
          <w:iCs/>
          <w:szCs w:val="24"/>
          <w:lang w:eastAsia="ru-RU"/>
        </w:rPr>
        <w:t>бозутиниб</w:t>
      </w:r>
      <w:proofErr w:type="spellEnd"/>
      <w:r w:rsidR="00F16A33">
        <w:rPr>
          <w:iCs/>
          <w:szCs w:val="24"/>
          <w:lang w:eastAsia="ru-RU"/>
        </w:rPr>
        <w:t>**</w:t>
      </w:r>
      <w:r w:rsidRPr="00062B4F">
        <w:rPr>
          <w:iCs/>
          <w:szCs w:val="24"/>
          <w:lang w:eastAsia="ru-RU"/>
        </w:rPr>
        <w:t>) как препаратов 2</w:t>
      </w:r>
      <w:r w:rsidR="004E1CF9">
        <w:rPr>
          <w:iCs/>
          <w:szCs w:val="24"/>
          <w:lang w:eastAsia="ru-RU"/>
        </w:rPr>
        <w:t>-й</w:t>
      </w:r>
      <w:r w:rsidRPr="00062B4F">
        <w:rPr>
          <w:iCs/>
          <w:szCs w:val="24"/>
          <w:lang w:eastAsia="ru-RU"/>
        </w:rPr>
        <w:t xml:space="preserve"> и последующих линий для терапии ХМЛ в режиме </w:t>
      </w:r>
      <w:proofErr w:type="spellStart"/>
      <w:r w:rsidRPr="00062B4F">
        <w:rPr>
          <w:iCs/>
          <w:szCs w:val="24"/>
          <w:lang w:eastAsia="ru-RU"/>
        </w:rPr>
        <w:t>монотерапии</w:t>
      </w:r>
      <w:proofErr w:type="spellEnd"/>
      <w:r w:rsidRPr="00062B4F">
        <w:rPr>
          <w:iCs/>
          <w:szCs w:val="24"/>
          <w:lang w:eastAsia="ru-RU"/>
        </w:rPr>
        <w:t xml:space="preserve"> и всем пациентам в БК как препарат</w:t>
      </w:r>
      <w:r w:rsidR="002A611D" w:rsidRPr="00062B4F">
        <w:rPr>
          <w:iCs/>
          <w:szCs w:val="24"/>
          <w:lang w:eastAsia="ru-RU"/>
        </w:rPr>
        <w:t>ов</w:t>
      </w:r>
      <w:r w:rsidRPr="00062B4F">
        <w:rPr>
          <w:iCs/>
          <w:szCs w:val="24"/>
          <w:lang w:eastAsia="ru-RU"/>
        </w:rPr>
        <w:t xml:space="preserve"> 2 и последующих линий в режиме </w:t>
      </w:r>
      <w:proofErr w:type="spellStart"/>
      <w:r w:rsidRPr="00062B4F">
        <w:rPr>
          <w:iCs/>
          <w:szCs w:val="24"/>
          <w:lang w:eastAsia="ru-RU"/>
        </w:rPr>
        <w:t>монотерапии</w:t>
      </w:r>
      <w:proofErr w:type="spellEnd"/>
      <w:r w:rsidRPr="00062B4F">
        <w:rPr>
          <w:iCs/>
          <w:szCs w:val="24"/>
          <w:lang w:eastAsia="ru-RU"/>
        </w:rPr>
        <w:t>, а также в комбинации с другими химиотерапевтическими препаратами</w:t>
      </w:r>
      <w:r w:rsidR="00B77717" w:rsidRPr="00062B4F">
        <w:rPr>
          <w:iCs/>
          <w:szCs w:val="24"/>
          <w:lang w:eastAsia="ru-RU"/>
        </w:rPr>
        <w:t xml:space="preserve"> (для </w:t>
      </w:r>
      <w:proofErr w:type="spellStart"/>
      <w:r w:rsidR="00B77717" w:rsidRPr="00062B4F">
        <w:rPr>
          <w:iCs/>
          <w:szCs w:val="24"/>
          <w:lang w:eastAsia="ru-RU"/>
        </w:rPr>
        <w:t>нилотиниба</w:t>
      </w:r>
      <w:proofErr w:type="spellEnd"/>
      <w:r w:rsidR="00B77717" w:rsidRPr="00062B4F">
        <w:rPr>
          <w:iCs/>
          <w:szCs w:val="24"/>
          <w:lang w:eastAsia="ru-RU"/>
        </w:rPr>
        <w:t>** назначение при БК вне зарегистрированных показаний)</w:t>
      </w:r>
      <w:r w:rsidR="00DA7999" w:rsidRPr="00062B4F">
        <w:rPr>
          <w:iCs/>
          <w:szCs w:val="24"/>
          <w:lang w:eastAsia="ru-RU"/>
        </w:rPr>
        <w:t xml:space="preserve"> </w:t>
      </w:r>
      <w:r w:rsidR="00947941" w:rsidRPr="00062B4F">
        <w:rPr>
          <w:iCs/>
          <w:szCs w:val="24"/>
          <w:lang w:eastAsia="ru-RU"/>
        </w:rPr>
        <w:fldChar w:fldCharType="begin" w:fldLock="1"/>
      </w:r>
      <w:r w:rsidR="00947941" w:rsidRPr="00062B4F">
        <w:rPr>
          <w:iCs/>
          <w:szCs w:val="24"/>
          <w:lang w:eastAsia="ru-RU"/>
        </w:rPr>
        <w:instrText xml:space="preserve">ADDIN CSL_CITATION {"citationItems":[{"id":"ITEM-1","itemData":{"DOI":"10.1007/s00432-017-2385-7","ISSN":"14321335","abstract":"Purpose: Most randomized clinical trials evaluating second generation tyrosine kinase inhibitors (TKI) for the first-line treatment of Chronic Myeloid Leukemia used as comparator the ‘standard’ dose of 400 mg imatinib daily. Several studies showed higher rates of major molecular remission (MMR) at 12 months with 800 mg compared to 400 mg, suggesting that high-dose imatinib may be the appropriate comparator rather than 400 mg. Methods: We systematically reviewed randomized trials comparing the two dosages, calculated a common estimator and compared the result to a common estimator of trials evaluating a second generation TKI in comparison with 400 mg imatinib daily. Results: We identified three trials comparing 400–800 mg imatinib resulting in a common relative risk of 1.30 (1.13–1.49) and indicating a significantly higher rate of MMR in patients treated with 800 mg imatinib (p = 0.0003). We identified five trials comparing 400 mg imatinib daily to a second generation TKI. The common relative risk for MMR at 12 months was 1.69 (1.50–1.90, p &lt; 0.0001). Differences in the prognostic profiles precluded a direct comparison of the common efficacy estimates. Conclusions: We conclude that imatinib was probably not licensed at the optimal dose initially. We suggest that in the future, new TKIs are compared with a higher dose of imatinib. In addition, high-dose imatinib should be considered more often for routine clinical decisions based on the characteristics of the individual patient.","author":[{"dropping-particle":"","family":"Hoffmann","given":"Verena S.","non-dropping-particle":"","parse-names":false,"suffix":""},{"dropping-particle":"","family":"Hasford","given":"Joerg","non-dropping-particle":"","parse-names":false,"suffix":""},{"dropping-particle":"","family":"Deininger","given":"Michael","non-dropping-particle":"","parse-names":false,"suffix":""},{"dropping-particle":"","family":"Cortes","given":"Jorge","non-dropping-particle":"","parse-names":false,"suffix":""},{"dropping-particle":"","family":"Baccarani","given":"Michele","non-dropping-particle":"","parse-names":false,"suffix":""},{"dropping-particle":"","family":"Hehlmann","given":"Rüdiger","non-dropping-particle":"","parse-names":false,"suffix":""}],"container-title":"Journal of Cancer Research and Clinical Oncology","id":"ITEM-1","issue":"7","issued":{"date-parts":[["2017","7","1"]]},"page":"1311-1318","publisher":"Springer Verlag","title":"Systematic review and meta-analysis of standard-dose imatinib vs. high-dose imatinib and second generation tyrosine kinase inhibitors for chronic myeloid leukemia","type":"article-journal","volume":"143"},"uris":["http://www.mendeley.com/documents/?uuid=8a66665a-96a9-3741-938b-d2949a4dc4c9"]},{"id":"ITEM-2","itemData":{"DOI":"10.1002/ajh.24423","ISSN":"03618609","author":[{"dropping-particle":"","family":"Shah","given":"Neil P.","non-dropping-particle":"","parse-names":false,"suffix":""},{"dropping-particle":"","family":"Rousselot","given":"Philippe","non-dropping-particle":"","parse-names":false,"suffix":""},{"dropping-particle":"","family":"Schiffer","given":"Charles","non-dropping-particle":"","parse-names":false,"suffix":""},{"dropping-particle":"","family":"Rea","given":"Delphine","non-dropping-particle":"","parse-names":false,"suffix":""},{"dropping-particle":"","family":"Cortes","given":"Jorge E.","non-dropping-particle":"","parse-names":false,"suffix":""},{"dropping-particle":"","family":"Milone","given":"Jorge","non-dropping-particle":"","parse-names":false,"suffix":""},{"dropping-particle":"","family":"Mohamed","given":"Hesham","non-dropping-particle":"","parse-names":false,"suffix":""},{"dropping-particle":"","family":"Healey","given":"Diane","non-dropping-particle":"","parse-names":false,"suffix":""},{"dropping-particle":"","family":"Kantarjian","given":"Hagop","non-dropping-particle":"","parse-names":false,"suffix":""},{"dropping-particle":"","family":"Hochhaus","given":"Andreas","non-dropping-particle":"","parse-names":false,"suffix":""},{"dropping-particle":"","family":"Saglio","given":"Giuseppe","non-dropping-particle":"","parse-names":false,"suffix":""}],"container-title":"American Journal of Hematology","id":"ITEM-2","issue":"9","issued":{"date-parts":[["2016","9"]]},"page":"869-874","title":"Dasatinib in imatinib-resistant or -intolerant chronic-phase, chronic myeloid leukemia patients: 7-year follow-up of study CA180-034","type":"article-journal","volume":"91"},"uris":["http://www.mendeley.com/documents/?uuid=c99273db-1012-41aa-ad61-8bbbc4b7d9ed"]},{"id":"ITEM-3","itemData":{"DOI":"10.1002/ajh.24536","ISSN":"0361-8609","PMID":"27531525","abstract":"Bosutinib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Hematology","id":"ITEM-3","issue":"12","issued":{"date-parts":[["2016","12"]]},"page":"1206-1214","title":"Long‐term bosutinib for chronic phase chronic myeloid leukemia after failure of imatinib plus dasatinib and/or nilotinib","type":"article-journal","volume":"91"},"uris":["http://www.mendeley.com/documents/?uuid=cb4ca7e0-91a8-4047-a36e-7c8a2122b009"]},{"id":"ITEM-4","itemData":{"DOI":"10.1038/leu.2012.181","ISSN":"0887-6924","PMID":"22763385","abstract":"Nilotinib (Tasigna) is a BCR-ABL1 tyrosine kinase inhibitor approved for the treatment of patients with Philadelphia chromosome-positive chronic myeloid leukemia in chronic phase (CML-CP) who are newly diagnosed or intolerant of or resistant to imatinib. The 48-month follow-up data for patients with CML-CP treated with nilotinib after imatinib resistance or intolerance on an international phase II study were analyzed. Overall, 59% of patients achieved major cytogenetic response; 45% achieved complete cytogenetic response while on study. The estimated rate of overall survival (OS) and progression-free survival (PFS) at 48 months was 78% and 57%, respectively. Deeper levels of molecular responses at 3 and 6 months were highly positively correlated with long-term outcomes, including PFS and OS at 48 months. Of the 321 patients initially enrolled in the study, 98 (31%) were treated for at least 48 months. Discontinuations were primarily due to disease progression (30%) or adverse events (21%). Nilotinib is safe and effective for long-term use in responding patients with CML-CP who are intolerant of or resistant to imatinib. Further significant improvements in therapy are required for patients who are resistant or intolerant to imatinib.","author":[{"dropping-particle":"","family":"Giles","given":"F J","non-dropping-particle":"","parse-names":false,"suffix":""},{"dropping-particle":"","family":"Coutre","given":"P D","non-dropping-particle":"le","parse-names":false,"suffix":""},{"dropping-particle":"","family":"Pinilla-Ibarz","given":"J","non-dropping-particle":"","parse-names":false,"suffix":""},{"dropping-particle":"","family":"Larson","given":"R A","non-dropping-particle":"","parse-names":false,"suffix":""},{"dropping-particle":"","family":"Gattermann","given":"N","non-dropping-particle":"","parse-names":false,"suffix":""},{"dropping-particle":"","family":"Ottmann","given":"O G","non-dropping-particle":"","parse-names":false,"suffix":""},{"dropping-particle":"","family":"Hochhaus","given":"A","non-dropping-particle":"","parse-names":false,"suffix":""},{"dropping-particle":"","family":"Radich","given":"J P","non-dropping-particle":"","parse-names":false,"suffix":""},{"dropping-particle":"","family":"Saglio","given":"G","non-dropping-particle":"","parse-names":false,"suffix":""},{"dropping-particle":"","family":"Hughes","given":"T P","non-dropping-particle":"","parse-names":false,"suffix":""},{"dropping-particle":"","family":"Martinelli","given":"G","non-dropping-particle":"","parse-names":false,"suffix":""},{"dropping-particle":"","family":"Kim","given":"D-W","non-dropping-particle":"","parse-names":false,"suffix":""},{"dropping-particle":"","family":"Novick","given":"S","non-dropping-particle":"","parse-names":false,"suffix":""},{"dropping-particle":"","family":"Gillis","given":"K","non-dropping-particle":"","parse-names":false,"suffix":""},{"dropping-particle":"","family":"Fan","given":"X","non-dropping-particle":"","parse-names":false,"suffix":""},{"dropping-particle":"","family":"Cortes","given":"J","non-dropping-particle":"","parse-names":false,"suffix":""},{"dropping-particle":"","family":"Baccarani","given":"M","non-dropping-particle":"","parse-names":false,"suffix":""},{"dropping-particle":"","family":"Kantarjian","given":"H M","non-dropping-particle":"","parse-names":false,"suffix":""}],"container-title":"Leukemia","id":"ITEM-4","issue":"1","issued":{"date-parts":[["2013","1"]]},"page":"107-112","title":"Nilotinib in imatinib-resistant or imatinib-intolerant patients with chronic myeloid leukemia in chronic phase: 48-month follow-up results of a phase II study","type":"article-journal","volume":"27"},"uris":["http://www.mendeley.com/documents/?uuid=4d425528-2c73-4832-8fee-6e4c41472cdb"]},{"id":"ITEM-5","itemData":{"DOI":"10.1002/cncr.25123","ISSN":"0008543X","PMID":"20564086","abstract":"BACKGROUND In a phase 3 study, the authors assessed the effects of dasatinib at doses of 140 mg once daily and 70 mg twice daily in patients who had either chronic myeloid leukemia (CML) in advanced phases or Philadelphia chromosome-positive acute lymphoblastic leukemia and were resistant or intolerant to imatinib. In the current report, the results for patients with CML in blast phase after 2 years of follow-up are reported. METHODS Patients were stratified according to whether they had CML in myeloid blast phase (MBP-CML) or in lymphoid blast phase (LBP-CML) and were randomized (1:1) within each stratum to receive either oral dasatinib 140 mg once daily or 70 mg twice daily. RESULTS In patients with MBP-CML, the major hematologic response rate was 28% for both regimens; and, in patients with LBP-CML, the major hematologic response rate was 42% for once-daily dasatinib and 32% for twice-daily dasatinib. The major cytogenetic response rates were 25% for once-daily dasatinib and 28% for twice-daily dasatinib in patients with MBP-CML, and the respective rates in patients with LBP-CML were 50% and 40%. The overall survival rate at 24 months was 24% for once-daily dasatinib and 28% for twice-daily dasatinib in patients with MBP-CML, and the respective values in patients with LBP-CML were 21% and 16%. Adverse events indicated a trend toward improved tolerability for the once-daily regimen. CONCLUSIONS The current results suggested that dasatinib 140 mg once daily had similar efficacy and improved tolerability relative to the 70-mg twice-daily regimen in patients with imatinib-resistant, blast phase CML.","author":[{"dropping-particle":"","family":"Saglio","given":"Giuseppe","non-dropping-particle":"","parse-names":false,"suffix":""},{"dropping-particle":"","family":"Hochhaus","given":"Andreas","non-dropping-particle":"","parse-names":false,"suffix":""},{"dropping-particle":"","family":"Goh","given":"Yeow Tee","non-dropping-particle":"","parse-names":false,"suffix":""},{"dropping-particle":"","family":"Masszi","given":"Tamas","non-dropping-particle":"","parse-names":false,"suffix":""},{"dropping-particle":"","family":"Pasquini","given":"Ricardo","non-dropping-particle":"","parse-names":false,"suffix":""},{"dropping-particle":"","family":"Maloisel","given":"Frederic","non-dropping-particle":"","parse-names":false,"suffix":""},{"dropping-particle":"","family":"Erben","given":"Philipp","non-dropping-particle":"","parse-names":false,"suffix":""},{"dropping-particle":"","family":"Cortes","given":"Jorge","non-dropping-particle":"","parse-names":false,"suffix":""},{"dropping-particle":"","family":"Paquette","given":"Ronald","non-dropping-particle":"","parse-names":false,"suffix":""},{"dropping-particle":"","family":"Bradley-Garelik","given":"M. Brigid","non-dropping-particle":"","parse-names":false,"suffix":""},{"dropping-particle":"","family":"Zhu","given":"Chao","non-dropping-particle":"","parse-names":false,"suffix":""},{"dropping-particle":"","family":"Dombret","given":"Herve","non-dropping-particle":"","parse-names":false,"suffix":""}],"container-title":"Cancer","id":"ITEM-5","issue":"16","issued":{"date-parts":[["2010","5"]]},"page":"3852-3861","title":"Dasatinib in imatinib-resistant or imatinib-intolerant chronic myeloid leukemia in blast phase after 2 years of follow-up in a phase 3 study","type":"article-journal","volume":"116"},"uris":["http://www.mendeley.com/documents/?uuid=e65ad1d2-16f9-4fe9-aee8-ce0a43c09e75"]},{"id":"ITEM-6","itemData":{"DOI":"10.1002/ajh.24034","ISSN":"10968652","abstract":"Long-term efficacy and safety of bosutinib (≥4 years follow-up from last enrolled patient) were evaluated in an ongoing phase 1/2 study in the advanced leukemia cohort with prior treatment failure (accelerated-phase [AP, n = 79] chronic myeloid leukemia [CML], blast-phase [BP, n = 64] CML, acute lymphoblastic leukemia [ALL, n = 24]). Fourteen AP, 2 BP, and 1 ALL patient remained on bosutinib at 4 years (vs. 38, 8, 1 at 1 year); median (range) treatment durations: 10.2 (0.1-88.6), 2.8 (0.03-55.9), 0.97 (0.3-89.2) months. Among AP and BP patients, 57% and 28% newly attained or maintained baseline overall hematologic response (OHR); 40% and 37% attained/maintained major cytogenetic response (MCyR) by 4 years (most by 12 months). In responders at 1 versus 4 years, Kaplan-Meier (KM) probabilities of maintaining OHR were 78% versus 49% (AP) and 28% versus 19% (BP); KM probabilities of maintaining MCyR were 65% versus 49% (AP) and 21% versus 21% (BP). Most common AEs (AP, BP) were gastrointestinal (96%; 83%), primarily diarrhea (85%; 64%), which was typically low grade (maximum grade 1/2: 81%; 59%) and transient; no patient discontinued due to diarrhea. Serious AEs occurred in 44 (56%) AP and 37 (58%) BP patients, most commonly pneumonia (n = 9) for AP and pyrexia (n = 6) for BP; 11 and 13 died within 30 days of last dose (2 considered bosutinib-related [AP] per investigator). Responses were durable in </w:instrText>
      </w:r>
      <w:r w:rsidR="00947941" w:rsidRPr="00062B4F">
        <w:rPr>
          <w:rFonts w:ascii="Cambria Math" w:hAnsi="Cambria Math" w:cs="Cambria Math"/>
          <w:iCs/>
          <w:szCs w:val="24"/>
          <w:lang w:eastAsia="ru-RU"/>
        </w:rPr>
        <w:instrText>∼</w:instrText>
      </w:r>
      <w:r w:rsidR="00947941" w:rsidRPr="00062B4F">
        <w:rPr>
          <w:iCs/>
          <w:szCs w:val="24"/>
          <w:lang w:eastAsia="ru-RU"/>
        </w:rPr>
        <w:instrText>50% AP responders at 4 years (</w:instrText>
      </w:r>
      <w:r w:rsidR="00947941" w:rsidRPr="00062B4F">
        <w:rPr>
          <w:rFonts w:ascii="Cambria Math" w:hAnsi="Cambria Math" w:cs="Cambria Math"/>
          <w:iCs/>
          <w:szCs w:val="24"/>
          <w:lang w:eastAsia="ru-RU"/>
        </w:rPr>
        <w:instrText>∼</w:instrText>
      </w:r>
      <w:r w:rsidR="00947941" w:rsidRPr="00062B4F">
        <w:rPr>
          <w:iCs/>
          <w:szCs w:val="24"/>
          <w:lang w:eastAsia="ru-RU"/>
        </w:rPr>
        <w:instrText>25% BP patients responded at year 1, suggesting possible bridge-to-transplant role in BP patients); toxicity was manageable.","author":[{"dropping-particle":"","family":"Gambacorti-Passerini","given":"Carlo","non-dropping-particle":"","parse-names":false,"suffix":""},{"dropping-particle":"","family":"Kantarjian","given":"Hagop M.","non-dropping-particle":"","parse-names":false,"suffix":""},{"dropping-particle":"","family":"Kim","given":"Dong Wook","non-dropping-particle":"","parse-names":false,"suffix":""},{"dropping-particle":"","family":"Khoury","given":"Hanna J.","non-dropping-particle":"","parse-names":false,"suffix":""},{"dropping-particle":"","family":"Turkina","given":"Anna G.","non-dropping-particle":"","parse-names":false,"suffix":""},{"dropping-particle":"","family":"Brümmendorf","given":"Tim H.","non-dropping-particle":"","parse-names":false,"suffix":""},{"dropping-particle":"","family":"Matczak","given":"Ewa","non-dropping-particle":"","parse-names":false,"suffix":""},{"dropping-particle":"","family":"Bardy-Bouxin","given":"Nathalie","non-dropping-particle":"","parse-names":false,"suffix":""},{"dropping-particle":"","family":"Shapiro","given":"Mark","non-dropping-particle":"","parse-names":false,"suffix":""},{"dropping-particle":"","family":"Turnbull","given":"Kathleen","non-dropping-particle":"","parse-names":false,"suffix":""},{"dropping-particle":"","family":"Leip","given":"Eric","non-dropping-particle":"","parse-names":false,"suffix":""},{"dropping-particle":"","family":"Cortes","given":"Jorge E.","non-dropping-particle":"","parse-names":false,"suffix":""}],"container-title":"American Journal of Hematology","id":"ITEM-6","issue":"9","issued":{"date-parts":[["2015","9","1"]]},"page":"755-768","publisher":"Wiley-Liss Inc.","title":"Long-term efficacy and safety of bosutinib in patients with advanced leukemia following resistance/intolerance to imatinib and other tyrosine kinase inhibitors","type":"article-journal","volume":"90"},"uris":["http://www.mendeley.com/documents/?uuid=af8548cf-b2be-3ecc-8f44-89d967377ee2"]},{"id":"ITEM-7","itemData":{"DOI":"10.1002/ajh.23728","ISSN":"03618609","PMID":"24711212","abstract":"Bosutinib is an orally active, dual Src/Abl tyrosine kinase inhibitor for treatment of chronic myeloid leukemia (CML) following resistance/intolerance to prior therapy. Here, we report the data from the 2-year follow-up of a phase 1/2 open-label study evaluating the efficacy and safety of bosutinib as second-line therapy in 288 patients with chronic phase CML resistant (n = 200) or intolerant (n = 88) to imatinib. The cumulative response rates to bosutinib were as follows: 85% achieved/maintained complete hematologic response, 59% achieved/maintained major cytogenetic response (including 48% with complete cytogenetic response), and 35% achieved major molecular response. Responses were durable, with 2-year estimates of retaining response &gt;70%. Two-year probabilities of progression-free survival and overall survival were 81% and 91%, respectively. The most common toxicities were primarily gastrointestinal adverse events (diarrhea [84%], nausea [45%], vomiting [37%]), which were primarily mild to moderate, typically transient, and first occurred early during treatment. Thrombocytopenia was the most common grade 3/4 hematologic laboratory abnormality (24%). Outcomes were generally similar among imatinib-resistant and imatinib-intolerant patients and did not differ with age. The longer-term results of the present analysis confirm that bosutinib is an effective and tolerable second-line therapy for patients with imatinib-resistant or imatinib-intolerant chronic phase CML. ClinicalTrials.gov Identifier: NCT00261846.","author":[{"dropping-particle":"","family":"Gambacorti-Passerini","given":"Carlo","non-dropping-particle":"","parse-names":false,"suffix":""},{"dropping-particle":"","family":"Brümmendorf","given":"Tim H.","non-dropping-particle":"","parse-names":false,"suffix":""},{"dropping-particle":"","family":"Kim","given":"Dong-Wook","non-dropping-particle":"","parse-names":false,"suffix":""},{"dropping-particle":"","family":"Turkina","given":"Anna G.","non-dropping-particle":"","parse-names":false,"suffix":""},{"dropping-particle":"","family":"Masszi","given":"Tamas","non-dropping-particle":"","parse-names":false,"suffix":""},{"dropping-particle":"","family":"Assouline","given":"Sarit","non-dropping-particle":"","parse-names":false,"suffix":""},{"dropping-particle":"","family":"Durrant","given":"Simon","non-dropping-particle":"","parse-names":false,"suffix":""},{"dropping-particle":"","family":"Kantarjian","given":"Hagop M.","non-dropping-particle":"","parse-names":false,"suffix":""},{"dropping-particle":"","family":"Khoury","given":"H. Jean","non-dropping-particle":"","parse-names":false,"suffix":""},{"dropping-particle":"","family":"Zaritskey","given":"Andrey","non-dropping-particle":"","parse-names":false,"suffix":""},{"dropping-particle":"","family":"Shen","given":"Zhi-Xiang","non-dropping-particle":"","parse-names":false,"suffix":""},{"dropping-particle":"","family":"Jin","given":"Jie","non-dropping-particle":"","parse-names":false,"suffix":""},{"dropping-particle":"","family":"Vellenga","given":"Edo","non-dropping-particle":"","parse-names":false,"suffix":""},{"dropping-particle":"","family":"Pasquini","given":"Ricardo","non-dropping-particle":"","parse-names":false,"suffix":""},{"dropping-particle":"","family":"Mathews","given":"Vikram","non-dropping-particle":"","parse-names":false,"suffix":""},{"dropping-particle":"","family":"Cervantes","given":"Francisco","non-dropping-particle":"","parse-names":false,"suffix":""},{"dropping-particle":"","family":"Besson","given":"Nadine","non-dropping-particle":"","parse-names":false,"suffix":""},{"dropping-particle":"","family":"Turnbull","given":"Kathleen","non-dropping-particle":"","parse-names":false,"suffix":""},{"dropping-particle":"","family":"Leip","given":"Eric","non-dropping-particle":"","parse-names":false,"suffix":""},{"dropping-particle":"","family":"Kelly","given":"Virginia","non-dropping-particle":"","parse-names":false,"suffix":""},{"dropping-particle":"","family":"Cortes","given":"Jorge E.","non-dropping-particle":"","parse-names":false,"suffix":""}],"container-title":"American Journal of Hematology","id":"ITEM-7","issue":"7","issued":{"date-parts":[["2014","7"]]},"page":"732-742","title":"Bosutinib efficacy and safety in chronic phase chronic myeloid leukemia after imatinib resistance or intolerance: Minimum 24-month follow-up","type":"article-journal","volume":"89"},"uris":["http://www.mendeley.com/documents/?uuid=ac80a76e-0b42-4ae1-b8ba-0ab152dd0b17"]}],"mendeley":{"formattedCitation":"[18,32–37]","plainTextFormattedCitation":"[18,32–37]","previouslyFormattedCitation":"[18,32–37]"},"properties":{"noteIndex":0},"schema":"https://github.com/citation-style-language/schema/raw/master/csl-citation.json"}</w:instrText>
      </w:r>
      <w:r w:rsidR="00947941" w:rsidRPr="00062B4F">
        <w:rPr>
          <w:iCs/>
          <w:szCs w:val="24"/>
          <w:lang w:eastAsia="ru-RU"/>
        </w:rPr>
        <w:fldChar w:fldCharType="separate"/>
      </w:r>
      <w:r w:rsidR="00947941" w:rsidRPr="00062B4F">
        <w:rPr>
          <w:iCs/>
          <w:noProof/>
          <w:szCs w:val="24"/>
          <w:lang w:eastAsia="ru-RU"/>
        </w:rPr>
        <w:t>[18,32–37]</w:t>
      </w:r>
      <w:r w:rsidR="00947941" w:rsidRPr="00062B4F">
        <w:rPr>
          <w:iCs/>
          <w:szCs w:val="24"/>
          <w:lang w:eastAsia="ru-RU"/>
        </w:rPr>
        <w:fldChar w:fldCharType="end"/>
      </w:r>
      <w:r w:rsidRPr="00062B4F">
        <w:rPr>
          <w:iCs/>
          <w:szCs w:val="24"/>
          <w:lang w:eastAsia="ru-RU"/>
        </w:rPr>
        <w:t>.</w:t>
      </w:r>
    </w:p>
    <w:p w14:paraId="0734D429" w14:textId="77777777" w:rsidR="000C7098" w:rsidRPr="00062B4F" w:rsidRDefault="000C7098" w:rsidP="008E7654">
      <w:pPr>
        <w:spacing w:before="120" w:after="120"/>
        <w:ind w:left="709" w:firstLine="0"/>
        <w:rPr>
          <w:b/>
          <w:bCs/>
          <w:szCs w:val="24"/>
          <w:lang w:eastAsia="ru-RU"/>
        </w:rPr>
      </w:pPr>
      <w:r w:rsidRPr="00062B4F">
        <w:rPr>
          <w:b/>
          <w:bCs/>
          <w:szCs w:val="24"/>
          <w:lang w:eastAsia="ru-RU"/>
        </w:rPr>
        <w:t>Уровень убедительности рекомендаций – В (уровень достоверности доказательств – 2).</w:t>
      </w:r>
    </w:p>
    <w:p w14:paraId="10BBCBAA" w14:textId="319FC288" w:rsidR="000C7098" w:rsidRPr="00062B4F" w:rsidRDefault="000C7098" w:rsidP="00137BCA">
      <w:pPr>
        <w:spacing w:line="372" w:lineRule="auto"/>
        <w:rPr>
          <w:i/>
          <w:iCs/>
          <w:szCs w:val="24"/>
          <w:lang w:eastAsia="ru-RU"/>
        </w:rPr>
      </w:pPr>
      <w:r w:rsidRPr="00062B4F">
        <w:rPr>
          <w:b/>
          <w:bCs/>
          <w:i/>
          <w:iCs/>
          <w:szCs w:val="24"/>
          <w:lang w:eastAsia="ru-RU"/>
        </w:rPr>
        <w:t>Комментарии</w:t>
      </w:r>
      <w:r w:rsidRPr="00062B4F">
        <w:rPr>
          <w:i/>
          <w:iCs/>
          <w:szCs w:val="24"/>
          <w:lang w:eastAsia="ru-RU"/>
        </w:rPr>
        <w:t>: применение ИТК2 во 2</w:t>
      </w:r>
      <w:r w:rsidR="004E1CF9">
        <w:rPr>
          <w:i/>
          <w:iCs/>
          <w:szCs w:val="24"/>
          <w:lang w:eastAsia="ru-RU"/>
        </w:rPr>
        <w:t>-ой</w:t>
      </w:r>
      <w:r w:rsidRPr="00062B4F">
        <w:rPr>
          <w:i/>
          <w:iCs/>
          <w:szCs w:val="24"/>
          <w:lang w:eastAsia="ru-RU"/>
        </w:rPr>
        <w:t xml:space="preserve"> линии терапии ХМЛ эффективно как при непереносимости, так и при резистентности к </w:t>
      </w:r>
      <w:proofErr w:type="spellStart"/>
      <w:r w:rsidRPr="00062B4F">
        <w:rPr>
          <w:i/>
          <w:iCs/>
          <w:szCs w:val="24"/>
          <w:lang w:eastAsia="ru-RU"/>
        </w:rPr>
        <w:t>иматинибу</w:t>
      </w:r>
      <w:proofErr w:type="spellEnd"/>
      <w:r w:rsidRPr="00062B4F">
        <w:rPr>
          <w:i/>
          <w:iCs/>
          <w:szCs w:val="24"/>
          <w:lang w:eastAsia="ru-RU"/>
        </w:rPr>
        <w:t>**.</w:t>
      </w:r>
      <w:r w:rsidRPr="00062B4F">
        <w:rPr>
          <w:i/>
          <w:iCs/>
          <w:sz w:val="16"/>
          <w:szCs w:val="16"/>
          <w:lang w:eastAsia="ru-RU"/>
        </w:rPr>
        <w:t xml:space="preserve"> </w:t>
      </w:r>
      <w:r w:rsidRPr="00062B4F">
        <w:rPr>
          <w:i/>
          <w:iCs/>
          <w:szCs w:val="24"/>
          <w:lang w:eastAsia="ru-RU"/>
        </w:rPr>
        <w:t>Во 2</w:t>
      </w:r>
      <w:r w:rsidR="004E1CF9">
        <w:rPr>
          <w:i/>
          <w:iCs/>
          <w:szCs w:val="24"/>
          <w:lang w:eastAsia="ru-RU"/>
        </w:rPr>
        <w:t>-ой</w:t>
      </w:r>
      <w:r w:rsidRPr="00062B4F">
        <w:rPr>
          <w:i/>
          <w:iCs/>
          <w:szCs w:val="24"/>
          <w:lang w:eastAsia="ru-RU"/>
        </w:rPr>
        <w:t xml:space="preserve"> линии терапии </w:t>
      </w:r>
      <w:proofErr w:type="spellStart"/>
      <w:r w:rsidRPr="00062B4F">
        <w:rPr>
          <w:i/>
          <w:iCs/>
          <w:szCs w:val="24"/>
          <w:lang w:eastAsia="ru-RU"/>
        </w:rPr>
        <w:t>нилотиниб</w:t>
      </w:r>
      <w:proofErr w:type="spellEnd"/>
      <w:r w:rsidRPr="00062B4F">
        <w:rPr>
          <w:i/>
          <w:iCs/>
          <w:szCs w:val="24"/>
          <w:lang w:eastAsia="ru-RU"/>
        </w:rPr>
        <w:t>** назначается в дозе 800 мг/</w:t>
      </w:r>
      <w:proofErr w:type="spellStart"/>
      <w:r w:rsidRPr="00062B4F">
        <w:rPr>
          <w:i/>
          <w:iCs/>
          <w:szCs w:val="24"/>
          <w:lang w:eastAsia="ru-RU"/>
        </w:rPr>
        <w:t>сут</w:t>
      </w:r>
      <w:proofErr w:type="spellEnd"/>
      <w:r w:rsidRPr="00062B4F">
        <w:rPr>
          <w:i/>
          <w:iCs/>
          <w:szCs w:val="24"/>
          <w:lang w:eastAsia="ru-RU"/>
        </w:rPr>
        <w:t xml:space="preserve"> в ХФ и ФА </w:t>
      </w:r>
      <w:r w:rsidRPr="00062B4F">
        <w:rPr>
          <w:i/>
          <w:iCs/>
          <w:szCs w:val="24"/>
          <w:lang w:eastAsia="ru-RU"/>
        </w:rPr>
        <w:fldChar w:fldCharType="begin" w:fldLock="1"/>
      </w:r>
      <w:r w:rsidR="00947941" w:rsidRPr="00062B4F">
        <w:rPr>
          <w:i/>
          <w:iCs/>
          <w:szCs w:val="24"/>
          <w:lang w:eastAsia="ru-RU"/>
        </w:rPr>
        <w:instrText>ADDIN CSL_CITATION {"citationItems":[{"id":"ITEM-1","itemData":{"DOI":"10.1038/leu.2012.181","ISSN":"0887-6924","PMID":"22763385","abstract":"Nilotinib (Tasigna) is a BCR-ABL1 tyrosine kinase inhibitor approved for the treatment of patients with Philadelphia chromosome-positive chronic myeloid leukemia in chronic phase (CML-CP) who are newly diagnosed or intolerant of or resistant to imatinib. The 48-month follow-up data for patients with CML-CP treated with nilotinib after imatinib resistance or intolerance on an international phase II study were analyzed. Overall, 59% of patients achieved major cytogenetic response; 45% achieved complete cytogenetic response while on study. The estimated rate of overall survival (OS) and progression-free survival (PFS) at 48 months was 78% and 57%, respectively. Deeper levels of molecular responses at 3 and 6 months were highly positively correlated with long-term outcomes, including PFS and OS at 48 months. Of the 321 patients initially enrolled in the study, 98 (31%) were treated for at least 48 months. Discontinuations were primarily due to disease progression (30%) or adverse events (21%). Nilotinib is safe and effective for long-term use in responding patients with CML-CP who are intolerant of or resistant to imatinib. Further significant improvements in therapy are required for patients who are resistant or intolerant to imatinib.","author":[{"dropping-particle":"","family":"Giles","given":"F J","non-dropping-particle":"","parse-names":false,"suffix":""},{"dropping-particle":"","family":"Coutre","given":"P D","non-dropping-particle":"le","parse-names":false,"suffix":""},{"dropping-particle":"","family":"Pinilla-Ibarz","given":"J","non-dropping-particle":"","parse-names":false,"suffix":""},{"dropping-particle":"","family":"Larson","given":"R A","non-dropping-particle":"","parse-names":false,"suffix":""},{"dropping-particle":"","family":"Gattermann","given":"N","non-dropping-particle":"","parse-names":false,"suffix":""},{"dropping-particle":"","family":"Ottmann","given":"O G","non-dropping-particle":"","parse-names":false,"suffix":""},{"dropping-particle":"","family":"Hochhaus","given":"A","non-dropping-particle":"","parse-names":false,"suffix":""},{"dropping-particle":"","family":"Radich","given":"J P","non-dropping-particle":"","parse-names":false,"suffix":""},{"dropping-particle":"","family":"Saglio","given":"G","non-dropping-particle":"","parse-names":false,"suffix":""},{"dropping-particle":"","family":"Hughes","given":"T P","non-dropping-particle":"","parse-names":false,"suffix":""},{"dropping-particle":"","family":"Martinelli","given":"G","non-dropping-particle":"","parse-names":false,"suffix":""},{"dropping-particle":"","family":"Kim","given":"D-W","non-dropping-particle":"","parse-names":false,"suffix":""},{"dropping-particle":"","family":"Novick","given":"S","non-dropping-particle":"","parse-names":false,"suffix":""},{"dropping-particle":"","family":"Gillis","given":"K","non-dropping-particle":"","parse-names":false,"suffix":""},{"dropping-particle":"","family":"Fan","given":"X","non-dropping-particle":"","parse-names":false,"suffix":""},{"dropping-particle":"","family":"Cortes","given":"J","non-dropping-particle":"","parse-names":false,"suffix":""},{"dropping-particle":"","family":"Baccarani","given":"M","non-dropping-particle":"","parse-names":false,"suffix":""},{"dropping-particle":"","family":"Kantarjian","given":"H M","non-dropping-particle":"","parse-names":false,"suffix":""}],"container-title":"Leukemia","id":"ITEM-1","issue":"1","issued":{"date-parts":[["2013","1"]]},"page":"107-112","title":"Nilotinib in imatinib-resistant or imatinib-intolerant patients with chronic myeloid leukemia in chronic phase: 48-month follow-up results of a phase II study","type":"article-journal","volume":"27"},"uris":["http://www.mendeley.com/documents/?uuid=4d425528-2c73-4832-8fee-6e4c41472cdb","http://www.mendeley.com/documents/?uuid=f5f44da5-8128-3aaa-ab8f-0af819478ff8"]}],"mendeley":{"formattedCitation":"[34]","plainTextFormattedCitation":"[34]","previouslyFormattedCitation":"[34]"},"properties":{"noteIndex":0},"schema":"https://github.com/citation-style-language/schema/raw/master/csl-citation.json"}</w:instrText>
      </w:r>
      <w:r w:rsidRPr="00062B4F">
        <w:rPr>
          <w:i/>
          <w:iCs/>
          <w:szCs w:val="24"/>
          <w:lang w:eastAsia="ru-RU"/>
        </w:rPr>
        <w:fldChar w:fldCharType="separate"/>
      </w:r>
      <w:r w:rsidR="00947941" w:rsidRPr="00062B4F">
        <w:rPr>
          <w:iCs/>
          <w:noProof/>
          <w:szCs w:val="24"/>
          <w:lang w:eastAsia="ru-RU"/>
        </w:rPr>
        <w:t>[34]</w:t>
      </w:r>
      <w:r w:rsidRPr="00062B4F">
        <w:rPr>
          <w:i/>
          <w:iCs/>
          <w:szCs w:val="24"/>
          <w:lang w:eastAsia="ru-RU"/>
        </w:rPr>
        <w:fldChar w:fldCharType="end"/>
      </w:r>
      <w:r w:rsidRPr="00062B4F">
        <w:rPr>
          <w:i/>
          <w:iCs/>
          <w:szCs w:val="24"/>
          <w:lang w:eastAsia="ru-RU"/>
        </w:rPr>
        <w:t xml:space="preserve">. Применение </w:t>
      </w:r>
      <w:proofErr w:type="spellStart"/>
      <w:r w:rsidRPr="00062B4F">
        <w:rPr>
          <w:i/>
          <w:iCs/>
          <w:szCs w:val="24"/>
          <w:lang w:eastAsia="ru-RU"/>
        </w:rPr>
        <w:t>дазатиниба</w:t>
      </w:r>
      <w:proofErr w:type="spellEnd"/>
      <w:r w:rsidRPr="00062B4F">
        <w:rPr>
          <w:i/>
          <w:iCs/>
          <w:szCs w:val="24"/>
          <w:lang w:eastAsia="ru-RU"/>
        </w:rPr>
        <w:t>** во 2</w:t>
      </w:r>
      <w:r w:rsidR="004E1CF9">
        <w:rPr>
          <w:i/>
          <w:iCs/>
          <w:szCs w:val="24"/>
          <w:lang w:eastAsia="ru-RU"/>
        </w:rPr>
        <w:t>-ой</w:t>
      </w:r>
      <w:r w:rsidRPr="00062B4F">
        <w:rPr>
          <w:i/>
          <w:iCs/>
          <w:szCs w:val="24"/>
          <w:lang w:eastAsia="ru-RU"/>
        </w:rPr>
        <w:t xml:space="preserve"> линии терапии у пациентов в ХФ ХМЛ при непереносимости или резистентности к </w:t>
      </w:r>
      <w:proofErr w:type="spellStart"/>
      <w:r w:rsidRPr="00062B4F">
        <w:rPr>
          <w:i/>
          <w:iCs/>
          <w:szCs w:val="24"/>
          <w:lang w:eastAsia="ru-RU"/>
        </w:rPr>
        <w:t>иматинибу</w:t>
      </w:r>
      <w:proofErr w:type="spellEnd"/>
      <w:r w:rsidRPr="00062B4F">
        <w:rPr>
          <w:i/>
          <w:iCs/>
          <w:szCs w:val="24"/>
          <w:lang w:eastAsia="ru-RU"/>
        </w:rPr>
        <w:t xml:space="preserve">** позволило добиться БМО у 55 % пациентов при непереносимости и у 43% – при резистентности </w:t>
      </w:r>
      <w:r w:rsidRPr="00062B4F">
        <w:rPr>
          <w:i/>
          <w:iCs/>
          <w:szCs w:val="24"/>
          <w:lang w:eastAsia="ru-RU"/>
        </w:rPr>
        <w:fldChar w:fldCharType="begin" w:fldLock="1"/>
      </w:r>
      <w:r w:rsidR="00947941" w:rsidRPr="00062B4F">
        <w:rPr>
          <w:i/>
          <w:iCs/>
          <w:szCs w:val="24"/>
          <w:lang w:eastAsia="ru-RU"/>
        </w:rPr>
        <w:instrText>ADDIN CSL_CITATION {"citationItems":[{"id":"ITEM-1","itemData":{"DOI":"10.1002/ajh.24423","ISSN":"03618609","author":[{"dropping-particle":"","family":"Shah","given":"Neil P.","non-dropping-particle":"","parse-names":false,"suffix":""},{"dropping-particle":"","family":"Rousselot","given":"Philippe","non-dropping-particle":"","parse-names":false,"suffix":""},{"dropping-particle":"","family":"Schiffer","given":"Charles","non-dropping-particle":"","parse-names":false,"suffix":""},{"dropping-particle":"","family":"Rea","given":"Delphine","non-dropping-particle":"","parse-names":false,"suffix":""},{"dropping-particle":"","family":"Cortes","given":"Jorge E.","non-dropping-particle":"","parse-names":false,"suffix":""},{"dropping-particle":"","family":"Milone","given":"Jorge","non-dropping-particle":"","parse-names":false,"suffix":""},{"dropping-particle":"","family":"Mohamed","given":"Hesham","non-dropping-particle":"","parse-names":false,"suffix":""},{"dropping-particle":"","family":"Healey","given":"Diane","non-dropping-particle":"","parse-names":false,"suffix":""},{"dropping-particle":"","family":"Kantarjian","given":"Hagop","non-dropping-particle":"","parse-names":false,"suffix":""},{"dropping-particle":"","family":"Hochhaus","given":"Andreas","non-dropping-particle":"","parse-names":false,"suffix":""},{"dropping-particle":"","family":"Saglio","given":"Giuseppe","non-dropping-particle":"","parse-names":false,"suffix":""}],"container-title":"American Journal of Hematology","id":"ITEM-1","issue":"9","issued":{"date-parts":[["2016","9"]]},"page":"869-874","title":"Dasatinib in imatinib-resistant or -intolerant chronic-phase, chronic myeloid leukemia patients: 7-year follow-up of study CA180-034","type":"article-journal","volume":"91"},"uris":["http://www.mendeley.com/documents/?uuid=3d87b0d5-7320-3f2e-8b9a-b88b88b8c4b6","http://www.mendeley.com/documents/?uuid=c99273db-1012-41aa-ad61-8bbbc4b7d9ed"]}],"mendeley":{"formattedCitation":"[32]","plainTextFormattedCitation":"[32]","previouslyFormattedCitation":"[32]"},"properties":{"noteIndex":0},"schema":"https://github.com/citation-style-language/schema/raw/master/csl-citation.json"}</w:instrText>
      </w:r>
      <w:r w:rsidRPr="00062B4F">
        <w:rPr>
          <w:i/>
          <w:iCs/>
          <w:szCs w:val="24"/>
          <w:lang w:eastAsia="ru-RU"/>
        </w:rPr>
        <w:fldChar w:fldCharType="separate"/>
      </w:r>
      <w:r w:rsidR="00947941" w:rsidRPr="00062B4F">
        <w:rPr>
          <w:iCs/>
          <w:noProof/>
          <w:szCs w:val="24"/>
          <w:lang w:eastAsia="ru-RU"/>
        </w:rPr>
        <w:t>[32]</w:t>
      </w:r>
      <w:r w:rsidRPr="00062B4F">
        <w:rPr>
          <w:i/>
          <w:iCs/>
          <w:szCs w:val="24"/>
          <w:lang w:eastAsia="ru-RU"/>
        </w:rPr>
        <w:fldChar w:fldCharType="end"/>
      </w:r>
      <w:r w:rsidRPr="00062B4F">
        <w:rPr>
          <w:i/>
          <w:iCs/>
          <w:szCs w:val="24"/>
          <w:lang w:eastAsia="ru-RU"/>
        </w:rPr>
        <w:t xml:space="preserve">. Использование </w:t>
      </w:r>
      <w:proofErr w:type="spellStart"/>
      <w:r w:rsidRPr="00062B4F">
        <w:rPr>
          <w:i/>
          <w:iCs/>
          <w:szCs w:val="24"/>
          <w:lang w:eastAsia="ru-RU"/>
        </w:rPr>
        <w:t>дазатиниба</w:t>
      </w:r>
      <w:proofErr w:type="spellEnd"/>
      <w:r w:rsidRPr="00062B4F">
        <w:rPr>
          <w:i/>
          <w:iCs/>
          <w:szCs w:val="24"/>
          <w:lang w:eastAsia="ru-RU"/>
        </w:rPr>
        <w:t xml:space="preserve">** в ФА позволило достичь ПЦО у 24 % больных </w:t>
      </w:r>
      <w:r w:rsidRPr="00062B4F">
        <w:rPr>
          <w:i/>
          <w:iCs/>
          <w:szCs w:val="24"/>
          <w:lang w:val="en-US" w:eastAsia="ru-RU"/>
        </w:rPr>
        <w:fldChar w:fldCharType="begin" w:fldLock="1"/>
      </w:r>
      <w:r w:rsidR="00947941" w:rsidRPr="00062B4F">
        <w:rPr>
          <w:i/>
          <w:iCs/>
          <w:szCs w:val="24"/>
          <w:lang w:val="en-US" w:eastAsia="ru-RU"/>
        </w:rPr>
        <w:instrText>ADDIN</w:instrText>
      </w:r>
      <w:r w:rsidR="00947941" w:rsidRPr="00062B4F">
        <w:rPr>
          <w:i/>
          <w:iCs/>
          <w:szCs w:val="24"/>
          <w:lang w:eastAsia="ru-RU"/>
        </w:rPr>
        <w:instrText xml:space="preserve"> </w:instrText>
      </w:r>
      <w:r w:rsidR="00947941" w:rsidRPr="00062B4F">
        <w:rPr>
          <w:i/>
          <w:iCs/>
          <w:szCs w:val="24"/>
          <w:lang w:val="en-US" w:eastAsia="ru-RU"/>
        </w:rPr>
        <w:instrText>CSL</w:instrText>
      </w:r>
      <w:r w:rsidR="00947941" w:rsidRPr="00062B4F">
        <w:rPr>
          <w:i/>
          <w:iCs/>
          <w:szCs w:val="24"/>
          <w:lang w:eastAsia="ru-RU"/>
        </w:rPr>
        <w:instrText>_</w:instrText>
      </w:r>
      <w:r w:rsidR="00947941" w:rsidRPr="00062B4F">
        <w:rPr>
          <w:i/>
          <w:iCs/>
          <w:szCs w:val="24"/>
          <w:lang w:val="en-US" w:eastAsia="ru-RU"/>
        </w:rPr>
        <w:instrText>CITATION</w:instrText>
      </w:r>
      <w:r w:rsidR="00947941" w:rsidRPr="00062B4F">
        <w:rPr>
          <w:i/>
          <w:iCs/>
          <w:szCs w:val="24"/>
          <w:lang w:eastAsia="ru-RU"/>
        </w:rPr>
        <w:instrText xml:space="preserve"> {"</w:instrText>
      </w:r>
      <w:r w:rsidR="00947941" w:rsidRPr="00062B4F">
        <w:rPr>
          <w:i/>
          <w:iCs/>
          <w:szCs w:val="24"/>
          <w:lang w:val="en-US" w:eastAsia="ru-RU"/>
        </w:rPr>
        <w:instrText>citationItems</w:instrText>
      </w:r>
      <w:r w:rsidR="00947941" w:rsidRPr="00062B4F">
        <w:rPr>
          <w:i/>
          <w:iCs/>
          <w:szCs w:val="24"/>
          <w:lang w:eastAsia="ru-RU"/>
        </w:rPr>
        <w:instrText>":[{"</w:instrText>
      </w:r>
      <w:r w:rsidR="00947941" w:rsidRPr="00062B4F">
        <w:rPr>
          <w:i/>
          <w:iCs/>
          <w:szCs w:val="24"/>
          <w:lang w:val="en-US" w:eastAsia="ru-RU"/>
        </w:rPr>
        <w:instrText>id</w:instrText>
      </w:r>
      <w:r w:rsidR="00947941" w:rsidRPr="00062B4F">
        <w:rPr>
          <w:i/>
          <w:iCs/>
          <w:szCs w:val="24"/>
          <w:lang w:eastAsia="ru-RU"/>
        </w:rPr>
        <w:instrText>":"</w:instrText>
      </w:r>
      <w:r w:rsidR="00947941" w:rsidRPr="00062B4F">
        <w:rPr>
          <w:i/>
          <w:iCs/>
          <w:szCs w:val="24"/>
          <w:lang w:val="en-US" w:eastAsia="ru-RU"/>
        </w:rPr>
        <w:instrText>ITEM</w:instrText>
      </w:r>
      <w:r w:rsidR="00947941" w:rsidRPr="00062B4F">
        <w:rPr>
          <w:i/>
          <w:iCs/>
          <w:szCs w:val="24"/>
          <w:lang w:eastAsia="ru-RU"/>
        </w:rPr>
        <w:instrText>-1","</w:instrText>
      </w:r>
      <w:r w:rsidR="00947941" w:rsidRPr="00062B4F">
        <w:rPr>
          <w:i/>
          <w:iCs/>
          <w:szCs w:val="24"/>
          <w:lang w:val="en-US" w:eastAsia="ru-RU"/>
        </w:rPr>
        <w:instrText>itemData</w:instrText>
      </w:r>
      <w:r w:rsidR="00947941" w:rsidRPr="00062B4F">
        <w:rPr>
          <w:i/>
          <w:iCs/>
          <w:szCs w:val="24"/>
          <w:lang w:eastAsia="ru-RU"/>
        </w:rPr>
        <w:instrText>":{"</w:instrText>
      </w:r>
      <w:r w:rsidR="00947941" w:rsidRPr="00062B4F">
        <w:rPr>
          <w:i/>
          <w:iCs/>
          <w:szCs w:val="24"/>
          <w:lang w:val="en-US" w:eastAsia="ru-RU"/>
        </w:rPr>
        <w:instrText>DOI</w:instrText>
      </w:r>
      <w:r w:rsidR="00947941" w:rsidRPr="00062B4F">
        <w:rPr>
          <w:i/>
          <w:iCs/>
          <w:szCs w:val="24"/>
          <w:lang w:eastAsia="ru-RU"/>
        </w:rPr>
        <w:instrText>":"10.1182/</w:instrText>
      </w:r>
      <w:r w:rsidR="00947941" w:rsidRPr="00062B4F">
        <w:rPr>
          <w:i/>
          <w:iCs/>
          <w:szCs w:val="24"/>
          <w:lang w:val="en-US" w:eastAsia="ru-RU"/>
        </w:rPr>
        <w:instrText>blood</w:instrText>
      </w:r>
      <w:r w:rsidR="00947941" w:rsidRPr="00062B4F">
        <w:rPr>
          <w:i/>
          <w:iCs/>
          <w:szCs w:val="24"/>
          <w:lang w:eastAsia="ru-RU"/>
        </w:rPr>
        <w:instrText>-2008-11-186817","</w:instrText>
      </w:r>
      <w:r w:rsidR="00947941" w:rsidRPr="00062B4F">
        <w:rPr>
          <w:i/>
          <w:iCs/>
          <w:szCs w:val="24"/>
          <w:lang w:val="en-US" w:eastAsia="ru-RU"/>
        </w:rPr>
        <w:instrText>ISSN</w:instrText>
      </w:r>
      <w:r w:rsidR="00947941" w:rsidRPr="00062B4F">
        <w:rPr>
          <w:i/>
          <w:iCs/>
          <w:szCs w:val="24"/>
          <w:lang w:eastAsia="ru-RU"/>
        </w:rPr>
        <w:instrText>":"0006-4971","</w:instrText>
      </w:r>
      <w:r w:rsidR="00947941" w:rsidRPr="00062B4F">
        <w:rPr>
          <w:i/>
          <w:iCs/>
          <w:szCs w:val="24"/>
          <w:lang w:val="en-US" w:eastAsia="ru-RU"/>
        </w:rPr>
        <w:instrText>PMID</w:instrText>
      </w:r>
      <w:r w:rsidR="00947941" w:rsidRPr="00062B4F">
        <w:rPr>
          <w:i/>
          <w:iCs/>
          <w:szCs w:val="24"/>
          <w:lang w:eastAsia="ru-RU"/>
        </w:rPr>
        <w:instrText>":"19369231","</w:instrText>
      </w:r>
      <w:r w:rsidR="00947941" w:rsidRPr="00062B4F">
        <w:rPr>
          <w:i/>
          <w:iCs/>
          <w:szCs w:val="24"/>
          <w:lang w:val="en-US" w:eastAsia="ru-RU"/>
        </w:rPr>
        <w:instrText>abstract</w:instrText>
      </w:r>
      <w:r w:rsidR="00947941" w:rsidRPr="00062B4F">
        <w:rPr>
          <w:i/>
          <w:iCs/>
          <w:szCs w:val="24"/>
          <w:lang w:eastAsia="ru-RU"/>
        </w:rPr>
        <w:instrText>":"</w:instrText>
      </w:r>
      <w:r w:rsidR="00947941" w:rsidRPr="00062B4F">
        <w:rPr>
          <w:i/>
          <w:iCs/>
          <w:szCs w:val="24"/>
          <w:lang w:val="en-US" w:eastAsia="ru-RU"/>
        </w:rPr>
        <w:instrText>Dasatinib</w:instrText>
      </w:r>
      <w:r w:rsidR="00947941" w:rsidRPr="00062B4F">
        <w:rPr>
          <w:i/>
          <w:iCs/>
          <w:szCs w:val="24"/>
          <w:lang w:eastAsia="ru-RU"/>
        </w:rPr>
        <w:instrText xml:space="preserve"> </w:instrText>
      </w:r>
      <w:r w:rsidR="00947941" w:rsidRPr="00062B4F">
        <w:rPr>
          <w:i/>
          <w:iCs/>
          <w:szCs w:val="24"/>
          <w:lang w:val="en-US" w:eastAsia="ru-RU"/>
        </w:rPr>
        <w:instrText>is</w:instrText>
      </w:r>
      <w:r w:rsidR="00947941" w:rsidRPr="00062B4F">
        <w:rPr>
          <w:i/>
          <w:iCs/>
          <w:szCs w:val="24"/>
          <w:lang w:eastAsia="ru-RU"/>
        </w:rPr>
        <w:instrText xml:space="preserve"> </w:instrText>
      </w:r>
      <w:r w:rsidR="00947941" w:rsidRPr="00062B4F">
        <w:rPr>
          <w:i/>
          <w:iCs/>
          <w:szCs w:val="24"/>
          <w:lang w:val="en-US" w:eastAsia="ru-RU"/>
        </w:rPr>
        <w:instrText>the</w:instrText>
      </w:r>
      <w:r w:rsidR="00947941" w:rsidRPr="00062B4F">
        <w:rPr>
          <w:i/>
          <w:iCs/>
          <w:szCs w:val="24"/>
          <w:lang w:eastAsia="ru-RU"/>
        </w:rPr>
        <w:instrText xml:space="preserve"> </w:instrText>
      </w:r>
      <w:r w:rsidR="00947941" w:rsidRPr="00062B4F">
        <w:rPr>
          <w:i/>
          <w:iCs/>
          <w:szCs w:val="24"/>
          <w:lang w:val="en-US" w:eastAsia="ru-RU"/>
        </w:rPr>
        <w:instrText>most</w:instrText>
      </w:r>
      <w:r w:rsidR="00947941" w:rsidRPr="00062B4F">
        <w:rPr>
          <w:i/>
          <w:iCs/>
          <w:szCs w:val="24"/>
          <w:lang w:eastAsia="ru-RU"/>
        </w:rPr>
        <w:instrText xml:space="preserve"> </w:instrText>
      </w:r>
      <w:r w:rsidR="00947941" w:rsidRPr="00062B4F">
        <w:rPr>
          <w:i/>
          <w:iCs/>
          <w:szCs w:val="24"/>
          <w:lang w:val="en-US" w:eastAsia="ru-RU"/>
        </w:rPr>
        <w:instrText>potent</w:instrText>
      </w:r>
      <w:r w:rsidR="00947941" w:rsidRPr="00062B4F">
        <w:rPr>
          <w:i/>
          <w:iCs/>
          <w:szCs w:val="24"/>
          <w:lang w:eastAsia="ru-RU"/>
        </w:rPr>
        <w:instrText xml:space="preserve"> </w:instrText>
      </w:r>
      <w:r w:rsidR="00947941" w:rsidRPr="00062B4F">
        <w:rPr>
          <w:i/>
          <w:iCs/>
          <w:szCs w:val="24"/>
          <w:lang w:val="en-US" w:eastAsia="ru-RU"/>
        </w:rPr>
        <w:instrText>BCR</w:instrText>
      </w:r>
      <w:r w:rsidR="00947941" w:rsidRPr="00062B4F">
        <w:rPr>
          <w:i/>
          <w:iCs/>
          <w:szCs w:val="24"/>
          <w:lang w:eastAsia="ru-RU"/>
        </w:rPr>
        <w:instrText>-</w:instrText>
      </w:r>
      <w:r w:rsidR="00947941" w:rsidRPr="00062B4F">
        <w:rPr>
          <w:i/>
          <w:iCs/>
          <w:szCs w:val="24"/>
          <w:lang w:val="en-US" w:eastAsia="ru-RU"/>
        </w:rPr>
        <w:instrText>ABL</w:instrText>
      </w:r>
      <w:r w:rsidR="00947941" w:rsidRPr="00062B4F">
        <w:rPr>
          <w:i/>
          <w:iCs/>
          <w:szCs w:val="24"/>
          <w:lang w:eastAsia="ru-RU"/>
        </w:rPr>
        <w:instrText xml:space="preserve"> </w:instrText>
      </w:r>
      <w:r w:rsidR="00947941" w:rsidRPr="00062B4F">
        <w:rPr>
          <w:i/>
          <w:iCs/>
          <w:szCs w:val="24"/>
          <w:lang w:val="en-US" w:eastAsia="ru-RU"/>
        </w:rPr>
        <w:instrText>inhibitor</w:instrText>
      </w:r>
      <w:r w:rsidR="00947941" w:rsidRPr="00062B4F">
        <w:rPr>
          <w:i/>
          <w:iCs/>
          <w:szCs w:val="24"/>
          <w:lang w:eastAsia="ru-RU"/>
        </w:rPr>
        <w:instrText xml:space="preserve">, </w:instrText>
      </w:r>
      <w:r w:rsidR="00947941" w:rsidRPr="00062B4F">
        <w:rPr>
          <w:i/>
          <w:iCs/>
          <w:szCs w:val="24"/>
          <w:lang w:val="en-US" w:eastAsia="ru-RU"/>
        </w:rPr>
        <w:instrText>with</w:instrText>
      </w:r>
      <w:r w:rsidR="00947941" w:rsidRPr="00062B4F">
        <w:rPr>
          <w:i/>
          <w:iCs/>
          <w:szCs w:val="24"/>
          <w:lang w:eastAsia="ru-RU"/>
        </w:rPr>
        <w:instrText xml:space="preserve"> 325-</w:instrText>
      </w:r>
      <w:r w:rsidR="00947941" w:rsidRPr="00062B4F">
        <w:rPr>
          <w:i/>
          <w:iCs/>
          <w:szCs w:val="24"/>
          <w:lang w:val="en-US" w:eastAsia="ru-RU"/>
        </w:rPr>
        <w:instrText>fold</w:instrText>
      </w:r>
      <w:r w:rsidR="00947941" w:rsidRPr="00062B4F">
        <w:rPr>
          <w:i/>
          <w:iCs/>
          <w:szCs w:val="24"/>
          <w:lang w:eastAsia="ru-RU"/>
        </w:rPr>
        <w:instrText xml:space="preserve"> </w:instrText>
      </w:r>
      <w:r w:rsidR="00947941" w:rsidRPr="00062B4F">
        <w:rPr>
          <w:i/>
          <w:iCs/>
          <w:szCs w:val="24"/>
          <w:lang w:val="en-US" w:eastAsia="ru-RU"/>
        </w:rPr>
        <w:instrText>higher</w:instrText>
      </w:r>
      <w:r w:rsidR="00947941" w:rsidRPr="00062B4F">
        <w:rPr>
          <w:i/>
          <w:iCs/>
          <w:szCs w:val="24"/>
          <w:lang w:eastAsia="ru-RU"/>
        </w:rPr>
        <w:instrText xml:space="preserve"> </w:instrText>
      </w:r>
      <w:r w:rsidR="00947941" w:rsidRPr="00062B4F">
        <w:rPr>
          <w:i/>
          <w:iCs/>
          <w:szCs w:val="24"/>
          <w:lang w:val="en-US" w:eastAsia="ru-RU"/>
        </w:rPr>
        <w:instrText>potency</w:instrText>
      </w:r>
      <w:r w:rsidR="00947941" w:rsidRPr="00062B4F">
        <w:rPr>
          <w:i/>
          <w:iCs/>
          <w:szCs w:val="24"/>
          <w:lang w:eastAsia="ru-RU"/>
        </w:rPr>
        <w:instrText xml:space="preserve"> </w:instrText>
      </w:r>
      <w:r w:rsidR="00947941" w:rsidRPr="00062B4F">
        <w:rPr>
          <w:i/>
          <w:iCs/>
          <w:szCs w:val="24"/>
          <w:lang w:val="en-US" w:eastAsia="ru-RU"/>
        </w:rPr>
        <w:instrText>than</w:instrText>
      </w:r>
      <w:r w:rsidR="00947941" w:rsidRPr="00062B4F">
        <w:rPr>
          <w:i/>
          <w:iCs/>
          <w:szCs w:val="24"/>
          <w:lang w:eastAsia="ru-RU"/>
        </w:rPr>
        <w:instrText xml:space="preserve"> </w:instrText>
      </w:r>
      <w:r w:rsidR="00947941" w:rsidRPr="00062B4F">
        <w:rPr>
          <w:i/>
          <w:iCs/>
          <w:szCs w:val="24"/>
          <w:lang w:val="en-US" w:eastAsia="ru-RU"/>
        </w:rPr>
        <w:instrText>imatinib</w:instrText>
      </w:r>
      <w:r w:rsidR="00947941" w:rsidRPr="00062B4F">
        <w:rPr>
          <w:i/>
          <w:iCs/>
          <w:szCs w:val="24"/>
          <w:lang w:eastAsia="ru-RU"/>
        </w:rPr>
        <w:instrText xml:space="preserve"> </w:instrText>
      </w:r>
      <w:r w:rsidR="00947941" w:rsidRPr="00062B4F">
        <w:rPr>
          <w:i/>
          <w:iCs/>
          <w:szCs w:val="24"/>
          <w:lang w:val="en-US" w:eastAsia="ru-RU"/>
        </w:rPr>
        <w:instrText>against</w:instrText>
      </w:r>
      <w:r w:rsidR="00947941" w:rsidRPr="00062B4F">
        <w:rPr>
          <w:i/>
          <w:iCs/>
          <w:szCs w:val="24"/>
          <w:lang w:eastAsia="ru-RU"/>
        </w:rPr>
        <w:instrText xml:space="preserve"> </w:instrText>
      </w:r>
      <w:r w:rsidR="00947941" w:rsidRPr="00062B4F">
        <w:rPr>
          <w:i/>
          <w:iCs/>
          <w:szCs w:val="24"/>
          <w:lang w:val="en-US" w:eastAsia="ru-RU"/>
        </w:rPr>
        <w:instrText>unmutated</w:instrText>
      </w:r>
      <w:r w:rsidR="00947941" w:rsidRPr="00062B4F">
        <w:rPr>
          <w:i/>
          <w:iCs/>
          <w:szCs w:val="24"/>
          <w:lang w:eastAsia="ru-RU"/>
        </w:rPr>
        <w:instrText xml:space="preserve"> </w:instrText>
      </w:r>
      <w:r w:rsidR="00947941" w:rsidRPr="00062B4F">
        <w:rPr>
          <w:i/>
          <w:iCs/>
          <w:szCs w:val="24"/>
          <w:lang w:val="en-US" w:eastAsia="ru-RU"/>
        </w:rPr>
        <w:instrText>BCR</w:instrText>
      </w:r>
      <w:r w:rsidR="00947941" w:rsidRPr="00062B4F">
        <w:rPr>
          <w:i/>
          <w:iCs/>
          <w:szCs w:val="24"/>
          <w:lang w:eastAsia="ru-RU"/>
        </w:rPr>
        <w:instrText>-</w:instrText>
      </w:r>
      <w:r w:rsidR="00947941" w:rsidRPr="00062B4F">
        <w:rPr>
          <w:i/>
          <w:iCs/>
          <w:szCs w:val="24"/>
          <w:lang w:val="en-US" w:eastAsia="ru-RU"/>
        </w:rPr>
        <w:instrText>ABL</w:instrText>
      </w:r>
      <w:r w:rsidR="00947941" w:rsidRPr="00062B4F">
        <w:rPr>
          <w:i/>
          <w:iCs/>
          <w:szCs w:val="24"/>
          <w:lang w:eastAsia="ru-RU"/>
        </w:rPr>
        <w:instrText xml:space="preserve"> </w:instrText>
      </w:r>
      <w:r w:rsidR="00947941" w:rsidRPr="00062B4F">
        <w:rPr>
          <w:i/>
          <w:iCs/>
          <w:szCs w:val="24"/>
          <w:lang w:val="en-US" w:eastAsia="ru-RU"/>
        </w:rPr>
        <w:instrText>in</w:instrText>
      </w:r>
      <w:r w:rsidR="00947941" w:rsidRPr="00062B4F">
        <w:rPr>
          <w:i/>
          <w:iCs/>
          <w:szCs w:val="24"/>
          <w:lang w:eastAsia="ru-RU"/>
        </w:rPr>
        <w:instrText xml:space="preserve"> </w:instrText>
      </w:r>
      <w:r w:rsidR="00947941" w:rsidRPr="00062B4F">
        <w:rPr>
          <w:i/>
          <w:iCs/>
          <w:szCs w:val="24"/>
          <w:lang w:val="en-US" w:eastAsia="ru-RU"/>
        </w:rPr>
        <w:instrText>vitro</w:instrText>
      </w:r>
      <w:r w:rsidR="00947941" w:rsidRPr="00062B4F">
        <w:rPr>
          <w:i/>
          <w:iCs/>
          <w:szCs w:val="24"/>
          <w:lang w:eastAsia="ru-RU"/>
        </w:rPr>
        <w:instrText xml:space="preserve">. </w:instrText>
      </w:r>
      <w:r w:rsidR="00947941" w:rsidRPr="00062B4F">
        <w:rPr>
          <w:i/>
          <w:iCs/>
          <w:szCs w:val="24"/>
          <w:lang w:val="en-US" w:eastAsia="ru-RU"/>
        </w:rPr>
        <w:instrText>Studies</w:instrText>
      </w:r>
      <w:r w:rsidR="00947941" w:rsidRPr="00062B4F">
        <w:rPr>
          <w:i/>
          <w:iCs/>
          <w:szCs w:val="24"/>
          <w:lang w:eastAsia="ru-RU"/>
        </w:rPr>
        <w:instrText xml:space="preserve"> </w:instrText>
      </w:r>
      <w:r w:rsidR="00947941" w:rsidRPr="00062B4F">
        <w:rPr>
          <w:i/>
          <w:iCs/>
          <w:szCs w:val="24"/>
          <w:lang w:val="en-US" w:eastAsia="ru-RU"/>
        </w:rPr>
        <w:instrText>have</w:instrText>
      </w:r>
      <w:r w:rsidR="00947941" w:rsidRPr="00062B4F">
        <w:rPr>
          <w:i/>
          <w:iCs/>
          <w:szCs w:val="24"/>
          <w:lang w:eastAsia="ru-RU"/>
        </w:rPr>
        <w:instrText xml:space="preserve"> </w:instrText>
      </w:r>
      <w:r w:rsidR="00947941" w:rsidRPr="00062B4F">
        <w:rPr>
          <w:i/>
          <w:iCs/>
          <w:szCs w:val="24"/>
          <w:lang w:val="en-US" w:eastAsia="ru-RU"/>
        </w:rPr>
        <w:instrText>demonstrated</w:instrText>
      </w:r>
      <w:r w:rsidR="00947941" w:rsidRPr="00062B4F">
        <w:rPr>
          <w:i/>
          <w:iCs/>
          <w:szCs w:val="24"/>
          <w:lang w:eastAsia="ru-RU"/>
        </w:rPr>
        <w:instrText xml:space="preserve"> </w:instrText>
      </w:r>
      <w:r w:rsidR="00947941" w:rsidRPr="00062B4F">
        <w:rPr>
          <w:i/>
          <w:iCs/>
          <w:szCs w:val="24"/>
          <w:lang w:val="en-US" w:eastAsia="ru-RU"/>
        </w:rPr>
        <w:instrText>the</w:instrText>
      </w:r>
      <w:r w:rsidR="00947941" w:rsidRPr="00062B4F">
        <w:rPr>
          <w:i/>
          <w:iCs/>
          <w:szCs w:val="24"/>
          <w:lang w:eastAsia="ru-RU"/>
        </w:rPr>
        <w:instrText xml:space="preserve"> </w:instrText>
      </w:r>
      <w:r w:rsidR="00947941" w:rsidRPr="00062B4F">
        <w:rPr>
          <w:i/>
          <w:iCs/>
          <w:szCs w:val="24"/>
          <w:lang w:val="en-US" w:eastAsia="ru-RU"/>
        </w:rPr>
        <w:instrText>benefits</w:instrText>
      </w:r>
      <w:r w:rsidR="00947941" w:rsidRPr="00062B4F">
        <w:rPr>
          <w:i/>
          <w:iCs/>
          <w:szCs w:val="24"/>
          <w:lang w:eastAsia="ru-RU"/>
        </w:rPr>
        <w:instrText xml:space="preserve"> </w:instrText>
      </w:r>
      <w:r w:rsidR="00947941" w:rsidRPr="00062B4F">
        <w:rPr>
          <w:i/>
          <w:iCs/>
          <w:szCs w:val="24"/>
          <w:lang w:val="en-US" w:eastAsia="ru-RU"/>
        </w:rPr>
        <w:instrText>of</w:instrText>
      </w:r>
      <w:r w:rsidR="00947941" w:rsidRPr="00062B4F">
        <w:rPr>
          <w:i/>
          <w:iCs/>
          <w:szCs w:val="24"/>
          <w:lang w:eastAsia="ru-RU"/>
        </w:rPr>
        <w:instrText xml:space="preserve"> </w:instrText>
      </w:r>
      <w:r w:rsidR="00947941" w:rsidRPr="00062B4F">
        <w:rPr>
          <w:i/>
          <w:iCs/>
          <w:szCs w:val="24"/>
          <w:lang w:val="en-US" w:eastAsia="ru-RU"/>
        </w:rPr>
        <w:instrText>dasatinib</w:instrText>
      </w:r>
      <w:r w:rsidR="00947941" w:rsidRPr="00062B4F">
        <w:rPr>
          <w:i/>
          <w:iCs/>
          <w:szCs w:val="24"/>
          <w:lang w:eastAsia="ru-RU"/>
        </w:rPr>
        <w:instrText xml:space="preserve"> 70 </w:instrText>
      </w:r>
      <w:r w:rsidR="00947941" w:rsidRPr="00062B4F">
        <w:rPr>
          <w:i/>
          <w:iCs/>
          <w:szCs w:val="24"/>
          <w:lang w:val="en-US" w:eastAsia="ru-RU"/>
        </w:rPr>
        <w:instrText>mg</w:instrText>
      </w:r>
      <w:r w:rsidR="00947941" w:rsidRPr="00062B4F">
        <w:rPr>
          <w:i/>
          <w:iCs/>
          <w:szCs w:val="24"/>
          <w:lang w:eastAsia="ru-RU"/>
        </w:rPr>
        <w:instrText xml:space="preserve"> </w:instrText>
      </w:r>
      <w:r w:rsidR="00947941" w:rsidRPr="00062B4F">
        <w:rPr>
          <w:i/>
          <w:iCs/>
          <w:szCs w:val="24"/>
          <w:lang w:val="en-US" w:eastAsia="ru-RU"/>
        </w:rPr>
        <w:instrText>twice</w:instrText>
      </w:r>
      <w:r w:rsidR="00947941" w:rsidRPr="00062B4F">
        <w:rPr>
          <w:i/>
          <w:iCs/>
          <w:szCs w:val="24"/>
          <w:lang w:eastAsia="ru-RU"/>
        </w:rPr>
        <w:instrText xml:space="preserve"> </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in</w:instrText>
      </w:r>
      <w:r w:rsidR="00947941" w:rsidRPr="00062B4F">
        <w:rPr>
          <w:i/>
          <w:iCs/>
          <w:szCs w:val="24"/>
          <w:lang w:eastAsia="ru-RU"/>
        </w:rPr>
        <w:instrText xml:space="preserve"> </w:instrText>
      </w:r>
      <w:r w:rsidR="00947941" w:rsidRPr="00062B4F">
        <w:rPr>
          <w:i/>
          <w:iCs/>
          <w:szCs w:val="24"/>
          <w:lang w:val="en-US" w:eastAsia="ru-RU"/>
        </w:rPr>
        <w:instrText>patients</w:instrText>
      </w:r>
      <w:r w:rsidR="00947941" w:rsidRPr="00062B4F">
        <w:rPr>
          <w:i/>
          <w:iCs/>
          <w:szCs w:val="24"/>
          <w:lang w:eastAsia="ru-RU"/>
        </w:rPr>
        <w:instrText xml:space="preserve"> </w:instrText>
      </w:r>
      <w:r w:rsidR="00947941" w:rsidRPr="00062B4F">
        <w:rPr>
          <w:i/>
          <w:iCs/>
          <w:szCs w:val="24"/>
          <w:lang w:val="en-US" w:eastAsia="ru-RU"/>
        </w:rPr>
        <w:instrText>with</w:instrText>
      </w:r>
      <w:r w:rsidR="00947941" w:rsidRPr="00062B4F">
        <w:rPr>
          <w:i/>
          <w:iCs/>
          <w:szCs w:val="24"/>
          <w:lang w:eastAsia="ru-RU"/>
        </w:rPr>
        <w:instrText xml:space="preserve"> </w:instrText>
      </w:r>
      <w:r w:rsidR="00947941" w:rsidRPr="00062B4F">
        <w:rPr>
          <w:i/>
          <w:iCs/>
          <w:szCs w:val="24"/>
          <w:lang w:val="en-US" w:eastAsia="ru-RU"/>
        </w:rPr>
        <w:instrText>accelerated</w:instrText>
      </w:r>
      <w:r w:rsidR="00947941" w:rsidRPr="00062B4F">
        <w:rPr>
          <w:i/>
          <w:iCs/>
          <w:szCs w:val="24"/>
          <w:lang w:eastAsia="ru-RU"/>
        </w:rPr>
        <w:instrText>-</w:instrText>
      </w:r>
      <w:r w:rsidR="00947941" w:rsidRPr="00062B4F">
        <w:rPr>
          <w:i/>
          <w:iCs/>
          <w:szCs w:val="24"/>
          <w:lang w:val="en-US" w:eastAsia="ru-RU"/>
        </w:rPr>
        <w:instrText>phase</w:instrText>
      </w:r>
      <w:r w:rsidR="00947941" w:rsidRPr="00062B4F">
        <w:rPr>
          <w:i/>
          <w:iCs/>
          <w:szCs w:val="24"/>
          <w:lang w:eastAsia="ru-RU"/>
        </w:rPr>
        <w:instrText xml:space="preserve"> </w:instrText>
      </w:r>
      <w:r w:rsidR="00947941" w:rsidRPr="00062B4F">
        <w:rPr>
          <w:i/>
          <w:iCs/>
          <w:szCs w:val="24"/>
          <w:lang w:val="en-US" w:eastAsia="ru-RU"/>
        </w:rPr>
        <w:instrText>chronic</w:instrText>
      </w:r>
      <w:r w:rsidR="00947941" w:rsidRPr="00062B4F">
        <w:rPr>
          <w:i/>
          <w:iCs/>
          <w:szCs w:val="24"/>
          <w:lang w:eastAsia="ru-RU"/>
        </w:rPr>
        <w:instrText xml:space="preserve"> </w:instrText>
      </w:r>
      <w:r w:rsidR="00947941" w:rsidRPr="00062B4F">
        <w:rPr>
          <w:i/>
          <w:iCs/>
          <w:szCs w:val="24"/>
          <w:lang w:val="en-US" w:eastAsia="ru-RU"/>
        </w:rPr>
        <w:instrText>myeloid</w:instrText>
      </w:r>
      <w:r w:rsidR="00947941" w:rsidRPr="00062B4F">
        <w:rPr>
          <w:i/>
          <w:iCs/>
          <w:szCs w:val="24"/>
          <w:lang w:eastAsia="ru-RU"/>
        </w:rPr>
        <w:instrText xml:space="preserve"> </w:instrText>
      </w:r>
      <w:r w:rsidR="00947941" w:rsidRPr="00062B4F">
        <w:rPr>
          <w:i/>
          <w:iCs/>
          <w:szCs w:val="24"/>
          <w:lang w:val="en-US" w:eastAsia="ru-RU"/>
        </w:rPr>
        <w:instrText>leukemia</w:instrText>
      </w:r>
      <w:r w:rsidR="00947941" w:rsidRPr="00062B4F">
        <w:rPr>
          <w:i/>
          <w:iCs/>
          <w:szCs w:val="24"/>
          <w:lang w:eastAsia="ru-RU"/>
        </w:rPr>
        <w:instrText xml:space="preserve"> </w:instrText>
      </w:r>
      <w:r w:rsidR="00947941" w:rsidRPr="00062B4F">
        <w:rPr>
          <w:i/>
          <w:iCs/>
          <w:szCs w:val="24"/>
          <w:lang w:val="en-US" w:eastAsia="ru-RU"/>
        </w:rPr>
        <w:instrText>intolerant</w:instrText>
      </w:r>
      <w:r w:rsidR="00947941" w:rsidRPr="00062B4F">
        <w:rPr>
          <w:i/>
          <w:iCs/>
          <w:szCs w:val="24"/>
          <w:lang w:eastAsia="ru-RU"/>
        </w:rPr>
        <w:instrText xml:space="preserve"> </w:instrText>
      </w:r>
      <w:r w:rsidR="00947941" w:rsidRPr="00062B4F">
        <w:rPr>
          <w:i/>
          <w:iCs/>
          <w:szCs w:val="24"/>
          <w:lang w:val="en-US" w:eastAsia="ru-RU"/>
        </w:rPr>
        <w:instrText>or</w:instrText>
      </w:r>
      <w:r w:rsidR="00947941" w:rsidRPr="00062B4F">
        <w:rPr>
          <w:i/>
          <w:iCs/>
          <w:szCs w:val="24"/>
          <w:lang w:eastAsia="ru-RU"/>
        </w:rPr>
        <w:instrText xml:space="preserve"> </w:instrText>
      </w:r>
      <w:r w:rsidR="00947941" w:rsidRPr="00062B4F">
        <w:rPr>
          <w:i/>
          <w:iCs/>
          <w:szCs w:val="24"/>
          <w:lang w:val="en-US" w:eastAsia="ru-RU"/>
        </w:rPr>
        <w:instrText>resistant</w:instrText>
      </w:r>
      <w:r w:rsidR="00947941" w:rsidRPr="00062B4F">
        <w:rPr>
          <w:i/>
          <w:iCs/>
          <w:szCs w:val="24"/>
          <w:lang w:eastAsia="ru-RU"/>
        </w:rPr>
        <w:instrText xml:space="preserve"> </w:instrText>
      </w:r>
      <w:r w:rsidR="00947941" w:rsidRPr="00062B4F">
        <w:rPr>
          <w:i/>
          <w:iCs/>
          <w:szCs w:val="24"/>
          <w:lang w:val="en-US" w:eastAsia="ru-RU"/>
        </w:rPr>
        <w:instrText>to</w:instrText>
      </w:r>
      <w:r w:rsidR="00947941" w:rsidRPr="00062B4F">
        <w:rPr>
          <w:i/>
          <w:iCs/>
          <w:szCs w:val="24"/>
          <w:lang w:eastAsia="ru-RU"/>
        </w:rPr>
        <w:instrText xml:space="preserve"> </w:instrText>
      </w:r>
      <w:r w:rsidR="00947941" w:rsidRPr="00062B4F">
        <w:rPr>
          <w:i/>
          <w:iCs/>
          <w:szCs w:val="24"/>
          <w:lang w:val="en-US" w:eastAsia="ru-RU"/>
        </w:rPr>
        <w:instrText>imatinib</w:instrText>
      </w:r>
      <w:r w:rsidR="00947941" w:rsidRPr="00062B4F">
        <w:rPr>
          <w:i/>
          <w:iCs/>
          <w:szCs w:val="24"/>
          <w:lang w:eastAsia="ru-RU"/>
        </w:rPr>
        <w:instrText xml:space="preserve">. </w:instrText>
      </w:r>
      <w:r w:rsidR="00947941" w:rsidRPr="00062B4F">
        <w:rPr>
          <w:i/>
          <w:iCs/>
          <w:szCs w:val="24"/>
          <w:lang w:val="en-US" w:eastAsia="ru-RU"/>
        </w:rPr>
        <w:instrText>A</w:instrText>
      </w:r>
      <w:r w:rsidR="00947941" w:rsidRPr="00062B4F">
        <w:rPr>
          <w:i/>
          <w:iCs/>
          <w:szCs w:val="24"/>
          <w:lang w:eastAsia="ru-RU"/>
        </w:rPr>
        <w:instrText xml:space="preserve"> </w:instrText>
      </w:r>
      <w:r w:rsidR="00947941" w:rsidRPr="00062B4F">
        <w:rPr>
          <w:i/>
          <w:iCs/>
          <w:szCs w:val="24"/>
          <w:lang w:val="en-US" w:eastAsia="ru-RU"/>
        </w:rPr>
        <w:instrText>phase</w:instrText>
      </w:r>
      <w:r w:rsidR="00947941" w:rsidRPr="00062B4F">
        <w:rPr>
          <w:i/>
          <w:iCs/>
          <w:szCs w:val="24"/>
          <w:lang w:eastAsia="ru-RU"/>
        </w:rPr>
        <w:instrText xml:space="preserve"> 3 </w:instrText>
      </w:r>
      <w:r w:rsidR="00947941" w:rsidRPr="00062B4F">
        <w:rPr>
          <w:i/>
          <w:iCs/>
          <w:szCs w:val="24"/>
          <w:lang w:val="en-US" w:eastAsia="ru-RU"/>
        </w:rPr>
        <w:instrText>study</w:instrText>
      </w:r>
      <w:r w:rsidR="00947941" w:rsidRPr="00062B4F">
        <w:rPr>
          <w:i/>
          <w:iCs/>
          <w:szCs w:val="24"/>
          <w:lang w:eastAsia="ru-RU"/>
        </w:rPr>
        <w:instrText xml:space="preserve"> </w:instrText>
      </w:r>
      <w:r w:rsidR="00947941" w:rsidRPr="00062B4F">
        <w:rPr>
          <w:i/>
          <w:iCs/>
          <w:szCs w:val="24"/>
          <w:lang w:val="en-US" w:eastAsia="ru-RU"/>
        </w:rPr>
        <w:instrText>compared</w:instrText>
      </w:r>
      <w:r w:rsidR="00947941" w:rsidRPr="00062B4F">
        <w:rPr>
          <w:i/>
          <w:iCs/>
          <w:szCs w:val="24"/>
          <w:lang w:eastAsia="ru-RU"/>
        </w:rPr>
        <w:instrText xml:space="preserve"> </w:instrText>
      </w:r>
      <w:r w:rsidR="00947941" w:rsidRPr="00062B4F">
        <w:rPr>
          <w:i/>
          <w:iCs/>
          <w:szCs w:val="24"/>
          <w:lang w:val="en-US" w:eastAsia="ru-RU"/>
        </w:rPr>
        <w:instrText>the</w:instrText>
      </w:r>
      <w:r w:rsidR="00947941" w:rsidRPr="00062B4F">
        <w:rPr>
          <w:i/>
          <w:iCs/>
          <w:szCs w:val="24"/>
          <w:lang w:eastAsia="ru-RU"/>
        </w:rPr>
        <w:instrText xml:space="preserve"> </w:instrText>
      </w:r>
      <w:r w:rsidR="00947941" w:rsidRPr="00062B4F">
        <w:rPr>
          <w:i/>
          <w:iCs/>
          <w:szCs w:val="24"/>
          <w:lang w:val="en-US" w:eastAsia="ru-RU"/>
        </w:rPr>
        <w:instrText>efficacy</w:instrText>
      </w:r>
      <w:r w:rsidR="00947941" w:rsidRPr="00062B4F">
        <w:rPr>
          <w:i/>
          <w:iCs/>
          <w:szCs w:val="24"/>
          <w:lang w:eastAsia="ru-RU"/>
        </w:rPr>
        <w:instrText xml:space="preserve"> </w:instrText>
      </w:r>
      <w:r w:rsidR="00947941" w:rsidRPr="00062B4F">
        <w:rPr>
          <w:i/>
          <w:iCs/>
          <w:szCs w:val="24"/>
          <w:lang w:val="en-US" w:eastAsia="ru-RU"/>
        </w:rPr>
        <w:instrText>and</w:instrText>
      </w:r>
      <w:r w:rsidR="00947941" w:rsidRPr="00062B4F">
        <w:rPr>
          <w:i/>
          <w:iCs/>
          <w:szCs w:val="24"/>
          <w:lang w:eastAsia="ru-RU"/>
        </w:rPr>
        <w:instrText xml:space="preserve"> </w:instrText>
      </w:r>
      <w:r w:rsidR="00947941" w:rsidRPr="00062B4F">
        <w:rPr>
          <w:i/>
          <w:iCs/>
          <w:szCs w:val="24"/>
          <w:lang w:val="en-US" w:eastAsia="ru-RU"/>
        </w:rPr>
        <w:instrText>safety</w:instrText>
      </w:r>
      <w:r w:rsidR="00947941" w:rsidRPr="00062B4F">
        <w:rPr>
          <w:i/>
          <w:iCs/>
          <w:szCs w:val="24"/>
          <w:lang w:eastAsia="ru-RU"/>
        </w:rPr>
        <w:instrText xml:space="preserve"> </w:instrText>
      </w:r>
      <w:r w:rsidR="00947941" w:rsidRPr="00062B4F">
        <w:rPr>
          <w:i/>
          <w:iCs/>
          <w:szCs w:val="24"/>
          <w:lang w:val="en-US" w:eastAsia="ru-RU"/>
        </w:rPr>
        <w:instrText>of</w:instrText>
      </w:r>
      <w:r w:rsidR="00947941" w:rsidRPr="00062B4F">
        <w:rPr>
          <w:i/>
          <w:iCs/>
          <w:szCs w:val="24"/>
          <w:lang w:eastAsia="ru-RU"/>
        </w:rPr>
        <w:instrText xml:space="preserve"> </w:instrText>
      </w:r>
      <w:r w:rsidR="00947941" w:rsidRPr="00062B4F">
        <w:rPr>
          <w:i/>
          <w:iCs/>
          <w:szCs w:val="24"/>
          <w:lang w:val="en-US" w:eastAsia="ru-RU"/>
        </w:rPr>
        <w:instrText>dasatinib</w:instrText>
      </w:r>
      <w:r w:rsidR="00947941" w:rsidRPr="00062B4F">
        <w:rPr>
          <w:i/>
          <w:iCs/>
          <w:szCs w:val="24"/>
          <w:lang w:eastAsia="ru-RU"/>
        </w:rPr>
        <w:instrText xml:space="preserve"> 140 </w:instrText>
      </w:r>
      <w:r w:rsidR="00947941" w:rsidRPr="00062B4F">
        <w:rPr>
          <w:i/>
          <w:iCs/>
          <w:szCs w:val="24"/>
          <w:lang w:val="en-US" w:eastAsia="ru-RU"/>
        </w:rPr>
        <w:instrText>mg</w:instrText>
      </w:r>
      <w:r w:rsidR="00947941" w:rsidRPr="00062B4F">
        <w:rPr>
          <w:i/>
          <w:iCs/>
          <w:szCs w:val="24"/>
          <w:lang w:eastAsia="ru-RU"/>
        </w:rPr>
        <w:instrText xml:space="preserve"> </w:instrText>
      </w:r>
      <w:r w:rsidR="00947941" w:rsidRPr="00062B4F">
        <w:rPr>
          <w:i/>
          <w:iCs/>
          <w:szCs w:val="24"/>
          <w:lang w:val="en-US" w:eastAsia="ru-RU"/>
        </w:rPr>
        <w:instrText>once</w:instrText>
      </w:r>
      <w:r w:rsidR="00947941" w:rsidRPr="00062B4F">
        <w:rPr>
          <w:i/>
          <w:iCs/>
          <w:szCs w:val="24"/>
          <w:lang w:eastAsia="ru-RU"/>
        </w:rPr>
        <w:instrText xml:space="preserve"> </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with</w:instrText>
      </w:r>
      <w:r w:rsidR="00947941" w:rsidRPr="00062B4F">
        <w:rPr>
          <w:i/>
          <w:iCs/>
          <w:szCs w:val="24"/>
          <w:lang w:eastAsia="ru-RU"/>
        </w:rPr>
        <w:instrText xml:space="preserve"> </w:instrText>
      </w:r>
      <w:r w:rsidR="00947941" w:rsidRPr="00062B4F">
        <w:rPr>
          <w:i/>
          <w:iCs/>
          <w:szCs w:val="24"/>
          <w:lang w:val="en-US" w:eastAsia="ru-RU"/>
        </w:rPr>
        <w:instrText>the</w:instrText>
      </w:r>
      <w:r w:rsidR="00947941" w:rsidRPr="00062B4F">
        <w:rPr>
          <w:i/>
          <w:iCs/>
          <w:szCs w:val="24"/>
          <w:lang w:eastAsia="ru-RU"/>
        </w:rPr>
        <w:instrText xml:space="preserve"> </w:instrText>
      </w:r>
      <w:r w:rsidR="00947941" w:rsidRPr="00062B4F">
        <w:rPr>
          <w:i/>
          <w:iCs/>
          <w:szCs w:val="24"/>
          <w:lang w:val="en-US" w:eastAsia="ru-RU"/>
        </w:rPr>
        <w:instrText>current</w:instrText>
      </w:r>
      <w:r w:rsidR="00947941" w:rsidRPr="00062B4F">
        <w:rPr>
          <w:i/>
          <w:iCs/>
          <w:szCs w:val="24"/>
          <w:lang w:eastAsia="ru-RU"/>
        </w:rPr>
        <w:instrText xml:space="preserve"> </w:instrText>
      </w:r>
      <w:r w:rsidR="00947941" w:rsidRPr="00062B4F">
        <w:rPr>
          <w:i/>
          <w:iCs/>
          <w:szCs w:val="24"/>
          <w:lang w:val="en-US" w:eastAsia="ru-RU"/>
        </w:rPr>
        <w:instrText>twice</w:instrText>
      </w:r>
      <w:r w:rsidR="00947941" w:rsidRPr="00062B4F">
        <w:rPr>
          <w:i/>
          <w:iCs/>
          <w:szCs w:val="24"/>
          <w:lang w:eastAsia="ru-RU"/>
        </w:rPr>
        <w:instrText>-</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regimen</w:instrText>
      </w:r>
      <w:r w:rsidR="00947941" w:rsidRPr="00062B4F">
        <w:rPr>
          <w:i/>
          <w:iCs/>
          <w:szCs w:val="24"/>
          <w:lang w:eastAsia="ru-RU"/>
        </w:rPr>
        <w:instrText xml:space="preserve">. </w:instrText>
      </w:r>
      <w:r w:rsidR="00947941" w:rsidRPr="00062B4F">
        <w:rPr>
          <w:i/>
          <w:iCs/>
          <w:szCs w:val="24"/>
          <w:lang w:val="en-US" w:eastAsia="ru-RU"/>
        </w:rPr>
        <w:instrText>Here</w:instrText>
      </w:r>
      <w:r w:rsidR="00947941" w:rsidRPr="00062B4F">
        <w:rPr>
          <w:i/>
          <w:iCs/>
          <w:szCs w:val="24"/>
          <w:lang w:eastAsia="ru-RU"/>
        </w:rPr>
        <w:instrText xml:space="preserve">, </w:instrText>
      </w:r>
      <w:r w:rsidR="00947941" w:rsidRPr="00062B4F">
        <w:rPr>
          <w:i/>
          <w:iCs/>
          <w:szCs w:val="24"/>
          <w:lang w:val="en-US" w:eastAsia="ru-RU"/>
        </w:rPr>
        <w:instrText>results</w:instrText>
      </w:r>
      <w:r w:rsidR="00947941" w:rsidRPr="00062B4F">
        <w:rPr>
          <w:i/>
          <w:iCs/>
          <w:szCs w:val="24"/>
          <w:lang w:eastAsia="ru-RU"/>
        </w:rPr>
        <w:instrText xml:space="preserve"> </w:instrText>
      </w:r>
      <w:r w:rsidR="00947941" w:rsidRPr="00062B4F">
        <w:rPr>
          <w:i/>
          <w:iCs/>
          <w:szCs w:val="24"/>
          <w:lang w:val="en-US" w:eastAsia="ru-RU"/>
        </w:rPr>
        <w:instrText>from</w:instrText>
      </w:r>
      <w:r w:rsidR="00947941" w:rsidRPr="00062B4F">
        <w:rPr>
          <w:i/>
          <w:iCs/>
          <w:szCs w:val="24"/>
          <w:lang w:eastAsia="ru-RU"/>
        </w:rPr>
        <w:instrText xml:space="preserve"> </w:instrText>
      </w:r>
      <w:r w:rsidR="00947941" w:rsidRPr="00062B4F">
        <w:rPr>
          <w:i/>
          <w:iCs/>
          <w:szCs w:val="24"/>
          <w:lang w:val="en-US" w:eastAsia="ru-RU"/>
        </w:rPr>
        <w:instrText>the</w:instrText>
      </w:r>
      <w:r w:rsidR="00947941" w:rsidRPr="00062B4F">
        <w:rPr>
          <w:i/>
          <w:iCs/>
          <w:szCs w:val="24"/>
          <w:lang w:eastAsia="ru-RU"/>
        </w:rPr>
        <w:instrText xml:space="preserve"> </w:instrText>
      </w:r>
      <w:r w:rsidR="00947941" w:rsidRPr="00062B4F">
        <w:rPr>
          <w:i/>
          <w:iCs/>
          <w:szCs w:val="24"/>
          <w:lang w:val="en-US" w:eastAsia="ru-RU"/>
        </w:rPr>
        <w:instrText>subgroup</w:instrText>
      </w:r>
      <w:r w:rsidR="00947941" w:rsidRPr="00062B4F">
        <w:rPr>
          <w:i/>
          <w:iCs/>
          <w:szCs w:val="24"/>
          <w:lang w:eastAsia="ru-RU"/>
        </w:rPr>
        <w:instrText xml:space="preserve"> </w:instrText>
      </w:r>
      <w:r w:rsidR="00947941" w:rsidRPr="00062B4F">
        <w:rPr>
          <w:i/>
          <w:iCs/>
          <w:szCs w:val="24"/>
          <w:lang w:val="en-US" w:eastAsia="ru-RU"/>
        </w:rPr>
        <w:instrText>with</w:instrText>
      </w:r>
      <w:r w:rsidR="00947941" w:rsidRPr="00062B4F">
        <w:rPr>
          <w:i/>
          <w:iCs/>
          <w:szCs w:val="24"/>
          <w:lang w:eastAsia="ru-RU"/>
        </w:rPr>
        <w:instrText xml:space="preserve"> </w:instrText>
      </w:r>
      <w:r w:rsidR="00947941" w:rsidRPr="00062B4F">
        <w:rPr>
          <w:i/>
          <w:iCs/>
          <w:szCs w:val="24"/>
          <w:lang w:val="en-US" w:eastAsia="ru-RU"/>
        </w:rPr>
        <w:instrText>accelerated</w:instrText>
      </w:r>
      <w:r w:rsidR="00947941" w:rsidRPr="00062B4F">
        <w:rPr>
          <w:i/>
          <w:iCs/>
          <w:szCs w:val="24"/>
          <w:lang w:eastAsia="ru-RU"/>
        </w:rPr>
        <w:instrText>-</w:instrText>
      </w:r>
      <w:r w:rsidR="00947941" w:rsidRPr="00062B4F">
        <w:rPr>
          <w:i/>
          <w:iCs/>
          <w:szCs w:val="24"/>
          <w:lang w:val="en-US" w:eastAsia="ru-RU"/>
        </w:rPr>
        <w:instrText>phase</w:instrText>
      </w:r>
      <w:r w:rsidR="00947941" w:rsidRPr="00062B4F">
        <w:rPr>
          <w:i/>
          <w:iCs/>
          <w:szCs w:val="24"/>
          <w:lang w:eastAsia="ru-RU"/>
        </w:rPr>
        <w:instrText xml:space="preserve"> </w:instrText>
      </w:r>
      <w:r w:rsidR="00947941" w:rsidRPr="00062B4F">
        <w:rPr>
          <w:i/>
          <w:iCs/>
          <w:szCs w:val="24"/>
          <w:lang w:val="en-US" w:eastAsia="ru-RU"/>
        </w:rPr>
        <w:instrText>chronic</w:instrText>
      </w:r>
      <w:r w:rsidR="00947941" w:rsidRPr="00062B4F">
        <w:rPr>
          <w:i/>
          <w:iCs/>
          <w:szCs w:val="24"/>
          <w:lang w:eastAsia="ru-RU"/>
        </w:rPr>
        <w:instrText xml:space="preserve"> </w:instrText>
      </w:r>
      <w:r w:rsidR="00947941" w:rsidRPr="00062B4F">
        <w:rPr>
          <w:i/>
          <w:iCs/>
          <w:szCs w:val="24"/>
          <w:lang w:val="en-US" w:eastAsia="ru-RU"/>
        </w:rPr>
        <w:instrText>myeloid</w:instrText>
      </w:r>
      <w:r w:rsidR="00947941" w:rsidRPr="00062B4F">
        <w:rPr>
          <w:i/>
          <w:iCs/>
          <w:szCs w:val="24"/>
          <w:lang w:eastAsia="ru-RU"/>
        </w:rPr>
        <w:instrText xml:space="preserve"> </w:instrText>
      </w:r>
      <w:r w:rsidR="00947941" w:rsidRPr="00062B4F">
        <w:rPr>
          <w:i/>
          <w:iCs/>
          <w:szCs w:val="24"/>
          <w:lang w:val="en-US" w:eastAsia="ru-RU"/>
        </w:rPr>
        <w:instrText>leukemia</w:instrText>
      </w:r>
      <w:r w:rsidR="00947941" w:rsidRPr="00062B4F">
        <w:rPr>
          <w:i/>
          <w:iCs/>
          <w:szCs w:val="24"/>
          <w:lang w:eastAsia="ru-RU"/>
        </w:rPr>
        <w:instrText xml:space="preserve"> (</w:instrText>
      </w:r>
      <w:r w:rsidR="00947941" w:rsidRPr="00062B4F">
        <w:rPr>
          <w:i/>
          <w:iCs/>
          <w:szCs w:val="24"/>
          <w:lang w:val="en-US" w:eastAsia="ru-RU"/>
        </w:rPr>
        <w:instrText>n</w:instrText>
      </w:r>
      <w:r w:rsidR="00947941" w:rsidRPr="00062B4F">
        <w:rPr>
          <w:i/>
          <w:iCs/>
          <w:szCs w:val="24"/>
          <w:lang w:eastAsia="ru-RU"/>
        </w:rPr>
        <w:instrText xml:space="preserve"> = 317) </w:instrText>
      </w:r>
      <w:r w:rsidR="00947941" w:rsidRPr="00062B4F">
        <w:rPr>
          <w:i/>
          <w:iCs/>
          <w:szCs w:val="24"/>
          <w:lang w:val="en-US" w:eastAsia="ru-RU"/>
        </w:rPr>
        <w:instrText>with</w:instrText>
      </w:r>
      <w:r w:rsidR="00947941" w:rsidRPr="00062B4F">
        <w:rPr>
          <w:i/>
          <w:iCs/>
          <w:szCs w:val="24"/>
          <w:lang w:eastAsia="ru-RU"/>
        </w:rPr>
        <w:instrText xml:space="preserve"> </w:instrText>
      </w:r>
      <w:r w:rsidR="00947941" w:rsidRPr="00062B4F">
        <w:rPr>
          <w:i/>
          <w:iCs/>
          <w:szCs w:val="24"/>
          <w:lang w:val="en-US" w:eastAsia="ru-RU"/>
        </w:rPr>
        <w:instrText>a</w:instrText>
      </w:r>
      <w:r w:rsidR="00947941" w:rsidRPr="00062B4F">
        <w:rPr>
          <w:i/>
          <w:iCs/>
          <w:szCs w:val="24"/>
          <w:lang w:eastAsia="ru-RU"/>
        </w:rPr>
        <w:instrText xml:space="preserve"> </w:instrText>
      </w:r>
      <w:r w:rsidR="00947941" w:rsidRPr="00062B4F">
        <w:rPr>
          <w:i/>
          <w:iCs/>
          <w:szCs w:val="24"/>
          <w:lang w:val="en-US" w:eastAsia="ru-RU"/>
        </w:rPr>
        <w:instrText>median</w:instrText>
      </w:r>
      <w:r w:rsidR="00947941" w:rsidRPr="00062B4F">
        <w:rPr>
          <w:i/>
          <w:iCs/>
          <w:szCs w:val="24"/>
          <w:lang w:eastAsia="ru-RU"/>
        </w:rPr>
        <w:instrText xml:space="preserve"> </w:instrText>
      </w:r>
      <w:r w:rsidR="00947941" w:rsidRPr="00062B4F">
        <w:rPr>
          <w:i/>
          <w:iCs/>
          <w:szCs w:val="24"/>
          <w:lang w:val="en-US" w:eastAsia="ru-RU"/>
        </w:rPr>
        <w:instrText>follow</w:instrText>
      </w:r>
      <w:r w:rsidR="00947941" w:rsidRPr="00062B4F">
        <w:rPr>
          <w:i/>
          <w:iCs/>
          <w:szCs w:val="24"/>
          <w:lang w:eastAsia="ru-RU"/>
        </w:rPr>
        <w:instrText>-</w:instrText>
      </w:r>
      <w:r w:rsidR="00947941" w:rsidRPr="00062B4F">
        <w:rPr>
          <w:i/>
          <w:iCs/>
          <w:szCs w:val="24"/>
          <w:lang w:val="en-US" w:eastAsia="ru-RU"/>
        </w:rPr>
        <w:instrText>up</w:instrText>
      </w:r>
      <w:r w:rsidR="00947941" w:rsidRPr="00062B4F">
        <w:rPr>
          <w:i/>
          <w:iCs/>
          <w:szCs w:val="24"/>
          <w:lang w:eastAsia="ru-RU"/>
        </w:rPr>
        <w:instrText xml:space="preserve"> </w:instrText>
      </w:r>
      <w:r w:rsidR="00947941" w:rsidRPr="00062B4F">
        <w:rPr>
          <w:i/>
          <w:iCs/>
          <w:szCs w:val="24"/>
          <w:lang w:val="en-US" w:eastAsia="ru-RU"/>
        </w:rPr>
        <w:instrText>of</w:instrText>
      </w:r>
      <w:r w:rsidR="00947941" w:rsidRPr="00062B4F">
        <w:rPr>
          <w:i/>
          <w:iCs/>
          <w:szCs w:val="24"/>
          <w:lang w:eastAsia="ru-RU"/>
        </w:rPr>
        <w:instrText xml:space="preserve"> 15 </w:instrText>
      </w:r>
      <w:r w:rsidR="00947941" w:rsidRPr="00062B4F">
        <w:rPr>
          <w:i/>
          <w:iCs/>
          <w:szCs w:val="24"/>
          <w:lang w:val="en-US" w:eastAsia="ru-RU"/>
        </w:rPr>
        <w:instrText>months</w:instrText>
      </w:r>
      <w:r w:rsidR="00947941" w:rsidRPr="00062B4F">
        <w:rPr>
          <w:i/>
          <w:iCs/>
          <w:szCs w:val="24"/>
          <w:lang w:eastAsia="ru-RU"/>
        </w:rPr>
        <w:instrText xml:space="preserve"> (</w:instrText>
      </w:r>
      <w:r w:rsidR="00947941" w:rsidRPr="00062B4F">
        <w:rPr>
          <w:i/>
          <w:iCs/>
          <w:szCs w:val="24"/>
          <w:lang w:val="en-US" w:eastAsia="ru-RU"/>
        </w:rPr>
        <w:instrText>treatment</w:instrText>
      </w:r>
      <w:r w:rsidR="00947941" w:rsidRPr="00062B4F">
        <w:rPr>
          <w:i/>
          <w:iCs/>
          <w:szCs w:val="24"/>
          <w:lang w:eastAsia="ru-RU"/>
        </w:rPr>
        <w:instrText xml:space="preserve"> </w:instrText>
      </w:r>
      <w:r w:rsidR="00947941" w:rsidRPr="00062B4F">
        <w:rPr>
          <w:i/>
          <w:iCs/>
          <w:szCs w:val="24"/>
          <w:lang w:val="en-US" w:eastAsia="ru-RU"/>
        </w:rPr>
        <w:instrText>duration</w:instrText>
      </w:r>
      <w:r w:rsidR="00947941" w:rsidRPr="00062B4F">
        <w:rPr>
          <w:i/>
          <w:iCs/>
          <w:szCs w:val="24"/>
          <w:lang w:eastAsia="ru-RU"/>
        </w:rPr>
        <w:instrText xml:space="preserve">, 0.03-31.15 </w:instrText>
      </w:r>
      <w:r w:rsidR="00947941" w:rsidRPr="00062B4F">
        <w:rPr>
          <w:i/>
          <w:iCs/>
          <w:szCs w:val="24"/>
          <w:lang w:val="en-US" w:eastAsia="ru-RU"/>
        </w:rPr>
        <w:instrText>months</w:instrText>
      </w:r>
      <w:r w:rsidR="00947941" w:rsidRPr="00062B4F">
        <w:rPr>
          <w:i/>
          <w:iCs/>
          <w:szCs w:val="24"/>
          <w:lang w:eastAsia="ru-RU"/>
        </w:rPr>
        <w:instrText xml:space="preserve">) </w:instrText>
      </w:r>
      <w:r w:rsidR="00947941" w:rsidRPr="00062B4F">
        <w:rPr>
          <w:i/>
          <w:iCs/>
          <w:szCs w:val="24"/>
          <w:lang w:val="en-US" w:eastAsia="ru-RU"/>
        </w:rPr>
        <w:instrText>are</w:instrText>
      </w:r>
      <w:r w:rsidR="00947941" w:rsidRPr="00062B4F">
        <w:rPr>
          <w:i/>
          <w:iCs/>
          <w:szCs w:val="24"/>
          <w:lang w:eastAsia="ru-RU"/>
        </w:rPr>
        <w:instrText xml:space="preserve"> </w:instrText>
      </w:r>
      <w:r w:rsidR="00947941" w:rsidRPr="00062B4F">
        <w:rPr>
          <w:i/>
          <w:iCs/>
          <w:szCs w:val="24"/>
          <w:lang w:val="en-US" w:eastAsia="ru-RU"/>
        </w:rPr>
        <w:instrText>reported</w:instrText>
      </w:r>
      <w:r w:rsidR="00947941" w:rsidRPr="00062B4F">
        <w:rPr>
          <w:i/>
          <w:iCs/>
          <w:szCs w:val="24"/>
          <w:lang w:eastAsia="ru-RU"/>
        </w:rPr>
        <w:instrText xml:space="preserve">. </w:instrText>
      </w:r>
      <w:r w:rsidR="00947941" w:rsidRPr="00062B4F">
        <w:rPr>
          <w:i/>
          <w:iCs/>
          <w:szCs w:val="24"/>
          <w:lang w:val="en-US" w:eastAsia="ru-RU"/>
        </w:rPr>
        <w:instrText>Among</w:instrText>
      </w:r>
      <w:r w:rsidR="00947941" w:rsidRPr="00062B4F">
        <w:rPr>
          <w:i/>
          <w:iCs/>
          <w:szCs w:val="24"/>
          <w:lang w:eastAsia="ru-RU"/>
        </w:rPr>
        <w:instrText xml:space="preserve"> </w:instrText>
      </w:r>
      <w:r w:rsidR="00947941" w:rsidRPr="00062B4F">
        <w:rPr>
          <w:i/>
          <w:iCs/>
          <w:szCs w:val="24"/>
          <w:lang w:val="en-US" w:eastAsia="ru-RU"/>
        </w:rPr>
        <w:instrText>patients</w:instrText>
      </w:r>
      <w:r w:rsidR="00947941" w:rsidRPr="00062B4F">
        <w:rPr>
          <w:i/>
          <w:iCs/>
          <w:szCs w:val="24"/>
          <w:lang w:eastAsia="ru-RU"/>
        </w:rPr>
        <w:instrText xml:space="preserve"> </w:instrText>
      </w:r>
      <w:r w:rsidR="00947941" w:rsidRPr="00062B4F">
        <w:rPr>
          <w:i/>
          <w:iCs/>
          <w:szCs w:val="24"/>
          <w:lang w:val="en-US" w:eastAsia="ru-RU"/>
        </w:rPr>
        <w:instrText>randomized</w:instrText>
      </w:r>
      <w:r w:rsidR="00947941" w:rsidRPr="00062B4F">
        <w:rPr>
          <w:i/>
          <w:iCs/>
          <w:szCs w:val="24"/>
          <w:lang w:eastAsia="ru-RU"/>
        </w:rPr>
        <w:instrText xml:space="preserve"> </w:instrText>
      </w:r>
      <w:r w:rsidR="00947941" w:rsidRPr="00062B4F">
        <w:rPr>
          <w:i/>
          <w:iCs/>
          <w:szCs w:val="24"/>
          <w:lang w:val="en-US" w:eastAsia="ru-RU"/>
        </w:rPr>
        <w:instrText>to</w:instrText>
      </w:r>
      <w:r w:rsidR="00947941" w:rsidRPr="00062B4F">
        <w:rPr>
          <w:i/>
          <w:iCs/>
          <w:szCs w:val="24"/>
          <w:lang w:eastAsia="ru-RU"/>
        </w:rPr>
        <w:instrText xml:space="preserve"> </w:instrText>
      </w:r>
      <w:r w:rsidR="00947941" w:rsidRPr="00062B4F">
        <w:rPr>
          <w:i/>
          <w:iCs/>
          <w:szCs w:val="24"/>
          <w:lang w:val="en-US" w:eastAsia="ru-RU"/>
        </w:rPr>
        <w:instrText>once</w:instrText>
      </w:r>
      <w:r w:rsidR="00947941" w:rsidRPr="00062B4F">
        <w:rPr>
          <w:i/>
          <w:iCs/>
          <w:szCs w:val="24"/>
          <w:lang w:eastAsia="ru-RU"/>
        </w:rPr>
        <w:instrText>-</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n</w:instrText>
      </w:r>
      <w:r w:rsidR="00947941" w:rsidRPr="00062B4F">
        <w:rPr>
          <w:i/>
          <w:iCs/>
          <w:szCs w:val="24"/>
          <w:lang w:eastAsia="ru-RU"/>
        </w:rPr>
        <w:instrText xml:space="preserve"> = 158) </w:instrText>
      </w:r>
      <w:r w:rsidR="00947941" w:rsidRPr="00062B4F">
        <w:rPr>
          <w:i/>
          <w:iCs/>
          <w:szCs w:val="24"/>
          <w:lang w:val="en-US" w:eastAsia="ru-RU"/>
        </w:rPr>
        <w:instrText>or</w:instrText>
      </w:r>
      <w:r w:rsidR="00947941" w:rsidRPr="00062B4F">
        <w:rPr>
          <w:i/>
          <w:iCs/>
          <w:szCs w:val="24"/>
          <w:lang w:eastAsia="ru-RU"/>
        </w:rPr>
        <w:instrText xml:space="preserve"> </w:instrText>
      </w:r>
      <w:r w:rsidR="00947941" w:rsidRPr="00062B4F">
        <w:rPr>
          <w:i/>
          <w:iCs/>
          <w:szCs w:val="24"/>
          <w:lang w:val="en-US" w:eastAsia="ru-RU"/>
        </w:rPr>
        <w:instrText>twice</w:instrText>
      </w:r>
      <w:r w:rsidR="00947941" w:rsidRPr="00062B4F">
        <w:rPr>
          <w:i/>
          <w:iCs/>
          <w:szCs w:val="24"/>
          <w:lang w:eastAsia="ru-RU"/>
        </w:rPr>
        <w:instrText>-</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n</w:instrText>
      </w:r>
      <w:r w:rsidR="00947941" w:rsidRPr="00062B4F">
        <w:rPr>
          <w:i/>
          <w:iCs/>
          <w:szCs w:val="24"/>
          <w:lang w:eastAsia="ru-RU"/>
        </w:rPr>
        <w:instrText xml:space="preserve"> = 159) </w:instrText>
      </w:r>
      <w:r w:rsidR="00947941" w:rsidRPr="00062B4F">
        <w:rPr>
          <w:i/>
          <w:iCs/>
          <w:szCs w:val="24"/>
          <w:lang w:val="en-US" w:eastAsia="ru-RU"/>
        </w:rPr>
        <w:instrText>treatment</w:instrText>
      </w:r>
      <w:r w:rsidR="00947941" w:rsidRPr="00062B4F">
        <w:rPr>
          <w:i/>
          <w:iCs/>
          <w:szCs w:val="24"/>
          <w:lang w:eastAsia="ru-RU"/>
        </w:rPr>
        <w:instrText xml:space="preserve">, </w:instrText>
      </w:r>
      <w:r w:rsidR="00947941" w:rsidRPr="00062B4F">
        <w:rPr>
          <w:i/>
          <w:iCs/>
          <w:szCs w:val="24"/>
          <w:lang w:val="en-US" w:eastAsia="ru-RU"/>
        </w:rPr>
        <w:instrText>rates</w:instrText>
      </w:r>
      <w:r w:rsidR="00947941" w:rsidRPr="00062B4F">
        <w:rPr>
          <w:i/>
          <w:iCs/>
          <w:szCs w:val="24"/>
          <w:lang w:eastAsia="ru-RU"/>
        </w:rPr>
        <w:instrText xml:space="preserve"> </w:instrText>
      </w:r>
      <w:r w:rsidR="00947941" w:rsidRPr="00062B4F">
        <w:rPr>
          <w:i/>
          <w:iCs/>
          <w:szCs w:val="24"/>
          <w:lang w:val="en-US" w:eastAsia="ru-RU"/>
        </w:rPr>
        <w:instrText>of</w:instrText>
      </w:r>
      <w:r w:rsidR="00947941" w:rsidRPr="00062B4F">
        <w:rPr>
          <w:i/>
          <w:iCs/>
          <w:szCs w:val="24"/>
          <w:lang w:eastAsia="ru-RU"/>
        </w:rPr>
        <w:instrText xml:space="preserve"> </w:instrText>
      </w:r>
      <w:r w:rsidR="00947941" w:rsidRPr="00062B4F">
        <w:rPr>
          <w:i/>
          <w:iCs/>
          <w:szCs w:val="24"/>
          <w:lang w:val="en-US" w:eastAsia="ru-RU"/>
        </w:rPr>
        <w:instrText>major</w:instrText>
      </w:r>
      <w:r w:rsidR="00947941" w:rsidRPr="00062B4F">
        <w:rPr>
          <w:i/>
          <w:iCs/>
          <w:szCs w:val="24"/>
          <w:lang w:eastAsia="ru-RU"/>
        </w:rPr>
        <w:instrText xml:space="preserve"> </w:instrText>
      </w:r>
      <w:r w:rsidR="00947941" w:rsidRPr="00062B4F">
        <w:rPr>
          <w:i/>
          <w:iCs/>
          <w:szCs w:val="24"/>
          <w:lang w:val="en-US" w:eastAsia="ru-RU"/>
        </w:rPr>
        <w:instrText>hematologic</w:instrText>
      </w:r>
      <w:r w:rsidR="00947941" w:rsidRPr="00062B4F">
        <w:rPr>
          <w:i/>
          <w:iCs/>
          <w:szCs w:val="24"/>
          <w:lang w:eastAsia="ru-RU"/>
        </w:rPr>
        <w:instrText xml:space="preserve"> </w:instrText>
      </w:r>
      <w:r w:rsidR="00947941" w:rsidRPr="00062B4F">
        <w:rPr>
          <w:i/>
          <w:iCs/>
          <w:szCs w:val="24"/>
          <w:lang w:val="en-US" w:eastAsia="ru-RU"/>
        </w:rPr>
        <w:instrText>and</w:instrText>
      </w:r>
      <w:r w:rsidR="00947941" w:rsidRPr="00062B4F">
        <w:rPr>
          <w:i/>
          <w:iCs/>
          <w:szCs w:val="24"/>
          <w:lang w:eastAsia="ru-RU"/>
        </w:rPr>
        <w:instrText xml:space="preserve"> </w:instrText>
      </w:r>
      <w:r w:rsidR="00947941" w:rsidRPr="00062B4F">
        <w:rPr>
          <w:i/>
          <w:iCs/>
          <w:szCs w:val="24"/>
          <w:lang w:val="en-US" w:eastAsia="ru-RU"/>
        </w:rPr>
        <w:instrText>cytogenetic</w:instrText>
      </w:r>
      <w:r w:rsidR="00947941" w:rsidRPr="00062B4F">
        <w:rPr>
          <w:i/>
          <w:iCs/>
          <w:szCs w:val="24"/>
          <w:lang w:eastAsia="ru-RU"/>
        </w:rPr>
        <w:instrText xml:space="preserve"> </w:instrText>
      </w:r>
      <w:r w:rsidR="00947941" w:rsidRPr="00062B4F">
        <w:rPr>
          <w:i/>
          <w:iCs/>
          <w:szCs w:val="24"/>
          <w:lang w:val="en-US" w:eastAsia="ru-RU"/>
        </w:rPr>
        <w:instrText>responses</w:instrText>
      </w:r>
      <w:r w:rsidR="00947941" w:rsidRPr="00062B4F">
        <w:rPr>
          <w:i/>
          <w:iCs/>
          <w:szCs w:val="24"/>
          <w:lang w:eastAsia="ru-RU"/>
        </w:rPr>
        <w:instrText xml:space="preserve"> </w:instrText>
      </w:r>
      <w:r w:rsidR="00947941" w:rsidRPr="00062B4F">
        <w:rPr>
          <w:i/>
          <w:iCs/>
          <w:szCs w:val="24"/>
          <w:lang w:val="en-US" w:eastAsia="ru-RU"/>
        </w:rPr>
        <w:instrText>were</w:instrText>
      </w:r>
      <w:r w:rsidR="00947941" w:rsidRPr="00062B4F">
        <w:rPr>
          <w:i/>
          <w:iCs/>
          <w:szCs w:val="24"/>
          <w:lang w:eastAsia="ru-RU"/>
        </w:rPr>
        <w:instrText xml:space="preserve"> </w:instrText>
      </w:r>
      <w:r w:rsidR="00947941" w:rsidRPr="00062B4F">
        <w:rPr>
          <w:i/>
          <w:iCs/>
          <w:szCs w:val="24"/>
          <w:lang w:val="en-US" w:eastAsia="ru-RU"/>
        </w:rPr>
        <w:instrText>comparable</w:instrText>
      </w:r>
      <w:r w:rsidR="00947941" w:rsidRPr="00062B4F">
        <w:rPr>
          <w:i/>
          <w:iCs/>
          <w:szCs w:val="24"/>
          <w:lang w:eastAsia="ru-RU"/>
        </w:rPr>
        <w:instrText xml:space="preserve"> (</w:instrText>
      </w:r>
      <w:r w:rsidR="00947941" w:rsidRPr="00062B4F">
        <w:rPr>
          <w:i/>
          <w:iCs/>
          <w:szCs w:val="24"/>
          <w:lang w:val="en-US" w:eastAsia="ru-RU"/>
        </w:rPr>
        <w:instrText>major</w:instrText>
      </w:r>
      <w:r w:rsidR="00947941" w:rsidRPr="00062B4F">
        <w:rPr>
          <w:i/>
          <w:iCs/>
          <w:szCs w:val="24"/>
          <w:lang w:eastAsia="ru-RU"/>
        </w:rPr>
        <w:instrText xml:space="preserve"> </w:instrText>
      </w:r>
      <w:r w:rsidR="00947941" w:rsidRPr="00062B4F">
        <w:rPr>
          <w:i/>
          <w:iCs/>
          <w:szCs w:val="24"/>
          <w:lang w:val="en-US" w:eastAsia="ru-RU"/>
        </w:rPr>
        <w:instrText>hematologic</w:instrText>
      </w:r>
      <w:r w:rsidR="00947941" w:rsidRPr="00062B4F">
        <w:rPr>
          <w:i/>
          <w:iCs/>
          <w:szCs w:val="24"/>
          <w:lang w:eastAsia="ru-RU"/>
        </w:rPr>
        <w:instrText xml:space="preserve"> </w:instrText>
      </w:r>
      <w:r w:rsidR="00947941" w:rsidRPr="00062B4F">
        <w:rPr>
          <w:i/>
          <w:iCs/>
          <w:szCs w:val="24"/>
          <w:lang w:val="en-US" w:eastAsia="ru-RU"/>
        </w:rPr>
        <w:instrText>response</w:instrText>
      </w:r>
      <w:r w:rsidR="00947941" w:rsidRPr="00062B4F">
        <w:rPr>
          <w:i/>
          <w:iCs/>
          <w:szCs w:val="24"/>
          <w:lang w:eastAsia="ru-RU"/>
        </w:rPr>
        <w:instrText xml:space="preserve">, 66% </w:instrText>
      </w:r>
      <w:r w:rsidR="00947941" w:rsidRPr="00062B4F">
        <w:rPr>
          <w:i/>
          <w:iCs/>
          <w:szCs w:val="24"/>
          <w:lang w:val="en-US" w:eastAsia="ru-RU"/>
        </w:rPr>
        <w:instrText>vs</w:instrText>
      </w:r>
      <w:r w:rsidR="00947941" w:rsidRPr="00062B4F">
        <w:rPr>
          <w:i/>
          <w:iCs/>
          <w:szCs w:val="24"/>
          <w:lang w:eastAsia="ru-RU"/>
        </w:rPr>
        <w:instrText xml:space="preserve"> 68%; </w:instrText>
      </w:r>
      <w:r w:rsidR="00947941" w:rsidRPr="00062B4F">
        <w:rPr>
          <w:i/>
          <w:iCs/>
          <w:szCs w:val="24"/>
          <w:lang w:val="en-US" w:eastAsia="ru-RU"/>
        </w:rPr>
        <w:instrText>major</w:instrText>
      </w:r>
      <w:r w:rsidR="00947941" w:rsidRPr="00062B4F">
        <w:rPr>
          <w:i/>
          <w:iCs/>
          <w:szCs w:val="24"/>
          <w:lang w:eastAsia="ru-RU"/>
        </w:rPr>
        <w:instrText xml:space="preserve"> </w:instrText>
      </w:r>
      <w:r w:rsidR="00947941" w:rsidRPr="00062B4F">
        <w:rPr>
          <w:i/>
          <w:iCs/>
          <w:szCs w:val="24"/>
          <w:lang w:val="en-US" w:eastAsia="ru-RU"/>
        </w:rPr>
        <w:instrText>cytogenetic</w:instrText>
      </w:r>
      <w:r w:rsidR="00947941" w:rsidRPr="00062B4F">
        <w:rPr>
          <w:i/>
          <w:iCs/>
          <w:szCs w:val="24"/>
          <w:lang w:eastAsia="ru-RU"/>
        </w:rPr>
        <w:instrText xml:space="preserve"> </w:instrText>
      </w:r>
      <w:r w:rsidR="00947941" w:rsidRPr="00062B4F">
        <w:rPr>
          <w:i/>
          <w:iCs/>
          <w:szCs w:val="24"/>
          <w:lang w:val="en-US" w:eastAsia="ru-RU"/>
        </w:rPr>
        <w:instrText>response</w:instrText>
      </w:r>
      <w:r w:rsidR="00947941" w:rsidRPr="00062B4F">
        <w:rPr>
          <w:i/>
          <w:iCs/>
          <w:szCs w:val="24"/>
          <w:lang w:eastAsia="ru-RU"/>
        </w:rPr>
        <w:instrText xml:space="preserve">, 39% </w:instrText>
      </w:r>
      <w:r w:rsidR="00947941" w:rsidRPr="00062B4F">
        <w:rPr>
          <w:i/>
          <w:iCs/>
          <w:szCs w:val="24"/>
          <w:lang w:val="en-US" w:eastAsia="ru-RU"/>
        </w:rPr>
        <w:instrText>vs</w:instrText>
      </w:r>
      <w:r w:rsidR="00947941" w:rsidRPr="00062B4F">
        <w:rPr>
          <w:i/>
          <w:iCs/>
          <w:szCs w:val="24"/>
          <w:lang w:eastAsia="ru-RU"/>
        </w:rPr>
        <w:instrText xml:space="preserve"> 43%, </w:instrText>
      </w:r>
      <w:r w:rsidR="00947941" w:rsidRPr="00062B4F">
        <w:rPr>
          <w:i/>
          <w:iCs/>
          <w:szCs w:val="24"/>
          <w:lang w:val="en-US" w:eastAsia="ru-RU"/>
        </w:rPr>
        <w:instrText>respectively</w:instrText>
      </w:r>
      <w:r w:rsidR="00947941" w:rsidRPr="00062B4F">
        <w:rPr>
          <w:i/>
          <w:iCs/>
          <w:szCs w:val="24"/>
          <w:lang w:eastAsia="ru-RU"/>
        </w:rPr>
        <w:instrText xml:space="preserve">). </w:instrText>
      </w:r>
      <w:r w:rsidR="00947941" w:rsidRPr="00062B4F">
        <w:rPr>
          <w:i/>
          <w:iCs/>
          <w:szCs w:val="24"/>
          <w:lang w:val="en-US" w:eastAsia="ru-RU"/>
        </w:rPr>
        <w:instrText>Estimated</w:instrText>
      </w:r>
      <w:r w:rsidR="00947941" w:rsidRPr="00062B4F">
        <w:rPr>
          <w:i/>
          <w:iCs/>
          <w:szCs w:val="24"/>
          <w:lang w:eastAsia="ru-RU"/>
        </w:rPr>
        <w:instrText xml:space="preserve"> </w:instrText>
      </w:r>
      <w:r w:rsidR="00947941" w:rsidRPr="00062B4F">
        <w:rPr>
          <w:i/>
          <w:iCs/>
          <w:szCs w:val="24"/>
          <w:lang w:val="en-US" w:eastAsia="ru-RU"/>
        </w:rPr>
        <w:instrText>progression</w:instrText>
      </w:r>
      <w:r w:rsidR="00947941" w:rsidRPr="00062B4F">
        <w:rPr>
          <w:i/>
          <w:iCs/>
          <w:szCs w:val="24"/>
          <w:lang w:eastAsia="ru-RU"/>
        </w:rPr>
        <w:instrText>-</w:instrText>
      </w:r>
      <w:r w:rsidR="00947941" w:rsidRPr="00062B4F">
        <w:rPr>
          <w:i/>
          <w:iCs/>
          <w:szCs w:val="24"/>
          <w:lang w:val="en-US" w:eastAsia="ru-RU"/>
        </w:rPr>
        <w:instrText>free</w:instrText>
      </w:r>
      <w:r w:rsidR="00947941" w:rsidRPr="00062B4F">
        <w:rPr>
          <w:i/>
          <w:iCs/>
          <w:szCs w:val="24"/>
          <w:lang w:eastAsia="ru-RU"/>
        </w:rPr>
        <w:instrText xml:space="preserve"> </w:instrText>
      </w:r>
      <w:r w:rsidR="00947941" w:rsidRPr="00062B4F">
        <w:rPr>
          <w:i/>
          <w:iCs/>
          <w:szCs w:val="24"/>
          <w:lang w:val="en-US" w:eastAsia="ru-RU"/>
        </w:rPr>
        <w:instrText>survival</w:instrText>
      </w:r>
      <w:r w:rsidR="00947941" w:rsidRPr="00062B4F">
        <w:rPr>
          <w:i/>
          <w:iCs/>
          <w:szCs w:val="24"/>
          <w:lang w:eastAsia="ru-RU"/>
        </w:rPr>
        <w:instrText xml:space="preserve"> </w:instrText>
      </w:r>
      <w:r w:rsidR="00947941" w:rsidRPr="00062B4F">
        <w:rPr>
          <w:i/>
          <w:iCs/>
          <w:szCs w:val="24"/>
          <w:lang w:val="en-US" w:eastAsia="ru-RU"/>
        </w:rPr>
        <w:instrText>rates</w:instrText>
      </w:r>
      <w:r w:rsidR="00947941" w:rsidRPr="00062B4F">
        <w:rPr>
          <w:i/>
          <w:iCs/>
          <w:szCs w:val="24"/>
          <w:lang w:eastAsia="ru-RU"/>
        </w:rPr>
        <w:instrText xml:space="preserve"> </w:instrText>
      </w:r>
      <w:r w:rsidR="00947941" w:rsidRPr="00062B4F">
        <w:rPr>
          <w:i/>
          <w:iCs/>
          <w:szCs w:val="24"/>
          <w:lang w:val="en-US" w:eastAsia="ru-RU"/>
        </w:rPr>
        <w:instrText>at</w:instrText>
      </w:r>
      <w:r w:rsidR="00947941" w:rsidRPr="00062B4F">
        <w:rPr>
          <w:i/>
          <w:iCs/>
          <w:szCs w:val="24"/>
          <w:lang w:eastAsia="ru-RU"/>
        </w:rPr>
        <w:instrText xml:space="preserve"> 24 </w:instrText>
      </w:r>
      <w:r w:rsidR="00947941" w:rsidRPr="00062B4F">
        <w:rPr>
          <w:i/>
          <w:iCs/>
          <w:szCs w:val="24"/>
          <w:lang w:val="en-US" w:eastAsia="ru-RU"/>
        </w:rPr>
        <w:instrText>months</w:instrText>
      </w:r>
      <w:r w:rsidR="00947941" w:rsidRPr="00062B4F">
        <w:rPr>
          <w:i/>
          <w:iCs/>
          <w:szCs w:val="24"/>
          <w:lang w:eastAsia="ru-RU"/>
        </w:rPr>
        <w:instrText xml:space="preserve"> </w:instrText>
      </w:r>
      <w:r w:rsidR="00947941" w:rsidRPr="00062B4F">
        <w:rPr>
          <w:i/>
          <w:iCs/>
          <w:szCs w:val="24"/>
          <w:lang w:val="en-US" w:eastAsia="ru-RU"/>
        </w:rPr>
        <w:instrText>were</w:instrText>
      </w:r>
      <w:r w:rsidR="00947941" w:rsidRPr="00062B4F">
        <w:rPr>
          <w:i/>
          <w:iCs/>
          <w:szCs w:val="24"/>
          <w:lang w:eastAsia="ru-RU"/>
        </w:rPr>
        <w:instrText xml:space="preserve"> 51% </w:instrText>
      </w:r>
      <w:r w:rsidR="00947941" w:rsidRPr="00062B4F">
        <w:rPr>
          <w:i/>
          <w:iCs/>
          <w:szCs w:val="24"/>
          <w:lang w:val="en-US" w:eastAsia="ru-RU"/>
        </w:rPr>
        <w:instrText>and</w:instrText>
      </w:r>
      <w:r w:rsidR="00947941" w:rsidRPr="00062B4F">
        <w:rPr>
          <w:i/>
          <w:iCs/>
          <w:szCs w:val="24"/>
          <w:lang w:eastAsia="ru-RU"/>
        </w:rPr>
        <w:instrText xml:space="preserve"> 55%, </w:instrText>
      </w:r>
      <w:r w:rsidR="00947941" w:rsidRPr="00062B4F">
        <w:rPr>
          <w:i/>
          <w:iCs/>
          <w:szCs w:val="24"/>
          <w:lang w:val="en-US" w:eastAsia="ru-RU"/>
        </w:rPr>
        <w:instrText>whereas</w:instrText>
      </w:r>
      <w:r w:rsidR="00947941" w:rsidRPr="00062B4F">
        <w:rPr>
          <w:i/>
          <w:iCs/>
          <w:szCs w:val="24"/>
          <w:lang w:eastAsia="ru-RU"/>
        </w:rPr>
        <w:instrText xml:space="preserve"> </w:instrText>
      </w:r>
      <w:r w:rsidR="00947941" w:rsidRPr="00062B4F">
        <w:rPr>
          <w:i/>
          <w:iCs/>
          <w:szCs w:val="24"/>
          <w:lang w:val="en-US" w:eastAsia="ru-RU"/>
        </w:rPr>
        <w:instrText>overall</w:instrText>
      </w:r>
      <w:r w:rsidR="00947941" w:rsidRPr="00062B4F">
        <w:rPr>
          <w:i/>
          <w:iCs/>
          <w:szCs w:val="24"/>
          <w:lang w:eastAsia="ru-RU"/>
        </w:rPr>
        <w:instrText xml:space="preserve"> </w:instrText>
      </w:r>
      <w:r w:rsidR="00947941" w:rsidRPr="00062B4F">
        <w:rPr>
          <w:i/>
          <w:iCs/>
          <w:szCs w:val="24"/>
          <w:lang w:val="en-US" w:eastAsia="ru-RU"/>
        </w:rPr>
        <w:instrText>survival</w:instrText>
      </w:r>
      <w:r w:rsidR="00947941" w:rsidRPr="00062B4F">
        <w:rPr>
          <w:i/>
          <w:iCs/>
          <w:szCs w:val="24"/>
          <w:lang w:eastAsia="ru-RU"/>
        </w:rPr>
        <w:instrText xml:space="preserve"> </w:instrText>
      </w:r>
      <w:r w:rsidR="00947941" w:rsidRPr="00062B4F">
        <w:rPr>
          <w:i/>
          <w:iCs/>
          <w:szCs w:val="24"/>
          <w:lang w:val="en-US" w:eastAsia="ru-RU"/>
        </w:rPr>
        <w:instrText>rates</w:instrText>
      </w:r>
      <w:r w:rsidR="00947941" w:rsidRPr="00062B4F">
        <w:rPr>
          <w:i/>
          <w:iCs/>
          <w:szCs w:val="24"/>
          <w:lang w:eastAsia="ru-RU"/>
        </w:rPr>
        <w:instrText xml:space="preserve"> </w:instrText>
      </w:r>
      <w:r w:rsidR="00947941" w:rsidRPr="00062B4F">
        <w:rPr>
          <w:i/>
          <w:iCs/>
          <w:szCs w:val="24"/>
          <w:lang w:val="en-US" w:eastAsia="ru-RU"/>
        </w:rPr>
        <w:instrText>were</w:instrText>
      </w:r>
      <w:r w:rsidR="00947941" w:rsidRPr="00062B4F">
        <w:rPr>
          <w:i/>
          <w:iCs/>
          <w:szCs w:val="24"/>
          <w:lang w:eastAsia="ru-RU"/>
        </w:rPr>
        <w:instrText xml:space="preserve"> 63% </w:instrText>
      </w:r>
      <w:r w:rsidR="00947941" w:rsidRPr="00062B4F">
        <w:rPr>
          <w:i/>
          <w:iCs/>
          <w:szCs w:val="24"/>
          <w:lang w:val="en-US" w:eastAsia="ru-RU"/>
        </w:rPr>
        <w:instrText>versus</w:instrText>
      </w:r>
      <w:r w:rsidR="00947941" w:rsidRPr="00062B4F">
        <w:rPr>
          <w:i/>
          <w:iCs/>
          <w:szCs w:val="24"/>
          <w:lang w:eastAsia="ru-RU"/>
        </w:rPr>
        <w:instrText xml:space="preserve"> 72%. </w:instrText>
      </w:r>
      <w:r w:rsidR="00947941" w:rsidRPr="00062B4F">
        <w:rPr>
          <w:i/>
          <w:iCs/>
          <w:szCs w:val="24"/>
          <w:lang w:val="en-US" w:eastAsia="ru-RU"/>
        </w:rPr>
        <w:instrText>Once</w:instrText>
      </w:r>
      <w:r w:rsidR="00947941" w:rsidRPr="00062B4F">
        <w:rPr>
          <w:i/>
          <w:iCs/>
          <w:szCs w:val="24"/>
          <w:lang w:eastAsia="ru-RU"/>
        </w:rPr>
        <w:instrText>-</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treatment</w:instrText>
      </w:r>
      <w:r w:rsidR="00947941" w:rsidRPr="00062B4F">
        <w:rPr>
          <w:i/>
          <w:iCs/>
          <w:szCs w:val="24"/>
          <w:lang w:eastAsia="ru-RU"/>
        </w:rPr>
        <w:instrText xml:space="preserve"> </w:instrText>
      </w:r>
      <w:r w:rsidR="00947941" w:rsidRPr="00062B4F">
        <w:rPr>
          <w:i/>
          <w:iCs/>
          <w:szCs w:val="24"/>
          <w:lang w:val="en-US" w:eastAsia="ru-RU"/>
        </w:rPr>
        <w:instrText>was</w:instrText>
      </w:r>
      <w:r w:rsidR="00947941" w:rsidRPr="00062B4F">
        <w:rPr>
          <w:i/>
          <w:iCs/>
          <w:szCs w:val="24"/>
          <w:lang w:eastAsia="ru-RU"/>
        </w:rPr>
        <w:instrText xml:space="preserve"> </w:instrText>
      </w:r>
      <w:r w:rsidR="00947941" w:rsidRPr="00062B4F">
        <w:rPr>
          <w:i/>
          <w:iCs/>
          <w:szCs w:val="24"/>
          <w:lang w:val="en-US" w:eastAsia="ru-RU"/>
        </w:rPr>
        <w:instrText>associated</w:instrText>
      </w:r>
      <w:r w:rsidR="00947941" w:rsidRPr="00062B4F">
        <w:rPr>
          <w:i/>
          <w:iCs/>
          <w:szCs w:val="24"/>
          <w:lang w:eastAsia="ru-RU"/>
        </w:rPr>
        <w:instrText xml:space="preserve"> </w:instrText>
      </w:r>
      <w:r w:rsidR="00947941" w:rsidRPr="00062B4F">
        <w:rPr>
          <w:i/>
          <w:iCs/>
          <w:szCs w:val="24"/>
          <w:lang w:val="en-US" w:eastAsia="ru-RU"/>
        </w:rPr>
        <w:instrText>with</w:instrText>
      </w:r>
      <w:r w:rsidR="00947941" w:rsidRPr="00062B4F">
        <w:rPr>
          <w:i/>
          <w:iCs/>
          <w:szCs w:val="24"/>
          <w:lang w:eastAsia="ru-RU"/>
        </w:rPr>
        <w:instrText xml:space="preserve"> </w:instrText>
      </w:r>
      <w:r w:rsidR="00947941" w:rsidRPr="00062B4F">
        <w:rPr>
          <w:i/>
          <w:iCs/>
          <w:szCs w:val="24"/>
          <w:lang w:val="en-US" w:eastAsia="ru-RU"/>
        </w:rPr>
        <w:instrText>an</w:instrText>
      </w:r>
      <w:r w:rsidR="00947941" w:rsidRPr="00062B4F">
        <w:rPr>
          <w:i/>
          <w:iCs/>
          <w:szCs w:val="24"/>
          <w:lang w:eastAsia="ru-RU"/>
        </w:rPr>
        <w:instrText xml:space="preserve"> </w:instrText>
      </w:r>
      <w:r w:rsidR="00947941" w:rsidRPr="00062B4F">
        <w:rPr>
          <w:i/>
          <w:iCs/>
          <w:szCs w:val="24"/>
          <w:lang w:val="en-US" w:eastAsia="ru-RU"/>
        </w:rPr>
        <w:instrText>improved</w:instrText>
      </w:r>
      <w:r w:rsidR="00947941" w:rsidRPr="00062B4F">
        <w:rPr>
          <w:i/>
          <w:iCs/>
          <w:szCs w:val="24"/>
          <w:lang w:eastAsia="ru-RU"/>
        </w:rPr>
        <w:instrText xml:space="preserve"> </w:instrText>
      </w:r>
      <w:r w:rsidR="00947941" w:rsidRPr="00062B4F">
        <w:rPr>
          <w:i/>
          <w:iCs/>
          <w:szCs w:val="24"/>
          <w:lang w:val="en-US" w:eastAsia="ru-RU"/>
        </w:rPr>
        <w:instrText>safety</w:instrText>
      </w:r>
      <w:r w:rsidR="00947941" w:rsidRPr="00062B4F">
        <w:rPr>
          <w:i/>
          <w:iCs/>
          <w:szCs w:val="24"/>
          <w:lang w:eastAsia="ru-RU"/>
        </w:rPr>
        <w:instrText xml:space="preserve"> </w:instrText>
      </w:r>
      <w:r w:rsidR="00947941" w:rsidRPr="00062B4F">
        <w:rPr>
          <w:i/>
          <w:iCs/>
          <w:szCs w:val="24"/>
          <w:lang w:val="en-US" w:eastAsia="ru-RU"/>
        </w:rPr>
        <w:instrText>profile</w:instrText>
      </w:r>
      <w:r w:rsidR="00947941" w:rsidRPr="00062B4F">
        <w:rPr>
          <w:i/>
          <w:iCs/>
          <w:szCs w:val="24"/>
          <w:lang w:eastAsia="ru-RU"/>
        </w:rPr>
        <w:instrText xml:space="preserve">. </w:instrText>
      </w:r>
      <w:r w:rsidR="00947941" w:rsidRPr="00062B4F">
        <w:rPr>
          <w:i/>
          <w:iCs/>
          <w:szCs w:val="24"/>
          <w:lang w:val="en-US" w:eastAsia="ru-RU"/>
        </w:rPr>
        <w:instrText>In</w:instrText>
      </w:r>
      <w:r w:rsidR="00947941" w:rsidRPr="00062B4F">
        <w:rPr>
          <w:i/>
          <w:iCs/>
          <w:szCs w:val="24"/>
          <w:lang w:eastAsia="ru-RU"/>
        </w:rPr>
        <w:instrText xml:space="preserve"> </w:instrText>
      </w:r>
      <w:r w:rsidR="00947941" w:rsidRPr="00062B4F">
        <w:rPr>
          <w:i/>
          <w:iCs/>
          <w:szCs w:val="24"/>
          <w:lang w:val="en-US" w:eastAsia="ru-RU"/>
        </w:rPr>
        <w:instrText>particular</w:instrText>
      </w:r>
      <w:r w:rsidR="00947941" w:rsidRPr="00062B4F">
        <w:rPr>
          <w:i/>
          <w:iCs/>
          <w:szCs w:val="24"/>
          <w:lang w:eastAsia="ru-RU"/>
        </w:rPr>
        <w:instrText xml:space="preserve">, </w:instrText>
      </w:r>
      <w:r w:rsidR="00947941" w:rsidRPr="00062B4F">
        <w:rPr>
          <w:i/>
          <w:iCs/>
          <w:szCs w:val="24"/>
          <w:lang w:val="en-US" w:eastAsia="ru-RU"/>
        </w:rPr>
        <w:instrText>significantly</w:instrText>
      </w:r>
      <w:r w:rsidR="00947941" w:rsidRPr="00062B4F">
        <w:rPr>
          <w:i/>
          <w:iCs/>
          <w:szCs w:val="24"/>
          <w:lang w:eastAsia="ru-RU"/>
        </w:rPr>
        <w:instrText xml:space="preserve"> </w:instrText>
      </w:r>
      <w:r w:rsidR="00947941" w:rsidRPr="00062B4F">
        <w:rPr>
          <w:i/>
          <w:iCs/>
          <w:szCs w:val="24"/>
          <w:lang w:val="en-US" w:eastAsia="ru-RU"/>
        </w:rPr>
        <w:instrText>fewer</w:instrText>
      </w:r>
      <w:r w:rsidR="00947941" w:rsidRPr="00062B4F">
        <w:rPr>
          <w:i/>
          <w:iCs/>
          <w:szCs w:val="24"/>
          <w:lang w:eastAsia="ru-RU"/>
        </w:rPr>
        <w:instrText xml:space="preserve"> </w:instrText>
      </w:r>
      <w:r w:rsidR="00947941" w:rsidRPr="00062B4F">
        <w:rPr>
          <w:i/>
          <w:iCs/>
          <w:szCs w:val="24"/>
          <w:lang w:val="en-US" w:eastAsia="ru-RU"/>
        </w:rPr>
        <w:instrText>patients</w:instrText>
      </w:r>
      <w:r w:rsidR="00947941" w:rsidRPr="00062B4F">
        <w:rPr>
          <w:i/>
          <w:iCs/>
          <w:szCs w:val="24"/>
          <w:lang w:eastAsia="ru-RU"/>
        </w:rPr>
        <w:instrText xml:space="preserve"> </w:instrText>
      </w:r>
      <w:r w:rsidR="00947941" w:rsidRPr="00062B4F">
        <w:rPr>
          <w:i/>
          <w:iCs/>
          <w:szCs w:val="24"/>
          <w:lang w:val="en-US" w:eastAsia="ru-RU"/>
        </w:rPr>
        <w:instrText>in</w:instrText>
      </w:r>
      <w:r w:rsidR="00947941" w:rsidRPr="00062B4F">
        <w:rPr>
          <w:i/>
          <w:iCs/>
          <w:szCs w:val="24"/>
          <w:lang w:eastAsia="ru-RU"/>
        </w:rPr>
        <w:instrText xml:space="preserve"> </w:instrText>
      </w:r>
      <w:r w:rsidR="00947941" w:rsidRPr="00062B4F">
        <w:rPr>
          <w:i/>
          <w:iCs/>
          <w:szCs w:val="24"/>
          <w:lang w:val="en-US" w:eastAsia="ru-RU"/>
        </w:rPr>
        <w:instrText>the</w:instrText>
      </w:r>
      <w:r w:rsidR="00947941" w:rsidRPr="00062B4F">
        <w:rPr>
          <w:i/>
          <w:iCs/>
          <w:szCs w:val="24"/>
          <w:lang w:eastAsia="ru-RU"/>
        </w:rPr>
        <w:instrText xml:space="preserve"> </w:instrText>
      </w:r>
      <w:r w:rsidR="00947941" w:rsidRPr="00062B4F">
        <w:rPr>
          <w:i/>
          <w:iCs/>
          <w:szCs w:val="24"/>
          <w:lang w:val="en-US" w:eastAsia="ru-RU"/>
        </w:rPr>
        <w:instrText>once</w:instrText>
      </w:r>
      <w:r w:rsidR="00947941" w:rsidRPr="00062B4F">
        <w:rPr>
          <w:i/>
          <w:iCs/>
          <w:szCs w:val="24"/>
          <w:lang w:eastAsia="ru-RU"/>
        </w:rPr>
        <w:instrText>-</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group</w:instrText>
      </w:r>
      <w:r w:rsidR="00947941" w:rsidRPr="00062B4F">
        <w:rPr>
          <w:i/>
          <w:iCs/>
          <w:szCs w:val="24"/>
          <w:lang w:eastAsia="ru-RU"/>
        </w:rPr>
        <w:instrText xml:space="preserve"> </w:instrText>
      </w:r>
      <w:r w:rsidR="00947941" w:rsidRPr="00062B4F">
        <w:rPr>
          <w:i/>
          <w:iCs/>
          <w:szCs w:val="24"/>
          <w:lang w:val="en-US" w:eastAsia="ru-RU"/>
        </w:rPr>
        <w:instrText>experienced</w:instrText>
      </w:r>
      <w:r w:rsidR="00947941" w:rsidRPr="00062B4F">
        <w:rPr>
          <w:i/>
          <w:iCs/>
          <w:szCs w:val="24"/>
          <w:lang w:eastAsia="ru-RU"/>
        </w:rPr>
        <w:instrText xml:space="preserve"> </w:instrText>
      </w:r>
      <w:r w:rsidR="00947941" w:rsidRPr="00062B4F">
        <w:rPr>
          <w:i/>
          <w:iCs/>
          <w:szCs w:val="24"/>
          <w:lang w:val="en-US" w:eastAsia="ru-RU"/>
        </w:rPr>
        <w:instrText>a</w:instrText>
      </w:r>
      <w:r w:rsidR="00947941" w:rsidRPr="00062B4F">
        <w:rPr>
          <w:i/>
          <w:iCs/>
          <w:szCs w:val="24"/>
          <w:lang w:eastAsia="ru-RU"/>
        </w:rPr>
        <w:instrText xml:space="preserve"> </w:instrText>
      </w:r>
      <w:r w:rsidR="00947941" w:rsidRPr="00062B4F">
        <w:rPr>
          <w:i/>
          <w:iCs/>
          <w:szCs w:val="24"/>
          <w:lang w:val="en-US" w:eastAsia="ru-RU"/>
        </w:rPr>
        <w:instrText>pleural</w:instrText>
      </w:r>
      <w:r w:rsidR="00947941" w:rsidRPr="00062B4F">
        <w:rPr>
          <w:i/>
          <w:iCs/>
          <w:szCs w:val="24"/>
          <w:lang w:eastAsia="ru-RU"/>
        </w:rPr>
        <w:instrText xml:space="preserve"> </w:instrText>
      </w:r>
      <w:r w:rsidR="00947941" w:rsidRPr="00062B4F">
        <w:rPr>
          <w:i/>
          <w:iCs/>
          <w:szCs w:val="24"/>
          <w:lang w:val="en-US" w:eastAsia="ru-RU"/>
        </w:rPr>
        <w:instrText>effusion</w:instrText>
      </w:r>
      <w:r w:rsidR="00947941" w:rsidRPr="00062B4F">
        <w:rPr>
          <w:i/>
          <w:iCs/>
          <w:szCs w:val="24"/>
          <w:lang w:eastAsia="ru-RU"/>
        </w:rPr>
        <w:instrText xml:space="preserve"> (</w:instrText>
      </w:r>
      <w:r w:rsidR="00947941" w:rsidRPr="00062B4F">
        <w:rPr>
          <w:i/>
          <w:iCs/>
          <w:szCs w:val="24"/>
          <w:lang w:val="en-US" w:eastAsia="ru-RU"/>
        </w:rPr>
        <w:instrText>all</w:instrText>
      </w:r>
      <w:r w:rsidR="00947941" w:rsidRPr="00062B4F">
        <w:rPr>
          <w:i/>
          <w:iCs/>
          <w:szCs w:val="24"/>
          <w:lang w:eastAsia="ru-RU"/>
        </w:rPr>
        <w:instrText xml:space="preserve"> </w:instrText>
      </w:r>
      <w:r w:rsidR="00947941" w:rsidRPr="00062B4F">
        <w:rPr>
          <w:i/>
          <w:iCs/>
          <w:szCs w:val="24"/>
          <w:lang w:val="en-US" w:eastAsia="ru-RU"/>
        </w:rPr>
        <w:instrText>grades</w:instrText>
      </w:r>
      <w:r w:rsidR="00947941" w:rsidRPr="00062B4F">
        <w:rPr>
          <w:i/>
          <w:iCs/>
          <w:szCs w:val="24"/>
          <w:lang w:eastAsia="ru-RU"/>
        </w:rPr>
        <w:instrText xml:space="preserve">, 20% </w:instrText>
      </w:r>
      <w:r w:rsidR="00947941" w:rsidRPr="00062B4F">
        <w:rPr>
          <w:i/>
          <w:iCs/>
          <w:szCs w:val="24"/>
          <w:lang w:val="en-US" w:eastAsia="ru-RU"/>
        </w:rPr>
        <w:instrText>vs</w:instrText>
      </w:r>
      <w:r w:rsidR="00947941" w:rsidRPr="00062B4F">
        <w:rPr>
          <w:i/>
          <w:iCs/>
          <w:szCs w:val="24"/>
          <w:lang w:eastAsia="ru-RU"/>
        </w:rPr>
        <w:instrText xml:space="preserve"> 39% </w:instrText>
      </w:r>
      <w:r w:rsidR="00947941" w:rsidRPr="00062B4F">
        <w:rPr>
          <w:i/>
          <w:iCs/>
          <w:szCs w:val="24"/>
          <w:lang w:val="en-US" w:eastAsia="ru-RU"/>
        </w:rPr>
        <w:instrText>P</w:instrText>
      </w:r>
      <w:r w:rsidR="00947941" w:rsidRPr="00062B4F">
        <w:rPr>
          <w:i/>
          <w:iCs/>
          <w:szCs w:val="24"/>
          <w:lang w:eastAsia="ru-RU"/>
        </w:rPr>
        <w:instrText xml:space="preserve"> &lt; .001). </w:instrText>
      </w:r>
      <w:r w:rsidR="00947941" w:rsidRPr="00062B4F">
        <w:rPr>
          <w:i/>
          <w:iCs/>
          <w:szCs w:val="24"/>
          <w:lang w:val="en-US" w:eastAsia="ru-RU"/>
        </w:rPr>
        <w:instrText>These</w:instrText>
      </w:r>
      <w:r w:rsidR="00947941" w:rsidRPr="00062B4F">
        <w:rPr>
          <w:i/>
          <w:iCs/>
          <w:szCs w:val="24"/>
          <w:lang w:eastAsia="ru-RU"/>
        </w:rPr>
        <w:instrText xml:space="preserve"> </w:instrText>
      </w:r>
      <w:r w:rsidR="00947941" w:rsidRPr="00062B4F">
        <w:rPr>
          <w:i/>
          <w:iCs/>
          <w:szCs w:val="24"/>
          <w:lang w:val="en-US" w:eastAsia="ru-RU"/>
        </w:rPr>
        <w:instrText>results</w:instrText>
      </w:r>
      <w:r w:rsidR="00947941" w:rsidRPr="00062B4F">
        <w:rPr>
          <w:i/>
          <w:iCs/>
          <w:szCs w:val="24"/>
          <w:lang w:eastAsia="ru-RU"/>
        </w:rPr>
        <w:instrText xml:space="preserve"> </w:instrText>
      </w:r>
      <w:r w:rsidR="00947941" w:rsidRPr="00062B4F">
        <w:rPr>
          <w:i/>
          <w:iCs/>
          <w:szCs w:val="24"/>
          <w:lang w:val="en-US" w:eastAsia="ru-RU"/>
        </w:rPr>
        <w:instrText>demonstrate</w:instrText>
      </w:r>
      <w:r w:rsidR="00947941" w:rsidRPr="00062B4F">
        <w:rPr>
          <w:i/>
          <w:iCs/>
          <w:szCs w:val="24"/>
          <w:lang w:eastAsia="ru-RU"/>
        </w:rPr>
        <w:instrText xml:space="preserve"> </w:instrText>
      </w:r>
      <w:r w:rsidR="00947941" w:rsidRPr="00062B4F">
        <w:rPr>
          <w:i/>
          <w:iCs/>
          <w:szCs w:val="24"/>
          <w:lang w:val="en-US" w:eastAsia="ru-RU"/>
        </w:rPr>
        <w:instrText>that</w:instrText>
      </w:r>
      <w:r w:rsidR="00947941" w:rsidRPr="00062B4F">
        <w:rPr>
          <w:i/>
          <w:iCs/>
          <w:szCs w:val="24"/>
          <w:lang w:eastAsia="ru-RU"/>
        </w:rPr>
        <w:instrText xml:space="preserve"> </w:instrText>
      </w:r>
      <w:r w:rsidR="00947941" w:rsidRPr="00062B4F">
        <w:rPr>
          <w:i/>
          <w:iCs/>
          <w:szCs w:val="24"/>
          <w:lang w:val="en-US" w:eastAsia="ru-RU"/>
        </w:rPr>
        <w:instrText>dasatinib</w:instrText>
      </w:r>
      <w:r w:rsidR="00947941" w:rsidRPr="00062B4F">
        <w:rPr>
          <w:i/>
          <w:iCs/>
          <w:szCs w:val="24"/>
          <w:lang w:eastAsia="ru-RU"/>
        </w:rPr>
        <w:instrText xml:space="preserve"> 140 </w:instrText>
      </w:r>
      <w:r w:rsidR="00947941" w:rsidRPr="00062B4F">
        <w:rPr>
          <w:i/>
          <w:iCs/>
          <w:szCs w:val="24"/>
          <w:lang w:val="en-US" w:eastAsia="ru-RU"/>
        </w:rPr>
        <w:instrText>mg</w:instrText>
      </w:r>
      <w:r w:rsidR="00947941" w:rsidRPr="00062B4F">
        <w:rPr>
          <w:i/>
          <w:iCs/>
          <w:szCs w:val="24"/>
          <w:lang w:eastAsia="ru-RU"/>
        </w:rPr>
        <w:instrText xml:space="preserve"> </w:instrText>
      </w:r>
      <w:r w:rsidR="00947941" w:rsidRPr="00062B4F">
        <w:rPr>
          <w:i/>
          <w:iCs/>
          <w:szCs w:val="24"/>
          <w:lang w:val="en-US" w:eastAsia="ru-RU"/>
        </w:rPr>
        <w:instrText>once</w:instrText>
      </w:r>
      <w:r w:rsidR="00947941" w:rsidRPr="00062B4F">
        <w:rPr>
          <w:i/>
          <w:iCs/>
          <w:szCs w:val="24"/>
          <w:lang w:eastAsia="ru-RU"/>
        </w:rPr>
        <w:instrText xml:space="preserve"> </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has</w:instrText>
      </w:r>
      <w:r w:rsidR="00947941" w:rsidRPr="00062B4F">
        <w:rPr>
          <w:i/>
          <w:iCs/>
          <w:szCs w:val="24"/>
          <w:lang w:eastAsia="ru-RU"/>
        </w:rPr>
        <w:instrText xml:space="preserve"> </w:instrText>
      </w:r>
      <w:r w:rsidR="00947941" w:rsidRPr="00062B4F">
        <w:rPr>
          <w:i/>
          <w:iCs/>
          <w:szCs w:val="24"/>
          <w:lang w:val="en-US" w:eastAsia="ru-RU"/>
        </w:rPr>
        <w:instrText>similar</w:instrText>
      </w:r>
      <w:r w:rsidR="00947941" w:rsidRPr="00062B4F">
        <w:rPr>
          <w:i/>
          <w:iCs/>
          <w:szCs w:val="24"/>
          <w:lang w:eastAsia="ru-RU"/>
        </w:rPr>
        <w:instrText xml:space="preserve"> </w:instrText>
      </w:r>
      <w:r w:rsidR="00947941" w:rsidRPr="00062B4F">
        <w:rPr>
          <w:i/>
          <w:iCs/>
          <w:szCs w:val="24"/>
          <w:lang w:val="en-US" w:eastAsia="ru-RU"/>
        </w:rPr>
        <w:instrText>efficacy</w:instrText>
      </w:r>
      <w:r w:rsidR="00947941" w:rsidRPr="00062B4F">
        <w:rPr>
          <w:i/>
          <w:iCs/>
          <w:szCs w:val="24"/>
          <w:lang w:eastAsia="ru-RU"/>
        </w:rPr>
        <w:instrText xml:space="preserve"> </w:instrText>
      </w:r>
      <w:r w:rsidR="00947941" w:rsidRPr="00062B4F">
        <w:rPr>
          <w:i/>
          <w:iCs/>
          <w:szCs w:val="24"/>
          <w:lang w:val="en-US" w:eastAsia="ru-RU"/>
        </w:rPr>
        <w:instrText>to</w:instrText>
      </w:r>
      <w:r w:rsidR="00947941" w:rsidRPr="00062B4F">
        <w:rPr>
          <w:i/>
          <w:iCs/>
          <w:szCs w:val="24"/>
          <w:lang w:eastAsia="ru-RU"/>
        </w:rPr>
        <w:instrText xml:space="preserve"> </w:instrText>
      </w:r>
      <w:r w:rsidR="00947941" w:rsidRPr="00062B4F">
        <w:rPr>
          <w:i/>
          <w:iCs/>
          <w:szCs w:val="24"/>
          <w:lang w:val="en-US" w:eastAsia="ru-RU"/>
        </w:rPr>
        <w:instrText>dasatinib</w:instrText>
      </w:r>
      <w:r w:rsidR="00947941" w:rsidRPr="00062B4F">
        <w:rPr>
          <w:i/>
          <w:iCs/>
          <w:szCs w:val="24"/>
          <w:lang w:eastAsia="ru-RU"/>
        </w:rPr>
        <w:instrText xml:space="preserve"> 70</w:instrText>
      </w:r>
      <w:r w:rsidR="00947941" w:rsidRPr="00062B4F">
        <w:rPr>
          <w:i/>
          <w:iCs/>
          <w:szCs w:val="24"/>
          <w:lang w:val="en-US" w:eastAsia="ru-RU"/>
        </w:rPr>
        <w:instrText xml:space="preserve">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w:instrText>
      </w:r>
      <w:r w:rsidR="00947941" w:rsidRPr="00062B4F">
        <w:rPr>
          <w:i/>
          <w:iCs/>
          <w:szCs w:val="24"/>
          <w:lang w:eastAsia="ru-RU"/>
        </w:rPr>
        <w:instrText>-</w:instrText>
      </w:r>
      <w:r w:rsidR="00947941" w:rsidRPr="00062B4F">
        <w:rPr>
          <w:i/>
          <w:iCs/>
          <w:szCs w:val="24"/>
          <w:lang w:val="en-US" w:eastAsia="ru-RU"/>
        </w:rPr>
        <w:instrText>names</w:instrText>
      </w:r>
      <w:r w:rsidR="00947941" w:rsidRPr="00062B4F">
        <w:rPr>
          <w:i/>
          <w:iCs/>
          <w:szCs w:val="24"/>
          <w:lang w:eastAsia="ru-RU"/>
        </w:rPr>
        <w:instrText>":</w:instrText>
      </w:r>
      <w:r w:rsidR="00947941" w:rsidRPr="00062B4F">
        <w:rPr>
          <w:i/>
          <w:iCs/>
          <w:szCs w:val="24"/>
          <w:lang w:val="en-US" w:eastAsia="ru-RU"/>
        </w:rPr>
        <w:instrText>false</w:instrText>
      </w:r>
      <w:r w:rsidR="00947941" w:rsidRPr="00062B4F">
        <w:rPr>
          <w:i/>
          <w:iCs/>
          <w:szCs w:val="24"/>
          <w:lang w:eastAsia="ru-RU"/>
        </w:rPr>
        <w:instrText>,"</w:instrText>
      </w:r>
      <w:r w:rsidR="00947941" w:rsidRPr="00062B4F">
        <w:rPr>
          <w:i/>
          <w:iCs/>
          <w:szCs w:val="24"/>
          <w:lang w:val="en-US" w:eastAsia="ru-RU"/>
        </w:rPr>
        <w:instrText>suffix</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family</w:instrText>
      </w:r>
      <w:r w:rsidR="00947941" w:rsidRPr="00062B4F">
        <w:rPr>
          <w:i/>
          <w:iCs/>
          <w:szCs w:val="24"/>
          <w:lang w:eastAsia="ru-RU"/>
        </w:rPr>
        <w:instrText>":"</w:instrText>
      </w:r>
      <w:r w:rsidR="00947941" w:rsidRPr="00062B4F">
        <w:rPr>
          <w:i/>
          <w:iCs/>
          <w:szCs w:val="24"/>
          <w:lang w:val="en-US" w:eastAsia="ru-RU"/>
        </w:rPr>
        <w:instrText>Radich</w:instrText>
      </w:r>
      <w:r w:rsidR="00947941" w:rsidRPr="00062B4F">
        <w:rPr>
          <w:i/>
          <w:iCs/>
          <w:szCs w:val="24"/>
          <w:lang w:eastAsia="ru-RU"/>
        </w:rPr>
        <w:instrText>","</w:instrText>
      </w:r>
      <w:r w:rsidR="00947941" w:rsidRPr="00062B4F">
        <w:rPr>
          <w:i/>
          <w:iCs/>
          <w:szCs w:val="24"/>
          <w:lang w:val="en-US" w:eastAsia="ru-RU"/>
        </w:rPr>
        <w:instrText>given</w:instrText>
      </w:r>
      <w:r w:rsidR="00947941" w:rsidRPr="00062B4F">
        <w:rPr>
          <w:i/>
          <w:iCs/>
          <w:szCs w:val="24"/>
          <w:lang w:eastAsia="ru-RU"/>
        </w:rPr>
        <w:instrText>":"</w:instrText>
      </w:r>
      <w:r w:rsidR="00947941" w:rsidRPr="00062B4F">
        <w:rPr>
          <w:i/>
          <w:iCs/>
          <w:szCs w:val="24"/>
          <w:lang w:val="en-US" w:eastAsia="ru-RU"/>
        </w:rPr>
        <w:instrText>J</w:instrText>
      </w:r>
      <w:r w:rsidR="00947941" w:rsidRPr="00062B4F">
        <w:rPr>
          <w:i/>
          <w:iCs/>
          <w:szCs w:val="24"/>
          <w:lang w:eastAsia="ru-RU"/>
        </w:rPr>
        <w:instrText xml:space="preserve">. </w:instrText>
      </w:r>
      <w:r w:rsidR="00947941" w:rsidRPr="00062B4F">
        <w:rPr>
          <w:i/>
          <w:iCs/>
          <w:szCs w:val="24"/>
          <w:lang w:val="en-US" w:eastAsia="ru-RU"/>
        </w:rPr>
        <w:instrText>P</w:instrText>
      </w:r>
      <w:r w:rsidR="00947941" w:rsidRPr="00062B4F">
        <w:rPr>
          <w:i/>
          <w:iCs/>
          <w:szCs w:val="24"/>
          <w:lang w:eastAsia="ru-RU"/>
        </w:rPr>
        <w:instrText>.","</w:instrText>
      </w:r>
      <w:r w:rsidR="00947941" w:rsidRPr="00062B4F">
        <w:rPr>
          <w:i/>
          <w:iCs/>
          <w:szCs w:val="24"/>
          <w:lang w:val="en-US" w:eastAsia="ru-RU"/>
        </w:rPr>
        <w:instrText>non</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parse</w:instrText>
      </w:r>
      <w:r w:rsidR="00947941" w:rsidRPr="00062B4F">
        <w:rPr>
          <w:i/>
          <w:iCs/>
          <w:szCs w:val="24"/>
          <w:lang w:eastAsia="ru-RU"/>
        </w:rPr>
        <w:instrText>-</w:instrText>
      </w:r>
      <w:r w:rsidR="00947941" w:rsidRPr="00062B4F">
        <w:rPr>
          <w:i/>
          <w:iCs/>
          <w:szCs w:val="24"/>
          <w:lang w:val="en-US" w:eastAsia="ru-RU"/>
        </w:rPr>
        <w:instrText>names</w:instrText>
      </w:r>
      <w:r w:rsidR="00947941" w:rsidRPr="00062B4F">
        <w:rPr>
          <w:i/>
          <w:iCs/>
          <w:szCs w:val="24"/>
          <w:lang w:eastAsia="ru-RU"/>
        </w:rPr>
        <w:instrText>":</w:instrText>
      </w:r>
      <w:r w:rsidR="00947941" w:rsidRPr="00062B4F">
        <w:rPr>
          <w:i/>
          <w:iCs/>
          <w:szCs w:val="24"/>
          <w:lang w:val="en-US" w:eastAsia="ru-RU"/>
        </w:rPr>
        <w:instrText>false</w:instrText>
      </w:r>
      <w:r w:rsidR="00947941" w:rsidRPr="00062B4F">
        <w:rPr>
          <w:i/>
          <w:iCs/>
          <w:szCs w:val="24"/>
          <w:lang w:eastAsia="ru-RU"/>
        </w:rPr>
        <w:instrText>,"</w:instrText>
      </w:r>
      <w:r w:rsidR="00947941" w:rsidRPr="00062B4F">
        <w:rPr>
          <w:i/>
          <w:iCs/>
          <w:szCs w:val="24"/>
          <w:lang w:val="en-US" w:eastAsia="ru-RU"/>
        </w:rPr>
        <w:instrText>suffix</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family</w:instrText>
      </w:r>
      <w:r w:rsidR="00947941" w:rsidRPr="00062B4F">
        <w:rPr>
          <w:i/>
          <w:iCs/>
          <w:szCs w:val="24"/>
          <w:lang w:eastAsia="ru-RU"/>
        </w:rPr>
        <w:instrText>":"</w:instrText>
      </w:r>
      <w:r w:rsidR="00947941" w:rsidRPr="00062B4F">
        <w:rPr>
          <w:i/>
          <w:iCs/>
          <w:szCs w:val="24"/>
          <w:lang w:val="en-US" w:eastAsia="ru-RU"/>
        </w:rPr>
        <w:instrText>Khoury</w:instrText>
      </w:r>
      <w:r w:rsidR="00947941" w:rsidRPr="00062B4F">
        <w:rPr>
          <w:i/>
          <w:iCs/>
          <w:szCs w:val="24"/>
          <w:lang w:eastAsia="ru-RU"/>
        </w:rPr>
        <w:instrText>","</w:instrText>
      </w:r>
      <w:r w:rsidR="00947941" w:rsidRPr="00062B4F">
        <w:rPr>
          <w:i/>
          <w:iCs/>
          <w:szCs w:val="24"/>
          <w:lang w:val="en-US" w:eastAsia="ru-RU"/>
        </w:rPr>
        <w:instrText>given</w:instrText>
      </w:r>
      <w:r w:rsidR="00947941" w:rsidRPr="00062B4F">
        <w:rPr>
          <w:i/>
          <w:iCs/>
          <w:szCs w:val="24"/>
          <w:lang w:eastAsia="ru-RU"/>
        </w:rPr>
        <w:instrText>":"</w:instrText>
      </w:r>
      <w:r w:rsidR="00947941" w:rsidRPr="00062B4F">
        <w:rPr>
          <w:i/>
          <w:iCs/>
          <w:szCs w:val="24"/>
          <w:lang w:val="en-US" w:eastAsia="ru-RU"/>
        </w:rPr>
        <w:instrText>H</w:instrText>
      </w:r>
      <w:r w:rsidR="00947941" w:rsidRPr="00062B4F">
        <w:rPr>
          <w:i/>
          <w:iCs/>
          <w:szCs w:val="24"/>
          <w:lang w:eastAsia="ru-RU"/>
        </w:rPr>
        <w:instrText xml:space="preserve">. </w:instrText>
      </w:r>
      <w:r w:rsidR="00947941" w:rsidRPr="00062B4F">
        <w:rPr>
          <w:i/>
          <w:iCs/>
          <w:szCs w:val="24"/>
          <w:lang w:val="en-US" w:eastAsia="ru-RU"/>
        </w:rPr>
        <w:instrText>J</w:instrText>
      </w:r>
      <w:r w:rsidR="00947941" w:rsidRPr="00062B4F">
        <w:rPr>
          <w:i/>
          <w:iCs/>
          <w:szCs w:val="24"/>
          <w:lang w:eastAsia="ru-RU"/>
        </w:rPr>
        <w:instrText>.","</w:instrText>
      </w:r>
      <w:r w:rsidR="00947941" w:rsidRPr="00062B4F">
        <w:rPr>
          <w:i/>
          <w:iCs/>
          <w:szCs w:val="24"/>
          <w:lang w:val="en-US" w:eastAsia="ru-RU"/>
        </w:rPr>
        <w:instrText>non</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parse</w:instrText>
      </w:r>
      <w:r w:rsidR="00947941" w:rsidRPr="00062B4F">
        <w:rPr>
          <w:i/>
          <w:iCs/>
          <w:szCs w:val="24"/>
          <w:lang w:eastAsia="ru-RU"/>
        </w:rPr>
        <w:instrText>-</w:instrText>
      </w:r>
      <w:r w:rsidR="00947941" w:rsidRPr="00062B4F">
        <w:rPr>
          <w:i/>
          <w:iCs/>
          <w:szCs w:val="24"/>
          <w:lang w:val="en-US" w:eastAsia="ru-RU"/>
        </w:rPr>
        <w:instrText>names</w:instrText>
      </w:r>
      <w:r w:rsidR="00947941" w:rsidRPr="00062B4F">
        <w:rPr>
          <w:i/>
          <w:iCs/>
          <w:szCs w:val="24"/>
          <w:lang w:eastAsia="ru-RU"/>
        </w:rPr>
        <w:instrText>":</w:instrText>
      </w:r>
      <w:r w:rsidR="00947941" w:rsidRPr="00062B4F">
        <w:rPr>
          <w:i/>
          <w:iCs/>
          <w:szCs w:val="24"/>
          <w:lang w:val="en-US" w:eastAsia="ru-RU"/>
        </w:rPr>
        <w:instrText>false</w:instrText>
      </w:r>
      <w:r w:rsidR="00947941" w:rsidRPr="00062B4F">
        <w:rPr>
          <w:i/>
          <w:iCs/>
          <w:szCs w:val="24"/>
          <w:lang w:eastAsia="ru-RU"/>
        </w:rPr>
        <w:instrText>,"</w:instrText>
      </w:r>
      <w:r w:rsidR="00947941" w:rsidRPr="00062B4F">
        <w:rPr>
          <w:i/>
          <w:iCs/>
          <w:szCs w:val="24"/>
          <w:lang w:val="en-US" w:eastAsia="ru-RU"/>
        </w:rPr>
        <w:instrText>suffix</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family</w:instrText>
      </w:r>
      <w:r w:rsidR="00947941" w:rsidRPr="00062B4F">
        <w:rPr>
          <w:i/>
          <w:iCs/>
          <w:szCs w:val="24"/>
          <w:lang w:eastAsia="ru-RU"/>
        </w:rPr>
        <w:instrText>":"</w:instrText>
      </w:r>
      <w:r w:rsidR="00947941" w:rsidRPr="00062B4F">
        <w:rPr>
          <w:i/>
          <w:iCs/>
          <w:szCs w:val="24"/>
          <w:lang w:val="en-US" w:eastAsia="ru-RU"/>
        </w:rPr>
        <w:instrText>Khoroshko</w:instrText>
      </w:r>
      <w:r w:rsidR="00947941" w:rsidRPr="00062B4F">
        <w:rPr>
          <w:i/>
          <w:iCs/>
          <w:szCs w:val="24"/>
          <w:lang w:eastAsia="ru-RU"/>
        </w:rPr>
        <w:instrText>","</w:instrText>
      </w:r>
      <w:r w:rsidR="00947941" w:rsidRPr="00062B4F">
        <w:rPr>
          <w:i/>
          <w:iCs/>
          <w:szCs w:val="24"/>
          <w:lang w:val="en-US" w:eastAsia="ru-RU"/>
        </w:rPr>
        <w:instrText>given</w:instrText>
      </w:r>
      <w:r w:rsidR="00947941" w:rsidRPr="00062B4F">
        <w:rPr>
          <w:i/>
          <w:iCs/>
          <w:szCs w:val="24"/>
          <w:lang w:eastAsia="ru-RU"/>
        </w:rPr>
        <w:instrText>":"</w:instrText>
      </w:r>
      <w:r w:rsidR="00947941" w:rsidRPr="00062B4F">
        <w:rPr>
          <w:i/>
          <w:iCs/>
          <w:szCs w:val="24"/>
          <w:lang w:val="en-US" w:eastAsia="ru-RU"/>
        </w:rPr>
        <w:instrText>N</w:instrText>
      </w:r>
      <w:r w:rsidR="00947941" w:rsidRPr="00062B4F">
        <w:rPr>
          <w:i/>
          <w:iCs/>
          <w:szCs w:val="24"/>
          <w:lang w:eastAsia="ru-RU"/>
        </w:rPr>
        <w:instrText>.","</w:instrText>
      </w:r>
      <w:r w:rsidR="00947941" w:rsidRPr="00062B4F">
        <w:rPr>
          <w:i/>
          <w:iCs/>
          <w:szCs w:val="24"/>
          <w:lang w:val="en-US" w:eastAsia="ru-RU"/>
        </w:rPr>
        <w:instrText>non</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parse</w:instrText>
      </w:r>
      <w:r w:rsidR="00947941" w:rsidRPr="00062B4F">
        <w:rPr>
          <w:i/>
          <w:iCs/>
          <w:szCs w:val="24"/>
          <w:lang w:eastAsia="ru-RU"/>
        </w:rPr>
        <w:instrText>-</w:instrText>
      </w:r>
      <w:r w:rsidR="00947941" w:rsidRPr="00062B4F">
        <w:rPr>
          <w:i/>
          <w:iCs/>
          <w:szCs w:val="24"/>
          <w:lang w:val="en-US" w:eastAsia="ru-RU"/>
        </w:rPr>
        <w:instrText>names</w:instrText>
      </w:r>
      <w:r w:rsidR="00947941" w:rsidRPr="00062B4F">
        <w:rPr>
          <w:i/>
          <w:iCs/>
          <w:szCs w:val="24"/>
          <w:lang w:eastAsia="ru-RU"/>
        </w:rPr>
        <w:instrText>":</w:instrText>
      </w:r>
      <w:r w:rsidR="00947941" w:rsidRPr="00062B4F">
        <w:rPr>
          <w:i/>
          <w:iCs/>
          <w:szCs w:val="24"/>
          <w:lang w:val="en-US" w:eastAsia="ru-RU"/>
        </w:rPr>
        <w:instrText>false</w:instrText>
      </w:r>
      <w:r w:rsidR="00947941" w:rsidRPr="00062B4F">
        <w:rPr>
          <w:i/>
          <w:iCs/>
          <w:szCs w:val="24"/>
          <w:lang w:eastAsia="ru-RU"/>
        </w:rPr>
        <w:instrText>,"</w:instrText>
      </w:r>
      <w:r w:rsidR="00947941" w:rsidRPr="00062B4F">
        <w:rPr>
          <w:i/>
          <w:iCs/>
          <w:szCs w:val="24"/>
          <w:lang w:val="en-US" w:eastAsia="ru-RU"/>
        </w:rPr>
        <w:instrText>suffix</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family</w:instrText>
      </w:r>
      <w:r w:rsidR="00947941" w:rsidRPr="00062B4F">
        <w:rPr>
          <w:i/>
          <w:iCs/>
          <w:szCs w:val="24"/>
          <w:lang w:eastAsia="ru-RU"/>
        </w:rPr>
        <w:instrText>":"</w:instrText>
      </w:r>
      <w:r w:rsidR="00947941" w:rsidRPr="00062B4F">
        <w:rPr>
          <w:i/>
          <w:iCs/>
          <w:szCs w:val="24"/>
          <w:lang w:val="en-US" w:eastAsia="ru-RU"/>
        </w:rPr>
        <w:instrText>Bradley</w:instrText>
      </w:r>
      <w:r w:rsidR="00947941" w:rsidRPr="00062B4F">
        <w:rPr>
          <w:i/>
          <w:iCs/>
          <w:szCs w:val="24"/>
          <w:lang w:eastAsia="ru-RU"/>
        </w:rPr>
        <w:instrText>-</w:instrText>
      </w:r>
      <w:r w:rsidR="00947941" w:rsidRPr="00062B4F">
        <w:rPr>
          <w:i/>
          <w:iCs/>
          <w:szCs w:val="24"/>
          <w:lang w:val="en-US" w:eastAsia="ru-RU"/>
        </w:rPr>
        <w:instrText>Garelik</w:instrText>
      </w:r>
      <w:r w:rsidR="00947941" w:rsidRPr="00062B4F">
        <w:rPr>
          <w:i/>
          <w:iCs/>
          <w:szCs w:val="24"/>
          <w:lang w:eastAsia="ru-RU"/>
        </w:rPr>
        <w:instrText>","</w:instrText>
      </w:r>
      <w:r w:rsidR="00947941" w:rsidRPr="00062B4F">
        <w:rPr>
          <w:i/>
          <w:iCs/>
          <w:szCs w:val="24"/>
          <w:lang w:val="en-US" w:eastAsia="ru-RU"/>
        </w:rPr>
        <w:instrText>given</w:instrText>
      </w:r>
      <w:r w:rsidR="00947941" w:rsidRPr="00062B4F">
        <w:rPr>
          <w:i/>
          <w:iCs/>
          <w:szCs w:val="24"/>
          <w:lang w:eastAsia="ru-RU"/>
        </w:rPr>
        <w:instrText>":"</w:instrText>
      </w:r>
      <w:r w:rsidR="00947941" w:rsidRPr="00062B4F">
        <w:rPr>
          <w:i/>
          <w:iCs/>
          <w:szCs w:val="24"/>
          <w:lang w:val="en-US" w:eastAsia="ru-RU"/>
        </w:rPr>
        <w:instrText>M</w:instrText>
      </w:r>
      <w:r w:rsidR="00947941" w:rsidRPr="00062B4F">
        <w:rPr>
          <w:i/>
          <w:iCs/>
          <w:szCs w:val="24"/>
          <w:lang w:eastAsia="ru-RU"/>
        </w:rPr>
        <w:instrText xml:space="preserve">. </w:instrText>
      </w:r>
      <w:r w:rsidR="00947941" w:rsidRPr="00062B4F">
        <w:rPr>
          <w:i/>
          <w:iCs/>
          <w:szCs w:val="24"/>
          <w:lang w:val="en-US" w:eastAsia="ru-RU"/>
        </w:rPr>
        <w:instrText>B</w:instrText>
      </w:r>
      <w:r w:rsidR="00947941" w:rsidRPr="00062B4F">
        <w:rPr>
          <w:i/>
          <w:iCs/>
          <w:szCs w:val="24"/>
          <w:lang w:eastAsia="ru-RU"/>
        </w:rPr>
        <w:instrText>.","</w:instrText>
      </w:r>
      <w:r w:rsidR="00947941" w:rsidRPr="00062B4F">
        <w:rPr>
          <w:i/>
          <w:iCs/>
          <w:szCs w:val="24"/>
          <w:lang w:val="en-US" w:eastAsia="ru-RU"/>
        </w:rPr>
        <w:instrText>non</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parse</w:instrText>
      </w:r>
      <w:r w:rsidR="00947941" w:rsidRPr="00062B4F">
        <w:rPr>
          <w:i/>
          <w:iCs/>
          <w:szCs w:val="24"/>
          <w:lang w:eastAsia="ru-RU"/>
        </w:rPr>
        <w:instrText>-</w:instrText>
      </w:r>
      <w:r w:rsidR="00947941" w:rsidRPr="00062B4F">
        <w:rPr>
          <w:i/>
          <w:iCs/>
          <w:szCs w:val="24"/>
          <w:lang w:val="en-US" w:eastAsia="ru-RU"/>
        </w:rPr>
        <w:instrText>names</w:instrText>
      </w:r>
      <w:r w:rsidR="00947941" w:rsidRPr="00062B4F">
        <w:rPr>
          <w:i/>
          <w:iCs/>
          <w:szCs w:val="24"/>
          <w:lang w:eastAsia="ru-RU"/>
        </w:rPr>
        <w:instrText>":</w:instrText>
      </w:r>
      <w:r w:rsidR="00947941" w:rsidRPr="00062B4F">
        <w:rPr>
          <w:i/>
          <w:iCs/>
          <w:szCs w:val="24"/>
          <w:lang w:val="en-US" w:eastAsia="ru-RU"/>
        </w:rPr>
        <w:instrText>false</w:instrText>
      </w:r>
      <w:r w:rsidR="00947941" w:rsidRPr="00062B4F">
        <w:rPr>
          <w:i/>
          <w:iCs/>
          <w:szCs w:val="24"/>
          <w:lang w:eastAsia="ru-RU"/>
        </w:rPr>
        <w:instrText>,"</w:instrText>
      </w:r>
      <w:r w:rsidR="00947941" w:rsidRPr="00062B4F">
        <w:rPr>
          <w:i/>
          <w:iCs/>
          <w:szCs w:val="24"/>
          <w:lang w:val="en-US" w:eastAsia="ru-RU"/>
        </w:rPr>
        <w:instrText>suffix</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family</w:instrText>
      </w:r>
      <w:r w:rsidR="00947941" w:rsidRPr="00062B4F">
        <w:rPr>
          <w:i/>
          <w:iCs/>
          <w:szCs w:val="24"/>
          <w:lang w:eastAsia="ru-RU"/>
        </w:rPr>
        <w:instrText>":"</w:instrText>
      </w:r>
      <w:r w:rsidR="00947941" w:rsidRPr="00062B4F">
        <w:rPr>
          <w:i/>
          <w:iCs/>
          <w:szCs w:val="24"/>
          <w:lang w:val="en-US" w:eastAsia="ru-RU"/>
        </w:rPr>
        <w:instrText>Zhu</w:instrText>
      </w:r>
      <w:r w:rsidR="00947941" w:rsidRPr="00062B4F">
        <w:rPr>
          <w:i/>
          <w:iCs/>
          <w:szCs w:val="24"/>
          <w:lang w:eastAsia="ru-RU"/>
        </w:rPr>
        <w:instrText>","</w:instrText>
      </w:r>
      <w:r w:rsidR="00947941" w:rsidRPr="00062B4F">
        <w:rPr>
          <w:i/>
          <w:iCs/>
          <w:szCs w:val="24"/>
          <w:lang w:val="en-US" w:eastAsia="ru-RU"/>
        </w:rPr>
        <w:instrText>given</w:instrText>
      </w:r>
      <w:r w:rsidR="00947941" w:rsidRPr="00062B4F">
        <w:rPr>
          <w:i/>
          <w:iCs/>
          <w:szCs w:val="24"/>
          <w:lang w:eastAsia="ru-RU"/>
        </w:rPr>
        <w:instrText>":"</w:instrText>
      </w:r>
      <w:r w:rsidR="00947941" w:rsidRPr="00062B4F">
        <w:rPr>
          <w:i/>
          <w:iCs/>
          <w:szCs w:val="24"/>
          <w:lang w:val="en-US" w:eastAsia="ru-RU"/>
        </w:rPr>
        <w:instrText>C</w:instrText>
      </w:r>
      <w:r w:rsidR="00947941" w:rsidRPr="00062B4F">
        <w:rPr>
          <w:i/>
          <w:iCs/>
          <w:szCs w:val="24"/>
          <w:lang w:eastAsia="ru-RU"/>
        </w:rPr>
        <w:instrText>.","</w:instrText>
      </w:r>
      <w:r w:rsidR="00947941" w:rsidRPr="00062B4F">
        <w:rPr>
          <w:i/>
          <w:iCs/>
          <w:szCs w:val="24"/>
          <w:lang w:val="en-US" w:eastAsia="ru-RU"/>
        </w:rPr>
        <w:instrText>non</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parse</w:instrText>
      </w:r>
      <w:r w:rsidR="00947941" w:rsidRPr="00062B4F">
        <w:rPr>
          <w:i/>
          <w:iCs/>
          <w:szCs w:val="24"/>
          <w:lang w:eastAsia="ru-RU"/>
        </w:rPr>
        <w:instrText>-</w:instrText>
      </w:r>
      <w:r w:rsidR="00947941" w:rsidRPr="00062B4F">
        <w:rPr>
          <w:i/>
          <w:iCs/>
          <w:szCs w:val="24"/>
          <w:lang w:val="en-US" w:eastAsia="ru-RU"/>
        </w:rPr>
        <w:instrText>names</w:instrText>
      </w:r>
      <w:r w:rsidR="00947941" w:rsidRPr="00062B4F">
        <w:rPr>
          <w:i/>
          <w:iCs/>
          <w:szCs w:val="24"/>
          <w:lang w:eastAsia="ru-RU"/>
        </w:rPr>
        <w:instrText>":</w:instrText>
      </w:r>
      <w:r w:rsidR="00947941" w:rsidRPr="00062B4F">
        <w:rPr>
          <w:i/>
          <w:iCs/>
          <w:szCs w:val="24"/>
          <w:lang w:val="en-US" w:eastAsia="ru-RU"/>
        </w:rPr>
        <w:instrText>false</w:instrText>
      </w:r>
      <w:r w:rsidR="00947941" w:rsidRPr="00062B4F">
        <w:rPr>
          <w:i/>
          <w:iCs/>
          <w:szCs w:val="24"/>
          <w:lang w:eastAsia="ru-RU"/>
        </w:rPr>
        <w:instrText>,"</w:instrText>
      </w:r>
      <w:r w:rsidR="00947941" w:rsidRPr="00062B4F">
        <w:rPr>
          <w:i/>
          <w:iCs/>
          <w:szCs w:val="24"/>
          <w:lang w:val="en-US" w:eastAsia="ru-RU"/>
        </w:rPr>
        <w:instrText>suffix</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family</w:instrText>
      </w:r>
      <w:r w:rsidR="00947941" w:rsidRPr="00062B4F">
        <w:rPr>
          <w:i/>
          <w:iCs/>
          <w:szCs w:val="24"/>
          <w:lang w:eastAsia="ru-RU"/>
        </w:rPr>
        <w:instrText>":"</w:instrText>
      </w:r>
      <w:r w:rsidR="00947941" w:rsidRPr="00062B4F">
        <w:rPr>
          <w:i/>
          <w:iCs/>
          <w:szCs w:val="24"/>
          <w:lang w:val="en-US" w:eastAsia="ru-RU"/>
        </w:rPr>
        <w:instrText>Tallman</w:instrText>
      </w:r>
      <w:r w:rsidR="00947941" w:rsidRPr="00062B4F">
        <w:rPr>
          <w:i/>
          <w:iCs/>
          <w:szCs w:val="24"/>
          <w:lang w:eastAsia="ru-RU"/>
        </w:rPr>
        <w:instrText>","</w:instrText>
      </w:r>
      <w:r w:rsidR="00947941" w:rsidRPr="00062B4F">
        <w:rPr>
          <w:i/>
          <w:iCs/>
          <w:szCs w:val="24"/>
          <w:lang w:val="en-US" w:eastAsia="ru-RU"/>
        </w:rPr>
        <w:instrText>given</w:instrText>
      </w:r>
      <w:r w:rsidR="00947941" w:rsidRPr="00062B4F">
        <w:rPr>
          <w:i/>
          <w:iCs/>
          <w:szCs w:val="24"/>
          <w:lang w:eastAsia="ru-RU"/>
        </w:rPr>
        <w:instrText>":"</w:instrText>
      </w:r>
      <w:r w:rsidR="00947941" w:rsidRPr="00062B4F">
        <w:rPr>
          <w:i/>
          <w:iCs/>
          <w:szCs w:val="24"/>
          <w:lang w:val="en-US" w:eastAsia="ru-RU"/>
        </w:rPr>
        <w:instrText>M</w:instrText>
      </w:r>
      <w:r w:rsidR="00947941" w:rsidRPr="00062B4F">
        <w:rPr>
          <w:i/>
          <w:iCs/>
          <w:szCs w:val="24"/>
          <w:lang w:eastAsia="ru-RU"/>
        </w:rPr>
        <w:instrText xml:space="preserve">. </w:instrText>
      </w:r>
      <w:r w:rsidR="00947941" w:rsidRPr="00062B4F">
        <w:rPr>
          <w:i/>
          <w:iCs/>
          <w:szCs w:val="24"/>
          <w:lang w:val="en-US" w:eastAsia="ru-RU"/>
        </w:rPr>
        <w:instrText>S</w:instrText>
      </w:r>
      <w:r w:rsidR="00947941" w:rsidRPr="00062B4F">
        <w:rPr>
          <w:i/>
          <w:iCs/>
          <w:szCs w:val="24"/>
          <w:lang w:eastAsia="ru-RU"/>
        </w:rPr>
        <w:instrText>.","</w:instrText>
      </w:r>
      <w:r w:rsidR="00947941" w:rsidRPr="00062B4F">
        <w:rPr>
          <w:i/>
          <w:iCs/>
          <w:szCs w:val="24"/>
          <w:lang w:val="en-US" w:eastAsia="ru-RU"/>
        </w:rPr>
        <w:instrText>non</w:instrText>
      </w:r>
      <w:r w:rsidR="00947941" w:rsidRPr="00062B4F">
        <w:rPr>
          <w:i/>
          <w:iCs/>
          <w:szCs w:val="24"/>
          <w:lang w:eastAsia="ru-RU"/>
        </w:rPr>
        <w:instrText>-</w:instrText>
      </w:r>
      <w:r w:rsidR="00947941" w:rsidRPr="00062B4F">
        <w:rPr>
          <w:i/>
          <w:iCs/>
          <w:szCs w:val="24"/>
          <w:lang w:val="en-US" w:eastAsia="ru-RU"/>
        </w:rPr>
        <w:instrText>dropping</w:instrText>
      </w:r>
      <w:r w:rsidR="00947941" w:rsidRPr="00062B4F">
        <w:rPr>
          <w:i/>
          <w:iCs/>
          <w:szCs w:val="24"/>
          <w:lang w:eastAsia="ru-RU"/>
        </w:rPr>
        <w:instrText>-</w:instrText>
      </w:r>
      <w:r w:rsidR="00947941" w:rsidRPr="00062B4F">
        <w:rPr>
          <w:i/>
          <w:iCs/>
          <w:szCs w:val="24"/>
          <w:lang w:val="en-US" w:eastAsia="ru-RU"/>
        </w:rPr>
        <w:instrText>particle</w:instrText>
      </w:r>
      <w:r w:rsidR="00947941" w:rsidRPr="00062B4F">
        <w:rPr>
          <w:i/>
          <w:iCs/>
          <w:szCs w:val="24"/>
          <w:lang w:eastAsia="ru-RU"/>
        </w:rPr>
        <w:instrText>":"","</w:instrText>
      </w:r>
      <w:r w:rsidR="00947941" w:rsidRPr="00062B4F">
        <w:rPr>
          <w:i/>
          <w:iCs/>
          <w:szCs w:val="24"/>
          <w:lang w:val="en-US" w:eastAsia="ru-RU"/>
        </w:rPr>
        <w:instrText>parse</w:instrText>
      </w:r>
      <w:r w:rsidR="00947941" w:rsidRPr="00062B4F">
        <w:rPr>
          <w:i/>
          <w:iCs/>
          <w:szCs w:val="24"/>
          <w:lang w:eastAsia="ru-RU"/>
        </w:rPr>
        <w:instrText>-</w:instrText>
      </w:r>
      <w:r w:rsidR="00947941" w:rsidRPr="00062B4F">
        <w:rPr>
          <w:i/>
          <w:iCs/>
          <w:szCs w:val="24"/>
          <w:lang w:val="en-US" w:eastAsia="ru-RU"/>
        </w:rPr>
        <w:instrText>names</w:instrText>
      </w:r>
      <w:r w:rsidR="00947941" w:rsidRPr="00062B4F">
        <w:rPr>
          <w:i/>
          <w:iCs/>
          <w:szCs w:val="24"/>
          <w:lang w:eastAsia="ru-RU"/>
        </w:rPr>
        <w:instrText>":</w:instrText>
      </w:r>
      <w:r w:rsidR="00947941" w:rsidRPr="00062B4F">
        <w:rPr>
          <w:i/>
          <w:iCs/>
          <w:szCs w:val="24"/>
          <w:lang w:val="en-US" w:eastAsia="ru-RU"/>
        </w:rPr>
        <w:instrText>false</w:instrText>
      </w:r>
      <w:r w:rsidR="00947941" w:rsidRPr="00062B4F">
        <w:rPr>
          <w:i/>
          <w:iCs/>
          <w:szCs w:val="24"/>
          <w:lang w:eastAsia="ru-RU"/>
        </w:rPr>
        <w:instrText>,"</w:instrText>
      </w:r>
      <w:r w:rsidR="00947941" w:rsidRPr="00062B4F">
        <w:rPr>
          <w:i/>
          <w:iCs/>
          <w:szCs w:val="24"/>
          <w:lang w:val="en-US" w:eastAsia="ru-RU"/>
        </w:rPr>
        <w:instrText>suffix</w:instrText>
      </w:r>
      <w:r w:rsidR="00947941" w:rsidRPr="00062B4F">
        <w:rPr>
          <w:i/>
          <w:iCs/>
          <w:szCs w:val="24"/>
          <w:lang w:eastAsia="ru-RU"/>
        </w:rPr>
        <w:instrText>":""}],"</w:instrText>
      </w:r>
      <w:r w:rsidR="00947941" w:rsidRPr="00062B4F">
        <w:rPr>
          <w:i/>
          <w:iCs/>
          <w:szCs w:val="24"/>
          <w:lang w:val="en-US" w:eastAsia="ru-RU"/>
        </w:rPr>
        <w:instrText>container</w:instrText>
      </w:r>
      <w:r w:rsidR="00947941" w:rsidRPr="00062B4F">
        <w:rPr>
          <w:i/>
          <w:iCs/>
          <w:szCs w:val="24"/>
          <w:lang w:eastAsia="ru-RU"/>
        </w:rPr>
        <w:instrText>-</w:instrText>
      </w:r>
      <w:r w:rsidR="00947941" w:rsidRPr="00062B4F">
        <w:rPr>
          <w:i/>
          <w:iCs/>
          <w:szCs w:val="24"/>
          <w:lang w:val="en-US" w:eastAsia="ru-RU"/>
        </w:rPr>
        <w:instrText>title</w:instrText>
      </w:r>
      <w:r w:rsidR="00947941" w:rsidRPr="00062B4F">
        <w:rPr>
          <w:i/>
          <w:iCs/>
          <w:szCs w:val="24"/>
          <w:lang w:eastAsia="ru-RU"/>
        </w:rPr>
        <w:instrText>":"</w:instrText>
      </w:r>
      <w:r w:rsidR="00947941" w:rsidRPr="00062B4F">
        <w:rPr>
          <w:i/>
          <w:iCs/>
          <w:szCs w:val="24"/>
          <w:lang w:val="en-US" w:eastAsia="ru-RU"/>
        </w:rPr>
        <w:instrText>Blood</w:instrText>
      </w:r>
      <w:r w:rsidR="00947941" w:rsidRPr="00062B4F">
        <w:rPr>
          <w:i/>
          <w:iCs/>
          <w:szCs w:val="24"/>
          <w:lang w:eastAsia="ru-RU"/>
        </w:rPr>
        <w:instrText>","</w:instrText>
      </w:r>
      <w:r w:rsidR="00947941" w:rsidRPr="00062B4F">
        <w:rPr>
          <w:i/>
          <w:iCs/>
          <w:szCs w:val="24"/>
          <w:lang w:val="en-US" w:eastAsia="ru-RU"/>
        </w:rPr>
        <w:instrText>id</w:instrText>
      </w:r>
      <w:r w:rsidR="00947941" w:rsidRPr="00062B4F">
        <w:rPr>
          <w:i/>
          <w:iCs/>
          <w:szCs w:val="24"/>
          <w:lang w:eastAsia="ru-RU"/>
        </w:rPr>
        <w:instrText>":"</w:instrText>
      </w:r>
      <w:r w:rsidR="00947941" w:rsidRPr="00062B4F">
        <w:rPr>
          <w:i/>
          <w:iCs/>
          <w:szCs w:val="24"/>
          <w:lang w:val="en-US" w:eastAsia="ru-RU"/>
        </w:rPr>
        <w:instrText>ITEM</w:instrText>
      </w:r>
      <w:r w:rsidR="00947941" w:rsidRPr="00062B4F">
        <w:rPr>
          <w:i/>
          <w:iCs/>
          <w:szCs w:val="24"/>
          <w:lang w:eastAsia="ru-RU"/>
        </w:rPr>
        <w:instrText>-1","</w:instrText>
      </w:r>
      <w:r w:rsidR="00947941" w:rsidRPr="00062B4F">
        <w:rPr>
          <w:i/>
          <w:iCs/>
          <w:szCs w:val="24"/>
          <w:lang w:val="en-US" w:eastAsia="ru-RU"/>
        </w:rPr>
        <w:instrText>issue</w:instrText>
      </w:r>
      <w:r w:rsidR="00947941" w:rsidRPr="00062B4F">
        <w:rPr>
          <w:i/>
          <w:iCs/>
          <w:szCs w:val="24"/>
          <w:lang w:eastAsia="ru-RU"/>
        </w:rPr>
        <w:instrText>":"25","</w:instrText>
      </w:r>
      <w:r w:rsidR="00947941" w:rsidRPr="00062B4F">
        <w:rPr>
          <w:i/>
          <w:iCs/>
          <w:szCs w:val="24"/>
          <w:lang w:val="en-US" w:eastAsia="ru-RU"/>
        </w:rPr>
        <w:instrText>issued</w:instrText>
      </w:r>
      <w:r w:rsidR="00947941" w:rsidRPr="00062B4F">
        <w:rPr>
          <w:i/>
          <w:iCs/>
          <w:szCs w:val="24"/>
          <w:lang w:eastAsia="ru-RU"/>
        </w:rPr>
        <w:instrText>":{"</w:instrText>
      </w:r>
      <w:r w:rsidR="00947941" w:rsidRPr="00062B4F">
        <w:rPr>
          <w:i/>
          <w:iCs/>
          <w:szCs w:val="24"/>
          <w:lang w:val="en-US" w:eastAsia="ru-RU"/>
        </w:rPr>
        <w:instrText>date</w:instrText>
      </w:r>
      <w:r w:rsidR="00947941" w:rsidRPr="00062B4F">
        <w:rPr>
          <w:i/>
          <w:iCs/>
          <w:szCs w:val="24"/>
          <w:lang w:eastAsia="ru-RU"/>
        </w:rPr>
        <w:instrText>-</w:instrText>
      </w:r>
      <w:r w:rsidR="00947941" w:rsidRPr="00062B4F">
        <w:rPr>
          <w:i/>
          <w:iCs/>
          <w:szCs w:val="24"/>
          <w:lang w:val="en-US" w:eastAsia="ru-RU"/>
        </w:rPr>
        <w:instrText>parts</w:instrText>
      </w:r>
      <w:r w:rsidR="00947941" w:rsidRPr="00062B4F">
        <w:rPr>
          <w:i/>
          <w:iCs/>
          <w:szCs w:val="24"/>
          <w:lang w:eastAsia="ru-RU"/>
        </w:rPr>
        <w:instrText>":[["2009","6"]]},"</w:instrText>
      </w:r>
      <w:r w:rsidR="00947941" w:rsidRPr="00062B4F">
        <w:rPr>
          <w:i/>
          <w:iCs/>
          <w:szCs w:val="24"/>
          <w:lang w:val="en-US" w:eastAsia="ru-RU"/>
        </w:rPr>
        <w:instrText>page</w:instrText>
      </w:r>
      <w:r w:rsidR="00947941" w:rsidRPr="00062B4F">
        <w:rPr>
          <w:i/>
          <w:iCs/>
          <w:szCs w:val="24"/>
          <w:lang w:eastAsia="ru-RU"/>
        </w:rPr>
        <w:instrText>":"6322-6329","</w:instrText>
      </w:r>
      <w:r w:rsidR="00947941" w:rsidRPr="00062B4F">
        <w:rPr>
          <w:i/>
          <w:iCs/>
          <w:szCs w:val="24"/>
          <w:lang w:val="en-US" w:eastAsia="ru-RU"/>
        </w:rPr>
        <w:instrText>title</w:instrText>
      </w:r>
      <w:r w:rsidR="00947941" w:rsidRPr="00062B4F">
        <w:rPr>
          <w:i/>
          <w:iCs/>
          <w:szCs w:val="24"/>
          <w:lang w:eastAsia="ru-RU"/>
        </w:rPr>
        <w:instrText>":"</w:instrText>
      </w:r>
      <w:r w:rsidR="00947941" w:rsidRPr="00062B4F">
        <w:rPr>
          <w:i/>
          <w:iCs/>
          <w:szCs w:val="24"/>
          <w:lang w:val="en-US" w:eastAsia="ru-RU"/>
        </w:rPr>
        <w:instrText>Phase</w:instrText>
      </w:r>
      <w:r w:rsidR="00947941" w:rsidRPr="00062B4F">
        <w:rPr>
          <w:i/>
          <w:iCs/>
          <w:szCs w:val="24"/>
          <w:lang w:eastAsia="ru-RU"/>
        </w:rPr>
        <w:instrText xml:space="preserve"> 3 </w:instrText>
      </w:r>
      <w:r w:rsidR="00947941" w:rsidRPr="00062B4F">
        <w:rPr>
          <w:i/>
          <w:iCs/>
          <w:szCs w:val="24"/>
          <w:lang w:val="en-US" w:eastAsia="ru-RU"/>
        </w:rPr>
        <w:instrText>study</w:instrText>
      </w:r>
      <w:r w:rsidR="00947941" w:rsidRPr="00062B4F">
        <w:rPr>
          <w:i/>
          <w:iCs/>
          <w:szCs w:val="24"/>
          <w:lang w:eastAsia="ru-RU"/>
        </w:rPr>
        <w:instrText xml:space="preserve"> </w:instrText>
      </w:r>
      <w:r w:rsidR="00947941" w:rsidRPr="00062B4F">
        <w:rPr>
          <w:i/>
          <w:iCs/>
          <w:szCs w:val="24"/>
          <w:lang w:val="en-US" w:eastAsia="ru-RU"/>
        </w:rPr>
        <w:instrText>of</w:instrText>
      </w:r>
      <w:r w:rsidR="00947941" w:rsidRPr="00062B4F">
        <w:rPr>
          <w:i/>
          <w:iCs/>
          <w:szCs w:val="24"/>
          <w:lang w:eastAsia="ru-RU"/>
        </w:rPr>
        <w:instrText xml:space="preserve"> </w:instrText>
      </w:r>
      <w:r w:rsidR="00947941" w:rsidRPr="00062B4F">
        <w:rPr>
          <w:i/>
          <w:iCs/>
          <w:szCs w:val="24"/>
          <w:lang w:val="en-US" w:eastAsia="ru-RU"/>
        </w:rPr>
        <w:instrText>dasatinib</w:instrText>
      </w:r>
      <w:r w:rsidR="00947941" w:rsidRPr="00062B4F">
        <w:rPr>
          <w:i/>
          <w:iCs/>
          <w:szCs w:val="24"/>
          <w:lang w:eastAsia="ru-RU"/>
        </w:rPr>
        <w:instrText xml:space="preserve"> 140 </w:instrText>
      </w:r>
      <w:r w:rsidR="00947941" w:rsidRPr="00062B4F">
        <w:rPr>
          <w:i/>
          <w:iCs/>
          <w:szCs w:val="24"/>
          <w:lang w:val="en-US" w:eastAsia="ru-RU"/>
        </w:rPr>
        <w:instrText>mg</w:instrText>
      </w:r>
      <w:r w:rsidR="00947941" w:rsidRPr="00062B4F">
        <w:rPr>
          <w:i/>
          <w:iCs/>
          <w:szCs w:val="24"/>
          <w:lang w:eastAsia="ru-RU"/>
        </w:rPr>
        <w:instrText xml:space="preserve"> </w:instrText>
      </w:r>
      <w:r w:rsidR="00947941" w:rsidRPr="00062B4F">
        <w:rPr>
          <w:i/>
          <w:iCs/>
          <w:szCs w:val="24"/>
          <w:lang w:val="en-US" w:eastAsia="ru-RU"/>
        </w:rPr>
        <w:instrText>once</w:instrText>
      </w:r>
      <w:r w:rsidR="00947941" w:rsidRPr="00062B4F">
        <w:rPr>
          <w:i/>
          <w:iCs/>
          <w:szCs w:val="24"/>
          <w:lang w:eastAsia="ru-RU"/>
        </w:rPr>
        <w:instrText xml:space="preserve"> </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versus</w:instrText>
      </w:r>
      <w:r w:rsidR="00947941" w:rsidRPr="00062B4F">
        <w:rPr>
          <w:i/>
          <w:iCs/>
          <w:szCs w:val="24"/>
          <w:lang w:eastAsia="ru-RU"/>
        </w:rPr>
        <w:instrText xml:space="preserve"> 70 </w:instrText>
      </w:r>
      <w:r w:rsidR="00947941" w:rsidRPr="00062B4F">
        <w:rPr>
          <w:i/>
          <w:iCs/>
          <w:szCs w:val="24"/>
          <w:lang w:val="en-US" w:eastAsia="ru-RU"/>
        </w:rPr>
        <w:instrText>mg</w:instrText>
      </w:r>
      <w:r w:rsidR="00947941" w:rsidRPr="00062B4F">
        <w:rPr>
          <w:i/>
          <w:iCs/>
          <w:szCs w:val="24"/>
          <w:lang w:eastAsia="ru-RU"/>
        </w:rPr>
        <w:instrText xml:space="preserve"> </w:instrText>
      </w:r>
      <w:r w:rsidR="00947941" w:rsidRPr="00062B4F">
        <w:rPr>
          <w:i/>
          <w:iCs/>
          <w:szCs w:val="24"/>
          <w:lang w:val="en-US" w:eastAsia="ru-RU"/>
        </w:rPr>
        <w:instrText>twice</w:instrText>
      </w:r>
      <w:r w:rsidR="00947941" w:rsidRPr="00062B4F">
        <w:rPr>
          <w:i/>
          <w:iCs/>
          <w:szCs w:val="24"/>
          <w:lang w:eastAsia="ru-RU"/>
        </w:rPr>
        <w:instrText xml:space="preserve"> </w:instrText>
      </w:r>
      <w:r w:rsidR="00947941" w:rsidRPr="00062B4F">
        <w:rPr>
          <w:i/>
          <w:iCs/>
          <w:szCs w:val="24"/>
          <w:lang w:val="en-US" w:eastAsia="ru-RU"/>
        </w:rPr>
        <w:instrText>daily</w:instrText>
      </w:r>
      <w:r w:rsidR="00947941" w:rsidRPr="00062B4F">
        <w:rPr>
          <w:i/>
          <w:iCs/>
          <w:szCs w:val="24"/>
          <w:lang w:eastAsia="ru-RU"/>
        </w:rPr>
        <w:instrText xml:space="preserve"> </w:instrText>
      </w:r>
      <w:r w:rsidR="00947941" w:rsidRPr="00062B4F">
        <w:rPr>
          <w:i/>
          <w:iCs/>
          <w:szCs w:val="24"/>
          <w:lang w:val="en-US" w:eastAsia="ru-RU"/>
        </w:rPr>
        <w:instrText>in</w:instrText>
      </w:r>
      <w:r w:rsidR="00947941" w:rsidRPr="00062B4F">
        <w:rPr>
          <w:i/>
          <w:iCs/>
          <w:szCs w:val="24"/>
          <w:lang w:eastAsia="ru-RU"/>
        </w:rPr>
        <w:instrText xml:space="preserve"> </w:instrText>
      </w:r>
      <w:r w:rsidR="00947941" w:rsidRPr="00062B4F">
        <w:rPr>
          <w:i/>
          <w:iCs/>
          <w:szCs w:val="24"/>
          <w:lang w:val="en-US" w:eastAsia="ru-RU"/>
        </w:rPr>
        <w:instrText>patients</w:instrText>
      </w:r>
      <w:r w:rsidR="00947941" w:rsidRPr="00062B4F">
        <w:rPr>
          <w:i/>
          <w:iCs/>
          <w:szCs w:val="24"/>
          <w:lang w:eastAsia="ru-RU"/>
        </w:rPr>
        <w:instrText xml:space="preserve"> </w:instrText>
      </w:r>
      <w:r w:rsidR="00947941" w:rsidRPr="00062B4F">
        <w:rPr>
          <w:i/>
          <w:iCs/>
          <w:szCs w:val="24"/>
          <w:lang w:val="en-US" w:eastAsia="ru-RU"/>
        </w:rPr>
        <w:instrText>with</w:instrText>
      </w:r>
      <w:r w:rsidR="00947941" w:rsidRPr="00062B4F">
        <w:rPr>
          <w:i/>
          <w:iCs/>
          <w:szCs w:val="24"/>
          <w:lang w:eastAsia="ru-RU"/>
        </w:rPr>
        <w:instrText xml:space="preserve"> </w:instrText>
      </w:r>
      <w:r w:rsidR="00947941" w:rsidRPr="00062B4F">
        <w:rPr>
          <w:i/>
          <w:iCs/>
          <w:szCs w:val="24"/>
          <w:lang w:val="en-US" w:eastAsia="ru-RU"/>
        </w:rPr>
        <w:instrText>chronic</w:instrText>
      </w:r>
      <w:r w:rsidR="00947941" w:rsidRPr="00062B4F">
        <w:rPr>
          <w:i/>
          <w:iCs/>
          <w:szCs w:val="24"/>
          <w:lang w:eastAsia="ru-RU"/>
        </w:rPr>
        <w:instrText xml:space="preserve"> </w:instrText>
      </w:r>
      <w:r w:rsidR="00947941" w:rsidRPr="00062B4F">
        <w:rPr>
          <w:i/>
          <w:iCs/>
          <w:szCs w:val="24"/>
          <w:lang w:val="en-US" w:eastAsia="ru-RU"/>
        </w:rPr>
        <w:instrText>myeloid</w:instrText>
      </w:r>
      <w:r w:rsidR="00947941" w:rsidRPr="00062B4F">
        <w:rPr>
          <w:i/>
          <w:iCs/>
          <w:szCs w:val="24"/>
          <w:lang w:eastAsia="ru-RU"/>
        </w:rPr>
        <w:instrText xml:space="preserve"> </w:instrText>
      </w:r>
      <w:r w:rsidR="00947941" w:rsidRPr="00062B4F">
        <w:rPr>
          <w:i/>
          <w:iCs/>
          <w:szCs w:val="24"/>
          <w:lang w:val="en-US" w:eastAsia="ru-RU"/>
        </w:rPr>
        <w:instrText>leukemia</w:instrText>
      </w:r>
      <w:r w:rsidR="00947941" w:rsidRPr="00062B4F">
        <w:rPr>
          <w:i/>
          <w:iCs/>
          <w:szCs w:val="24"/>
          <w:lang w:eastAsia="ru-RU"/>
        </w:rPr>
        <w:instrText xml:space="preserve"> </w:instrText>
      </w:r>
      <w:r w:rsidR="00947941" w:rsidRPr="00062B4F">
        <w:rPr>
          <w:i/>
          <w:iCs/>
          <w:szCs w:val="24"/>
          <w:lang w:val="en-US" w:eastAsia="ru-RU"/>
        </w:rPr>
        <w:instrText>in</w:instrText>
      </w:r>
      <w:r w:rsidR="00947941" w:rsidRPr="00062B4F">
        <w:rPr>
          <w:i/>
          <w:iCs/>
          <w:szCs w:val="24"/>
          <w:lang w:eastAsia="ru-RU"/>
        </w:rPr>
        <w:instrText xml:space="preserve"> </w:instrText>
      </w:r>
      <w:r w:rsidR="00947941" w:rsidRPr="00062B4F">
        <w:rPr>
          <w:i/>
          <w:iCs/>
          <w:szCs w:val="24"/>
          <w:lang w:val="en-US" w:eastAsia="ru-RU"/>
        </w:rPr>
        <w:instrText>accelerated</w:instrText>
      </w:r>
      <w:r w:rsidR="00947941" w:rsidRPr="00062B4F">
        <w:rPr>
          <w:i/>
          <w:iCs/>
          <w:szCs w:val="24"/>
          <w:lang w:eastAsia="ru-RU"/>
        </w:rPr>
        <w:instrText xml:space="preserve"> </w:instrText>
      </w:r>
      <w:r w:rsidR="00947941" w:rsidRPr="00062B4F">
        <w:rPr>
          <w:i/>
          <w:iCs/>
          <w:szCs w:val="24"/>
          <w:lang w:val="en-US" w:eastAsia="ru-RU"/>
        </w:rPr>
        <w:instrText>phase</w:instrText>
      </w:r>
      <w:r w:rsidR="00947941" w:rsidRPr="00062B4F">
        <w:rPr>
          <w:i/>
          <w:iCs/>
          <w:szCs w:val="24"/>
          <w:lang w:eastAsia="ru-RU"/>
        </w:rPr>
        <w:instrText xml:space="preserve"> </w:instrText>
      </w:r>
      <w:r w:rsidR="00947941" w:rsidRPr="00062B4F">
        <w:rPr>
          <w:i/>
          <w:iCs/>
          <w:szCs w:val="24"/>
          <w:lang w:val="en-US" w:eastAsia="ru-RU"/>
        </w:rPr>
        <w:instrText>resistant</w:instrText>
      </w:r>
      <w:r w:rsidR="00947941" w:rsidRPr="00062B4F">
        <w:rPr>
          <w:i/>
          <w:iCs/>
          <w:szCs w:val="24"/>
          <w:lang w:eastAsia="ru-RU"/>
        </w:rPr>
        <w:instrText xml:space="preserve"> </w:instrText>
      </w:r>
      <w:r w:rsidR="00947941" w:rsidRPr="00062B4F">
        <w:rPr>
          <w:i/>
          <w:iCs/>
          <w:szCs w:val="24"/>
          <w:lang w:val="en-US" w:eastAsia="ru-RU"/>
        </w:rPr>
        <w:instrText>or</w:instrText>
      </w:r>
      <w:r w:rsidR="00947941" w:rsidRPr="00062B4F">
        <w:rPr>
          <w:i/>
          <w:iCs/>
          <w:szCs w:val="24"/>
          <w:lang w:eastAsia="ru-RU"/>
        </w:rPr>
        <w:instrText xml:space="preserve"> </w:instrText>
      </w:r>
      <w:r w:rsidR="00947941" w:rsidRPr="00062B4F">
        <w:rPr>
          <w:i/>
          <w:iCs/>
          <w:szCs w:val="24"/>
          <w:lang w:val="en-US" w:eastAsia="ru-RU"/>
        </w:rPr>
        <w:instrText>intolerant</w:instrText>
      </w:r>
      <w:r w:rsidR="00947941" w:rsidRPr="00062B4F">
        <w:rPr>
          <w:i/>
          <w:iCs/>
          <w:szCs w:val="24"/>
          <w:lang w:eastAsia="ru-RU"/>
        </w:rPr>
        <w:instrText xml:space="preserve"> </w:instrText>
      </w:r>
      <w:r w:rsidR="00947941" w:rsidRPr="00062B4F">
        <w:rPr>
          <w:i/>
          <w:iCs/>
          <w:szCs w:val="24"/>
          <w:lang w:val="en-US" w:eastAsia="ru-RU"/>
        </w:rPr>
        <w:instrText>to</w:instrText>
      </w:r>
      <w:r w:rsidR="00947941" w:rsidRPr="00062B4F">
        <w:rPr>
          <w:i/>
          <w:iCs/>
          <w:szCs w:val="24"/>
          <w:lang w:eastAsia="ru-RU"/>
        </w:rPr>
        <w:instrText xml:space="preserve"> </w:instrText>
      </w:r>
      <w:r w:rsidR="00947941" w:rsidRPr="00062B4F">
        <w:rPr>
          <w:i/>
          <w:iCs/>
          <w:szCs w:val="24"/>
          <w:lang w:val="en-US" w:eastAsia="ru-RU"/>
        </w:rPr>
        <w:instrText>imatinib</w:instrText>
      </w:r>
      <w:r w:rsidR="00947941" w:rsidRPr="00062B4F">
        <w:rPr>
          <w:i/>
          <w:iCs/>
          <w:szCs w:val="24"/>
          <w:lang w:eastAsia="ru-RU"/>
        </w:rPr>
        <w:instrText>: 15-</w:instrText>
      </w:r>
      <w:r w:rsidR="00947941" w:rsidRPr="00062B4F">
        <w:rPr>
          <w:i/>
          <w:iCs/>
          <w:szCs w:val="24"/>
          <w:lang w:val="en-US" w:eastAsia="ru-RU"/>
        </w:rPr>
        <w:instrText>month</w:instrText>
      </w:r>
      <w:r w:rsidR="00947941" w:rsidRPr="00062B4F">
        <w:rPr>
          <w:i/>
          <w:iCs/>
          <w:szCs w:val="24"/>
          <w:lang w:eastAsia="ru-RU"/>
        </w:rPr>
        <w:instrText xml:space="preserve"> </w:instrText>
      </w:r>
      <w:r w:rsidR="00947941" w:rsidRPr="00062B4F">
        <w:rPr>
          <w:i/>
          <w:iCs/>
          <w:szCs w:val="24"/>
          <w:lang w:val="en-US" w:eastAsia="ru-RU"/>
        </w:rPr>
        <w:instrText>median</w:instrText>
      </w:r>
      <w:r w:rsidR="00947941" w:rsidRPr="00062B4F">
        <w:rPr>
          <w:i/>
          <w:iCs/>
          <w:szCs w:val="24"/>
          <w:lang w:eastAsia="ru-RU"/>
        </w:rPr>
        <w:instrText xml:space="preserve"> </w:instrText>
      </w:r>
      <w:r w:rsidR="00947941" w:rsidRPr="00062B4F">
        <w:rPr>
          <w:i/>
          <w:iCs/>
          <w:szCs w:val="24"/>
          <w:lang w:val="en-US" w:eastAsia="ru-RU"/>
        </w:rPr>
        <w:instrText>follow</w:instrText>
      </w:r>
      <w:r w:rsidR="00947941" w:rsidRPr="00062B4F">
        <w:rPr>
          <w:i/>
          <w:iCs/>
          <w:szCs w:val="24"/>
          <w:lang w:eastAsia="ru-RU"/>
        </w:rPr>
        <w:instrText>-</w:instrText>
      </w:r>
      <w:r w:rsidR="00947941" w:rsidRPr="00062B4F">
        <w:rPr>
          <w:i/>
          <w:iCs/>
          <w:szCs w:val="24"/>
          <w:lang w:val="en-US" w:eastAsia="ru-RU"/>
        </w:rPr>
        <w:instrText>up</w:instrText>
      </w:r>
      <w:r w:rsidR="00947941" w:rsidRPr="00062B4F">
        <w:rPr>
          <w:i/>
          <w:iCs/>
          <w:szCs w:val="24"/>
          <w:lang w:eastAsia="ru-RU"/>
        </w:rPr>
        <w:instrText>","</w:instrText>
      </w:r>
      <w:r w:rsidR="00947941" w:rsidRPr="00062B4F">
        <w:rPr>
          <w:i/>
          <w:iCs/>
          <w:szCs w:val="24"/>
          <w:lang w:val="en-US" w:eastAsia="ru-RU"/>
        </w:rPr>
        <w:instrText>type</w:instrText>
      </w:r>
      <w:r w:rsidR="00947941" w:rsidRPr="00062B4F">
        <w:rPr>
          <w:i/>
          <w:iCs/>
          <w:szCs w:val="24"/>
          <w:lang w:eastAsia="ru-RU"/>
        </w:rPr>
        <w:instrText>":"</w:instrText>
      </w:r>
      <w:r w:rsidR="00947941" w:rsidRPr="00062B4F">
        <w:rPr>
          <w:i/>
          <w:iCs/>
          <w:szCs w:val="24"/>
          <w:lang w:val="en-US" w:eastAsia="ru-RU"/>
        </w:rPr>
        <w:instrText>article</w:instrText>
      </w:r>
      <w:r w:rsidR="00947941" w:rsidRPr="00062B4F">
        <w:rPr>
          <w:i/>
          <w:iCs/>
          <w:szCs w:val="24"/>
          <w:lang w:eastAsia="ru-RU"/>
        </w:rPr>
        <w:instrText>-</w:instrText>
      </w:r>
      <w:r w:rsidR="00947941" w:rsidRPr="00062B4F">
        <w:rPr>
          <w:i/>
          <w:iCs/>
          <w:szCs w:val="24"/>
          <w:lang w:val="en-US" w:eastAsia="ru-RU"/>
        </w:rPr>
        <w:instrText>journal</w:instrText>
      </w:r>
      <w:r w:rsidR="00947941" w:rsidRPr="00062B4F">
        <w:rPr>
          <w:i/>
          <w:iCs/>
          <w:szCs w:val="24"/>
          <w:lang w:eastAsia="ru-RU"/>
        </w:rPr>
        <w:instrText>","</w:instrText>
      </w:r>
      <w:r w:rsidR="00947941" w:rsidRPr="00062B4F">
        <w:rPr>
          <w:i/>
          <w:iCs/>
          <w:szCs w:val="24"/>
          <w:lang w:val="en-US" w:eastAsia="ru-RU"/>
        </w:rPr>
        <w:instrText>volume</w:instrText>
      </w:r>
      <w:r w:rsidR="00947941" w:rsidRPr="00062B4F">
        <w:rPr>
          <w:i/>
          <w:iCs/>
          <w:szCs w:val="24"/>
          <w:lang w:eastAsia="ru-RU"/>
        </w:rPr>
        <w:instrText>":"113"},"</w:instrText>
      </w:r>
      <w:r w:rsidR="00947941" w:rsidRPr="00062B4F">
        <w:rPr>
          <w:i/>
          <w:iCs/>
          <w:szCs w:val="24"/>
          <w:lang w:val="en-US" w:eastAsia="ru-RU"/>
        </w:rPr>
        <w:instrText>uris</w:instrText>
      </w:r>
      <w:r w:rsidR="00947941" w:rsidRPr="00062B4F">
        <w:rPr>
          <w:i/>
          <w:iCs/>
          <w:szCs w:val="24"/>
          <w:lang w:eastAsia="ru-RU"/>
        </w:rPr>
        <w:instrText>":["</w:instrText>
      </w:r>
      <w:r w:rsidR="00947941" w:rsidRPr="00062B4F">
        <w:rPr>
          <w:i/>
          <w:iCs/>
          <w:szCs w:val="24"/>
          <w:lang w:val="en-US" w:eastAsia="ru-RU"/>
        </w:rPr>
        <w:instrText>http</w:instrText>
      </w:r>
      <w:r w:rsidR="00947941" w:rsidRPr="00062B4F">
        <w:rPr>
          <w:i/>
          <w:iCs/>
          <w:szCs w:val="24"/>
          <w:lang w:eastAsia="ru-RU"/>
        </w:rPr>
        <w:instrText>://</w:instrText>
      </w:r>
      <w:r w:rsidR="00947941" w:rsidRPr="00062B4F">
        <w:rPr>
          <w:i/>
          <w:iCs/>
          <w:szCs w:val="24"/>
          <w:lang w:val="en-US" w:eastAsia="ru-RU"/>
        </w:rPr>
        <w:instrText>www</w:instrText>
      </w:r>
      <w:r w:rsidR="00947941" w:rsidRPr="00062B4F">
        <w:rPr>
          <w:i/>
          <w:iCs/>
          <w:szCs w:val="24"/>
          <w:lang w:eastAsia="ru-RU"/>
        </w:rPr>
        <w:instrText>.</w:instrText>
      </w:r>
      <w:r w:rsidR="00947941" w:rsidRPr="00062B4F">
        <w:rPr>
          <w:i/>
          <w:iCs/>
          <w:szCs w:val="24"/>
          <w:lang w:val="en-US" w:eastAsia="ru-RU"/>
        </w:rPr>
        <w:instrText>mendeley</w:instrText>
      </w:r>
      <w:r w:rsidR="00947941" w:rsidRPr="00062B4F">
        <w:rPr>
          <w:i/>
          <w:iCs/>
          <w:szCs w:val="24"/>
          <w:lang w:eastAsia="ru-RU"/>
        </w:rPr>
        <w:instrText>.</w:instrText>
      </w:r>
      <w:r w:rsidR="00947941" w:rsidRPr="00062B4F">
        <w:rPr>
          <w:i/>
          <w:iCs/>
          <w:szCs w:val="24"/>
          <w:lang w:val="en-US" w:eastAsia="ru-RU"/>
        </w:rPr>
        <w:instrText>com</w:instrText>
      </w:r>
      <w:r w:rsidR="00947941" w:rsidRPr="00062B4F">
        <w:rPr>
          <w:i/>
          <w:iCs/>
          <w:szCs w:val="24"/>
          <w:lang w:eastAsia="ru-RU"/>
        </w:rPr>
        <w:instrText>/</w:instrText>
      </w:r>
      <w:r w:rsidR="00947941" w:rsidRPr="00062B4F">
        <w:rPr>
          <w:i/>
          <w:iCs/>
          <w:szCs w:val="24"/>
          <w:lang w:val="en-US" w:eastAsia="ru-RU"/>
        </w:rPr>
        <w:instrText>documents</w:instrText>
      </w:r>
      <w:r w:rsidR="00947941" w:rsidRPr="00062B4F">
        <w:rPr>
          <w:i/>
          <w:iCs/>
          <w:szCs w:val="24"/>
          <w:lang w:eastAsia="ru-RU"/>
        </w:rPr>
        <w:instrText>/?</w:instrText>
      </w:r>
      <w:r w:rsidR="00947941" w:rsidRPr="00062B4F">
        <w:rPr>
          <w:i/>
          <w:iCs/>
          <w:szCs w:val="24"/>
          <w:lang w:val="en-US" w:eastAsia="ru-RU"/>
        </w:rPr>
        <w:instrText>uuid</w:instrText>
      </w:r>
      <w:r w:rsidR="00947941" w:rsidRPr="00062B4F">
        <w:rPr>
          <w:i/>
          <w:iCs/>
          <w:szCs w:val="24"/>
          <w:lang w:eastAsia="ru-RU"/>
        </w:rPr>
        <w:instrText>=433</w:instrText>
      </w:r>
      <w:r w:rsidR="00947941" w:rsidRPr="00062B4F">
        <w:rPr>
          <w:i/>
          <w:iCs/>
          <w:szCs w:val="24"/>
          <w:lang w:val="en-US" w:eastAsia="ru-RU"/>
        </w:rPr>
        <w:instrText>cec</w:instrText>
      </w:r>
      <w:r w:rsidR="00947941" w:rsidRPr="00062B4F">
        <w:rPr>
          <w:i/>
          <w:iCs/>
          <w:szCs w:val="24"/>
          <w:lang w:eastAsia="ru-RU"/>
        </w:rPr>
        <w:instrText>23-</w:instrText>
      </w:r>
      <w:r w:rsidR="00947941" w:rsidRPr="00062B4F">
        <w:rPr>
          <w:i/>
          <w:iCs/>
          <w:szCs w:val="24"/>
          <w:lang w:val="en-US" w:eastAsia="ru-RU"/>
        </w:rPr>
        <w:instrText>e</w:instrText>
      </w:r>
      <w:r w:rsidR="00947941" w:rsidRPr="00062B4F">
        <w:rPr>
          <w:i/>
          <w:iCs/>
          <w:szCs w:val="24"/>
          <w:lang w:eastAsia="ru-RU"/>
        </w:rPr>
        <w:instrText>94</w:instrText>
      </w:r>
      <w:r w:rsidR="00947941" w:rsidRPr="00062B4F">
        <w:rPr>
          <w:i/>
          <w:iCs/>
          <w:szCs w:val="24"/>
          <w:lang w:val="en-US" w:eastAsia="ru-RU"/>
        </w:rPr>
        <w:instrText>c</w:instrText>
      </w:r>
      <w:r w:rsidR="00947941" w:rsidRPr="00062B4F">
        <w:rPr>
          <w:i/>
          <w:iCs/>
          <w:szCs w:val="24"/>
          <w:lang w:eastAsia="ru-RU"/>
        </w:rPr>
        <w:instrText>-33</w:instrText>
      </w:r>
      <w:r w:rsidR="00947941" w:rsidRPr="00062B4F">
        <w:rPr>
          <w:i/>
          <w:iCs/>
          <w:szCs w:val="24"/>
          <w:lang w:val="en-US" w:eastAsia="ru-RU"/>
        </w:rPr>
        <w:instrText>e</w:instrText>
      </w:r>
      <w:r w:rsidR="00947941" w:rsidRPr="00062B4F">
        <w:rPr>
          <w:i/>
          <w:iCs/>
          <w:szCs w:val="24"/>
          <w:lang w:eastAsia="ru-RU"/>
        </w:rPr>
        <w:instrText>8-9</w:instrText>
      </w:r>
      <w:r w:rsidR="00947941" w:rsidRPr="00062B4F">
        <w:rPr>
          <w:i/>
          <w:iCs/>
          <w:szCs w:val="24"/>
          <w:lang w:val="en-US" w:eastAsia="ru-RU"/>
        </w:rPr>
        <w:instrText>ea</w:instrText>
      </w:r>
      <w:r w:rsidR="00947941" w:rsidRPr="00062B4F">
        <w:rPr>
          <w:i/>
          <w:iCs/>
          <w:szCs w:val="24"/>
          <w:lang w:eastAsia="ru-RU"/>
        </w:rPr>
        <w:instrText>9-</w:instrText>
      </w:r>
      <w:r w:rsidR="00947941" w:rsidRPr="00062B4F">
        <w:rPr>
          <w:i/>
          <w:iCs/>
          <w:szCs w:val="24"/>
          <w:lang w:val="en-US" w:eastAsia="ru-RU"/>
        </w:rPr>
        <w:instrText>c</w:instrText>
      </w:r>
      <w:r w:rsidR="00947941" w:rsidRPr="00062B4F">
        <w:rPr>
          <w:i/>
          <w:iCs/>
          <w:szCs w:val="24"/>
          <w:lang w:eastAsia="ru-RU"/>
        </w:rPr>
        <w:instrText>34886</w:instrText>
      </w:r>
      <w:r w:rsidR="00947941" w:rsidRPr="00062B4F">
        <w:rPr>
          <w:i/>
          <w:iCs/>
          <w:szCs w:val="24"/>
          <w:lang w:val="en-US" w:eastAsia="ru-RU"/>
        </w:rPr>
        <w:instrText>f</w:instrText>
      </w:r>
      <w:r w:rsidR="00947941" w:rsidRPr="00062B4F">
        <w:rPr>
          <w:i/>
          <w:iCs/>
          <w:szCs w:val="24"/>
          <w:lang w:eastAsia="ru-RU"/>
        </w:rPr>
        <w:instrText>409</w:instrText>
      </w:r>
      <w:r w:rsidR="00947941" w:rsidRPr="00062B4F">
        <w:rPr>
          <w:i/>
          <w:iCs/>
          <w:szCs w:val="24"/>
          <w:lang w:val="en-US" w:eastAsia="ru-RU"/>
        </w:rPr>
        <w:instrText>a</w:instrText>
      </w:r>
      <w:r w:rsidR="00947941" w:rsidRPr="00062B4F">
        <w:rPr>
          <w:i/>
          <w:iCs/>
          <w:szCs w:val="24"/>
          <w:lang w:eastAsia="ru-RU"/>
        </w:rPr>
        <w:instrText>4","</w:instrText>
      </w:r>
      <w:r w:rsidR="00947941" w:rsidRPr="00062B4F">
        <w:rPr>
          <w:i/>
          <w:iCs/>
          <w:szCs w:val="24"/>
          <w:lang w:val="en-US" w:eastAsia="ru-RU"/>
        </w:rPr>
        <w:instrText>http</w:instrText>
      </w:r>
      <w:r w:rsidR="00947941" w:rsidRPr="00062B4F">
        <w:rPr>
          <w:i/>
          <w:iCs/>
          <w:szCs w:val="24"/>
          <w:lang w:eastAsia="ru-RU"/>
        </w:rPr>
        <w:instrText>://</w:instrText>
      </w:r>
      <w:r w:rsidR="00947941" w:rsidRPr="00062B4F">
        <w:rPr>
          <w:i/>
          <w:iCs/>
          <w:szCs w:val="24"/>
          <w:lang w:val="en-US" w:eastAsia="ru-RU"/>
        </w:rPr>
        <w:instrText>www</w:instrText>
      </w:r>
      <w:r w:rsidR="00947941" w:rsidRPr="00062B4F">
        <w:rPr>
          <w:i/>
          <w:iCs/>
          <w:szCs w:val="24"/>
          <w:lang w:eastAsia="ru-RU"/>
        </w:rPr>
        <w:instrText>.</w:instrText>
      </w:r>
      <w:r w:rsidR="00947941" w:rsidRPr="00062B4F">
        <w:rPr>
          <w:i/>
          <w:iCs/>
          <w:szCs w:val="24"/>
          <w:lang w:val="en-US" w:eastAsia="ru-RU"/>
        </w:rPr>
        <w:instrText>mendeley</w:instrText>
      </w:r>
      <w:r w:rsidR="00947941" w:rsidRPr="00062B4F">
        <w:rPr>
          <w:i/>
          <w:iCs/>
          <w:szCs w:val="24"/>
          <w:lang w:eastAsia="ru-RU"/>
        </w:rPr>
        <w:instrText>.</w:instrText>
      </w:r>
      <w:r w:rsidR="00947941" w:rsidRPr="00062B4F">
        <w:rPr>
          <w:i/>
          <w:iCs/>
          <w:szCs w:val="24"/>
          <w:lang w:val="en-US" w:eastAsia="ru-RU"/>
        </w:rPr>
        <w:instrText>com</w:instrText>
      </w:r>
      <w:r w:rsidR="00947941" w:rsidRPr="00062B4F">
        <w:rPr>
          <w:i/>
          <w:iCs/>
          <w:szCs w:val="24"/>
          <w:lang w:eastAsia="ru-RU"/>
        </w:rPr>
        <w:instrText>/</w:instrText>
      </w:r>
      <w:r w:rsidR="00947941" w:rsidRPr="00062B4F">
        <w:rPr>
          <w:i/>
          <w:iCs/>
          <w:szCs w:val="24"/>
          <w:lang w:val="en-US" w:eastAsia="ru-RU"/>
        </w:rPr>
        <w:instrText>documents</w:instrText>
      </w:r>
      <w:r w:rsidR="00947941" w:rsidRPr="00062B4F">
        <w:rPr>
          <w:i/>
          <w:iCs/>
          <w:szCs w:val="24"/>
          <w:lang w:eastAsia="ru-RU"/>
        </w:rPr>
        <w:instrText>/?</w:instrText>
      </w:r>
      <w:r w:rsidR="00947941" w:rsidRPr="00062B4F">
        <w:rPr>
          <w:i/>
          <w:iCs/>
          <w:szCs w:val="24"/>
          <w:lang w:val="en-US" w:eastAsia="ru-RU"/>
        </w:rPr>
        <w:instrText>uuid</w:instrText>
      </w:r>
      <w:r w:rsidR="00947941" w:rsidRPr="00062B4F">
        <w:rPr>
          <w:i/>
          <w:iCs/>
          <w:szCs w:val="24"/>
          <w:lang w:eastAsia="ru-RU"/>
        </w:rPr>
        <w:instrText>=</w:instrText>
      </w:r>
      <w:r w:rsidR="00947941" w:rsidRPr="00062B4F">
        <w:rPr>
          <w:i/>
          <w:iCs/>
          <w:szCs w:val="24"/>
          <w:lang w:val="en-US" w:eastAsia="ru-RU"/>
        </w:rPr>
        <w:instrText>e</w:instrText>
      </w:r>
      <w:r w:rsidR="00947941" w:rsidRPr="00062B4F">
        <w:rPr>
          <w:i/>
          <w:iCs/>
          <w:szCs w:val="24"/>
          <w:lang w:eastAsia="ru-RU"/>
        </w:rPr>
        <w:instrText>9</w:instrText>
      </w:r>
      <w:r w:rsidR="00947941" w:rsidRPr="00062B4F">
        <w:rPr>
          <w:i/>
          <w:iCs/>
          <w:szCs w:val="24"/>
          <w:lang w:val="en-US" w:eastAsia="ru-RU"/>
        </w:rPr>
        <w:instrText>b</w:instrText>
      </w:r>
      <w:r w:rsidR="00947941" w:rsidRPr="00062B4F">
        <w:rPr>
          <w:i/>
          <w:iCs/>
          <w:szCs w:val="24"/>
          <w:lang w:eastAsia="ru-RU"/>
        </w:rPr>
        <w:instrText>7</w:instrText>
      </w:r>
      <w:r w:rsidR="00947941" w:rsidRPr="00062B4F">
        <w:rPr>
          <w:i/>
          <w:iCs/>
          <w:szCs w:val="24"/>
          <w:lang w:val="en-US" w:eastAsia="ru-RU"/>
        </w:rPr>
        <w:instrText>e</w:instrText>
      </w:r>
      <w:r w:rsidR="00947941" w:rsidRPr="00062B4F">
        <w:rPr>
          <w:i/>
          <w:iCs/>
          <w:szCs w:val="24"/>
          <w:lang w:eastAsia="ru-RU"/>
        </w:rPr>
        <w:instrText>499-</w:instrText>
      </w:r>
      <w:r w:rsidR="00947941" w:rsidRPr="00062B4F">
        <w:rPr>
          <w:i/>
          <w:iCs/>
          <w:szCs w:val="24"/>
          <w:lang w:val="en-US" w:eastAsia="ru-RU"/>
        </w:rPr>
        <w:instrText>beb</w:instrText>
      </w:r>
      <w:r w:rsidR="00947941" w:rsidRPr="00062B4F">
        <w:rPr>
          <w:i/>
          <w:iCs/>
          <w:szCs w:val="24"/>
          <w:lang w:eastAsia="ru-RU"/>
        </w:rPr>
        <w:instrText>9-4</w:instrText>
      </w:r>
      <w:r w:rsidR="00947941" w:rsidRPr="00062B4F">
        <w:rPr>
          <w:i/>
          <w:iCs/>
          <w:szCs w:val="24"/>
          <w:lang w:val="en-US" w:eastAsia="ru-RU"/>
        </w:rPr>
        <w:instrText>b</w:instrText>
      </w:r>
      <w:r w:rsidR="00947941" w:rsidRPr="00062B4F">
        <w:rPr>
          <w:i/>
          <w:iCs/>
          <w:szCs w:val="24"/>
          <w:lang w:eastAsia="ru-RU"/>
        </w:rPr>
        <w:instrText>23-8</w:instrText>
      </w:r>
      <w:r w:rsidR="00947941" w:rsidRPr="00062B4F">
        <w:rPr>
          <w:i/>
          <w:iCs/>
          <w:szCs w:val="24"/>
          <w:lang w:val="en-US" w:eastAsia="ru-RU"/>
        </w:rPr>
        <w:instrText>c</w:instrText>
      </w:r>
      <w:r w:rsidR="00947941" w:rsidRPr="00062B4F">
        <w:rPr>
          <w:i/>
          <w:iCs/>
          <w:szCs w:val="24"/>
          <w:lang w:eastAsia="ru-RU"/>
        </w:rPr>
        <w:instrText>72-8821</w:instrText>
      </w:r>
      <w:r w:rsidR="00947941" w:rsidRPr="00062B4F">
        <w:rPr>
          <w:i/>
          <w:iCs/>
          <w:szCs w:val="24"/>
          <w:lang w:val="en-US" w:eastAsia="ru-RU"/>
        </w:rPr>
        <w:instrText>f</w:instrText>
      </w:r>
      <w:r w:rsidR="00947941" w:rsidRPr="00062B4F">
        <w:rPr>
          <w:i/>
          <w:iCs/>
          <w:szCs w:val="24"/>
          <w:lang w:eastAsia="ru-RU"/>
        </w:rPr>
        <w:instrText>8450217"]}],"</w:instrText>
      </w:r>
      <w:r w:rsidR="00947941" w:rsidRPr="00062B4F">
        <w:rPr>
          <w:i/>
          <w:iCs/>
          <w:szCs w:val="24"/>
          <w:lang w:val="en-US" w:eastAsia="ru-RU"/>
        </w:rPr>
        <w:instrText>mendeley</w:instrText>
      </w:r>
      <w:r w:rsidR="00947941" w:rsidRPr="00062B4F">
        <w:rPr>
          <w:i/>
          <w:iCs/>
          <w:szCs w:val="24"/>
          <w:lang w:eastAsia="ru-RU"/>
        </w:rPr>
        <w:instrText>":{"</w:instrText>
      </w:r>
      <w:r w:rsidR="00947941" w:rsidRPr="00062B4F">
        <w:rPr>
          <w:i/>
          <w:iCs/>
          <w:szCs w:val="24"/>
          <w:lang w:val="en-US" w:eastAsia="ru-RU"/>
        </w:rPr>
        <w:instrText>formattedCitation</w:instrText>
      </w:r>
      <w:r w:rsidR="00947941" w:rsidRPr="00062B4F">
        <w:rPr>
          <w:i/>
          <w:iCs/>
          <w:szCs w:val="24"/>
          <w:lang w:eastAsia="ru-RU"/>
        </w:rPr>
        <w:instrText>":"[27]","</w:instrText>
      </w:r>
      <w:r w:rsidR="00947941" w:rsidRPr="00062B4F">
        <w:rPr>
          <w:i/>
          <w:iCs/>
          <w:szCs w:val="24"/>
          <w:lang w:val="en-US" w:eastAsia="ru-RU"/>
        </w:rPr>
        <w:instrText>plainTextFormattedCitation</w:instrText>
      </w:r>
      <w:r w:rsidR="00947941" w:rsidRPr="00062B4F">
        <w:rPr>
          <w:i/>
          <w:iCs/>
          <w:szCs w:val="24"/>
          <w:lang w:eastAsia="ru-RU"/>
        </w:rPr>
        <w:instrText>":"[27]","</w:instrText>
      </w:r>
      <w:r w:rsidR="00947941" w:rsidRPr="00062B4F">
        <w:rPr>
          <w:i/>
          <w:iCs/>
          <w:szCs w:val="24"/>
          <w:lang w:val="en-US" w:eastAsia="ru-RU"/>
        </w:rPr>
        <w:instrText>previouslyFormattedCitation</w:instrText>
      </w:r>
      <w:r w:rsidR="00947941" w:rsidRPr="00062B4F">
        <w:rPr>
          <w:i/>
          <w:iCs/>
          <w:szCs w:val="24"/>
          <w:lang w:eastAsia="ru-RU"/>
        </w:rPr>
        <w:instrText>":"[27]"},"</w:instrText>
      </w:r>
      <w:r w:rsidR="00947941" w:rsidRPr="00062B4F">
        <w:rPr>
          <w:i/>
          <w:iCs/>
          <w:szCs w:val="24"/>
          <w:lang w:val="en-US" w:eastAsia="ru-RU"/>
        </w:rPr>
        <w:instrText>properties</w:instrText>
      </w:r>
      <w:r w:rsidR="00947941" w:rsidRPr="00062B4F">
        <w:rPr>
          <w:i/>
          <w:iCs/>
          <w:szCs w:val="24"/>
          <w:lang w:eastAsia="ru-RU"/>
        </w:rPr>
        <w:instrText>":{"</w:instrText>
      </w:r>
      <w:r w:rsidR="00947941" w:rsidRPr="00062B4F">
        <w:rPr>
          <w:i/>
          <w:iCs/>
          <w:szCs w:val="24"/>
          <w:lang w:val="en-US" w:eastAsia="ru-RU"/>
        </w:rPr>
        <w:instrText>noteIndex</w:instrText>
      </w:r>
      <w:r w:rsidR="00947941" w:rsidRPr="00062B4F">
        <w:rPr>
          <w:i/>
          <w:iCs/>
          <w:szCs w:val="24"/>
          <w:lang w:eastAsia="ru-RU"/>
        </w:rPr>
        <w:instrText>":0},"</w:instrText>
      </w:r>
      <w:r w:rsidR="00947941" w:rsidRPr="00062B4F">
        <w:rPr>
          <w:i/>
          <w:iCs/>
          <w:szCs w:val="24"/>
          <w:lang w:val="en-US" w:eastAsia="ru-RU"/>
        </w:rPr>
        <w:instrText>schema</w:instrText>
      </w:r>
      <w:r w:rsidR="00947941" w:rsidRPr="00062B4F">
        <w:rPr>
          <w:i/>
          <w:iCs/>
          <w:szCs w:val="24"/>
          <w:lang w:eastAsia="ru-RU"/>
        </w:rPr>
        <w:instrText>":"</w:instrText>
      </w:r>
      <w:r w:rsidR="00947941" w:rsidRPr="00062B4F">
        <w:rPr>
          <w:i/>
          <w:iCs/>
          <w:szCs w:val="24"/>
          <w:lang w:val="en-US" w:eastAsia="ru-RU"/>
        </w:rPr>
        <w:instrText>https</w:instrText>
      </w:r>
      <w:r w:rsidR="00947941" w:rsidRPr="00062B4F">
        <w:rPr>
          <w:i/>
          <w:iCs/>
          <w:szCs w:val="24"/>
          <w:lang w:eastAsia="ru-RU"/>
        </w:rPr>
        <w:instrText>://</w:instrText>
      </w:r>
      <w:r w:rsidR="00947941" w:rsidRPr="00062B4F">
        <w:rPr>
          <w:i/>
          <w:iCs/>
          <w:szCs w:val="24"/>
          <w:lang w:val="en-US" w:eastAsia="ru-RU"/>
        </w:rPr>
        <w:instrText>github</w:instrText>
      </w:r>
      <w:r w:rsidR="00947941" w:rsidRPr="00062B4F">
        <w:rPr>
          <w:i/>
          <w:iCs/>
          <w:szCs w:val="24"/>
          <w:lang w:eastAsia="ru-RU"/>
        </w:rPr>
        <w:instrText>.</w:instrText>
      </w:r>
      <w:r w:rsidR="00947941" w:rsidRPr="00062B4F">
        <w:rPr>
          <w:i/>
          <w:iCs/>
          <w:szCs w:val="24"/>
          <w:lang w:val="en-US" w:eastAsia="ru-RU"/>
        </w:rPr>
        <w:instrText>com</w:instrText>
      </w:r>
      <w:r w:rsidR="00947941" w:rsidRPr="00062B4F">
        <w:rPr>
          <w:i/>
          <w:iCs/>
          <w:szCs w:val="24"/>
          <w:lang w:eastAsia="ru-RU"/>
        </w:rPr>
        <w:instrText>/</w:instrText>
      </w:r>
      <w:r w:rsidR="00947941" w:rsidRPr="00062B4F">
        <w:rPr>
          <w:i/>
          <w:iCs/>
          <w:szCs w:val="24"/>
          <w:lang w:val="en-US" w:eastAsia="ru-RU"/>
        </w:rPr>
        <w:instrText>citation</w:instrText>
      </w:r>
      <w:r w:rsidR="00947941" w:rsidRPr="00062B4F">
        <w:rPr>
          <w:i/>
          <w:iCs/>
          <w:szCs w:val="24"/>
          <w:lang w:eastAsia="ru-RU"/>
        </w:rPr>
        <w:instrText>-</w:instrText>
      </w:r>
      <w:r w:rsidR="00947941" w:rsidRPr="00062B4F">
        <w:rPr>
          <w:i/>
          <w:iCs/>
          <w:szCs w:val="24"/>
          <w:lang w:val="en-US" w:eastAsia="ru-RU"/>
        </w:rPr>
        <w:instrText>style</w:instrText>
      </w:r>
      <w:r w:rsidR="00947941" w:rsidRPr="00062B4F">
        <w:rPr>
          <w:i/>
          <w:iCs/>
          <w:szCs w:val="24"/>
          <w:lang w:eastAsia="ru-RU"/>
        </w:rPr>
        <w:instrText>-</w:instrText>
      </w:r>
      <w:r w:rsidR="00947941" w:rsidRPr="00062B4F">
        <w:rPr>
          <w:i/>
          <w:iCs/>
          <w:szCs w:val="24"/>
          <w:lang w:val="en-US" w:eastAsia="ru-RU"/>
        </w:rPr>
        <w:instrText>language</w:instrText>
      </w:r>
      <w:r w:rsidR="00947941" w:rsidRPr="00062B4F">
        <w:rPr>
          <w:i/>
          <w:iCs/>
          <w:szCs w:val="24"/>
          <w:lang w:eastAsia="ru-RU"/>
        </w:rPr>
        <w:instrText>/</w:instrText>
      </w:r>
      <w:r w:rsidR="00947941" w:rsidRPr="00062B4F">
        <w:rPr>
          <w:i/>
          <w:iCs/>
          <w:szCs w:val="24"/>
          <w:lang w:val="en-US" w:eastAsia="ru-RU"/>
        </w:rPr>
        <w:instrText>schema</w:instrText>
      </w:r>
      <w:r w:rsidR="00947941" w:rsidRPr="00062B4F">
        <w:rPr>
          <w:i/>
          <w:iCs/>
          <w:szCs w:val="24"/>
          <w:lang w:eastAsia="ru-RU"/>
        </w:rPr>
        <w:instrText>/</w:instrText>
      </w:r>
      <w:r w:rsidR="00947941" w:rsidRPr="00062B4F">
        <w:rPr>
          <w:i/>
          <w:iCs/>
          <w:szCs w:val="24"/>
          <w:lang w:val="en-US" w:eastAsia="ru-RU"/>
        </w:rPr>
        <w:instrText>raw</w:instrText>
      </w:r>
      <w:r w:rsidR="00947941" w:rsidRPr="00062B4F">
        <w:rPr>
          <w:i/>
          <w:iCs/>
          <w:szCs w:val="24"/>
          <w:lang w:eastAsia="ru-RU"/>
        </w:rPr>
        <w:instrText>/</w:instrText>
      </w:r>
      <w:r w:rsidR="00947941" w:rsidRPr="00062B4F">
        <w:rPr>
          <w:i/>
          <w:iCs/>
          <w:szCs w:val="24"/>
          <w:lang w:val="en-US" w:eastAsia="ru-RU"/>
        </w:rPr>
        <w:instrText>master</w:instrText>
      </w:r>
      <w:r w:rsidR="00947941" w:rsidRPr="00062B4F">
        <w:rPr>
          <w:i/>
          <w:iCs/>
          <w:szCs w:val="24"/>
          <w:lang w:eastAsia="ru-RU"/>
        </w:rPr>
        <w:instrText>/</w:instrText>
      </w:r>
      <w:r w:rsidR="00947941" w:rsidRPr="00062B4F">
        <w:rPr>
          <w:i/>
          <w:iCs/>
          <w:szCs w:val="24"/>
          <w:lang w:val="en-US" w:eastAsia="ru-RU"/>
        </w:rPr>
        <w:instrText>csl</w:instrText>
      </w:r>
      <w:r w:rsidR="00947941" w:rsidRPr="00062B4F">
        <w:rPr>
          <w:i/>
          <w:iCs/>
          <w:szCs w:val="24"/>
          <w:lang w:eastAsia="ru-RU"/>
        </w:rPr>
        <w:instrText>-</w:instrText>
      </w:r>
      <w:r w:rsidR="00947941" w:rsidRPr="00062B4F">
        <w:rPr>
          <w:i/>
          <w:iCs/>
          <w:szCs w:val="24"/>
          <w:lang w:val="en-US" w:eastAsia="ru-RU"/>
        </w:rPr>
        <w:instrText>citation</w:instrText>
      </w:r>
      <w:r w:rsidR="00947941" w:rsidRPr="00062B4F">
        <w:rPr>
          <w:i/>
          <w:iCs/>
          <w:szCs w:val="24"/>
          <w:lang w:eastAsia="ru-RU"/>
        </w:rPr>
        <w:instrText>.</w:instrText>
      </w:r>
      <w:r w:rsidR="00947941" w:rsidRPr="00062B4F">
        <w:rPr>
          <w:i/>
          <w:iCs/>
          <w:szCs w:val="24"/>
          <w:lang w:val="en-US" w:eastAsia="ru-RU"/>
        </w:rPr>
        <w:instrText>json</w:instrText>
      </w:r>
      <w:r w:rsidR="00947941" w:rsidRPr="00062B4F">
        <w:rPr>
          <w:i/>
          <w:iCs/>
          <w:szCs w:val="24"/>
          <w:lang w:eastAsia="ru-RU"/>
        </w:rPr>
        <w:instrText>"}</w:instrText>
      </w:r>
      <w:r w:rsidRPr="00062B4F">
        <w:rPr>
          <w:i/>
          <w:iCs/>
          <w:szCs w:val="24"/>
          <w:lang w:val="en-US" w:eastAsia="ru-RU"/>
        </w:rPr>
        <w:fldChar w:fldCharType="separate"/>
      </w:r>
      <w:r w:rsidR="0022783A" w:rsidRPr="00062B4F">
        <w:rPr>
          <w:iCs/>
          <w:noProof/>
          <w:szCs w:val="24"/>
          <w:lang w:eastAsia="ru-RU"/>
        </w:rPr>
        <w:t>[27]</w:t>
      </w:r>
      <w:r w:rsidRPr="00062B4F">
        <w:rPr>
          <w:i/>
          <w:iCs/>
          <w:szCs w:val="24"/>
          <w:lang w:val="en-US" w:eastAsia="ru-RU"/>
        </w:rPr>
        <w:fldChar w:fldCharType="end"/>
      </w:r>
      <w:r w:rsidRPr="00062B4F">
        <w:rPr>
          <w:i/>
          <w:iCs/>
          <w:szCs w:val="24"/>
          <w:lang w:eastAsia="ru-RU"/>
        </w:rPr>
        <w:t xml:space="preserve">. Применение этого препарата при БК позволило получить </w:t>
      </w:r>
      <w:r w:rsidR="005E5C31">
        <w:rPr>
          <w:i/>
          <w:iCs/>
          <w:szCs w:val="24"/>
          <w:lang w:eastAsia="ru-RU"/>
        </w:rPr>
        <w:t xml:space="preserve">большой </w:t>
      </w:r>
      <w:r w:rsidR="008E353B">
        <w:rPr>
          <w:i/>
          <w:iCs/>
          <w:szCs w:val="24"/>
          <w:lang w:eastAsia="ru-RU"/>
        </w:rPr>
        <w:t>цитогенетический ответ</w:t>
      </w:r>
      <w:r w:rsidR="008E353B" w:rsidRPr="00062B4F">
        <w:rPr>
          <w:i/>
          <w:iCs/>
          <w:szCs w:val="24"/>
          <w:lang w:eastAsia="ru-RU"/>
        </w:rPr>
        <w:t xml:space="preserve"> </w:t>
      </w:r>
      <w:r w:rsidRPr="00062B4F">
        <w:rPr>
          <w:i/>
          <w:iCs/>
          <w:szCs w:val="24"/>
          <w:lang w:eastAsia="ru-RU"/>
        </w:rPr>
        <w:t xml:space="preserve">у 25% пациентов с миелоидным БК и 50 % пациентов с лимфоидным БК в течение 24 месяцев, однако эти ответы не были длительными </w:t>
      </w:r>
      <w:r w:rsidRPr="00062B4F">
        <w:rPr>
          <w:i/>
          <w:iCs/>
          <w:szCs w:val="24"/>
          <w:lang w:eastAsia="ru-RU"/>
        </w:rPr>
        <w:fldChar w:fldCharType="begin" w:fldLock="1"/>
      </w:r>
      <w:r w:rsidR="00947941" w:rsidRPr="00062B4F">
        <w:rPr>
          <w:i/>
          <w:iCs/>
          <w:szCs w:val="24"/>
          <w:lang w:eastAsia="ru-RU"/>
        </w:rPr>
        <w:instrText>ADDIN CSL_CITATION {"citationItems":[{"id":"ITEM-1","itemData":{"DOI":"10.1002/cncr.25123","ISSN":"0008543X","PMID":"20564086","abstract":"BACKGROUND In a phase 3 study, the authors assessed the effects of dasatinib at doses of 140 mg once daily and 70 mg twice daily in patients who had either chronic myeloid leukemia (CML) in advanced phases or Philadelphia chromosome-positive acute lymphoblastic leukemia and were resistant or intolerant to imatinib. In the current report, the results for patients with CML in blast phase after 2 years of follow-up are reported. METHODS Patients were stratified according to whether they had CML in myeloid blast phase (MBP-CML) or in lymphoid blast phase (LBP-CML) and were randomized (1:1) within each stratum to receive either oral dasatinib 140 mg once daily or 70 mg twice daily. RESULTS In patients with MBP-CML, the major hematologic response rate was 28% for both regimens; and, in patients with LBP-CML, the major hematologic response rate was 42% for once-daily dasatinib and 32% for twice-daily dasatinib. The major cytogenetic response rates were 25% for once-daily dasatinib and 28% for twice-daily dasatinib in patients with MBP-CML, and the respective rates in patients with LBP-CML were 50% and 40%. The overall survival rate at 24 months was 24% for once-daily dasatinib and 28% for twice-daily dasatinib in patients with MBP-CML, and the respective values in patients with LBP-CML were 21% and 16%. Adverse events indicated a trend toward improved tolerability for the once-daily regimen. CONCLUSIONS The current results suggested that dasatinib 140 mg once daily had similar efficacy and improved tolerability relative to the 70-mg twice-daily regimen in patients with imatinib-resistant, blast phase CML.","author":[{"dropping-particle":"","family":"Saglio","given":"Giuseppe","non-dropping-particle":"","parse-names":false,"suffix":""},{"dropping-particle":"","family":"Hochhaus","given":"Andreas","non-dropping-particle":"","parse-names":false,"suffix":""},{"dropping-particle":"","family":"Goh","given":"Yeow Tee","non-dropping-particle":"","parse-names":false,"suffix":""},{"dropping-particle":"","family":"Masszi","given":"Tamas","non-dropping-particle":"","parse-names":false,"suffix":""},{"dropping-particle":"","family":"Pasquini","given":"Ricardo","non-dropping-particle":"","parse-names":false,"suffix":""},{"dropping-particle":"","family":"Maloisel","given":"Frederic","non-dropping-particle":"","parse-names":false,"suffix":""},{"dropping-particle":"","family":"Erben","given":"Philipp","non-dropping-particle":"","parse-names":false,"suffix":""},{"dropping-particle":"","family":"Cortes","given":"Jorge","non-dropping-particle":"","parse-names":false,"suffix":""},{"dropping-particle":"","family":"Paquette","given":"Ronald","non-dropping-particle":"","parse-names":false,"suffix":""},{"dropping-particle":"","family":"Bradley-Garelik","given":"M. Brigid","non-dropping-particle":"","parse-names":false,"suffix":""},{"dropping-particle":"","family":"Zhu","given":"Chao","non-dropping-particle":"","parse-names":false,"suffix":""},{"dropping-particle":"","family":"Dombret","given":"Herve","non-dropping-particle":"","parse-names":false,"suffix":""}],"container-title":"Cancer","id":"ITEM-1","issue":"16","issued":{"date-parts":[["2010","5"]]},"page":"3852-3861","title":"Dasatinib in imatinib-resistant or imatinib-intolerant chronic myeloid leukemia in blast phase after 2 years of follow-up in a phase 3 study","type":"article-journal","volume":"116"},"uris":["http://www.mendeley.com/documents/?uuid=29a15a47-2ffc-376c-a801-4ff0581f395b","http://www.mendeley.com/documents/?uuid=e65ad1d2-16f9-4fe9-aee8-ce0a43c09e75"]}],"mendeley":{"formattedCitation":"[35]","plainTextFormattedCitation":"[35]","previouslyFormattedCitation":"[35]"},"properties":{"noteIndex":0},"schema":"https://github.com/citation-style-language/schema/raw/master/csl-citation.json"}</w:instrText>
      </w:r>
      <w:r w:rsidRPr="00062B4F">
        <w:rPr>
          <w:i/>
          <w:iCs/>
          <w:szCs w:val="24"/>
          <w:lang w:eastAsia="ru-RU"/>
        </w:rPr>
        <w:fldChar w:fldCharType="separate"/>
      </w:r>
      <w:r w:rsidR="00947941" w:rsidRPr="00062B4F">
        <w:rPr>
          <w:iCs/>
          <w:noProof/>
          <w:szCs w:val="24"/>
          <w:lang w:eastAsia="ru-RU"/>
        </w:rPr>
        <w:t>[35]</w:t>
      </w:r>
      <w:r w:rsidRPr="00062B4F">
        <w:rPr>
          <w:i/>
          <w:iCs/>
          <w:szCs w:val="24"/>
          <w:lang w:eastAsia="ru-RU"/>
        </w:rPr>
        <w:fldChar w:fldCharType="end"/>
      </w:r>
      <w:r w:rsidRPr="00062B4F">
        <w:rPr>
          <w:i/>
          <w:iCs/>
          <w:szCs w:val="24"/>
          <w:lang w:eastAsia="ru-RU"/>
        </w:rPr>
        <w:t>.</w:t>
      </w:r>
      <w:r w:rsidRPr="00062B4F">
        <w:rPr>
          <w:i/>
          <w:iCs/>
          <w:sz w:val="16"/>
          <w:szCs w:val="16"/>
          <w:lang w:eastAsia="ru-RU"/>
        </w:rPr>
        <w:t xml:space="preserve"> </w:t>
      </w:r>
      <w:r w:rsidRPr="00062B4F">
        <w:rPr>
          <w:i/>
          <w:iCs/>
          <w:szCs w:val="24"/>
          <w:lang w:eastAsia="ru-RU"/>
        </w:rPr>
        <w:t xml:space="preserve">Рекомендуемая доза </w:t>
      </w:r>
      <w:proofErr w:type="spellStart"/>
      <w:r w:rsidRPr="00062B4F">
        <w:rPr>
          <w:i/>
          <w:iCs/>
          <w:szCs w:val="24"/>
          <w:lang w:eastAsia="ru-RU"/>
        </w:rPr>
        <w:t>дазатиниба</w:t>
      </w:r>
      <w:proofErr w:type="spellEnd"/>
      <w:r w:rsidRPr="00062B4F">
        <w:rPr>
          <w:i/>
          <w:iCs/>
          <w:szCs w:val="24"/>
          <w:lang w:eastAsia="ru-RU"/>
        </w:rPr>
        <w:t>** во 2</w:t>
      </w:r>
      <w:r w:rsidR="004E1CF9">
        <w:rPr>
          <w:i/>
          <w:iCs/>
          <w:szCs w:val="24"/>
          <w:lang w:eastAsia="ru-RU"/>
        </w:rPr>
        <w:t>-ой</w:t>
      </w:r>
      <w:r w:rsidRPr="00062B4F">
        <w:rPr>
          <w:i/>
          <w:iCs/>
          <w:szCs w:val="24"/>
          <w:lang w:eastAsia="ru-RU"/>
        </w:rPr>
        <w:t xml:space="preserve"> и последующих линиях для ХФ составляет 100 мг/</w:t>
      </w:r>
      <w:proofErr w:type="spellStart"/>
      <w:r w:rsidRPr="00062B4F">
        <w:rPr>
          <w:i/>
          <w:iCs/>
          <w:szCs w:val="24"/>
          <w:lang w:eastAsia="ru-RU"/>
        </w:rPr>
        <w:t>сут</w:t>
      </w:r>
      <w:proofErr w:type="spellEnd"/>
      <w:r w:rsidRPr="00062B4F">
        <w:rPr>
          <w:i/>
          <w:iCs/>
          <w:szCs w:val="24"/>
          <w:lang w:eastAsia="ru-RU"/>
        </w:rPr>
        <w:t>, а для ФА и БК 140 мг/</w:t>
      </w:r>
      <w:proofErr w:type="spellStart"/>
      <w:r w:rsidRPr="00062B4F">
        <w:rPr>
          <w:i/>
          <w:iCs/>
          <w:szCs w:val="24"/>
          <w:lang w:eastAsia="ru-RU"/>
        </w:rPr>
        <w:t>сут</w:t>
      </w:r>
      <w:proofErr w:type="spellEnd"/>
      <w:r w:rsidRPr="00062B4F">
        <w:rPr>
          <w:i/>
          <w:iCs/>
          <w:szCs w:val="24"/>
          <w:lang w:eastAsia="ru-RU"/>
        </w:rPr>
        <w:t xml:space="preserve"> </w:t>
      </w:r>
      <w:r w:rsidRPr="00062B4F">
        <w:rPr>
          <w:i/>
          <w:iCs/>
          <w:szCs w:val="24"/>
          <w:lang w:eastAsia="ru-RU"/>
        </w:rPr>
        <w:fldChar w:fldCharType="begin" w:fldLock="1"/>
      </w:r>
      <w:r w:rsidR="0022783A" w:rsidRPr="00062B4F">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mendeley":{"formattedCitation":"[26]","plainTextFormattedCitation":"[26]","previouslyFormattedCitation":"[26]"},"properties":{"noteIndex":0},"schema":"https://github.com/citation-style-language/schema/raw/master/csl-citation.json"}</w:instrText>
      </w:r>
      <w:r w:rsidRPr="00062B4F">
        <w:rPr>
          <w:i/>
          <w:iCs/>
          <w:szCs w:val="24"/>
          <w:lang w:eastAsia="ru-RU"/>
        </w:rPr>
        <w:fldChar w:fldCharType="separate"/>
      </w:r>
      <w:r w:rsidR="0022783A" w:rsidRPr="00062B4F">
        <w:rPr>
          <w:iCs/>
          <w:noProof/>
          <w:szCs w:val="24"/>
          <w:lang w:eastAsia="ru-RU"/>
        </w:rPr>
        <w:t>[26]</w:t>
      </w:r>
      <w:r w:rsidRPr="00062B4F">
        <w:rPr>
          <w:i/>
          <w:iCs/>
          <w:szCs w:val="24"/>
          <w:lang w:eastAsia="ru-RU"/>
        </w:rPr>
        <w:fldChar w:fldCharType="end"/>
      </w:r>
      <w:r w:rsidRPr="00062B4F">
        <w:rPr>
          <w:i/>
          <w:iCs/>
          <w:szCs w:val="24"/>
          <w:lang w:eastAsia="ru-RU"/>
        </w:rPr>
        <w:t>.</w:t>
      </w:r>
    </w:p>
    <w:p w14:paraId="619178D8" w14:textId="6CC5CD7B" w:rsidR="000C7098" w:rsidRDefault="000C7098" w:rsidP="00137BCA">
      <w:pPr>
        <w:spacing w:line="372" w:lineRule="auto"/>
        <w:rPr>
          <w:i/>
          <w:iCs/>
          <w:szCs w:val="24"/>
          <w:lang w:eastAsia="ru-RU"/>
        </w:rPr>
      </w:pPr>
      <w:proofErr w:type="spellStart"/>
      <w:r w:rsidRPr="00062B4F">
        <w:rPr>
          <w:i/>
          <w:iCs/>
          <w:szCs w:val="24"/>
          <w:lang w:eastAsia="ru-RU"/>
        </w:rPr>
        <w:t>Бозутиниб</w:t>
      </w:r>
      <w:proofErr w:type="spellEnd"/>
      <w:r w:rsidR="00A779BB" w:rsidRPr="00062B4F">
        <w:rPr>
          <w:iCs/>
          <w:szCs w:val="24"/>
          <w:lang w:eastAsia="ru-RU"/>
        </w:rPr>
        <w:t>**</w:t>
      </w:r>
      <w:r w:rsidRPr="00062B4F">
        <w:rPr>
          <w:i/>
          <w:iCs/>
          <w:szCs w:val="24"/>
          <w:lang w:eastAsia="ru-RU"/>
        </w:rPr>
        <w:t xml:space="preserve"> также оказался эффективным у пациентов с резистентностью или непереносимостью предшествующей терапии </w:t>
      </w:r>
      <w:proofErr w:type="spellStart"/>
      <w:r w:rsidRPr="00062B4F">
        <w:rPr>
          <w:i/>
          <w:iCs/>
          <w:szCs w:val="24"/>
          <w:lang w:eastAsia="ru-RU"/>
        </w:rPr>
        <w:t>иматинибом</w:t>
      </w:r>
      <w:proofErr w:type="spellEnd"/>
      <w:r w:rsidRPr="00062B4F">
        <w:rPr>
          <w:i/>
          <w:iCs/>
          <w:szCs w:val="24"/>
          <w:lang w:eastAsia="ru-RU"/>
        </w:rPr>
        <w:t xml:space="preserve">**. При медиане наблюдения ≥24 мес. кумулятивная частота достижения ПГО и ПЦО составила 77 % и 46 % соответственно, БМО и глубокий МО были получены у 35 % и 28 % </w:t>
      </w:r>
      <w:r w:rsidRPr="00062B4F">
        <w:rPr>
          <w:i/>
          <w:iCs/>
          <w:szCs w:val="24"/>
          <w:lang w:eastAsia="ru-RU"/>
        </w:rPr>
        <w:fldChar w:fldCharType="begin" w:fldLock="1"/>
      </w:r>
      <w:r w:rsidR="00947941" w:rsidRPr="00062B4F">
        <w:rPr>
          <w:i/>
          <w:iCs/>
          <w:szCs w:val="24"/>
          <w:lang w:eastAsia="ru-RU"/>
        </w:rPr>
        <w:instrText>ADDIN CSL_CITATION {"citationItems":[{"id":"ITEM-1","itemData":{"DOI":"10.1002/ajh.23728","ISSN":"03618609","PMID":"24711212","abstract":"Bosutinib is an orally active, dual Src/Abl tyrosine kinase inhibitor for treatment of chronic myeloid leukemia (CML) following resistance/intolerance to prior therapy. Here, we report the data from the 2-year follow-up of a phase 1/2 open-label study evaluating the efficacy and safety of bosutinib as second-line therapy in 288 patients with chronic phase CML resistant (n = 200) or intolerant (n = 88) to imatinib. The cumulative response rates to bosutinib were as follows: 85% achieved/maintained complete hematologic response, 59% achieved/maintained major cytogenetic response (including 48% with complete cytogenetic response), and 35% achieved major molecular response. Responses were durable, with 2-year estimates of retaining response &gt;70%. Two-year probabilities of progression-free survival and overall survival were 81% and 91%, respectively. The most common toxicities were primarily gastrointestinal adverse events (diarrhea [84%], nausea [45%], vomiting [37%]), which were primarily mild to moderate, typically transient, and first occurred early during treatment. Thrombocytopenia was the most common grade 3/4 hematologic laboratory abnormality (24%). Outcomes were generally similar among imatinib-resistant and imatinib-intolerant patients and did not differ with age. The longer-term results of the present analysis confirm that bosutinib is an effective and tolerable second-line therapy for patients with imatinib-resistant or imatinib-intolerant chronic phase CML. ClinicalTrials.gov Identifier: NCT00261846.","author":[{"dropping-particle":"","family":"Gambacorti-Passerini","given":"Carlo","non-dropping-particle":"","parse-names":false,"suffix":""},{"dropping-particle":"","family":"Brümmendorf","given":"Tim H.","non-dropping-particle":"","parse-names":false,"suffix":""},{"dropping-particle":"","family":"Kim","given":"Dong-Wook","non-dropping-particle":"","parse-names":false,"suffix":""},{"dropping-particle":"","family":"Turkina","given":"Anna G.","non-dropping-particle":"","parse-names":false,"suffix":""},{"dropping-particle":"","family":"Masszi","given":"Tamas","non-dropping-particle":"","parse-names":false,"suffix":""},{"dropping-particle":"","family":"Assouline","given":"Sarit","non-dropping-particle":"","parse-names":false,"suffix":""},{"dropping-particle":"","family":"Durrant","given":"Simon","non-dropping-particle":"","parse-names":false,"suffix":""},{"dropping-particle":"","family":"Kantarjian","given":"Hagop M.","non-dropping-particle":"","parse-names":false,"suffix":""},{"dropping-particle":"","family":"Khoury","given":"H. Jean","non-dropping-particle":"","parse-names":false,"suffix":""},{"dropping-particle":"","family":"Zaritskey","given":"Andrey","non-dropping-particle":"","parse-names":false,"suffix":""},{"dropping-particle":"","family":"Shen","given":"Zhi-Xiang","non-dropping-particle":"","parse-names":false,"suffix":""},{"dropping-particle":"","family":"Jin","given":"Jie","non-dropping-particle":"","parse-names":false,"suffix":""},{"dropping-particle":"","family":"Vellenga","given":"Edo","non-dropping-particle":"","parse-names":false,"suffix":""},{"dropping-particle":"","family":"Pasquini","given":"Ricardo","non-dropping-particle":"","parse-names":false,"suffix":""},{"dropping-particle":"","family":"Mathews","given":"Vikram","non-dropping-particle":"","parse-names":false,"suffix":""},{"dropping-particle":"","family":"Cervantes","given":"Francisco","non-dropping-particle":"","parse-names":false,"suffix":""},{"dropping-particle":"","family":"Besson","given":"Nadine","non-dropping-particle":"","parse-names":false,"suffix":""},{"dropping-particle":"","family":"Turnbull","given":"Kathleen","non-dropping-particle":"","parse-names":false,"suffix":""},{"dropping-particle":"","family":"Leip","given":"Eric","non-dropping-particle":"","parse-names":false,"suffix":""},{"dropping-particle":"","family":"Kelly","given":"Virginia","non-dropping-particle":"","parse-names":false,"suffix":""},{"dropping-particle":"","family":"Cortes","given":"Jorge E.","non-dropping-particle":"","parse-names":false,"suffix":""}],"container-title":"American Journal of Hematology","id":"ITEM-1","issue":"7","issued":{"date-parts":[["2014","7"]]},"page":"732-742","title":"Bosutinib efficacy and safety in chronic phase chronic myeloid leukemia after imatinib resistance or intolerance: Minimum 24-month follow-up","type":"article-journal","volume":"89"},"uris":["http://www.mendeley.com/documents/?uuid=da11a351-2ed3-3830-afed-7d63767b729a","http://www.mendeley.com/documents/?uuid=ac80a76e-0b42-4ae1-b8ba-0ab152dd0b17"]}],"mendeley":{"formattedCitation":"[37]","plainTextFormattedCitation":"[37]","previouslyFormattedCitation":"[37]"},"properties":{"noteIndex":0},"schema":"https://github.com/citation-style-language/schema/raw/master/csl-citation.json"}</w:instrText>
      </w:r>
      <w:r w:rsidRPr="00062B4F">
        <w:rPr>
          <w:i/>
          <w:iCs/>
          <w:szCs w:val="24"/>
          <w:lang w:eastAsia="ru-RU"/>
        </w:rPr>
        <w:fldChar w:fldCharType="separate"/>
      </w:r>
      <w:r w:rsidR="00947941" w:rsidRPr="00062B4F">
        <w:rPr>
          <w:iCs/>
          <w:noProof/>
          <w:szCs w:val="24"/>
          <w:lang w:eastAsia="ru-RU"/>
        </w:rPr>
        <w:t>[37]</w:t>
      </w:r>
      <w:r w:rsidRPr="00062B4F">
        <w:rPr>
          <w:i/>
          <w:iCs/>
          <w:szCs w:val="24"/>
          <w:lang w:eastAsia="ru-RU"/>
        </w:rPr>
        <w:fldChar w:fldCharType="end"/>
      </w:r>
      <w:r w:rsidRPr="00062B4F">
        <w:rPr>
          <w:i/>
          <w:iCs/>
          <w:szCs w:val="24"/>
          <w:lang w:eastAsia="ru-RU"/>
        </w:rPr>
        <w:t xml:space="preserve">. </w:t>
      </w:r>
      <w:proofErr w:type="spellStart"/>
      <w:r w:rsidRPr="00062B4F">
        <w:rPr>
          <w:i/>
          <w:iCs/>
          <w:szCs w:val="24"/>
          <w:lang w:eastAsia="ru-RU"/>
        </w:rPr>
        <w:t>Бозутиниб</w:t>
      </w:r>
      <w:proofErr w:type="spellEnd"/>
      <w:r w:rsidR="009B2E6C">
        <w:rPr>
          <w:i/>
          <w:iCs/>
          <w:szCs w:val="24"/>
          <w:lang w:eastAsia="ru-RU"/>
        </w:rPr>
        <w:t>**</w:t>
      </w:r>
      <w:r w:rsidRPr="00062B4F">
        <w:rPr>
          <w:i/>
          <w:iCs/>
          <w:szCs w:val="24"/>
          <w:lang w:eastAsia="ru-RU"/>
        </w:rPr>
        <w:t xml:space="preserve"> также показал эффективность у пациентов с неудачей терапии не только </w:t>
      </w:r>
      <w:proofErr w:type="spellStart"/>
      <w:r w:rsidRPr="00062B4F">
        <w:rPr>
          <w:i/>
          <w:iCs/>
          <w:szCs w:val="24"/>
          <w:lang w:eastAsia="ru-RU"/>
        </w:rPr>
        <w:t>иматинибом</w:t>
      </w:r>
      <w:proofErr w:type="spellEnd"/>
      <w:r w:rsidRPr="00062B4F">
        <w:rPr>
          <w:i/>
          <w:iCs/>
          <w:szCs w:val="24"/>
          <w:lang w:eastAsia="ru-RU"/>
        </w:rPr>
        <w:t>**, но и ИТК2 (</w:t>
      </w:r>
      <w:proofErr w:type="spellStart"/>
      <w:r w:rsidRPr="00062B4F">
        <w:rPr>
          <w:i/>
          <w:iCs/>
          <w:szCs w:val="24"/>
          <w:lang w:eastAsia="ru-RU"/>
        </w:rPr>
        <w:t>дазатиниб</w:t>
      </w:r>
      <w:proofErr w:type="spellEnd"/>
      <w:r w:rsidRPr="00062B4F">
        <w:rPr>
          <w:i/>
          <w:iCs/>
          <w:szCs w:val="24"/>
          <w:lang w:eastAsia="ru-RU"/>
        </w:rPr>
        <w:t xml:space="preserve">**, </w:t>
      </w:r>
      <w:proofErr w:type="spellStart"/>
      <w:r w:rsidRPr="00062B4F">
        <w:rPr>
          <w:i/>
          <w:iCs/>
          <w:szCs w:val="24"/>
          <w:lang w:eastAsia="ru-RU"/>
        </w:rPr>
        <w:t>нилотиниб</w:t>
      </w:r>
      <w:proofErr w:type="spellEnd"/>
      <w:r w:rsidRPr="00062B4F">
        <w:rPr>
          <w:i/>
          <w:iCs/>
          <w:szCs w:val="24"/>
          <w:lang w:eastAsia="ru-RU"/>
        </w:rPr>
        <w:t xml:space="preserve">**). ПГО, ПЦО и БМО достигли 62/86 (72%), 16/72 (22 %) и 20/78 (25 %) пациентов соответственно после терапии </w:t>
      </w:r>
      <w:proofErr w:type="spellStart"/>
      <w:r w:rsidRPr="00062B4F">
        <w:rPr>
          <w:i/>
          <w:iCs/>
          <w:szCs w:val="24"/>
          <w:lang w:eastAsia="ru-RU"/>
        </w:rPr>
        <w:lastRenderedPageBreak/>
        <w:t>иматинибом</w:t>
      </w:r>
      <w:proofErr w:type="spellEnd"/>
      <w:r w:rsidRPr="00062B4F">
        <w:rPr>
          <w:i/>
          <w:iCs/>
          <w:szCs w:val="24"/>
          <w:lang w:eastAsia="ru-RU"/>
        </w:rPr>
        <w:t xml:space="preserve">** и </w:t>
      </w:r>
      <w:proofErr w:type="spellStart"/>
      <w:r w:rsidRPr="00062B4F">
        <w:rPr>
          <w:i/>
          <w:iCs/>
          <w:szCs w:val="24"/>
          <w:lang w:eastAsia="ru-RU"/>
        </w:rPr>
        <w:t>дазатинибом</w:t>
      </w:r>
      <w:proofErr w:type="spellEnd"/>
      <w:r w:rsidRPr="00062B4F">
        <w:rPr>
          <w:i/>
          <w:iCs/>
          <w:szCs w:val="24"/>
          <w:lang w:eastAsia="ru-RU"/>
        </w:rPr>
        <w:t xml:space="preserve">**. Эти же показатели были зарегистрированы у 20/26 (77 %), 5/24 (21 %) и 1/19 (5 %) пациентов, ранее получавших </w:t>
      </w:r>
      <w:proofErr w:type="spellStart"/>
      <w:r w:rsidRPr="00062B4F">
        <w:rPr>
          <w:i/>
          <w:iCs/>
          <w:szCs w:val="24"/>
          <w:lang w:eastAsia="ru-RU"/>
        </w:rPr>
        <w:t>иматиниб</w:t>
      </w:r>
      <w:proofErr w:type="spellEnd"/>
      <w:r w:rsidRPr="00062B4F">
        <w:rPr>
          <w:i/>
          <w:iCs/>
          <w:szCs w:val="24"/>
          <w:lang w:eastAsia="ru-RU"/>
        </w:rPr>
        <w:t xml:space="preserve">** и </w:t>
      </w:r>
      <w:proofErr w:type="spellStart"/>
      <w:r w:rsidRPr="00062B4F">
        <w:rPr>
          <w:i/>
          <w:iCs/>
          <w:szCs w:val="24"/>
          <w:lang w:eastAsia="ru-RU"/>
        </w:rPr>
        <w:t>нилотиниб</w:t>
      </w:r>
      <w:proofErr w:type="spellEnd"/>
      <w:r w:rsidR="006851B6" w:rsidRPr="00062B4F">
        <w:rPr>
          <w:i/>
          <w:iCs/>
          <w:szCs w:val="24"/>
          <w:lang w:eastAsia="ru-RU"/>
        </w:rPr>
        <w:t>*</w:t>
      </w:r>
      <w:r w:rsidRPr="00062B4F">
        <w:rPr>
          <w:i/>
          <w:iCs/>
          <w:szCs w:val="24"/>
          <w:lang w:eastAsia="ru-RU"/>
        </w:rPr>
        <w:t xml:space="preserve">* </w:t>
      </w:r>
      <w:r w:rsidRPr="00062B4F">
        <w:rPr>
          <w:i/>
          <w:iCs/>
          <w:szCs w:val="24"/>
          <w:lang w:eastAsia="ru-RU"/>
        </w:rPr>
        <w:fldChar w:fldCharType="begin" w:fldLock="1"/>
      </w:r>
      <w:r w:rsidR="00947941" w:rsidRPr="00062B4F">
        <w:rPr>
          <w:i/>
          <w:iCs/>
          <w:szCs w:val="24"/>
          <w:lang w:eastAsia="ru-RU"/>
        </w:rPr>
        <w:instrText>ADDIN CSL_CITATION {"citationItems":[{"id":"ITEM-1","itemData":{"DOI":"10.1002/ajh.24536","ISSN":"0361-8609","PMID":"27531525","abstract":"Bosutinib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Hematology","id":"ITEM-1","issue":"12","issued":{"date-parts":[["2016","12"]]},"page":"1206-1214","title":"Long‐term bosutinib for chronic phase chronic myeloid leukemia after failure of imatinib plus dasatinib and/or nilotinib","type":"article-journal","volume":"91"},"uris":["http://www.mendeley.com/documents/?uuid=87cbe86c-cda5-3d8b-8ad3-6857ead4cf87","http://www.mendeley.com/documents/?uuid=cb4ca7e0-91a8-4047-a36e-7c8a2122b009"]}],"mendeley":{"formattedCitation":"[33]","plainTextFormattedCitation":"[33]","previouslyFormattedCitation":"[33]"},"properties":{"noteIndex":0},"schema":"https://github.com/citation-style-language/schema/raw/master/csl-citation.json"}</w:instrText>
      </w:r>
      <w:r w:rsidRPr="00062B4F">
        <w:rPr>
          <w:i/>
          <w:iCs/>
          <w:szCs w:val="24"/>
          <w:lang w:eastAsia="ru-RU"/>
        </w:rPr>
        <w:fldChar w:fldCharType="separate"/>
      </w:r>
      <w:r w:rsidR="00947941" w:rsidRPr="00062B4F">
        <w:rPr>
          <w:iCs/>
          <w:noProof/>
          <w:szCs w:val="24"/>
          <w:lang w:eastAsia="ru-RU"/>
        </w:rPr>
        <w:t>[33]</w:t>
      </w:r>
      <w:r w:rsidRPr="00062B4F">
        <w:rPr>
          <w:i/>
          <w:iCs/>
          <w:szCs w:val="24"/>
          <w:lang w:eastAsia="ru-RU"/>
        </w:rPr>
        <w:fldChar w:fldCharType="end"/>
      </w:r>
      <w:r w:rsidRPr="00062B4F">
        <w:rPr>
          <w:i/>
          <w:iCs/>
          <w:szCs w:val="24"/>
          <w:lang w:eastAsia="ru-RU"/>
        </w:rPr>
        <w:t xml:space="preserve">. Таким образом, небольшая доля пациентов с предшествующей неудачей терапии двумя ИТК на фоне приема </w:t>
      </w:r>
      <w:proofErr w:type="spellStart"/>
      <w:r w:rsidRPr="00062B4F">
        <w:rPr>
          <w:i/>
          <w:iCs/>
          <w:szCs w:val="24"/>
          <w:lang w:eastAsia="ru-RU"/>
        </w:rPr>
        <w:t>бозутиниба</w:t>
      </w:r>
      <w:proofErr w:type="spellEnd"/>
      <w:r w:rsidR="00A779BB" w:rsidRPr="00062B4F">
        <w:rPr>
          <w:iCs/>
          <w:szCs w:val="24"/>
          <w:lang w:eastAsia="ru-RU"/>
        </w:rPr>
        <w:t>**</w:t>
      </w:r>
      <w:r w:rsidRPr="00062B4F">
        <w:rPr>
          <w:i/>
          <w:iCs/>
          <w:szCs w:val="24"/>
          <w:lang w:eastAsia="ru-RU"/>
        </w:rPr>
        <w:t xml:space="preserve"> могла достигать не только ПГО, но и более глубоких (цитогенетических и молекулярных) ответов.</w:t>
      </w:r>
    </w:p>
    <w:p w14:paraId="75000F9D" w14:textId="0A2B08DA" w:rsidR="009F4F1F" w:rsidRPr="00710D11" w:rsidRDefault="00D93513" w:rsidP="008C3BF9">
      <w:pPr>
        <w:pStyle w:val="afe"/>
        <w:numPr>
          <w:ilvl w:val="0"/>
          <w:numId w:val="18"/>
        </w:numPr>
        <w:spacing w:line="372" w:lineRule="auto"/>
        <w:rPr>
          <w:bCs/>
          <w:iCs/>
          <w:szCs w:val="24"/>
          <w:lang w:eastAsia="ru-RU"/>
        </w:rPr>
      </w:pPr>
      <w:r w:rsidRPr="00710D11">
        <w:rPr>
          <w:b/>
          <w:bCs/>
          <w:iCs/>
          <w:szCs w:val="24"/>
          <w:lang w:eastAsia="ru-RU"/>
        </w:rPr>
        <w:t xml:space="preserve">Рекомендуется </w:t>
      </w:r>
      <w:r w:rsidR="0036386B" w:rsidRPr="00710D11">
        <w:rPr>
          <w:bCs/>
          <w:iCs/>
          <w:szCs w:val="24"/>
          <w:lang w:eastAsia="ru-RU"/>
        </w:rPr>
        <w:t xml:space="preserve">терапия </w:t>
      </w:r>
      <w:proofErr w:type="spellStart"/>
      <w:r w:rsidR="0036386B" w:rsidRPr="00710D11">
        <w:rPr>
          <w:bCs/>
          <w:iCs/>
          <w:szCs w:val="24"/>
          <w:lang w:eastAsia="ru-RU"/>
        </w:rPr>
        <w:t>понатинибом</w:t>
      </w:r>
      <w:proofErr w:type="spellEnd"/>
      <w:r w:rsidR="0036386B" w:rsidRPr="00710D11">
        <w:rPr>
          <w:bCs/>
          <w:iCs/>
          <w:szCs w:val="24"/>
          <w:lang w:eastAsia="ru-RU"/>
        </w:rPr>
        <w:t xml:space="preserve"> </w:t>
      </w:r>
      <w:r w:rsidR="003E56C4" w:rsidRPr="00710D11">
        <w:rPr>
          <w:bCs/>
          <w:iCs/>
          <w:szCs w:val="24"/>
          <w:lang w:eastAsia="ru-RU"/>
        </w:rPr>
        <w:t>пациентам</w:t>
      </w:r>
      <w:r w:rsidR="003E56C4" w:rsidRPr="00710D11">
        <w:rPr>
          <w:b/>
          <w:bCs/>
          <w:iCs/>
          <w:szCs w:val="24"/>
          <w:lang w:eastAsia="ru-RU"/>
        </w:rPr>
        <w:t xml:space="preserve"> </w:t>
      </w:r>
      <w:r w:rsidR="00D1012D" w:rsidRPr="00710D11">
        <w:rPr>
          <w:bCs/>
          <w:iCs/>
          <w:szCs w:val="24"/>
          <w:lang w:eastAsia="ru-RU"/>
        </w:rPr>
        <w:t xml:space="preserve">в ХФ, ФА и БК ХМЛ с резистентностью </w:t>
      </w:r>
      <w:r w:rsidR="00A04C3E" w:rsidRPr="00710D11">
        <w:rPr>
          <w:bCs/>
          <w:iCs/>
          <w:szCs w:val="24"/>
          <w:lang w:eastAsia="ru-RU"/>
        </w:rPr>
        <w:t xml:space="preserve">или непереносимостью </w:t>
      </w:r>
      <w:r w:rsidR="00F30DC1" w:rsidRPr="00710D11">
        <w:rPr>
          <w:bCs/>
          <w:iCs/>
          <w:szCs w:val="24"/>
          <w:lang w:eastAsia="ru-RU"/>
        </w:rPr>
        <w:t>ИТК2</w:t>
      </w:r>
      <w:r w:rsidR="00B85862" w:rsidRPr="00710D11">
        <w:rPr>
          <w:bCs/>
          <w:iCs/>
          <w:szCs w:val="24"/>
          <w:lang w:eastAsia="ru-RU"/>
        </w:rPr>
        <w:t xml:space="preserve">, а также всем пациентам с мутацией T315I в гене </w:t>
      </w:r>
      <w:proofErr w:type="gramStart"/>
      <w:r w:rsidR="00B85862" w:rsidRPr="00710D11">
        <w:rPr>
          <w:bCs/>
          <w:i/>
          <w:iCs/>
          <w:szCs w:val="24"/>
          <w:lang w:val="en-US" w:eastAsia="ru-RU"/>
        </w:rPr>
        <w:t>BCR</w:t>
      </w:r>
      <w:r w:rsidR="00B85862" w:rsidRPr="00710D11">
        <w:rPr>
          <w:bCs/>
          <w:i/>
          <w:iCs/>
          <w:szCs w:val="24"/>
          <w:lang w:eastAsia="ru-RU"/>
        </w:rPr>
        <w:t>::</w:t>
      </w:r>
      <w:proofErr w:type="gramEnd"/>
      <w:r w:rsidR="00B85862" w:rsidRPr="00710D11">
        <w:rPr>
          <w:bCs/>
          <w:i/>
          <w:iCs/>
          <w:szCs w:val="24"/>
          <w:lang w:val="en-US" w:eastAsia="ru-RU"/>
        </w:rPr>
        <w:t>ABL</w:t>
      </w:r>
      <w:r w:rsidR="00B85862" w:rsidRPr="00710D11">
        <w:rPr>
          <w:bCs/>
          <w:i/>
          <w:iCs/>
          <w:szCs w:val="24"/>
          <w:lang w:eastAsia="ru-RU"/>
        </w:rPr>
        <w:t>1</w:t>
      </w:r>
      <w:r w:rsidR="00B85862" w:rsidRPr="00710D11">
        <w:rPr>
          <w:bCs/>
          <w:iCs/>
          <w:szCs w:val="24"/>
          <w:lang w:eastAsia="ru-RU"/>
        </w:rPr>
        <w:t xml:space="preserve"> </w:t>
      </w:r>
      <w:r w:rsidR="00DD65BD" w:rsidRPr="00710D11">
        <w:rPr>
          <w:bCs/>
          <w:iCs/>
          <w:szCs w:val="24"/>
          <w:lang w:eastAsia="ru-RU"/>
        </w:rPr>
        <w:t>вне зависимости от предшествующей терапии</w:t>
      </w:r>
      <w:r w:rsidR="00D721C0" w:rsidRPr="00710D11">
        <w:rPr>
          <w:bCs/>
          <w:iCs/>
          <w:szCs w:val="24"/>
          <w:lang w:eastAsia="ru-RU"/>
        </w:rPr>
        <w:t xml:space="preserve"> </w:t>
      </w:r>
      <w:r w:rsidR="00CC5801" w:rsidRPr="00710D11">
        <w:rPr>
          <w:bCs/>
          <w:iCs/>
          <w:szCs w:val="24"/>
          <w:lang w:eastAsia="ru-RU"/>
        </w:rPr>
        <w:t>[</w:t>
      </w:r>
      <w:r w:rsidR="008C3BF9" w:rsidRPr="00710D11">
        <w:rPr>
          <w:bCs/>
          <w:iCs/>
          <w:szCs w:val="24"/>
          <w:lang w:eastAsia="ru-RU"/>
        </w:rPr>
        <w:t>107,108</w:t>
      </w:r>
      <w:r w:rsidR="00CC5801" w:rsidRPr="00710D11">
        <w:rPr>
          <w:bCs/>
          <w:iCs/>
          <w:szCs w:val="24"/>
          <w:lang w:eastAsia="ru-RU"/>
        </w:rPr>
        <w:t>]</w:t>
      </w:r>
    </w:p>
    <w:p w14:paraId="64A933D9" w14:textId="77777777" w:rsidR="008C3BF9" w:rsidRPr="00710D11" w:rsidRDefault="008C3BF9" w:rsidP="008C3BF9">
      <w:pPr>
        <w:spacing w:before="120" w:after="120"/>
        <w:ind w:left="709" w:firstLine="0"/>
        <w:rPr>
          <w:b/>
          <w:bCs/>
          <w:szCs w:val="24"/>
          <w:lang w:eastAsia="ru-RU"/>
        </w:rPr>
      </w:pPr>
      <w:r w:rsidRPr="00710D11">
        <w:rPr>
          <w:b/>
          <w:bCs/>
          <w:szCs w:val="24"/>
          <w:lang w:eastAsia="ru-RU"/>
        </w:rPr>
        <w:t>Уровень убедительности рекомендаций – В (уровень достоверности доказательств – 2).</w:t>
      </w:r>
    </w:p>
    <w:p w14:paraId="2FFF3A16" w14:textId="461A210B" w:rsidR="008C3BF9" w:rsidRPr="00CA15D9" w:rsidRDefault="00D10682" w:rsidP="00137BCA">
      <w:pPr>
        <w:spacing w:line="372" w:lineRule="auto"/>
        <w:rPr>
          <w:bCs/>
          <w:i/>
          <w:iCs/>
          <w:szCs w:val="24"/>
          <w:lang w:eastAsia="ru-RU"/>
        </w:rPr>
      </w:pPr>
      <w:r w:rsidRPr="00710D11">
        <w:rPr>
          <w:b/>
          <w:bCs/>
          <w:i/>
          <w:iCs/>
          <w:szCs w:val="24"/>
          <w:lang w:eastAsia="ru-RU"/>
        </w:rPr>
        <w:t xml:space="preserve">Комментарий: </w:t>
      </w:r>
      <w:proofErr w:type="spellStart"/>
      <w:r w:rsidRPr="00710D11">
        <w:rPr>
          <w:bCs/>
          <w:i/>
          <w:iCs/>
          <w:szCs w:val="24"/>
          <w:lang w:eastAsia="ru-RU"/>
        </w:rPr>
        <w:t>понатиниб</w:t>
      </w:r>
      <w:proofErr w:type="spellEnd"/>
      <w:r w:rsidR="009F0C09" w:rsidRPr="00710D11">
        <w:rPr>
          <w:bCs/>
          <w:i/>
          <w:iCs/>
          <w:szCs w:val="24"/>
          <w:lang w:eastAsia="ru-RU"/>
        </w:rPr>
        <w:t xml:space="preserve"> относится к 3-ему поколению ИТК</w:t>
      </w:r>
      <w:r w:rsidR="00CA15D9" w:rsidRPr="00710D11">
        <w:rPr>
          <w:bCs/>
          <w:i/>
          <w:iCs/>
          <w:szCs w:val="24"/>
          <w:lang w:eastAsia="ru-RU"/>
        </w:rPr>
        <w:t>.</w:t>
      </w:r>
      <w:r w:rsidR="00FE3365" w:rsidRPr="00710D11">
        <w:rPr>
          <w:bCs/>
          <w:i/>
          <w:iCs/>
          <w:szCs w:val="24"/>
          <w:lang w:eastAsia="ru-RU"/>
        </w:rPr>
        <w:t xml:space="preserve"> </w:t>
      </w:r>
      <w:proofErr w:type="spellStart"/>
      <w:r w:rsidR="00CA15D9" w:rsidRPr="00710D11">
        <w:rPr>
          <w:bCs/>
          <w:i/>
          <w:iCs/>
          <w:szCs w:val="24"/>
          <w:lang w:eastAsia="ru-RU"/>
        </w:rPr>
        <w:t>Понатиниб</w:t>
      </w:r>
      <w:proofErr w:type="spellEnd"/>
      <w:r w:rsidR="00CA15D9" w:rsidRPr="00710D11">
        <w:rPr>
          <w:bCs/>
          <w:i/>
          <w:iCs/>
          <w:szCs w:val="24"/>
          <w:lang w:eastAsia="ru-RU"/>
        </w:rPr>
        <w:t xml:space="preserve"> </w:t>
      </w:r>
      <w:r w:rsidR="00FE3365" w:rsidRPr="00710D11">
        <w:rPr>
          <w:bCs/>
          <w:i/>
          <w:iCs/>
          <w:szCs w:val="24"/>
          <w:lang w:eastAsia="ru-RU"/>
        </w:rPr>
        <w:t>показал эффективность в т</w:t>
      </w:r>
      <w:r w:rsidR="00500EFC" w:rsidRPr="00710D11">
        <w:rPr>
          <w:bCs/>
          <w:i/>
          <w:iCs/>
          <w:szCs w:val="24"/>
          <w:lang w:eastAsia="ru-RU"/>
        </w:rPr>
        <w:t xml:space="preserve">ом числе и у пациентов с мутацией T315I в гене </w:t>
      </w:r>
      <w:proofErr w:type="gramStart"/>
      <w:r w:rsidR="00500EFC" w:rsidRPr="00710D11">
        <w:rPr>
          <w:bCs/>
          <w:i/>
          <w:iCs/>
          <w:szCs w:val="24"/>
          <w:lang w:val="en-US" w:eastAsia="ru-RU"/>
        </w:rPr>
        <w:t>BCR</w:t>
      </w:r>
      <w:r w:rsidR="00500EFC" w:rsidRPr="00710D11">
        <w:rPr>
          <w:bCs/>
          <w:i/>
          <w:iCs/>
          <w:szCs w:val="24"/>
          <w:lang w:eastAsia="ru-RU"/>
        </w:rPr>
        <w:t>::</w:t>
      </w:r>
      <w:proofErr w:type="gramEnd"/>
      <w:r w:rsidR="00500EFC" w:rsidRPr="00710D11">
        <w:rPr>
          <w:bCs/>
          <w:i/>
          <w:iCs/>
          <w:szCs w:val="24"/>
          <w:lang w:val="en-US" w:eastAsia="ru-RU"/>
        </w:rPr>
        <w:t>ABL</w:t>
      </w:r>
      <w:r w:rsidR="00500EFC" w:rsidRPr="00710D11">
        <w:rPr>
          <w:bCs/>
          <w:i/>
          <w:iCs/>
          <w:szCs w:val="24"/>
          <w:lang w:eastAsia="ru-RU"/>
        </w:rPr>
        <w:t>1</w:t>
      </w:r>
      <w:r w:rsidR="00FE3365" w:rsidRPr="00710D11">
        <w:rPr>
          <w:bCs/>
          <w:i/>
          <w:iCs/>
          <w:szCs w:val="24"/>
          <w:lang w:eastAsia="ru-RU"/>
        </w:rPr>
        <w:t xml:space="preserve">. </w:t>
      </w:r>
      <w:r w:rsidR="00FE4383" w:rsidRPr="00710D11">
        <w:rPr>
          <w:bCs/>
          <w:i/>
          <w:iCs/>
          <w:szCs w:val="24"/>
          <w:lang w:eastAsia="ru-RU"/>
        </w:rPr>
        <w:t xml:space="preserve">У пациентов с резистентностью к ИТК2 </w:t>
      </w:r>
      <w:proofErr w:type="spellStart"/>
      <w:r w:rsidR="00FE4383" w:rsidRPr="00710D11">
        <w:rPr>
          <w:bCs/>
          <w:i/>
          <w:iCs/>
          <w:szCs w:val="24"/>
          <w:lang w:eastAsia="ru-RU"/>
        </w:rPr>
        <w:t>понатиниб</w:t>
      </w:r>
      <w:proofErr w:type="spellEnd"/>
      <w:r w:rsidR="00FE4383" w:rsidRPr="00710D11">
        <w:rPr>
          <w:bCs/>
          <w:i/>
          <w:iCs/>
          <w:szCs w:val="24"/>
          <w:lang w:eastAsia="ru-RU"/>
        </w:rPr>
        <w:t xml:space="preserve"> предпочтительнее, чем альтернативный ИТК2, </w:t>
      </w:r>
      <w:r w:rsidR="00DA44AE" w:rsidRPr="00710D11">
        <w:rPr>
          <w:bCs/>
          <w:i/>
          <w:iCs/>
          <w:szCs w:val="24"/>
          <w:lang w:eastAsia="ru-RU"/>
        </w:rPr>
        <w:t xml:space="preserve">при условии отсутствия </w:t>
      </w:r>
      <w:r w:rsidR="00FE4383" w:rsidRPr="00710D11">
        <w:rPr>
          <w:bCs/>
          <w:i/>
          <w:iCs/>
          <w:szCs w:val="24"/>
          <w:lang w:eastAsia="ru-RU"/>
        </w:rPr>
        <w:t>фактор</w:t>
      </w:r>
      <w:r w:rsidR="00DA44AE" w:rsidRPr="00710D11">
        <w:rPr>
          <w:bCs/>
          <w:i/>
          <w:iCs/>
          <w:szCs w:val="24"/>
          <w:lang w:eastAsia="ru-RU"/>
        </w:rPr>
        <w:t>ов риска</w:t>
      </w:r>
      <w:r w:rsidR="00FE4383" w:rsidRPr="00710D11">
        <w:rPr>
          <w:bCs/>
          <w:i/>
          <w:iCs/>
          <w:szCs w:val="24"/>
          <w:lang w:eastAsia="ru-RU"/>
        </w:rPr>
        <w:t xml:space="preserve"> сердечно-сосудист</w:t>
      </w:r>
      <w:r w:rsidR="00DA44AE" w:rsidRPr="00710D11">
        <w:rPr>
          <w:bCs/>
          <w:i/>
          <w:iCs/>
          <w:szCs w:val="24"/>
          <w:lang w:eastAsia="ru-RU"/>
        </w:rPr>
        <w:t>ых осложнений</w:t>
      </w:r>
      <w:r w:rsidR="00CA15D9" w:rsidRPr="00710D11">
        <w:rPr>
          <w:bCs/>
          <w:i/>
          <w:iCs/>
          <w:szCs w:val="24"/>
          <w:lang w:eastAsia="ru-RU"/>
        </w:rPr>
        <w:t xml:space="preserve"> [107,108]</w:t>
      </w:r>
      <w:r w:rsidR="00DA44AE" w:rsidRPr="00710D11">
        <w:rPr>
          <w:rStyle w:val="jlqj4b"/>
          <w:i/>
        </w:rPr>
        <w:t>.</w:t>
      </w:r>
      <w:r w:rsidR="00CA15D9" w:rsidRPr="00710D11">
        <w:rPr>
          <w:rStyle w:val="jlqj4b"/>
          <w:i/>
        </w:rPr>
        <w:t xml:space="preserve"> </w:t>
      </w:r>
      <w:r w:rsidR="0034054C" w:rsidRPr="00710D11">
        <w:rPr>
          <w:rStyle w:val="jlqj4b"/>
          <w:i/>
        </w:rPr>
        <w:t xml:space="preserve">Рекомендуемая изначальная доза </w:t>
      </w:r>
      <w:proofErr w:type="spellStart"/>
      <w:r w:rsidR="0034054C" w:rsidRPr="00710D11">
        <w:rPr>
          <w:rStyle w:val="jlqj4b"/>
          <w:i/>
        </w:rPr>
        <w:t>понатиниба</w:t>
      </w:r>
      <w:proofErr w:type="spellEnd"/>
      <w:r w:rsidR="0034054C" w:rsidRPr="00710D11">
        <w:rPr>
          <w:rStyle w:val="jlqj4b"/>
          <w:i/>
        </w:rPr>
        <w:t xml:space="preserve"> составляет 45 мг </w:t>
      </w:r>
      <w:r w:rsidR="008A4B17" w:rsidRPr="00710D11">
        <w:rPr>
          <w:rStyle w:val="jlqj4b"/>
          <w:i/>
        </w:rPr>
        <w:t>1</w:t>
      </w:r>
      <w:r w:rsidR="0034054C" w:rsidRPr="00710D11">
        <w:rPr>
          <w:rStyle w:val="jlqj4b"/>
          <w:i/>
        </w:rPr>
        <w:t xml:space="preserve"> раз в сутки</w:t>
      </w:r>
      <w:r w:rsidR="001E11E8" w:rsidRPr="00710D11">
        <w:rPr>
          <w:rStyle w:val="jlqj4b"/>
          <w:i/>
        </w:rPr>
        <w:t>. Сердечно-сосудист</w:t>
      </w:r>
      <w:r w:rsidR="00C95D6B" w:rsidRPr="00710D11">
        <w:rPr>
          <w:rStyle w:val="jlqj4b"/>
          <w:i/>
        </w:rPr>
        <w:t>ые нежелательные реакции</w:t>
      </w:r>
      <w:r w:rsidR="00B221A1" w:rsidRPr="00710D11">
        <w:rPr>
          <w:rStyle w:val="jlqj4b"/>
          <w:i/>
        </w:rPr>
        <w:t xml:space="preserve"> (артериальные окклю</w:t>
      </w:r>
      <w:r w:rsidR="001774D8" w:rsidRPr="00710D11">
        <w:rPr>
          <w:rStyle w:val="jlqj4b"/>
          <w:i/>
        </w:rPr>
        <w:t>з</w:t>
      </w:r>
      <w:r w:rsidR="00B221A1" w:rsidRPr="00710D11">
        <w:rPr>
          <w:rStyle w:val="jlqj4b"/>
          <w:i/>
        </w:rPr>
        <w:t>ии или венозные тромбозы)</w:t>
      </w:r>
      <w:r w:rsidR="001E11E8" w:rsidRPr="00710D11">
        <w:rPr>
          <w:rStyle w:val="jlqj4b"/>
          <w:i/>
        </w:rPr>
        <w:t xml:space="preserve"> </w:t>
      </w:r>
      <w:r w:rsidR="00C95D6B" w:rsidRPr="00710D11">
        <w:rPr>
          <w:rStyle w:val="jlqj4b"/>
          <w:i/>
        </w:rPr>
        <w:t>возникают</w:t>
      </w:r>
      <w:r w:rsidR="001E11E8" w:rsidRPr="00710D11">
        <w:rPr>
          <w:rStyle w:val="jlqj4b"/>
          <w:i/>
        </w:rPr>
        <w:t xml:space="preserve"> примерно в 30% случаев</w:t>
      </w:r>
      <w:r w:rsidR="00C95D6B" w:rsidRPr="00710D11">
        <w:rPr>
          <w:rStyle w:val="jlqj4b"/>
          <w:i/>
        </w:rPr>
        <w:t xml:space="preserve"> и имеют </w:t>
      </w:r>
      <w:proofErr w:type="spellStart"/>
      <w:r w:rsidR="00C95D6B" w:rsidRPr="00710D11">
        <w:rPr>
          <w:rStyle w:val="jlqj4b"/>
          <w:i/>
        </w:rPr>
        <w:t>дозозависимый</w:t>
      </w:r>
      <w:proofErr w:type="spellEnd"/>
      <w:r w:rsidR="00C95D6B" w:rsidRPr="00710D11">
        <w:rPr>
          <w:rStyle w:val="jlqj4b"/>
          <w:i/>
        </w:rPr>
        <w:t xml:space="preserve"> характер. </w:t>
      </w:r>
      <w:r w:rsidR="008A4B17" w:rsidRPr="00710D11">
        <w:rPr>
          <w:rStyle w:val="jlqj4b"/>
          <w:i/>
        </w:rPr>
        <w:t xml:space="preserve">При достижении </w:t>
      </w:r>
      <w:r w:rsidR="00DF3C70" w:rsidRPr="00710D11">
        <w:rPr>
          <w:rStyle w:val="jlqj4b"/>
          <w:i/>
        </w:rPr>
        <w:t>полного</w:t>
      </w:r>
      <w:r w:rsidR="008A4B17" w:rsidRPr="00710D11">
        <w:rPr>
          <w:rStyle w:val="jlqj4b"/>
          <w:i/>
        </w:rPr>
        <w:t xml:space="preserve"> цитогенетического ответа </w:t>
      </w:r>
      <w:r w:rsidR="003D4CCC" w:rsidRPr="00710D11">
        <w:rPr>
          <w:rStyle w:val="jlqj4b"/>
          <w:i/>
        </w:rPr>
        <w:t xml:space="preserve">доза </w:t>
      </w:r>
      <w:proofErr w:type="spellStart"/>
      <w:r w:rsidR="003D4CCC" w:rsidRPr="00710D11">
        <w:rPr>
          <w:rStyle w:val="jlqj4b"/>
          <w:i/>
        </w:rPr>
        <w:t>понатиниба</w:t>
      </w:r>
      <w:proofErr w:type="spellEnd"/>
      <w:r w:rsidR="003D4CCC" w:rsidRPr="00710D11">
        <w:rPr>
          <w:rStyle w:val="jlqj4b"/>
          <w:i/>
        </w:rPr>
        <w:t xml:space="preserve"> может быть снижена до 15 мг в сутки.</w:t>
      </w:r>
      <w:r w:rsidR="00B221A1" w:rsidRPr="00710D11">
        <w:rPr>
          <w:rStyle w:val="jlqj4b"/>
          <w:i/>
        </w:rPr>
        <w:t xml:space="preserve"> У пациентов в ХФ ХМЛ без мутации </w:t>
      </w:r>
      <w:r w:rsidR="00B221A1" w:rsidRPr="00710D11">
        <w:rPr>
          <w:bCs/>
          <w:i/>
          <w:iCs/>
          <w:szCs w:val="24"/>
          <w:lang w:eastAsia="ru-RU"/>
        </w:rPr>
        <w:t>T315I и при наличии факторов риска сердечно-сосудистых с</w:t>
      </w:r>
      <w:r w:rsidR="00C96E0A" w:rsidRPr="00710D11">
        <w:rPr>
          <w:bCs/>
          <w:i/>
          <w:iCs/>
          <w:szCs w:val="24"/>
          <w:lang w:eastAsia="ru-RU"/>
        </w:rPr>
        <w:t xml:space="preserve">обытий </w:t>
      </w:r>
      <w:r w:rsidR="001F3EDA" w:rsidRPr="00710D11">
        <w:rPr>
          <w:bCs/>
          <w:i/>
          <w:iCs/>
          <w:szCs w:val="24"/>
          <w:lang w:eastAsia="ru-RU"/>
        </w:rPr>
        <w:t xml:space="preserve">целесообразно снижение </w:t>
      </w:r>
      <w:r w:rsidR="00C96E0A" w:rsidRPr="00710D11">
        <w:rPr>
          <w:bCs/>
          <w:i/>
          <w:iCs/>
          <w:szCs w:val="24"/>
          <w:lang w:eastAsia="ru-RU"/>
        </w:rPr>
        <w:t>начальн</w:t>
      </w:r>
      <w:r w:rsidR="001F3EDA" w:rsidRPr="00710D11">
        <w:rPr>
          <w:bCs/>
          <w:i/>
          <w:iCs/>
          <w:szCs w:val="24"/>
          <w:lang w:eastAsia="ru-RU"/>
        </w:rPr>
        <w:t>ой</w:t>
      </w:r>
      <w:r w:rsidR="00C96E0A" w:rsidRPr="00710D11">
        <w:rPr>
          <w:bCs/>
          <w:i/>
          <w:iCs/>
          <w:szCs w:val="24"/>
          <w:lang w:eastAsia="ru-RU"/>
        </w:rPr>
        <w:t xml:space="preserve"> доз</w:t>
      </w:r>
      <w:r w:rsidR="001F3EDA" w:rsidRPr="00710D11">
        <w:rPr>
          <w:bCs/>
          <w:i/>
          <w:iCs/>
          <w:szCs w:val="24"/>
          <w:lang w:eastAsia="ru-RU"/>
        </w:rPr>
        <w:t>ы</w:t>
      </w:r>
      <w:r w:rsidR="00C96E0A" w:rsidRPr="00710D11">
        <w:rPr>
          <w:bCs/>
          <w:i/>
          <w:iCs/>
          <w:szCs w:val="24"/>
          <w:lang w:eastAsia="ru-RU"/>
        </w:rPr>
        <w:t xml:space="preserve"> </w:t>
      </w:r>
      <w:proofErr w:type="spellStart"/>
      <w:r w:rsidR="00C96E0A" w:rsidRPr="00710D11">
        <w:rPr>
          <w:bCs/>
          <w:i/>
          <w:iCs/>
          <w:szCs w:val="24"/>
          <w:lang w:eastAsia="ru-RU"/>
        </w:rPr>
        <w:t>понатиниба</w:t>
      </w:r>
      <w:proofErr w:type="spellEnd"/>
      <w:r w:rsidR="00C96E0A" w:rsidRPr="00710D11">
        <w:rPr>
          <w:bCs/>
          <w:i/>
          <w:iCs/>
          <w:szCs w:val="24"/>
          <w:lang w:eastAsia="ru-RU"/>
        </w:rPr>
        <w:t xml:space="preserve"> до 30 мг или 15 мг 1 раз в сутки.</w:t>
      </w:r>
      <w:r w:rsidR="00B221A1" w:rsidRPr="00710D11">
        <w:rPr>
          <w:rStyle w:val="jlqj4b"/>
          <w:i/>
        </w:rPr>
        <w:t xml:space="preserve"> </w:t>
      </w:r>
      <w:r w:rsidR="00A2275D" w:rsidRPr="00710D11">
        <w:rPr>
          <w:rStyle w:val="jlqj4b"/>
          <w:i/>
        </w:rPr>
        <w:t xml:space="preserve">Повышение дозы до 45 мг в сутки может быть рассмотрено у пациентов без оптимального ответа на терапию </w:t>
      </w:r>
      <w:proofErr w:type="spellStart"/>
      <w:r w:rsidR="00FB7016" w:rsidRPr="00710D11">
        <w:rPr>
          <w:rStyle w:val="jlqj4b"/>
          <w:i/>
        </w:rPr>
        <w:t>понатинибом</w:t>
      </w:r>
      <w:proofErr w:type="spellEnd"/>
      <w:r w:rsidR="00FB7016" w:rsidRPr="00710D11">
        <w:rPr>
          <w:rStyle w:val="jlqj4b"/>
          <w:i/>
        </w:rPr>
        <w:t xml:space="preserve"> </w:t>
      </w:r>
      <w:r w:rsidR="00A2275D" w:rsidRPr="00710D11">
        <w:rPr>
          <w:rStyle w:val="jlqj4b"/>
          <w:i/>
        </w:rPr>
        <w:t>в сниженных дозах при наличии клинической целесообразно</w:t>
      </w:r>
      <w:r w:rsidR="00FB7016" w:rsidRPr="00710D11">
        <w:rPr>
          <w:rStyle w:val="jlqj4b"/>
          <w:i/>
        </w:rPr>
        <w:t>сти с учетом факторов сердечно-с</w:t>
      </w:r>
      <w:r w:rsidR="00A2275D" w:rsidRPr="00710D11">
        <w:rPr>
          <w:rStyle w:val="jlqj4b"/>
          <w:i/>
        </w:rPr>
        <w:t>осудистого риска.</w:t>
      </w:r>
    </w:p>
    <w:p w14:paraId="24D5E43E" w14:textId="77777777" w:rsidR="000C7098" w:rsidRPr="00062B4F" w:rsidRDefault="000C7098" w:rsidP="00B5715D">
      <w:pPr>
        <w:pStyle w:val="3"/>
        <w:spacing w:before="120"/>
        <w:rPr>
          <w:rFonts w:ascii="Times New Roman" w:hAnsi="Times New Roman"/>
          <w:b/>
          <w:iCs/>
          <w:color w:val="auto"/>
        </w:rPr>
      </w:pPr>
      <w:bookmarkStart w:id="27" w:name="_Toc86133407"/>
      <w:r w:rsidRPr="00062B4F">
        <w:rPr>
          <w:rFonts w:ascii="Times New Roman" w:hAnsi="Times New Roman"/>
          <w:b/>
          <w:iCs/>
          <w:color w:val="auto"/>
        </w:rPr>
        <w:t>3.1.4. Принципы выбора ИТК при смене терапии</w:t>
      </w:r>
      <w:bookmarkEnd w:id="27"/>
    </w:p>
    <w:p w14:paraId="3CA1D5F9" w14:textId="77777777" w:rsidR="000C7098" w:rsidRPr="00062B4F" w:rsidRDefault="000C7098" w:rsidP="00505FD7">
      <w:pPr>
        <w:numPr>
          <w:ilvl w:val="0"/>
          <w:numId w:val="11"/>
        </w:numPr>
        <w:spacing w:before="120"/>
        <w:ind w:left="714" w:hanging="357"/>
        <w:rPr>
          <w:iCs/>
          <w:spacing w:val="-2"/>
          <w:szCs w:val="24"/>
          <w:lang w:eastAsia="ru-RU"/>
        </w:rPr>
      </w:pPr>
      <w:r w:rsidRPr="00062B4F">
        <w:rPr>
          <w:b/>
          <w:bCs/>
          <w:iCs/>
          <w:spacing w:val="-2"/>
          <w:szCs w:val="24"/>
          <w:lang w:eastAsia="ru-RU"/>
        </w:rPr>
        <w:t xml:space="preserve">Рекомендуется </w:t>
      </w:r>
      <w:r w:rsidRPr="00062B4F">
        <w:rPr>
          <w:iCs/>
          <w:spacing w:val="-2"/>
          <w:szCs w:val="24"/>
          <w:lang w:eastAsia="ru-RU"/>
        </w:rPr>
        <w:t xml:space="preserve">выбор ИТК с учетом сопутствующей патологии для предотвращения нежелательных явлений при терапии у пациентов с ХМЛ </w:t>
      </w:r>
      <w:r w:rsidRPr="00062B4F">
        <w:rPr>
          <w:iCs/>
          <w:spacing w:val="-2"/>
          <w:szCs w:val="24"/>
          <w:lang w:eastAsia="ru-RU"/>
        </w:rPr>
        <w:fldChar w:fldCharType="begin" w:fldLock="1"/>
      </w:r>
      <w:r w:rsidR="00947941" w:rsidRPr="00062B4F">
        <w:rPr>
          <w:iCs/>
          <w:spacing w:val="-2"/>
          <w:szCs w:val="24"/>
          <w:lang w:eastAsia="ru-RU"/>
        </w:rPr>
        <w:instrText>ADDIN CSL_CITATION {"citationItems":[{"id":"ITEM-1","itemData":{"DOI":"10.1038/leu.2016.104","ISSN":"0887-6924","PMID":"27121688","abstract":"Most reports on chronic myeloid leukaemia (CML) treatment with tyrosine kinase inhibitors (TKIs) focus on efficacy, particularly on molecular response and outcome. In contrast, adverse events (AEs) are often reported as infrequent, minor, tolerable and manageable, but they are increasingly important as therapy is potentially lifelong and multiple TKIs are available. For this reason, the European LeukemiaNet panel for CML management recommendations presents an exhaustive and critical summary of AEs emerging during CML treatment, to assist their understanding, management and prevention. There are five major conclusions. First, the main purpose of CML treatment is the antileukemic effect. Suboptimal management of AEs must not compromise this first objective. Second, most patients will have AEs, usually early, mostly mild to moderate, and which will resolve spontaneously or are easily controlled by simple means. Third, reduction or interruption of treatment must only be done if optimal management of the AE cannot be accomplished in other ways, and frequent monitoring is needed to detect resolution of the AE as early as possible. Fourth, attention must be given to comorbidities and drug interactions, and to new events unrelated to TKIs that are inevitable during such a prolonged treatment. Fifth, some TKI-related AEs have emerged which were not predicted or detected in earlier studies, maybe because of suboptimal attention to or absence from the preclinical data. Overall, imatinib has demonstrated a good long-term safety profile, though recent findings suggest underestimation of symptom severity by physicians. Second and third generation TKIs have shown higher response rates, but have been associated with unexpected problems, some of which could be irreversible. We hope these recommendations will help to minimise adverse events, and we believe that an optimal management of them will be rewarded by better TKI compliance and thus better CML outcomes, together with better quality of life.","author":[{"dropping-particle":"","family":"Steegmann","given":"J L","non-dropping-particle":"","parse-names":false,"suffix":""},{"dropping-particle":"","family":"Baccarani","given":"M","non-dropping-particle":"","parse-names":false,"suffix":""},{"dropping-particle":"","family":"Breccia","given":"M","non-dropping-particle":"","parse-names":false,"suffix":""},{"dropping-particle":"","family":"Casado","given":"L F","non-dropping-particle":"","parse-names":false,"suffix":""},{"dropping-particle":"","family":"García-Gutiérrez","given":"V","non-dropping-particle":"","parse-names":false,"suffix":""},{"dropping-particle":"","family":"Hochhaus","given":"A","non-dropping-particle":"","parse-names":false,"suffix":""},{"dropping-particle":"","family":"Kim","given":"D-W","non-dropping-particle":"","parse-names":false,"suffix":""},{"dropping-particle":"","family":"Kim","given":"T D","non-dropping-particle":"","parse-names":false,"suffix":""},{"dropping-particle":"","family":"Khoury","given":"H J","non-dropping-particle":"","parse-names":false,"suffix":""},{"dropping-particle":"","family":"Coutre","given":"P","non-dropping-particle":"Le","parse-names":false,"suffix":""},{"dropping-particle":"","family":"Mayer","given":"J","non-dropping-particle":"","parse-names":false,"suffix":""},{"dropping-particle":"","family":"Milojkovic","given":"D","non-dropping-particle":"","parse-names":false,"suffix":""},{"dropping-particle":"","family":"Porkka","given":"K","non-dropping-particle":"","parse-names":false,"suffix":""},{"dropping-particle":"","family":"Rea","given":"D","non-dropping-particle":"","parse-names":false,"suffix":""},{"dropping-particle":"","family":"Rosti","given":"G","non-dropping-particle":"","parse-names":false,"suffix":""},{"dropping-particle":"","family":"Saussele","given":"S","non-dropping-particle":"","parse-names":false,"suffix":""},{"dropping-particle":"","family":"Hehlmann","given":"R","non-dropping-particle":"","parse-names":false,"suffix":""},{"dropping-particle":"","family":"Clark","given":"R E","non-dropping-particle":"","parse-names":false,"suffix":""}],"container-title":"Leukemia","id":"ITEM-1","issue":"8","issued":{"date-parts":[["2016","8"]]},"page":"1648-1671","title":"European LeukemiaNet recommendations for the management and avoidance of adverse events of treatment in chronic myeloid leukaemia","type":"article-journal","volume":"30"},"uris":["http://www.mendeley.com/documents/?uuid=c65c4801-4461-36e9-b681-659f47daa5a6","http://www.mendeley.com/documents/?uuid=cb618212-6e0c-44b9-b3d7-e5e721b2daf4"]},{"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онкогематология","id":"ITEM-3","issue":"3","issued":{"date-parts":[["2017"]]},"page":"294–316","title":"Клинические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[10,11,38]","plainTextFormattedCitation":"[10,11,38]","previouslyFormattedCitation":"[10,11,38]"},"properties":{"noteIndex":0},"schema":"https://github.com/citation-style-language/schema/raw/master/csl-citation.json"}</w:instrText>
      </w:r>
      <w:r w:rsidRPr="00062B4F">
        <w:rPr>
          <w:iCs/>
          <w:spacing w:val="-2"/>
          <w:szCs w:val="24"/>
          <w:lang w:eastAsia="ru-RU"/>
        </w:rPr>
        <w:fldChar w:fldCharType="separate"/>
      </w:r>
      <w:r w:rsidR="00947941" w:rsidRPr="00062B4F">
        <w:rPr>
          <w:iCs/>
          <w:noProof/>
          <w:spacing w:val="-2"/>
          <w:szCs w:val="24"/>
          <w:lang w:eastAsia="ru-RU"/>
        </w:rPr>
        <w:t>[10,11,38]</w:t>
      </w:r>
      <w:r w:rsidRPr="00062B4F">
        <w:rPr>
          <w:iCs/>
          <w:spacing w:val="-2"/>
          <w:szCs w:val="24"/>
          <w:lang w:eastAsia="ru-RU"/>
        </w:rPr>
        <w:fldChar w:fldCharType="end"/>
      </w:r>
      <w:r w:rsidRPr="00062B4F">
        <w:rPr>
          <w:iCs/>
          <w:spacing w:val="-2"/>
          <w:szCs w:val="24"/>
          <w:lang w:eastAsia="ru-RU"/>
        </w:rPr>
        <w:t>.</w:t>
      </w:r>
    </w:p>
    <w:p w14:paraId="279A74D2" w14:textId="77777777" w:rsidR="000C7098" w:rsidRPr="00062B4F" w:rsidRDefault="000C7098" w:rsidP="008E7654">
      <w:pPr>
        <w:ind w:left="709" w:firstLine="0"/>
        <w:rPr>
          <w:b/>
          <w:szCs w:val="24"/>
          <w:lang w:eastAsia="ru-RU"/>
        </w:rPr>
      </w:pPr>
      <w:r w:rsidRPr="00062B4F">
        <w:rPr>
          <w:b/>
          <w:bCs/>
          <w:szCs w:val="24"/>
          <w:lang w:eastAsia="ru-RU"/>
        </w:rPr>
        <w:t xml:space="preserve">Уровень убедительности рекомендаций – С </w:t>
      </w:r>
      <w:r w:rsidRPr="00062B4F">
        <w:rPr>
          <w:b/>
          <w:szCs w:val="24"/>
          <w:lang w:eastAsia="ru-RU"/>
        </w:rPr>
        <w:t>(уровень достоверности доказательств – 5).</w:t>
      </w:r>
    </w:p>
    <w:p w14:paraId="6B805B14" w14:textId="77777777" w:rsidR="000C7098" w:rsidRPr="00062B4F" w:rsidRDefault="000C7098" w:rsidP="00137BCA">
      <w:pPr>
        <w:rPr>
          <w:i/>
          <w:iCs/>
          <w:szCs w:val="24"/>
          <w:lang w:eastAsia="ru-RU"/>
        </w:rPr>
      </w:pPr>
      <w:r w:rsidRPr="00062B4F">
        <w:rPr>
          <w:b/>
          <w:bCs/>
          <w:i/>
          <w:iCs/>
          <w:szCs w:val="24"/>
          <w:lang w:eastAsia="ru-RU"/>
        </w:rPr>
        <w:t xml:space="preserve">Комментарий: </w:t>
      </w:r>
      <w:r w:rsidRPr="00062B4F">
        <w:rPr>
          <w:i/>
          <w:iCs/>
          <w:szCs w:val="24"/>
          <w:lang w:eastAsia="ru-RU"/>
        </w:rPr>
        <w:t>С учетом профиля токсичности ИТК применяют с осторожностью при некоторых перечисленных ниже заболеваниях и состояниях.</w:t>
      </w:r>
    </w:p>
    <w:p w14:paraId="3632F059" w14:textId="77777777" w:rsidR="000C7098" w:rsidRPr="00062B4F" w:rsidRDefault="000C7098" w:rsidP="00137BCA">
      <w:pPr>
        <w:rPr>
          <w:i/>
          <w:iCs/>
          <w:szCs w:val="24"/>
          <w:lang w:eastAsia="ru-RU"/>
        </w:rPr>
      </w:pPr>
      <w:proofErr w:type="spellStart"/>
      <w:r w:rsidRPr="00062B4F">
        <w:rPr>
          <w:b/>
          <w:bCs/>
          <w:i/>
          <w:iCs/>
          <w:szCs w:val="24"/>
          <w:lang w:eastAsia="ru-RU"/>
        </w:rPr>
        <w:t>Нилотиниб</w:t>
      </w:r>
      <w:proofErr w:type="spellEnd"/>
      <w:r w:rsidRPr="00062B4F">
        <w:rPr>
          <w:b/>
          <w:bCs/>
          <w:i/>
          <w:iCs/>
          <w:szCs w:val="24"/>
          <w:lang w:eastAsia="ru-RU"/>
        </w:rPr>
        <w:t>**</w:t>
      </w:r>
    </w:p>
    <w:p w14:paraId="5B3B5754" w14:textId="39BD1C9A" w:rsidR="000C7098" w:rsidRPr="00062B4F" w:rsidRDefault="00423C0A" w:rsidP="00505FD7">
      <w:pPr>
        <w:numPr>
          <w:ilvl w:val="0"/>
          <w:numId w:val="27"/>
        </w:numPr>
        <w:ind w:left="993" w:firstLine="141"/>
        <w:rPr>
          <w:i/>
          <w:iCs/>
          <w:szCs w:val="24"/>
          <w:lang w:eastAsia="ru-RU"/>
        </w:rPr>
      </w:pPr>
      <w:r w:rsidRPr="00062B4F">
        <w:rPr>
          <w:i/>
          <w:iCs/>
          <w:szCs w:val="24"/>
          <w:lang w:eastAsia="ru-RU"/>
        </w:rPr>
        <w:lastRenderedPageBreak/>
        <w:t xml:space="preserve">Панкреатит </w:t>
      </w:r>
      <w:r w:rsidRPr="00A456B6">
        <w:rPr>
          <w:i/>
          <w:iCs/>
          <w:szCs w:val="24"/>
          <w:lang w:eastAsia="ru-RU"/>
        </w:rPr>
        <w:t>с клинической симптоматикой</w:t>
      </w:r>
      <w:r>
        <w:rPr>
          <w:i/>
          <w:iCs/>
          <w:szCs w:val="24"/>
          <w:lang w:eastAsia="ru-RU"/>
        </w:rPr>
        <w:t xml:space="preserve"> </w:t>
      </w:r>
      <w:r w:rsidRPr="00062B4F">
        <w:rPr>
          <w:i/>
          <w:iCs/>
          <w:szCs w:val="24"/>
          <w:lang w:eastAsia="ru-RU"/>
        </w:rPr>
        <w:t xml:space="preserve">в анамнезе </w:t>
      </w:r>
      <w:r w:rsidR="000C7098" w:rsidRPr="00062B4F">
        <w:rPr>
          <w:i/>
          <w:iCs/>
          <w:szCs w:val="24"/>
          <w:lang w:eastAsia="ru-RU"/>
        </w:rPr>
        <w:t>– в редких случаях отмечено обострение панкреатита, может наблюдаться повышение уровня амилазы, липазы</w:t>
      </w:r>
    </w:p>
    <w:p w14:paraId="0E9218EC" w14:textId="77777777" w:rsidR="000C7098" w:rsidRPr="00062B4F" w:rsidRDefault="000C7098" w:rsidP="00505FD7">
      <w:pPr>
        <w:numPr>
          <w:ilvl w:val="0"/>
          <w:numId w:val="27"/>
        </w:numPr>
        <w:ind w:left="993" w:firstLine="141"/>
        <w:rPr>
          <w:i/>
          <w:iCs/>
          <w:szCs w:val="24"/>
          <w:lang w:eastAsia="ru-RU"/>
        </w:rPr>
      </w:pPr>
      <w:r w:rsidRPr="00062B4F">
        <w:rPr>
          <w:i/>
          <w:iCs/>
          <w:szCs w:val="24"/>
          <w:lang w:eastAsia="ru-RU"/>
        </w:rPr>
        <w:t xml:space="preserve">Сахарный диабет – на фоне терапии </w:t>
      </w:r>
      <w:proofErr w:type="spellStart"/>
      <w:r w:rsidRPr="00062B4F">
        <w:rPr>
          <w:i/>
          <w:iCs/>
          <w:szCs w:val="24"/>
          <w:lang w:eastAsia="ru-RU"/>
        </w:rPr>
        <w:t>нилотинибом</w:t>
      </w:r>
      <w:proofErr w:type="spellEnd"/>
      <w:r w:rsidR="006851B6" w:rsidRPr="00062B4F">
        <w:rPr>
          <w:i/>
          <w:iCs/>
          <w:szCs w:val="24"/>
          <w:lang w:eastAsia="ru-RU"/>
        </w:rPr>
        <w:t>**</w:t>
      </w:r>
      <w:r w:rsidRPr="00062B4F">
        <w:rPr>
          <w:i/>
          <w:iCs/>
          <w:szCs w:val="24"/>
          <w:lang w:eastAsia="ru-RU"/>
        </w:rPr>
        <w:t xml:space="preserve"> возможно появление гипергликемии</w:t>
      </w:r>
    </w:p>
    <w:p w14:paraId="15D2BC53" w14:textId="77777777" w:rsidR="000C7098" w:rsidRPr="00062B4F" w:rsidRDefault="000C7098" w:rsidP="00505FD7">
      <w:pPr>
        <w:numPr>
          <w:ilvl w:val="0"/>
          <w:numId w:val="27"/>
        </w:numPr>
        <w:ind w:left="993" w:firstLine="141"/>
        <w:rPr>
          <w:i/>
          <w:iCs/>
          <w:szCs w:val="24"/>
          <w:lang w:eastAsia="ru-RU"/>
        </w:rPr>
      </w:pPr>
      <w:r w:rsidRPr="00062B4F">
        <w:rPr>
          <w:i/>
          <w:iCs/>
          <w:szCs w:val="24"/>
          <w:lang w:eastAsia="ru-RU"/>
        </w:rPr>
        <w:t xml:space="preserve">Атеросклеротическое поражение сосудов, кардиоваскулярные ишемические события, </w:t>
      </w:r>
      <w:proofErr w:type="spellStart"/>
      <w:r w:rsidRPr="00062B4F">
        <w:rPr>
          <w:i/>
          <w:iCs/>
          <w:szCs w:val="24"/>
          <w:lang w:eastAsia="ru-RU"/>
        </w:rPr>
        <w:t>окклюзионная</w:t>
      </w:r>
      <w:proofErr w:type="spellEnd"/>
      <w:r w:rsidRPr="00062B4F">
        <w:rPr>
          <w:i/>
          <w:iCs/>
          <w:szCs w:val="24"/>
          <w:lang w:eastAsia="ru-RU"/>
        </w:rPr>
        <w:t xml:space="preserve"> болезнь периферических артерий – продемонстрирована повышенная вероятность их развития у пациентов с уже имеющимися факторами риска развития сердечно-сосудистых заболеваний по сравнению с имеющейся в общей популяции </w:t>
      </w:r>
      <w:r w:rsidRPr="00062B4F">
        <w:rPr>
          <w:i/>
          <w:iCs/>
          <w:szCs w:val="24"/>
          <w:lang w:eastAsia="ru-RU"/>
        </w:rPr>
        <w:fldChar w:fldCharType="begin" w:fldLock="1"/>
      </w:r>
      <w:r w:rsidR="00CE7A32" w:rsidRPr="00062B4F">
        <w:rPr>
          <w:i/>
          <w:iCs/>
          <w:szCs w:val="24"/>
          <w:lang w:eastAsia="ru-RU"/>
        </w:rPr>
        <w:instrText>ADDIN CSL_CITATION {"citationItems":[{"id":"ITEM-1","itemData":{"DOI":"10.3109/10428194.2015.1091929","ISSN":"10292403","abstract":"There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Lymphoma","id":"ITEM-1","issue":"6","issued":{"date-parts":[["2016","6","2"]]},"page":"1300-1310","publisher":"Taylor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[39]","plainTextFormattedCitation":"[39]","previouslyFormattedCitation":"[39]"},"properties":{"noteIndex":0},"schema":"https://github.com/citation-style-language/schema/raw/master/csl-citation.json"}</w:instrText>
      </w:r>
      <w:r w:rsidRPr="00062B4F">
        <w:rPr>
          <w:i/>
          <w:iCs/>
          <w:szCs w:val="24"/>
          <w:lang w:eastAsia="ru-RU"/>
        </w:rPr>
        <w:fldChar w:fldCharType="separate"/>
      </w:r>
      <w:r w:rsidR="00947941" w:rsidRPr="00062B4F">
        <w:rPr>
          <w:iCs/>
          <w:noProof/>
          <w:szCs w:val="24"/>
          <w:lang w:eastAsia="ru-RU"/>
        </w:rPr>
        <w:t>[39]</w:t>
      </w:r>
      <w:r w:rsidRPr="00062B4F">
        <w:rPr>
          <w:i/>
          <w:iCs/>
          <w:szCs w:val="24"/>
          <w:lang w:eastAsia="ru-RU"/>
        </w:rPr>
        <w:fldChar w:fldCharType="end"/>
      </w:r>
      <w:r w:rsidRPr="00062B4F">
        <w:rPr>
          <w:i/>
          <w:iCs/>
          <w:szCs w:val="24"/>
          <w:lang w:eastAsia="ru-RU"/>
        </w:rPr>
        <w:t>.</w:t>
      </w:r>
    </w:p>
    <w:p w14:paraId="508F8488" w14:textId="77777777" w:rsidR="000C7098" w:rsidRPr="00062B4F" w:rsidRDefault="000C7098" w:rsidP="00137BCA">
      <w:pPr>
        <w:ind w:left="708" w:firstLine="12"/>
        <w:rPr>
          <w:i/>
          <w:iCs/>
          <w:szCs w:val="24"/>
          <w:lang w:eastAsia="ru-RU"/>
        </w:rPr>
      </w:pPr>
      <w:proofErr w:type="spellStart"/>
      <w:r w:rsidRPr="00062B4F">
        <w:rPr>
          <w:b/>
          <w:bCs/>
          <w:i/>
          <w:iCs/>
          <w:szCs w:val="24"/>
          <w:lang w:eastAsia="ru-RU"/>
        </w:rPr>
        <w:t>Дазатиниб</w:t>
      </w:r>
      <w:proofErr w:type="spellEnd"/>
      <w:r w:rsidRPr="00062B4F">
        <w:rPr>
          <w:b/>
          <w:bCs/>
          <w:i/>
          <w:iCs/>
          <w:szCs w:val="24"/>
          <w:lang w:eastAsia="ru-RU"/>
        </w:rPr>
        <w:t>**</w:t>
      </w:r>
    </w:p>
    <w:p w14:paraId="2CDC4114" w14:textId="54A12729" w:rsidR="000C7098" w:rsidRPr="00062B4F" w:rsidRDefault="000C7098" w:rsidP="00505FD7">
      <w:pPr>
        <w:numPr>
          <w:ilvl w:val="0"/>
          <w:numId w:val="27"/>
        </w:numPr>
        <w:ind w:left="993" w:firstLine="141"/>
        <w:rPr>
          <w:i/>
          <w:iCs/>
          <w:szCs w:val="24"/>
          <w:lang w:eastAsia="ru-RU"/>
        </w:rPr>
      </w:pPr>
      <w:r w:rsidRPr="00062B4F">
        <w:rPr>
          <w:i/>
          <w:iCs/>
          <w:szCs w:val="24"/>
          <w:lang w:eastAsia="ru-RU"/>
        </w:rPr>
        <w:t xml:space="preserve">Хронические сердечно-сосудистые заболевания, хронические </w:t>
      </w:r>
      <w:proofErr w:type="spellStart"/>
      <w:r w:rsidRPr="00062B4F">
        <w:rPr>
          <w:i/>
          <w:iCs/>
          <w:szCs w:val="24"/>
          <w:lang w:eastAsia="ru-RU"/>
        </w:rPr>
        <w:t>обструктивные</w:t>
      </w:r>
      <w:proofErr w:type="spellEnd"/>
      <w:r w:rsidRPr="00062B4F">
        <w:rPr>
          <w:i/>
          <w:iCs/>
          <w:szCs w:val="24"/>
          <w:lang w:eastAsia="ru-RU"/>
        </w:rPr>
        <w:t xml:space="preserve"> заболевания легких, бронхиальная астма,</w:t>
      </w:r>
      <w:r w:rsidR="009F4BFF">
        <w:rPr>
          <w:i/>
          <w:iCs/>
          <w:szCs w:val="24"/>
          <w:lang w:eastAsia="ru-RU"/>
        </w:rPr>
        <w:t xml:space="preserve"> плевральный или перикардиальный выпоты в анамнезе,</w:t>
      </w:r>
      <w:r w:rsidRPr="00062B4F">
        <w:rPr>
          <w:i/>
          <w:iCs/>
          <w:szCs w:val="24"/>
          <w:lang w:eastAsia="ru-RU"/>
        </w:rPr>
        <w:t xml:space="preserve"> п</w:t>
      </w:r>
      <w:r w:rsidR="00A456B6">
        <w:rPr>
          <w:i/>
          <w:iCs/>
          <w:szCs w:val="24"/>
          <w:lang w:eastAsia="ru-RU"/>
        </w:rPr>
        <w:t>невмония, травма грудной клетки</w:t>
      </w:r>
      <w:r w:rsidRPr="00062B4F">
        <w:rPr>
          <w:i/>
          <w:iCs/>
          <w:szCs w:val="24"/>
          <w:lang w:eastAsia="ru-RU"/>
        </w:rPr>
        <w:t xml:space="preserve"> – факторы, влияющие на частоту развития плевральных выпотов </w:t>
      </w:r>
      <w:r w:rsidRPr="00062B4F">
        <w:rPr>
          <w:i/>
          <w:iCs/>
          <w:szCs w:val="24"/>
          <w:lang w:eastAsia="ru-RU"/>
        </w:rPr>
        <w:fldChar w:fldCharType="begin" w:fldLock="1"/>
      </w:r>
      <w:r w:rsidR="00CE7A32" w:rsidRPr="00062B4F">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E.","non-dropping-particle":"","parse-names":false,"suffix":""}],"container-title":"Cancer","id":"ITEM-2","issue":"2","issued":{"date-parts":[["2010","1"]]},"page":"377-386","title":"Dasatinib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id":"ITEM-3","itemData":{"DOI":"10.1016/j.leukres.2011.08.007","ISSN":"01452126","author":[{"dropping-particle":"","family":"Orlandi","given":"Ester M.","non-dropping-particle":"","parse-names":false,"suffix":""},{"dropping-particle":"","family":"Rocca","given":"Barbara","non-dropping-particle":"","parse-names":false,"suffix":""},{"dropping-particle":"","family":"Pazzano","given":"Anna S.","non-dropping-particle":"","parse-names":false,"suffix":""},{"dropping-particle":"","family":"Ghio","given":"Stefano","non-dropping-particle":"","parse-names":false,"suffix":""}],"container-title":"Leukemia Research","id":"ITEM-3","issue":"1","issued":{"date-parts":[["2012","1"]]},"title":"Reversible pulmonary arterial hypertension likely related to long-term, low-dose dasatinib treatment for chronic myeloid leukaemia","type":"article","volume":"36"},"uris":["http://www.mendeley.com/documents/?uuid=306496b8-7103-33ed-a813-89bbdfcb0e5b"]},{"id":"ITEM-4","itemData":{"DOI":"10.1161/CIRCULATIONAHA.111.079921","ISSN":"0009-7322","PMID":"22451584","abstract":"BACKGROUND The French pulmonary hypertension (PH) registry allows the survey of epidemiological trends. Isolated cases of precapillary PH have been reported in patients who have chronic myelogenous leukemia treated with the tyrosine kinase inhibitor dasatinib. METHODS AND RESULTS This study was designed to describe incident cases of dasatinib-associated PH reported in the French PH registry. From the approval of dasatinib (November 2006) to September 30, 2010, 9 incident cases treated by dasatinib at the time of PH diagnosis were identified. At diagnosis, patients had moderate to severe precapillary PH with functional and hemodynamic impairment. No other incident PH cases were exposed to other tyrosine kinase inhibitors at the time of PH diagnosis. Clinical, functional, or hemodynamic improvements were observed within 4 months of dasatinib discontinuation in all but 1 patient. Three patients required PH treatment with endothelin receptor antagonist (n=2) or calcium channel blocker (n=1). After a median follow-up of 9 months (min-max 3-36), the majority of patients did not demonstrate complete clinical and hemodynamic recovery, and no patients reached a normal value of mean pulmonary artery pressure (≤20 mm Hg). Two patients (22%) died at follow-up (1 of unexplained sudden death and 1 of cardiac failure in the context of septicemia, respectively, 8 and 12 months after dasatinib withdrawal). The lowest estimate of incident PH occurring in patients exposed to dasatinib in France was 0.45%. CONCLUSIONS Dasatinib may induce severe precapillary PH fulfilling the criteria of pulmonary arterial hypertension, thus suggesting a direct and specific effect of dasatinib on pulmonary vessels. Improvement is usually observed after withdrawal of dasatinib.","author":[{"dropping-particle":"","family":"Montani","given":"David","non-dropping-particle":"","parse-names":false,"suffix":""},{"dropping-particle":"","family":"Bergot","given":"Emmanuel","non-dropping-particle":"","parse-names":false,"suffix":""},{"dropping-particle":"","family":"Günther","given":"Sven","non-dropping-particle":"","parse-names":false,"suffix":""},{"dropping-particle":"","family":"Savale","given":"Laurent","non-dropping-particle":"","parse-names":false,"suffix":""},{"dropping-particle":"","family":"Bergeron","given":"Anne","non-dropping-particle":"","parse-names":false,"suffix":""},{"dropping-particle":"","family":"Bourdin","given":"Arnaud","non-dropping-particle":"","parse-names":false,"suffix":""},{"dropping-particle":"","family":"Bouvaist","given":"Helene","non-dropping-particle":"","parse-names":false,"suffix":""},{"dropping-particle":"","family":"Canuet","given":"Matthieu","non-dropping-particle":"","parse-names":false,"suffix":""},{"dropping-particle":"","family":"Pison","given":"Christophe","non-dropping-particle":"","parse-names":false,"suffix":""},{"dropping-particle":"","family":"Macro","given":"Margareth","non-dropping-particle":"","parse-names":false,"suffix":""},{"dropping-particle":"","family":"Poubeau","given":"Patrice","non-dropping-particle":"","parse-names":false,"suffix":""},{"dropping-particle":"","family":"Girerd","given":"Barbara","non-dropping-particle":"","parse-names":false,"suffix":""},{"dropping-particle":"","family":"Natali","given":"Delphine","non-dropping-particle":"","parse-names":false,"suffix":""},{"dropping-particle":"","family":"Guignabert","given":"Christophe","non-dropping-particle":"","parse-names":false,"suffix":""},{"dropping-particle":"","family":"Perros","given":"Frédéric","non-dropping-particle":"","parse-names":false,"suffix":""},{"dropping-particle":"","family":"O'Callaghan","given":"Dermot S.","non-dropping-particle":"","parse-names":false,"suffix":""},{"dropping-particle":"","family":"Jaïs","given":"Xavier","non-dropping-particle":"","parse-names":false,"suffix":""},{"dropping-particle":"","family":"Tubert-Bitter","given":"Pascale","non-dropping-particle":"","parse-names":false,"suffix":""},{"dropping-particle":"","family":"Zalcman","given":"Gérard","non-dropping-particle":"","parse-names":false,"suffix":""},{"dropping-particle":"","family":"Sitbon","given":"Olivier","non-dropping-particle":"","parse-names":false,"suffix":""},{"dropping-particle":"","family":"Simonneau","given":"Gérald","non-dropping-particle":"","parse-names":false,"suffix":""},{"dropping-particle":"","family":"Humbert","given":"Marc","non-dropping-particle":"","parse-names":false,"suffix":""}],"container-title":"Circulation","id":"ITEM-4","issue":"17","issued":{"date-parts":[["2012","5"]]},"page":"2128-2137","title":"Pulmonary Arterial Hypertension in Patients Treated by Dasatinib","type":"article-journal","volume":"125"},"uris":["http://www.mendeley.com/documents/?uuid=3c78713f-9e87-4edf-8e68-17789c58fca9"]}],"mendeley":{"formattedCitation":"[26,29,30,40]","plainTextFormattedCitation":"[26,29,30,40]","previouslyFormattedCitation":"[26,29,30,40]"},"properties":{"noteIndex":0},"schema":"https://github.com/citation-style-language/schema/raw/master/csl-citation.json"}</w:instrText>
      </w:r>
      <w:r w:rsidRPr="00062B4F">
        <w:rPr>
          <w:i/>
          <w:iCs/>
          <w:szCs w:val="24"/>
          <w:lang w:eastAsia="ru-RU"/>
        </w:rPr>
        <w:fldChar w:fldCharType="separate"/>
      </w:r>
      <w:r w:rsidR="00CE7A32" w:rsidRPr="00062B4F">
        <w:rPr>
          <w:iCs/>
          <w:noProof/>
          <w:szCs w:val="24"/>
          <w:lang w:eastAsia="ru-RU"/>
        </w:rPr>
        <w:t>[26,29,30,40]</w:t>
      </w:r>
      <w:r w:rsidRPr="00062B4F">
        <w:rPr>
          <w:i/>
          <w:iCs/>
          <w:szCs w:val="24"/>
          <w:lang w:eastAsia="ru-RU"/>
        </w:rPr>
        <w:fldChar w:fldCharType="end"/>
      </w:r>
    </w:p>
    <w:p w14:paraId="18B976C8" w14:textId="77777777" w:rsidR="000C7098" w:rsidRPr="00062B4F" w:rsidRDefault="000C7098" w:rsidP="00505FD7">
      <w:pPr>
        <w:numPr>
          <w:ilvl w:val="0"/>
          <w:numId w:val="27"/>
        </w:numPr>
        <w:ind w:left="993" w:firstLine="141"/>
        <w:rPr>
          <w:i/>
          <w:iCs/>
          <w:szCs w:val="24"/>
          <w:lang w:eastAsia="ru-RU"/>
        </w:rPr>
      </w:pPr>
      <w:r w:rsidRPr="00062B4F">
        <w:rPr>
          <w:i/>
          <w:iCs/>
          <w:szCs w:val="24"/>
          <w:lang w:eastAsia="ru-RU"/>
        </w:rPr>
        <w:t xml:space="preserve">Хронические заболевания ЖКТ с высоким риском развития кровотечений, постоянный прием </w:t>
      </w:r>
      <w:proofErr w:type="spellStart"/>
      <w:r w:rsidRPr="00062B4F">
        <w:rPr>
          <w:i/>
          <w:iCs/>
          <w:szCs w:val="24"/>
          <w:lang w:eastAsia="ru-RU"/>
        </w:rPr>
        <w:t>антиагрегантов</w:t>
      </w:r>
      <w:proofErr w:type="spellEnd"/>
      <w:r w:rsidRPr="00062B4F">
        <w:rPr>
          <w:i/>
          <w:iCs/>
          <w:szCs w:val="24"/>
          <w:lang w:eastAsia="ru-RU"/>
        </w:rPr>
        <w:t xml:space="preserve"> – </w:t>
      </w:r>
      <w:proofErr w:type="spellStart"/>
      <w:r w:rsidRPr="00062B4F">
        <w:rPr>
          <w:i/>
          <w:iCs/>
          <w:szCs w:val="24"/>
          <w:lang w:eastAsia="ru-RU"/>
        </w:rPr>
        <w:t>дазатиниб</w:t>
      </w:r>
      <w:proofErr w:type="spellEnd"/>
      <w:r w:rsidRPr="00062B4F">
        <w:rPr>
          <w:i/>
          <w:iCs/>
          <w:szCs w:val="24"/>
          <w:lang w:eastAsia="ru-RU"/>
        </w:rPr>
        <w:t xml:space="preserve">** обладает </w:t>
      </w:r>
      <w:proofErr w:type="spellStart"/>
      <w:r w:rsidRPr="00062B4F">
        <w:rPr>
          <w:i/>
          <w:iCs/>
          <w:szCs w:val="24"/>
          <w:lang w:eastAsia="ru-RU"/>
        </w:rPr>
        <w:t>антиагрегантным</w:t>
      </w:r>
      <w:proofErr w:type="spellEnd"/>
      <w:r w:rsidRPr="00062B4F">
        <w:rPr>
          <w:i/>
          <w:iCs/>
          <w:szCs w:val="24"/>
          <w:lang w:eastAsia="ru-RU"/>
        </w:rPr>
        <w:t xml:space="preserve"> эффектом </w:t>
      </w:r>
      <w:r w:rsidR="00D079D3" w:rsidRPr="00062B4F">
        <w:rPr>
          <w:i/>
          <w:iCs/>
          <w:szCs w:val="24"/>
          <w:lang w:eastAsia="ru-RU"/>
        </w:rPr>
        <w:fldChar w:fldCharType="begin" w:fldLock="1"/>
      </w:r>
      <w:r w:rsidR="00CE7A32" w:rsidRPr="00062B4F">
        <w:rPr>
          <w:i/>
          <w:iCs/>
          <w:szCs w:val="24"/>
          <w:lang w:eastAsia="ru-RU"/>
        </w:rPr>
        <w:instrText>ADDIN CSL_CITATION {"citationItems":[{"id":"ITEM-1","itemData":{"DOI":"10.1182/blood-2008-09-180604","ISSN":"0006-4971","PMID":"19414863","abstract":"Dasatinib is associated with increased risk of bleeding among patients with chronic myeloid leukemia, even in the absence of thrombocytopenia, suggesting the presence of a hemostatic defect. We tested platelet aggregation in 91 patients with chronic myeloid leukemia in chronic phase either off-therapy (n = 4) or receiving dasatinib (n = 27), bosutinib (n = 32), imatinib (n = 19), or nilotinib (n = 9). All but 3 patients simultaneously receiving imatinib and warfarin had normal coagulation studies. All 4 patients off therapy had normal platelet aggregation. Impaired platelet aggregation on stimulation with arachidonic acid, epinephrine, or both was observed in 70%, 85%, and 59% of patients on dasatinib, respectively. Eighty-five percent of patients on bosutinib, 100% on nilotinib, and 33% on imatinib had normal platelet aggregation. Dasatinib 400 nM induced rapid and marked prolongation of closure time to collagen/epinephrine in normal whole blood on the PFA-100 system. In conclusion, dasatinib and, to some extent, imatinib produce abnormalities in platelet aggregometry testing.","author":[{"dropping-particle":"","family":"Quintas-Cardama","given":"A.","non-dropping-particle":"","parse-names":false,"suffix":""},{"dropping-particle":"","family":"Han","given":"X.","non-dropping-particle":"","parse-names":false,"suffix":""},{"dropping-particle":"","family":"Kantarjian","given":"H.","non-dropping-particle":"","parse-names":false,"suffix":""},{"dropping-particle":"","family":"Cortes","given":"J.","non-dropping-particle":"","parse-names":false,"suffix":""}],"container-title":"Blood","id":"ITEM-1","issue":"2","issued":{"date-parts":[["2009","7"]]},"page":"261-263","title":"Tyrosine kinase inhibitor-induced platelet dysfunction in patients with chronic myeloid leukemia","type":"article-journal","volume":"114"},"uris":["http://www.mendeley.com/documents/?uuid=2a6815fc-200e-46e7-a5df-ff56d6786d60"]}],"mendeley":{"formattedCitation":"[41]","plainTextFormattedCitation":"[41]","previouslyFormattedCitation":"[41]"},"properties":{"noteIndex":0},"schema":"https://github.com/citation-style-language/schema/raw/master/csl-citation.json"}</w:instrText>
      </w:r>
      <w:r w:rsidR="00D079D3" w:rsidRPr="00062B4F">
        <w:rPr>
          <w:i/>
          <w:iCs/>
          <w:szCs w:val="24"/>
          <w:lang w:eastAsia="ru-RU"/>
        </w:rPr>
        <w:fldChar w:fldCharType="separate"/>
      </w:r>
      <w:r w:rsidR="00CE7A32" w:rsidRPr="00062B4F">
        <w:rPr>
          <w:iCs/>
          <w:noProof/>
          <w:szCs w:val="24"/>
          <w:lang w:eastAsia="ru-RU"/>
        </w:rPr>
        <w:t>[41]</w:t>
      </w:r>
      <w:r w:rsidR="00D079D3" w:rsidRPr="00062B4F">
        <w:rPr>
          <w:i/>
          <w:iCs/>
          <w:szCs w:val="24"/>
          <w:lang w:eastAsia="ru-RU"/>
        </w:rPr>
        <w:fldChar w:fldCharType="end"/>
      </w:r>
      <w:r w:rsidR="00D079D3" w:rsidRPr="00062B4F">
        <w:rPr>
          <w:i/>
          <w:iCs/>
          <w:szCs w:val="24"/>
          <w:lang w:eastAsia="ru-RU"/>
        </w:rPr>
        <w:t>.</w:t>
      </w:r>
    </w:p>
    <w:p w14:paraId="1E0E9A52" w14:textId="0F078326" w:rsidR="000C7098" w:rsidRPr="00062B4F" w:rsidRDefault="000C7098" w:rsidP="00137BCA">
      <w:pPr>
        <w:rPr>
          <w:b/>
          <w:bCs/>
          <w:i/>
          <w:iCs/>
          <w:szCs w:val="24"/>
          <w:lang w:eastAsia="ru-RU"/>
        </w:rPr>
      </w:pPr>
      <w:proofErr w:type="spellStart"/>
      <w:r w:rsidRPr="00062B4F">
        <w:rPr>
          <w:b/>
          <w:bCs/>
          <w:i/>
          <w:iCs/>
          <w:szCs w:val="24"/>
          <w:lang w:eastAsia="ru-RU"/>
        </w:rPr>
        <w:t>Бозутиниб</w:t>
      </w:r>
      <w:proofErr w:type="spellEnd"/>
      <w:r w:rsidR="00A779BB" w:rsidRPr="00062B4F">
        <w:rPr>
          <w:iCs/>
          <w:szCs w:val="24"/>
          <w:lang w:eastAsia="ru-RU"/>
        </w:rPr>
        <w:t>**</w:t>
      </w:r>
    </w:p>
    <w:p w14:paraId="3142F017" w14:textId="77777777" w:rsidR="000C7098" w:rsidRDefault="000C7098" w:rsidP="00505FD7">
      <w:pPr>
        <w:numPr>
          <w:ilvl w:val="0"/>
          <w:numId w:val="27"/>
        </w:numPr>
        <w:ind w:left="993" w:firstLine="141"/>
        <w:rPr>
          <w:i/>
          <w:iCs/>
          <w:szCs w:val="24"/>
          <w:lang w:eastAsia="ru-RU"/>
        </w:rPr>
      </w:pPr>
      <w:r w:rsidRPr="00062B4F">
        <w:rPr>
          <w:i/>
          <w:iCs/>
          <w:szCs w:val="24"/>
          <w:lang w:eastAsia="ru-RU"/>
        </w:rPr>
        <w:t xml:space="preserve">тяжелое нарушение функции печени и почек </w:t>
      </w:r>
      <w:r w:rsidR="00D6082E" w:rsidRPr="00062B4F">
        <w:rPr>
          <w:i/>
          <w:iCs/>
          <w:szCs w:val="24"/>
          <w:lang w:eastAsia="ru-RU"/>
        </w:rPr>
        <w:t xml:space="preserve"> </w:t>
      </w:r>
      <w:r w:rsidR="00D6082E" w:rsidRPr="00062B4F">
        <w:rPr>
          <w:i/>
          <w:iCs/>
          <w:szCs w:val="24"/>
          <w:lang w:eastAsia="ru-RU"/>
        </w:rPr>
        <w:fldChar w:fldCharType="begin" w:fldLock="1"/>
      </w:r>
      <w:r w:rsidR="00CE7A32" w:rsidRPr="00062B4F">
        <w:rPr>
          <w:i/>
          <w:iCs/>
          <w:szCs w:val="24"/>
          <w:lang w:eastAsia="ru-RU"/>
        </w:rPr>
        <w:instrText>ADDIN CSL_CITATION {"citationItems":[{"id":"ITEM-1","itemData":{"DOI":"10.1200/JCO.2017.74.7162","ISSN":"0732-183X","PMID":"29091516","abstract":"Purpose Bosutinib is a potent dual SRC/ABL kinase inhibitor approved for adults with Philadelphia chromosome-positive chronic myeloid leukemia (CML) resistant and /or intolerant to prior therapy. We assessed the efficacy and safety of bosutinib versus imatinib for first-line treatment of chronic-phase CML. Methods In this ongoing, multinational, phase III study, 536 patients with newly diagnosed chronic-phase CML were randomly assigned 1:1 to receive 400 mg of bosutinib once daily (n = 268) or imatinib (n = 268). Per protocol, efficacy was assessed in patients who were Philadelphia chromosome-positive with typical (e13a2/e14a2) transcripts (bosutinib, n = 246; imatinib, n = 241). Patients with Philadelphia chromosome-negative-/ BCR-ABL1-positive status and those with unknown Philadelphia chromosome status and/or atypical BCR-ABL1 transcript type were excluded from this population. Results The major molecular response (MMR) rate at 12 months (primary end point) was significantly higher with bosutinib versus imatinib (47.2% v 36.9%, respectively; P = .02), as was complete cytogenetic response (CCyR) rate by 12 months (77.2% v 66.4%, respectively; P = .0075). Cumulative incidence was favorable with bosutinib (MMR: hazard ratio, 1.34; P = .0173; CCyR: hazard ratio, 1.38; P &lt; .001), with earlier response times. Four patients (1.6%) receiving bosutinib and six patients (2.5%) receiving imatinib experienced disease progression to accelerated/blast phase. Among treated patients, 22.0% of patients receiving bosutinib and 26.8% of patients receiving imatinib discontinued treatment, most commonly for drug-related toxicity (12.7% and 8.7%, respectively). Grade ≥ 3 diarrhea (7.8% v 0.8%) and increased ALT (19.0% v 1.5%) and AST (9.7% v 1.9%) levels were more common with bosutinib. Cardiac and vascular toxicities were uncommon. Conclusion Patients who received bosutinib had significantly higher rates of MMR and CCyR and achieved responses faster than those who received imatinib. Consistent with the known safety profile, GI events and transaminase elevations were more common with bosutinib. Results indicate bosutinib may be an effective first-line treatment for chronic-phase CML.","author":[{"dropping-particle":"","family":"Cortes","given":"Jorge E.","non-dropping-particle":"","parse-names":false,"suffix":""},{"dropping-particle":"","family":"Gambacorti-Passerini","given":"Carlo","non-dropping-particle":"","parse-names":false,"suffix":""},{"dropping-particle":"","family":"Deininger","given":"Michael W.","non-dropping-particle":"","parse-names":false,"suffix":""},{"dropping-particle":"","family":"Mauro","given":"Michael J.","non-dropping-particle":"","parse-names":false,"suffix":""},{"dropping-particle":"","family":"Chuah","given":"Charles","non-dropping-particle":"","parse-names":false,"suffix":""},{"dropping-particle":"","family":"Kim","given":"Dong-Wook","non-dropping-particle":"","parse-names":false,"suffix":""},{"dropping-particle":"","family":"Dyagil","given":"Irina","non-dropping-particle":"","parse-names":false,"suffix":""},{"dropping-particle":"","family":"Glushko","given":"Nataliia","non-dropping-particle":"","parse-names":false,"suffix":""},{"dropping-particle":"","family":"Milojkovic","given":"Dragana","non-dropping-particle":"","parse-names":false,"suffix":""},{"dropping-particle":"","family":"Coutre","given":"Philipp","non-dropping-particle":"le","parse-names":false,"suffix":""},{"dropping-particle":"","family":"Garcia-Gutierrez","given":"Valentin","non-dropping-particle":"","parse-names":false,"suffix":""},{"dropping-particle":"","family":"Reilly","given":"Laurence","non-dropping-particle":"","parse-names":false,"suffix":""},{"dropping-particle":"","family":"Jeynes-Ellis","given":"Allison","non-dropping-particle":"","parse-names":false,"suffix":""},{"dropping-particle":"","family":"Leip","given":"Eric","non-dropping-particle":"","parse-names":false,"suffix":""},{"dropping-particle":"","family":"Bardy-Bouxin","given":"Nathalie","non-dropping-particle":"","parse-names":false,"suffix":""},{"dropping-particle":"","family":"Hochhaus","given":"Andreas","non-dropping-particle":"","parse-names":false,"suffix":""},{"dropping-particle":"","family":"Brümmendorf","given":"Tim H.","non-dropping-particle":"","parse-names":false,"suffix":""}],"container-title":"Journal of Clinical Oncology","id":"ITEM-1","issue":"3","issued":{"date-parts":[["2018","1"]]},"page":"231-237","title":"Bosutinib Versus Imatinib for Newly Diagnosed Chronic Myeloid Leukemia: Results From the Randomized BFORE Trial","type":"article-journal","volume":"36"},"uris":["http://www.mendeley.com/documents/?uuid=fe74192e-550d-4373-aa0e-3b29274deb74"]}],"mendeley":{"formattedCitation":"[42]","plainTextFormattedCitation":"[42]","previouslyFormattedCitation":"[42]"},"properties":{"noteIndex":0},"schema":"https://github.com/citation-style-language/schema/raw/master/csl-citation.json"}</w:instrText>
      </w:r>
      <w:r w:rsidR="00D6082E" w:rsidRPr="00062B4F">
        <w:rPr>
          <w:i/>
          <w:iCs/>
          <w:szCs w:val="24"/>
          <w:lang w:eastAsia="ru-RU"/>
        </w:rPr>
        <w:fldChar w:fldCharType="separate"/>
      </w:r>
      <w:r w:rsidR="00CE7A32" w:rsidRPr="00062B4F">
        <w:rPr>
          <w:iCs/>
          <w:noProof/>
          <w:szCs w:val="24"/>
          <w:lang w:eastAsia="ru-RU"/>
        </w:rPr>
        <w:t>[42]</w:t>
      </w:r>
      <w:r w:rsidR="00D6082E" w:rsidRPr="00062B4F">
        <w:rPr>
          <w:i/>
          <w:iCs/>
          <w:szCs w:val="24"/>
          <w:lang w:eastAsia="ru-RU"/>
        </w:rPr>
        <w:fldChar w:fldCharType="end"/>
      </w:r>
      <w:r w:rsidR="00D6082E" w:rsidRPr="00062B4F">
        <w:rPr>
          <w:i/>
          <w:iCs/>
          <w:szCs w:val="24"/>
          <w:lang w:eastAsia="ru-RU"/>
        </w:rPr>
        <w:t>.</w:t>
      </w:r>
    </w:p>
    <w:p w14:paraId="0353C277" w14:textId="5F17F678" w:rsidR="008F529B" w:rsidRPr="00710D11" w:rsidRDefault="008F529B" w:rsidP="008F529B">
      <w:pPr>
        <w:rPr>
          <w:b/>
          <w:bCs/>
          <w:i/>
          <w:iCs/>
          <w:szCs w:val="24"/>
          <w:lang w:eastAsia="ru-RU"/>
        </w:rPr>
      </w:pPr>
      <w:proofErr w:type="spellStart"/>
      <w:r w:rsidRPr="00710D11">
        <w:rPr>
          <w:b/>
          <w:bCs/>
          <w:i/>
          <w:iCs/>
          <w:szCs w:val="24"/>
          <w:lang w:eastAsia="ru-RU"/>
        </w:rPr>
        <w:t>Понатиниб</w:t>
      </w:r>
      <w:proofErr w:type="spellEnd"/>
    </w:p>
    <w:p w14:paraId="3F57FAD7" w14:textId="40DA308A" w:rsidR="008F529B" w:rsidRPr="00710D11" w:rsidRDefault="004A2F05" w:rsidP="008F529B">
      <w:pPr>
        <w:numPr>
          <w:ilvl w:val="0"/>
          <w:numId w:val="27"/>
        </w:numPr>
        <w:ind w:left="993" w:firstLine="141"/>
        <w:rPr>
          <w:i/>
          <w:iCs/>
          <w:szCs w:val="24"/>
          <w:lang w:eastAsia="ru-RU"/>
        </w:rPr>
      </w:pPr>
      <w:r w:rsidRPr="00710D11">
        <w:rPr>
          <w:i/>
          <w:iCs/>
          <w:szCs w:val="24"/>
          <w:lang w:eastAsia="ru-RU"/>
        </w:rPr>
        <w:t xml:space="preserve">Атеросклеротическое поражение сосудов, кардиоваскулярные ишемические события, </w:t>
      </w:r>
      <w:proofErr w:type="spellStart"/>
      <w:r w:rsidRPr="00710D11">
        <w:rPr>
          <w:i/>
          <w:iCs/>
          <w:szCs w:val="24"/>
          <w:lang w:eastAsia="ru-RU"/>
        </w:rPr>
        <w:t>окклюзионная</w:t>
      </w:r>
      <w:proofErr w:type="spellEnd"/>
      <w:r w:rsidRPr="00710D11">
        <w:rPr>
          <w:i/>
          <w:iCs/>
          <w:szCs w:val="24"/>
          <w:lang w:eastAsia="ru-RU"/>
        </w:rPr>
        <w:t xml:space="preserve"> болезнь периферических артерий</w:t>
      </w:r>
      <w:r w:rsidR="00AA3488" w:rsidRPr="00710D11">
        <w:rPr>
          <w:i/>
          <w:iCs/>
          <w:szCs w:val="24"/>
          <w:lang w:eastAsia="ru-RU"/>
        </w:rPr>
        <w:t>, наличие тромбозов в анамн</w:t>
      </w:r>
      <w:r w:rsidR="009A0A1D" w:rsidRPr="00710D11">
        <w:rPr>
          <w:i/>
          <w:iCs/>
          <w:szCs w:val="24"/>
          <w:lang w:eastAsia="ru-RU"/>
        </w:rPr>
        <w:t>езе</w:t>
      </w:r>
      <w:r w:rsidRPr="00710D11">
        <w:rPr>
          <w:i/>
          <w:iCs/>
          <w:szCs w:val="24"/>
          <w:lang w:eastAsia="ru-RU"/>
        </w:rPr>
        <w:t xml:space="preserve"> – продемонстрирована повышенная вероятность </w:t>
      </w:r>
      <w:r w:rsidR="009A0A1D" w:rsidRPr="00710D11">
        <w:rPr>
          <w:i/>
          <w:iCs/>
          <w:szCs w:val="24"/>
          <w:lang w:eastAsia="ru-RU"/>
        </w:rPr>
        <w:t>развития артериальных окклюзий</w:t>
      </w:r>
      <w:r w:rsidRPr="00710D11">
        <w:rPr>
          <w:i/>
          <w:iCs/>
          <w:szCs w:val="24"/>
          <w:lang w:eastAsia="ru-RU"/>
        </w:rPr>
        <w:t xml:space="preserve"> </w:t>
      </w:r>
      <w:r w:rsidR="008F529B" w:rsidRPr="00710D11">
        <w:rPr>
          <w:i/>
          <w:iCs/>
          <w:szCs w:val="24"/>
          <w:lang w:eastAsia="ru-RU"/>
        </w:rPr>
        <w:fldChar w:fldCharType="begin" w:fldLock="1"/>
      </w:r>
      <w:r w:rsidR="008F529B" w:rsidRPr="00710D11">
        <w:rPr>
          <w:i/>
          <w:iCs/>
          <w:szCs w:val="24"/>
          <w:lang w:eastAsia="ru-RU"/>
        </w:rPr>
        <w:instrText>ADDIN CSL_CITATION {"citationItems":[{"id":"ITEM-1","itemData":{"DOI":"10.1200/JCO.2017.74.7162","ISSN":"0732-183X","PMID":"29091516","abstract":"Purpose Bosutinib is a potent dual SRC/ABL kinase inhibitor approved for adults with Philadelphia chromosome-positive chronic myeloid leukemia (CML) resistant and /or intolerant to prior therapy. We assessed the efficacy and safety of bosutinib versus imatinib for first-line treatment of chronic-phase CML. Methods In this ongoing, multinational, phase III study, 536 patients with newly diagnosed chronic-phase CML were randomly assigned 1:1 to receive 400 mg of bosutinib once daily (n = 268) or imatinib (n = 268). Per protocol, efficacy was assessed in patients who were Philadelphia chromosome-positive with typical (e13a2/e14a2) transcripts (bosutinib, n = 246; imatinib, n = 241). Patients with Philadelphia chromosome-negative-/ BCR-ABL1-positive status and those with unknown Philadelphia chromosome status and/or atypical BCR-ABL1 transcript type were excluded from this population. Results The major molecular response (MMR) rate at 12 months (primary end point) was significantly higher with bosutinib versus imatinib (47.2% v 36.9%, respectively; P = .02), as was complete cytogenetic response (CCyR) rate by 12 months (77.2% v 66.4%, respectively; P = .0075). Cumulative incidence was favorable with bosutinib (MMR: hazard ratio, 1.34; P = .0173; CCyR: hazard ratio, 1.38; P &lt; .001), with earlier response times. Four patients (1.6%) receiving bosutinib and six patients (2.5%) receiving imatinib experienced disease progression to accelerated/blast phase. Among treated patients, 22.0% of patients receiving bosutinib and 26.8% of patients receiving imatinib discontinued treatment, most commonly for drug-related toxicity (12.7% and 8.7%, respectively). Grade ≥ 3 diarrhea (7.8% v 0.8%) and increased ALT (19.0% v 1.5%) and AST (9.7% v 1.9%) levels were more common with bosutinib. Cardiac and vascular toxicities were uncommon. Conclusion Patients who received bosutinib had significantly higher rates of MMR and CCyR and achieved responses faster than those who received imatinib. Consistent with the known safety profile, GI events and transaminase elevations were more common with bosutinib. Results indicate bosutinib may be an effective first-line treatment for chronic-phase CML.","author":[{"dropping-particle":"","family":"Cortes","given":"Jorge E.","non-dropping-particle":"","parse-names":false,"suffix":""},{"dropping-particle":"","family":"Gambacorti-Passerini","given":"Carlo","non-dropping-particle":"","parse-names":false,"suffix":""},{"dropping-particle":"","family":"Deininger","given":"Michael W.","non-dropping-particle":"","parse-names":false,"suffix":""},{"dropping-particle":"","family":"Mauro","given":"Michael J.","non-dropping-particle":"","parse-names":false,"suffix":""},{"dropping-particle":"","family":"Chuah","given":"Charles","non-dropping-particle":"","parse-names":false,"suffix":""},{"dropping-particle":"","family":"Kim","given":"Dong-Wook","non-dropping-particle":"","parse-names":false,"suffix":""},{"dropping-particle":"","family":"Dyagil","given":"Irina","non-dropping-particle":"","parse-names":false,"suffix":""},{"dropping-particle":"","family":"Glushko","given":"Nataliia","non-dropping-particle":"","parse-names":false,"suffix":""},{"dropping-particle":"","family":"Milojkovic","given":"Dragana","non-dropping-particle":"","parse-names":false,"suffix":""},{"dropping-particle":"","family":"Coutre","given":"Philipp","non-dropping-particle":"le","parse-names":false,"suffix":""},{"dropping-particle":"","family":"Garcia-Gutierrez","given":"Valentin","non-dropping-particle":"","parse-names":false,"suffix":""},{"dropping-particle":"","family":"Reilly","given":"Laurence","non-dropping-particle":"","parse-names":false,"suffix":""},{"dropping-particle":"","family":"Jeynes-Ellis","given":"Allison","non-dropping-particle":"","parse-names":false,"suffix":""},{"dropping-particle":"","family":"Leip","given":"Eric","non-dropping-particle":"","parse-names":false,"suffix":""},{"dropping-particle":"","family":"Bardy-Bouxin","given":"Nathalie","non-dropping-particle":"","parse-names":false,"suffix":""},{"dropping-particle":"","family":"Hochhaus","given":"Andreas","non-dropping-particle":"","parse-names":false,"suffix":""},{"dropping-particle":"","family":"Brümmendorf","given":"Tim H.","non-dropping-particle":"","parse-names":false,"suffix":""}],"container-title":"Journal of Clinical Oncology","id":"ITEM-1","issue":"3","issued":{"date-parts":[["2018","1"]]},"page":"231-237","title":"Bosutinib Versus Imatinib for Newly Diagnosed Chronic Myeloid Leukemia: Results From the Randomized BFORE Trial","type":"article-journal","volume":"36"},"uris":["http://www.mendeley.com/documents/?uuid=fe74192e-550d-4373-aa0e-3b29274deb74"]}],"mendeley":{"formattedCitation":"[42]","plainTextFormattedCitation":"[42]","previouslyFormattedCitation":"[42]"},"properties":{"noteIndex":0},"schema":"https://github.com/citation-style-language/schema/raw/master/csl-citation.json"}</w:instrText>
      </w:r>
      <w:r w:rsidR="008F529B" w:rsidRPr="00710D11">
        <w:rPr>
          <w:i/>
          <w:iCs/>
          <w:szCs w:val="24"/>
          <w:lang w:eastAsia="ru-RU"/>
        </w:rPr>
        <w:fldChar w:fldCharType="separate"/>
      </w:r>
      <w:r w:rsidR="008F529B" w:rsidRPr="00710D11">
        <w:rPr>
          <w:iCs/>
          <w:noProof/>
          <w:szCs w:val="24"/>
          <w:lang w:eastAsia="ru-RU"/>
        </w:rPr>
        <w:t>[42]</w:t>
      </w:r>
      <w:r w:rsidR="008F529B" w:rsidRPr="00710D11">
        <w:rPr>
          <w:i/>
          <w:iCs/>
          <w:szCs w:val="24"/>
          <w:lang w:eastAsia="ru-RU"/>
        </w:rPr>
        <w:fldChar w:fldCharType="end"/>
      </w:r>
      <w:r w:rsidR="008F529B" w:rsidRPr="00710D11">
        <w:rPr>
          <w:i/>
          <w:iCs/>
          <w:szCs w:val="24"/>
          <w:lang w:eastAsia="ru-RU"/>
        </w:rPr>
        <w:t>.</w:t>
      </w:r>
    </w:p>
    <w:p w14:paraId="4F093F20" w14:textId="77777777" w:rsidR="008F529B" w:rsidRPr="00062B4F" w:rsidRDefault="008F529B" w:rsidP="008F529B">
      <w:pPr>
        <w:ind w:left="993" w:firstLine="0"/>
        <w:rPr>
          <w:i/>
          <w:iCs/>
          <w:szCs w:val="24"/>
          <w:lang w:eastAsia="ru-RU"/>
        </w:rPr>
      </w:pPr>
    </w:p>
    <w:p w14:paraId="700173F3" w14:textId="77777777" w:rsidR="000C7098" w:rsidRPr="00062B4F" w:rsidRDefault="000C7098" w:rsidP="00137BCA">
      <w:pPr>
        <w:rPr>
          <w:i/>
          <w:iCs/>
          <w:szCs w:val="24"/>
          <w:lang w:eastAsia="ru-RU"/>
        </w:rPr>
      </w:pPr>
      <w:r w:rsidRPr="00062B4F">
        <w:rPr>
          <w:i/>
          <w:iCs/>
          <w:szCs w:val="24"/>
          <w:lang w:eastAsia="ru-RU"/>
        </w:rPr>
        <w:t xml:space="preserve">Все ИТК следует применять с осторожностью у пациентов с удлиненным интервалом QT, а также с клинически выраженной сердечной недостаточностью, дисфункцией левого желудочка, аритмиями. Следует избегать одновременного применения ИТК как с индукторами, так и ингибиторами изофермента CYP3A, а также с препаратами, удлиняющими интервал QT </w:t>
      </w:r>
      <w:r w:rsidR="00D6082E" w:rsidRPr="00062B4F">
        <w:rPr>
          <w:i/>
          <w:iCs/>
          <w:szCs w:val="24"/>
          <w:lang w:val="en-US" w:eastAsia="ru-RU"/>
        </w:rPr>
        <w:fldChar w:fldCharType="begin" w:fldLock="1"/>
      </w:r>
      <w:r w:rsidR="0089323F" w:rsidRPr="00062B4F">
        <w:rPr>
          <w:i/>
          <w:iCs/>
          <w:szCs w:val="24"/>
          <w:lang w:val="en-US" w:eastAsia="ru-RU"/>
        </w:rPr>
        <w:instrText>ADDIN</w:instrText>
      </w:r>
      <w:r w:rsidR="0089323F" w:rsidRPr="00062B4F">
        <w:rPr>
          <w:i/>
          <w:iCs/>
          <w:szCs w:val="24"/>
          <w:lang w:eastAsia="ru-RU"/>
        </w:rPr>
        <w:instrText xml:space="preserve"> </w:instrText>
      </w:r>
      <w:r w:rsidR="0089323F" w:rsidRPr="00062B4F">
        <w:rPr>
          <w:i/>
          <w:iCs/>
          <w:szCs w:val="24"/>
          <w:lang w:val="en-US" w:eastAsia="ru-RU"/>
        </w:rPr>
        <w:instrText>CSL</w:instrText>
      </w:r>
      <w:r w:rsidR="0089323F" w:rsidRPr="00062B4F">
        <w:rPr>
          <w:i/>
          <w:iCs/>
          <w:szCs w:val="24"/>
          <w:lang w:eastAsia="ru-RU"/>
        </w:rPr>
        <w:instrText>_</w:instrText>
      </w:r>
      <w:r w:rsidR="0089323F" w:rsidRPr="00062B4F">
        <w:rPr>
          <w:i/>
          <w:iCs/>
          <w:szCs w:val="24"/>
          <w:lang w:val="en-US" w:eastAsia="ru-RU"/>
        </w:rPr>
        <w:instrText>CITATION</w:instrText>
      </w:r>
      <w:r w:rsidR="0089323F" w:rsidRPr="00062B4F">
        <w:rPr>
          <w:i/>
          <w:iCs/>
          <w:szCs w:val="24"/>
          <w:lang w:eastAsia="ru-RU"/>
        </w:rPr>
        <w:instrText xml:space="preserve"> {"</w:instrText>
      </w:r>
      <w:r w:rsidR="0089323F" w:rsidRPr="00062B4F">
        <w:rPr>
          <w:i/>
          <w:iCs/>
          <w:szCs w:val="24"/>
          <w:lang w:val="en-US" w:eastAsia="ru-RU"/>
        </w:rPr>
        <w:instrText>citationItems</w:instrText>
      </w:r>
      <w:r w:rsidR="0089323F" w:rsidRPr="00062B4F">
        <w:rPr>
          <w:i/>
          <w:iCs/>
          <w:szCs w:val="24"/>
          <w:lang w:eastAsia="ru-RU"/>
        </w:rPr>
        <w:instrText>":[{"</w:instrText>
      </w:r>
      <w:r w:rsidR="0089323F" w:rsidRPr="00062B4F">
        <w:rPr>
          <w:i/>
          <w:iCs/>
          <w:szCs w:val="24"/>
          <w:lang w:val="en-US" w:eastAsia="ru-RU"/>
        </w:rPr>
        <w:instrText>id</w:instrText>
      </w:r>
      <w:r w:rsidR="0089323F" w:rsidRPr="00062B4F">
        <w:rPr>
          <w:i/>
          <w:iCs/>
          <w:szCs w:val="24"/>
          <w:lang w:eastAsia="ru-RU"/>
        </w:rPr>
        <w:instrText>":"</w:instrText>
      </w:r>
      <w:r w:rsidR="0089323F" w:rsidRPr="00062B4F">
        <w:rPr>
          <w:i/>
          <w:iCs/>
          <w:szCs w:val="24"/>
          <w:lang w:val="en-US" w:eastAsia="ru-RU"/>
        </w:rPr>
        <w:instrText>ITEM</w:instrText>
      </w:r>
      <w:r w:rsidR="0089323F" w:rsidRPr="00062B4F">
        <w:rPr>
          <w:i/>
          <w:iCs/>
          <w:szCs w:val="24"/>
          <w:lang w:eastAsia="ru-RU"/>
        </w:rPr>
        <w:instrText>-1","</w:instrText>
      </w:r>
      <w:r w:rsidR="0089323F" w:rsidRPr="00062B4F">
        <w:rPr>
          <w:i/>
          <w:iCs/>
          <w:szCs w:val="24"/>
          <w:lang w:val="en-US" w:eastAsia="ru-RU"/>
        </w:rPr>
        <w:instrText>itemData</w:instrText>
      </w:r>
      <w:r w:rsidR="0089323F" w:rsidRPr="00062B4F">
        <w:rPr>
          <w:i/>
          <w:iCs/>
          <w:szCs w:val="24"/>
          <w:lang w:eastAsia="ru-RU"/>
        </w:rPr>
        <w:instrText>":{"</w:instrText>
      </w:r>
      <w:r w:rsidR="0089323F" w:rsidRPr="00062B4F">
        <w:rPr>
          <w:i/>
          <w:iCs/>
          <w:szCs w:val="24"/>
          <w:lang w:val="en-US" w:eastAsia="ru-RU"/>
        </w:rPr>
        <w:instrText>DOI</w:instrText>
      </w:r>
      <w:r w:rsidR="0089323F" w:rsidRPr="00062B4F">
        <w:rPr>
          <w:i/>
          <w:iCs/>
          <w:szCs w:val="24"/>
          <w:lang w:eastAsia="ru-RU"/>
        </w:rPr>
        <w:instrText>":"10.1182/</w:instrText>
      </w:r>
      <w:r w:rsidR="0089323F" w:rsidRPr="00062B4F">
        <w:rPr>
          <w:i/>
          <w:iCs/>
          <w:szCs w:val="24"/>
          <w:lang w:val="en-US" w:eastAsia="ru-RU"/>
        </w:rPr>
        <w:instrText>blood</w:instrText>
      </w:r>
      <w:r w:rsidR="0089323F" w:rsidRPr="00062B4F">
        <w:rPr>
          <w:i/>
          <w:iCs/>
          <w:szCs w:val="24"/>
          <w:lang w:eastAsia="ru-RU"/>
        </w:rPr>
        <w:instrText>-2010-07-294330","</w:instrText>
      </w:r>
      <w:r w:rsidR="0089323F" w:rsidRPr="00062B4F">
        <w:rPr>
          <w:i/>
          <w:iCs/>
          <w:szCs w:val="24"/>
          <w:lang w:val="en-US" w:eastAsia="ru-RU"/>
        </w:rPr>
        <w:instrText>ISSN</w:instrText>
      </w:r>
      <w:r w:rsidR="0089323F" w:rsidRPr="00062B4F">
        <w:rPr>
          <w:i/>
          <w:iCs/>
          <w:szCs w:val="24"/>
          <w:lang w:eastAsia="ru-RU"/>
        </w:rPr>
        <w:instrText>":"0006-4971","</w:instrText>
      </w:r>
      <w:r w:rsidR="0089323F" w:rsidRPr="00062B4F">
        <w:rPr>
          <w:i/>
          <w:iCs/>
          <w:szCs w:val="24"/>
          <w:lang w:val="en-US" w:eastAsia="ru-RU"/>
        </w:rPr>
        <w:instrText>PMID</w:instrText>
      </w:r>
      <w:r w:rsidR="0089323F" w:rsidRPr="00062B4F">
        <w:rPr>
          <w:i/>
          <w:iCs/>
          <w:szCs w:val="24"/>
          <w:lang w:eastAsia="ru-RU"/>
        </w:rPr>
        <w:instrText>":"20810928","</w:instrText>
      </w:r>
      <w:r w:rsidR="0089323F" w:rsidRPr="00062B4F">
        <w:rPr>
          <w:i/>
          <w:iCs/>
          <w:szCs w:val="24"/>
          <w:lang w:val="en-US" w:eastAsia="ru-RU"/>
        </w:rPr>
        <w:instrText>abstract</w:instrText>
      </w:r>
      <w:r w:rsidR="0089323F" w:rsidRPr="00062B4F">
        <w:rPr>
          <w:i/>
          <w:iCs/>
          <w:szCs w:val="24"/>
          <w:lang w:eastAsia="ru-RU"/>
        </w:rPr>
        <w:instrText>":"</w:instrText>
      </w:r>
      <w:r w:rsidR="0089323F" w:rsidRPr="00062B4F">
        <w:rPr>
          <w:i/>
          <w:iCs/>
          <w:szCs w:val="24"/>
          <w:lang w:val="en-US" w:eastAsia="ru-RU"/>
        </w:rPr>
        <w:instrText>Several</w:instrText>
      </w:r>
      <w:r w:rsidR="0089323F" w:rsidRPr="00062B4F">
        <w:rPr>
          <w:i/>
          <w:iCs/>
          <w:szCs w:val="24"/>
          <w:lang w:eastAsia="ru-RU"/>
        </w:rPr>
        <w:instrText xml:space="preserve"> </w:instrText>
      </w:r>
      <w:r w:rsidR="0089323F" w:rsidRPr="00062B4F">
        <w:rPr>
          <w:i/>
          <w:iCs/>
          <w:szCs w:val="24"/>
          <w:lang w:val="en-US" w:eastAsia="ru-RU"/>
        </w:rPr>
        <w:instrText>cancer</w:instrText>
      </w:r>
      <w:r w:rsidR="0089323F" w:rsidRPr="00062B4F">
        <w:rPr>
          <w:i/>
          <w:iCs/>
          <w:szCs w:val="24"/>
          <w:lang w:eastAsia="ru-RU"/>
        </w:rPr>
        <w:instrText xml:space="preserve"> </w:instrText>
      </w:r>
      <w:r w:rsidR="0089323F" w:rsidRPr="00062B4F">
        <w:rPr>
          <w:i/>
          <w:iCs/>
          <w:szCs w:val="24"/>
          <w:lang w:val="en-US" w:eastAsia="ru-RU"/>
        </w:rPr>
        <w:instrText>treatments</w:instrText>
      </w:r>
      <w:r w:rsidR="0089323F" w:rsidRPr="00062B4F">
        <w:rPr>
          <w:i/>
          <w:iCs/>
          <w:szCs w:val="24"/>
          <w:lang w:eastAsia="ru-RU"/>
        </w:rPr>
        <w:instrText xml:space="preserve"> </w:instrText>
      </w:r>
      <w:r w:rsidR="0089323F" w:rsidRPr="00062B4F">
        <w:rPr>
          <w:i/>
          <w:iCs/>
          <w:szCs w:val="24"/>
          <w:lang w:val="en-US" w:eastAsia="ru-RU"/>
        </w:rPr>
        <w:instrText>are</w:instrText>
      </w:r>
      <w:r w:rsidR="0089323F" w:rsidRPr="00062B4F">
        <w:rPr>
          <w:i/>
          <w:iCs/>
          <w:szCs w:val="24"/>
          <w:lang w:eastAsia="ru-RU"/>
        </w:rPr>
        <w:instrText xml:space="preserve"> </w:instrText>
      </w:r>
      <w:r w:rsidR="0089323F" w:rsidRPr="00062B4F">
        <w:rPr>
          <w:i/>
          <w:iCs/>
          <w:szCs w:val="24"/>
          <w:lang w:val="en-US" w:eastAsia="ru-RU"/>
        </w:rPr>
        <w:instrText>shifting</w:instrText>
      </w:r>
      <w:r w:rsidR="0089323F" w:rsidRPr="00062B4F">
        <w:rPr>
          <w:i/>
          <w:iCs/>
          <w:szCs w:val="24"/>
          <w:lang w:eastAsia="ru-RU"/>
        </w:rPr>
        <w:instrText xml:space="preserve"> </w:instrText>
      </w:r>
      <w:r w:rsidR="0089323F" w:rsidRPr="00062B4F">
        <w:rPr>
          <w:i/>
          <w:iCs/>
          <w:szCs w:val="24"/>
          <w:lang w:val="en-US" w:eastAsia="ru-RU"/>
        </w:rPr>
        <w:instrText>from</w:instrText>
      </w:r>
      <w:r w:rsidR="0089323F" w:rsidRPr="00062B4F">
        <w:rPr>
          <w:i/>
          <w:iCs/>
          <w:szCs w:val="24"/>
          <w:lang w:eastAsia="ru-RU"/>
        </w:rPr>
        <w:instrText xml:space="preserve"> </w:instrText>
      </w:r>
      <w:r w:rsidR="0089323F" w:rsidRPr="00062B4F">
        <w:rPr>
          <w:i/>
          <w:iCs/>
          <w:szCs w:val="24"/>
          <w:lang w:val="en-US" w:eastAsia="ru-RU"/>
        </w:rPr>
        <w:instrText>traditional</w:instrText>
      </w:r>
      <w:r w:rsidR="0089323F" w:rsidRPr="00062B4F">
        <w:rPr>
          <w:i/>
          <w:iCs/>
          <w:szCs w:val="24"/>
          <w:lang w:eastAsia="ru-RU"/>
        </w:rPr>
        <w:instrText xml:space="preserve">, </w:instrText>
      </w:r>
      <w:r w:rsidR="0089323F" w:rsidRPr="00062B4F">
        <w:rPr>
          <w:i/>
          <w:iCs/>
          <w:szCs w:val="24"/>
          <w:lang w:val="en-US" w:eastAsia="ru-RU"/>
        </w:rPr>
        <w:instrText>time</w:instrText>
      </w:r>
      <w:r w:rsidR="0089323F" w:rsidRPr="00062B4F">
        <w:rPr>
          <w:i/>
          <w:iCs/>
          <w:szCs w:val="24"/>
          <w:lang w:eastAsia="ru-RU"/>
        </w:rPr>
        <w:instrText>-</w:instrText>
      </w:r>
      <w:r w:rsidR="0089323F" w:rsidRPr="00062B4F">
        <w:rPr>
          <w:i/>
          <w:iCs/>
          <w:szCs w:val="24"/>
          <w:lang w:val="en-US" w:eastAsia="ru-RU"/>
        </w:rPr>
        <w:instrText>limited</w:instrText>
      </w:r>
      <w:r w:rsidR="0089323F" w:rsidRPr="00062B4F">
        <w:rPr>
          <w:i/>
          <w:iCs/>
          <w:szCs w:val="24"/>
          <w:lang w:eastAsia="ru-RU"/>
        </w:rPr>
        <w:instrText xml:space="preserve">, </w:instrText>
      </w:r>
      <w:r w:rsidR="0089323F" w:rsidRPr="00062B4F">
        <w:rPr>
          <w:i/>
          <w:iCs/>
          <w:szCs w:val="24"/>
          <w:lang w:val="en-US" w:eastAsia="ru-RU"/>
        </w:rPr>
        <w:instrText>nonspecific</w:instrText>
      </w:r>
      <w:r w:rsidR="0089323F" w:rsidRPr="00062B4F">
        <w:rPr>
          <w:i/>
          <w:iCs/>
          <w:szCs w:val="24"/>
          <w:lang w:eastAsia="ru-RU"/>
        </w:rPr>
        <w:instrText xml:space="preserve"> </w:instrText>
      </w:r>
      <w:r w:rsidR="0089323F" w:rsidRPr="00062B4F">
        <w:rPr>
          <w:i/>
          <w:iCs/>
          <w:szCs w:val="24"/>
          <w:lang w:val="en-US" w:eastAsia="ru-RU"/>
        </w:rPr>
        <w:instrText>cytotoxic</w:instrText>
      </w:r>
      <w:r w:rsidR="0089323F" w:rsidRPr="00062B4F">
        <w:rPr>
          <w:i/>
          <w:iCs/>
          <w:szCs w:val="24"/>
          <w:lang w:eastAsia="ru-RU"/>
        </w:rPr>
        <w:instrText xml:space="preserve"> </w:instrText>
      </w:r>
      <w:r w:rsidR="0089323F" w:rsidRPr="00062B4F">
        <w:rPr>
          <w:i/>
          <w:iCs/>
          <w:szCs w:val="24"/>
          <w:lang w:val="en-US" w:eastAsia="ru-RU"/>
        </w:rPr>
        <w:instrText>chemotherapy</w:instrText>
      </w:r>
      <w:r w:rsidR="0089323F" w:rsidRPr="00062B4F">
        <w:rPr>
          <w:i/>
          <w:iCs/>
          <w:szCs w:val="24"/>
          <w:lang w:eastAsia="ru-RU"/>
        </w:rPr>
        <w:instrText xml:space="preserve"> </w:instrText>
      </w:r>
      <w:r w:rsidR="0089323F" w:rsidRPr="00062B4F">
        <w:rPr>
          <w:i/>
          <w:iCs/>
          <w:szCs w:val="24"/>
          <w:lang w:val="en-US" w:eastAsia="ru-RU"/>
        </w:rPr>
        <w:instrText>cycles</w:instrText>
      </w:r>
      <w:r w:rsidR="0089323F" w:rsidRPr="00062B4F">
        <w:rPr>
          <w:i/>
          <w:iCs/>
          <w:szCs w:val="24"/>
          <w:lang w:eastAsia="ru-RU"/>
        </w:rPr>
        <w:instrText xml:space="preserve"> </w:instrText>
      </w:r>
      <w:r w:rsidR="0089323F" w:rsidRPr="00062B4F">
        <w:rPr>
          <w:i/>
          <w:iCs/>
          <w:szCs w:val="24"/>
          <w:lang w:val="en-US" w:eastAsia="ru-RU"/>
        </w:rPr>
        <w:instrText>to</w:instrText>
      </w:r>
      <w:r w:rsidR="0089323F" w:rsidRPr="00062B4F">
        <w:rPr>
          <w:i/>
          <w:iCs/>
          <w:szCs w:val="24"/>
          <w:lang w:eastAsia="ru-RU"/>
        </w:rPr>
        <w:instrText xml:space="preserve"> </w:instrText>
      </w:r>
      <w:r w:rsidR="0089323F" w:rsidRPr="00062B4F">
        <w:rPr>
          <w:i/>
          <w:iCs/>
          <w:szCs w:val="24"/>
          <w:lang w:val="en-US" w:eastAsia="ru-RU"/>
        </w:rPr>
        <w:instrText>continuous</w:instrText>
      </w:r>
      <w:r w:rsidR="0089323F" w:rsidRPr="00062B4F">
        <w:rPr>
          <w:i/>
          <w:iCs/>
          <w:szCs w:val="24"/>
          <w:lang w:eastAsia="ru-RU"/>
        </w:rPr>
        <w:instrText xml:space="preserve"> </w:instrText>
      </w:r>
      <w:r w:rsidR="0089323F" w:rsidRPr="00062B4F">
        <w:rPr>
          <w:i/>
          <w:iCs/>
          <w:szCs w:val="24"/>
          <w:lang w:val="en-US" w:eastAsia="ru-RU"/>
        </w:rPr>
        <w:instrText>oral</w:instrText>
      </w:r>
      <w:r w:rsidR="0089323F" w:rsidRPr="00062B4F">
        <w:rPr>
          <w:i/>
          <w:iCs/>
          <w:szCs w:val="24"/>
          <w:lang w:eastAsia="ru-RU"/>
        </w:rPr>
        <w:instrText xml:space="preserve"> </w:instrText>
      </w:r>
      <w:r w:rsidR="0089323F" w:rsidRPr="00062B4F">
        <w:rPr>
          <w:i/>
          <w:iCs/>
          <w:szCs w:val="24"/>
          <w:lang w:val="en-US" w:eastAsia="ru-RU"/>
        </w:rPr>
        <w:instrText>treatment</w:instrText>
      </w:r>
      <w:r w:rsidR="0089323F" w:rsidRPr="00062B4F">
        <w:rPr>
          <w:i/>
          <w:iCs/>
          <w:szCs w:val="24"/>
          <w:lang w:eastAsia="ru-RU"/>
        </w:rPr>
        <w:instrText xml:space="preserve"> </w:instrText>
      </w:r>
      <w:r w:rsidR="0089323F" w:rsidRPr="00062B4F">
        <w:rPr>
          <w:i/>
          <w:iCs/>
          <w:szCs w:val="24"/>
          <w:lang w:val="en-US" w:eastAsia="ru-RU"/>
        </w:rPr>
        <w:instrText>with</w:instrText>
      </w:r>
      <w:r w:rsidR="0089323F" w:rsidRPr="00062B4F">
        <w:rPr>
          <w:i/>
          <w:iCs/>
          <w:szCs w:val="24"/>
          <w:lang w:eastAsia="ru-RU"/>
        </w:rPr>
        <w:instrText xml:space="preserve"> </w:instrText>
      </w:r>
      <w:r w:rsidR="0089323F" w:rsidRPr="00062B4F">
        <w:rPr>
          <w:i/>
          <w:iCs/>
          <w:szCs w:val="24"/>
          <w:lang w:val="en-US" w:eastAsia="ru-RU"/>
        </w:rPr>
        <w:instrText>specific</w:instrText>
      </w:r>
      <w:r w:rsidR="0089323F" w:rsidRPr="00062B4F">
        <w:rPr>
          <w:i/>
          <w:iCs/>
          <w:szCs w:val="24"/>
          <w:lang w:eastAsia="ru-RU"/>
        </w:rPr>
        <w:instrText xml:space="preserve"> </w:instrText>
      </w:r>
      <w:r w:rsidR="0089323F" w:rsidRPr="00062B4F">
        <w:rPr>
          <w:i/>
          <w:iCs/>
          <w:szCs w:val="24"/>
          <w:lang w:val="en-US" w:eastAsia="ru-RU"/>
        </w:rPr>
        <w:instrText>protein</w:instrText>
      </w:r>
      <w:r w:rsidR="0089323F" w:rsidRPr="00062B4F">
        <w:rPr>
          <w:i/>
          <w:iCs/>
          <w:szCs w:val="24"/>
          <w:lang w:eastAsia="ru-RU"/>
        </w:rPr>
        <w:instrText>-</w:instrText>
      </w:r>
      <w:r w:rsidR="0089323F" w:rsidRPr="00062B4F">
        <w:rPr>
          <w:i/>
          <w:iCs/>
          <w:szCs w:val="24"/>
          <w:lang w:val="en-US" w:eastAsia="ru-RU"/>
        </w:rPr>
        <w:instrText>targeted</w:instrText>
      </w:r>
      <w:r w:rsidR="0089323F" w:rsidRPr="00062B4F">
        <w:rPr>
          <w:i/>
          <w:iCs/>
          <w:szCs w:val="24"/>
          <w:lang w:eastAsia="ru-RU"/>
        </w:rPr>
        <w:instrText xml:space="preserve"> </w:instrText>
      </w:r>
      <w:r w:rsidR="0089323F" w:rsidRPr="00062B4F">
        <w:rPr>
          <w:i/>
          <w:iCs/>
          <w:szCs w:val="24"/>
          <w:lang w:val="en-US" w:eastAsia="ru-RU"/>
        </w:rPr>
        <w:instrText>therapies</w:instrText>
      </w:r>
      <w:r w:rsidR="0089323F" w:rsidRPr="00062B4F">
        <w:rPr>
          <w:i/>
          <w:iCs/>
          <w:szCs w:val="24"/>
          <w:lang w:eastAsia="ru-RU"/>
        </w:rPr>
        <w:instrText xml:space="preserve">. </w:instrText>
      </w:r>
      <w:r w:rsidR="0089323F" w:rsidRPr="00062B4F">
        <w:rPr>
          <w:i/>
          <w:iCs/>
          <w:szCs w:val="24"/>
          <w:lang w:val="en-US" w:eastAsia="ru-RU"/>
        </w:rPr>
        <w:instrText>In</w:instrText>
      </w:r>
      <w:r w:rsidR="0089323F" w:rsidRPr="00062B4F">
        <w:rPr>
          <w:i/>
          <w:iCs/>
          <w:szCs w:val="24"/>
          <w:lang w:eastAsia="ru-RU"/>
        </w:rPr>
        <w:instrText xml:space="preserve"> </w:instrText>
      </w:r>
      <w:r w:rsidR="0089323F" w:rsidRPr="00062B4F">
        <w:rPr>
          <w:i/>
          <w:iCs/>
          <w:szCs w:val="24"/>
          <w:lang w:val="en-US" w:eastAsia="ru-RU"/>
        </w:rPr>
        <w:instrText>this</w:instrText>
      </w:r>
      <w:r w:rsidR="0089323F" w:rsidRPr="00062B4F">
        <w:rPr>
          <w:i/>
          <w:iCs/>
          <w:szCs w:val="24"/>
          <w:lang w:eastAsia="ru-RU"/>
        </w:rPr>
        <w:instrText xml:space="preserve"> </w:instrText>
      </w:r>
      <w:r w:rsidR="0089323F" w:rsidRPr="00062B4F">
        <w:rPr>
          <w:i/>
          <w:iCs/>
          <w:szCs w:val="24"/>
          <w:lang w:val="en-US" w:eastAsia="ru-RU"/>
        </w:rPr>
        <w:instrText>line</w:instrText>
      </w:r>
      <w:r w:rsidR="0089323F" w:rsidRPr="00062B4F">
        <w:rPr>
          <w:i/>
          <w:iCs/>
          <w:szCs w:val="24"/>
          <w:lang w:eastAsia="ru-RU"/>
        </w:rPr>
        <w:instrText xml:space="preserve">, </w:instrText>
      </w:r>
      <w:r w:rsidR="0089323F" w:rsidRPr="00062B4F">
        <w:rPr>
          <w:i/>
          <w:iCs/>
          <w:szCs w:val="24"/>
          <w:lang w:val="en-US" w:eastAsia="ru-RU"/>
        </w:rPr>
        <w:instrText>imatinib</w:instrText>
      </w:r>
      <w:r w:rsidR="0089323F" w:rsidRPr="00062B4F">
        <w:rPr>
          <w:i/>
          <w:iCs/>
          <w:szCs w:val="24"/>
          <w:lang w:eastAsia="ru-RU"/>
        </w:rPr>
        <w:instrText xml:space="preserve"> </w:instrText>
      </w:r>
      <w:r w:rsidR="0089323F" w:rsidRPr="00062B4F">
        <w:rPr>
          <w:i/>
          <w:iCs/>
          <w:szCs w:val="24"/>
          <w:lang w:val="en-US" w:eastAsia="ru-RU"/>
        </w:rPr>
        <w:instrText>mesylate</w:instrText>
      </w:r>
      <w:r w:rsidR="0089323F" w:rsidRPr="00062B4F">
        <w:rPr>
          <w:i/>
          <w:iCs/>
          <w:szCs w:val="24"/>
          <w:lang w:eastAsia="ru-RU"/>
        </w:rPr>
        <w:instrText xml:space="preserve">, </w:instrText>
      </w:r>
      <w:r w:rsidR="0089323F" w:rsidRPr="00062B4F">
        <w:rPr>
          <w:i/>
          <w:iCs/>
          <w:szCs w:val="24"/>
          <w:lang w:val="en-US" w:eastAsia="ru-RU"/>
        </w:rPr>
        <w:instrText>a</w:instrText>
      </w:r>
      <w:r w:rsidR="0089323F" w:rsidRPr="00062B4F">
        <w:rPr>
          <w:i/>
          <w:iCs/>
          <w:szCs w:val="24"/>
          <w:lang w:eastAsia="ru-RU"/>
        </w:rPr>
        <w:instrText xml:space="preserve"> </w:instrText>
      </w:r>
      <w:r w:rsidR="0089323F" w:rsidRPr="00062B4F">
        <w:rPr>
          <w:i/>
          <w:iCs/>
          <w:szCs w:val="24"/>
          <w:lang w:val="en-US" w:eastAsia="ru-RU"/>
        </w:rPr>
        <w:instrText>selective</w:instrText>
      </w:r>
      <w:r w:rsidR="0089323F" w:rsidRPr="00062B4F">
        <w:rPr>
          <w:i/>
          <w:iCs/>
          <w:szCs w:val="24"/>
          <w:lang w:eastAsia="ru-RU"/>
        </w:rPr>
        <w:instrText xml:space="preserve"> </w:instrText>
      </w:r>
      <w:r w:rsidR="0089323F" w:rsidRPr="00062B4F">
        <w:rPr>
          <w:i/>
          <w:iCs/>
          <w:szCs w:val="24"/>
          <w:lang w:val="en-US" w:eastAsia="ru-RU"/>
        </w:rPr>
        <w:instrText>tyrosine</w:instrText>
      </w:r>
      <w:r w:rsidR="0089323F" w:rsidRPr="00062B4F">
        <w:rPr>
          <w:i/>
          <w:iCs/>
          <w:szCs w:val="24"/>
          <w:lang w:eastAsia="ru-RU"/>
        </w:rPr>
        <w:instrText xml:space="preserve"> </w:instrText>
      </w:r>
      <w:r w:rsidR="0089323F" w:rsidRPr="00062B4F">
        <w:rPr>
          <w:i/>
          <w:iCs/>
          <w:szCs w:val="24"/>
          <w:lang w:val="en-US" w:eastAsia="ru-RU"/>
        </w:rPr>
        <w:instrText>kinases</w:instrText>
      </w:r>
      <w:r w:rsidR="0089323F" w:rsidRPr="00062B4F">
        <w:rPr>
          <w:i/>
          <w:iCs/>
          <w:szCs w:val="24"/>
          <w:lang w:eastAsia="ru-RU"/>
        </w:rPr>
        <w:instrText xml:space="preserve"> </w:instrText>
      </w:r>
      <w:r w:rsidR="0089323F" w:rsidRPr="00062B4F">
        <w:rPr>
          <w:i/>
          <w:iCs/>
          <w:szCs w:val="24"/>
          <w:lang w:val="en-US" w:eastAsia="ru-RU"/>
        </w:rPr>
        <w:instrText>inhibitor</w:instrText>
      </w:r>
      <w:r w:rsidR="0089323F" w:rsidRPr="00062B4F">
        <w:rPr>
          <w:i/>
          <w:iCs/>
          <w:szCs w:val="24"/>
          <w:lang w:eastAsia="ru-RU"/>
        </w:rPr>
        <w:instrText xml:space="preserve"> (</w:instrText>
      </w:r>
      <w:r w:rsidR="0089323F" w:rsidRPr="00062B4F">
        <w:rPr>
          <w:i/>
          <w:iCs/>
          <w:szCs w:val="24"/>
          <w:lang w:val="en-US" w:eastAsia="ru-RU"/>
        </w:rPr>
        <w:instrText>TKI</w:instrText>
      </w:r>
      <w:r w:rsidR="0089323F" w:rsidRPr="00062B4F">
        <w:rPr>
          <w:i/>
          <w:iCs/>
          <w:szCs w:val="24"/>
          <w:lang w:eastAsia="ru-RU"/>
        </w:rPr>
        <w:instrText xml:space="preserve">), </w:instrText>
      </w:r>
      <w:r w:rsidR="0089323F" w:rsidRPr="00062B4F">
        <w:rPr>
          <w:i/>
          <w:iCs/>
          <w:szCs w:val="24"/>
          <w:lang w:val="en-US" w:eastAsia="ru-RU"/>
        </w:rPr>
        <w:instrText>has</w:instrText>
      </w:r>
      <w:r w:rsidR="0089323F" w:rsidRPr="00062B4F">
        <w:rPr>
          <w:i/>
          <w:iCs/>
          <w:szCs w:val="24"/>
          <w:lang w:eastAsia="ru-RU"/>
        </w:rPr>
        <w:instrText xml:space="preserve"> </w:instrText>
      </w:r>
      <w:r w:rsidR="0089323F" w:rsidRPr="00062B4F">
        <w:rPr>
          <w:i/>
          <w:iCs/>
          <w:szCs w:val="24"/>
          <w:lang w:val="en-US" w:eastAsia="ru-RU"/>
        </w:rPr>
        <w:instrText>excellent</w:instrText>
      </w:r>
      <w:r w:rsidR="0089323F" w:rsidRPr="00062B4F">
        <w:rPr>
          <w:i/>
          <w:iCs/>
          <w:szCs w:val="24"/>
          <w:lang w:eastAsia="ru-RU"/>
        </w:rPr>
        <w:instrText xml:space="preserve"> </w:instrText>
      </w:r>
      <w:r w:rsidR="0089323F" w:rsidRPr="00062B4F">
        <w:rPr>
          <w:i/>
          <w:iCs/>
          <w:szCs w:val="24"/>
          <w:lang w:val="en-US" w:eastAsia="ru-RU"/>
        </w:rPr>
        <w:instrText>efficacy</w:instrText>
      </w:r>
      <w:r w:rsidR="0089323F" w:rsidRPr="00062B4F">
        <w:rPr>
          <w:i/>
          <w:iCs/>
          <w:szCs w:val="24"/>
          <w:lang w:eastAsia="ru-RU"/>
        </w:rPr>
        <w:instrText xml:space="preserve"> </w:instrText>
      </w:r>
      <w:r w:rsidR="0089323F" w:rsidRPr="00062B4F">
        <w:rPr>
          <w:i/>
          <w:iCs/>
          <w:szCs w:val="24"/>
          <w:lang w:val="en-US" w:eastAsia="ru-RU"/>
        </w:rPr>
        <w:instrText>in</w:instrText>
      </w:r>
      <w:r w:rsidR="0089323F" w:rsidRPr="00062B4F">
        <w:rPr>
          <w:i/>
          <w:iCs/>
          <w:szCs w:val="24"/>
          <w:lang w:eastAsia="ru-RU"/>
        </w:rPr>
        <w:instrText xml:space="preserve"> </w:instrText>
      </w:r>
      <w:r w:rsidR="0089323F" w:rsidRPr="00062B4F">
        <w:rPr>
          <w:i/>
          <w:iCs/>
          <w:szCs w:val="24"/>
          <w:lang w:val="en-US" w:eastAsia="ru-RU"/>
        </w:rPr>
        <w:instrText>the</w:instrText>
      </w:r>
      <w:r w:rsidR="0089323F" w:rsidRPr="00062B4F">
        <w:rPr>
          <w:i/>
          <w:iCs/>
          <w:szCs w:val="24"/>
          <w:lang w:eastAsia="ru-RU"/>
        </w:rPr>
        <w:instrText xml:space="preserve"> </w:instrText>
      </w:r>
      <w:r w:rsidR="0089323F" w:rsidRPr="00062B4F">
        <w:rPr>
          <w:i/>
          <w:iCs/>
          <w:szCs w:val="24"/>
          <w:lang w:val="en-US" w:eastAsia="ru-RU"/>
        </w:rPr>
        <w:instrText>treatment</w:instrText>
      </w:r>
      <w:r w:rsidR="0089323F" w:rsidRPr="00062B4F">
        <w:rPr>
          <w:i/>
          <w:iCs/>
          <w:szCs w:val="24"/>
          <w:lang w:eastAsia="ru-RU"/>
        </w:rPr>
        <w:instrText xml:space="preserve"> </w:instrText>
      </w:r>
      <w:r w:rsidR="0089323F" w:rsidRPr="00062B4F">
        <w:rPr>
          <w:i/>
          <w:iCs/>
          <w:szCs w:val="24"/>
          <w:lang w:val="en-US" w:eastAsia="ru-RU"/>
        </w:rPr>
        <w:instrText>of</w:instrText>
      </w:r>
      <w:r w:rsidR="0089323F" w:rsidRPr="00062B4F">
        <w:rPr>
          <w:i/>
          <w:iCs/>
          <w:szCs w:val="24"/>
          <w:lang w:eastAsia="ru-RU"/>
        </w:rPr>
        <w:instrText xml:space="preserve"> </w:instrText>
      </w:r>
      <w:r w:rsidR="0089323F" w:rsidRPr="00062B4F">
        <w:rPr>
          <w:i/>
          <w:iCs/>
          <w:szCs w:val="24"/>
          <w:lang w:val="en-US" w:eastAsia="ru-RU"/>
        </w:rPr>
        <w:instrText>chronic</w:instrText>
      </w:r>
      <w:r w:rsidR="0089323F" w:rsidRPr="00062B4F">
        <w:rPr>
          <w:i/>
          <w:iCs/>
          <w:szCs w:val="24"/>
          <w:lang w:eastAsia="ru-RU"/>
        </w:rPr>
        <w:instrText xml:space="preserve"> </w:instrText>
      </w:r>
      <w:r w:rsidR="0089323F" w:rsidRPr="00062B4F">
        <w:rPr>
          <w:i/>
          <w:iCs/>
          <w:szCs w:val="24"/>
          <w:lang w:val="en-US" w:eastAsia="ru-RU"/>
        </w:rPr>
        <w:instrText>myeloid</w:instrText>
      </w:r>
      <w:r w:rsidR="0089323F" w:rsidRPr="00062B4F">
        <w:rPr>
          <w:i/>
          <w:iCs/>
          <w:szCs w:val="24"/>
          <w:lang w:eastAsia="ru-RU"/>
        </w:rPr>
        <w:instrText xml:space="preserve"> </w:instrText>
      </w:r>
      <w:r w:rsidR="0089323F" w:rsidRPr="00062B4F">
        <w:rPr>
          <w:i/>
          <w:iCs/>
          <w:szCs w:val="24"/>
          <w:lang w:val="en-US" w:eastAsia="ru-RU"/>
        </w:rPr>
        <w:instrText>leukemia</w:instrText>
      </w:r>
      <w:r w:rsidR="0089323F" w:rsidRPr="00062B4F">
        <w:rPr>
          <w:i/>
          <w:iCs/>
          <w:szCs w:val="24"/>
          <w:lang w:eastAsia="ru-RU"/>
        </w:rPr>
        <w:instrText xml:space="preserve">. </w:instrText>
      </w:r>
      <w:r w:rsidR="0089323F" w:rsidRPr="00062B4F">
        <w:rPr>
          <w:i/>
          <w:iCs/>
          <w:szCs w:val="24"/>
          <w:lang w:val="en-US" w:eastAsia="ru-RU"/>
        </w:rPr>
        <w:instrText>It</w:instrText>
      </w:r>
      <w:r w:rsidR="0089323F" w:rsidRPr="00062B4F">
        <w:rPr>
          <w:i/>
          <w:iCs/>
          <w:szCs w:val="24"/>
          <w:lang w:eastAsia="ru-RU"/>
        </w:rPr>
        <w:instrText xml:space="preserve"> </w:instrText>
      </w:r>
      <w:r w:rsidR="0089323F" w:rsidRPr="00062B4F">
        <w:rPr>
          <w:i/>
          <w:iCs/>
          <w:szCs w:val="24"/>
          <w:lang w:val="en-US" w:eastAsia="ru-RU"/>
        </w:rPr>
        <w:instrText>has</w:instrText>
      </w:r>
      <w:r w:rsidR="0089323F" w:rsidRPr="00062B4F">
        <w:rPr>
          <w:i/>
          <w:iCs/>
          <w:szCs w:val="24"/>
          <w:lang w:eastAsia="ru-RU"/>
        </w:rPr>
        <w:instrText xml:space="preserve"> </w:instrText>
      </w:r>
      <w:r w:rsidR="0089323F" w:rsidRPr="00062B4F">
        <w:rPr>
          <w:i/>
          <w:iCs/>
          <w:szCs w:val="24"/>
          <w:lang w:val="en-US" w:eastAsia="ru-RU"/>
        </w:rPr>
        <w:instrText>opened</w:instrText>
      </w:r>
      <w:r w:rsidR="0089323F" w:rsidRPr="00062B4F">
        <w:rPr>
          <w:i/>
          <w:iCs/>
          <w:szCs w:val="24"/>
          <w:lang w:eastAsia="ru-RU"/>
        </w:rPr>
        <w:instrText xml:space="preserve"> </w:instrText>
      </w:r>
      <w:r w:rsidR="0089323F" w:rsidRPr="00062B4F">
        <w:rPr>
          <w:i/>
          <w:iCs/>
          <w:szCs w:val="24"/>
          <w:lang w:val="en-US" w:eastAsia="ru-RU"/>
        </w:rPr>
        <w:instrText>the</w:instrText>
      </w:r>
      <w:r w:rsidR="0089323F" w:rsidRPr="00062B4F">
        <w:rPr>
          <w:i/>
          <w:iCs/>
          <w:szCs w:val="24"/>
          <w:lang w:eastAsia="ru-RU"/>
        </w:rPr>
        <w:instrText xml:space="preserve"> </w:instrText>
      </w:r>
      <w:r w:rsidR="0089323F" w:rsidRPr="00062B4F">
        <w:rPr>
          <w:i/>
          <w:iCs/>
          <w:szCs w:val="24"/>
          <w:lang w:val="en-US" w:eastAsia="ru-RU"/>
        </w:rPr>
        <w:instrText>way</w:instrText>
      </w:r>
      <w:r w:rsidR="0089323F" w:rsidRPr="00062B4F">
        <w:rPr>
          <w:i/>
          <w:iCs/>
          <w:szCs w:val="24"/>
          <w:lang w:eastAsia="ru-RU"/>
        </w:rPr>
        <w:instrText xml:space="preserve"> </w:instrText>
      </w:r>
      <w:r w:rsidR="0089323F" w:rsidRPr="00062B4F">
        <w:rPr>
          <w:i/>
          <w:iCs/>
          <w:szCs w:val="24"/>
          <w:lang w:val="en-US" w:eastAsia="ru-RU"/>
        </w:rPr>
        <w:instrText>to</w:instrText>
      </w:r>
      <w:r w:rsidR="0089323F" w:rsidRPr="00062B4F">
        <w:rPr>
          <w:i/>
          <w:iCs/>
          <w:szCs w:val="24"/>
          <w:lang w:eastAsia="ru-RU"/>
        </w:rPr>
        <w:instrText xml:space="preserve"> </w:instrText>
      </w:r>
      <w:r w:rsidR="0089323F" w:rsidRPr="00062B4F">
        <w:rPr>
          <w:i/>
          <w:iCs/>
          <w:szCs w:val="24"/>
          <w:lang w:val="en-US" w:eastAsia="ru-RU"/>
        </w:rPr>
        <w:instrText>the</w:instrText>
      </w:r>
      <w:r w:rsidR="0089323F" w:rsidRPr="00062B4F">
        <w:rPr>
          <w:i/>
          <w:iCs/>
          <w:szCs w:val="24"/>
          <w:lang w:eastAsia="ru-RU"/>
        </w:rPr>
        <w:instrText xml:space="preserve"> </w:instrText>
      </w:r>
      <w:r w:rsidR="0089323F" w:rsidRPr="00062B4F">
        <w:rPr>
          <w:i/>
          <w:iCs/>
          <w:szCs w:val="24"/>
          <w:lang w:val="en-US" w:eastAsia="ru-RU"/>
        </w:rPr>
        <w:instrText>development</w:instrText>
      </w:r>
      <w:r w:rsidR="0089323F" w:rsidRPr="00062B4F">
        <w:rPr>
          <w:i/>
          <w:iCs/>
          <w:szCs w:val="24"/>
          <w:lang w:eastAsia="ru-RU"/>
        </w:rPr>
        <w:instrText xml:space="preserve"> </w:instrText>
      </w:r>
      <w:r w:rsidR="0089323F" w:rsidRPr="00062B4F">
        <w:rPr>
          <w:i/>
          <w:iCs/>
          <w:szCs w:val="24"/>
          <w:lang w:val="en-US" w:eastAsia="ru-RU"/>
        </w:rPr>
        <w:instrText>of</w:instrText>
      </w:r>
      <w:r w:rsidR="0089323F" w:rsidRPr="00062B4F">
        <w:rPr>
          <w:i/>
          <w:iCs/>
          <w:szCs w:val="24"/>
          <w:lang w:eastAsia="ru-RU"/>
        </w:rPr>
        <w:instrText xml:space="preserve"> </w:instrText>
      </w:r>
      <w:r w:rsidR="0089323F" w:rsidRPr="00062B4F">
        <w:rPr>
          <w:i/>
          <w:iCs/>
          <w:szCs w:val="24"/>
          <w:lang w:val="en-US" w:eastAsia="ru-RU"/>
        </w:rPr>
        <w:instrText>additional</w:instrText>
      </w:r>
      <w:r w:rsidR="0089323F" w:rsidRPr="00062B4F">
        <w:rPr>
          <w:i/>
          <w:iCs/>
          <w:szCs w:val="24"/>
          <w:lang w:eastAsia="ru-RU"/>
        </w:rPr>
        <w:instrText xml:space="preserve"> </w:instrText>
      </w:r>
      <w:r w:rsidR="0089323F" w:rsidRPr="00062B4F">
        <w:rPr>
          <w:i/>
          <w:iCs/>
          <w:szCs w:val="24"/>
          <w:lang w:val="en-US" w:eastAsia="ru-RU"/>
        </w:rPr>
        <w:instrText>TKIs</w:instrText>
      </w:r>
      <w:r w:rsidR="0089323F" w:rsidRPr="00062B4F">
        <w:rPr>
          <w:i/>
          <w:iCs/>
          <w:szCs w:val="24"/>
          <w:lang w:eastAsia="ru-RU"/>
        </w:rPr>
        <w:instrText xml:space="preserve"> </w:instrText>
      </w:r>
      <w:r w:rsidR="0089323F" w:rsidRPr="00062B4F">
        <w:rPr>
          <w:i/>
          <w:iCs/>
          <w:szCs w:val="24"/>
          <w:lang w:val="en-US" w:eastAsia="ru-RU"/>
        </w:rPr>
        <w:instrText>against</w:instrText>
      </w:r>
      <w:r w:rsidR="0089323F" w:rsidRPr="00062B4F">
        <w:rPr>
          <w:i/>
          <w:iCs/>
          <w:szCs w:val="24"/>
          <w:lang w:eastAsia="ru-RU"/>
        </w:rPr>
        <w:instrText xml:space="preserve"> </w:instrText>
      </w:r>
      <w:r w:rsidR="0089323F" w:rsidRPr="00062B4F">
        <w:rPr>
          <w:i/>
          <w:iCs/>
          <w:szCs w:val="24"/>
          <w:lang w:val="en-US" w:eastAsia="ru-RU"/>
        </w:rPr>
        <w:instrText>chronic</w:instrText>
      </w:r>
      <w:r w:rsidR="0089323F" w:rsidRPr="00062B4F">
        <w:rPr>
          <w:i/>
          <w:iCs/>
          <w:szCs w:val="24"/>
          <w:lang w:eastAsia="ru-RU"/>
        </w:rPr>
        <w:instrText xml:space="preserve"> </w:instrText>
      </w:r>
      <w:r w:rsidR="0089323F" w:rsidRPr="00062B4F">
        <w:rPr>
          <w:i/>
          <w:iCs/>
          <w:szCs w:val="24"/>
          <w:lang w:val="en-US" w:eastAsia="ru-RU"/>
        </w:rPr>
        <w:instrText>myeloid</w:instrText>
      </w:r>
      <w:r w:rsidR="0089323F" w:rsidRPr="00062B4F">
        <w:rPr>
          <w:i/>
          <w:iCs/>
          <w:szCs w:val="24"/>
          <w:lang w:eastAsia="ru-RU"/>
        </w:rPr>
        <w:instrText xml:space="preserve"> </w:instrText>
      </w:r>
      <w:r w:rsidR="0089323F" w:rsidRPr="00062B4F">
        <w:rPr>
          <w:i/>
          <w:iCs/>
          <w:szCs w:val="24"/>
          <w:lang w:val="en-US" w:eastAsia="ru-RU"/>
        </w:rPr>
        <w:instrText>leukemia</w:instrText>
      </w:r>
      <w:r w:rsidR="0089323F" w:rsidRPr="00062B4F">
        <w:rPr>
          <w:i/>
          <w:iCs/>
          <w:szCs w:val="24"/>
          <w:lang w:eastAsia="ru-RU"/>
        </w:rPr>
        <w:instrText xml:space="preserve">, </w:instrText>
      </w:r>
      <w:r w:rsidR="0089323F" w:rsidRPr="00062B4F">
        <w:rPr>
          <w:i/>
          <w:iCs/>
          <w:szCs w:val="24"/>
          <w:lang w:val="en-US" w:eastAsia="ru-RU"/>
        </w:rPr>
        <w:instrText>including</w:instrText>
      </w:r>
      <w:r w:rsidR="0089323F" w:rsidRPr="00062B4F">
        <w:rPr>
          <w:i/>
          <w:iCs/>
          <w:szCs w:val="24"/>
          <w:lang w:eastAsia="ru-RU"/>
        </w:rPr>
        <w:instrText xml:space="preserve"> </w:instrText>
      </w:r>
      <w:r w:rsidR="0089323F" w:rsidRPr="00062B4F">
        <w:rPr>
          <w:i/>
          <w:iCs/>
          <w:szCs w:val="24"/>
          <w:lang w:val="en-US" w:eastAsia="ru-RU"/>
        </w:rPr>
        <w:instrText>nilotinib</w:instrText>
      </w:r>
      <w:r w:rsidR="0089323F" w:rsidRPr="00062B4F">
        <w:rPr>
          <w:i/>
          <w:iCs/>
          <w:szCs w:val="24"/>
          <w:lang w:eastAsia="ru-RU"/>
        </w:rPr>
        <w:instrText xml:space="preserve"> </w:instrText>
      </w:r>
      <w:r w:rsidR="0089323F" w:rsidRPr="00062B4F">
        <w:rPr>
          <w:i/>
          <w:iCs/>
          <w:szCs w:val="24"/>
          <w:lang w:val="en-US" w:eastAsia="ru-RU"/>
        </w:rPr>
        <w:instrText>and</w:instrText>
      </w:r>
      <w:r w:rsidR="0089323F" w:rsidRPr="00062B4F">
        <w:rPr>
          <w:i/>
          <w:iCs/>
          <w:szCs w:val="24"/>
          <w:lang w:eastAsia="ru-RU"/>
        </w:rPr>
        <w:instrText xml:space="preserve"> </w:instrText>
      </w:r>
      <w:r w:rsidR="0089323F" w:rsidRPr="00062B4F">
        <w:rPr>
          <w:i/>
          <w:iCs/>
          <w:szCs w:val="24"/>
          <w:lang w:val="en-US" w:eastAsia="ru-RU"/>
        </w:rPr>
        <w:instrText>dasatinib</w:instrText>
      </w:r>
      <w:r w:rsidR="0089323F" w:rsidRPr="00062B4F">
        <w:rPr>
          <w:i/>
          <w:iCs/>
          <w:szCs w:val="24"/>
          <w:lang w:eastAsia="ru-RU"/>
        </w:rPr>
        <w:instrText xml:space="preserve">. </w:instrText>
      </w:r>
      <w:r w:rsidR="0089323F" w:rsidRPr="00062B4F">
        <w:rPr>
          <w:i/>
          <w:iCs/>
          <w:szCs w:val="24"/>
          <w:lang w:val="en-US" w:eastAsia="ru-RU"/>
        </w:rPr>
        <w:instrText>TKIs</w:instrText>
      </w:r>
      <w:r w:rsidR="0089323F" w:rsidRPr="00062B4F">
        <w:rPr>
          <w:i/>
          <w:iCs/>
          <w:szCs w:val="24"/>
          <w:lang w:eastAsia="ru-RU"/>
        </w:rPr>
        <w:instrText xml:space="preserve"> </w:instrText>
      </w:r>
      <w:r w:rsidR="0089323F" w:rsidRPr="00062B4F">
        <w:rPr>
          <w:i/>
          <w:iCs/>
          <w:szCs w:val="24"/>
          <w:lang w:val="en-US" w:eastAsia="ru-RU"/>
        </w:rPr>
        <w:instrText>are</w:instrText>
      </w:r>
      <w:r w:rsidR="0089323F" w:rsidRPr="00062B4F">
        <w:rPr>
          <w:i/>
          <w:iCs/>
          <w:szCs w:val="24"/>
          <w:lang w:eastAsia="ru-RU"/>
        </w:rPr>
        <w:instrText xml:space="preserve"> </w:instrText>
      </w:r>
      <w:r w:rsidR="0089323F" w:rsidRPr="00062B4F">
        <w:rPr>
          <w:i/>
          <w:iCs/>
          <w:szCs w:val="24"/>
          <w:lang w:val="en-US" w:eastAsia="ru-RU"/>
        </w:rPr>
        <w:instrText>prescribed</w:instrText>
      </w:r>
      <w:r w:rsidR="0089323F" w:rsidRPr="00062B4F">
        <w:rPr>
          <w:i/>
          <w:iCs/>
          <w:szCs w:val="24"/>
          <w:lang w:eastAsia="ru-RU"/>
        </w:rPr>
        <w:instrText xml:space="preserve"> </w:instrText>
      </w:r>
      <w:r w:rsidR="0089323F" w:rsidRPr="00062B4F">
        <w:rPr>
          <w:i/>
          <w:iCs/>
          <w:szCs w:val="24"/>
          <w:lang w:val="en-US" w:eastAsia="ru-RU"/>
        </w:rPr>
        <w:instrText>for</w:instrText>
      </w:r>
      <w:r w:rsidR="0089323F" w:rsidRPr="00062B4F">
        <w:rPr>
          <w:i/>
          <w:iCs/>
          <w:szCs w:val="24"/>
          <w:lang w:eastAsia="ru-RU"/>
        </w:rPr>
        <w:instrText xml:space="preserve"> </w:instrText>
      </w:r>
      <w:r w:rsidR="0089323F" w:rsidRPr="00062B4F">
        <w:rPr>
          <w:i/>
          <w:iCs/>
          <w:szCs w:val="24"/>
          <w:lang w:val="en-US" w:eastAsia="ru-RU"/>
        </w:rPr>
        <w:instrText>prolonged</w:instrText>
      </w:r>
      <w:r w:rsidR="0089323F" w:rsidRPr="00062B4F">
        <w:rPr>
          <w:i/>
          <w:iCs/>
          <w:szCs w:val="24"/>
          <w:lang w:eastAsia="ru-RU"/>
        </w:rPr>
        <w:instrText xml:space="preserve"> </w:instrText>
      </w:r>
      <w:r w:rsidR="0089323F" w:rsidRPr="00062B4F">
        <w:rPr>
          <w:i/>
          <w:iCs/>
          <w:szCs w:val="24"/>
          <w:lang w:val="en-US" w:eastAsia="ru-RU"/>
        </w:rPr>
        <w:instrText>periods</w:instrText>
      </w:r>
      <w:r w:rsidR="0089323F" w:rsidRPr="00062B4F">
        <w:rPr>
          <w:i/>
          <w:iCs/>
          <w:szCs w:val="24"/>
          <w:lang w:eastAsia="ru-RU"/>
        </w:rPr>
        <w:instrText xml:space="preserve">, </w:instrText>
      </w:r>
      <w:r w:rsidR="0089323F" w:rsidRPr="00062B4F">
        <w:rPr>
          <w:i/>
          <w:iCs/>
          <w:szCs w:val="24"/>
          <w:lang w:val="en-US" w:eastAsia="ru-RU"/>
        </w:rPr>
        <w:instrText>often</w:instrText>
      </w:r>
      <w:r w:rsidR="0089323F" w:rsidRPr="00062B4F">
        <w:rPr>
          <w:i/>
          <w:iCs/>
          <w:szCs w:val="24"/>
          <w:lang w:eastAsia="ru-RU"/>
        </w:rPr>
        <w:instrText xml:space="preserve"> </w:instrText>
      </w:r>
      <w:r w:rsidR="0089323F" w:rsidRPr="00062B4F">
        <w:rPr>
          <w:i/>
          <w:iCs/>
          <w:szCs w:val="24"/>
          <w:lang w:val="en-US" w:eastAsia="ru-RU"/>
        </w:rPr>
        <w:instrText>in</w:instrText>
      </w:r>
      <w:r w:rsidR="0089323F" w:rsidRPr="00062B4F">
        <w:rPr>
          <w:i/>
          <w:iCs/>
          <w:szCs w:val="24"/>
          <w:lang w:eastAsia="ru-RU"/>
        </w:rPr>
        <w:instrText xml:space="preserve"> </w:instrText>
      </w:r>
      <w:r w:rsidR="0089323F" w:rsidRPr="00062B4F">
        <w:rPr>
          <w:i/>
          <w:iCs/>
          <w:szCs w:val="24"/>
          <w:lang w:val="en-US" w:eastAsia="ru-RU"/>
        </w:rPr>
        <w:instrText>patients</w:instrText>
      </w:r>
      <w:r w:rsidR="0089323F" w:rsidRPr="00062B4F">
        <w:rPr>
          <w:i/>
          <w:iCs/>
          <w:szCs w:val="24"/>
          <w:lang w:eastAsia="ru-RU"/>
        </w:rPr>
        <w:instrText xml:space="preserve"> </w:instrText>
      </w:r>
      <w:r w:rsidR="0089323F" w:rsidRPr="00062B4F">
        <w:rPr>
          <w:i/>
          <w:iCs/>
          <w:szCs w:val="24"/>
          <w:lang w:val="en-US" w:eastAsia="ru-RU"/>
        </w:rPr>
        <w:instrText>with</w:instrText>
      </w:r>
      <w:r w:rsidR="0089323F" w:rsidRPr="00062B4F">
        <w:rPr>
          <w:i/>
          <w:iCs/>
          <w:szCs w:val="24"/>
          <w:lang w:eastAsia="ru-RU"/>
        </w:rPr>
        <w:instrText xml:space="preserve"> </w:instrText>
      </w:r>
      <w:r w:rsidR="0089323F" w:rsidRPr="00062B4F">
        <w:rPr>
          <w:i/>
          <w:iCs/>
          <w:szCs w:val="24"/>
          <w:lang w:val="en-US" w:eastAsia="ru-RU"/>
        </w:rPr>
        <w:instrText>comorbidities</w:instrText>
      </w:r>
      <w:r w:rsidR="0089323F" w:rsidRPr="00062B4F">
        <w:rPr>
          <w:i/>
          <w:iCs/>
          <w:szCs w:val="24"/>
          <w:lang w:eastAsia="ru-RU"/>
        </w:rPr>
        <w:instrText xml:space="preserve">. </w:instrText>
      </w:r>
      <w:r w:rsidR="0089323F" w:rsidRPr="00062B4F">
        <w:rPr>
          <w:i/>
          <w:iCs/>
          <w:szCs w:val="24"/>
          <w:lang w:val="en-US" w:eastAsia="ru-RU"/>
        </w:rPr>
        <w:instrText>Therefore</w:instrText>
      </w:r>
      <w:r w:rsidR="0089323F" w:rsidRPr="00062B4F">
        <w:rPr>
          <w:i/>
          <w:iCs/>
          <w:szCs w:val="24"/>
          <w:lang w:eastAsia="ru-RU"/>
        </w:rPr>
        <w:instrText xml:space="preserve">, </w:instrText>
      </w:r>
      <w:r w:rsidR="0089323F" w:rsidRPr="00062B4F">
        <w:rPr>
          <w:i/>
          <w:iCs/>
          <w:szCs w:val="24"/>
          <w:lang w:val="en-US" w:eastAsia="ru-RU"/>
        </w:rPr>
        <w:instrText>they</w:instrText>
      </w:r>
      <w:r w:rsidR="0089323F" w:rsidRPr="00062B4F">
        <w:rPr>
          <w:i/>
          <w:iCs/>
          <w:szCs w:val="24"/>
          <w:lang w:eastAsia="ru-RU"/>
        </w:rPr>
        <w:instrText xml:space="preserve"> </w:instrText>
      </w:r>
      <w:r w:rsidR="0089323F" w:rsidRPr="00062B4F">
        <w:rPr>
          <w:i/>
          <w:iCs/>
          <w:szCs w:val="24"/>
          <w:lang w:val="en-US" w:eastAsia="ru-RU"/>
        </w:rPr>
        <w:instrText>are</w:instrText>
      </w:r>
      <w:r w:rsidR="0089323F" w:rsidRPr="00062B4F">
        <w:rPr>
          <w:i/>
          <w:iCs/>
          <w:szCs w:val="24"/>
          <w:lang w:eastAsia="ru-RU"/>
        </w:rPr>
        <w:instrText xml:space="preserve"> </w:instrText>
      </w:r>
      <w:r w:rsidR="0089323F" w:rsidRPr="00062B4F">
        <w:rPr>
          <w:i/>
          <w:iCs/>
          <w:szCs w:val="24"/>
          <w:lang w:val="en-US" w:eastAsia="ru-RU"/>
        </w:rPr>
        <w:instrText>regularly</w:instrText>
      </w:r>
      <w:r w:rsidR="0089323F" w:rsidRPr="00062B4F">
        <w:rPr>
          <w:i/>
          <w:iCs/>
          <w:szCs w:val="24"/>
          <w:lang w:eastAsia="ru-RU"/>
        </w:rPr>
        <w:instrText xml:space="preserve"> </w:instrText>
      </w:r>
      <w:r w:rsidR="0089323F" w:rsidRPr="00062B4F">
        <w:rPr>
          <w:i/>
          <w:iCs/>
          <w:szCs w:val="24"/>
          <w:lang w:val="en-US" w:eastAsia="ru-RU"/>
        </w:rPr>
        <w:instrText>co</w:instrText>
      </w:r>
      <w:r w:rsidR="0089323F" w:rsidRPr="00062B4F">
        <w:rPr>
          <w:i/>
          <w:iCs/>
          <w:szCs w:val="24"/>
          <w:lang w:eastAsia="ru-RU"/>
        </w:rPr>
        <w:instrText>-</w:instrText>
      </w:r>
      <w:r w:rsidR="0089323F" w:rsidRPr="00062B4F">
        <w:rPr>
          <w:i/>
          <w:iCs/>
          <w:szCs w:val="24"/>
          <w:lang w:val="en-US" w:eastAsia="ru-RU"/>
        </w:rPr>
        <w:instrText>administered</w:instrText>
      </w:r>
      <w:r w:rsidR="0089323F" w:rsidRPr="00062B4F">
        <w:rPr>
          <w:i/>
          <w:iCs/>
          <w:szCs w:val="24"/>
          <w:lang w:eastAsia="ru-RU"/>
        </w:rPr>
        <w:instrText xml:space="preserve"> </w:instrText>
      </w:r>
      <w:r w:rsidR="0089323F" w:rsidRPr="00062B4F">
        <w:rPr>
          <w:i/>
          <w:iCs/>
          <w:szCs w:val="24"/>
          <w:lang w:val="en-US" w:eastAsia="ru-RU"/>
        </w:rPr>
        <w:instrText>along</w:instrText>
      </w:r>
      <w:r w:rsidR="0089323F" w:rsidRPr="00062B4F">
        <w:rPr>
          <w:i/>
          <w:iCs/>
          <w:szCs w:val="24"/>
          <w:lang w:eastAsia="ru-RU"/>
        </w:rPr>
        <w:instrText xml:space="preserve"> </w:instrText>
      </w:r>
      <w:r w:rsidR="0089323F" w:rsidRPr="00062B4F">
        <w:rPr>
          <w:i/>
          <w:iCs/>
          <w:szCs w:val="24"/>
          <w:lang w:val="en-US" w:eastAsia="ru-RU"/>
        </w:rPr>
        <w:instrText>with</w:instrText>
      </w:r>
      <w:r w:rsidR="0089323F" w:rsidRPr="00062B4F">
        <w:rPr>
          <w:i/>
          <w:iCs/>
          <w:szCs w:val="24"/>
          <w:lang w:eastAsia="ru-RU"/>
        </w:rPr>
        <w:instrText xml:space="preserve"> </w:instrText>
      </w:r>
      <w:r w:rsidR="0089323F" w:rsidRPr="00062B4F">
        <w:rPr>
          <w:i/>
          <w:iCs/>
          <w:szCs w:val="24"/>
          <w:lang w:val="en-US" w:eastAsia="ru-RU"/>
        </w:rPr>
        <w:instrText>treatments</w:instrText>
      </w:r>
      <w:r w:rsidR="0089323F" w:rsidRPr="00062B4F">
        <w:rPr>
          <w:i/>
          <w:iCs/>
          <w:szCs w:val="24"/>
          <w:lang w:eastAsia="ru-RU"/>
        </w:rPr>
        <w:instrText xml:space="preserve"> </w:instrText>
      </w:r>
      <w:r w:rsidR="0089323F" w:rsidRPr="00062B4F">
        <w:rPr>
          <w:i/>
          <w:iCs/>
          <w:szCs w:val="24"/>
          <w:lang w:val="en-US" w:eastAsia="ru-RU"/>
        </w:rPr>
        <w:instrText>at</w:instrText>
      </w:r>
      <w:r w:rsidR="0089323F" w:rsidRPr="00062B4F">
        <w:rPr>
          <w:i/>
          <w:iCs/>
          <w:szCs w:val="24"/>
          <w:lang w:eastAsia="ru-RU"/>
        </w:rPr>
        <w:instrText xml:space="preserve"> </w:instrText>
      </w:r>
      <w:r w:rsidR="0089323F" w:rsidRPr="00062B4F">
        <w:rPr>
          <w:i/>
          <w:iCs/>
          <w:szCs w:val="24"/>
          <w:lang w:val="en-US" w:eastAsia="ru-RU"/>
        </w:rPr>
        <w:instrText>risk</w:instrText>
      </w:r>
      <w:r w:rsidR="0089323F" w:rsidRPr="00062B4F">
        <w:rPr>
          <w:i/>
          <w:iCs/>
          <w:szCs w:val="24"/>
          <w:lang w:eastAsia="ru-RU"/>
        </w:rPr>
        <w:instrText xml:space="preserve"> </w:instrText>
      </w:r>
      <w:r w:rsidR="0089323F" w:rsidRPr="00062B4F">
        <w:rPr>
          <w:i/>
          <w:iCs/>
          <w:szCs w:val="24"/>
          <w:lang w:val="en-US" w:eastAsia="ru-RU"/>
        </w:rPr>
        <w:instrText>of</w:instrText>
      </w:r>
      <w:r w:rsidR="0089323F" w:rsidRPr="00062B4F">
        <w:rPr>
          <w:i/>
          <w:iCs/>
          <w:szCs w:val="24"/>
          <w:lang w:eastAsia="ru-RU"/>
        </w:rPr>
        <w:instrText xml:space="preserve"> </w:instrText>
      </w:r>
      <w:r w:rsidR="0089323F" w:rsidRPr="00062B4F">
        <w:rPr>
          <w:i/>
          <w:iCs/>
          <w:szCs w:val="24"/>
          <w:lang w:val="en-US" w:eastAsia="ru-RU"/>
        </w:rPr>
        <w:instrText>drug</w:instrText>
      </w:r>
      <w:r w:rsidR="0089323F" w:rsidRPr="00062B4F">
        <w:rPr>
          <w:i/>
          <w:iCs/>
          <w:szCs w:val="24"/>
          <w:lang w:eastAsia="ru-RU"/>
        </w:rPr>
        <w:instrText>-</w:instrText>
      </w:r>
      <w:r w:rsidR="0089323F" w:rsidRPr="00062B4F">
        <w:rPr>
          <w:i/>
          <w:iCs/>
          <w:szCs w:val="24"/>
          <w:lang w:val="en-US" w:eastAsia="ru-RU"/>
        </w:rPr>
        <w:instrText>drug</w:instrText>
      </w:r>
      <w:r w:rsidR="0089323F" w:rsidRPr="00062B4F">
        <w:rPr>
          <w:i/>
          <w:iCs/>
          <w:szCs w:val="24"/>
          <w:lang w:eastAsia="ru-RU"/>
        </w:rPr>
        <w:instrText xml:space="preserve"> </w:instrText>
      </w:r>
      <w:r w:rsidR="0089323F" w:rsidRPr="00062B4F">
        <w:rPr>
          <w:i/>
          <w:iCs/>
          <w:szCs w:val="24"/>
          <w:lang w:val="en-US" w:eastAsia="ru-RU"/>
        </w:rPr>
        <w:instrText>interactions</w:instrText>
      </w:r>
      <w:r w:rsidR="0089323F" w:rsidRPr="00062B4F">
        <w:rPr>
          <w:i/>
          <w:iCs/>
          <w:szCs w:val="24"/>
          <w:lang w:eastAsia="ru-RU"/>
        </w:rPr>
        <w:instrText xml:space="preserve">. </w:instrText>
      </w:r>
      <w:r w:rsidR="0089323F" w:rsidRPr="00062B4F">
        <w:rPr>
          <w:i/>
          <w:iCs/>
          <w:szCs w:val="24"/>
          <w:lang w:val="en-US" w:eastAsia="ru-RU"/>
        </w:rPr>
        <w:instrText>This</w:instrText>
      </w:r>
      <w:r w:rsidR="0089323F" w:rsidRPr="00062B4F">
        <w:rPr>
          <w:i/>
          <w:iCs/>
          <w:szCs w:val="24"/>
          <w:lang w:eastAsia="ru-RU"/>
        </w:rPr>
        <w:instrText xml:space="preserve"> </w:instrText>
      </w:r>
      <w:r w:rsidR="0089323F" w:rsidRPr="00062B4F">
        <w:rPr>
          <w:i/>
          <w:iCs/>
          <w:szCs w:val="24"/>
          <w:lang w:val="en-US" w:eastAsia="ru-RU"/>
        </w:rPr>
        <w:instrText>aspect</w:instrText>
      </w:r>
      <w:r w:rsidR="0089323F" w:rsidRPr="00062B4F">
        <w:rPr>
          <w:i/>
          <w:iCs/>
          <w:szCs w:val="24"/>
          <w:lang w:eastAsia="ru-RU"/>
        </w:rPr>
        <w:instrText xml:space="preserve"> </w:instrText>
      </w:r>
      <w:r w:rsidR="0089323F" w:rsidRPr="00062B4F">
        <w:rPr>
          <w:i/>
          <w:iCs/>
          <w:szCs w:val="24"/>
          <w:lang w:val="en-US" w:eastAsia="ru-RU"/>
        </w:rPr>
        <w:instrText>has</w:instrText>
      </w:r>
      <w:r w:rsidR="0089323F" w:rsidRPr="00062B4F">
        <w:rPr>
          <w:i/>
          <w:iCs/>
          <w:szCs w:val="24"/>
          <w:lang w:eastAsia="ru-RU"/>
        </w:rPr>
        <w:instrText xml:space="preserve"> </w:instrText>
      </w:r>
      <w:r w:rsidR="0089323F" w:rsidRPr="00062B4F">
        <w:rPr>
          <w:i/>
          <w:iCs/>
          <w:szCs w:val="24"/>
          <w:lang w:val="en-US" w:eastAsia="ru-RU"/>
        </w:rPr>
        <w:instrText>been</w:instrText>
      </w:r>
      <w:r w:rsidR="0089323F" w:rsidRPr="00062B4F">
        <w:rPr>
          <w:i/>
          <w:iCs/>
          <w:szCs w:val="24"/>
          <w:lang w:eastAsia="ru-RU"/>
        </w:rPr>
        <w:instrText xml:space="preserve"> </w:instrText>
      </w:r>
      <w:r w:rsidR="0089323F" w:rsidRPr="00062B4F">
        <w:rPr>
          <w:i/>
          <w:iCs/>
          <w:szCs w:val="24"/>
          <w:lang w:val="en-US" w:eastAsia="ru-RU"/>
        </w:rPr>
        <w:instrText>partially</w:instrText>
      </w:r>
      <w:r w:rsidR="0089323F" w:rsidRPr="00062B4F">
        <w:rPr>
          <w:i/>
          <w:iCs/>
          <w:szCs w:val="24"/>
          <w:lang w:eastAsia="ru-RU"/>
        </w:rPr>
        <w:instrText xml:space="preserve"> </w:instrText>
      </w:r>
      <w:r w:rsidR="0089323F" w:rsidRPr="00062B4F">
        <w:rPr>
          <w:i/>
          <w:iCs/>
          <w:szCs w:val="24"/>
          <w:lang w:val="en-US" w:eastAsia="ru-RU"/>
        </w:rPr>
        <w:instrText>addressed</w:instrText>
      </w:r>
      <w:r w:rsidR="0089323F" w:rsidRPr="00062B4F">
        <w:rPr>
          <w:i/>
          <w:iCs/>
          <w:szCs w:val="24"/>
          <w:lang w:eastAsia="ru-RU"/>
        </w:rPr>
        <w:instrText xml:space="preserve"> </w:instrText>
      </w:r>
      <w:r w:rsidR="0089323F" w:rsidRPr="00062B4F">
        <w:rPr>
          <w:i/>
          <w:iCs/>
          <w:szCs w:val="24"/>
          <w:lang w:val="en-US" w:eastAsia="ru-RU"/>
        </w:rPr>
        <w:instrText>so</w:instrText>
      </w:r>
      <w:r w:rsidR="0089323F" w:rsidRPr="00062B4F">
        <w:rPr>
          <w:i/>
          <w:iCs/>
          <w:szCs w:val="24"/>
          <w:lang w:eastAsia="ru-RU"/>
        </w:rPr>
        <w:instrText xml:space="preserve"> </w:instrText>
      </w:r>
      <w:r w:rsidR="0089323F" w:rsidRPr="00062B4F">
        <w:rPr>
          <w:i/>
          <w:iCs/>
          <w:szCs w:val="24"/>
          <w:lang w:val="en-US" w:eastAsia="ru-RU"/>
        </w:rPr>
        <w:instrText>far</w:instrText>
      </w:r>
      <w:r w:rsidR="0089323F" w:rsidRPr="00062B4F">
        <w:rPr>
          <w:i/>
          <w:iCs/>
          <w:szCs w:val="24"/>
          <w:lang w:eastAsia="ru-RU"/>
        </w:rPr>
        <w:instrText xml:space="preserve">, </w:instrText>
      </w:r>
      <w:r w:rsidR="0089323F" w:rsidRPr="00062B4F">
        <w:rPr>
          <w:i/>
          <w:iCs/>
          <w:szCs w:val="24"/>
          <w:lang w:val="en-US" w:eastAsia="ru-RU"/>
        </w:rPr>
        <w:instrText>calling</w:instrText>
      </w:r>
      <w:r w:rsidR="0089323F" w:rsidRPr="00062B4F">
        <w:rPr>
          <w:i/>
          <w:iCs/>
          <w:szCs w:val="24"/>
          <w:lang w:eastAsia="ru-RU"/>
        </w:rPr>
        <w:instrText xml:space="preserve"> </w:instrText>
      </w:r>
      <w:r w:rsidR="0089323F" w:rsidRPr="00062B4F">
        <w:rPr>
          <w:i/>
          <w:iCs/>
          <w:szCs w:val="24"/>
          <w:lang w:val="en-US" w:eastAsia="ru-RU"/>
        </w:rPr>
        <w:instrText>for</w:instrText>
      </w:r>
      <w:r w:rsidR="0089323F" w:rsidRPr="00062B4F">
        <w:rPr>
          <w:i/>
          <w:iCs/>
          <w:szCs w:val="24"/>
          <w:lang w:eastAsia="ru-RU"/>
        </w:rPr>
        <w:instrText xml:space="preserve"> </w:instrText>
      </w:r>
      <w:r w:rsidR="0089323F" w:rsidRPr="00062B4F">
        <w:rPr>
          <w:i/>
          <w:iCs/>
          <w:szCs w:val="24"/>
          <w:lang w:val="en-US" w:eastAsia="ru-RU"/>
        </w:rPr>
        <w:instrText>a</w:instrText>
      </w:r>
      <w:r w:rsidR="0089323F" w:rsidRPr="00062B4F">
        <w:rPr>
          <w:i/>
          <w:iCs/>
          <w:szCs w:val="24"/>
          <w:lang w:eastAsia="ru-RU"/>
        </w:rPr>
        <w:instrText xml:space="preserve"> </w:instrText>
      </w:r>
      <w:r w:rsidR="0089323F" w:rsidRPr="00062B4F">
        <w:rPr>
          <w:i/>
          <w:iCs/>
          <w:szCs w:val="24"/>
          <w:lang w:val="en-US" w:eastAsia="ru-RU"/>
        </w:rPr>
        <w:instrText>comprehensive</w:instrText>
      </w:r>
      <w:r w:rsidR="0089323F" w:rsidRPr="00062B4F">
        <w:rPr>
          <w:i/>
          <w:iCs/>
          <w:szCs w:val="24"/>
          <w:lang w:eastAsia="ru-RU"/>
        </w:rPr>
        <w:instrText xml:space="preserve"> </w:instrText>
      </w:r>
      <w:r w:rsidR="0089323F" w:rsidRPr="00062B4F">
        <w:rPr>
          <w:i/>
          <w:iCs/>
          <w:szCs w:val="24"/>
          <w:lang w:val="en-US" w:eastAsia="ru-RU"/>
        </w:rPr>
        <w:instrText>review</w:instrText>
      </w:r>
      <w:r w:rsidR="0089323F" w:rsidRPr="00062B4F">
        <w:rPr>
          <w:i/>
          <w:iCs/>
          <w:szCs w:val="24"/>
          <w:lang w:eastAsia="ru-RU"/>
        </w:rPr>
        <w:instrText xml:space="preserve"> </w:instrText>
      </w:r>
      <w:r w:rsidR="0089323F" w:rsidRPr="00062B4F">
        <w:rPr>
          <w:i/>
          <w:iCs/>
          <w:szCs w:val="24"/>
          <w:lang w:val="en-US" w:eastAsia="ru-RU"/>
        </w:rPr>
        <w:instrText>of</w:instrText>
      </w:r>
      <w:r w:rsidR="0089323F" w:rsidRPr="00062B4F">
        <w:rPr>
          <w:i/>
          <w:iCs/>
          <w:szCs w:val="24"/>
          <w:lang w:eastAsia="ru-RU"/>
        </w:rPr>
        <w:instrText xml:space="preserve"> </w:instrText>
      </w:r>
      <w:r w:rsidR="0089323F" w:rsidRPr="00062B4F">
        <w:rPr>
          <w:i/>
          <w:iCs/>
          <w:szCs w:val="24"/>
          <w:lang w:val="en-US" w:eastAsia="ru-RU"/>
        </w:rPr>
        <w:instrText>the</w:instrText>
      </w:r>
      <w:r w:rsidR="0089323F" w:rsidRPr="00062B4F">
        <w:rPr>
          <w:i/>
          <w:iCs/>
          <w:szCs w:val="24"/>
          <w:lang w:eastAsia="ru-RU"/>
        </w:rPr>
        <w:instrText xml:space="preserve"> </w:instrText>
      </w:r>
      <w:r w:rsidR="0089323F" w:rsidRPr="00062B4F">
        <w:rPr>
          <w:i/>
          <w:iCs/>
          <w:szCs w:val="24"/>
          <w:lang w:val="en-US" w:eastAsia="ru-RU"/>
        </w:rPr>
        <w:instrText>published</w:instrText>
      </w:r>
      <w:r w:rsidR="0089323F" w:rsidRPr="00062B4F">
        <w:rPr>
          <w:i/>
          <w:iCs/>
          <w:szCs w:val="24"/>
          <w:lang w:eastAsia="ru-RU"/>
        </w:rPr>
        <w:instrText xml:space="preserve"> </w:instrText>
      </w:r>
      <w:r w:rsidR="0089323F" w:rsidRPr="00062B4F">
        <w:rPr>
          <w:i/>
          <w:iCs/>
          <w:szCs w:val="24"/>
          <w:lang w:val="en-US" w:eastAsia="ru-RU"/>
        </w:rPr>
        <w:instrText>data</w:instrText>
      </w:r>
      <w:r w:rsidR="0089323F" w:rsidRPr="00062B4F">
        <w:rPr>
          <w:i/>
          <w:iCs/>
          <w:szCs w:val="24"/>
          <w:lang w:eastAsia="ru-RU"/>
        </w:rPr>
        <w:instrText xml:space="preserve">. </w:instrText>
      </w:r>
      <w:r w:rsidR="0089323F" w:rsidRPr="00062B4F">
        <w:rPr>
          <w:i/>
          <w:iCs/>
          <w:szCs w:val="24"/>
          <w:lang w:val="en-US" w:eastAsia="ru-RU"/>
        </w:rPr>
        <w:instrText>We</w:instrText>
      </w:r>
      <w:r w:rsidR="0089323F" w:rsidRPr="00062B4F">
        <w:rPr>
          <w:i/>
          <w:iCs/>
          <w:szCs w:val="24"/>
          <w:lang w:eastAsia="ru-RU"/>
        </w:rPr>
        <w:instrText xml:space="preserve"> </w:instrText>
      </w:r>
      <w:r w:rsidR="0089323F" w:rsidRPr="00062B4F">
        <w:rPr>
          <w:i/>
          <w:iCs/>
          <w:szCs w:val="24"/>
          <w:lang w:val="en-US" w:eastAsia="ru-RU"/>
        </w:rPr>
        <w:instrText>review</w:instrText>
      </w:r>
      <w:r w:rsidR="0089323F" w:rsidRPr="00062B4F">
        <w:rPr>
          <w:i/>
          <w:iCs/>
          <w:szCs w:val="24"/>
          <w:lang w:eastAsia="ru-RU"/>
        </w:rPr>
        <w:instrText xml:space="preserve"> </w:instrText>
      </w:r>
      <w:r w:rsidR="0089323F" w:rsidRPr="00062B4F">
        <w:rPr>
          <w:i/>
          <w:iCs/>
          <w:szCs w:val="24"/>
          <w:lang w:val="en-US" w:eastAsia="ru-RU"/>
        </w:rPr>
        <w:instrText>here</w:instrText>
      </w:r>
      <w:r w:rsidR="0089323F" w:rsidRPr="00062B4F">
        <w:rPr>
          <w:i/>
          <w:iCs/>
          <w:szCs w:val="24"/>
          <w:lang w:eastAsia="ru-RU"/>
        </w:rPr>
        <w:instrText xml:space="preserve"> </w:instrText>
      </w:r>
      <w:r w:rsidR="0089323F" w:rsidRPr="00062B4F">
        <w:rPr>
          <w:i/>
          <w:iCs/>
          <w:szCs w:val="24"/>
          <w:lang w:val="en-US" w:eastAsia="ru-RU"/>
        </w:rPr>
        <w:instrText>the</w:instrText>
      </w:r>
      <w:r w:rsidR="0089323F" w:rsidRPr="00062B4F">
        <w:rPr>
          <w:i/>
          <w:iCs/>
          <w:szCs w:val="24"/>
          <w:lang w:eastAsia="ru-RU"/>
        </w:rPr>
        <w:instrText xml:space="preserve"> </w:instrText>
      </w:r>
      <w:r w:rsidR="0089323F" w:rsidRPr="00062B4F">
        <w:rPr>
          <w:i/>
          <w:iCs/>
          <w:szCs w:val="24"/>
          <w:lang w:val="en-US" w:eastAsia="ru-RU"/>
        </w:rPr>
        <w:instrText>available</w:instrText>
      </w:r>
      <w:r w:rsidR="0089323F" w:rsidRPr="00062B4F">
        <w:rPr>
          <w:i/>
          <w:iCs/>
          <w:szCs w:val="24"/>
          <w:lang w:eastAsia="ru-RU"/>
        </w:rPr>
        <w:instrText xml:space="preserve"> </w:instrText>
      </w:r>
      <w:r w:rsidR="0089323F" w:rsidRPr="00062B4F">
        <w:rPr>
          <w:i/>
          <w:iCs/>
          <w:szCs w:val="24"/>
          <w:lang w:val="en-US" w:eastAsia="ru-RU"/>
        </w:rPr>
        <w:instrText>evidence</w:instrText>
      </w:r>
      <w:r w:rsidR="0089323F" w:rsidRPr="00062B4F">
        <w:rPr>
          <w:i/>
          <w:iCs/>
          <w:szCs w:val="24"/>
          <w:lang w:eastAsia="ru-RU"/>
        </w:rPr>
        <w:instrText xml:space="preserve"> </w:instrText>
      </w:r>
      <w:r w:rsidR="0089323F" w:rsidRPr="00062B4F">
        <w:rPr>
          <w:i/>
          <w:iCs/>
          <w:szCs w:val="24"/>
          <w:lang w:val="en-US" w:eastAsia="ru-RU"/>
        </w:rPr>
        <w:instrText>and</w:instrText>
      </w:r>
      <w:r w:rsidR="0089323F" w:rsidRPr="00062B4F">
        <w:rPr>
          <w:i/>
          <w:iCs/>
          <w:szCs w:val="24"/>
          <w:lang w:eastAsia="ru-RU"/>
        </w:rPr>
        <w:instrText xml:space="preserve"> </w:instrText>
      </w:r>
      <w:r w:rsidR="0089323F" w:rsidRPr="00062B4F">
        <w:rPr>
          <w:i/>
          <w:iCs/>
          <w:szCs w:val="24"/>
          <w:lang w:val="en-US" w:eastAsia="ru-RU"/>
        </w:rPr>
        <w:instrText>pharmacologic</w:instrText>
      </w:r>
      <w:r w:rsidR="0089323F" w:rsidRPr="00062B4F">
        <w:rPr>
          <w:i/>
          <w:iCs/>
          <w:szCs w:val="24"/>
          <w:lang w:eastAsia="ru-RU"/>
        </w:rPr>
        <w:instrText xml:space="preserve"> </w:instrText>
      </w:r>
      <w:r w:rsidR="0089323F" w:rsidRPr="00062B4F">
        <w:rPr>
          <w:i/>
          <w:iCs/>
          <w:szCs w:val="24"/>
          <w:lang w:val="en-US" w:eastAsia="ru-RU"/>
        </w:rPr>
        <w:instrText>mechanisms</w:instrText>
      </w:r>
      <w:r w:rsidR="0089323F" w:rsidRPr="00062B4F">
        <w:rPr>
          <w:i/>
          <w:iCs/>
          <w:szCs w:val="24"/>
          <w:lang w:eastAsia="ru-RU"/>
        </w:rPr>
        <w:instrText xml:space="preserve"> </w:instrText>
      </w:r>
      <w:r w:rsidR="0089323F" w:rsidRPr="00062B4F">
        <w:rPr>
          <w:i/>
          <w:iCs/>
          <w:szCs w:val="24"/>
          <w:lang w:val="en-US" w:eastAsia="ru-RU"/>
        </w:rPr>
        <w:instrText>of</w:instrText>
      </w:r>
      <w:r w:rsidR="0089323F" w:rsidRPr="00062B4F">
        <w:rPr>
          <w:i/>
          <w:iCs/>
          <w:szCs w:val="24"/>
          <w:lang w:eastAsia="ru-RU"/>
        </w:rPr>
        <w:instrText xml:space="preserve"> </w:instrText>
      </w:r>
      <w:r w:rsidR="0089323F" w:rsidRPr="00062B4F">
        <w:rPr>
          <w:i/>
          <w:iCs/>
          <w:szCs w:val="24"/>
          <w:lang w:val="en-US" w:eastAsia="ru-RU"/>
        </w:rPr>
        <w:instrText>interactions</w:instrText>
      </w:r>
      <w:r w:rsidR="0089323F" w:rsidRPr="00062B4F">
        <w:rPr>
          <w:i/>
          <w:iCs/>
          <w:szCs w:val="24"/>
          <w:lang w:eastAsia="ru-RU"/>
        </w:rPr>
        <w:instrText xml:space="preserve"> </w:instrText>
      </w:r>
      <w:r w:rsidR="0089323F" w:rsidRPr="00062B4F">
        <w:rPr>
          <w:i/>
          <w:iCs/>
          <w:szCs w:val="24"/>
          <w:lang w:val="en-US" w:eastAsia="ru-RU"/>
        </w:rPr>
        <w:instrText>between</w:instrText>
      </w:r>
      <w:r w:rsidR="0089323F" w:rsidRPr="00062B4F">
        <w:rPr>
          <w:i/>
          <w:iCs/>
          <w:szCs w:val="24"/>
          <w:lang w:eastAsia="ru-RU"/>
        </w:rPr>
        <w:instrText xml:space="preserve"> </w:instrText>
      </w:r>
      <w:r w:rsidR="0089323F" w:rsidRPr="00062B4F">
        <w:rPr>
          <w:i/>
          <w:iCs/>
          <w:szCs w:val="24"/>
          <w:lang w:val="en-US" w:eastAsia="ru-RU"/>
        </w:rPr>
        <w:instrText>imatinib</w:instrText>
      </w:r>
      <w:r w:rsidR="0089323F" w:rsidRPr="00062B4F">
        <w:rPr>
          <w:i/>
          <w:iCs/>
          <w:szCs w:val="24"/>
          <w:lang w:eastAsia="ru-RU"/>
        </w:rPr>
        <w:instrText xml:space="preserve">, </w:instrText>
      </w:r>
      <w:r w:rsidR="0089323F" w:rsidRPr="00062B4F">
        <w:rPr>
          <w:i/>
          <w:iCs/>
          <w:szCs w:val="24"/>
          <w:lang w:val="en-US" w:eastAsia="ru-RU"/>
        </w:rPr>
        <w:instrText>dasatinib</w:instrText>
      </w:r>
      <w:r w:rsidR="0089323F" w:rsidRPr="00062B4F">
        <w:rPr>
          <w:i/>
          <w:iCs/>
          <w:szCs w:val="24"/>
          <w:lang w:eastAsia="ru-RU"/>
        </w:rPr>
        <w:instrText xml:space="preserve">, </w:instrText>
      </w:r>
      <w:r w:rsidR="0089323F" w:rsidRPr="00062B4F">
        <w:rPr>
          <w:i/>
          <w:iCs/>
          <w:szCs w:val="24"/>
          <w:lang w:val="en-US" w:eastAsia="ru-RU"/>
        </w:rPr>
        <w:instrText>and</w:instrText>
      </w:r>
      <w:r w:rsidR="0089323F" w:rsidRPr="00062B4F">
        <w:rPr>
          <w:i/>
          <w:iCs/>
          <w:szCs w:val="24"/>
          <w:lang w:eastAsia="ru-RU"/>
        </w:rPr>
        <w:instrText xml:space="preserve"> </w:instrText>
      </w:r>
      <w:r w:rsidR="0089323F" w:rsidRPr="00062B4F">
        <w:rPr>
          <w:i/>
          <w:iCs/>
          <w:szCs w:val="24"/>
          <w:lang w:val="en-US" w:eastAsia="ru-RU"/>
        </w:rPr>
        <w:instrText>nilotinib</w:instrText>
      </w:r>
      <w:r w:rsidR="0089323F" w:rsidRPr="00062B4F">
        <w:rPr>
          <w:i/>
          <w:iCs/>
          <w:szCs w:val="24"/>
          <w:lang w:eastAsia="ru-RU"/>
        </w:rPr>
        <w:instrText xml:space="preserve"> </w:instrText>
      </w:r>
      <w:r w:rsidR="0089323F" w:rsidRPr="00062B4F">
        <w:rPr>
          <w:i/>
          <w:iCs/>
          <w:szCs w:val="24"/>
          <w:lang w:val="en-US" w:eastAsia="ru-RU"/>
        </w:rPr>
        <w:instrText>and</w:instrText>
      </w:r>
      <w:r w:rsidR="0089323F" w:rsidRPr="00062B4F">
        <w:rPr>
          <w:i/>
          <w:iCs/>
          <w:szCs w:val="24"/>
          <w:lang w:eastAsia="ru-RU"/>
        </w:rPr>
        <w:instrText xml:space="preserve"> </w:instrText>
      </w:r>
      <w:r w:rsidR="0089323F" w:rsidRPr="00062B4F">
        <w:rPr>
          <w:i/>
          <w:iCs/>
          <w:szCs w:val="24"/>
          <w:lang w:val="en-US" w:eastAsia="ru-RU"/>
        </w:rPr>
        <w:instrText>widely</w:instrText>
      </w:r>
      <w:r w:rsidR="0089323F" w:rsidRPr="00062B4F">
        <w:rPr>
          <w:i/>
          <w:iCs/>
          <w:szCs w:val="24"/>
          <w:lang w:eastAsia="ru-RU"/>
        </w:rPr>
        <w:instrText xml:space="preserve"> </w:instrText>
      </w:r>
      <w:r w:rsidR="0089323F" w:rsidRPr="00062B4F">
        <w:rPr>
          <w:i/>
          <w:iCs/>
          <w:szCs w:val="24"/>
          <w:lang w:val="en-US" w:eastAsia="ru-RU"/>
        </w:rPr>
        <w:instrText>prescribed</w:instrText>
      </w:r>
      <w:r w:rsidR="0089323F" w:rsidRPr="00062B4F">
        <w:rPr>
          <w:i/>
          <w:iCs/>
          <w:szCs w:val="24"/>
          <w:lang w:eastAsia="ru-RU"/>
        </w:rPr>
        <w:instrText xml:space="preserve"> </w:instrText>
      </w:r>
      <w:r w:rsidR="0089323F" w:rsidRPr="00062B4F">
        <w:rPr>
          <w:i/>
          <w:iCs/>
          <w:szCs w:val="24"/>
          <w:lang w:val="en-US" w:eastAsia="ru-RU"/>
        </w:rPr>
        <w:instrText>co</w:instrText>
      </w:r>
      <w:r w:rsidR="0089323F" w:rsidRPr="00062B4F">
        <w:rPr>
          <w:i/>
          <w:iCs/>
          <w:szCs w:val="24"/>
          <w:lang w:eastAsia="ru-RU"/>
        </w:rPr>
        <w:instrText>-</w:instrText>
      </w:r>
      <w:r w:rsidR="0089323F" w:rsidRPr="00062B4F">
        <w:rPr>
          <w:i/>
          <w:iCs/>
          <w:szCs w:val="24"/>
          <w:lang w:val="en-US" w:eastAsia="ru-RU"/>
        </w:rPr>
        <w:instrText>medications</w:instrText>
      </w:r>
      <w:r w:rsidR="0089323F" w:rsidRPr="00062B4F">
        <w:rPr>
          <w:i/>
          <w:iCs/>
          <w:szCs w:val="24"/>
          <w:lang w:eastAsia="ru-RU"/>
        </w:rPr>
        <w:instrText xml:space="preserve">, </w:instrText>
      </w:r>
      <w:r w:rsidR="0089323F" w:rsidRPr="00062B4F">
        <w:rPr>
          <w:i/>
          <w:iCs/>
          <w:szCs w:val="24"/>
          <w:lang w:val="en-US" w:eastAsia="ru-RU"/>
        </w:rPr>
        <w:instrText>including</w:instrText>
      </w:r>
      <w:r w:rsidR="0089323F" w:rsidRPr="00062B4F">
        <w:rPr>
          <w:i/>
          <w:iCs/>
          <w:szCs w:val="24"/>
          <w:lang w:eastAsia="ru-RU"/>
        </w:rPr>
        <w:instrText xml:space="preserve"> </w:instrText>
      </w:r>
      <w:r w:rsidR="0089323F" w:rsidRPr="00062B4F">
        <w:rPr>
          <w:i/>
          <w:iCs/>
          <w:szCs w:val="24"/>
          <w:lang w:val="en-US" w:eastAsia="ru-RU"/>
        </w:rPr>
        <w:instrText>known</w:instrText>
      </w:r>
      <w:r w:rsidR="0089323F" w:rsidRPr="00062B4F">
        <w:rPr>
          <w:i/>
          <w:iCs/>
          <w:szCs w:val="24"/>
          <w:lang w:eastAsia="ru-RU"/>
        </w:rPr>
        <w:instrText xml:space="preserve"> </w:instrText>
      </w:r>
      <w:r w:rsidR="0089323F" w:rsidRPr="00062B4F">
        <w:rPr>
          <w:i/>
          <w:iCs/>
          <w:szCs w:val="24"/>
          <w:lang w:val="en-US" w:eastAsia="ru-RU"/>
        </w:rPr>
        <w:instrText>inhibitors</w:instrText>
      </w:r>
      <w:r w:rsidR="0089323F" w:rsidRPr="00062B4F">
        <w:rPr>
          <w:i/>
          <w:iCs/>
          <w:szCs w:val="24"/>
          <w:lang w:eastAsia="ru-RU"/>
        </w:rPr>
        <w:instrText xml:space="preserve"> </w:instrText>
      </w:r>
      <w:r w:rsidR="0089323F" w:rsidRPr="00062B4F">
        <w:rPr>
          <w:i/>
          <w:iCs/>
          <w:szCs w:val="24"/>
          <w:lang w:val="en-US" w:eastAsia="ru-RU"/>
        </w:rPr>
        <w:instrText>or</w:instrText>
      </w:r>
      <w:r w:rsidR="0089323F" w:rsidRPr="00062B4F">
        <w:rPr>
          <w:i/>
          <w:iCs/>
          <w:szCs w:val="24"/>
          <w:lang w:eastAsia="ru-RU"/>
        </w:rPr>
        <w:instrText xml:space="preserve"> </w:instrText>
      </w:r>
      <w:r w:rsidR="0089323F" w:rsidRPr="00062B4F">
        <w:rPr>
          <w:i/>
          <w:iCs/>
          <w:szCs w:val="24"/>
          <w:lang w:val="en-US" w:eastAsia="ru-RU"/>
        </w:rPr>
        <w:instrText>inducers</w:instrText>
      </w:r>
      <w:r w:rsidR="0089323F" w:rsidRPr="00062B4F">
        <w:rPr>
          <w:i/>
          <w:iCs/>
          <w:szCs w:val="24"/>
          <w:lang w:eastAsia="ru-RU"/>
        </w:rPr>
        <w:instrText xml:space="preserve"> </w:instrText>
      </w:r>
      <w:r w:rsidR="0089323F" w:rsidRPr="00062B4F">
        <w:rPr>
          <w:i/>
          <w:iCs/>
          <w:szCs w:val="24"/>
          <w:lang w:val="en-US" w:eastAsia="ru-RU"/>
        </w:rPr>
        <w:instrText>of</w:instrText>
      </w:r>
      <w:r w:rsidR="0089323F" w:rsidRPr="00062B4F">
        <w:rPr>
          <w:i/>
          <w:iCs/>
          <w:szCs w:val="24"/>
          <w:lang w:eastAsia="ru-RU"/>
        </w:rPr>
        <w:instrText xml:space="preserve"> </w:instrText>
      </w:r>
      <w:r w:rsidR="0089323F" w:rsidRPr="00062B4F">
        <w:rPr>
          <w:i/>
          <w:iCs/>
          <w:szCs w:val="24"/>
          <w:lang w:val="en-US" w:eastAsia="ru-RU"/>
        </w:rPr>
        <w:instrText>cytochromes</w:instrText>
      </w:r>
      <w:r w:rsidR="0089323F" w:rsidRPr="00062B4F">
        <w:rPr>
          <w:i/>
          <w:iCs/>
          <w:szCs w:val="24"/>
          <w:lang w:eastAsia="ru-RU"/>
        </w:rPr>
        <w:instrText xml:space="preserve"> </w:instrText>
      </w:r>
      <w:r w:rsidR="0089323F" w:rsidRPr="00062B4F">
        <w:rPr>
          <w:i/>
          <w:iCs/>
          <w:szCs w:val="24"/>
          <w:lang w:val="en-US" w:eastAsia="ru-RU"/>
        </w:rPr>
        <w:instrText>P</w:instrText>
      </w:r>
      <w:r w:rsidR="0089323F" w:rsidRPr="00062B4F">
        <w:rPr>
          <w:i/>
          <w:iCs/>
          <w:szCs w:val="24"/>
          <w:lang w:eastAsia="ru-RU"/>
        </w:rPr>
        <w:instrText xml:space="preserve">450 </w:instrText>
      </w:r>
      <w:r w:rsidR="0089323F" w:rsidRPr="00062B4F">
        <w:rPr>
          <w:i/>
          <w:iCs/>
          <w:szCs w:val="24"/>
          <w:lang w:val="en-US" w:eastAsia="ru-RU"/>
        </w:rPr>
        <w:instrText>or</w:instrText>
      </w:r>
      <w:r w:rsidR="0089323F" w:rsidRPr="00062B4F">
        <w:rPr>
          <w:i/>
          <w:iCs/>
          <w:szCs w:val="24"/>
          <w:lang w:eastAsia="ru-RU"/>
        </w:rPr>
        <w:instrText xml:space="preserve"> </w:instrText>
      </w:r>
      <w:r w:rsidR="0089323F" w:rsidRPr="00062B4F">
        <w:rPr>
          <w:i/>
          <w:iCs/>
          <w:szCs w:val="24"/>
          <w:lang w:val="en-US" w:eastAsia="ru-RU"/>
        </w:rPr>
        <w:instrText>drug</w:instrText>
      </w:r>
      <w:r w:rsidR="0089323F" w:rsidRPr="00062B4F">
        <w:rPr>
          <w:i/>
          <w:iCs/>
          <w:szCs w:val="24"/>
          <w:lang w:eastAsia="ru-RU"/>
        </w:rPr>
        <w:instrText xml:space="preserve"> </w:instrText>
      </w:r>
      <w:r w:rsidR="0089323F" w:rsidRPr="00062B4F">
        <w:rPr>
          <w:i/>
          <w:iCs/>
          <w:szCs w:val="24"/>
          <w:lang w:val="en-US" w:eastAsia="ru-RU"/>
        </w:rPr>
        <w:instrText>transporters</w:instrText>
      </w:r>
      <w:r w:rsidR="0089323F" w:rsidRPr="00062B4F">
        <w:rPr>
          <w:i/>
          <w:iCs/>
          <w:szCs w:val="24"/>
          <w:lang w:eastAsia="ru-RU"/>
        </w:rPr>
        <w:instrText xml:space="preserve">. </w:instrText>
      </w:r>
      <w:r w:rsidR="0089323F" w:rsidRPr="00062B4F">
        <w:rPr>
          <w:i/>
          <w:iCs/>
          <w:szCs w:val="24"/>
          <w:lang w:val="en-US" w:eastAsia="ru-RU"/>
        </w:rPr>
        <w:instrText>Information</w:instrText>
      </w:r>
      <w:r w:rsidR="0089323F" w:rsidRPr="00062B4F">
        <w:rPr>
          <w:i/>
          <w:iCs/>
          <w:szCs w:val="24"/>
          <w:lang w:eastAsia="ru-RU"/>
        </w:rPr>
        <w:instrText xml:space="preserve"> </w:instrText>
      </w:r>
      <w:r w:rsidR="0089323F" w:rsidRPr="00062B4F">
        <w:rPr>
          <w:i/>
          <w:iCs/>
          <w:szCs w:val="24"/>
          <w:lang w:val="en-US" w:eastAsia="ru-RU"/>
        </w:rPr>
        <w:instrText>is</w:instrText>
      </w:r>
      <w:r w:rsidR="0089323F" w:rsidRPr="00062B4F">
        <w:rPr>
          <w:i/>
          <w:iCs/>
          <w:szCs w:val="24"/>
          <w:lang w:eastAsia="ru-RU"/>
        </w:rPr>
        <w:instrText xml:space="preserve"> </w:instrText>
      </w:r>
      <w:r w:rsidR="0089323F" w:rsidRPr="00062B4F">
        <w:rPr>
          <w:i/>
          <w:iCs/>
          <w:szCs w:val="24"/>
          <w:lang w:val="en-US" w:eastAsia="ru-RU"/>
        </w:rPr>
        <w:instrText>mostly</w:instrText>
      </w:r>
      <w:r w:rsidR="0089323F" w:rsidRPr="00062B4F">
        <w:rPr>
          <w:i/>
          <w:iCs/>
          <w:szCs w:val="24"/>
          <w:lang w:eastAsia="ru-RU"/>
        </w:rPr>
        <w:instrText xml:space="preserve"> </w:instrText>
      </w:r>
      <w:r w:rsidR="0089323F" w:rsidRPr="00062B4F">
        <w:rPr>
          <w:i/>
          <w:iCs/>
          <w:szCs w:val="24"/>
          <w:lang w:val="en-US" w:eastAsia="ru-RU"/>
        </w:rPr>
        <w:instrText>available</w:instrText>
      </w:r>
      <w:r w:rsidR="0089323F" w:rsidRPr="00062B4F">
        <w:rPr>
          <w:i/>
          <w:iCs/>
          <w:szCs w:val="24"/>
          <w:lang w:eastAsia="ru-RU"/>
        </w:rPr>
        <w:instrText xml:space="preserve"> </w:instrText>
      </w:r>
      <w:r w:rsidR="0089323F" w:rsidRPr="00062B4F">
        <w:rPr>
          <w:i/>
          <w:iCs/>
          <w:szCs w:val="24"/>
          <w:lang w:val="en-US" w:eastAsia="ru-RU"/>
        </w:rPr>
        <w:instrText>for</w:instrText>
      </w:r>
      <w:r w:rsidR="0089323F" w:rsidRPr="00062B4F">
        <w:rPr>
          <w:i/>
          <w:iCs/>
          <w:szCs w:val="24"/>
          <w:lang w:eastAsia="ru-RU"/>
        </w:rPr>
        <w:instrText xml:space="preserve"> </w:instrText>
      </w:r>
      <w:r w:rsidR="0089323F" w:rsidRPr="00062B4F">
        <w:rPr>
          <w:i/>
          <w:iCs/>
          <w:szCs w:val="24"/>
          <w:lang w:val="en-US" w:eastAsia="ru-RU"/>
        </w:rPr>
        <w:instrText>imatinib</w:instrText>
      </w:r>
      <w:r w:rsidR="0089323F" w:rsidRPr="00062B4F">
        <w:rPr>
          <w:i/>
          <w:iCs/>
          <w:szCs w:val="24"/>
          <w:lang w:eastAsia="ru-RU"/>
        </w:rPr>
        <w:instrText xml:space="preserve"> </w:instrText>
      </w:r>
      <w:r w:rsidR="0089323F" w:rsidRPr="00062B4F">
        <w:rPr>
          <w:i/>
          <w:iCs/>
          <w:szCs w:val="24"/>
          <w:lang w:val="en-US" w:eastAsia="ru-RU"/>
        </w:rPr>
        <w:instrText>mesylate</w:instrText>
      </w:r>
      <w:r w:rsidR="0089323F" w:rsidRPr="00062B4F">
        <w:rPr>
          <w:i/>
          <w:iCs/>
          <w:szCs w:val="24"/>
          <w:lang w:eastAsia="ru-RU"/>
        </w:rPr>
        <w:instrText xml:space="preserve">, </w:instrText>
      </w:r>
      <w:r w:rsidR="0089323F" w:rsidRPr="00062B4F">
        <w:rPr>
          <w:i/>
          <w:iCs/>
          <w:szCs w:val="24"/>
          <w:lang w:val="en-US" w:eastAsia="ru-RU"/>
        </w:rPr>
        <w:instrText>well</w:instrText>
      </w:r>
      <w:r w:rsidR="0089323F" w:rsidRPr="00062B4F">
        <w:rPr>
          <w:i/>
          <w:iCs/>
          <w:szCs w:val="24"/>
          <w:lang w:eastAsia="ru-RU"/>
        </w:rPr>
        <w:instrText xml:space="preserve"> </w:instrText>
      </w:r>
      <w:r w:rsidR="0089323F" w:rsidRPr="00062B4F">
        <w:rPr>
          <w:i/>
          <w:iCs/>
          <w:szCs w:val="24"/>
          <w:lang w:val="en-US" w:eastAsia="ru-RU"/>
        </w:rPr>
        <w:instrText>introduced</w:instrText>
      </w:r>
      <w:r w:rsidR="0089323F" w:rsidRPr="00062B4F">
        <w:rPr>
          <w:i/>
          <w:iCs/>
          <w:szCs w:val="24"/>
          <w:lang w:eastAsia="ru-RU"/>
        </w:rPr>
        <w:instrText xml:space="preserve"> </w:instrText>
      </w:r>
      <w:r w:rsidR="0089323F" w:rsidRPr="00062B4F">
        <w:rPr>
          <w:i/>
          <w:iCs/>
          <w:szCs w:val="24"/>
          <w:lang w:val="en-US" w:eastAsia="ru-RU"/>
        </w:rPr>
        <w:instrText>in</w:instrText>
      </w:r>
      <w:r w:rsidR="0089323F" w:rsidRPr="00062B4F">
        <w:rPr>
          <w:i/>
          <w:iCs/>
          <w:szCs w:val="24"/>
          <w:lang w:eastAsia="ru-RU"/>
        </w:rPr>
        <w:instrText xml:space="preserve"> </w:instrText>
      </w:r>
      <w:r w:rsidR="0089323F" w:rsidRPr="00062B4F">
        <w:rPr>
          <w:i/>
          <w:iCs/>
          <w:szCs w:val="24"/>
          <w:lang w:val="en-US" w:eastAsia="ru-RU"/>
        </w:rPr>
        <w:instrText>clinical</w:instrText>
      </w:r>
      <w:r w:rsidR="0089323F" w:rsidRPr="00062B4F">
        <w:rPr>
          <w:i/>
          <w:iCs/>
          <w:szCs w:val="24"/>
          <w:lang w:eastAsia="ru-RU"/>
        </w:rPr>
        <w:instrText xml:space="preserve"> </w:instrText>
      </w:r>
      <w:r w:rsidR="0089323F" w:rsidRPr="00062B4F">
        <w:rPr>
          <w:i/>
          <w:iCs/>
          <w:szCs w:val="24"/>
          <w:lang w:val="en-US" w:eastAsia="ru-RU"/>
        </w:rPr>
        <w:instrText>practice</w:instrText>
      </w:r>
      <w:r w:rsidR="0089323F" w:rsidRPr="00062B4F">
        <w:rPr>
          <w:i/>
          <w:iCs/>
          <w:szCs w:val="24"/>
          <w:lang w:eastAsia="ru-RU"/>
        </w:rPr>
        <w:instrText xml:space="preserve">. </w:instrText>
      </w:r>
      <w:r w:rsidR="0089323F" w:rsidRPr="00062B4F">
        <w:rPr>
          <w:i/>
          <w:iCs/>
          <w:szCs w:val="24"/>
          <w:lang w:val="en-US" w:eastAsia="ru-RU"/>
        </w:rPr>
        <w:instrText>Several</w:instrText>
      </w:r>
      <w:r w:rsidR="0089323F" w:rsidRPr="00062B4F">
        <w:rPr>
          <w:i/>
          <w:iCs/>
          <w:szCs w:val="24"/>
          <w:lang w:eastAsia="ru-RU"/>
        </w:rPr>
        <w:instrText xml:space="preserve"> </w:instrText>
      </w:r>
      <w:r w:rsidR="0089323F" w:rsidRPr="00062B4F">
        <w:rPr>
          <w:i/>
          <w:iCs/>
          <w:szCs w:val="24"/>
          <w:lang w:val="en-US" w:eastAsia="ru-RU"/>
        </w:rPr>
        <w:instrText>pharmacokinetic</w:instrText>
      </w:r>
      <w:r w:rsidR="0089323F" w:rsidRPr="00062B4F">
        <w:rPr>
          <w:i/>
          <w:iCs/>
          <w:szCs w:val="24"/>
          <w:lang w:eastAsia="ru-RU"/>
        </w:rPr>
        <w:instrText xml:space="preserve"> </w:instrText>
      </w:r>
      <w:r w:rsidR="0089323F" w:rsidRPr="00062B4F">
        <w:rPr>
          <w:i/>
          <w:iCs/>
          <w:szCs w:val="24"/>
          <w:lang w:val="en-US" w:eastAsia="ru-RU"/>
        </w:rPr>
        <w:instrText>aspects</w:instrText>
      </w:r>
      <w:r w:rsidR="0089323F" w:rsidRPr="00062B4F">
        <w:rPr>
          <w:i/>
          <w:iCs/>
          <w:szCs w:val="24"/>
          <w:lang w:eastAsia="ru-RU"/>
        </w:rPr>
        <w:instrText xml:space="preserve"> </w:instrText>
      </w:r>
      <w:r w:rsidR="0089323F" w:rsidRPr="00062B4F">
        <w:rPr>
          <w:i/>
          <w:iCs/>
          <w:szCs w:val="24"/>
          <w:lang w:val="en-US" w:eastAsia="ru-RU"/>
        </w:rPr>
        <w:instrText>yet</w:instrText>
      </w:r>
      <w:r w:rsidR="0089323F" w:rsidRPr="00062B4F">
        <w:rPr>
          <w:i/>
          <w:iCs/>
          <w:szCs w:val="24"/>
          <w:lang w:eastAsia="ru-RU"/>
        </w:rPr>
        <w:instrText xml:space="preserve"> </w:instrText>
      </w:r>
      <w:r w:rsidR="0089323F" w:rsidRPr="00062B4F">
        <w:rPr>
          <w:i/>
          <w:iCs/>
          <w:szCs w:val="24"/>
          <w:lang w:val="en-US" w:eastAsia="ru-RU"/>
        </w:rPr>
        <w:instrText>remain</w:instrText>
      </w:r>
      <w:r w:rsidR="0089323F" w:rsidRPr="00062B4F">
        <w:rPr>
          <w:i/>
          <w:iCs/>
          <w:szCs w:val="24"/>
          <w:lang w:eastAsia="ru-RU"/>
        </w:rPr>
        <w:instrText xml:space="preserve"> </w:instrText>
      </w:r>
      <w:r w:rsidR="0089323F" w:rsidRPr="00062B4F">
        <w:rPr>
          <w:i/>
          <w:iCs/>
          <w:szCs w:val="24"/>
          <w:lang w:val="en-US" w:eastAsia="ru-RU"/>
        </w:rPr>
        <w:instrText>insufficiently</w:instrText>
      </w:r>
      <w:r w:rsidR="0089323F" w:rsidRPr="00062B4F">
        <w:rPr>
          <w:i/>
          <w:iCs/>
          <w:szCs w:val="24"/>
          <w:lang w:eastAsia="ru-RU"/>
        </w:rPr>
        <w:instrText xml:space="preserve"> </w:instrText>
      </w:r>
      <w:r w:rsidR="0089323F" w:rsidRPr="00062B4F">
        <w:rPr>
          <w:i/>
          <w:iCs/>
          <w:szCs w:val="24"/>
          <w:lang w:val="en-US" w:eastAsia="ru-RU"/>
        </w:rPr>
        <w:instrText>investigated</w:instrText>
      </w:r>
      <w:r w:rsidR="0089323F" w:rsidRPr="00062B4F">
        <w:rPr>
          <w:i/>
          <w:iCs/>
          <w:szCs w:val="24"/>
          <w:lang w:eastAsia="ru-RU"/>
        </w:rPr>
        <w:instrText xml:space="preserve"> </w:instrText>
      </w:r>
      <w:r w:rsidR="0089323F" w:rsidRPr="00062B4F">
        <w:rPr>
          <w:i/>
          <w:iCs/>
          <w:szCs w:val="24"/>
          <w:lang w:val="en-US" w:eastAsia="ru-RU"/>
        </w:rPr>
        <w:instrText>for</w:instrText>
      </w:r>
      <w:r w:rsidR="0089323F" w:rsidRPr="00062B4F">
        <w:rPr>
          <w:i/>
          <w:iCs/>
          <w:szCs w:val="24"/>
          <w:lang w:eastAsia="ru-RU"/>
        </w:rPr>
        <w:instrText xml:space="preserve"> </w:instrText>
      </w:r>
      <w:r w:rsidR="0089323F" w:rsidRPr="00062B4F">
        <w:rPr>
          <w:i/>
          <w:iCs/>
          <w:szCs w:val="24"/>
          <w:lang w:val="en-US" w:eastAsia="ru-RU"/>
        </w:rPr>
        <w:instrText>these</w:instrText>
      </w:r>
      <w:r w:rsidR="0089323F" w:rsidRPr="00062B4F">
        <w:rPr>
          <w:i/>
          <w:iCs/>
          <w:szCs w:val="24"/>
          <w:lang w:eastAsia="ru-RU"/>
        </w:rPr>
        <w:instrText xml:space="preserve"> </w:instrText>
      </w:r>
      <w:r w:rsidR="0089323F" w:rsidRPr="00062B4F">
        <w:rPr>
          <w:i/>
          <w:iCs/>
          <w:szCs w:val="24"/>
          <w:lang w:val="en-US" w:eastAsia="ru-RU"/>
        </w:rPr>
        <w:instrText>drugs</w:instrText>
      </w:r>
      <w:r w:rsidR="0089323F" w:rsidRPr="00062B4F">
        <w:rPr>
          <w:i/>
          <w:iCs/>
          <w:szCs w:val="24"/>
          <w:lang w:eastAsia="ru-RU"/>
        </w:rPr>
        <w:instrText xml:space="preserve">. </w:instrText>
      </w:r>
      <w:r w:rsidR="0089323F" w:rsidRPr="00062B4F">
        <w:rPr>
          <w:i/>
          <w:iCs/>
          <w:szCs w:val="24"/>
          <w:lang w:val="en-US" w:eastAsia="ru-RU"/>
        </w:rPr>
        <w:instrText>Regular</w:instrText>
      </w:r>
      <w:r w:rsidR="0089323F" w:rsidRPr="00062B4F">
        <w:rPr>
          <w:i/>
          <w:iCs/>
          <w:szCs w:val="24"/>
          <w:lang w:eastAsia="ru-RU"/>
        </w:rPr>
        <w:instrText xml:space="preserve"> </w:instrText>
      </w:r>
      <w:r w:rsidR="0089323F" w:rsidRPr="00062B4F">
        <w:rPr>
          <w:i/>
          <w:iCs/>
          <w:szCs w:val="24"/>
          <w:lang w:val="en-US" w:eastAsia="ru-RU"/>
        </w:rPr>
        <w:instrText>updates</w:instrText>
      </w:r>
      <w:r w:rsidR="0089323F" w:rsidRPr="00062B4F">
        <w:rPr>
          <w:i/>
          <w:iCs/>
          <w:szCs w:val="24"/>
          <w:lang w:eastAsia="ru-RU"/>
        </w:rPr>
        <w:instrText xml:space="preserve"> </w:instrText>
      </w:r>
      <w:r w:rsidR="0089323F" w:rsidRPr="00062B4F">
        <w:rPr>
          <w:i/>
          <w:iCs/>
          <w:szCs w:val="24"/>
          <w:lang w:val="en-US" w:eastAsia="ru-RU"/>
        </w:rPr>
        <w:instrText>will</w:instrText>
      </w:r>
      <w:r w:rsidR="0089323F" w:rsidRPr="00062B4F">
        <w:rPr>
          <w:i/>
          <w:iCs/>
          <w:szCs w:val="24"/>
          <w:lang w:eastAsia="ru-RU"/>
        </w:rPr>
        <w:instrText xml:space="preserve"> </w:instrText>
      </w:r>
      <w:r w:rsidR="0089323F" w:rsidRPr="00062B4F">
        <w:rPr>
          <w:i/>
          <w:iCs/>
          <w:szCs w:val="24"/>
          <w:lang w:val="en-US" w:eastAsia="ru-RU"/>
        </w:rPr>
        <w:instrText>be</w:instrText>
      </w:r>
      <w:r w:rsidR="0089323F" w:rsidRPr="00062B4F">
        <w:rPr>
          <w:i/>
          <w:iCs/>
          <w:szCs w:val="24"/>
          <w:lang w:eastAsia="ru-RU"/>
        </w:rPr>
        <w:instrText xml:space="preserve"> </w:instrText>
      </w:r>
      <w:r w:rsidR="0089323F" w:rsidRPr="00062B4F">
        <w:rPr>
          <w:i/>
          <w:iCs/>
          <w:szCs w:val="24"/>
          <w:lang w:val="en-US" w:eastAsia="ru-RU"/>
        </w:rPr>
        <w:instrText>mandatory</w:instrText>
      </w:r>
      <w:r w:rsidR="0089323F" w:rsidRPr="00062B4F">
        <w:rPr>
          <w:i/>
          <w:iCs/>
          <w:szCs w:val="24"/>
          <w:lang w:eastAsia="ru-RU"/>
        </w:rPr>
        <w:instrText xml:space="preserve"> </w:instrText>
      </w:r>
      <w:r w:rsidR="0089323F" w:rsidRPr="00062B4F">
        <w:rPr>
          <w:i/>
          <w:iCs/>
          <w:szCs w:val="24"/>
          <w:lang w:val="en-US" w:eastAsia="ru-RU"/>
        </w:rPr>
        <w:instrText>and</w:instrText>
      </w:r>
      <w:r w:rsidR="0089323F" w:rsidRPr="00062B4F">
        <w:rPr>
          <w:i/>
          <w:iCs/>
          <w:szCs w:val="24"/>
          <w:lang w:eastAsia="ru-RU"/>
        </w:rPr>
        <w:instrText xml:space="preserve"> </w:instrText>
      </w:r>
      <w:r w:rsidR="0089323F" w:rsidRPr="00062B4F">
        <w:rPr>
          <w:i/>
          <w:iCs/>
          <w:szCs w:val="24"/>
          <w:lang w:val="en-US" w:eastAsia="ru-RU"/>
        </w:rPr>
        <w:instrText>so</w:instrText>
      </w:r>
      <w:r w:rsidR="0089323F" w:rsidRPr="00062B4F">
        <w:rPr>
          <w:i/>
          <w:iCs/>
          <w:szCs w:val="24"/>
          <w:lang w:eastAsia="ru-RU"/>
        </w:rPr>
        <w:instrText xml:space="preserve"> </w:instrText>
      </w:r>
      <w:r w:rsidR="0089323F" w:rsidRPr="00062B4F">
        <w:rPr>
          <w:i/>
          <w:iCs/>
          <w:szCs w:val="24"/>
          <w:lang w:val="en-US" w:eastAsia="ru-RU"/>
        </w:rPr>
        <w:instrText>is</w:instrText>
      </w:r>
      <w:r w:rsidR="0089323F" w:rsidRPr="00062B4F">
        <w:rPr>
          <w:i/>
          <w:iCs/>
          <w:szCs w:val="24"/>
          <w:lang w:eastAsia="ru-RU"/>
        </w:rPr>
        <w:instrText xml:space="preserve"> </w:instrText>
      </w:r>
      <w:r w:rsidR="0089323F" w:rsidRPr="00062B4F">
        <w:rPr>
          <w:i/>
          <w:iCs/>
          <w:szCs w:val="24"/>
          <w:lang w:val="en-US" w:eastAsia="ru-RU"/>
        </w:rPr>
        <w:instrText>the</w:instrText>
      </w:r>
      <w:r w:rsidR="0089323F" w:rsidRPr="00062B4F">
        <w:rPr>
          <w:i/>
          <w:iCs/>
          <w:szCs w:val="24"/>
          <w:lang w:eastAsia="ru-RU"/>
        </w:rPr>
        <w:instrText xml:space="preserve"> </w:instrText>
      </w:r>
      <w:r w:rsidR="0089323F" w:rsidRPr="00062B4F">
        <w:rPr>
          <w:i/>
          <w:iCs/>
          <w:szCs w:val="24"/>
          <w:lang w:val="en-US" w:eastAsia="ru-RU"/>
        </w:rPr>
        <w:instrText>prospective</w:instrText>
      </w:r>
      <w:r w:rsidR="0089323F" w:rsidRPr="00062B4F">
        <w:rPr>
          <w:i/>
          <w:iCs/>
          <w:szCs w:val="24"/>
          <w:lang w:eastAsia="ru-RU"/>
        </w:rPr>
        <w:instrText xml:space="preserve"> </w:instrText>
      </w:r>
      <w:r w:rsidR="0089323F" w:rsidRPr="00062B4F">
        <w:rPr>
          <w:i/>
          <w:iCs/>
          <w:szCs w:val="24"/>
          <w:lang w:val="en-US" w:eastAsia="ru-RU"/>
        </w:rPr>
        <w:instrText>reporting</w:instrText>
      </w:r>
      <w:r w:rsidR="0089323F" w:rsidRPr="00062B4F">
        <w:rPr>
          <w:i/>
          <w:iCs/>
          <w:szCs w:val="24"/>
          <w:lang w:eastAsia="ru-RU"/>
        </w:rPr>
        <w:instrText xml:space="preserve"> </w:instrText>
      </w:r>
      <w:r w:rsidR="0089323F" w:rsidRPr="00062B4F">
        <w:rPr>
          <w:i/>
          <w:iCs/>
          <w:szCs w:val="24"/>
          <w:lang w:val="en-US" w:eastAsia="ru-RU"/>
        </w:rPr>
        <w:instrText>of</w:instrText>
      </w:r>
      <w:r w:rsidR="0089323F" w:rsidRPr="00062B4F">
        <w:rPr>
          <w:i/>
          <w:iCs/>
          <w:szCs w:val="24"/>
          <w:lang w:eastAsia="ru-RU"/>
        </w:rPr>
        <w:instrText xml:space="preserve"> </w:instrText>
      </w:r>
      <w:r w:rsidR="0089323F" w:rsidRPr="00062B4F">
        <w:rPr>
          <w:i/>
          <w:iCs/>
          <w:szCs w:val="24"/>
          <w:lang w:val="en-US" w:eastAsia="ru-RU"/>
        </w:rPr>
        <w:instrText>unexpected</w:instrText>
      </w:r>
      <w:r w:rsidR="0089323F" w:rsidRPr="00062B4F">
        <w:rPr>
          <w:i/>
          <w:iCs/>
          <w:szCs w:val="24"/>
          <w:lang w:eastAsia="ru-RU"/>
        </w:rPr>
        <w:instrText xml:space="preserve"> </w:instrText>
      </w:r>
      <w:r w:rsidR="0089323F" w:rsidRPr="00062B4F">
        <w:rPr>
          <w:i/>
          <w:iCs/>
          <w:szCs w:val="24"/>
          <w:lang w:val="en-US" w:eastAsia="ru-RU"/>
        </w:rPr>
        <w:instrText>clinical</w:instrText>
      </w:r>
      <w:r w:rsidR="0089323F" w:rsidRPr="00062B4F">
        <w:rPr>
          <w:i/>
          <w:iCs/>
          <w:szCs w:val="24"/>
          <w:lang w:eastAsia="ru-RU"/>
        </w:rPr>
        <w:instrText xml:space="preserve"> </w:instrText>
      </w:r>
      <w:r w:rsidR="0089323F" w:rsidRPr="00062B4F">
        <w:rPr>
          <w:i/>
          <w:iCs/>
          <w:szCs w:val="24"/>
          <w:lang w:val="en-US" w:eastAsia="ru-RU"/>
        </w:rPr>
        <w:instrText>observations</w:instrText>
      </w:r>
      <w:r w:rsidR="0089323F" w:rsidRPr="00062B4F">
        <w:rPr>
          <w:i/>
          <w:iCs/>
          <w:szCs w:val="24"/>
          <w:lang w:eastAsia="ru-RU"/>
        </w:rPr>
        <w:instrText>.","</w:instrText>
      </w:r>
      <w:r w:rsidR="0089323F" w:rsidRPr="00062B4F">
        <w:rPr>
          <w:i/>
          <w:iCs/>
          <w:szCs w:val="24"/>
          <w:lang w:val="en-US" w:eastAsia="ru-RU"/>
        </w:rPr>
        <w:instrText>author</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family</w:instrText>
      </w:r>
      <w:r w:rsidR="0089323F" w:rsidRPr="00062B4F">
        <w:rPr>
          <w:i/>
          <w:iCs/>
          <w:szCs w:val="24"/>
          <w:lang w:eastAsia="ru-RU"/>
        </w:rPr>
        <w:instrText>":"</w:instrText>
      </w:r>
      <w:r w:rsidR="0089323F" w:rsidRPr="00062B4F">
        <w:rPr>
          <w:i/>
          <w:iCs/>
          <w:szCs w:val="24"/>
          <w:lang w:val="en-US" w:eastAsia="ru-RU"/>
        </w:rPr>
        <w:instrText>Haouala</w:instrText>
      </w:r>
      <w:r w:rsidR="0089323F" w:rsidRPr="00062B4F">
        <w:rPr>
          <w:i/>
          <w:iCs/>
          <w:szCs w:val="24"/>
          <w:lang w:eastAsia="ru-RU"/>
        </w:rPr>
        <w:instrText>","</w:instrText>
      </w:r>
      <w:r w:rsidR="0089323F" w:rsidRPr="00062B4F">
        <w:rPr>
          <w:i/>
          <w:iCs/>
          <w:szCs w:val="24"/>
          <w:lang w:val="en-US" w:eastAsia="ru-RU"/>
        </w:rPr>
        <w:instrText>given</w:instrText>
      </w:r>
      <w:r w:rsidR="0089323F" w:rsidRPr="00062B4F">
        <w:rPr>
          <w:i/>
          <w:iCs/>
          <w:szCs w:val="24"/>
          <w:lang w:eastAsia="ru-RU"/>
        </w:rPr>
        <w:instrText>":"</w:instrText>
      </w:r>
      <w:r w:rsidR="0089323F" w:rsidRPr="00062B4F">
        <w:rPr>
          <w:i/>
          <w:iCs/>
          <w:szCs w:val="24"/>
          <w:lang w:val="en-US" w:eastAsia="ru-RU"/>
        </w:rPr>
        <w:instrText>A</w:instrText>
      </w:r>
      <w:r w:rsidR="0089323F" w:rsidRPr="00062B4F">
        <w:rPr>
          <w:i/>
          <w:iCs/>
          <w:szCs w:val="24"/>
          <w:lang w:eastAsia="ru-RU"/>
        </w:rPr>
        <w:instrText>.","</w:instrText>
      </w:r>
      <w:r w:rsidR="0089323F" w:rsidRPr="00062B4F">
        <w:rPr>
          <w:i/>
          <w:iCs/>
          <w:szCs w:val="24"/>
          <w:lang w:val="en-US" w:eastAsia="ru-RU"/>
        </w:rPr>
        <w:instrText>non</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parse</w:instrText>
      </w:r>
      <w:r w:rsidR="0089323F" w:rsidRPr="00062B4F">
        <w:rPr>
          <w:i/>
          <w:iCs/>
          <w:szCs w:val="24"/>
          <w:lang w:eastAsia="ru-RU"/>
        </w:rPr>
        <w:instrText>-</w:instrText>
      </w:r>
      <w:r w:rsidR="0089323F" w:rsidRPr="00062B4F">
        <w:rPr>
          <w:i/>
          <w:iCs/>
          <w:szCs w:val="24"/>
          <w:lang w:val="en-US" w:eastAsia="ru-RU"/>
        </w:rPr>
        <w:instrText>names</w:instrText>
      </w:r>
      <w:r w:rsidR="0089323F" w:rsidRPr="00062B4F">
        <w:rPr>
          <w:i/>
          <w:iCs/>
          <w:szCs w:val="24"/>
          <w:lang w:eastAsia="ru-RU"/>
        </w:rPr>
        <w:instrText>":</w:instrText>
      </w:r>
      <w:r w:rsidR="0089323F" w:rsidRPr="00062B4F">
        <w:rPr>
          <w:i/>
          <w:iCs/>
          <w:szCs w:val="24"/>
          <w:lang w:val="en-US" w:eastAsia="ru-RU"/>
        </w:rPr>
        <w:instrText>false</w:instrText>
      </w:r>
      <w:r w:rsidR="0089323F" w:rsidRPr="00062B4F">
        <w:rPr>
          <w:i/>
          <w:iCs/>
          <w:szCs w:val="24"/>
          <w:lang w:eastAsia="ru-RU"/>
        </w:rPr>
        <w:instrText>,"</w:instrText>
      </w:r>
      <w:r w:rsidR="0089323F" w:rsidRPr="00062B4F">
        <w:rPr>
          <w:i/>
          <w:iCs/>
          <w:szCs w:val="24"/>
          <w:lang w:val="en-US" w:eastAsia="ru-RU"/>
        </w:rPr>
        <w:instrText>suffix</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family</w:instrText>
      </w:r>
      <w:r w:rsidR="0089323F" w:rsidRPr="00062B4F">
        <w:rPr>
          <w:i/>
          <w:iCs/>
          <w:szCs w:val="24"/>
          <w:lang w:eastAsia="ru-RU"/>
        </w:rPr>
        <w:instrText>":"</w:instrText>
      </w:r>
      <w:r w:rsidR="0089323F" w:rsidRPr="00062B4F">
        <w:rPr>
          <w:i/>
          <w:iCs/>
          <w:szCs w:val="24"/>
          <w:lang w:val="en-US" w:eastAsia="ru-RU"/>
        </w:rPr>
        <w:instrText>Widmer</w:instrText>
      </w:r>
      <w:r w:rsidR="0089323F" w:rsidRPr="00062B4F">
        <w:rPr>
          <w:i/>
          <w:iCs/>
          <w:szCs w:val="24"/>
          <w:lang w:eastAsia="ru-RU"/>
        </w:rPr>
        <w:instrText>","</w:instrText>
      </w:r>
      <w:r w:rsidR="0089323F" w:rsidRPr="00062B4F">
        <w:rPr>
          <w:i/>
          <w:iCs/>
          <w:szCs w:val="24"/>
          <w:lang w:val="en-US" w:eastAsia="ru-RU"/>
        </w:rPr>
        <w:instrText>given</w:instrText>
      </w:r>
      <w:r w:rsidR="0089323F" w:rsidRPr="00062B4F">
        <w:rPr>
          <w:i/>
          <w:iCs/>
          <w:szCs w:val="24"/>
          <w:lang w:eastAsia="ru-RU"/>
        </w:rPr>
        <w:instrText>":"</w:instrText>
      </w:r>
      <w:r w:rsidR="0089323F" w:rsidRPr="00062B4F">
        <w:rPr>
          <w:i/>
          <w:iCs/>
          <w:szCs w:val="24"/>
          <w:lang w:val="en-US" w:eastAsia="ru-RU"/>
        </w:rPr>
        <w:instrText>N</w:instrText>
      </w:r>
      <w:r w:rsidR="0089323F" w:rsidRPr="00062B4F">
        <w:rPr>
          <w:i/>
          <w:iCs/>
          <w:szCs w:val="24"/>
          <w:lang w:eastAsia="ru-RU"/>
        </w:rPr>
        <w:instrText>.","</w:instrText>
      </w:r>
      <w:r w:rsidR="0089323F" w:rsidRPr="00062B4F">
        <w:rPr>
          <w:i/>
          <w:iCs/>
          <w:szCs w:val="24"/>
          <w:lang w:val="en-US" w:eastAsia="ru-RU"/>
        </w:rPr>
        <w:instrText>non</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parse</w:instrText>
      </w:r>
      <w:r w:rsidR="0089323F" w:rsidRPr="00062B4F">
        <w:rPr>
          <w:i/>
          <w:iCs/>
          <w:szCs w:val="24"/>
          <w:lang w:eastAsia="ru-RU"/>
        </w:rPr>
        <w:instrText>-</w:instrText>
      </w:r>
      <w:r w:rsidR="0089323F" w:rsidRPr="00062B4F">
        <w:rPr>
          <w:i/>
          <w:iCs/>
          <w:szCs w:val="24"/>
          <w:lang w:val="en-US" w:eastAsia="ru-RU"/>
        </w:rPr>
        <w:instrText>names</w:instrText>
      </w:r>
      <w:r w:rsidR="0089323F" w:rsidRPr="00062B4F">
        <w:rPr>
          <w:i/>
          <w:iCs/>
          <w:szCs w:val="24"/>
          <w:lang w:eastAsia="ru-RU"/>
        </w:rPr>
        <w:instrText>":</w:instrText>
      </w:r>
      <w:r w:rsidR="0089323F" w:rsidRPr="00062B4F">
        <w:rPr>
          <w:i/>
          <w:iCs/>
          <w:szCs w:val="24"/>
          <w:lang w:val="en-US" w:eastAsia="ru-RU"/>
        </w:rPr>
        <w:instrText>false</w:instrText>
      </w:r>
      <w:r w:rsidR="0089323F" w:rsidRPr="00062B4F">
        <w:rPr>
          <w:i/>
          <w:iCs/>
          <w:szCs w:val="24"/>
          <w:lang w:eastAsia="ru-RU"/>
        </w:rPr>
        <w:instrText>,"</w:instrText>
      </w:r>
      <w:r w:rsidR="0089323F" w:rsidRPr="00062B4F">
        <w:rPr>
          <w:i/>
          <w:iCs/>
          <w:szCs w:val="24"/>
          <w:lang w:val="en-US" w:eastAsia="ru-RU"/>
        </w:rPr>
        <w:instrText>suffix</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family</w:instrText>
      </w:r>
      <w:r w:rsidR="0089323F" w:rsidRPr="00062B4F">
        <w:rPr>
          <w:i/>
          <w:iCs/>
          <w:szCs w:val="24"/>
          <w:lang w:eastAsia="ru-RU"/>
        </w:rPr>
        <w:instrText>":"</w:instrText>
      </w:r>
      <w:r w:rsidR="0089323F" w:rsidRPr="00062B4F">
        <w:rPr>
          <w:i/>
          <w:iCs/>
          <w:szCs w:val="24"/>
          <w:lang w:val="en-US" w:eastAsia="ru-RU"/>
        </w:rPr>
        <w:instrText>Duchosal</w:instrText>
      </w:r>
      <w:r w:rsidR="0089323F" w:rsidRPr="00062B4F">
        <w:rPr>
          <w:i/>
          <w:iCs/>
          <w:szCs w:val="24"/>
          <w:lang w:eastAsia="ru-RU"/>
        </w:rPr>
        <w:instrText>","</w:instrText>
      </w:r>
      <w:r w:rsidR="0089323F" w:rsidRPr="00062B4F">
        <w:rPr>
          <w:i/>
          <w:iCs/>
          <w:szCs w:val="24"/>
          <w:lang w:val="en-US" w:eastAsia="ru-RU"/>
        </w:rPr>
        <w:instrText>given</w:instrText>
      </w:r>
      <w:r w:rsidR="0089323F" w:rsidRPr="00062B4F">
        <w:rPr>
          <w:i/>
          <w:iCs/>
          <w:szCs w:val="24"/>
          <w:lang w:eastAsia="ru-RU"/>
        </w:rPr>
        <w:instrText>":"</w:instrText>
      </w:r>
      <w:r w:rsidR="0089323F" w:rsidRPr="00062B4F">
        <w:rPr>
          <w:i/>
          <w:iCs/>
          <w:szCs w:val="24"/>
          <w:lang w:val="en-US" w:eastAsia="ru-RU"/>
        </w:rPr>
        <w:instrText>M</w:instrText>
      </w:r>
      <w:r w:rsidR="0089323F" w:rsidRPr="00062B4F">
        <w:rPr>
          <w:i/>
          <w:iCs/>
          <w:szCs w:val="24"/>
          <w:lang w:eastAsia="ru-RU"/>
        </w:rPr>
        <w:instrText xml:space="preserve">. </w:instrText>
      </w:r>
      <w:r w:rsidR="0089323F" w:rsidRPr="00062B4F">
        <w:rPr>
          <w:i/>
          <w:iCs/>
          <w:szCs w:val="24"/>
          <w:lang w:val="en-US" w:eastAsia="ru-RU"/>
        </w:rPr>
        <w:instrText>A</w:instrText>
      </w:r>
      <w:r w:rsidR="0089323F" w:rsidRPr="00062B4F">
        <w:rPr>
          <w:i/>
          <w:iCs/>
          <w:szCs w:val="24"/>
          <w:lang w:eastAsia="ru-RU"/>
        </w:rPr>
        <w:instrText>.","</w:instrText>
      </w:r>
      <w:r w:rsidR="0089323F" w:rsidRPr="00062B4F">
        <w:rPr>
          <w:i/>
          <w:iCs/>
          <w:szCs w:val="24"/>
          <w:lang w:val="en-US" w:eastAsia="ru-RU"/>
        </w:rPr>
        <w:instrText>non</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parse</w:instrText>
      </w:r>
      <w:r w:rsidR="0089323F" w:rsidRPr="00062B4F">
        <w:rPr>
          <w:i/>
          <w:iCs/>
          <w:szCs w:val="24"/>
          <w:lang w:eastAsia="ru-RU"/>
        </w:rPr>
        <w:instrText>-</w:instrText>
      </w:r>
      <w:r w:rsidR="0089323F" w:rsidRPr="00062B4F">
        <w:rPr>
          <w:i/>
          <w:iCs/>
          <w:szCs w:val="24"/>
          <w:lang w:val="en-US" w:eastAsia="ru-RU"/>
        </w:rPr>
        <w:instrText>names</w:instrText>
      </w:r>
      <w:r w:rsidR="0089323F" w:rsidRPr="00062B4F">
        <w:rPr>
          <w:i/>
          <w:iCs/>
          <w:szCs w:val="24"/>
          <w:lang w:eastAsia="ru-RU"/>
        </w:rPr>
        <w:instrText>":</w:instrText>
      </w:r>
      <w:r w:rsidR="0089323F" w:rsidRPr="00062B4F">
        <w:rPr>
          <w:i/>
          <w:iCs/>
          <w:szCs w:val="24"/>
          <w:lang w:val="en-US" w:eastAsia="ru-RU"/>
        </w:rPr>
        <w:instrText>false</w:instrText>
      </w:r>
      <w:r w:rsidR="0089323F" w:rsidRPr="00062B4F">
        <w:rPr>
          <w:i/>
          <w:iCs/>
          <w:szCs w:val="24"/>
          <w:lang w:eastAsia="ru-RU"/>
        </w:rPr>
        <w:instrText>,"</w:instrText>
      </w:r>
      <w:r w:rsidR="0089323F" w:rsidRPr="00062B4F">
        <w:rPr>
          <w:i/>
          <w:iCs/>
          <w:szCs w:val="24"/>
          <w:lang w:val="en-US" w:eastAsia="ru-RU"/>
        </w:rPr>
        <w:instrText>suffix</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family</w:instrText>
      </w:r>
      <w:r w:rsidR="0089323F" w:rsidRPr="00062B4F">
        <w:rPr>
          <w:i/>
          <w:iCs/>
          <w:szCs w:val="24"/>
          <w:lang w:eastAsia="ru-RU"/>
        </w:rPr>
        <w:instrText>":"</w:instrText>
      </w:r>
      <w:r w:rsidR="0089323F" w:rsidRPr="00062B4F">
        <w:rPr>
          <w:i/>
          <w:iCs/>
          <w:szCs w:val="24"/>
          <w:lang w:val="en-US" w:eastAsia="ru-RU"/>
        </w:rPr>
        <w:instrText>Montemurro</w:instrText>
      </w:r>
      <w:r w:rsidR="0089323F" w:rsidRPr="00062B4F">
        <w:rPr>
          <w:i/>
          <w:iCs/>
          <w:szCs w:val="24"/>
          <w:lang w:eastAsia="ru-RU"/>
        </w:rPr>
        <w:instrText>","</w:instrText>
      </w:r>
      <w:r w:rsidR="0089323F" w:rsidRPr="00062B4F">
        <w:rPr>
          <w:i/>
          <w:iCs/>
          <w:szCs w:val="24"/>
          <w:lang w:val="en-US" w:eastAsia="ru-RU"/>
        </w:rPr>
        <w:instrText>given</w:instrText>
      </w:r>
      <w:r w:rsidR="0089323F" w:rsidRPr="00062B4F">
        <w:rPr>
          <w:i/>
          <w:iCs/>
          <w:szCs w:val="24"/>
          <w:lang w:eastAsia="ru-RU"/>
        </w:rPr>
        <w:instrText>":"</w:instrText>
      </w:r>
      <w:r w:rsidR="0089323F" w:rsidRPr="00062B4F">
        <w:rPr>
          <w:i/>
          <w:iCs/>
          <w:szCs w:val="24"/>
          <w:lang w:val="en-US" w:eastAsia="ru-RU"/>
        </w:rPr>
        <w:instrText>M</w:instrText>
      </w:r>
      <w:r w:rsidR="0089323F" w:rsidRPr="00062B4F">
        <w:rPr>
          <w:i/>
          <w:iCs/>
          <w:szCs w:val="24"/>
          <w:lang w:eastAsia="ru-RU"/>
        </w:rPr>
        <w:instrText>.","</w:instrText>
      </w:r>
      <w:r w:rsidR="0089323F" w:rsidRPr="00062B4F">
        <w:rPr>
          <w:i/>
          <w:iCs/>
          <w:szCs w:val="24"/>
          <w:lang w:val="en-US" w:eastAsia="ru-RU"/>
        </w:rPr>
        <w:instrText>non</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parse</w:instrText>
      </w:r>
      <w:r w:rsidR="0089323F" w:rsidRPr="00062B4F">
        <w:rPr>
          <w:i/>
          <w:iCs/>
          <w:szCs w:val="24"/>
          <w:lang w:eastAsia="ru-RU"/>
        </w:rPr>
        <w:instrText>-</w:instrText>
      </w:r>
      <w:r w:rsidR="0089323F" w:rsidRPr="00062B4F">
        <w:rPr>
          <w:i/>
          <w:iCs/>
          <w:szCs w:val="24"/>
          <w:lang w:val="en-US" w:eastAsia="ru-RU"/>
        </w:rPr>
        <w:instrText>names</w:instrText>
      </w:r>
      <w:r w:rsidR="0089323F" w:rsidRPr="00062B4F">
        <w:rPr>
          <w:i/>
          <w:iCs/>
          <w:szCs w:val="24"/>
          <w:lang w:eastAsia="ru-RU"/>
        </w:rPr>
        <w:instrText>":</w:instrText>
      </w:r>
      <w:r w:rsidR="0089323F" w:rsidRPr="00062B4F">
        <w:rPr>
          <w:i/>
          <w:iCs/>
          <w:szCs w:val="24"/>
          <w:lang w:val="en-US" w:eastAsia="ru-RU"/>
        </w:rPr>
        <w:instrText>false</w:instrText>
      </w:r>
      <w:r w:rsidR="0089323F" w:rsidRPr="00062B4F">
        <w:rPr>
          <w:i/>
          <w:iCs/>
          <w:szCs w:val="24"/>
          <w:lang w:eastAsia="ru-RU"/>
        </w:rPr>
        <w:instrText>,"</w:instrText>
      </w:r>
      <w:r w:rsidR="0089323F" w:rsidRPr="00062B4F">
        <w:rPr>
          <w:i/>
          <w:iCs/>
          <w:szCs w:val="24"/>
          <w:lang w:val="en-US" w:eastAsia="ru-RU"/>
        </w:rPr>
        <w:instrText>suffix</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family</w:instrText>
      </w:r>
      <w:r w:rsidR="0089323F" w:rsidRPr="00062B4F">
        <w:rPr>
          <w:i/>
          <w:iCs/>
          <w:szCs w:val="24"/>
          <w:lang w:eastAsia="ru-RU"/>
        </w:rPr>
        <w:instrText>":"</w:instrText>
      </w:r>
      <w:r w:rsidR="0089323F" w:rsidRPr="00062B4F">
        <w:rPr>
          <w:i/>
          <w:iCs/>
          <w:szCs w:val="24"/>
          <w:lang w:val="en-US" w:eastAsia="ru-RU"/>
        </w:rPr>
        <w:instrText>Buclin</w:instrText>
      </w:r>
      <w:r w:rsidR="0089323F" w:rsidRPr="00062B4F">
        <w:rPr>
          <w:i/>
          <w:iCs/>
          <w:szCs w:val="24"/>
          <w:lang w:eastAsia="ru-RU"/>
        </w:rPr>
        <w:instrText>","</w:instrText>
      </w:r>
      <w:r w:rsidR="0089323F" w:rsidRPr="00062B4F">
        <w:rPr>
          <w:i/>
          <w:iCs/>
          <w:szCs w:val="24"/>
          <w:lang w:val="en-US" w:eastAsia="ru-RU"/>
        </w:rPr>
        <w:instrText>given</w:instrText>
      </w:r>
      <w:r w:rsidR="0089323F" w:rsidRPr="00062B4F">
        <w:rPr>
          <w:i/>
          <w:iCs/>
          <w:szCs w:val="24"/>
          <w:lang w:eastAsia="ru-RU"/>
        </w:rPr>
        <w:instrText>":"</w:instrText>
      </w:r>
      <w:r w:rsidR="0089323F" w:rsidRPr="00062B4F">
        <w:rPr>
          <w:i/>
          <w:iCs/>
          <w:szCs w:val="24"/>
          <w:lang w:val="en-US" w:eastAsia="ru-RU"/>
        </w:rPr>
        <w:instrText>T</w:instrText>
      </w:r>
      <w:r w:rsidR="0089323F" w:rsidRPr="00062B4F">
        <w:rPr>
          <w:i/>
          <w:iCs/>
          <w:szCs w:val="24"/>
          <w:lang w:eastAsia="ru-RU"/>
        </w:rPr>
        <w:instrText>.","</w:instrText>
      </w:r>
      <w:r w:rsidR="0089323F" w:rsidRPr="00062B4F">
        <w:rPr>
          <w:i/>
          <w:iCs/>
          <w:szCs w:val="24"/>
          <w:lang w:val="en-US" w:eastAsia="ru-RU"/>
        </w:rPr>
        <w:instrText>non</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parse</w:instrText>
      </w:r>
      <w:r w:rsidR="0089323F" w:rsidRPr="00062B4F">
        <w:rPr>
          <w:i/>
          <w:iCs/>
          <w:szCs w:val="24"/>
          <w:lang w:eastAsia="ru-RU"/>
        </w:rPr>
        <w:instrText>-</w:instrText>
      </w:r>
      <w:r w:rsidR="0089323F" w:rsidRPr="00062B4F">
        <w:rPr>
          <w:i/>
          <w:iCs/>
          <w:szCs w:val="24"/>
          <w:lang w:val="en-US" w:eastAsia="ru-RU"/>
        </w:rPr>
        <w:instrText>names</w:instrText>
      </w:r>
      <w:r w:rsidR="0089323F" w:rsidRPr="00062B4F">
        <w:rPr>
          <w:i/>
          <w:iCs/>
          <w:szCs w:val="24"/>
          <w:lang w:eastAsia="ru-RU"/>
        </w:rPr>
        <w:instrText>":</w:instrText>
      </w:r>
      <w:r w:rsidR="0089323F" w:rsidRPr="00062B4F">
        <w:rPr>
          <w:i/>
          <w:iCs/>
          <w:szCs w:val="24"/>
          <w:lang w:val="en-US" w:eastAsia="ru-RU"/>
        </w:rPr>
        <w:instrText>false</w:instrText>
      </w:r>
      <w:r w:rsidR="0089323F" w:rsidRPr="00062B4F">
        <w:rPr>
          <w:i/>
          <w:iCs/>
          <w:szCs w:val="24"/>
          <w:lang w:eastAsia="ru-RU"/>
        </w:rPr>
        <w:instrText>,"</w:instrText>
      </w:r>
      <w:r w:rsidR="0089323F" w:rsidRPr="00062B4F">
        <w:rPr>
          <w:i/>
          <w:iCs/>
          <w:szCs w:val="24"/>
          <w:lang w:val="en-US" w:eastAsia="ru-RU"/>
        </w:rPr>
        <w:instrText>suffix</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family</w:instrText>
      </w:r>
      <w:r w:rsidR="0089323F" w:rsidRPr="00062B4F">
        <w:rPr>
          <w:i/>
          <w:iCs/>
          <w:szCs w:val="24"/>
          <w:lang w:eastAsia="ru-RU"/>
        </w:rPr>
        <w:instrText>":"</w:instrText>
      </w:r>
      <w:r w:rsidR="0089323F" w:rsidRPr="00062B4F">
        <w:rPr>
          <w:i/>
          <w:iCs/>
          <w:szCs w:val="24"/>
          <w:lang w:val="en-US" w:eastAsia="ru-RU"/>
        </w:rPr>
        <w:instrText>Decosterd</w:instrText>
      </w:r>
      <w:r w:rsidR="0089323F" w:rsidRPr="00062B4F">
        <w:rPr>
          <w:i/>
          <w:iCs/>
          <w:szCs w:val="24"/>
          <w:lang w:eastAsia="ru-RU"/>
        </w:rPr>
        <w:instrText>","</w:instrText>
      </w:r>
      <w:r w:rsidR="0089323F" w:rsidRPr="00062B4F">
        <w:rPr>
          <w:i/>
          <w:iCs/>
          <w:szCs w:val="24"/>
          <w:lang w:val="en-US" w:eastAsia="ru-RU"/>
        </w:rPr>
        <w:instrText>given</w:instrText>
      </w:r>
      <w:r w:rsidR="0089323F" w:rsidRPr="00062B4F">
        <w:rPr>
          <w:i/>
          <w:iCs/>
          <w:szCs w:val="24"/>
          <w:lang w:eastAsia="ru-RU"/>
        </w:rPr>
        <w:instrText>":"</w:instrText>
      </w:r>
      <w:r w:rsidR="0089323F" w:rsidRPr="00062B4F">
        <w:rPr>
          <w:i/>
          <w:iCs/>
          <w:szCs w:val="24"/>
          <w:lang w:val="en-US" w:eastAsia="ru-RU"/>
        </w:rPr>
        <w:instrText>L</w:instrText>
      </w:r>
      <w:r w:rsidR="0089323F" w:rsidRPr="00062B4F">
        <w:rPr>
          <w:i/>
          <w:iCs/>
          <w:szCs w:val="24"/>
          <w:lang w:eastAsia="ru-RU"/>
        </w:rPr>
        <w:instrText xml:space="preserve">. </w:instrText>
      </w:r>
      <w:r w:rsidR="0089323F" w:rsidRPr="00062B4F">
        <w:rPr>
          <w:i/>
          <w:iCs/>
          <w:szCs w:val="24"/>
          <w:lang w:val="en-US" w:eastAsia="ru-RU"/>
        </w:rPr>
        <w:instrText>A</w:instrText>
      </w:r>
      <w:r w:rsidR="0089323F" w:rsidRPr="00062B4F">
        <w:rPr>
          <w:i/>
          <w:iCs/>
          <w:szCs w:val="24"/>
          <w:lang w:eastAsia="ru-RU"/>
        </w:rPr>
        <w:instrText>.","</w:instrText>
      </w:r>
      <w:r w:rsidR="0089323F" w:rsidRPr="00062B4F">
        <w:rPr>
          <w:i/>
          <w:iCs/>
          <w:szCs w:val="24"/>
          <w:lang w:val="en-US" w:eastAsia="ru-RU"/>
        </w:rPr>
        <w:instrText>non</w:instrText>
      </w:r>
      <w:r w:rsidR="0089323F" w:rsidRPr="00062B4F">
        <w:rPr>
          <w:i/>
          <w:iCs/>
          <w:szCs w:val="24"/>
          <w:lang w:eastAsia="ru-RU"/>
        </w:rPr>
        <w:instrText>-</w:instrText>
      </w:r>
      <w:r w:rsidR="0089323F" w:rsidRPr="00062B4F">
        <w:rPr>
          <w:i/>
          <w:iCs/>
          <w:szCs w:val="24"/>
          <w:lang w:val="en-US" w:eastAsia="ru-RU"/>
        </w:rPr>
        <w:instrText>dropping</w:instrText>
      </w:r>
      <w:r w:rsidR="0089323F" w:rsidRPr="00062B4F">
        <w:rPr>
          <w:i/>
          <w:iCs/>
          <w:szCs w:val="24"/>
          <w:lang w:eastAsia="ru-RU"/>
        </w:rPr>
        <w:instrText>-</w:instrText>
      </w:r>
      <w:r w:rsidR="0089323F" w:rsidRPr="00062B4F">
        <w:rPr>
          <w:i/>
          <w:iCs/>
          <w:szCs w:val="24"/>
          <w:lang w:val="en-US" w:eastAsia="ru-RU"/>
        </w:rPr>
        <w:instrText>particle</w:instrText>
      </w:r>
      <w:r w:rsidR="0089323F" w:rsidRPr="00062B4F">
        <w:rPr>
          <w:i/>
          <w:iCs/>
          <w:szCs w:val="24"/>
          <w:lang w:eastAsia="ru-RU"/>
        </w:rPr>
        <w:instrText>":"","</w:instrText>
      </w:r>
      <w:r w:rsidR="0089323F" w:rsidRPr="00062B4F">
        <w:rPr>
          <w:i/>
          <w:iCs/>
          <w:szCs w:val="24"/>
          <w:lang w:val="en-US" w:eastAsia="ru-RU"/>
        </w:rPr>
        <w:instrText>parse</w:instrText>
      </w:r>
      <w:r w:rsidR="0089323F" w:rsidRPr="00062B4F">
        <w:rPr>
          <w:i/>
          <w:iCs/>
          <w:szCs w:val="24"/>
          <w:lang w:eastAsia="ru-RU"/>
        </w:rPr>
        <w:instrText>-</w:instrText>
      </w:r>
      <w:r w:rsidR="0089323F" w:rsidRPr="00062B4F">
        <w:rPr>
          <w:i/>
          <w:iCs/>
          <w:szCs w:val="24"/>
          <w:lang w:val="en-US" w:eastAsia="ru-RU"/>
        </w:rPr>
        <w:instrText>names</w:instrText>
      </w:r>
      <w:r w:rsidR="0089323F" w:rsidRPr="00062B4F">
        <w:rPr>
          <w:i/>
          <w:iCs/>
          <w:szCs w:val="24"/>
          <w:lang w:eastAsia="ru-RU"/>
        </w:rPr>
        <w:instrText>":</w:instrText>
      </w:r>
      <w:r w:rsidR="0089323F" w:rsidRPr="00062B4F">
        <w:rPr>
          <w:i/>
          <w:iCs/>
          <w:szCs w:val="24"/>
          <w:lang w:val="en-US" w:eastAsia="ru-RU"/>
        </w:rPr>
        <w:instrText>false</w:instrText>
      </w:r>
      <w:r w:rsidR="0089323F" w:rsidRPr="00062B4F">
        <w:rPr>
          <w:i/>
          <w:iCs/>
          <w:szCs w:val="24"/>
          <w:lang w:eastAsia="ru-RU"/>
        </w:rPr>
        <w:instrText>,"</w:instrText>
      </w:r>
      <w:r w:rsidR="0089323F" w:rsidRPr="00062B4F">
        <w:rPr>
          <w:i/>
          <w:iCs/>
          <w:szCs w:val="24"/>
          <w:lang w:val="en-US" w:eastAsia="ru-RU"/>
        </w:rPr>
        <w:instrText>suffix</w:instrText>
      </w:r>
      <w:r w:rsidR="0089323F" w:rsidRPr="00062B4F">
        <w:rPr>
          <w:i/>
          <w:iCs/>
          <w:szCs w:val="24"/>
          <w:lang w:eastAsia="ru-RU"/>
        </w:rPr>
        <w:instrText>":""}],"</w:instrText>
      </w:r>
      <w:r w:rsidR="0089323F" w:rsidRPr="00062B4F">
        <w:rPr>
          <w:i/>
          <w:iCs/>
          <w:szCs w:val="24"/>
          <w:lang w:val="en-US" w:eastAsia="ru-RU"/>
        </w:rPr>
        <w:instrText>container</w:instrText>
      </w:r>
      <w:r w:rsidR="0089323F" w:rsidRPr="00062B4F">
        <w:rPr>
          <w:i/>
          <w:iCs/>
          <w:szCs w:val="24"/>
          <w:lang w:eastAsia="ru-RU"/>
        </w:rPr>
        <w:instrText>-</w:instrText>
      </w:r>
      <w:r w:rsidR="0089323F" w:rsidRPr="00062B4F">
        <w:rPr>
          <w:i/>
          <w:iCs/>
          <w:szCs w:val="24"/>
          <w:lang w:val="en-US" w:eastAsia="ru-RU"/>
        </w:rPr>
        <w:instrText>title</w:instrText>
      </w:r>
      <w:r w:rsidR="0089323F" w:rsidRPr="00062B4F">
        <w:rPr>
          <w:i/>
          <w:iCs/>
          <w:szCs w:val="24"/>
          <w:lang w:eastAsia="ru-RU"/>
        </w:rPr>
        <w:instrText>":"</w:instrText>
      </w:r>
      <w:r w:rsidR="0089323F" w:rsidRPr="00062B4F">
        <w:rPr>
          <w:i/>
          <w:iCs/>
          <w:szCs w:val="24"/>
          <w:lang w:val="en-US" w:eastAsia="ru-RU"/>
        </w:rPr>
        <w:instrText>Blood</w:instrText>
      </w:r>
      <w:r w:rsidR="0089323F" w:rsidRPr="00062B4F">
        <w:rPr>
          <w:i/>
          <w:iCs/>
          <w:szCs w:val="24"/>
          <w:lang w:eastAsia="ru-RU"/>
        </w:rPr>
        <w:instrText>","</w:instrText>
      </w:r>
      <w:r w:rsidR="0089323F" w:rsidRPr="00062B4F">
        <w:rPr>
          <w:i/>
          <w:iCs/>
          <w:szCs w:val="24"/>
          <w:lang w:val="en-US" w:eastAsia="ru-RU"/>
        </w:rPr>
        <w:instrText>id</w:instrText>
      </w:r>
      <w:r w:rsidR="0089323F" w:rsidRPr="00062B4F">
        <w:rPr>
          <w:i/>
          <w:iCs/>
          <w:szCs w:val="24"/>
          <w:lang w:eastAsia="ru-RU"/>
        </w:rPr>
        <w:instrText>":"</w:instrText>
      </w:r>
      <w:r w:rsidR="0089323F" w:rsidRPr="00062B4F">
        <w:rPr>
          <w:i/>
          <w:iCs/>
          <w:szCs w:val="24"/>
          <w:lang w:val="en-US" w:eastAsia="ru-RU"/>
        </w:rPr>
        <w:instrText>ITEM</w:instrText>
      </w:r>
      <w:r w:rsidR="0089323F" w:rsidRPr="00062B4F">
        <w:rPr>
          <w:i/>
          <w:iCs/>
          <w:szCs w:val="24"/>
          <w:lang w:eastAsia="ru-RU"/>
        </w:rPr>
        <w:instrText>-1","</w:instrText>
      </w:r>
      <w:r w:rsidR="0089323F" w:rsidRPr="00062B4F">
        <w:rPr>
          <w:i/>
          <w:iCs/>
          <w:szCs w:val="24"/>
          <w:lang w:val="en-US" w:eastAsia="ru-RU"/>
        </w:rPr>
        <w:instrText>issue</w:instrText>
      </w:r>
      <w:r w:rsidR="0089323F" w:rsidRPr="00062B4F">
        <w:rPr>
          <w:i/>
          <w:iCs/>
          <w:szCs w:val="24"/>
          <w:lang w:eastAsia="ru-RU"/>
        </w:rPr>
        <w:instrText>":"8","</w:instrText>
      </w:r>
      <w:r w:rsidR="0089323F" w:rsidRPr="00062B4F">
        <w:rPr>
          <w:i/>
          <w:iCs/>
          <w:szCs w:val="24"/>
          <w:lang w:val="en-US" w:eastAsia="ru-RU"/>
        </w:rPr>
        <w:instrText>issued</w:instrText>
      </w:r>
      <w:r w:rsidR="0089323F" w:rsidRPr="00062B4F">
        <w:rPr>
          <w:i/>
          <w:iCs/>
          <w:szCs w:val="24"/>
          <w:lang w:eastAsia="ru-RU"/>
        </w:rPr>
        <w:instrText>":{"</w:instrText>
      </w:r>
      <w:r w:rsidR="0089323F" w:rsidRPr="00062B4F">
        <w:rPr>
          <w:i/>
          <w:iCs/>
          <w:szCs w:val="24"/>
          <w:lang w:val="en-US" w:eastAsia="ru-RU"/>
        </w:rPr>
        <w:instrText>date</w:instrText>
      </w:r>
      <w:r w:rsidR="0089323F" w:rsidRPr="00062B4F">
        <w:rPr>
          <w:i/>
          <w:iCs/>
          <w:szCs w:val="24"/>
          <w:lang w:eastAsia="ru-RU"/>
        </w:rPr>
        <w:instrText>-</w:instrText>
      </w:r>
      <w:r w:rsidR="0089323F" w:rsidRPr="00062B4F">
        <w:rPr>
          <w:i/>
          <w:iCs/>
          <w:szCs w:val="24"/>
          <w:lang w:val="en-US" w:eastAsia="ru-RU"/>
        </w:rPr>
        <w:instrText>parts</w:instrText>
      </w:r>
      <w:r w:rsidR="0089323F" w:rsidRPr="00062B4F">
        <w:rPr>
          <w:i/>
          <w:iCs/>
          <w:szCs w:val="24"/>
          <w:lang w:eastAsia="ru-RU"/>
        </w:rPr>
        <w:instrText>":[["2011","2"]]},"</w:instrText>
      </w:r>
      <w:r w:rsidR="0089323F" w:rsidRPr="00062B4F">
        <w:rPr>
          <w:i/>
          <w:iCs/>
          <w:szCs w:val="24"/>
          <w:lang w:val="en-US" w:eastAsia="ru-RU"/>
        </w:rPr>
        <w:instrText>page</w:instrText>
      </w:r>
      <w:r w:rsidR="0089323F" w:rsidRPr="00062B4F">
        <w:rPr>
          <w:i/>
          <w:iCs/>
          <w:szCs w:val="24"/>
          <w:lang w:eastAsia="ru-RU"/>
        </w:rPr>
        <w:instrText>":"</w:instrText>
      </w:r>
      <w:r w:rsidR="0089323F" w:rsidRPr="00062B4F">
        <w:rPr>
          <w:i/>
          <w:iCs/>
          <w:szCs w:val="24"/>
          <w:lang w:val="en-US" w:eastAsia="ru-RU"/>
        </w:rPr>
        <w:instrText>e</w:instrText>
      </w:r>
      <w:r w:rsidR="0089323F" w:rsidRPr="00062B4F">
        <w:rPr>
          <w:i/>
          <w:iCs/>
          <w:szCs w:val="24"/>
          <w:lang w:eastAsia="ru-RU"/>
        </w:rPr>
        <w:instrText>75-</w:instrText>
      </w:r>
      <w:r w:rsidR="0089323F" w:rsidRPr="00062B4F">
        <w:rPr>
          <w:i/>
          <w:iCs/>
          <w:szCs w:val="24"/>
          <w:lang w:val="en-US" w:eastAsia="ru-RU"/>
        </w:rPr>
        <w:instrText>e</w:instrText>
      </w:r>
      <w:r w:rsidR="0089323F" w:rsidRPr="00062B4F">
        <w:rPr>
          <w:i/>
          <w:iCs/>
          <w:szCs w:val="24"/>
          <w:lang w:eastAsia="ru-RU"/>
        </w:rPr>
        <w:instrText>87","</w:instrText>
      </w:r>
      <w:r w:rsidR="0089323F" w:rsidRPr="00062B4F">
        <w:rPr>
          <w:i/>
          <w:iCs/>
          <w:szCs w:val="24"/>
          <w:lang w:val="en-US" w:eastAsia="ru-RU"/>
        </w:rPr>
        <w:instrText>title</w:instrText>
      </w:r>
      <w:r w:rsidR="0089323F" w:rsidRPr="00062B4F">
        <w:rPr>
          <w:i/>
          <w:iCs/>
          <w:szCs w:val="24"/>
          <w:lang w:eastAsia="ru-RU"/>
        </w:rPr>
        <w:instrText>":"</w:instrText>
      </w:r>
      <w:r w:rsidR="0089323F" w:rsidRPr="00062B4F">
        <w:rPr>
          <w:i/>
          <w:iCs/>
          <w:szCs w:val="24"/>
          <w:lang w:val="en-US" w:eastAsia="ru-RU"/>
        </w:rPr>
        <w:instrText>Drug</w:instrText>
      </w:r>
      <w:r w:rsidR="0089323F" w:rsidRPr="00062B4F">
        <w:rPr>
          <w:i/>
          <w:iCs/>
          <w:szCs w:val="24"/>
          <w:lang w:eastAsia="ru-RU"/>
        </w:rPr>
        <w:instrText xml:space="preserve"> </w:instrText>
      </w:r>
      <w:r w:rsidR="0089323F" w:rsidRPr="00062B4F">
        <w:rPr>
          <w:i/>
          <w:iCs/>
          <w:szCs w:val="24"/>
          <w:lang w:val="en-US" w:eastAsia="ru-RU"/>
        </w:rPr>
        <w:instrText>interactions</w:instrText>
      </w:r>
      <w:r w:rsidR="0089323F" w:rsidRPr="00062B4F">
        <w:rPr>
          <w:i/>
          <w:iCs/>
          <w:szCs w:val="24"/>
          <w:lang w:eastAsia="ru-RU"/>
        </w:rPr>
        <w:instrText xml:space="preserve"> </w:instrText>
      </w:r>
      <w:r w:rsidR="0089323F" w:rsidRPr="00062B4F">
        <w:rPr>
          <w:i/>
          <w:iCs/>
          <w:szCs w:val="24"/>
          <w:lang w:val="en-US" w:eastAsia="ru-RU"/>
        </w:rPr>
        <w:instrText>with</w:instrText>
      </w:r>
      <w:r w:rsidR="0089323F" w:rsidRPr="00062B4F">
        <w:rPr>
          <w:i/>
          <w:iCs/>
          <w:szCs w:val="24"/>
          <w:lang w:eastAsia="ru-RU"/>
        </w:rPr>
        <w:instrText xml:space="preserve"> </w:instrText>
      </w:r>
      <w:r w:rsidR="0089323F" w:rsidRPr="00062B4F">
        <w:rPr>
          <w:i/>
          <w:iCs/>
          <w:szCs w:val="24"/>
          <w:lang w:val="en-US" w:eastAsia="ru-RU"/>
        </w:rPr>
        <w:instrText>the</w:instrText>
      </w:r>
      <w:r w:rsidR="0089323F" w:rsidRPr="00062B4F">
        <w:rPr>
          <w:i/>
          <w:iCs/>
          <w:szCs w:val="24"/>
          <w:lang w:eastAsia="ru-RU"/>
        </w:rPr>
        <w:instrText xml:space="preserve"> </w:instrText>
      </w:r>
      <w:r w:rsidR="0089323F" w:rsidRPr="00062B4F">
        <w:rPr>
          <w:i/>
          <w:iCs/>
          <w:szCs w:val="24"/>
          <w:lang w:val="en-US" w:eastAsia="ru-RU"/>
        </w:rPr>
        <w:instrText>tyrosine</w:instrText>
      </w:r>
      <w:r w:rsidR="0089323F" w:rsidRPr="00062B4F">
        <w:rPr>
          <w:i/>
          <w:iCs/>
          <w:szCs w:val="24"/>
          <w:lang w:eastAsia="ru-RU"/>
        </w:rPr>
        <w:instrText xml:space="preserve"> </w:instrText>
      </w:r>
      <w:r w:rsidR="0089323F" w:rsidRPr="00062B4F">
        <w:rPr>
          <w:i/>
          <w:iCs/>
          <w:szCs w:val="24"/>
          <w:lang w:val="en-US" w:eastAsia="ru-RU"/>
        </w:rPr>
        <w:instrText>kinase</w:instrText>
      </w:r>
      <w:r w:rsidR="0089323F" w:rsidRPr="00062B4F">
        <w:rPr>
          <w:i/>
          <w:iCs/>
          <w:szCs w:val="24"/>
          <w:lang w:eastAsia="ru-RU"/>
        </w:rPr>
        <w:instrText xml:space="preserve"> </w:instrText>
      </w:r>
      <w:r w:rsidR="0089323F" w:rsidRPr="00062B4F">
        <w:rPr>
          <w:i/>
          <w:iCs/>
          <w:szCs w:val="24"/>
          <w:lang w:val="en-US" w:eastAsia="ru-RU"/>
        </w:rPr>
        <w:instrText>inhibitors</w:instrText>
      </w:r>
      <w:r w:rsidR="0089323F" w:rsidRPr="00062B4F">
        <w:rPr>
          <w:i/>
          <w:iCs/>
          <w:szCs w:val="24"/>
          <w:lang w:eastAsia="ru-RU"/>
        </w:rPr>
        <w:instrText xml:space="preserve"> </w:instrText>
      </w:r>
      <w:r w:rsidR="0089323F" w:rsidRPr="00062B4F">
        <w:rPr>
          <w:i/>
          <w:iCs/>
          <w:szCs w:val="24"/>
          <w:lang w:val="en-US" w:eastAsia="ru-RU"/>
        </w:rPr>
        <w:instrText>imatinib</w:instrText>
      </w:r>
      <w:r w:rsidR="0089323F" w:rsidRPr="00062B4F">
        <w:rPr>
          <w:i/>
          <w:iCs/>
          <w:szCs w:val="24"/>
          <w:lang w:eastAsia="ru-RU"/>
        </w:rPr>
        <w:instrText xml:space="preserve">, </w:instrText>
      </w:r>
      <w:r w:rsidR="0089323F" w:rsidRPr="00062B4F">
        <w:rPr>
          <w:i/>
          <w:iCs/>
          <w:szCs w:val="24"/>
          <w:lang w:val="en-US" w:eastAsia="ru-RU"/>
        </w:rPr>
        <w:instrText>dasatinib</w:instrText>
      </w:r>
      <w:r w:rsidR="0089323F" w:rsidRPr="00062B4F">
        <w:rPr>
          <w:i/>
          <w:iCs/>
          <w:szCs w:val="24"/>
          <w:lang w:eastAsia="ru-RU"/>
        </w:rPr>
        <w:instrText xml:space="preserve">, </w:instrText>
      </w:r>
      <w:r w:rsidR="0089323F" w:rsidRPr="00062B4F">
        <w:rPr>
          <w:i/>
          <w:iCs/>
          <w:szCs w:val="24"/>
          <w:lang w:val="en-US" w:eastAsia="ru-RU"/>
        </w:rPr>
        <w:instrText>and</w:instrText>
      </w:r>
      <w:r w:rsidR="0089323F" w:rsidRPr="00062B4F">
        <w:rPr>
          <w:i/>
          <w:iCs/>
          <w:szCs w:val="24"/>
          <w:lang w:eastAsia="ru-RU"/>
        </w:rPr>
        <w:instrText xml:space="preserve"> </w:instrText>
      </w:r>
      <w:r w:rsidR="0089323F" w:rsidRPr="00062B4F">
        <w:rPr>
          <w:i/>
          <w:iCs/>
          <w:szCs w:val="24"/>
          <w:lang w:val="en-US" w:eastAsia="ru-RU"/>
        </w:rPr>
        <w:instrText>nilotinib</w:instrText>
      </w:r>
      <w:r w:rsidR="0089323F" w:rsidRPr="00062B4F">
        <w:rPr>
          <w:i/>
          <w:iCs/>
          <w:szCs w:val="24"/>
          <w:lang w:eastAsia="ru-RU"/>
        </w:rPr>
        <w:instrText>","</w:instrText>
      </w:r>
      <w:r w:rsidR="0089323F" w:rsidRPr="00062B4F">
        <w:rPr>
          <w:i/>
          <w:iCs/>
          <w:szCs w:val="24"/>
          <w:lang w:val="en-US" w:eastAsia="ru-RU"/>
        </w:rPr>
        <w:instrText>type</w:instrText>
      </w:r>
      <w:r w:rsidR="0089323F" w:rsidRPr="00062B4F">
        <w:rPr>
          <w:i/>
          <w:iCs/>
          <w:szCs w:val="24"/>
          <w:lang w:eastAsia="ru-RU"/>
        </w:rPr>
        <w:instrText>":"</w:instrText>
      </w:r>
      <w:r w:rsidR="0089323F" w:rsidRPr="00062B4F">
        <w:rPr>
          <w:i/>
          <w:iCs/>
          <w:szCs w:val="24"/>
          <w:lang w:val="en-US" w:eastAsia="ru-RU"/>
        </w:rPr>
        <w:instrText>article</w:instrText>
      </w:r>
      <w:r w:rsidR="0089323F" w:rsidRPr="00062B4F">
        <w:rPr>
          <w:i/>
          <w:iCs/>
          <w:szCs w:val="24"/>
          <w:lang w:eastAsia="ru-RU"/>
        </w:rPr>
        <w:instrText>-</w:instrText>
      </w:r>
      <w:r w:rsidR="0089323F" w:rsidRPr="00062B4F">
        <w:rPr>
          <w:i/>
          <w:iCs/>
          <w:szCs w:val="24"/>
          <w:lang w:val="en-US" w:eastAsia="ru-RU"/>
        </w:rPr>
        <w:instrText>journal</w:instrText>
      </w:r>
      <w:r w:rsidR="0089323F" w:rsidRPr="00062B4F">
        <w:rPr>
          <w:i/>
          <w:iCs/>
          <w:szCs w:val="24"/>
          <w:lang w:eastAsia="ru-RU"/>
        </w:rPr>
        <w:instrText>","</w:instrText>
      </w:r>
      <w:r w:rsidR="0089323F" w:rsidRPr="00062B4F">
        <w:rPr>
          <w:i/>
          <w:iCs/>
          <w:szCs w:val="24"/>
          <w:lang w:val="en-US" w:eastAsia="ru-RU"/>
        </w:rPr>
        <w:instrText>volume</w:instrText>
      </w:r>
      <w:r w:rsidR="0089323F" w:rsidRPr="00062B4F">
        <w:rPr>
          <w:i/>
          <w:iCs/>
          <w:szCs w:val="24"/>
          <w:lang w:eastAsia="ru-RU"/>
        </w:rPr>
        <w:instrText>":"117"},"</w:instrText>
      </w:r>
      <w:r w:rsidR="0089323F" w:rsidRPr="00062B4F">
        <w:rPr>
          <w:i/>
          <w:iCs/>
          <w:szCs w:val="24"/>
          <w:lang w:val="en-US" w:eastAsia="ru-RU"/>
        </w:rPr>
        <w:instrText>uris</w:instrText>
      </w:r>
      <w:r w:rsidR="0089323F" w:rsidRPr="00062B4F">
        <w:rPr>
          <w:i/>
          <w:iCs/>
          <w:szCs w:val="24"/>
          <w:lang w:eastAsia="ru-RU"/>
        </w:rPr>
        <w:instrText>":["</w:instrText>
      </w:r>
      <w:r w:rsidR="0089323F" w:rsidRPr="00062B4F">
        <w:rPr>
          <w:i/>
          <w:iCs/>
          <w:szCs w:val="24"/>
          <w:lang w:val="en-US" w:eastAsia="ru-RU"/>
        </w:rPr>
        <w:instrText>http</w:instrText>
      </w:r>
      <w:r w:rsidR="0089323F" w:rsidRPr="00062B4F">
        <w:rPr>
          <w:i/>
          <w:iCs/>
          <w:szCs w:val="24"/>
          <w:lang w:eastAsia="ru-RU"/>
        </w:rPr>
        <w:instrText>://</w:instrText>
      </w:r>
      <w:r w:rsidR="0089323F" w:rsidRPr="00062B4F">
        <w:rPr>
          <w:i/>
          <w:iCs/>
          <w:szCs w:val="24"/>
          <w:lang w:val="en-US" w:eastAsia="ru-RU"/>
        </w:rPr>
        <w:instrText>www</w:instrText>
      </w:r>
      <w:r w:rsidR="0089323F" w:rsidRPr="00062B4F">
        <w:rPr>
          <w:i/>
          <w:iCs/>
          <w:szCs w:val="24"/>
          <w:lang w:eastAsia="ru-RU"/>
        </w:rPr>
        <w:instrText>.</w:instrText>
      </w:r>
      <w:r w:rsidR="0089323F" w:rsidRPr="00062B4F">
        <w:rPr>
          <w:i/>
          <w:iCs/>
          <w:szCs w:val="24"/>
          <w:lang w:val="en-US" w:eastAsia="ru-RU"/>
        </w:rPr>
        <w:instrText>mendeley</w:instrText>
      </w:r>
      <w:r w:rsidR="0089323F" w:rsidRPr="00062B4F">
        <w:rPr>
          <w:i/>
          <w:iCs/>
          <w:szCs w:val="24"/>
          <w:lang w:eastAsia="ru-RU"/>
        </w:rPr>
        <w:instrText>.</w:instrText>
      </w:r>
      <w:r w:rsidR="0089323F" w:rsidRPr="00062B4F">
        <w:rPr>
          <w:i/>
          <w:iCs/>
          <w:szCs w:val="24"/>
          <w:lang w:val="en-US" w:eastAsia="ru-RU"/>
        </w:rPr>
        <w:instrText>com</w:instrText>
      </w:r>
      <w:r w:rsidR="0089323F" w:rsidRPr="00062B4F">
        <w:rPr>
          <w:i/>
          <w:iCs/>
          <w:szCs w:val="24"/>
          <w:lang w:eastAsia="ru-RU"/>
        </w:rPr>
        <w:instrText>/</w:instrText>
      </w:r>
      <w:r w:rsidR="0089323F" w:rsidRPr="00062B4F">
        <w:rPr>
          <w:i/>
          <w:iCs/>
          <w:szCs w:val="24"/>
          <w:lang w:val="en-US" w:eastAsia="ru-RU"/>
        </w:rPr>
        <w:instrText>documents</w:instrText>
      </w:r>
      <w:r w:rsidR="0089323F" w:rsidRPr="00062B4F">
        <w:rPr>
          <w:i/>
          <w:iCs/>
          <w:szCs w:val="24"/>
          <w:lang w:eastAsia="ru-RU"/>
        </w:rPr>
        <w:instrText>/?</w:instrText>
      </w:r>
      <w:r w:rsidR="0089323F" w:rsidRPr="00062B4F">
        <w:rPr>
          <w:i/>
          <w:iCs/>
          <w:szCs w:val="24"/>
          <w:lang w:val="en-US" w:eastAsia="ru-RU"/>
        </w:rPr>
        <w:instrText>uuid</w:instrText>
      </w:r>
      <w:r w:rsidR="0089323F" w:rsidRPr="00062B4F">
        <w:rPr>
          <w:i/>
          <w:iCs/>
          <w:szCs w:val="24"/>
          <w:lang w:eastAsia="ru-RU"/>
        </w:rPr>
        <w:instrText>=03</w:instrText>
      </w:r>
      <w:r w:rsidR="0089323F" w:rsidRPr="00062B4F">
        <w:rPr>
          <w:i/>
          <w:iCs/>
          <w:szCs w:val="24"/>
          <w:lang w:val="en-US" w:eastAsia="ru-RU"/>
        </w:rPr>
        <w:instrText>c</w:instrText>
      </w:r>
      <w:r w:rsidR="0089323F" w:rsidRPr="00062B4F">
        <w:rPr>
          <w:i/>
          <w:iCs/>
          <w:szCs w:val="24"/>
          <w:lang w:eastAsia="ru-RU"/>
        </w:rPr>
        <w:instrText>78</w:instrText>
      </w:r>
      <w:r w:rsidR="0089323F" w:rsidRPr="00062B4F">
        <w:rPr>
          <w:i/>
          <w:iCs/>
          <w:szCs w:val="24"/>
          <w:lang w:val="en-US" w:eastAsia="ru-RU"/>
        </w:rPr>
        <w:instrText>eaa</w:instrText>
      </w:r>
      <w:r w:rsidR="0089323F" w:rsidRPr="00062B4F">
        <w:rPr>
          <w:i/>
          <w:iCs/>
          <w:szCs w:val="24"/>
          <w:lang w:eastAsia="ru-RU"/>
        </w:rPr>
        <w:instrText>-</w:instrText>
      </w:r>
      <w:r w:rsidR="0089323F" w:rsidRPr="00062B4F">
        <w:rPr>
          <w:i/>
          <w:iCs/>
          <w:szCs w:val="24"/>
          <w:lang w:val="en-US" w:eastAsia="ru-RU"/>
        </w:rPr>
        <w:instrText>d</w:instrText>
      </w:r>
      <w:r w:rsidR="0089323F" w:rsidRPr="00062B4F">
        <w:rPr>
          <w:i/>
          <w:iCs/>
          <w:szCs w:val="24"/>
          <w:lang w:eastAsia="ru-RU"/>
        </w:rPr>
        <w:instrText>74</w:instrText>
      </w:r>
      <w:r w:rsidR="0089323F" w:rsidRPr="00062B4F">
        <w:rPr>
          <w:i/>
          <w:iCs/>
          <w:szCs w:val="24"/>
          <w:lang w:val="en-US" w:eastAsia="ru-RU"/>
        </w:rPr>
        <w:instrText>a</w:instrText>
      </w:r>
      <w:r w:rsidR="0089323F" w:rsidRPr="00062B4F">
        <w:rPr>
          <w:i/>
          <w:iCs/>
          <w:szCs w:val="24"/>
          <w:lang w:eastAsia="ru-RU"/>
        </w:rPr>
        <w:instrText>-4686-96</w:instrText>
      </w:r>
      <w:r w:rsidR="0089323F" w:rsidRPr="00062B4F">
        <w:rPr>
          <w:i/>
          <w:iCs/>
          <w:szCs w:val="24"/>
          <w:lang w:val="en-US" w:eastAsia="ru-RU"/>
        </w:rPr>
        <w:instrText>cf</w:instrText>
      </w:r>
      <w:r w:rsidR="0089323F" w:rsidRPr="00062B4F">
        <w:rPr>
          <w:i/>
          <w:iCs/>
          <w:szCs w:val="24"/>
          <w:lang w:eastAsia="ru-RU"/>
        </w:rPr>
        <w:instrText>-98</w:instrText>
      </w:r>
      <w:r w:rsidR="0089323F" w:rsidRPr="00062B4F">
        <w:rPr>
          <w:i/>
          <w:iCs/>
          <w:szCs w:val="24"/>
          <w:lang w:val="en-US" w:eastAsia="ru-RU"/>
        </w:rPr>
        <w:instrText>f</w:instrText>
      </w:r>
      <w:r w:rsidR="0089323F" w:rsidRPr="00062B4F">
        <w:rPr>
          <w:i/>
          <w:iCs/>
          <w:szCs w:val="24"/>
          <w:lang w:eastAsia="ru-RU"/>
        </w:rPr>
        <w:instrText>88</w:instrText>
      </w:r>
      <w:r w:rsidR="0089323F" w:rsidRPr="00062B4F">
        <w:rPr>
          <w:i/>
          <w:iCs/>
          <w:szCs w:val="24"/>
          <w:lang w:val="en-US" w:eastAsia="ru-RU"/>
        </w:rPr>
        <w:instrText>f</w:instrText>
      </w:r>
      <w:r w:rsidR="0089323F" w:rsidRPr="00062B4F">
        <w:rPr>
          <w:i/>
          <w:iCs/>
          <w:szCs w:val="24"/>
          <w:lang w:eastAsia="ru-RU"/>
        </w:rPr>
        <w:instrText>76</w:instrText>
      </w:r>
      <w:r w:rsidR="0089323F" w:rsidRPr="00062B4F">
        <w:rPr>
          <w:i/>
          <w:iCs/>
          <w:szCs w:val="24"/>
          <w:lang w:val="en-US" w:eastAsia="ru-RU"/>
        </w:rPr>
        <w:instrText>ff</w:instrText>
      </w:r>
      <w:r w:rsidR="0089323F" w:rsidRPr="00062B4F">
        <w:rPr>
          <w:i/>
          <w:iCs/>
          <w:szCs w:val="24"/>
          <w:lang w:eastAsia="ru-RU"/>
        </w:rPr>
        <w:instrText>3</w:instrText>
      </w:r>
      <w:r w:rsidR="0089323F" w:rsidRPr="00062B4F">
        <w:rPr>
          <w:i/>
          <w:iCs/>
          <w:szCs w:val="24"/>
          <w:lang w:val="en-US" w:eastAsia="ru-RU"/>
        </w:rPr>
        <w:instrText>d</w:instrText>
      </w:r>
      <w:r w:rsidR="0089323F" w:rsidRPr="00062B4F">
        <w:rPr>
          <w:i/>
          <w:iCs/>
          <w:szCs w:val="24"/>
          <w:lang w:eastAsia="ru-RU"/>
        </w:rPr>
        <w:instrText>"]}],"</w:instrText>
      </w:r>
      <w:r w:rsidR="0089323F" w:rsidRPr="00062B4F">
        <w:rPr>
          <w:i/>
          <w:iCs/>
          <w:szCs w:val="24"/>
          <w:lang w:val="en-US" w:eastAsia="ru-RU"/>
        </w:rPr>
        <w:instrText>mendeley</w:instrText>
      </w:r>
      <w:r w:rsidR="0089323F" w:rsidRPr="00062B4F">
        <w:rPr>
          <w:i/>
          <w:iCs/>
          <w:szCs w:val="24"/>
          <w:lang w:eastAsia="ru-RU"/>
        </w:rPr>
        <w:instrText>":{"</w:instrText>
      </w:r>
      <w:r w:rsidR="0089323F" w:rsidRPr="00062B4F">
        <w:rPr>
          <w:i/>
          <w:iCs/>
          <w:szCs w:val="24"/>
          <w:lang w:val="en-US" w:eastAsia="ru-RU"/>
        </w:rPr>
        <w:instrText>formattedCitation</w:instrText>
      </w:r>
      <w:r w:rsidR="0089323F" w:rsidRPr="00062B4F">
        <w:rPr>
          <w:i/>
          <w:iCs/>
          <w:szCs w:val="24"/>
          <w:lang w:eastAsia="ru-RU"/>
        </w:rPr>
        <w:instrText>":"[43]","</w:instrText>
      </w:r>
      <w:r w:rsidR="0089323F" w:rsidRPr="00062B4F">
        <w:rPr>
          <w:i/>
          <w:iCs/>
          <w:szCs w:val="24"/>
          <w:lang w:val="en-US" w:eastAsia="ru-RU"/>
        </w:rPr>
        <w:instrText>plainTextFormattedCitation</w:instrText>
      </w:r>
      <w:r w:rsidR="0089323F" w:rsidRPr="00062B4F">
        <w:rPr>
          <w:i/>
          <w:iCs/>
          <w:szCs w:val="24"/>
          <w:lang w:eastAsia="ru-RU"/>
        </w:rPr>
        <w:instrText>":"[43]","</w:instrText>
      </w:r>
      <w:r w:rsidR="0089323F" w:rsidRPr="00062B4F">
        <w:rPr>
          <w:i/>
          <w:iCs/>
          <w:szCs w:val="24"/>
          <w:lang w:val="en-US" w:eastAsia="ru-RU"/>
        </w:rPr>
        <w:instrText>previouslyFormattedCitation</w:instrText>
      </w:r>
      <w:r w:rsidR="0089323F" w:rsidRPr="00062B4F">
        <w:rPr>
          <w:i/>
          <w:iCs/>
          <w:szCs w:val="24"/>
          <w:lang w:eastAsia="ru-RU"/>
        </w:rPr>
        <w:instrText>":"[43]"},"</w:instrText>
      </w:r>
      <w:r w:rsidR="0089323F" w:rsidRPr="00062B4F">
        <w:rPr>
          <w:i/>
          <w:iCs/>
          <w:szCs w:val="24"/>
          <w:lang w:val="en-US" w:eastAsia="ru-RU"/>
        </w:rPr>
        <w:instrText>properties</w:instrText>
      </w:r>
      <w:r w:rsidR="0089323F" w:rsidRPr="00062B4F">
        <w:rPr>
          <w:i/>
          <w:iCs/>
          <w:szCs w:val="24"/>
          <w:lang w:eastAsia="ru-RU"/>
        </w:rPr>
        <w:instrText>":{"</w:instrText>
      </w:r>
      <w:r w:rsidR="0089323F" w:rsidRPr="00062B4F">
        <w:rPr>
          <w:i/>
          <w:iCs/>
          <w:szCs w:val="24"/>
          <w:lang w:val="en-US" w:eastAsia="ru-RU"/>
        </w:rPr>
        <w:instrText>noteIndex</w:instrText>
      </w:r>
      <w:r w:rsidR="0089323F" w:rsidRPr="00062B4F">
        <w:rPr>
          <w:i/>
          <w:iCs/>
          <w:szCs w:val="24"/>
          <w:lang w:eastAsia="ru-RU"/>
        </w:rPr>
        <w:instrText>":0},"</w:instrText>
      </w:r>
      <w:r w:rsidR="0089323F" w:rsidRPr="00062B4F">
        <w:rPr>
          <w:i/>
          <w:iCs/>
          <w:szCs w:val="24"/>
          <w:lang w:val="en-US" w:eastAsia="ru-RU"/>
        </w:rPr>
        <w:instrText>schema</w:instrText>
      </w:r>
      <w:r w:rsidR="0089323F" w:rsidRPr="00062B4F">
        <w:rPr>
          <w:i/>
          <w:iCs/>
          <w:szCs w:val="24"/>
          <w:lang w:eastAsia="ru-RU"/>
        </w:rPr>
        <w:instrText>":"</w:instrText>
      </w:r>
      <w:r w:rsidR="0089323F" w:rsidRPr="00062B4F">
        <w:rPr>
          <w:i/>
          <w:iCs/>
          <w:szCs w:val="24"/>
          <w:lang w:val="en-US" w:eastAsia="ru-RU"/>
        </w:rPr>
        <w:instrText>https</w:instrText>
      </w:r>
      <w:r w:rsidR="0089323F" w:rsidRPr="00062B4F">
        <w:rPr>
          <w:i/>
          <w:iCs/>
          <w:szCs w:val="24"/>
          <w:lang w:eastAsia="ru-RU"/>
        </w:rPr>
        <w:instrText>://</w:instrText>
      </w:r>
      <w:r w:rsidR="0089323F" w:rsidRPr="00062B4F">
        <w:rPr>
          <w:i/>
          <w:iCs/>
          <w:szCs w:val="24"/>
          <w:lang w:val="en-US" w:eastAsia="ru-RU"/>
        </w:rPr>
        <w:instrText>github</w:instrText>
      </w:r>
      <w:r w:rsidR="0089323F" w:rsidRPr="00062B4F">
        <w:rPr>
          <w:i/>
          <w:iCs/>
          <w:szCs w:val="24"/>
          <w:lang w:eastAsia="ru-RU"/>
        </w:rPr>
        <w:instrText>.</w:instrText>
      </w:r>
      <w:r w:rsidR="0089323F" w:rsidRPr="00062B4F">
        <w:rPr>
          <w:i/>
          <w:iCs/>
          <w:szCs w:val="24"/>
          <w:lang w:val="en-US" w:eastAsia="ru-RU"/>
        </w:rPr>
        <w:instrText>com</w:instrText>
      </w:r>
      <w:r w:rsidR="0089323F" w:rsidRPr="00062B4F">
        <w:rPr>
          <w:i/>
          <w:iCs/>
          <w:szCs w:val="24"/>
          <w:lang w:eastAsia="ru-RU"/>
        </w:rPr>
        <w:instrText>/</w:instrText>
      </w:r>
      <w:r w:rsidR="0089323F" w:rsidRPr="00062B4F">
        <w:rPr>
          <w:i/>
          <w:iCs/>
          <w:szCs w:val="24"/>
          <w:lang w:val="en-US" w:eastAsia="ru-RU"/>
        </w:rPr>
        <w:instrText>citation-style-language/schema/raw/master/csl-citation.json"}</w:instrText>
      </w:r>
      <w:r w:rsidR="00D6082E" w:rsidRPr="00062B4F">
        <w:rPr>
          <w:i/>
          <w:iCs/>
          <w:szCs w:val="24"/>
          <w:lang w:val="en-US" w:eastAsia="ru-RU"/>
        </w:rPr>
        <w:fldChar w:fldCharType="separate"/>
      </w:r>
      <w:r w:rsidR="00CE7A32" w:rsidRPr="00062B4F">
        <w:rPr>
          <w:iCs/>
          <w:noProof/>
          <w:szCs w:val="24"/>
          <w:lang w:eastAsia="ru-RU"/>
        </w:rPr>
        <w:t>[43]</w:t>
      </w:r>
      <w:r w:rsidR="00D6082E" w:rsidRPr="00062B4F">
        <w:rPr>
          <w:i/>
          <w:iCs/>
          <w:szCs w:val="24"/>
          <w:lang w:val="en-US" w:eastAsia="ru-RU"/>
        </w:rPr>
        <w:fldChar w:fldCharType="end"/>
      </w:r>
      <w:r w:rsidR="00D6082E" w:rsidRPr="00062B4F">
        <w:rPr>
          <w:i/>
          <w:iCs/>
          <w:szCs w:val="24"/>
          <w:lang w:eastAsia="ru-RU"/>
        </w:rPr>
        <w:t>.</w:t>
      </w:r>
    </w:p>
    <w:p w14:paraId="24F9F844" w14:textId="64E653C2" w:rsidR="00925D5F" w:rsidRDefault="00925D5F" w:rsidP="00505FD7">
      <w:pPr>
        <w:numPr>
          <w:ilvl w:val="0"/>
          <w:numId w:val="32"/>
        </w:numPr>
        <w:ind w:left="714" w:hanging="357"/>
      </w:pPr>
      <w:r>
        <w:rPr>
          <w:b/>
          <w:bCs/>
          <w:iCs/>
          <w:szCs w:val="24"/>
          <w:lang w:eastAsia="ru-RU"/>
        </w:rPr>
        <w:t xml:space="preserve">Рекомендуется </w:t>
      </w:r>
      <w:r>
        <w:rPr>
          <w:iCs/>
          <w:szCs w:val="24"/>
          <w:lang w:eastAsia="ru-RU"/>
        </w:rPr>
        <w:t>выбор ИТК при терапии ХМЛ с учетом мутаций ген</w:t>
      </w:r>
      <w:r w:rsidRPr="006816A9">
        <w:rPr>
          <w:iCs/>
          <w:szCs w:val="24"/>
          <w:lang w:eastAsia="ru-RU"/>
        </w:rPr>
        <w:t xml:space="preserve">а </w:t>
      </w:r>
      <w:r w:rsidRPr="006816A9">
        <w:rPr>
          <w:i/>
          <w:szCs w:val="24"/>
          <w:lang w:eastAsia="ru-RU"/>
        </w:rPr>
        <w:t>BCR::ABL</w:t>
      </w:r>
      <w:r w:rsidRPr="006816A9">
        <w:rPr>
          <w:i/>
          <w:iCs/>
          <w:szCs w:val="24"/>
          <w:lang w:eastAsia="ru-RU"/>
        </w:rPr>
        <w:t xml:space="preserve">1 </w:t>
      </w:r>
      <w:r w:rsidR="006816A9" w:rsidRPr="006816A9">
        <w:rPr>
          <w:iCs/>
          <w:szCs w:val="24"/>
          <w:lang w:eastAsia="ru-RU"/>
        </w:rPr>
        <w:t>по результатам</w:t>
      </w:r>
      <w:r w:rsidRPr="006816A9">
        <w:rPr>
          <w:i/>
          <w:iCs/>
          <w:szCs w:val="24"/>
          <w:lang w:eastAsia="ru-RU"/>
        </w:rPr>
        <w:t xml:space="preserve"> </w:t>
      </w:r>
      <w:r w:rsidR="006816A9" w:rsidRPr="006816A9">
        <w:t>м</w:t>
      </w:r>
      <w:r w:rsidRPr="006816A9">
        <w:t>олекулярно-генетическо</w:t>
      </w:r>
      <w:r w:rsidR="00AA3586" w:rsidRPr="006816A9">
        <w:t>го</w:t>
      </w:r>
      <w:r w:rsidRPr="006816A9">
        <w:t xml:space="preserve"> исследовани</w:t>
      </w:r>
      <w:r w:rsidR="00AA3586" w:rsidRPr="006816A9">
        <w:t>я</w:t>
      </w:r>
      <w:r w:rsidRPr="006816A9">
        <w:t xml:space="preserve"> точечных мутаций гена </w:t>
      </w:r>
      <w:proofErr w:type="spellStart"/>
      <w:r w:rsidRPr="006816A9">
        <w:t>bcr-abl</w:t>
      </w:r>
      <w:proofErr w:type="spellEnd"/>
      <w:r w:rsidRPr="006816A9">
        <w:t xml:space="preserve"> (химерный ген, образованный слиянием области кластера разрывов на 22 хромосоме и гена тирозин-</w:t>
      </w:r>
      <w:proofErr w:type="spellStart"/>
      <w:r w:rsidRPr="006816A9">
        <w:t>киназы</w:t>
      </w:r>
      <w:proofErr w:type="spellEnd"/>
      <w:r w:rsidRPr="006816A9">
        <w:t xml:space="preserve"> </w:t>
      </w:r>
      <w:proofErr w:type="spellStart"/>
      <w:r w:rsidRPr="006816A9">
        <w:t>Абельсона</w:t>
      </w:r>
      <w:proofErr w:type="spellEnd"/>
      <w:r w:rsidRPr="006816A9">
        <w:t xml:space="preserve"> на 9 хромосоме)</w:t>
      </w:r>
      <w:r w:rsidRPr="006816A9">
        <w:rPr>
          <w:i/>
          <w:iCs/>
          <w:szCs w:val="24"/>
          <w:lang w:eastAsia="ru-RU"/>
        </w:rPr>
        <w:t xml:space="preserve"> </w:t>
      </w:r>
      <w:r w:rsidRPr="00765345">
        <w:fldChar w:fldCharType="begin"/>
      </w:r>
      <w:r w:rsidRPr="00765345">
        <w:instrText>ADDIN CSL_CITATION {"citationItems":[{"id":"ITEM-1","itemData":{"DOI":"10.18553/jmcp.2015.21.2.114","ISSN":"2376-0540","author":[{"dropping-particle":"","family":"Ursan","given":"Iulia D.","non-dropping-particle":"","parse-names":false,"suffix":""},{"dropping-particle":"","family":"Jiang","given":"Ruixuan","non-dropping-particle":"","parse-names":false,"suffix":""},{"dropping-particle":"","family":"Pickard","given":"Evan M.","non-dropping-particle":"","parse-names":false,"suffix":""},{"dropping-particle":"","family":"Lee","given":"Todd A.","non-dropping-particle":"","parse-names":false,"suffix":""},{"dropping-particle":"","family":"Ng","given":"Daniel","non-dropping-particle":"","parse-names":false,"suffix":""},{"dropping-particle":"","family":"Pickard","given":"A. Simon","non-dropping-particle":"","parse-names":false,"suffix":""}],"container-title":"Journal of Managed Care &amp; Specialty Pharmacy","id":"ITEM-1","issue":"2","issued":{"date-parts":[["2015","2"]]},"page":"114-122","title":"Emergence of BCR-ABL Kinase Domain Mutations Associated with Newly Diagnosed Chronic Myeloid Leukemia: A Meta-Analysis of Clinical Trials of Tyrosine Kinase Inhibitors","type":"article-journal","volume":"21"},"uris":["http://www.mendeley.com/documents/?uuid=87833868-5ca2-3cbc-ba9f-b6e28eb9d856"]},{"id":"ITEM-2","itemData":{"DOI":"10.1182/blood-2002-09-2896","ISSN":"00064971","abstract":"Imatinib-treated chronic myeloid leukemia (CML) patients with acquired resistance commonly have detectable BCR-ABL kinase domain mutations. It is unclear whether patients who remain sensitive to imatinib also have a significant incidence of mutations. We evaluated 144 patients treated with imatinib for BCR-ABL kinase domain mutations by direct sequencing of 40 accelerated phase (AP), 64 late chronic phase (≥ 12 months from diagnosis, late-CP), and 40 early-CP patients. Mutations were detected in 27 patients at 17 different residues, 13 (33%) of 40 in AP, 14 (22%) of 64 in late-CP, and 0 of 40 in early-CP. Acquired resistance was evident in 24 (89%) of 27 patients with mutations. Twelve (92%) of 13 patients with mutations in the adenosine triphosphate (ATP) binding loop (P-loop) died (median survival of 4.5 months after the mutation was detected). In contrast, only 3 (21%) of 14 patients with mutations outside the P-loop died (median follow-up of 11 months). As the detection of mutations was strongly associated with imatinib resistance, we analyzed features that predicted for their detection. Patients who commenced imatinib more than 4 years from diagnosis had a significantly higher incidence of mutations (18 [41%] of 44) compared with those treated within 4 years (9 [9%] of 100), P &lt; .0001. Lack of a major cytogenetic response (MCR) was also associated with a higher likelihood of detecting a mutation; 19 (38%) of 50 patients without a MCR had mutations compared with 8 (8.5%) of 94 with an MCR, P &lt; .0001. In conclusion, the detection of kinase domain mutations using a direct sequencing technique was almost always associated with imatinib resistance, and patients with mutations in the P-loop had a particularly poor prognosis. © 2003 by The American Society of Hematology.","author":[{"dropping-particle":"","family":"Branford","given":"Susan","non-dropping-particle":"","parse-names":false,"suffix":""},{"dropping-particle":"","family":"Rudzki","given":"Zbigniew","non-dropping-particle":"","parse-names":false,"suffix":""},{"dropping-particle":"","family":"Walsh","given":"Sonya","non-dropping-particle":"","parse-names":false,"suffix":""},{"dropping-particle":"","family":"Parkinson","given":"Ian","non-dropping-particle":"","parse-names":false,"suffix":""},{"dropping-particle":"","family":"Grigg","given":"Andrew","non-dropping-particle":"","parse-names":false,"suffix":""},{"dropping-particle":"","family":"Szer","given":"Jeff","non-dropping-particle":"","parse-names":false,"suffix":""},{"dropping-particle":"","family":"Taylor","given":"Kerry","non-dropping-particle":"","parse-names":false,"suffix":""},{"dropping-particle":"","family":"Herrmann","given":"Richard","non-dropping-particle":"","parse-names":false,"suffix":""},{"dropping-particle":"","family":"Seymour","given":"John F.","non-dropping-particle":"","parse-names":false,"suffix":""},{"dropping-particle":"","family":"Arthur","given":"Chris","non-dropping-particle":"","parse-names":false,"suffix":""},{"dropping-particle":"","family":"Joske","given":"David","non-dropping-particle":"","parse-names":false,"suffix":""},{"dropping-particle":"","family":"Lynch","given":"Kevin","non-dropping-particle":"","parse-names":false,"suffix":""},{"dropping-particle":"","family":"Hughes","given":"Tim","non-dropping-particle":"","parse-names":false,"suffix":""}],"container-title":"Blood","id":"ITEM-2","issue":"1","issued":{"date-parts":[["2003","7","1"]]},"page":"276-283","publisher":"American Society of Hematology","title":"Detection of BCR-ABL mutations in patients with CML treated with imatinib is virtually always accompanied by clinical resistance, and mutations in the ATP phosphate-binding loop (P-loop) are associated with a poor prognosis","type":"article-journal","volume":"102"},"uris":["http://www.mendeley.com/documents/?uuid=7d568c38-138c-334d-abe3-e1ef77608ed3"]},{"id":"ITEM-3","itemData":{"DOI":"10.1200/JCO.2005.05.531","ISSN":"0732-183X","PMID":"15867198","abstract":"PURPOSE Point mutations within the ABL kinase domain of the BCR-ABL gene have been associated with clinical resistance to imatinib mesylate in chronic myeloid leukemia (CML) patients. To shed further light on the frequency, distribution, and prognostic significance of ABL mutations, we retrospectively analyzed a homogeneous cohort of late chronic phase CML patients who showed primary cytogenetic resistance to imatinib. PATIENTS AND METHODS Using denaturing high-performance liquid chromatography (D-HPLC) and sequencing, we screened for ABL mutations in a total of 178 bone marrow and/or peripheral blood samples from 40 late chronic phase CML patients homogeneously treated with imatinib 400 mg/d, who did not reach a major cytogenetic response at 12 months. RESULTS Mutations were found in 19 of 40 patients (48%). Mutations were already detectable by D-HPLC at a median of 3 months from the onset of therapy. The presence of a missense mutation was significantly associated with a greater likelihood of subsequent progression to accelerated phase/blast crisis (P = .0002) and shorter survival (P = .001). Patients carrying mutations falling within the P-loop seemed to have a particularly poor outcome in terms of time to progression (P = .032) and survival (P = .045). CONCLUSION Our results show that, irrespective of the hematologic response, monitoring for emerging mutations in the first months of therapy may play a role in detecting patients with worse prognosis, for whom a revision of the therapeutic strategy should be considered.","author":[{"dropping-particle":"","family":"Soverini","given":"Simona","non-dropping-particle":"","parse-names":false,"suffix":""},{"dropping-particle":"","family":"Martinelli","given":"Giovanni","non-dropping-particle":"","parse-names":false,"suffix":""},{"dropping-particle":"","family":"Rosti","given":"Gianantonio","non-dropping-particle":"","parse-names":false,"suffix":""},{"dropping-particle":"","family":"Bassi","given":"Simona","non-dropping-particle":"","parse-names":false,"suffix":""},{"dropping-particle":"","family":"Amabile","given":"Marilina","non-dropping-particle":"","parse-names":false,"suffix":""},{"dropping-particle":"","family":"Poerio","given":"Angela","non-dropping-particle":"","parse-names":false,"suffix":""},{"dropping-particle":"","family":"Giannini","given":"Barbara","non-dropping-particle":"","parse-names":false,"suffix":""},{"dropping-particle":"","family":"Trabacchi","given":"Elena","non-dropping-particle":"","parse-names":false,"suffix":""},{"dropping-particle":"","family":"Castagnetti","given":"Fausto","non-dropping-particle":"","parse-names":false,"suffix":""},{"dropping-particle":"","family":"Testoni","given":"Nicoletta","non-dropping-particle":"","parse-names":false,"suffix":""},{"dropping-particle":"","family":"Luatti","given":"Simona","non-dropping-particle":"","parse-names":false,"suffix":""},{"dropping-particle":"","family":"Vivo","given":"Antonio","non-dropping-particle":"de","parse-names":false,"suffix":""},{"dropping-particle":"","family":"Cilloni","given":"Daniela","non-dropping-particle":"","parse-names":false,"suffix":""},{"dropping-particle":"","family":"Izzo","given":"Barbara","non-dropping-particle":"","parse-names":false,"suffix":""},{"dropping-particle":"","family":"Fava","given":"Milena","non-dropping-particle":"","parse-names":false,"suffix":""},{"dropping-particle":"","family":"Abruzzese","given":"Elisabetta","non-dropping-particle":"","parse-names":false,"suffix":""},{"dropping-particle":"","family":"Alberti","given":"Daniele","non-dropping-particle":"","parse-names":false,"suffix":""},{"dropping-particle":"","family":"Pane","given":"Fabrizio","non-dropping-particle":"","parse-names":false,"suffix":""},{"dropping-particle":"","family":"Saglio","given":"Giuseppe","non-dropping-particle":"","parse-names":false,"suffix":""},{"dropping-particle":"","family":"Baccarani","given":"Michele","non-dropping-particle":"","parse-names":false,"suffix":""}],"container-title":"Journal of clinical oncology : official journal of the American Society of Clinical Oncology","id":"ITEM-3","issue":"18","issued":{"date-parts":[["2005","6","20"]]},"page":"4100-9","title":"ABL mutations in late chronic phase chronic myeloid leukemia patients with up-front cytogenetic resistance to imatinib are associated with a greater likelihood of progression to blast crisis and shorter survival: a study by the GIMEMA Working Party on Chronic Myeloid Leukemia.","type":"article-journal","volume":"23"},"uris":["http://www.mendeley.com/documents/?uuid=5fa375a0-4324-3388-9656-0a46250d3a89"]},{"id":"ITEM-4","itemData":{"DOI":"10.1038/sj.leu.2404236","ISSN":"14765551","abstract":"The emergence of ABL point mutations is the most frequent cause for imatinib resistance in chronic myelogenous leukemia (CML) patients and can occur during any phase of the disease; however, their clinical impact remains controversial. In this study, we retrospectively analyzed the predictive impact of 94 BCR-ABL kinase domain mutations (18 T315I, 26 P-loop, 50 in other sites) found in 89 imatinib-resistant CML patients. At imatinib onset, 64% of patients (57/89) were in chronic phase (CP), 24% (21/89) in accelerated phase (AP) and 12% (11/89) in blastic phase (BP). T315I and P-loop mutations were preferentially discovered in accelerated phase of BP CML, and other types of mutations in CP (P = 0.003). With a median follow-up of 39.2 months (6.3-67.2), since imatinib initiation, overall survival (OS) was significantly worse for P-loop (28.3 months) and for T315I (12.6 months), and not reached for other mutations (P = 0.0004). For CP only, multivariate analysis demonstrated a worse OS for P-loop mutations (P = 0.014), and a worse progression-free survival (PFS) for T315I mutations (P = 0.014). Therefore, P-loop and T315I mutations selectively impair the outcome of imatinib-resistant CML patients, in contrast to other mutations, which may benefit from dose escalation of imatinib, able to improve or stabilize disease response. © 2006 Nature Publishing Group. All rights reserved.","author":[{"dropping-particle":"","family":"Nicolini","given":"F. E.","non-dropping-particle":"","parse-names":false,"suffix":""},{"dropping-particle":"","family":"Corm","given":"S.","non-dropping-particle":"","parse-names":false,"suffix":""},{"dropping-particle":"","family":"Lê","given":"Q. H.","non-dropping-particle":"","parse-names":false,"suffix":""},{"dropping-particle":"","family":"Sorel","given":"N.","non-dropping-particle":"","parse-names":false,"suffix":""},{"dropping-particle":"","family":"Hayette","given":"S.","non-dropping-particle":"","parse-names":false,"suffix":""},{"dropping-particle":"","family":"Bories","given":"D.","non-dropping-particle":"","parse-names":false,"suffix":""},{"dropping-particle":"","family":"Leguay","given":"T.","non-dropping-particle":"","parse-names":false,"suffix":""},{"dropping-particle":"","family":"Roy","given":"L.","non-dropping-particle":"","parse-names":false,"suffix":""},{"dropping-particle":"","family":"Giraudier","given":"S.","non-dropping-particle":"","parse-names":false,"suffix":""},{"dropping-particle":"","family":"Tulliez","given":"M.","non-dropping-particle":"","parse-names":false,"suffix":""},{"dropping-particle":"","family":"Facon","given":"T.","non-dropping-particle":"","parse-names":false,"suffix":""},{"dropping-particle":"","family":"Mahon","given":"F. X.","non-dropping-particle":"","parse-names":false,"suffix":""},{"dropping-particle":"","family":"Cayuela","given":"J. M.","non-dropping-particle":"","parse-names":false,"suffix":""},{"dropping-particle":"","family":"Rousselot","given":"P.","non-dropping-particle":"","parse-names":false,"suffix":""},{"dropping-particle":"","family":"Michallet","given":"M.","non-dropping-particle":"","parse-names":false,"suffix":""},{"dropping-particle":"","family":"Preudhomme","given":"C.","non-dropping-particle":"","parse-names":false,"suffix":""},{"dropping-particle":"","family":"Guilhot","given":"F.","non-dropping-particle":"","parse-names":false,"suffix":""},{"dropping-particle":"","family":"Roche-Lestienne","given":"C.","non-dropping-particle":"","parse-names":false,"suffix":""}],"container-title":"Leukemia","id":"ITEM-4","issue":"6","issued":{"date-parts":[["2006"]]},"page":"1061-1066","publisher":"Nature Publishing Group","title":"Mutation status and clinical outcome of 89 imatinib mesylate-resistant chronic myelogenous leukemia patients: A retrospective analysis from the French intergroup of CML (Fi(φ)-LMC GROUP)","type":"article-journal","volume":"20"},"uris":["http://www.mendeley.com/documents/?uuid=8fdc0a3f-513b-3567-ae3b-8e6cdfe6f6a1"]},{"id":"ITEM-5","itemData":{"DOI":"10.1158/1078-0432.CCR-06-1516","ISSN":"10780432","abstract":"Purpose: ABL kinase domain mutations have been implicated in the resistance to the BCR-ABL inhibitor imatinib mesylate of Philadelphia-positive (Ph+) leukemia patients. Experimental Design: Using denaturing high-performance liquid chromatography and sequencing, we screened for ABL kinase domain mutations in 370 Ph+ patients with evidence of hematologic or cytogenetic resistance to imatinib. Results: Mutations were found in 127 of 297 (43%) evaluable patients. Mutations were found in 27% of chronic-phase patients (14% treated with imatinib frontline; 31% treated with imatinib post-IFN failure), 52% of accelerated-phase patients, 75% of myeloid blast crisis patients, and 83% of lymphoid blast crisis/Ph+ acute lymphoblastic leukemia (ALL) patients. Mutations were associated in 30% of patients with primary resistance (44% hematologic and 28% cytogenetic) and in 57% of patients with acquired resistance (23% patients who lost cytogenetic response; 55% patients who lost hematologic response; and 87% patients who progressed to accelerated phase/blast crisis). P-loop and T315I mutations were particularly frequent in advanced-phase chronic myeloid leukemia and Ph+ ALL patients, and often accompanied progression from chronic phase to accelerated phase/blast crisis. Conclusions: We conclude that (a) amino acid substitutions at seven residues (M244V, G250E, Y253F/H, E255K/V, T315I, M351T, and F359V) account for 85% of all resistance-associated mutations; (b) the search for mutations is important both in case of imatinib failure and in case of loss of response at the hematologic or cytogenetic level; (c) advanced-phase chronic myeloid leukemia and Ph+ ALL patients have a higher likelihood of developing imatinib-resistant mutations; and (d) the presence of either P-loop or T315I mutations in imatinib-treated patients should warn the clinician to reconsider the therapeutic strategy. © 2006 American Association for Cancer Research.","author":[{"dropping-particle":"","family":"Soverini","given":"Simona","non-dropping-particle":"","parse-names":false,"suffix":""},{"dropping-particle":"","family":"Colarossi","given":"Sabrina","non-dropping-particle":"","parse-names":false,"suffix":""},{"dropping-particle":"","family":"Gnani","given":"Alessandra","non-dropping-particle":"","parse-names":false,"suffix":""},{"dropping-particle":"","family":"Rosti","given":"Gianantonio","non-dropping-particle":"","parse-names":false,"suffix":""},{"dropping-particle":"","family":"Castagnetti","given":"Fausto","non-dropping-particle":"","parse-names":false,"suffix":""},{"dropping-particle":"","family":"Poerio","given":"Angela","non-dropping-particle":"","parse-names":false,"suffix":""},{"dropping-particle":"","family":"Iacobucci","given":"Ilaria","non-dropping-particle":"","parse-names":false,"suffix":""},{"dropping-particle":"","family":"Amabile","given":"Marilina","non-dropping-particle":"","parse-names":false,"suffix":""},{"dropping-particle":"","family":"Abruzzese","given":"Elisabetta","non-dropping-particle":"","parse-names":false,"suffix":""},{"dropping-particle":"","family":"Orlandi","given":"Ester","non-dropping-particle":"","parse-names":false,"suffix":""},{"dropping-particle":"","family":"Radaelli","given":"Franca","non-dropping-particle":"","parse-names":false,"suffix":""},{"dropping-particle":"","family":"Ciccone","given":"Fabrizio","non-dropping-particle":"","parse-names":false,"suffix":""},{"dropping-particle":"","family":"Tiribelli","given":"Mario","non-dropping-particle":"","parse-names":false,"suffix":""},{"dropping-particle":"","family":"Lorenzo","given":"Roberto","non-dropping-particle":"Di","parse-names":false,"suffix":""},{"dropping-particle":"","family":"Caracciolo","given":"Clementina","non-dropping-particle":"","parse-names":false,"suffix":""},{"dropping-particle":"","family":"Izzo","given":"Barbara","non-dropping-particle":"","parse-names":false,"suffix":""},{"dropping-particle":"","family":"Pane","given":"Fabrizio","non-dropping-particle":"","parse-names":false,"suffix":""},{"dropping-particle":"","family":"Saglio","given":"Giuseppe","non-dropping-particle":"","parse-names":false,"suffix":""},{"dropping-particle":"","family":"Baccarani","given":"Michele","non-dropping-particle":"","parse-names":false,"suffix":""},{"dropping-particle":"","family":"Martinelli","given":"Giovanni","non-dropping-particle":"","parse-names":false,"suffix":""}],"container-title":"Clinical Cancer Research","id":"ITEM-5","issue":"24","issued":{"date-parts":[["2006","12","15"]]},"page":"7374-7379","title":"Contribution of ABL kinase domain mutations to imatinib resistance in different subsets of Philadelphia-positive patients: By the GIMEMA working party on chronic myeloid leukemia","type":"article-journal","volume":"12"},"uris":["http://www.mendeley.com/documents/?uuid=dc072489-ada8-3ce8-9f7d-26cfe3a55070"]},{"id":"ITEM-6","itemData":{"DOI":"10.1200/JCO.2008.16.9953","ISSN":"0732183X","abstract":"Purpose: Kinase domain (KD) mutations in the BCR-ABL gene are associated with resistance to imatinib in chronic myeloid leukemia (CML) but their incidence and prognostic significance in chronic phase (CP) patients without resistance are unclear. Patients and Methods: We analyzed outcome for 319 patients with CML-CP who were treated with imatinib; 171 were in early CP (ECP) and 148 were in late CP (LCP). Patients were screened routinely for mutations using direct sequencing regardless of response status. The 5-year cumulative incidence of mutations was 6.6% for ECP and 17% for LCP patients. Results: Of the 319 patients, 214 (67%) achieved complete cytogenetic responses (CCyR). The identification of a mutation without other evidence of imatinib resistance was highly predictive for loss of CCyR (RR, 3.8; P = .005) and for progression to advanced phase (RR, 2.3; P = .01), though the intervals from first identification to loss of CCyR and disease progression were relatively long (median, 21 and 16 months, respectively). Mutations in the P-loop (excluding residue 244) were associated with a higher risk of progression than mutations elsewhere. Conclusion: We conclude that routine mutation screening of patients who appear to be responding to imatinib may identify those at high risk of disease progression. © 2008 by American Society of Clinical Oncology.","author":[{"dropping-particle":"","family":"Khorashad","given":"Jamshid S.","non-dropping-particle":"","parse-names":false,"suffix":""},{"dropping-particle":"","family":"Lavallade","given":"Hugues","non-dropping-particle":"De","parse-names":false,"suffix":""},{"dropping-particle":"","family":"Apperley","given":"Jane F.","non-dropping-particle":"","parse-names":false,"suffix":""},{"dropping-particle":"","family":"Milojkovic","given":"Dragana","non-dropping-particle":"","parse-names":false,"suffix":""},{"dropping-particle":"","family":"Reid","given":"Alistair G.","non-dropping-particle":"","parse-names":false,"suffix":""},{"dropping-particle":"","family":"Bua","given":"Marco","non-dropping-particle":"","parse-names":false,"suffix":""},{"dropping-particle":"","family":"Szydlo","given":"Richard","non-dropping-particle":"","parse-names":false,"suffix":""},{"dropping-particle":"","family":"Olavarria","given":"Eduardo","non-dropping-particle":"","parse-names":false,"suffix":""},{"dropping-particle":"","family":"Kaeda","given":"Jaspal","non-dropping-particle":"","parse-names":false,"suffix":""},{"dropping-particle":"","family":"Goldman","given":"John M.","non-dropping-particle":"","parse-names":false,"suffix":""},{"dropping-particle":"","family":"Marin","given":"David","non-dropping-particle":"","parse-names":false,"suffix":""}],"container-title":"Journal of Clinical Oncology","id":"ITEM-6","issue":"29","issued":{"date-parts":[["2008","10","10"]]},"page":"4806-4813","title":"Finding of kinase domain mutations in patients with chronic phase chronic myeloid leukemia responding to imatinib may identify those at high risk of disease progression","type":"article-journal","volume":"26"},"uris":["http://www.mendeley.com/documents/?uuid=d473893c-d54c-39f3-9ab1-a9789aca6b1a"]},{"id":"ITEM-7","itemData":{"ISSN":"1592-8721","PMID":"17768119","abstract":"We analyzed 27 CML patients treated with imatinib (IM) who developed a BCR-ABLT315I mutation. These patients had poor prognostic features: High or intermediate Sokal index (82%), and lack of CCyR under IM (59%). At T315I discovery, patients were in advanced phase (59%), with clonal evolution (84%). Median time since diagnosis was 39 months, and progression occurred 13 months after IM initiation, regardless of disease phase. Overall survival since IM initiation was 42.5 months for chronic, and 17.5 months for advanced phases, and all patients progressed. This mutation seems related to or (partially?) responsible for progression and poor survival.","author":[{"dropping-particle":"","family":"Nicolini","given":"Franck E","non-dropping-particle":"","parse-names":false,"suffix":""},{"dropping-particle":"","family":"Hayette","given":"Sandrine","non-dropping-particle":"","parse-names":false,"suffix":""},{"dropping-particle":"","family":"Corm","given":"Selim","non-dropping-particle":"","parse-names":false,"suffix":""},{"dropping-particle":"","family":"Bachy","given":"Emmanuel","non-dropping-particle":"","parse-names":false,"suffix":""},{"dropping-particle":"","family":"Bories","given":"Dominique","non-dropping-particle":"","parse-names":false,"suffix":""},{"dropping-particle":"","family":"Tulliez","given":"Michel","non-dropping-particle":"","parse-names":false,"suffix":""},{"dropping-particle":"","family":"Guilhot","given":"François","non-dropping-particle":"","parse-names":false,"suffix":""},{"dropping-particle":"","family":"Legros","given":"Laurence","non-dropping-particle":"","parse-names":false,"suffix":""},{"dropping-particle":"","family":"Maloisel","given":"Frédéric","non-dropping-particle":"","parse-names":false,"suffix":""},{"dropping-particle":"","family":"Kiladjian","given":"Jean-Jacques","non-dropping-particle":"","parse-names":false,"suffix":""},{"dropping-particle":"","family":"Mahon","given":"François-Xavier","non-dropping-particle":"","parse-names":false,"suffix":""},{"dropping-particle":"","family":"Lê","given":"Quoc-Hung","non-dropping-particle":"","parse-names":false,"suffix":""},{"dropping-particle":"","family":"Michallet","given":"Mauricette","non-dropping-particle":"","parse-names":false,"suffix":""},{"dropping-particle":"","family":"Roche-Lestienne","given":"Catherine","non-dropping-particle":"","parse-names":false,"suffix":""},{"dropping-particle":"","family":"Preudhomme","given":"Claude","non-dropping-particle":"","parse-names":false,"suffix":""}],"container-title":"Haematologica","id":"ITEM-7","issue":"9","issued":{"date-parts":[["2007","9"]]},"page":"1238-41","title":"Clinical outcome of 27 imatinib mesylate-resistant chronic myelogenous leukemia patients harboring a T315I BCR-ABL mutation.","type":"article-journal","volume":"92"},"uris":["http://www.mendeley.com/documents/?uuid=a43f9168-8f5f-45d9-a0d8-a23113c3bf3f"]}],"mendeley":{"formattedCitation":"[44–50]","plainTextFormattedCitation":"[44–50]","previouslyFormattedCitation":"[44–50]"},"properties":{"noteIndex":0},"schema":"https://github.com/citation-style-language/schema/raw/master/csl-citation.json"}</w:instrText>
      </w:r>
      <w:r w:rsidRPr="00765345">
        <w:fldChar w:fldCharType="separate"/>
      </w:r>
      <w:bookmarkStart w:id="28" w:name="__Fieldmark__2101_2024483163"/>
      <w:r w:rsidRPr="005D335A">
        <w:rPr>
          <w:iCs/>
          <w:szCs w:val="24"/>
          <w:lang w:eastAsia="ru-RU"/>
        </w:rPr>
        <w:t>[</w:t>
      </w:r>
      <w:bookmarkStart w:id="29" w:name="__Fieldmark__2205_562553030"/>
      <w:r w:rsidRPr="005D335A">
        <w:rPr>
          <w:iCs/>
          <w:szCs w:val="24"/>
          <w:lang w:eastAsia="ru-RU"/>
        </w:rPr>
        <w:t>44–50]</w:t>
      </w:r>
      <w:r w:rsidRPr="00765345">
        <w:fldChar w:fldCharType="end"/>
      </w:r>
      <w:bookmarkEnd w:id="28"/>
      <w:bookmarkEnd w:id="29"/>
      <w:r w:rsidRPr="00765345">
        <w:rPr>
          <w:iCs/>
          <w:szCs w:val="24"/>
          <w:lang w:eastAsia="ru-RU"/>
        </w:rPr>
        <w:t>.</w:t>
      </w:r>
    </w:p>
    <w:p w14:paraId="24B607B8" w14:textId="77777777" w:rsidR="00925D5F" w:rsidRDefault="00925D5F" w:rsidP="00925D5F">
      <w:pPr>
        <w:ind w:left="709" w:firstLine="0"/>
        <w:rPr>
          <w:szCs w:val="24"/>
          <w:lang w:eastAsia="ru-RU"/>
        </w:rPr>
      </w:pPr>
      <w:r>
        <w:rPr>
          <w:b/>
          <w:bCs/>
          <w:szCs w:val="24"/>
          <w:lang w:eastAsia="ru-RU"/>
        </w:rPr>
        <w:lastRenderedPageBreak/>
        <w:t xml:space="preserve">Уровень убедительности рекомендаций – А </w:t>
      </w:r>
      <w:r>
        <w:rPr>
          <w:b/>
          <w:szCs w:val="24"/>
          <w:lang w:eastAsia="ru-RU"/>
        </w:rPr>
        <w:t>(уровень достоверности доказательств – 1).</w:t>
      </w:r>
    </w:p>
    <w:p w14:paraId="179C174C" w14:textId="77777777" w:rsidR="00925D5F" w:rsidRDefault="00925D5F" w:rsidP="00925D5F">
      <w:pPr>
        <w:spacing w:line="348" w:lineRule="auto"/>
        <w:rPr>
          <w:i/>
          <w:iCs/>
          <w:szCs w:val="24"/>
          <w:lang w:eastAsia="ru-RU"/>
        </w:rPr>
      </w:pPr>
      <w:r>
        <w:rPr>
          <w:b/>
          <w:bCs/>
          <w:i/>
          <w:iCs/>
          <w:szCs w:val="24"/>
          <w:lang w:eastAsia="ru-RU"/>
        </w:rPr>
        <w:t>Комментарии</w:t>
      </w:r>
      <w:r>
        <w:rPr>
          <w:i/>
          <w:iCs/>
          <w:szCs w:val="24"/>
          <w:lang w:eastAsia="ru-RU"/>
        </w:rPr>
        <w:t xml:space="preserve">: мутации </w:t>
      </w:r>
      <w:proofErr w:type="gramStart"/>
      <w:r>
        <w:rPr>
          <w:i/>
          <w:iCs/>
          <w:szCs w:val="24"/>
          <w:lang w:eastAsia="ru-RU"/>
        </w:rPr>
        <w:t>BCR::</w:t>
      </w:r>
      <w:proofErr w:type="gramEnd"/>
      <w:r>
        <w:rPr>
          <w:i/>
          <w:iCs/>
          <w:szCs w:val="24"/>
          <w:lang w:eastAsia="ru-RU"/>
        </w:rPr>
        <w:t xml:space="preserve">ABL определяют чувствительность лейкозных клеток к воздействию определенного ИТК. На момент диагностики мутационный статус целесообразно определять при дебюте ХМЛ в ФА и БК. Также наличие мутаций </w:t>
      </w:r>
      <w:proofErr w:type="spellStart"/>
      <w:r>
        <w:rPr>
          <w:i/>
          <w:iCs/>
          <w:szCs w:val="24"/>
          <w:lang w:eastAsia="ru-RU"/>
        </w:rPr>
        <w:t>тирозинкиназного</w:t>
      </w:r>
      <w:proofErr w:type="spellEnd"/>
      <w:r>
        <w:rPr>
          <w:i/>
          <w:iCs/>
          <w:szCs w:val="24"/>
          <w:lang w:eastAsia="ru-RU"/>
        </w:rPr>
        <w:t xml:space="preserve"> до</w:t>
      </w:r>
      <w:r w:rsidRPr="000D7E15">
        <w:rPr>
          <w:i/>
          <w:iCs/>
          <w:szCs w:val="24"/>
          <w:lang w:eastAsia="ru-RU"/>
        </w:rPr>
        <w:t xml:space="preserve">мена </w:t>
      </w:r>
      <w:proofErr w:type="gramStart"/>
      <w:r w:rsidRPr="000D7E15">
        <w:rPr>
          <w:i/>
          <w:szCs w:val="24"/>
          <w:lang w:eastAsia="ru-RU"/>
        </w:rPr>
        <w:t>BCR::</w:t>
      </w:r>
      <w:proofErr w:type="gramEnd"/>
      <w:r w:rsidRPr="000D7E15">
        <w:rPr>
          <w:i/>
          <w:szCs w:val="24"/>
          <w:lang w:eastAsia="ru-RU"/>
        </w:rPr>
        <w:t>ABL</w:t>
      </w:r>
      <w:r w:rsidRPr="000D7E15">
        <w:rPr>
          <w:i/>
          <w:iCs/>
          <w:szCs w:val="24"/>
          <w:lang w:eastAsia="ru-RU"/>
        </w:rPr>
        <w:t xml:space="preserve">1 необходимо исследовать при неудаче терапии и перед сменой ИТК. Исследование точечных мутаций </w:t>
      </w:r>
      <w:proofErr w:type="gramStart"/>
      <w:r w:rsidRPr="000D7E15">
        <w:rPr>
          <w:i/>
          <w:szCs w:val="24"/>
          <w:lang w:eastAsia="ru-RU"/>
        </w:rPr>
        <w:t>BCR::</w:t>
      </w:r>
      <w:proofErr w:type="gramEnd"/>
      <w:r w:rsidRPr="000D7E15">
        <w:rPr>
          <w:i/>
          <w:szCs w:val="24"/>
          <w:lang w:eastAsia="ru-RU"/>
        </w:rPr>
        <w:t>ABL</w:t>
      </w:r>
      <w:r w:rsidRPr="000D7E15">
        <w:rPr>
          <w:i/>
          <w:iCs/>
          <w:szCs w:val="24"/>
          <w:lang w:eastAsia="ru-RU"/>
        </w:rPr>
        <w:t xml:space="preserve">1 может быть выполнено методом </w:t>
      </w:r>
      <w:proofErr w:type="spellStart"/>
      <w:r w:rsidRPr="000D7E15">
        <w:rPr>
          <w:i/>
          <w:iCs/>
          <w:szCs w:val="24"/>
          <w:lang w:eastAsia="ru-RU"/>
        </w:rPr>
        <w:t>секвенирования</w:t>
      </w:r>
      <w:proofErr w:type="spellEnd"/>
      <w:r w:rsidRPr="000D7E15">
        <w:rPr>
          <w:i/>
          <w:iCs/>
          <w:szCs w:val="24"/>
          <w:lang w:eastAsia="ru-RU"/>
        </w:rPr>
        <w:t xml:space="preserve"> по </w:t>
      </w:r>
      <w:proofErr w:type="spellStart"/>
      <w:r w:rsidRPr="000D7E15">
        <w:rPr>
          <w:i/>
          <w:iCs/>
          <w:szCs w:val="24"/>
          <w:lang w:eastAsia="ru-RU"/>
        </w:rPr>
        <w:t>Сэнгеру</w:t>
      </w:r>
      <w:proofErr w:type="spellEnd"/>
      <w:r w:rsidRPr="000D7E15">
        <w:rPr>
          <w:i/>
          <w:iCs/>
          <w:szCs w:val="24"/>
          <w:lang w:eastAsia="ru-RU"/>
        </w:rPr>
        <w:t xml:space="preserve"> или методом высокопроизводительного </w:t>
      </w:r>
      <w:proofErr w:type="spellStart"/>
      <w:r w:rsidRPr="000D7E15">
        <w:rPr>
          <w:i/>
          <w:iCs/>
          <w:szCs w:val="24"/>
          <w:lang w:eastAsia="ru-RU"/>
        </w:rPr>
        <w:t>секвенирования</w:t>
      </w:r>
      <w:proofErr w:type="spellEnd"/>
      <w:r w:rsidRPr="000D7E15">
        <w:rPr>
          <w:i/>
          <w:iCs/>
          <w:szCs w:val="24"/>
          <w:lang w:eastAsia="ru-RU"/>
        </w:rPr>
        <w:t xml:space="preserve"> (NGS). Наиболее часто встречающиеся мутации могут быть также определены при помощи аллель-специфичной ПЦР. Следует отметить, что чувствительность данных методов существенно различается и составляет 15%-20% для </w:t>
      </w:r>
      <w:proofErr w:type="spellStart"/>
      <w:r w:rsidRPr="000D7E15">
        <w:rPr>
          <w:i/>
          <w:iCs/>
          <w:szCs w:val="24"/>
          <w:lang w:eastAsia="ru-RU"/>
        </w:rPr>
        <w:t>секвенирования</w:t>
      </w:r>
      <w:proofErr w:type="spellEnd"/>
      <w:r w:rsidRPr="000D7E15">
        <w:rPr>
          <w:i/>
          <w:iCs/>
          <w:szCs w:val="24"/>
          <w:lang w:eastAsia="ru-RU"/>
        </w:rPr>
        <w:t xml:space="preserve"> по </w:t>
      </w:r>
      <w:proofErr w:type="spellStart"/>
      <w:r w:rsidRPr="000D7E15">
        <w:rPr>
          <w:i/>
          <w:iCs/>
          <w:szCs w:val="24"/>
          <w:lang w:eastAsia="ru-RU"/>
        </w:rPr>
        <w:t>Сэнгеру</w:t>
      </w:r>
      <w:proofErr w:type="spellEnd"/>
      <w:r w:rsidRPr="000D7E15">
        <w:rPr>
          <w:i/>
          <w:iCs/>
          <w:szCs w:val="24"/>
          <w:lang w:eastAsia="ru-RU"/>
        </w:rPr>
        <w:t xml:space="preserve">, 2-3% </w:t>
      </w:r>
      <w:proofErr w:type="gramStart"/>
      <w:r w:rsidRPr="000D7E15">
        <w:rPr>
          <w:i/>
          <w:iCs/>
          <w:szCs w:val="24"/>
          <w:lang w:eastAsia="ru-RU"/>
        </w:rPr>
        <w:t>для  высокопроизводительного</w:t>
      </w:r>
      <w:proofErr w:type="gramEnd"/>
      <w:r w:rsidRPr="000D7E15">
        <w:rPr>
          <w:i/>
          <w:iCs/>
          <w:szCs w:val="24"/>
          <w:lang w:eastAsia="ru-RU"/>
        </w:rPr>
        <w:t xml:space="preserve"> </w:t>
      </w:r>
      <w:proofErr w:type="spellStart"/>
      <w:r w:rsidRPr="000D7E15">
        <w:rPr>
          <w:i/>
          <w:iCs/>
          <w:szCs w:val="24"/>
          <w:lang w:eastAsia="ru-RU"/>
        </w:rPr>
        <w:t>секвенирования</w:t>
      </w:r>
      <w:proofErr w:type="spellEnd"/>
      <w:r w:rsidRPr="000D7E15">
        <w:rPr>
          <w:i/>
          <w:iCs/>
          <w:szCs w:val="24"/>
          <w:lang w:eastAsia="ru-RU"/>
        </w:rPr>
        <w:t xml:space="preserve"> [</w:t>
      </w:r>
      <w:r w:rsidRPr="000D7E15">
        <w:rPr>
          <w:i/>
          <w:iCs/>
          <w:szCs w:val="24"/>
          <w:lang w:val="en-US" w:eastAsia="ru-RU"/>
        </w:rPr>
        <w:t>ELN</w:t>
      </w:r>
      <w:r w:rsidRPr="000D7E15">
        <w:rPr>
          <w:i/>
          <w:iCs/>
          <w:szCs w:val="24"/>
          <w:lang w:eastAsia="ru-RU"/>
        </w:rPr>
        <w:t xml:space="preserve"> 2020 ] и 1% для аллель-специфичной ПЦР</w:t>
      </w:r>
    </w:p>
    <w:p w14:paraId="15ADE9D5" w14:textId="77777777" w:rsidR="00621D39" w:rsidRDefault="00D90C07" w:rsidP="00621D39">
      <w:pPr>
        <w:spacing w:line="348" w:lineRule="auto"/>
        <w:contextualSpacing/>
        <w:rPr>
          <w:i/>
          <w:iCs/>
          <w:szCs w:val="24"/>
          <w:lang w:eastAsia="ru-RU"/>
        </w:rPr>
      </w:pPr>
      <w:r>
        <w:rPr>
          <w:i/>
          <w:iCs/>
          <w:szCs w:val="24"/>
          <w:lang w:eastAsia="ru-RU"/>
        </w:rPr>
        <w:t xml:space="preserve">Выбор ИТК в зависимости от выявленных мутаций </w:t>
      </w:r>
      <w:proofErr w:type="gramStart"/>
      <w:r w:rsidRPr="000D7E15">
        <w:rPr>
          <w:i/>
          <w:szCs w:val="24"/>
          <w:lang w:eastAsia="ru-RU"/>
        </w:rPr>
        <w:t>BCR::</w:t>
      </w:r>
      <w:proofErr w:type="gramEnd"/>
      <w:r w:rsidRPr="000D7E15">
        <w:rPr>
          <w:i/>
          <w:szCs w:val="24"/>
          <w:lang w:eastAsia="ru-RU"/>
        </w:rPr>
        <w:t>ABL</w:t>
      </w:r>
      <w:r w:rsidRPr="000D7E15">
        <w:rPr>
          <w:i/>
          <w:iCs/>
          <w:szCs w:val="24"/>
          <w:lang w:eastAsia="ru-RU"/>
        </w:rPr>
        <w:t>1</w:t>
      </w:r>
      <w:r w:rsidR="000C7098" w:rsidRPr="00062B4F">
        <w:rPr>
          <w:i/>
          <w:iCs/>
          <w:szCs w:val="24"/>
          <w:lang w:eastAsia="ru-RU"/>
        </w:rPr>
        <w:t>:</w:t>
      </w:r>
    </w:p>
    <w:p w14:paraId="078D7FA6" w14:textId="0108A482" w:rsidR="00995BC6" w:rsidRPr="00710D11" w:rsidRDefault="00995BC6" w:rsidP="00621D39">
      <w:pPr>
        <w:pStyle w:val="afe"/>
        <w:numPr>
          <w:ilvl w:val="1"/>
          <w:numId w:val="37"/>
        </w:numPr>
        <w:spacing w:line="348" w:lineRule="auto"/>
        <w:contextualSpacing/>
        <w:rPr>
          <w:rFonts w:eastAsia="Times New Roman"/>
          <w:i/>
          <w:szCs w:val="24"/>
          <w:lang w:eastAsia="ru-RU"/>
        </w:rPr>
      </w:pPr>
      <w:r w:rsidRPr="00710D11">
        <w:rPr>
          <w:rFonts w:eastAsia="Times New Roman"/>
          <w:i/>
          <w:szCs w:val="24"/>
          <w:lang w:eastAsia="ru-RU"/>
        </w:rPr>
        <w:t>F317L/V/I/C, T315A –</w:t>
      </w:r>
      <w:proofErr w:type="spellStart"/>
      <w:r w:rsidRPr="00710D11">
        <w:rPr>
          <w:rFonts w:eastAsia="Times New Roman"/>
          <w:i/>
          <w:szCs w:val="24"/>
          <w:lang w:eastAsia="ru-RU"/>
        </w:rPr>
        <w:t>нилотиниб</w:t>
      </w:r>
      <w:proofErr w:type="spellEnd"/>
      <w:r w:rsidR="009170A5" w:rsidRPr="00710D11">
        <w:rPr>
          <w:i/>
          <w:iCs/>
          <w:szCs w:val="24"/>
          <w:lang w:eastAsia="ru-RU"/>
        </w:rPr>
        <w:t>**</w:t>
      </w:r>
      <w:r w:rsidRPr="00710D11">
        <w:rPr>
          <w:rFonts w:eastAsia="Times New Roman"/>
          <w:i/>
          <w:szCs w:val="24"/>
          <w:lang w:eastAsia="ru-RU"/>
        </w:rPr>
        <w:t xml:space="preserve">, </w:t>
      </w:r>
      <w:proofErr w:type="spellStart"/>
      <w:r w:rsidRPr="00710D11">
        <w:rPr>
          <w:rFonts w:eastAsia="Times New Roman"/>
          <w:i/>
          <w:szCs w:val="24"/>
          <w:lang w:eastAsia="ru-RU"/>
        </w:rPr>
        <w:t>бозутиниб</w:t>
      </w:r>
      <w:proofErr w:type="spellEnd"/>
      <w:r w:rsidR="009170A5" w:rsidRPr="00710D11">
        <w:rPr>
          <w:i/>
          <w:iCs/>
          <w:szCs w:val="24"/>
          <w:lang w:eastAsia="ru-RU"/>
        </w:rPr>
        <w:t>**</w:t>
      </w:r>
      <w:r w:rsidR="000711FE" w:rsidRPr="00710D11">
        <w:rPr>
          <w:i/>
          <w:iCs/>
          <w:szCs w:val="24"/>
          <w:lang w:eastAsia="ru-RU"/>
        </w:rPr>
        <w:t xml:space="preserve"> или </w:t>
      </w:r>
      <w:proofErr w:type="spellStart"/>
      <w:r w:rsidR="000711FE" w:rsidRPr="00710D11">
        <w:rPr>
          <w:i/>
          <w:iCs/>
          <w:szCs w:val="24"/>
          <w:lang w:eastAsia="ru-RU"/>
        </w:rPr>
        <w:t>понатиниб</w:t>
      </w:r>
      <w:proofErr w:type="spellEnd"/>
    </w:p>
    <w:p w14:paraId="113439BE" w14:textId="439BC819" w:rsidR="00621D39" w:rsidRPr="00710D11" w:rsidRDefault="007E17A4" w:rsidP="007E17A4">
      <w:pPr>
        <w:pStyle w:val="afe"/>
        <w:numPr>
          <w:ilvl w:val="1"/>
          <w:numId w:val="27"/>
        </w:numPr>
        <w:spacing w:line="348" w:lineRule="auto"/>
        <w:contextualSpacing/>
        <w:rPr>
          <w:rFonts w:eastAsia="Times New Roman"/>
          <w:i/>
          <w:szCs w:val="24"/>
          <w:lang w:eastAsia="ru-RU"/>
        </w:rPr>
      </w:pPr>
      <w:r w:rsidRPr="00710D11">
        <w:rPr>
          <w:rFonts w:eastAsia="Times New Roman"/>
          <w:i/>
          <w:szCs w:val="24"/>
          <w:lang w:eastAsia="ru-RU"/>
        </w:rPr>
        <w:t xml:space="preserve">V299L </w:t>
      </w:r>
      <w:r w:rsidR="0087021D" w:rsidRPr="00710D11">
        <w:rPr>
          <w:rFonts w:eastAsia="Times New Roman"/>
          <w:i/>
          <w:szCs w:val="24"/>
          <w:lang w:eastAsia="ru-RU"/>
        </w:rPr>
        <w:t>–</w:t>
      </w:r>
      <w:r w:rsidRPr="00710D11">
        <w:rPr>
          <w:rFonts w:eastAsia="Times New Roman"/>
          <w:i/>
          <w:szCs w:val="24"/>
          <w:lang w:eastAsia="ru-RU"/>
        </w:rPr>
        <w:t xml:space="preserve"> </w:t>
      </w:r>
      <w:proofErr w:type="spellStart"/>
      <w:r w:rsidR="0087021D" w:rsidRPr="00710D11">
        <w:rPr>
          <w:rFonts w:eastAsia="Times New Roman"/>
          <w:i/>
          <w:szCs w:val="24"/>
          <w:lang w:eastAsia="ru-RU"/>
        </w:rPr>
        <w:t>нилотиниб</w:t>
      </w:r>
      <w:proofErr w:type="spellEnd"/>
      <w:r w:rsidR="009170A5" w:rsidRPr="00710D11">
        <w:rPr>
          <w:i/>
          <w:iCs/>
          <w:szCs w:val="24"/>
          <w:lang w:eastAsia="ru-RU"/>
        </w:rPr>
        <w:t>**</w:t>
      </w:r>
      <w:r w:rsidR="000711FE" w:rsidRPr="00710D11">
        <w:rPr>
          <w:i/>
          <w:iCs/>
          <w:szCs w:val="24"/>
          <w:lang w:eastAsia="ru-RU"/>
        </w:rPr>
        <w:t xml:space="preserve"> или </w:t>
      </w:r>
      <w:proofErr w:type="spellStart"/>
      <w:r w:rsidR="000711FE" w:rsidRPr="00710D11">
        <w:rPr>
          <w:i/>
          <w:iCs/>
          <w:szCs w:val="24"/>
          <w:lang w:eastAsia="ru-RU"/>
        </w:rPr>
        <w:t>понатиниб</w:t>
      </w:r>
      <w:proofErr w:type="spellEnd"/>
    </w:p>
    <w:p w14:paraId="4DE28F57" w14:textId="35F923CB" w:rsidR="0087021D" w:rsidRPr="00710D11" w:rsidRDefault="0087021D" w:rsidP="009170A5">
      <w:pPr>
        <w:pStyle w:val="afe"/>
        <w:numPr>
          <w:ilvl w:val="1"/>
          <w:numId w:val="27"/>
        </w:numPr>
        <w:spacing w:line="348" w:lineRule="auto"/>
        <w:contextualSpacing/>
        <w:rPr>
          <w:rFonts w:eastAsia="Times New Roman"/>
          <w:i/>
          <w:szCs w:val="24"/>
          <w:lang w:eastAsia="ru-RU"/>
        </w:rPr>
      </w:pPr>
      <w:r w:rsidRPr="00710D11">
        <w:rPr>
          <w:rFonts w:eastAsia="Times New Roman"/>
          <w:i/>
          <w:szCs w:val="24"/>
          <w:lang w:eastAsia="ru-RU"/>
        </w:rPr>
        <w:t xml:space="preserve">Y253H, E255V/K, F359V/I/C – </w:t>
      </w:r>
      <w:proofErr w:type="spellStart"/>
      <w:r w:rsidRPr="00710D11">
        <w:rPr>
          <w:rFonts w:eastAsia="Times New Roman"/>
          <w:i/>
          <w:szCs w:val="24"/>
          <w:lang w:eastAsia="ru-RU"/>
        </w:rPr>
        <w:t>дазатиниб</w:t>
      </w:r>
      <w:proofErr w:type="spellEnd"/>
      <w:r w:rsidR="009170A5" w:rsidRPr="00710D11">
        <w:rPr>
          <w:i/>
          <w:iCs/>
          <w:szCs w:val="24"/>
          <w:lang w:eastAsia="ru-RU"/>
        </w:rPr>
        <w:t>**</w:t>
      </w:r>
      <w:r w:rsidRPr="00710D11">
        <w:rPr>
          <w:rFonts w:eastAsia="Times New Roman"/>
          <w:i/>
          <w:szCs w:val="24"/>
          <w:lang w:eastAsia="ru-RU"/>
        </w:rPr>
        <w:t xml:space="preserve">, </w:t>
      </w:r>
      <w:proofErr w:type="spellStart"/>
      <w:r w:rsidRPr="00710D11">
        <w:rPr>
          <w:rFonts w:eastAsia="Times New Roman"/>
          <w:i/>
          <w:szCs w:val="24"/>
          <w:lang w:eastAsia="ru-RU"/>
        </w:rPr>
        <w:t>бозутиниб</w:t>
      </w:r>
      <w:proofErr w:type="spellEnd"/>
      <w:r w:rsidR="009170A5" w:rsidRPr="00710D11">
        <w:rPr>
          <w:rFonts w:eastAsia="Times New Roman"/>
          <w:i/>
          <w:szCs w:val="24"/>
          <w:lang w:eastAsia="ru-RU"/>
        </w:rPr>
        <w:t>**</w:t>
      </w:r>
      <w:r w:rsidR="000711FE" w:rsidRPr="00710D11">
        <w:rPr>
          <w:rFonts w:eastAsia="Times New Roman"/>
          <w:i/>
          <w:szCs w:val="24"/>
          <w:lang w:eastAsia="ru-RU"/>
        </w:rPr>
        <w:t xml:space="preserve"> или </w:t>
      </w:r>
      <w:proofErr w:type="spellStart"/>
      <w:r w:rsidR="000711FE" w:rsidRPr="00710D11">
        <w:rPr>
          <w:rFonts w:eastAsia="Times New Roman"/>
          <w:i/>
          <w:szCs w:val="24"/>
          <w:lang w:eastAsia="ru-RU"/>
        </w:rPr>
        <w:t>понатиниб</w:t>
      </w:r>
      <w:proofErr w:type="spellEnd"/>
      <w:r w:rsidRPr="00710D11">
        <w:rPr>
          <w:rFonts w:eastAsia="Times New Roman"/>
          <w:i/>
          <w:szCs w:val="24"/>
          <w:lang w:eastAsia="ru-RU"/>
        </w:rPr>
        <w:t xml:space="preserve"> </w:t>
      </w:r>
    </w:p>
    <w:p w14:paraId="3A618A45" w14:textId="7FB5CE5C" w:rsidR="00367FC7" w:rsidRPr="00710D11" w:rsidRDefault="00367FC7" w:rsidP="00367FC7">
      <w:pPr>
        <w:pStyle w:val="afe"/>
        <w:numPr>
          <w:ilvl w:val="1"/>
          <w:numId w:val="27"/>
        </w:numPr>
        <w:spacing w:line="348" w:lineRule="auto"/>
        <w:contextualSpacing/>
        <w:rPr>
          <w:rFonts w:eastAsia="Times New Roman"/>
          <w:i/>
          <w:szCs w:val="24"/>
          <w:lang w:eastAsia="ru-RU"/>
        </w:rPr>
      </w:pPr>
      <w:r w:rsidRPr="00710D11">
        <w:rPr>
          <w:rFonts w:eastAsia="Times New Roman"/>
          <w:i/>
          <w:szCs w:val="24"/>
          <w:lang w:eastAsia="ru-RU"/>
        </w:rPr>
        <w:t xml:space="preserve">T315I </w:t>
      </w:r>
      <w:r w:rsidR="001D0DE3" w:rsidRPr="00710D11">
        <w:rPr>
          <w:rFonts w:eastAsia="Times New Roman"/>
          <w:i/>
          <w:szCs w:val="24"/>
          <w:lang w:eastAsia="ru-RU"/>
        </w:rPr>
        <w:t>–</w:t>
      </w:r>
      <w:r w:rsidRPr="00710D11">
        <w:rPr>
          <w:rFonts w:eastAsia="Times New Roman"/>
          <w:i/>
          <w:szCs w:val="24"/>
          <w:lang w:eastAsia="ru-RU"/>
        </w:rPr>
        <w:t xml:space="preserve"> </w:t>
      </w:r>
      <w:proofErr w:type="spellStart"/>
      <w:r w:rsidR="004803B9" w:rsidRPr="00710D11">
        <w:rPr>
          <w:rFonts w:eastAsia="Times New Roman"/>
          <w:i/>
          <w:szCs w:val="24"/>
          <w:lang w:eastAsia="ru-RU"/>
        </w:rPr>
        <w:t>понатиниб</w:t>
      </w:r>
      <w:proofErr w:type="spellEnd"/>
      <w:r w:rsidR="00F455ED" w:rsidRPr="00710D11">
        <w:rPr>
          <w:rFonts w:eastAsia="Times New Roman"/>
          <w:i/>
          <w:szCs w:val="24"/>
          <w:lang w:eastAsia="ru-RU"/>
        </w:rPr>
        <w:t xml:space="preserve">, </w:t>
      </w:r>
      <w:r w:rsidR="001D0DE3" w:rsidRPr="00710D11">
        <w:rPr>
          <w:rFonts w:eastAsia="Times New Roman"/>
          <w:i/>
          <w:szCs w:val="24"/>
          <w:lang w:eastAsia="ru-RU"/>
        </w:rPr>
        <w:t xml:space="preserve">клинические исследования, программа раннего доступа к препарату </w:t>
      </w:r>
      <w:proofErr w:type="spellStart"/>
      <w:r w:rsidR="00534C7A" w:rsidRPr="00710D11">
        <w:rPr>
          <w:rFonts w:eastAsia="Times New Roman"/>
          <w:i/>
          <w:szCs w:val="24"/>
          <w:lang w:eastAsia="ru-RU"/>
        </w:rPr>
        <w:t>асциминиб</w:t>
      </w:r>
      <w:proofErr w:type="spellEnd"/>
      <w:r w:rsidR="00534C7A" w:rsidRPr="00710D11">
        <w:rPr>
          <w:rFonts w:eastAsia="Times New Roman"/>
          <w:i/>
          <w:szCs w:val="24"/>
          <w:lang w:eastAsia="ru-RU"/>
        </w:rPr>
        <w:t xml:space="preserve"> (не зарегистрирован в РФ)</w:t>
      </w:r>
    </w:p>
    <w:p w14:paraId="561D9864" w14:textId="28767227" w:rsidR="000C7098" w:rsidRPr="00062B4F" w:rsidRDefault="000C7098" w:rsidP="00137BCA">
      <w:pPr>
        <w:rPr>
          <w:i/>
          <w:iCs/>
          <w:spacing w:val="-2"/>
          <w:szCs w:val="24"/>
          <w:lang w:eastAsia="ru-RU"/>
        </w:rPr>
      </w:pPr>
      <w:r w:rsidRPr="00710D11">
        <w:rPr>
          <w:i/>
          <w:iCs/>
          <w:szCs w:val="24"/>
          <w:lang w:eastAsia="ru-RU"/>
        </w:rPr>
        <w:t>Терапия ИТК</w:t>
      </w:r>
      <w:r w:rsidR="004162A5" w:rsidRPr="00710D11">
        <w:rPr>
          <w:i/>
          <w:iCs/>
          <w:szCs w:val="24"/>
          <w:lang w:eastAsia="ru-RU"/>
        </w:rPr>
        <w:t xml:space="preserve"> 1ого и 2ого поколения</w:t>
      </w:r>
      <w:r w:rsidRPr="00710D11">
        <w:rPr>
          <w:i/>
          <w:iCs/>
          <w:szCs w:val="24"/>
          <w:lang w:eastAsia="ru-RU"/>
        </w:rPr>
        <w:t xml:space="preserve"> (</w:t>
      </w:r>
      <w:proofErr w:type="spellStart"/>
      <w:r w:rsidRPr="00710D11">
        <w:rPr>
          <w:i/>
          <w:iCs/>
          <w:szCs w:val="24"/>
          <w:lang w:eastAsia="ru-RU"/>
        </w:rPr>
        <w:t>иматиниб</w:t>
      </w:r>
      <w:proofErr w:type="spellEnd"/>
      <w:r w:rsidRPr="00710D11">
        <w:rPr>
          <w:i/>
          <w:iCs/>
          <w:szCs w:val="24"/>
          <w:lang w:eastAsia="ru-RU"/>
        </w:rPr>
        <w:t xml:space="preserve">**, </w:t>
      </w:r>
      <w:proofErr w:type="spellStart"/>
      <w:r w:rsidRPr="00710D11">
        <w:rPr>
          <w:i/>
          <w:iCs/>
          <w:szCs w:val="24"/>
          <w:lang w:eastAsia="ru-RU"/>
        </w:rPr>
        <w:t>нилотиниб</w:t>
      </w:r>
      <w:proofErr w:type="spellEnd"/>
      <w:r w:rsidRPr="00710D11">
        <w:rPr>
          <w:i/>
          <w:iCs/>
          <w:szCs w:val="24"/>
          <w:lang w:eastAsia="ru-RU"/>
        </w:rPr>
        <w:t xml:space="preserve">**, </w:t>
      </w:r>
      <w:proofErr w:type="spellStart"/>
      <w:r w:rsidRPr="00710D11">
        <w:rPr>
          <w:i/>
          <w:iCs/>
          <w:szCs w:val="24"/>
          <w:lang w:eastAsia="ru-RU"/>
        </w:rPr>
        <w:t>дазатиниб</w:t>
      </w:r>
      <w:proofErr w:type="spellEnd"/>
      <w:r w:rsidRPr="00710D11">
        <w:rPr>
          <w:i/>
          <w:iCs/>
          <w:szCs w:val="24"/>
          <w:lang w:eastAsia="ru-RU"/>
        </w:rPr>
        <w:t xml:space="preserve">**, </w:t>
      </w:r>
      <w:proofErr w:type="spellStart"/>
      <w:r w:rsidRPr="00710D11">
        <w:rPr>
          <w:i/>
          <w:iCs/>
          <w:szCs w:val="24"/>
          <w:lang w:eastAsia="ru-RU"/>
        </w:rPr>
        <w:t>бозутиниб</w:t>
      </w:r>
      <w:proofErr w:type="spellEnd"/>
      <w:r w:rsidR="00192F67" w:rsidRPr="00710D11">
        <w:rPr>
          <w:i/>
          <w:iCs/>
          <w:szCs w:val="24"/>
          <w:lang w:eastAsia="ru-RU"/>
        </w:rPr>
        <w:t>**</w:t>
      </w:r>
      <w:r w:rsidRPr="00710D11">
        <w:rPr>
          <w:i/>
          <w:iCs/>
          <w:szCs w:val="24"/>
          <w:lang w:eastAsia="ru-RU"/>
        </w:rPr>
        <w:t xml:space="preserve">) </w:t>
      </w:r>
      <w:r w:rsidR="005D50D4" w:rsidRPr="00710D11">
        <w:rPr>
          <w:i/>
          <w:iCs/>
          <w:szCs w:val="24"/>
          <w:lang w:eastAsia="ru-RU"/>
        </w:rPr>
        <w:t xml:space="preserve">малоэффективна </w:t>
      </w:r>
      <w:r w:rsidRPr="00710D11">
        <w:rPr>
          <w:i/>
          <w:iCs/>
          <w:szCs w:val="24"/>
          <w:lang w:eastAsia="ru-RU"/>
        </w:rPr>
        <w:t xml:space="preserve">при наличии мутации T315I </w:t>
      </w:r>
      <w:r w:rsidRPr="00710D11">
        <w:rPr>
          <w:i/>
          <w:iCs/>
          <w:szCs w:val="24"/>
          <w:lang w:eastAsia="ru-RU"/>
        </w:rPr>
        <w:fldChar w:fldCharType="begin" w:fldLock="1"/>
      </w:r>
      <w:r w:rsidR="00B83D95" w:rsidRPr="00710D11">
        <w:rPr>
          <w:i/>
          <w:iCs/>
          <w:szCs w:val="24"/>
          <w:lang w:eastAsia="ru-RU"/>
        </w:rPr>
        <w:instrText>ADDIN CSL_CITATION {"citationItems":[{"id":"ITEM-1","itemData":{"ISSN":"1592-8721","PMID":"17768119","abstract":"We analyzed 27 CML patients treated with imatinib (IM) who developed a BCR-ABLT315I mutation. These patients had poor prognostic features: High or intermediate Sokal index (82%), and lack of CCyR under IM (59%). At T315I discovery, patients were in advanced phase (59%), with clonal evolution (84%). Median time since diagnosis was 39 months, and progression occurred 13 months after IM initiation, regardless of disease phase. Overall survival since IM initiation was 42.5 months for chronic, and 17.5 months for advanced phases, and all patients progressed. This mutation seems related to or (partially?) responsible for progression and poor survival.","author":[{"dropping-particle":"","family":"Nicolini","given":"Franck E","non-dropping-particle":"","parse-names":false,"suffix":""},{"dropping-particle":"","family":"Hayette","given":"Sandrine","non-dropping-particle":"","parse-names":false,"suffix":""},{"dropping-particle":"","family":"Corm","given":"Selim","non-dropping-particle":"","parse-names":false,"suffix":""},{"dropping-particle":"","family":"Bachy","given":"Emmanuel","non-dropping-particle":"","parse-names":false,"suffix":""},{"dropping-particle":"","family":"Bories","given":"Dominique","non-dropping-particle":"","parse-names":false,"suffix":""},{"dropping-particle":"","family":"Tulliez","given":"Michel","non-dropping-particle":"","parse-names":false,"suffix":""},{"dropping-particle":"","family":"Guilhot","given":"François","non-dropping-particle":"","parse-names":false,"suffix":""},{"dropping-particle":"","family":"Legros","given":"Laurence","non-dropping-particle":"","parse-names":false,"suffix":""},{"dropping-particle":"","family":"Maloisel","given":"Frédéric","non-dropping-particle":"","parse-names":false,"suffix":""},{"dropping-particle":"","family":"Kiladjian","given":"Jean-Jacques","non-dropping-particle":"","parse-names":false,"suffix":""},{"dropping-particle":"","family":"Mahon","given":"François-Xavier","non-dropping-particle":"","parse-names":false,"suffix":""},{"dropping-particle":"","family":"Lê","given":"Quoc-Hung","non-dropping-particle":"","parse-names":false,"suffix":""},{"dropping-particle":"","family":"Michallet","given":"Mauricette","non-dropping-particle":"","parse-names":false,"suffix":""},{"dropping-particle":"","family":"Roche-Lestienne","given":"Catherine","non-dropping-particle":"","parse-names":false,"suffix":""},{"dropping-particle":"","family":"Preudhomme","given":"Claude","non-dropping-particle":"","parse-names":false,"suffix":""}],"container-title":"Haematologica","id":"ITEM-1","issue":"9","issued":{"date-parts":[["2007","9"]]},"page":"1238-41","title":"Clinical outcome of 27 imatinib mesylate-resistant chronic myelogenous leukemia patients harboring a T315I BCR-ABL mutation.","type":"article-journal","volume":"92"},"uris":["http://www.mendeley.com/documents/?uuid=3ec70ea1-5e7f-30da-94a6-042d0d610176","http://www.mendeley.com/documents/?uuid=a43f9168-8f5f-45d9-a0d8-a23113c3bf3f"]},{"id":"ITEM-2","itemData":{"DOI":"10.1182/blood-2007-11-123950","ISSN":"00064971","abstract":"Chronic myeloid leukemia (CML) with T315I mutation has been reported to have poor prognosis. We analyzed 27 patients with T315I, including 20 who developed T315I after imatinib failure (representing 11% of 186 patients with imatinib failure), and 7 of 23 who developed new mutations after second tyrosine kinase inhibitor (TKI). Median follow-up from mutation detection was 18 months. At the time of T315I detection, 10 were in chronic phase (CP), 9 in accelerated phase, and 8 in blast phase. Except for the lack of response to second TKIs (P = .002), there was no difference in patient characteristics and outcome between patients with T315I and those with other or no mutations. Patients in CP had a 2-year survival rate of 87%. Although the T315I mutation is resistant to currently available TKIs, survival of patients with T315I remains mostly dependent on the stage of the disease, with many CP patients having an indolent course. © 2008 by The American Society of Hematology.","author":[{"dropping-particle":"","family":"Jabbour","given":"Elias","non-dropping-particle":"","parse-names":false,"suffix":""},{"dropping-particle":"","family":"Kantarjian","given":"Hagop","non-dropping-particle":"","parse-names":false,"suffix":""},{"dropping-particle":"","family":"Jones","given":"Dan","non-dropping-particle":"","parse-names":false,"suffix":""},{"dropping-particle":"","family":"Breeden","given":"Megan","non-dropping-particle":"","parse-names":false,"suffix":""},{"dropping-particle":"","family":"Garcia-Manero","given":"Guillermo","non-dropping-particle":"","parse-names":false,"suffix":""},{"dropping-particle":"","family":"O'brien","given":"Susan","non-dropping-particle":"","parse-names":false,"suffix":""},{"dropping-particle":"","family":"Ravandi","given":"Farhad","non-dropping-particle":"","parse-names":false,"suffix":""},{"dropping-particle":"","family":"Borthakur","given":"Gautam","non-dropping-particle":"","parse-names":false,"suffix":""},{"dropping-particle":"","family":"Cortes","given":"Jorge","non-dropping-particle":"","parse-names":false,"suffix":""}],"container-title":"Blood","id":"ITEM-2","issue":"1","issued":{"date-parts":[["2008","7","1"]]},"page":"53-55","title":"Characteristics and outcomes of patients with Chronic myeloid leukemia and T315I mutation following failure of imatinib mesylate therapy","type":"article-journal","volume":"112"},"uris":["http://www.mendeley.com/documents/?uuid=a8b33a2a-161a-3155-8f8d-d15d6d75dbd3"]}],"mendeley":{"formattedCitation":"[50,51]","plainTextFormattedCitation":"[50,51]","previouslyFormattedCitation":"[50,51]"},"properties":{"noteIndex":0},"schema":"https://github.com/citation-style-language/schema/raw/master/csl-citation.json"}</w:instrText>
      </w:r>
      <w:r w:rsidRPr="00710D11">
        <w:rPr>
          <w:i/>
          <w:iCs/>
          <w:szCs w:val="24"/>
          <w:lang w:eastAsia="ru-RU"/>
        </w:rPr>
        <w:fldChar w:fldCharType="separate"/>
      </w:r>
      <w:r w:rsidR="00A56EF7" w:rsidRPr="00710D11">
        <w:rPr>
          <w:iCs/>
          <w:noProof/>
          <w:szCs w:val="24"/>
          <w:lang w:eastAsia="ru-RU"/>
        </w:rPr>
        <w:t>[50,51]</w:t>
      </w:r>
      <w:r w:rsidRPr="00710D11">
        <w:rPr>
          <w:i/>
          <w:iCs/>
          <w:szCs w:val="24"/>
          <w:lang w:eastAsia="ru-RU"/>
        </w:rPr>
        <w:fldChar w:fldCharType="end"/>
      </w:r>
      <w:r w:rsidRPr="00710D11">
        <w:rPr>
          <w:i/>
          <w:iCs/>
          <w:szCs w:val="24"/>
          <w:lang w:eastAsia="ru-RU"/>
        </w:rPr>
        <w:t>. При выявлении данной мутации рекомендуются</w:t>
      </w:r>
      <w:r w:rsidR="00F455ED" w:rsidRPr="00710D11">
        <w:rPr>
          <w:i/>
          <w:iCs/>
          <w:szCs w:val="24"/>
          <w:lang w:eastAsia="ru-RU"/>
        </w:rPr>
        <w:t xml:space="preserve"> терапия ИТК</w:t>
      </w:r>
      <w:r w:rsidR="004162A5" w:rsidRPr="00710D11">
        <w:rPr>
          <w:i/>
          <w:iCs/>
          <w:szCs w:val="24"/>
          <w:lang w:eastAsia="ru-RU"/>
        </w:rPr>
        <w:t xml:space="preserve"> 3-его поколения </w:t>
      </w:r>
      <w:proofErr w:type="spellStart"/>
      <w:r w:rsidR="004162A5" w:rsidRPr="00710D11">
        <w:rPr>
          <w:i/>
          <w:iCs/>
          <w:szCs w:val="24"/>
          <w:lang w:eastAsia="ru-RU"/>
        </w:rPr>
        <w:t>понатинибом</w:t>
      </w:r>
      <w:proofErr w:type="spellEnd"/>
      <w:r w:rsidR="004162A5" w:rsidRPr="00710D11">
        <w:rPr>
          <w:i/>
          <w:iCs/>
          <w:szCs w:val="24"/>
          <w:lang w:eastAsia="ru-RU"/>
        </w:rPr>
        <w:t>.</w:t>
      </w:r>
      <w:r w:rsidR="00586E94" w:rsidRPr="00710D11">
        <w:rPr>
          <w:i/>
          <w:iCs/>
          <w:szCs w:val="24"/>
          <w:lang w:eastAsia="ru-RU"/>
        </w:rPr>
        <w:t xml:space="preserve"> </w:t>
      </w:r>
      <w:r w:rsidR="00586E94" w:rsidRPr="00710D11">
        <w:rPr>
          <w:i/>
          <w:iCs/>
          <w:szCs w:val="24"/>
          <w:lang w:eastAsia="ru-RU"/>
        </w:rPr>
        <w:fldChar w:fldCharType="begin" w:fldLock="1"/>
      </w:r>
      <w:r w:rsidR="00586E94" w:rsidRPr="00710D11">
        <w:rPr>
          <w:i/>
          <w:iCs/>
          <w:szCs w:val="24"/>
          <w:lang w:eastAsia="ru-RU"/>
        </w:rPr>
        <w:instrText>ADDIN CSL_CITATION {"citationItems":[{"id":"ITEM-1","itemData":{"ISSN":"1592-8721","PMID":"17768119","abstract":"We analyzed 27 CML patients treated with imatinib (IM) who developed a BCR-ABLT315I mutation. These patients had poor prognostic features: High or intermediate Sokal index (82%), and lack of CCyR under IM (59%). At T315I discovery, patients were in advanced phase (59%), with clonal evolution (84%). Median time since diagnosis was 39 months, and progression occurred 13 months after IM initiation, regardless of disease phase. Overall survival since IM initiation was 42.5 months for chronic, and 17.5 months for advanced phases, and all patients progressed. This mutation seems related to or (partially?) responsible for progression and poor survival.","author":[{"dropping-particle":"","family":"Nicolini","given":"Franck E","non-dropping-particle":"","parse-names":false,"suffix":""},{"dropping-particle":"","family":"Hayette","given":"Sandrine","non-dropping-particle":"","parse-names":false,"suffix":""},{"dropping-particle":"","family":"Corm","given":"Selim","non-dropping-particle":"","parse-names":false,"suffix":""},{"dropping-particle":"","family":"Bachy","given":"Emmanuel","non-dropping-particle":"","parse-names":false,"suffix":""},{"dropping-particle":"","family":"Bories","given":"Dominique","non-dropping-particle":"","parse-names":false,"suffix":""},{"dropping-particle":"","family":"Tulliez","given":"Michel","non-dropping-particle":"","parse-names":false,"suffix":""},{"dropping-particle":"","family":"Guilhot","given":"François","non-dropping-particle":"","parse-names":false,"suffix":""},{"dropping-particle":"","family":"Legros","given":"Laurence","non-dropping-particle":"","parse-names":false,"suffix":""},{"dropping-particle":"","family":"Maloisel","given":"Frédéric","non-dropping-particle":"","parse-names":false,"suffix":""},{"dropping-particle":"","family":"Kiladjian","given":"Jean-Jacques","non-dropping-particle":"","parse-names":false,"suffix":""},{"dropping-particle":"","family":"Mahon","given":"François-Xavier","non-dropping-particle":"","parse-names":false,"suffix":""},{"dropping-particle":"","family":"Lê","given":"Quoc-Hung","non-dropping-particle":"","parse-names":false,"suffix":""},{"dropping-particle":"","family":"Michallet","given":"Mauricette","non-dropping-particle":"","parse-names":false,"suffix":""},{"dropping-particle":"","family":"Roche-Lestienne","given":"Catherine","non-dropping-particle":"","parse-names":false,"suffix":""},{"dropping-particle":"","family":"Preudhomme","given":"Claude","non-dropping-particle":"","parse-names":false,"suffix":""}],"container-title":"Haematologica","id":"ITEM-1","issue":"9","issued":{"date-parts":[["2007","9"]]},"page":"1238-41","title":"Clinical outcome of 27 imatinib mesylate-resistant chronic myelogenous leukemia patients harboring a T315I BCR-ABL mutation.","type":"article-journal","volume":"92"},"uris":["http://www.mendeley.com/documents/?uuid=3ec70ea1-5e7f-30da-94a6-042d0d610176","http://www.mendeley.com/documents/?uuid=a43f9168-8f5f-45d9-a0d8-a23113c3bf3f"]},{"id":"ITEM-2","itemData":{"DOI":"10.1182/blood-2007-11-123950","ISSN":"00064971","abstract":"Chronic myeloid leukemia (CML) with T315I mutation has been reported to have poor prognosis. We analyzed 27 patients with T315I, including 20 who developed T315I after imatinib failure (representing 11% of 186 patients with imatinib failure), and 7 of 23 who developed new mutations after second tyrosine kinase inhibitor (TKI). Median follow-up from mutation detection was 18 months. At the time of T315I detection, 10 were in chronic phase (CP), 9 in accelerated phase, and 8 in blast phase. Except for the lack of response to second TKIs (P = .002), there was no difference in patient characteristics and outcome between patients with T315I and those with other or no mutations. Patients in CP had a 2-year survival rate of 87%. Although the T315I mutation is resistant to currently available TKIs, survival of patients with T315I remains mostly dependent on the stage of the disease, with many CP patients having an indolent course. © 2008 by The American Society of Hematology.","author":[{"dropping-particle":"","family":"Jabbour","given":"Elias","non-dropping-particle":"","parse-names":false,"suffix":""},{"dropping-particle":"","family":"Kantarjian","given":"Hagop","non-dropping-particle":"","parse-names":false,"suffix":""},{"dropping-particle":"","family":"Jones","given":"Dan","non-dropping-particle":"","parse-names":false,"suffix":""},{"dropping-particle":"","family":"Breeden","given":"Megan","non-dropping-particle":"","parse-names":false,"suffix":""},{"dropping-particle":"","family":"Garcia-Manero","given":"Guillermo","non-dropping-particle":"","parse-names":false,"suffix":""},{"dropping-particle":"","family":"O'brien","given":"Susan","non-dropping-particle":"","parse-names":false,"suffix":""},{"dropping-particle":"","family":"Ravandi","given":"Farhad","non-dropping-particle":"","parse-names":false,"suffix":""},{"dropping-particle":"","family":"Borthakur","given":"Gautam","non-dropping-particle":"","parse-names":false,"suffix":""},{"dropping-particle":"","family":"Cortes","given":"Jorge","non-dropping-particle":"","parse-names":false,"suffix":""}],"container-title":"Blood","id":"ITEM-2","issue":"1","issued":{"date-parts":[["2008","7","1"]]},"page":"53-55","title":"Characteristics and outcomes of patients with Chronic myeloid leukemia and T315I mutation following failure of imatinib mesylate therapy","type":"article-journal","volume":"112"},"uris":["http://www.mendeley.com/documents/?uuid=a8b33a2a-161a-3155-8f8d-d15d6d75dbd3"]}],"mendeley":{"formattedCitation":"[50,51]","plainTextFormattedCitation":"[50,51]","previouslyFormattedCitation":"[50,51]"},"properties":{"noteIndex":0},"schema":"https://github.com/citation-style-language/schema/raw/master/csl-citation.json"}</w:instrText>
      </w:r>
      <w:r w:rsidR="00586E94" w:rsidRPr="00710D11">
        <w:rPr>
          <w:i/>
          <w:iCs/>
          <w:szCs w:val="24"/>
          <w:lang w:eastAsia="ru-RU"/>
        </w:rPr>
        <w:fldChar w:fldCharType="separate"/>
      </w:r>
      <w:r w:rsidR="00586E94" w:rsidRPr="00710D11">
        <w:rPr>
          <w:iCs/>
          <w:noProof/>
          <w:szCs w:val="24"/>
          <w:lang w:eastAsia="ru-RU"/>
        </w:rPr>
        <w:t>[107,108]</w:t>
      </w:r>
      <w:r w:rsidR="00586E94" w:rsidRPr="00710D11">
        <w:rPr>
          <w:i/>
          <w:iCs/>
          <w:szCs w:val="24"/>
          <w:lang w:eastAsia="ru-RU"/>
        </w:rPr>
        <w:fldChar w:fldCharType="end"/>
      </w:r>
      <w:r w:rsidR="00586E94" w:rsidRPr="00710D11">
        <w:rPr>
          <w:i/>
          <w:iCs/>
          <w:szCs w:val="24"/>
          <w:lang w:eastAsia="ru-RU"/>
        </w:rPr>
        <w:t xml:space="preserve"> </w:t>
      </w:r>
      <w:r w:rsidR="004162A5" w:rsidRPr="00710D11">
        <w:rPr>
          <w:i/>
          <w:iCs/>
          <w:szCs w:val="24"/>
          <w:lang w:eastAsia="ru-RU"/>
        </w:rPr>
        <w:t xml:space="preserve"> При невозможности переключения на </w:t>
      </w:r>
      <w:proofErr w:type="spellStart"/>
      <w:r w:rsidR="004162A5" w:rsidRPr="00710D11">
        <w:rPr>
          <w:i/>
          <w:iCs/>
          <w:szCs w:val="24"/>
          <w:lang w:eastAsia="ru-RU"/>
        </w:rPr>
        <w:t>понатиниб</w:t>
      </w:r>
      <w:proofErr w:type="spellEnd"/>
      <w:r w:rsidR="004162A5" w:rsidRPr="00710D11">
        <w:rPr>
          <w:i/>
          <w:iCs/>
          <w:szCs w:val="24"/>
          <w:lang w:eastAsia="ru-RU"/>
        </w:rPr>
        <w:t xml:space="preserve"> рекомендован</w:t>
      </w:r>
      <w:r w:rsidR="00F455ED" w:rsidRPr="00710D11">
        <w:rPr>
          <w:i/>
          <w:iCs/>
          <w:szCs w:val="24"/>
          <w:lang w:eastAsia="ru-RU"/>
        </w:rPr>
        <w:t xml:space="preserve"> </w:t>
      </w:r>
      <w:r w:rsidRPr="00710D11">
        <w:rPr>
          <w:i/>
          <w:iCs/>
          <w:szCs w:val="24"/>
          <w:lang w:eastAsia="ru-RU"/>
        </w:rPr>
        <w:t xml:space="preserve"> поиск HLA</w:t>
      </w:r>
      <w:r w:rsidRPr="00710D11">
        <w:rPr>
          <w:i/>
          <w:iCs/>
          <w:szCs w:val="24"/>
          <w:lang w:eastAsia="ru-RU"/>
        </w:rPr>
        <w:noBreakHyphen/>
        <w:t xml:space="preserve">идентичного донора, выполнение </w:t>
      </w:r>
      <w:proofErr w:type="spellStart"/>
      <w:r w:rsidRPr="00710D11">
        <w:rPr>
          <w:i/>
          <w:iCs/>
          <w:szCs w:val="24"/>
          <w:lang w:eastAsia="ru-RU"/>
        </w:rPr>
        <w:t>аллоТГСК</w:t>
      </w:r>
      <w:proofErr w:type="spellEnd"/>
      <w:r w:rsidRPr="00710D11">
        <w:rPr>
          <w:i/>
          <w:iCs/>
          <w:szCs w:val="24"/>
          <w:lang w:eastAsia="ru-RU"/>
        </w:rPr>
        <w:t xml:space="preserve"> либо включение такого пациента в клинические исследования</w:t>
      </w:r>
      <w:r w:rsidR="00E76FD5" w:rsidRPr="00710D11">
        <w:rPr>
          <w:i/>
          <w:iCs/>
          <w:szCs w:val="24"/>
          <w:lang w:eastAsia="ru-RU"/>
        </w:rPr>
        <w:t xml:space="preserve"> или программы раннего доступа к незарегистрированным в России ИТК</w:t>
      </w:r>
      <w:r w:rsidR="008225AA" w:rsidRPr="00710D11">
        <w:rPr>
          <w:i/>
          <w:iCs/>
          <w:szCs w:val="24"/>
          <w:lang w:eastAsia="ru-RU"/>
        </w:rPr>
        <w:t>, потенциально эффективны</w:t>
      </w:r>
      <w:r w:rsidR="0063090B" w:rsidRPr="00710D11">
        <w:rPr>
          <w:i/>
          <w:iCs/>
          <w:szCs w:val="24"/>
          <w:lang w:eastAsia="ru-RU"/>
        </w:rPr>
        <w:t>м</w:t>
      </w:r>
      <w:r w:rsidR="008225AA" w:rsidRPr="00710D11">
        <w:rPr>
          <w:i/>
          <w:iCs/>
          <w:szCs w:val="24"/>
          <w:lang w:eastAsia="ru-RU"/>
        </w:rPr>
        <w:t xml:space="preserve"> при наличии мутации T315I</w:t>
      </w:r>
      <w:r w:rsidRPr="00710D11">
        <w:rPr>
          <w:i/>
          <w:iCs/>
          <w:szCs w:val="24"/>
          <w:lang w:eastAsia="ru-RU"/>
        </w:rPr>
        <w:t xml:space="preserve"> </w:t>
      </w:r>
      <w:r w:rsidRPr="00710D11">
        <w:rPr>
          <w:i/>
          <w:iCs/>
          <w:szCs w:val="24"/>
          <w:lang w:eastAsia="ru-RU"/>
        </w:rPr>
        <w:fldChar w:fldCharType="begin" w:fldLock="1"/>
      </w:r>
      <w:r w:rsidR="00B83D95" w:rsidRPr="00710D11">
        <w:rPr>
          <w:i/>
          <w:iCs/>
          <w:szCs w:val="24"/>
          <w:lang w:eastAsia="ru-RU"/>
        </w:rPr>
        <w:instrText xml:space="preserve">ADDIN CSL_CITATION {"citationItems":[{"id":"ITEM-1","itemData":{"DOI":"10.1002/cncr.25092","ISSN":"0008543X","PMID":"20564073","abstract":"BACKGROUND Resistance to tyrosine kinase inhibitor (TKIs) therapy is associated with the development of kinase domain mutations. Although many imatinib-resistant mutations respond well to second-generation TKIs, the threonine-to-isoleucine mutation at codon 315 of the breakpoint cluster region/v-abl Abelson murine leukemia viral oncogene protein fusion Bcr-Abl (T315I) is insensitive to all currently available TKIs. The outcome in such patients after stem cell transplantation (SCT) is unknown. METHODS Eight patients with TKI-resistant CML who had T315I mutations underwent 9 transplantations. At the time of SCT, 2 patients were in chronic phase, 3 patients were in accelerated phase; and 3 patients were in second chronic phase. RESULTS The best responses after SCT were a complete molecular response (CMR) in 3 patients, a complete cytogenetic response (CCyR) in 4 patients, and a complete hematologic response (CHR) in 1 patient, and 1 patient had no response. The best outcome was for patients who underwent transplantation in chronic phase, and both of those patients remained alive and in complete molecular remission 14 months and 42 months after SCT. After a median follow-up of 13 months from SCT, 5 patients remained alive, including 3 patients in CMR, 1 patient in CCyR, and 1 patient in CHR. CONCLUSIONS The current results indicated that SCT is an effective strategy for patients with CML who have the T315I mutation, particularly in earlier stages.","author":[{"dropping-particle":"","family":"Velev","given":"Nikolai","non-dropping-particle":"","parse-names":false,"suffix":""},{"dropping-particle":"","family":"Cortes","given":"Jorge","non-dropping-particle":"","parse-names":false,"suffix":""},{"dropping-particle":"","family":"Champlin","given":"Richard","non-dropping-particle":"","parse-names":false,"suffix":""},{"dropping-particle":"","family":"Jones","given":"Dan","non-dropping-particle":"","parse-names":false,"suffix":""},{"dropping-particle":"","family":"Rondon","given":"Gabriela","non-dropping-particle":"","parse-names":false,"suffix":""},{"dropping-particle":"","family":"Giralt","given":"Sergio","non-dropping-particle":"","parse-names":false,"suffix":""},{"dropping-particle":"","family":"Borthakur","given":"Gautam","non-dropping-particle":"","parse-names":false,"suffix":""},{"dropping-particle":"","family":"Kantarjian","given":"Hagop M.","non-dropping-particle":"","parse-names":false,"suffix":""},{"dropping-particle":"","family":"Lima","given":"Marcos","non-dropping-particle":"De","parse-names":false,"suffix":""}],"container-title":"Cancer","id":"ITEM-1","issue":"15","issued":{"date-parts":[["2010","5"]]},"page":"3631-3637","title":"Stem cell transplantation for patients with chronic myeloid leukemia resistant to tyrosine kinase inhibitors with BCR-ABL kinase domain mutation T315I","type":"article-journal","volume":"116"},"uris":["http://www.mendeley.com/documents/?uuid=317f1519-1aa2-3c43-bc49-e498fbd6543d","http://www.mendeley.com/documents/?uuid=29eb1dc2-0915-41a4-86c0-be0177d76bf0"]},{"id":"ITEM-2","itemData":{"DOI":"10.1182/blood-2010-08-302679","ISSN":"0006-4971","PMID":"21156844","abstract":"Hematopoietic stem cell transplantation (HSCT) is effective therapy for patients with chronic myelogenous leukemia (CML) but is now mostly indicated for patients who develop resistance to tyrosine kinase inhibitors (TKIs), which can be associated with point mutations in BCR-ABL1. We reviewed the outcomes of imatinib-resistant CML patients (chronic phase, n = 34; accelerated phase [AP], n = 9; and blast phase [BP], n = 4) who underwent HSCT and had BCR-ABL1 sequencing. Mutations were found in 19 patients (40%); 15 of 19 had advanced CML (AP + BP + second chronic phase). Patients with mutations were more likely to transform to AP/BP at time of imatinib failure (69% vs 35%, P = .03). Forty-two patients (89%) responded to HSCT: 32 (68%) had at least a major molecular response. The 2-year event-free survival was 36% and 58% (P = .05) for the mutant and nonmutant groups, respectively; and the 2-year overall survival was 44% and 76% (P = .02), respectively. HSCT is an important salvage option for TKI-resistant patients with or without BCR-ABL1 mutations. Patients with mutations were more likely to develop advanced disease and had worse outcomes after HSCT. HSCT should be considered early for patients deemed to have a low probability of responding to second-generation TKI.","author":[{"dropping-particle":"","family":"Jabbour","given":"E.","non-dropping-particle":"","parse-names":false,"suffix":""},{"dropping-particle":"","family":"Cortes","given":"J.","non-dropping-particle":"","parse-names":false,"suffix":""},{"dropping-particle":"","family":"Santos","given":"F. P. S.","non-dropping-particle":"","parse-names":false,"suffix":""},{"dropping-particle":"","family":"Jones","given":"D.","non-dropping-particle":"","parse-names":false,"suffix":""},{"dropping-particle":"","family":"O'Brien","given":"S.","non-dropping-particle":"","parse-names":false,"suffix":""},{"dropping-particle":"","family":"Rondon","given":"G.","non-dropping-particle":"","parse-names":false,"suffix":""},{"dropping-particle":"","family":"Popat","given":"U.","non-dropping-particle":"","parse-names":false,"suffix":""},{"dropping-particle":"","family":"Giralt","given":"S.","non-dropping-particle":"","parse-names":false,"suffix":""},{"dropping-particle":"","family":"Kebriaei","given":"P.","non-dropping-particle":"","parse-names":false,"suffix":""},{"dropping-particle":"","family":"Jones","given":"R. B.","non-dropping-particle":"","parse-names":false,"suffix":""},{"dropping-particle":"","family":"Kantarjian","given":"H.","non-dropping-particle":"","parse-names":false,"suffix":""},{"dropping-particle":"","family":"Champlin","given":"R.","non-dropping-particle":"","parse-names":false,"suffix":""},{"dropping-particle":"","family":"Lima","given":"M.","non-dropping-particle":"de","parse-names":false,"suffix":""}],"container-title":"Blood","id":"ITEM-2","issue":"13","issued":{"date-parts":[["2011","3"]]},"page":"3641-3647","title":"Results of allogeneic hematopoietic stem cell transplantation for chronic myelogenous leukemia patients who failed tyrosine kinase inhibitors after developing BCR-ABL1 kinase domain mutations","type":"article-journal","volume":"117"},"uris":["http://www.mendeley.com/documents/?uuid=2964b775-8ec5-46db-918a-bd523f6c9af2"]},{"id":"ITEM-3","itemData":{"DOI":"10.1182/blood-2011-07-367326","ISSN":"00064971","abstract":"T315I + Philadelphia chromosome-positive leukemias are inherently resistant to all licensed tyrosine kinase inhibitors, and therapeutic options remain limited.We report the outcome of allogeneic stem cell transplantation in 64 patients with documented BCR-ABL T315I mutations. Median follow-up was 52 months from mutation detection and 26 months from transplantation. At transplantation, 51.5% of patients with chronic myeloid leukemia were in the chronic phase and 4.5% were in advanced phases. Median overall survival after transplantation was 10.3 months (range 5.7 months to not reached [ie, still alive]) for those with chronic myeloid leukemia in the blast phase and 7.4 months (range 1.4 months to not reached [ie, still alive]) for those with Philadelphia chromosome-positive acute lymphoblastic leukemia but has not yet been reached for those in the chronic and accelerated phases of chronic myeloid leukemia. The occurrence of chronic GVHD had a positive impact on overall survival (P </w:instrText>
      </w:r>
      <w:r w:rsidR="00B83D95" w:rsidRPr="00710D11">
        <w:rPr>
          <w:rFonts w:ascii="Cambria Math" w:hAnsi="Cambria Math" w:cs="Cambria Math"/>
          <w:i/>
          <w:iCs/>
          <w:szCs w:val="24"/>
          <w:lang w:eastAsia="ru-RU"/>
        </w:rPr>
        <w:instrText>∇</w:instrText>
      </w:r>
      <w:r w:rsidR="00B83D95" w:rsidRPr="00710D11">
        <w:rPr>
          <w:i/>
          <w:iCs/>
          <w:szCs w:val="24"/>
          <w:lang w:eastAsia="ru-RU"/>
        </w:rPr>
        <w:instrText xml:space="preserve"> .047). Transplant-related mortality rates were low. Multivariate analysis identified only blast phase at transplantation (hazard ratio 3.68, P </w:instrText>
      </w:r>
      <w:r w:rsidR="00B83D95" w:rsidRPr="00710D11">
        <w:rPr>
          <w:rFonts w:ascii="Cambria Math" w:hAnsi="Cambria Math" w:cs="Cambria Math"/>
          <w:i/>
          <w:iCs/>
          <w:szCs w:val="24"/>
          <w:lang w:eastAsia="ru-RU"/>
        </w:rPr>
        <w:instrText>∇</w:instrText>
      </w:r>
      <w:r w:rsidR="00B83D95" w:rsidRPr="00710D11">
        <w:rPr>
          <w:i/>
          <w:iCs/>
          <w:szCs w:val="24"/>
          <w:lang w:eastAsia="ru-RU"/>
        </w:rPr>
        <w:instrText xml:space="preserve"> .0011) and unrelated stem cell donor (hazard ratio 2.98, P </w:instrText>
      </w:r>
      <w:r w:rsidR="00B83D95" w:rsidRPr="00710D11">
        <w:rPr>
          <w:rFonts w:ascii="Cambria Math" w:hAnsi="Cambria Math" w:cs="Cambria Math"/>
          <w:i/>
          <w:iCs/>
          <w:szCs w:val="24"/>
          <w:lang w:eastAsia="ru-RU"/>
        </w:rPr>
        <w:instrText>∇</w:instrText>
      </w:r>
      <w:r w:rsidR="00B83D95" w:rsidRPr="00710D11">
        <w:rPr>
          <w:i/>
          <w:iCs/>
          <w:szCs w:val="24"/>
          <w:lang w:eastAsia="ru-RU"/>
        </w:rPr>
        <w:instrText xml:space="preserve"> .011) as unfavorable factors. We conclude that allogeneic stem cell transplantation represents a valuable therapeutic tool for eligible patients with BCR-ABL T315I mutation, a tool that may or may not be replaced by third-generation tyrosine kinase inhibitors. © 2011 by The American Society of Hematology.","author":[{"dropping-particle":"","family":"Nicolini","given":"Franck Emmanuel","non-dropping-particle":"","parse-names":false,"suffix":""},{"dropping-particle":"","family":"Basak","given":"Grzegorz W.","non-dropping-particle":"","parse-names":false,"suffix":""},{"dropping-particle":"","family":"Soverini","given":"Simona","non-dropping-particle":"","parse-names":false,"suffix":""},{"dropping-particle":"","family":"Martinelli","given":"Giovanni","non-dropping-particle":"","parse-names":false,"suffix":""},{"dropping-particle":"","family":"Mauro","given":"Michael J.","non-dropping-particle":"","parse-names":false,"suffix":""},{"dropping-particle":"","family":"Müller","given":"Martin C.","non-dropping-particle":"","parse-names":false,"suffix":""},{"dropping-particle":"","family":"Hochhaus","given":"Andreas","non-dropping-particle":"","parse-names":false,"suffix":""},{"dropping-particle":"","family":"Chuah","given":"Charles","non-dropping-particle":"","parse-names":false,"suffix":""},{"dropping-particle":"","family":"Dufva","given":"Inge H.","non-dropping-particle":"","parse-names":false,"suffix":""},{"dropping-particle":"","family":"Rege-Cambrin","given":"Giovanna","non-dropping-particle":"","parse-names":false,"suffix":""},{"dropping-particle":"","family":"Saglio","given":"Giuseppe","non-dropping-particle":"","parse-names":false,"suffix":""},{"dropping-particle":"","family":"Michallet","given":"Mauricette","non-dropping-particle":"","parse-names":false,"suffix":""},{"dropping-particle":"","family":"Labussière","given":"Hélène","non-dropping-particle":"","parse-names":false,"suffix":""},{"dropping-particle":"","family":"Morisset","given":"Stéphane","non-dropping-particle":"","parse-names":false,"suffix":""},{"dropping-particle":"","family":"Hayette","given":"Sandrine","non-dropping-particle":"","parse-names":false,"suffix":""},{"dropping-particle":"","family":"Etienne","given":"Gabriel","non-dropping-particle":"","parse-names":false,"suffix":""},{"dropping-particle":"","family":"Olavarria","given":"Eduardo","non-dropping-particle":"","parse-names":false,"suffix":""},{"dropping-particle":"","family":"Zhou","given":"Wei","non-dropping-particle":"","parse-names":false,"suffix":""},{"dropping-particle":"","family":"Peter","given":"Senaka","non-dropping-particle":"","parse-names":false,"suffix":""},{"dropping-particle":"","family":"Apperley","given":"Jane F.","non-dropping-particle":"","parse-names":false,"suffix":""},{"dropping-particle":"","family":"Cortes","given":"Jorge","non-dropping-particle":"","parse-names":false,"suffix":""}],"container-title":"Blood","id":"ITEM-3","issue":"20","issued":{"date-parts":[["2011","11","17"]]},"page":"5697-5700","title":"Allogeneic stem cell transplantation for patients harboring T315I BCR-ABL mutated leukemias","type":"article-journal","volume":"118"},"uris":["http://www.mendeley.com/documents/?uuid=e9e5139d-4e18-335d-aa26-dd657f686c3e"]}],"mendeley":{"formattedCitation":"[52–54]","plainTextFormattedCitation":"[52–54]","previouslyFormattedCitation":"[52–54]"},"properties":{"noteIndex":0},"schema":"https://github.com/citation-style-language/schema/raw/master/csl-citation.json"}</w:instrText>
      </w:r>
      <w:r w:rsidRPr="00710D11">
        <w:rPr>
          <w:i/>
          <w:iCs/>
          <w:szCs w:val="24"/>
          <w:lang w:eastAsia="ru-RU"/>
        </w:rPr>
        <w:fldChar w:fldCharType="separate"/>
      </w:r>
      <w:r w:rsidR="00B83D95" w:rsidRPr="00710D11">
        <w:rPr>
          <w:iCs/>
          <w:noProof/>
          <w:szCs w:val="24"/>
          <w:lang w:eastAsia="ru-RU"/>
        </w:rPr>
        <w:t>[52–54]</w:t>
      </w:r>
      <w:r w:rsidRPr="00710D11">
        <w:rPr>
          <w:i/>
          <w:iCs/>
          <w:szCs w:val="24"/>
          <w:lang w:eastAsia="ru-RU"/>
        </w:rPr>
        <w:fldChar w:fldCharType="end"/>
      </w:r>
      <w:r w:rsidRPr="00710D11">
        <w:rPr>
          <w:i/>
          <w:iCs/>
          <w:szCs w:val="24"/>
          <w:lang w:eastAsia="ru-RU"/>
        </w:rPr>
        <w:t>.</w:t>
      </w:r>
      <w:r w:rsidRPr="00062B4F">
        <w:rPr>
          <w:i/>
          <w:iCs/>
          <w:szCs w:val="24"/>
          <w:lang w:eastAsia="ru-RU"/>
        </w:rPr>
        <w:t xml:space="preserve"> </w:t>
      </w:r>
      <w:r w:rsidR="009D230C">
        <w:rPr>
          <w:i/>
          <w:iCs/>
          <w:szCs w:val="24"/>
          <w:lang w:eastAsia="ru-RU"/>
        </w:rPr>
        <w:t xml:space="preserve">До выполнения </w:t>
      </w:r>
      <w:proofErr w:type="spellStart"/>
      <w:r w:rsidR="009D230C" w:rsidRPr="00062B4F">
        <w:rPr>
          <w:i/>
          <w:iCs/>
          <w:szCs w:val="24"/>
          <w:lang w:eastAsia="ru-RU"/>
        </w:rPr>
        <w:t>аллоТГСК</w:t>
      </w:r>
      <w:proofErr w:type="spellEnd"/>
      <w:r w:rsidR="009D230C">
        <w:rPr>
          <w:i/>
          <w:iCs/>
          <w:szCs w:val="24"/>
          <w:lang w:eastAsia="ru-RU"/>
        </w:rPr>
        <w:t xml:space="preserve"> или переключения на ИТК, потенциально эффективных при </w:t>
      </w:r>
      <w:r w:rsidR="009D230C" w:rsidRPr="00062B4F">
        <w:rPr>
          <w:i/>
          <w:iCs/>
          <w:szCs w:val="24"/>
          <w:lang w:eastAsia="ru-RU"/>
        </w:rPr>
        <w:t>наличии мутации T315I</w:t>
      </w:r>
      <w:r w:rsidR="009D230C">
        <w:rPr>
          <w:i/>
          <w:iCs/>
          <w:szCs w:val="24"/>
          <w:lang w:eastAsia="ru-RU"/>
        </w:rPr>
        <w:t xml:space="preserve">, </w:t>
      </w:r>
      <w:r w:rsidR="00477FCF">
        <w:rPr>
          <w:i/>
          <w:iCs/>
          <w:szCs w:val="24"/>
          <w:lang w:eastAsia="ru-RU"/>
        </w:rPr>
        <w:t>возможно п</w:t>
      </w:r>
      <w:r w:rsidR="007F2752">
        <w:rPr>
          <w:i/>
          <w:iCs/>
          <w:szCs w:val="24"/>
          <w:lang w:eastAsia="ru-RU"/>
        </w:rPr>
        <w:t xml:space="preserve">родолжение </w:t>
      </w:r>
      <w:r w:rsidR="00F343E5">
        <w:rPr>
          <w:i/>
          <w:iCs/>
          <w:szCs w:val="24"/>
          <w:lang w:eastAsia="ru-RU"/>
        </w:rPr>
        <w:t>терапии препаратом</w:t>
      </w:r>
      <w:r w:rsidR="003E037A">
        <w:rPr>
          <w:i/>
          <w:iCs/>
          <w:spacing w:val="-2"/>
          <w:szCs w:val="24"/>
          <w:lang w:eastAsia="ru-RU"/>
        </w:rPr>
        <w:t xml:space="preserve">, который обеспечивает максимальный клинический </w:t>
      </w:r>
      <w:r w:rsidR="00E941F2">
        <w:rPr>
          <w:i/>
          <w:iCs/>
          <w:spacing w:val="-2"/>
          <w:szCs w:val="24"/>
          <w:lang w:eastAsia="ru-RU"/>
        </w:rPr>
        <w:t>эффект</w:t>
      </w:r>
      <w:r w:rsidR="003E037A">
        <w:rPr>
          <w:i/>
          <w:iCs/>
          <w:spacing w:val="-2"/>
          <w:szCs w:val="24"/>
          <w:lang w:eastAsia="ru-RU"/>
        </w:rPr>
        <w:t xml:space="preserve"> (сохранение ПГО, </w:t>
      </w:r>
      <w:r w:rsidR="00E941F2">
        <w:rPr>
          <w:i/>
          <w:iCs/>
          <w:spacing w:val="-2"/>
          <w:szCs w:val="24"/>
          <w:lang w:eastAsia="ru-RU"/>
        </w:rPr>
        <w:t>хорошая переносимость)</w:t>
      </w:r>
      <w:r w:rsidR="003E037A">
        <w:rPr>
          <w:i/>
          <w:iCs/>
          <w:spacing w:val="-2"/>
          <w:szCs w:val="24"/>
          <w:lang w:eastAsia="ru-RU"/>
        </w:rPr>
        <w:t xml:space="preserve"> </w:t>
      </w:r>
    </w:p>
    <w:p w14:paraId="486C0912" w14:textId="09C2D852" w:rsidR="000C7098" w:rsidRPr="00062B4F" w:rsidRDefault="000C7098" w:rsidP="00E41552">
      <w:pPr>
        <w:spacing w:before="120" w:after="120" w:line="288" w:lineRule="auto"/>
        <w:jc w:val="left"/>
        <w:rPr>
          <w:szCs w:val="24"/>
          <w:lang w:eastAsia="ru-RU"/>
        </w:rPr>
      </w:pPr>
      <w:r w:rsidRPr="00062B4F">
        <w:rPr>
          <w:b/>
          <w:bCs/>
          <w:iCs/>
          <w:szCs w:val="24"/>
          <w:lang w:eastAsia="ru-RU"/>
        </w:rPr>
        <w:t>Таблица 5. </w:t>
      </w:r>
      <w:r w:rsidRPr="00062B4F">
        <w:rPr>
          <w:iCs/>
          <w:szCs w:val="24"/>
          <w:lang w:eastAsia="ru-RU"/>
        </w:rPr>
        <w:t xml:space="preserve">Дозы </w:t>
      </w:r>
      <w:proofErr w:type="spellStart"/>
      <w:r w:rsidRPr="00062B4F">
        <w:rPr>
          <w:iCs/>
          <w:szCs w:val="24"/>
          <w:lang w:eastAsia="ru-RU"/>
        </w:rPr>
        <w:t>нилотиниба</w:t>
      </w:r>
      <w:proofErr w:type="spellEnd"/>
      <w:r w:rsidRPr="00062B4F">
        <w:rPr>
          <w:iCs/>
          <w:szCs w:val="24"/>
          <w:lang w:eastAsia="ru-RU"/>
        </w:rPr>
        <w:t xml:space="preserve">**, </w:t>
      </w:r>
      <w:proofErr w:type="spellStart"/>
      <w:r w:rsidRPr="00062B4F">
        <w:rPr>
          <w:iCs/>
          <w:szCs w:val="24"/>
          <w:lang w:eastAsia="ru-RU"/>
        </w:rPr>
        <w:t>дазатиниба</w:t>
      </w:r>
      <w:proofErr w:type="spellEnd"/>
      <w:r w:rsidRPr="00062B4F">
        <w:rPr>
          <w:iCs/>
          <w:szCs w:val="24"/>
          <w:lang w:eastAsia="ru-RU"/>
        </w:rPr>
        <w:t xml:space="preserve">** и </w:t>
      </w:r>
      <w:proofErr w:type="spellStart"/>
      <w:r w:rsidRPr="00062B4F">
        <w:rPr>
          <w:iCs/>
          <w:szCs w:val="24"/>
          <w:lang w:eastAsia="ru-RU"/>
        </w:rPr>
        <w:t>бозутиниба</w:t>
      </w:r>
      <w:proofErr w:type="spellEnd"/>
      <w:r w:rsidR="00A779BB" w:rsidRPr="00062B4F">
        <w:rPr>
          <w:iCs/>
          <w:szCs w:val="24"/>
          <w:lang w:eastAsia="ru-RU"/>
        </w:rPr>
        <w:t>**</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44"/>
        <w:gridCol w:w="1253"/>
        <w:gridCol w:w="1235"/>
        <w:gridCol w:w="1232"/>
        <w:gridCol w:w="1278"/>
        <w:gridCol w:w="1759"/>
        <w:gridCol w:w="1438"/>
      </w:tblGrid>
      <w:tr w:rsidR="001515F7" w:rsidRPr="00062B4F" w14:paraId="03234B12" w14:textId="6FE7BAD2" w:rsidTr="00351AF0">
        <w:trPr>
          <w:trHeight w:val="495"/>
          <w:jc w:val="center"/>
        </w:trPr>
        <w:tc>
          <w:tcPr>
            <w:tcW w:w="1144" w:type="dxa"/>
            <w:vMerge w:val="restart"/>
            <w:tcBorders>
              <w:top w:val="single" w:sz="6" w:space="0" w:color="000000"/>
              <w:left w:val="single" w:sz="6" w:space="0" w:color="000000"/>
              <w:bottom w:val="single" w:sz="6" w:space="0" w:color="000000"/>
              <w:right w:val="single" w:sz="6" w:space="0" w:color="000000"/>
            </w:tcBorders>
          </w:tcPr>
          <w:p w14:paraId="73A4E216" w14:textId="77777777" w:rsidR="001515F7" w:rsidRPr="00062B4F" w:rsidRDefault="001515F7" w:rsidP="009D2E3F">
            <w:pPr>
              <w:spacing w:beforeAutospacing="1" w:afterAutospacing="1" w:line="288" w:lineRule="auto"/>
              <w:ind w:firstLine="0"/>
              <w:jc w:val="center"/>
              <w:rPr>
                <w:b/>
                <w:szCs w:val="24"/>
                <w:lang w:eastAsia="ru-RU"/>
              </w:rPr>
            </w:pPr>
            <w:r w:rsidRPr="00062B4F">
              <w:rPr>
                <w:b/>
                <w:iCs/>
                <w:szCs w:val="24"/>
                <w:lang w:eastAsia="ru-RU"/>
              </w:rPr>
              <w:t>Доза препарата</w:t>
            </w:r>
          </w:p>
        </w:tc>
        <w:tc>
          <w:tcPr>
            <w:tcW w:w="2488" w:type="dxa"/>
            <w:gridSpan w:val="2"/>
            <w:tcBorders>
              <w:top w:val="single" w:sz="6" w:space="0" w:color="000000"/>
              <w:left w:val="single" w:sz="6" w:space="0" w:color="000000"/>
              <w:bottom w:val="single" w:sz="6" w:space="0" w:color="000000"/>
              <w:right w:val="single" w:sz="6" w:space="0" w:color="000000"/>
            </w:tcBorders>
          </w:tcPr>
          <w:p w14:paraId="17824B13" w14:textId="77777777" w:rsidR="001515F7" w:rsidRPr="00062B4F" w:rsidRDefault="001515F7" w:rsidP="009D2E3F">
            <w:pPr>
              <w:spacing w:beforeAutospacing="1" w:afterAutospacing="1" w:line="288" w:lineRule="auto"/>
              <w:ind w:firstLine="0"/>
              <w:jc w:val="center"/>
              <w:rPr>
                <w:b/>
                <w:szCs w:val="24"/>
                <w:lang w:eastAsia="ru-RU"/>
              </w:rPr>
            </w:pPr>
            <w:proofErr w:type="spellStart"/>
            <w:r w:rsidRPr="00062B4F">
              <w:rPr>
                <w:b/>
                <w:iCs/>
                <w:szCs w:val="24"/>
                <w:lang w:eastAsia="ru-RU"/>
              </w:rPr>
              <w:t>Нилотиниб</w:t>
            </w:r>
            <w:proofErr w:type="spellEnd"/>
            <w:r w:rsidRPr="00062B4F">
              <w:rPr>
                <w:b/>
                <w:iCs/>
                <w:szCs w:val="24"/>
                <w:lang w:eastAsia="ru-RU"/>
              </w:rPr>
              <w:t>**</w:t>
            </w:r>
          </w:p>
        </w:tc>
        <w:tc>
          <w:tcPr>
            <w:tcW w:w="2510" w:type="dxa"/>
            <w:gridSpan w:val="2"/>
            <w:tcBorders>
              <w:top w:val="single" w:sz="6" w:space="0" w:color="000000"/>
              <w:left w:val="single" w:sz="6" w:space="0" w:color="000000"/>
              <w:bottom w:val="single" w:sz="4" w:space="0" w:color="auto"/>
              <w:right w:val="single" w:sz="6" w:space="0" w:color="000000"/>
            </w:tcBorders>
          </w:tcPr>
          <w:p w14:paraId="7C86CCB9" w14:textId="77777777" w:rsidR="001515F7" w:rsidRPr="00062B4F" w:rsidRDefault="001515F7" w:rsidP="009D2E3F">
            <w:pPr>
              <w:spacing w:beforeAutospacing="1" w:afterAutospacing="1" w:line="288" w:lineRule="auto"/>
              <w:ind w:firstLine="0"/>
              <w:jc w:val="center"/>
              <w:rPr>
                <w:b/>
                <w:szCs w:val="24"/>
                <w:lang w:eastAsia="ru-RU"/>
              </w:rPr>
            </w:pPr>
            <w:proofErr w:type="spellStart"/>
            <w:r w:rsidRPr="00062B4F">
              <w:rPr>
                <w:b/>
                <w:iCs/>
                <w:szCs w:val="24"/>
                <w:lang w:eastAsia="ru-RU"/>
              </w:rPr>
              <w:t>Дазатиниб</w:t>
            </w:r>
            <w:proofErr w:type="spellEnd"/>
            <w:r w:rsidRPr="00062B4F">
              <w:rPr>
                <w:b/>
                <w:iCs/>
                <w:szCs w:val="24"/>
                <w:lang w:eastAsia="ru-RU"/>
              </w:rPr>
              <w:t>**</w:t>
            </w:r>
          </w:p>
        </w:tc>
        <w:tc>
          <w:tcPr>
            <w:tcW w:w="3197" w:type="dxa"/>
            <w:gridSpan w:val="2"/>
            <w:tcBorders>
              <w:top w:val="single" w:sz="6" w:space="0" w:color="000000"/>
              <w:left w:val="single" w:sz="6" w:space="0" w:color="000000"/>
              <w:bottom w:val="single" w:sz="6" w:space="0" w:color="000000"/>
              <w:right w:val="single" w:sz="6" w:space="0" w:color="000000"/>
            </w:tcBorders>
          </w:tcPr>
          <w:p w14:paraId="27F7088C" w14:textId="7401529B" w:rsidR="001515F7" w:rsidRPr="00062B4F" w:rsidRDefault="001515F7" w:rsidP="009D2E3F">
            <w:pPr>
              <w:spacing w:beforeAutospacing="1" w:afterAutospacing="1" w:line="288" w:lineRule="auto"/>
              <w:ind w:firstLine="0"/>
              <w:jc w:val="center"/>
              <w:rPr>
                <w:b/>
                <w:iCs/>
                <w:szCs w:val="24"/>
                <w:lang w:eastAsia="ru-RU"/>
              </w:rPr>
            </w:pPr>
            <w:proofErr w:type="spellStart"/>
            <w:r w:rsidRPr="00062B4F">
              <w:rPr>
                <w:b/>
                <w:iCs/>
                <w:szCs w:val="24"/>
                <w:lang w:eastAsia="ru-RU"/>
              </w:rPr>
              <w:t>Бозутиниб</w:t>
            </w:r>
            <w:proofErr w:type="spellEnd"/>
            <w:r w:rsidRPr="00062B4F">
              <w:rPr>
                <w:iCs/>
                <w:szCs w:val="24"/>
                <w:lang w:eastAsia="ru-RU"/>
              </w:rPr>
              <w:t>**</w:t>
            </w:r>
          </w:p>
        </w:tc>
      </w:tr>
      <w:tr w:rsidR="0071629F" w:rsidRPr="00062B4F" w14:paraId="5BF5C1BF" w14:textId="4B0FAFCF" w:rsidTr="00351AF0">
        <w:trPr>
          <w:trHeight w:val="313"/>
          <w:jc w:val="center"/>
        </w:trPr>
        <w:tc>
          <w:tcPr>
            <w:tcW w:w="1144" w:type="dxa"/>
            <w:vMerge/>
            <w:tcBorders>
              <w:top w:val="single" w:sz="6" w:space="0" w:color="000000"/>
              <w:left w:val="single" w:sz="6" w:space="0" w:color="000000"/>
              <w:bottom w:val="single" w:sz="6" w:space="0" w:color="000000"/>
              <w:right w:val="single" w:sz="6" w:space="0" w:color="000000"/>
            </w:tcBorders>
            <w:vAlign w:val="center"/>
          </w:tcPr>
          <w:p w14:paraId="7C03A024" w14:textId="77777777" w:rsidR="0071629F" w:rsidRPr="00062B4F" w:rsidRDefault="0071629F" w:rsidP="0071629F">
            <w:pPr>
              <w:ind w:firstLine="0"/>
              <w:jc w:val="left"/>
              <w:rPr>
                <w:szCs w:val="24"/>
              </w:rPr>
            </w:pPr>
          </w:p>
        </w:tc>
        <w:tc>
          <w:tcPr>
            <w:tcW w:w="1253" w:type="dxa"/>
            <w:tcBorders>
              <w:top w:val="single" w:sz="6" w:space="0" w:color="000000"/>
              <w:left w:val="single" w:sz="6" w:space="0" w:color="000000"/>
              <w:bottom w:val="single" w:sz="6" w:space="0" w:color="000000"/>
              <w:right w:val="single" w:sz="6" w:space="0" w:color="000000"/>
            </w:tcBorders>
          </w:tcPr>
          <w:p w14:paraId="32238489"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1-я линия терапии ХФ</w:t>
            </w:r>
          </w:p>
        </w:tc>
        <w:tc>
          <w:tcPr>
            <w:tcW w:w="1235" w:type="dxa"/>
            <w:tcBorders>
              <w:top w:val="single" w:sz="6" w:space="0" w:color="000000"/>
              <w:left w:val="single" w:sz="6" w:space="0" w:color="000000"/>
              <w:bottom w:val="single" w:sz="6" w:space="0" w:color="000000"/>
              <w:right w:val="single" w:sz="4" w:space="0" w:color="auto"/>
            </w:tcBorders>
          </w:tcPr>
          <w:p w14:paraId="17A04521"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2-я линия терапии</w:t>
            </w:r>
            <w:r w:rsidRPr="00062B4F">
              <w:rPr>
                <w:iCs/>
                <w:szCs w:val="24"/>
                <w:lang w:eastAsia="ru-RU"/>
              </w:rPr>
              <w:br/>
              <w:t>ХФ и ФА</w:t>
            </w:r>
          </w:p>
        </w:tc>
        <w:tc>
          <w:tcPr>
            <w:tcW w:w="1232" w:type="dxa"/>
            <w:tcBorders>
              <w:top w:val="single" w:sz="4" w:space="0" w:color="auto"/>
              <w:left w:val="single" w:sz="4" w:space="0" w:color="auto"/>
              <w:bottom w:val="single" w:sz="4" w:space="0" w:color="auto"/>
              <w:right w:val="single" w:sz="4" w:space="0" w:color="auto"/>
            </w:tcBorders>
          </w:tcPr>
          <w:p w14:paraId="7A88AFCB"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1 и 2 линии терапии ХФ</w:t>
            </w:r>
          </w:p>
        </w:tc>
        <w:tc>
          <w:tcPr>
            <w:tcW w:w="1278" w:type="dxa"/>
            <w:tcBorders>
              <w:top w:val="single" w:sz="4" w:space="0" w:color="auto"/>
              <w:left w:val="single" w:sz="4" w:space="0" w:color="auto"/>
              <w:bottom w:val="single" w:sz="4" w:space="0" w:color="auto"/>
              <w:right w:val="single" w:sz="4" w:space="0" w:color="auto"/>
            </w:tcBorders>
          </w:tcPr>
          <w:p w14:paraId="68CCF069"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1 и 2 линии терапии</w:t>
            </w:r>
            <w:r w:rsidRPr="00062B4F">
              <w:rPr>
                <w:iCs/>
                <w:szCs w:val="24"/>
                <w:lang w:eastAsia="ru-RU"/>
              </w:rPr>
              <w:br/>
              <w:t>ФА и БК</w:t>
            </w:r>
          </w:p>
        </w:tc>
        <w:tc>
          <w:tcPr>
            <w:tcW w:w="1759" w:type="dxa"/>
            <w:tcBorders>
              <w:top w:val="single" w:sz="6" w:space="0" w:color="000000"/>
              <w:left w:val="single" w:sz="4" w:space="0" w:color="auto"/>
              <w:bottom w:val="single" w:sz="6" w:space="0" w:color="000000"/>
              <w:right w:val="single" w:sz="6" w:space="0" w:color="000000"/>
            </w:tcBorders>
          </w:tcPr>
          <w:p w14:paraId="192FDB1E" w14:textId="719F1159"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1-я линия терапии ХФ</w:t>
            </w:r>
          </w:p>
        </w:tc>
        <w:tc>
          <w:tcPr>
            <w:tcW w:w="1438" w:type="dxa"/>
            <w:tcBorders>
              <w:top w:val="single" w:sz="6" w:space="0" w:color="000000"/>
              <w:left w:val="single" w:sz="6" w:space="0" w:color="000000"/>
              <w:bottom w:val="single" w:sz="6" w:space="0" w:color="000000"/>
              <w:right w:val="single" w:sz="6" w:space="0" w:color="000000"/>
            </w:tcBorders>
          </w:tcPr>
          <w:p w14:paraId="33D886F2" w14:textId="77F57C9E" w:rsidR="0071629F" w:rsidRPr="00062B4F" w:rsidRDefault="0071629F" w:rsidP="0071629F">
            <w:pPr>
              <w:spacing w:beforeAutospacing="1" w:afterAutospacing="1" w:line="288" w:lineRule="auto"/>
              <w:ind w:firstLine="0"/>
              <w:jc w:val="left"/>
              <w:rPr>
                <w:iCs/>
                <w:szCs w:val="24"/>
                <w:lang w:eastAsia="ru-RU"/>
              </w:rPr>
            </w:pPr>
            <w:r w:rsidRPr="00062B4F">
              <w:rPr>
                <w:iCs/>
                <w:szCs w:val="24"/>
                <w:lang w:eastAsia="ru-RU"/>
              </w:rPr>
              <w:t>2 и последующие линии терапии ХФ, ФА и БК</w:t>
            </w:r>
          </w:p>
        </w:tc>
      </w:tr>
      <w:tr w:rsidR="0071629F" w:rsidRPr="00062B4F" w14:paraId="5055B9A2" w14:textId="14BDB73A" w:rsidTr="00351AF0">
        <w:trPr>
          <w:trHeight w:val="240"/>
          <w:jc w:val="center"/>
        </w:trPr>
        <w:tc>
          <w:tcPr>
            <w:tcW w:w="1144" w:type="dxa"/>
            <w:tcBorders>
              <w:top w:val="single" w:sz="6" w:space="0" w:color="000000"/>
              <w:left w:val="single" w:sz="6" w:space="0" w:color="000000"/>
              <w:bottom w:val="single" w:sz="6" w:space="0" w:color="000000"/>
              <w:right w:val="single" w:sz="6" w:space="0" w:color="000000"/>
            </w:tcBorders>
          </w:tcPr>
          <w:p w14:paraId="7E16B0E6"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lastRenderedPageBreak/>
              <w:t>Стартовая доза</w:t>
            </w:r>
          </w:p>
        </w:tc>
        <w:tc>
          <w:tcPr>
            <w:tcW w:w="1253" w:type="dxa"/>
            <w:tcBorders>
              <w:top w:val="single" w:sz="6" w:space="0" w:color="000000"/>
              <w:left w:val="single" w:sz="6" w:space="0" w:color="000000"/>
              <w:bottom w:val="single" w:sz="6" w:space="0" w:color="000000"/>
              <w:right w:val="single" w:sz="6" w:space="0" w:color="000000"/>
            </w:tcBorders>
          </w:tcPr>
          <w:p w14:paraId="478D52B4"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 xml:space="preserve">600 мг в </w:t>
            </w:r>
            <w:proofErr w:type="spellStart"/>
            <w:r w:rsidRPr="00062B4F">
              <w:rPr>
                <w:iCs/>
                <w:szCs w:val="24"/>
                <w:lang w:eastAsia="ru-RU"/>
              </w:rPr>
              <w:t>сут</w:t>
            </w:r>
            <w:proofErr w:type="spellEnd"/>
            <w:r w:rsidRPr="00062B4F">
              <w:rPr>
                <w:iCs/>
                <w:szCs w:val="24"/>
                <w:lang w:eastAsia="ru-RU"/>
              </w:rPr>
              <w:t xml:space="preserve"> (300 мг</w:t>
            </w:r>
            <w:r w:rsidRPr="00062B4F">
              <w:rPr>
                <w:iCs/>
                <w:szCs w:val="24"/>
                <w:lang w:eastAsia="ru-RU"/>
              </w:rPr>
              <w:br/>
              <w:t xml:space="preserve">х 2 раза в </w:t>
            </w:r>
            <w:proofErr w:type="spellStart"/>
            <w:r w:rsidRPr="00062B4F">
              <w:rPr>
                <w:iCs/>
                <w:szCs w:val="24"/>
                <w:lang w:eastAsia="ru-RU"/>
              </w:rPr>
              <w:t>сут</w:t>
            </w:r>
            <w:proofErr w:type="spellEnd"/>
            <w:r w:rsidRPr="00062B4F">
              <w:rPr>
                <w:iCs/>
                <w:szCs w:val="24"/>
                <w:lang w:eastAsia="ru-RU"/>
              </w:rPr>
              <w:t>)</w:t>
            </w:r>
          </w:p>
        </w:tc>
        <w:tc>
          <w:tcPr>
            <w:tcW w:w="1235" w:type="dxa"/>
            <w:tcBorders>
              <w:top w:val="single" w:sz="4" w:space="0" w:color="auto"/>
              <w:left w:val="single" w:sz="6" w:space="0" w:color="000000"/>
              <w:bottom w:val="single" w:sz="6" w:space="0" w:color="000000"/>
              <w:right w:val="single" w:sz="6" w:space="0" w:color="000000"/>
            </w:tcBorders>
          </w:tcPr>
          <w:p w14:paraId="13AA93A4"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 xml:space="preserve">800 мг в </w:t>
            </w:r>
            <w:proofErr w:type="spellStart"/>
            <w:r w:rsidRPr="00062B4F">
              <w:rPr>
                <w:iCs/>
                <w:szCs w:val="24"/>
                <w:lang w:eastAsia="ru-RU"/>
              </w:rPr>
              <w:t>сут</w:t>
            </w:r>
            <w:proofErr w:type="spellEnd"/>
            <w:r w:rsidRPr="00062B4F">
              <w:rPr>
                <w:iCs/>
                <w:szCs w:val="24"/>
                <w:lang w:eastAsia="ru-RU"/>
              </w:rPr>
              <w:t xml:space="preserve"> (400 мг</w:t>
            </w:r>
            <w:r w:rsidRPr="00062B4F">
              <w:rPr>
                <w:iCs/>
                <w:szCs w:val="24"/>
                <w:lang w:eastAsia="ru-RU"/>
              </w:rPr>
              <w:br/>
              <w:t xml:space="preserve">х 2 раза в </w:t>
            </w:r>
            <w:proofErr w:type="spellStart"/>
            <w:r w:rsidRPr="00062B4F">
              <w:rPr>
                <w:iCs/>
                <w:szCs w:val="24"/>
                <w:lang w:eastAsia="ru-RU"/>
              </w:rPr>
              <w:t>сут</w:t>
            </w:r>
            <w:proofErr w:type="spellEnd"/>
            <w:r w:rsidRPr="00062B4F">
              <w:rPr>
                <w:iCs/>
                <w:szCs w:val="24"/>
                <w:lang w:eastAsia="ru-RU"/>
              </w:rPr>
              <w:t>)</w:t>
            </w:r>
          </w:p>
        </w:tc>
        <w:tc>
          <w:tcPr>
            <w:tcW w:w="1232" w:type="dxa"/>
            <w:tcBorders>
              <w:top w:val="single" w:sz="4" w:space="0" w:color="auto"/>
              <w:left w:val="single" w:sz="6" w:space="0" w:color="000000"/>
              <w:bottom w:val="single" w:sz="6" w:space="0" w:color="000000"/>
              <w:right w:val="single" w:sz="6" w:space="0" w:color="000000"/>
            </w:tcBorders>
          </w:tcPr>
          <w:p w14:paraId="11EEC2AA"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100 мг</w:t>
            </w:r>
            <w:r w:rsidRPr="00062B4F">
              <w:rPr>
                <w:iCs/>
                <w:szCs w:val="24"/>
                <w:lang w:eastAsia="ru-RU"/>
              </w:rPr>
              <w:br/>
              <w:t xml:space="preserve">х 1 раз в </w:t>
            </w:r>
            <w:proofErr w:type="spellStart"/>
            <w:r w:rsidRPr="00062B4F">
              <w:rPr>
                <w:iCs/>
                <w:szCs w:val="24"/>
                <w:lang w:eastAsia="ru-RU"/>
              </w:rPr>
              <w:t>сут</w:t>
            </w:r>
            <w:proofErr w:type="spellEnd"/>
          </w:p>
        </w:tc>
        <w:tc>
          <w:tcPr>
            <w:tcW w:w="1278" w:type="dxa"/>
            <w:tcBorders>
              <w:top w:val="single" w:sz="4" w:space="0" w:color="auto"/>
              <w:left w:val="single" w:sz="6" w:space="0" w:color="000000"/>
              <w:bottom w:val="single" w:sz="6" w:space="0" w:color="000000"/>
              <w:right w:val="single" w:sz="6" w:space="0" w:color="000000"/>
            </w:tcBorders>
          </w:tcPr>
          <w:p w14:paraId="0FAE9D32"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140 мг</w:t>
            </w:r>
            <w:r w:rsidRPr="00062B4F">
              <w:rPr>
                <w:iCs/>
                <w:szCs w:val="24"/>
                <w:lang w:eastAsia="ru-RU"/>
              </w:rPr>
              <w:br/>
              <w:t xml:space="preserve">х 1 раз в </w:t>
            </w:r>
            <w:proofErr w:type="spellStart"/>
            <w:r w:rsidRPr="00062B4F">
              <w:rPr>
                <w:iCs/>
                <w:szCs w:val="24"/>
                <w:lang w:eastAsia="ru-RU"/>
              </w:rPr>
              <w:t>сут</w:t>
            </w:r>
            <w:proofErr w:type="spellEnd"/>
          </w:p>
        </w:tc>
        <w:tc>
          <w:tcPr>
            <w:tcW w:w="1759" w:type="dxa"/>
            <w:tcBorders>
              <w:top w:val="single" w:sz="6" w:space="0" w:color="000000"/>
              <w:left w:val="single" w:sz="6" w:space="0" w:color="000000"/>
              <w:bottom w:val="single" w:sz="6" w:space="0" w:color="000000"/>
              <w:right w:val="single" w:sz="6" w:space="0" w:color="000000"/>
            </w:tcBorders>
          </w:tcPr>
          <w:p w14:paraId="38D14BCD" w14:textId="7E6983D5" w:rsidR="0071629F" w:rsidRPr="00062B4F" w:rsidRDefault="0071629F" w:rsidP="0071629F">
            <w:pPr>
              <w:spacing w:beforeAutospacing="1" w:afterAutospacing="1" w:line="288" w:lineRule="auto"/>
              <w:ind w:firstLine="0"/>
              <w:jc w:val="left"/>
              <w:rPr>
                <w:szCs w:val="24"/>
                <w:lang w:eastAsia="ru-RU"/>
              </w:rPr>
            </w:pPr>
            <w:r>
              <w:rPr>
                <w:iCs/>
                <w:szCs w:val="24"/>
                <w:lang w:eastAsia="ru-RU"/>
              </w:rPr>
              <w:t>4</w:t>
            </w:r>
            <w:r w:rsidRPr="00062B4F">
              <w:rPr>
                <w:iCs/>
                <w:szCs w:val="24"/>
                <w:lang w:eastAsia="ru-RU"/>
              </w:rPr>
              <w:t xml:space="preserve">00 мг х 1 раз в </w:t>
            </w:r>
            <w:proofErr w:type="spellStart"/>
            <w:r w:rsidRPr="00062B4F">
              <w:rPr>
                <w:iCs/>
                <w:szCs w:val="24"/>
                <w:lang w:eastAsia="ru-RU"/>
              </w:rPr>
              <w:t>сут</w:t>
            </w:r>
            <w:proofErr w:type="spellEnd"/>
          </w:p>
        </w:tc>
        <w:tc>
          <w:tcPr>
            <w:tcW w:w="1438" w:type="dxa"/>
            <w:tcBorders>
              <w:top w:val="single" w:sz="6" w:space="0" w:color="000000"/>
              <w:left w:val="single" w:sz="6" w:space="0" w:color="000000"/>
              <w:bottom w:val="single" w:sz="6" w:space="0" w:color="000000"/>
              <w:right w:val="single" w:sz="6" w:space="0" w:color="000000"/>
            </w:tcBorders>
          </w:tcPr>
          <w:p w14:paraId="4D2AE038" w14:textId="1FBAB362" w:rsidR="0071629F" w:rsidRPr="00062B4F" w:rsidRDefault="0071629F" w:rsidP="0071629F">
            <w:pPr>
              <w:spacing w:beforeAutospacing="1" w:afterAutospacing="1" w:line="288" w:lineRule="auto"/>
              <w:ind w:firstLine="0"/>
              <w:jc w:val="left"/>
              <w:rPr>
                <w:iCs/>
                <w:szCs w:val="24"/>
                <w:lang w:eastAsia="ru-RU"/>
              </w:rPr>
            </w:pPr>
            <w:r w:rsidRPr="00062B4F">
              <w:rPr>
                <w:iCs/>
                <w:szCs w:val="24"/>
                <w:lang w:eastAsia="ru-RU"/>
              </w:rPr>
              <w:t xml:space="preserve">500 мг х 1 раз в </w:t>
            </w:r>
            <w:proofErr w:type="spellStart"/>
            <w:r w:rsidRPr="00062B4F">
              <w:rPr>
                <w:iCs/>
                <w:szCs w:val="24"/>
                <w:lang w:eastAsia="ru-RU"/>
              </w:rPr>
              <w:t>сут</w:t>
            </w:r>
            <w:proofErr w:type="spellEnd"/>
          </w:p>
        </w:tc>
      </w:tr>
      <w:tr w:rsidR="0071629F" w:rsidRPr="00062B4F" w14:paraId="3D389558" w14:textId="00E8AE5F" w:rsidTr="00351AF0">
        <w:trPr>
          <w:trHeight w:val="30"/>
          <w:jc w:val="center"/>
        </w:trPr>
        <w:tc>
          <w:tcPr>
            <w:tcW w:w="1144" w:type="dxa"/>
            <w:tcBorders>
              <w:top w:val="single" w:sz="6" w:space="0" w:color="000000"/>
              <w:left w:val="single" w:sz="6" w:space="0" w:color="000000"/>
              <w:bottom w:val="single" w:sz="6" w:space="0" w:color="000000"/>
              <w:right w:val="single" w:sz="6" w:space="0" w:color="000000"/>
            </w:tcBorders>
          </w:tcPr>
          <w:p w14:paraId="03BF649B"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Снижение дозы (–1)</w:t>
            </w:r>
          </w:p>
        </w:tc>
        <w:tc>
          <w:tcPr>
            <w:tcW w:w="1253" w:type="dxa"/>
            <w:tcBorders>
              <w:top w:val="single" w:sz="6" w:space="0" w:color="000000"/>
              <w:left w:val="single" w:sz="6" w:space="0" w:color="000000"/>
              <w:bottom w:val="single" w:sz="6" w:space="0" w:color="000000"/>
              <w:right w:val="single" w:sz="6" w:space="0" w:color="000000"/>
            </w:tcBorders>
          </w:tcPr>
          <w:p w14:paraId="60833F3C"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400 мг</w:t>
            </w:r>
            <w:r w:rsidRPr="00062B4F">
              <w:rPr>
                <w:iCs/>
                <w:szCs w:val="24"/>
                <w:lang w:eastAsia="ru-RU"/>
              </w:rPr>
              <w:br/>
              <w:t xml:space="preserve">х 1 раз в </w:t>
            </w:r>
            <w:proofErr w:type="spellStart"/>
            <w:r w:rsidRPr="00062B4F">
              <w:rPr>
                <w:iCs/>
                <w:szCs w:val="24"/>
                <w:lang w:eastAsia="ru-RU"/>
              </w:rPr>
              <w:t>сут</w:t>
            </w:r>
            <w:proofErr w:type="spellEnd"/>
          </w:p>
        </w:tc>
        <w:tc>
          <w:tcPr>
            <w:tcW w:w="1235" w:type="dxa"/>
            <w:tcBorders>
              <w:top w:val="single" w:sz="6" w:space="0" w:color="000000"/>
              <w:left w:val="single" w:sz="6" w:space="0" w:color="000000"/>
              <w:bottom w:val="single" w:sz="6" w:space="0" w:color="000000"/>
              <w:right w:val="single" w:sz="6" w:space="0" w:color="000000"/>
            </w:tcBorders>
          </w:tcPr>
          <w:p w14:paraId="261DD217"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 xml:space="preserve">600 мг в </w:t>
            </w:r>
            <w:proofErr w:type="spellStart"/>
            <w:r w:rsidRPr="00062B4F">
              <w:rPr>
                <w:iCs/>
                <w:szCs w:val="24"/>
                <w:lang w:eastAsia="ru-RU"/>
              </w:rPr>
              <w:t>сут</w:t>
            </w:r>
            <w:proofErr w:type="spellEnd"/>
            <w:r w:rsidRPr="00062B4F">
              <w:rPr>
                <w:iCs/>
                <w:szCs w:val="24"/>
                <w:lang w:eastAsia="ru-RU"/>
              </w:rPr>
              <w:t xml:space="preserve"> (300 мг</w:t>
            </w:r>
            <w:r w:rsidRPr="00062B4F">
              <w:rPr>
                <w:iCs/>
                <w:szCs w:val="24"/>
                <w:lang w:eastAsia="ru-RU"/>
              </w:rPr>
              <w:br/>
              <w:t xml:space="preserve">х 2 раза в </w:t>
            </w:r>
            <w:proofErr w:type="spellStart"/>
            <w:r w:rsidRPr="00062B4F">
              <w:rPr>
                <w:iCs/>
                <w:szCs w:val="24"/>
                <w:lang w:eastAsia="ru-RU"/>
              </w:rPr>
              <w:t>сут</w:t>
            </w:r>
            <w:proofErr w:type="spellEnd"/>
            <w:r w:rsidRPr="00062B4F">
              <w:rPr>
                <w:iCs/>
                <w:szCs w:val="24"/>
                <w:lang w:eastAsia="ru-RU"/>
              </w:rPr>
              <w:t>)</w:t>
            </w:r>
          </w:p>
        </w:tc>
        <w:tc>
          <w:tcPr>
            <w:tcW w:w="1232" w:type="dxa"/>
            <w:tcBorders>
              <w:top w:val="single" w:sz="6" w:space="0" w:color="000000"/>
              <w:left w:val="single" w:sz="6" w:space="0" w:color="000000"/>
              <w:bottom w:val="single" w:sz="6" w:space="0" w:color="000000"/>
              <w:right w:val="single" w:sz="6" w:space="0" w:color="000000"/>
            </w:tcBorders>
          </w:tcPr>
          <w:p w14:paraId="61118868" w14:textId="30F37000" w:rsidR="0071629F" w:rsidRPr="00062B4F" w:rsidRDefault="001515F7" w:rsidP="0071629F">
            <w:pPr>
              <w:spacing w:beforeAutospacing="1" w:afterAutospacing="1" w:line="288" w:lineRule="auto"/>
              <w:ind w:firstLine="0"/>
              <w:jc w:val="left"/>
              <w:rPr>
                <w:szCs w:val="24"/>
                <w:lang w:eastAsia="ru-RU"/>
              </w:rPr>
            </w:pPr>
            <w:r>
              <w:rPr>
                <w:iCs/>
                <w:szCs w:val="24"/>
                <w:lang w:eastAsia="ru-RU"/>
              </w:rPr>
              <w:t>7</w:t>
            </w:r>
            <w:r w:rsidRPr="00062B4F">
              <w:rPr>
                <w:iCs/>
                <w:szCs w:val="24"/>
                <w:lang w:eastAsia="ru-RU"/>
              </w:rPr>
              <w:t xml:space="preserve">0 </w:t>
            </w:r>
            <w:r w:rsidR="0071629F" w:rsidRPr="00062B4F">
              <w:rPr>
                <w:iCs/>
                <w:szCs w:val="24"/>
                <w:lang w:eastAsia="ru-RU"/>
              </w:rPr>
              <w:t>мг</w:t>
            </w:r>
            <w:r w:rsidR="0071629F" w:rsidRPr="00062B4F">
              <w:rPr>
                <w:iCs/>
                <w:szCs w:val="24"/>
                <w:lang w:eastAsia="ru-RU"/>
              </w:rPr>
              <w:br/>
              <w:t xml:space="preserve">х 1 раз в </w:t>
            </w:r>
            <w:proofErr w:type="spellStart"/>
            <w:r w:rsidR="0071629F" w:rsidRPr="00062B4F">
              <w:rPr>
                <w:iCs/>
                <w:szCs w:val="24"/>
                <w:lang w:eastAsia="ru-RU"/>
              </w:rPr>
              <w:t>сут</w:t>
            </w:r>
            <w:proofErr w:type="spellEnd"/>
          </w:p>
        </w:tc>
        <w:tc>
          <w:tcPr>
            <w:tcW w:w="1278" w:type="dxa"/>
            <w:tcBorders>
              <w:top w:val="single" w:sz="6" w:space="0" w:color="000000"/>
              <w:left w:val="single" w:sz="6" w:space="0" w:color="000000"/>
              <w:bottom w:val="single" w:sz="6" w:space="0" w:color="000000"/>
              <w:right w:val="single" w:sz="6" w:space="0" w:color="000000"/>
            </w:tcBorders>
          </w:tcPr>
          <w:p w14:paraId="78AAE5A1"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100 мг х</w:t>
            </w:r>
            <w:r w:rsidRPr="00062B4F">
              <w:rPr>
                <w:iCs/>
                <w:szCs w:val="24"/>
                <w:lang w:eastAsia="ru-RU"/>
              </w:rPr>
              <w:br/>
              <w:t xml:space="preserve">1 раз в </w:t>
            </w:r>
            <w:proofErr w:type="spellStart"/>
            <w:r w:rsidRPr="00062B4F">
              <w:rPr>
                <w:iCs/>
                <w:szCs w:val="24"/>
                <w:lang w:eastAsia="ru-RU"/>
              </w:rPr>
              <w:t>сут</w:t>
            </w:r>
            <w:proofErr w:type="spellEnd"/>
          </w:p>
        </w:tc>
        <w:tc>
          <w:tcPr>
            <w:tcW w:w="1759" w:type="dxa"/>
            <w:tcBorders>
              <w:top w:val="single" w:sz="6" w:space="0" w:color="000000"/>
              <w:left w:val="single" w:sz="6" w:space="0" w:color="000000"/>
              <w:bottom w:val="single" w:sz="6" w:space="0" w:color="000000"/>
              <w:right w:val="single" w:sz="6" w:space="0" w:color="000000"/>
            </w:tcBorders>
          </w:tcPr>
          <w:p w14:paraId="4F384840" w14:textId="061C7FF4"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 xml:space="preserve">300 мг х 1 раз в </w:t>
            </w:r>
            <w:proofErr w:type="spellStart"/>
            <w:r w:rsidRPr="00062B4F">
              <w:rPr>
                <w:iCs/>
                <w:szCs w:val="24"/>
                <w:lang w:eastAsia="ru-RU"/>
              </w:rPr>
              <w:t>сут</w:t>
            </w:r>
            <w:proofErr w:type="spellEnd"/>
          </w:p>
        </w:tc>
        <w:tc>
          <w:tcPr>
            <w:tcW w:w="1438" w:type="dxa"/>
            <w:tcBorders>
              <w:top w:val="single" w:sz="6" w:space="0" w:color="000000"/>
              <w:left w:val="single" w:sz="6" w:space="0" w:color="000000"/>
              <w:bottom w:val="single" w:sz="6" w:space="0" w:color="000000"/>
              <w:right w:val="single" w:sz="6" w:space="0" w:color="000000"/>
            </w:tcBorders>
          </w:tcPr>
          <w:p w14:paraId="797626CF" w14:textId="5880855A" w:rsidR="0071629F" w:rsidRPr="00062B4F" w:rsidRDefault="0071629F" w:rsidP="0071629F">
            <w:pPr>
              <w:spacing w:beforeAutospacing="1" w:afterAutospacing="1" w:line="288" w:lineRule="auto"/>
              <w:ind w:firstLine="0"/>
              <w:jc w:val="left"/>
              <w:rPr>
                <w:iCs/>
                <w:szCs w:val="24"/>
                <w:lang w:eastAsia="ru-RU"/>
              </w:rPr>
            </w:pPr>
            <w:r w:rsidRPr="00062B4F">
              <w:rPr>
                <w:iCs/>
                <w:szCs w:val="24"/>
                <w:lang w:eastAsia="ru-RU"/>
              </w:rPr>
              <w:t xml:space="preserve">400 мг х 1 раз в </w:t>
            </w:r>
            <w:proofErr w:type="spellStart"/>
            <w:r w:rsidRPr="00062B4F">
              <w:rPr>
                <w:iCs/>
                <w:szCs w:val="24"/>
                <w:lang w:eastAsia="ru-RU"/>
              </w:rPr>
              <w:t>сут</w:t>
            </w:r>
            <w:proofErr w:type="spellEnd"/>
          </w:p>
        </w:tc>
      </w:tr>
      <w:tr w:rsidR="0071629F" w:rsidRPr="00062B4F" w14:paraId="68430F23" w14:textId="44BBCB29" w:rsidTr="00351AF0">
        <w:trPr>
          <w:trHeight w:val="300"/>
          <w:jc w:val="center"/>
        </w:trPr>
        <w:tc>
          <w:tcPr>
            <w:tcW w:w="1144" w:type="dxa"/>
            <w:tcBorders>
              <w:top w:val="single" w:sz="6" w:space="0" w:color="000000"/>
              <w:left w:val="single" w:sz="6" w:space="0" w:color="000000"/>
              <w:bottom w:val="single" w:sz="6" w:space="0" w:color="000000"/>
              <w:right w:val="single" w:sz="6" w:space="0" w:color="000000"/>
            </w:tcBorders>
          </w:tcPr>
          <w:p w14:paraId="3EC61F7E"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Снижение дозы (–2)</w:t>
            </w:r>
          </w:p>
        </w:tc>
        <w:tc>
          <w:tcPr>
            <w:tcW w:w="1253" w:type="dxa"/>
            <w:tcBorders>
              <w:top w:val="single" w:sz="6" w:space="0" w:color="000000"/>
              <w:left w:val="single" w:sz="6" w:space="0" w:color="000000"/>
              <w:bottom w:val="single" w:sz="6" w:space="0" w:color="000000"/>
              <w:right w:val="single" w:sz="6" w:space="0" w:color="000000"/>
            </w:tcBorders>
          </w:tcPr>
          <w:p w14:paraId="51B30C66"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 –</w:t>
            </w:r>
          </w:p>
        </w:tc>
        <w:tc>
          <w:tcPr>
            <w:tcW w:w="1235" w:type="dxa"/>
            <w:tcBorders>
              <w:top w:val="single" w:sz="6" w:space="0" w:color="000000"/>
              <w:left w:val="single" w:sz="6" w:space="0" w:color="000000"/>
              <w:bottom w:val="single" w:sz="6" w:space="0" w:color="000000"/>
              <w:right w:val="single" w:sz="6" w:space="0" w:color="000000"/>
            </w:tcBorders>
          </w:tcPr>
          <w:p w14:paraId="5CEF86E9" w14:textId="77777777"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400 мг</w:t>
            </w:r>
            <w:r w:rsidRPr="00062B4F">
              <w:rPr>
                <w:iCs/>
                <w:szCs w:val="24"/>
                <w:lang w:eastAsia="ru-RU"/>
              </w:rPr>
              <w:br/>
              <w:t xml:space="preserve">х 1 раз в </w:t>
            </w:r>
            <w:proofErr w:type="spellStart"/>
            <w:r w:rsidRPr="00062B4F">
              <w:rPr>
                <w:iCs/>
                <w:szCs w:val="24"/>
                <w:lang w:eastAsia="ru-RU"/>
              </w:rPr>
              <w:t>сут</w:t>
            </w:r>
            <w:proofErr w:type="spellEnd"/>
          </w:p>
        </w:tc>
        <w:tc>
          <w:tcPr>
            <w:tcW w:w="1232" w:type="dxa"/>
            <w:tcBorders>
              <w:top w:val="single" w:sz="6" w:space="0" w:color="000000"/>
              <w:left w:val="single" w:sz="6" w:space="0" w:color="000000"/>
              <w:bottom w:val="single" w:sz="6" w:space="0" w:color="000000"/>
              <w:right w:val="single" w:sz="6" w:space="0" w:color="000000"/>
            </w:tcBorders>
          </w:tcPr>
          <w:p w14:paraId="6C177B06" w14:textId="2CA25366" w:rsidR="0071629F" w:rsidRPr="00062B4F" w:rsidRDefault="0071629F" w:rsidP="0071629F">
            <w:pPr>
              <w:spacing w:beforeAutospacing="1" w:afterAutospacing="1" w:line="288" w:lineRule="auto"/>
              <w:ind w:firstLine="0"/>
              <w:jc w:val="left"/>
              <w:rPr>
                <w:szCs w:val="24"/>
                <w:lang w:eastAsia="ru-RU"/>
              </w:rPr>
            </w:pPr>
            <w:r w:rsidRPr="00062B4F">
              <w:rPr>
                <w:iCs/>
                <w:szCs w:val="24"/>
                <w:lang w:eastAsia="ru-RU"/>
              </w:rPr>
              <w:t>50 мг</w:t>
            </w:r>
            <w:r w:rsidRPr="00062B4F">
              <w:rPr>
                <w:iCs/>
                <w:szCs w:val="24"/>
                <w:lang w:eastAsia="ru-RU"/>
              </w:rPr>
              <w:br/>
              <w:t xml:space="preserve">х 1 раз в </w:t>
            </w:r>
            <w:proofErr w:type="spellStart"/>
            <w:r w:rsidRPr="00062B4F">
              <w:rPr>
                <w:iCs/>
                <w:szCs w:val="24"/>
                <w:lang w:eastAsia="ru-RU"/>
              </w:rPr>
              <w:t>сут</w:t>
            </w:r>
            <w:proofErr w:type="spellEnd"/>
          </w:p>
        </w:tc>
        <w:tc>
          <w:tcPr>
            <w:tcW w:w="1278" w:type="dxa"/>
            <w:tcBorders>
              <w:top w:val="single" w:sz="6" w:space="0" w:color="000000"/>
              <w:left w:val="single" w:sz="6" w:space="0" w:color="000000"/>
              <w:bottom w:val="single" w:sz="6" w:space="0" w:color="000000"/>
              <w:right w:val="single" w:sz="6" w:space="0" w:color="000000"/>
            </w:tcBorders>
          </w:tcPr>
          <w:p w14:paraId="5BD781F9" w14:textId="0E655FDA" w:rsidR="0071629F" w:rsidRPr="00062B4F" w:rsidRDefault="001515F7" w:rsidP="0071629F">
            <w:pPr>
              <w:spacing w:beforeAutospacing="1" w:afterAutospacing="1" w:line="288" w:lineRule="auto"/>
              <w:ind w:firstLine="0"/>
              <w:jc w:val="left"/>
              <w:rPr>
                <w:szCs w:val="24"/>
                <w:lang w:eastAsia="ru-RU"/>
              </w:rPr>
            </w:pPr>
            <w:r>
              <w:rPr>
                <w:iCs/>
                <w:szCs w:val="24"/>
                <w:lang w:eastAsia="ru-RU"/>
              </w:rPr>
              <w:t>7</w:t>
            </w:r>
            <w:r w:rsidRPr="00062B4F">
              <w:rPr>
                <w:iCs/>
                <w:szCs w:val="24"/>
                <w:lang w:eastAsia="ru-RU"/>
              </w:rPr>
              <w:t xml:space="preserve">0 </w:t>
            </w:r>
            <w:r w:rsidR="0071629F" w:rsidRPr="00062B4F">
              <w:rPr>
                <w:iCs/>
                <w:szCs w:val="24"/>
                <w:lang w:eastAsia="ru-RU"/>
              </w:rPr>
              <w:t>мг</w:t>
            </w:r>
            <w:r w:rsidR="0071629F" w:rsidRPr="00062B4F">
              <w:rPr>
                <w:iCs/>
                <w:szCs w:val="24"/>
                <w:lang w:eastAsia="ru-RU"/>
              </w:rPr>
              <w:br/>
              <w:t xml:space="preserve">х 1 раз в </w:t>
            </w:r>
            <w:proofErr w:type="spellStart"/>
            <w:r w:rsidR="0071629F" w:rsidRPr="00062B4F">
              <w:rPr>
                <w:iCs/>
                <w:szCs w:val="24"/>
                <w:lang w:eastAsia="ru-RU"/>
              </w:rPr>
              <w:t>сут</w:t>
            </w:r>
            <w:proofErr w:type="spellEnd"/>
          </w:p>
        </w:tc>
        <w:tc>
          <w:tcPr>
            <w:tcW w:w="1759" w:type="dxa"/>
            <w:tcBorders>
              <w:top w:val="single" w:sz="6" w:space="0" w:color="000000"/>
              <w:left w:val="single" w:sz="6" w:space="0" w:color="000000"/>
              <w:bottom w:val="single" w:sz="6" w:space="0" w:color="000000"/>
              <w:right w:val="single" w:sz="6" w:space="0" w:color="000000"/>
            </w:tcBorders>
          </w:tcPr>
          <w:p w14:paraId="75A223C4" w14:textId="621AE81D" w:rsidR="0071629F" w:rsidRPr="00062B4F" w:rsidRDefault="00A9422E" w:rsidP="0071629F">
            <w:pPr>
              <w:spacing w:beforeAutospacing="1" w:afterAutospacing="1" w:line="288" w:lineRule="auto"/>
              <w:ind w:firstLine="0"/>
              <w:jc w:val="left"/>
              <w:rPr>
                <w:szCs w:val="24"/>
                <w:lang w:eastAsia="ru-RU"/>
              </w:rPr>
            </w:pPr>
            <w:r>
              <w:rPr>
                <w:iCs/>
                <w:szCs w:val="24"/>
                <w:lang w:eastAsia="ru-RU"/>
              </w:rPr>
              <w:t>-</w:t>
            </w:r>
          </w:p>
        </w:tc>
        <w:tc>
          <w:tcPr>
            <w:tcW w:w="1438" w:type="dxa"/>
            <w:tcBorders>
              <w:top w:val="single" w:sz="6" w:space="0" w:color="000000"/>
              <w:left w:val="single" w:sz="6" w:space="0" w:color="000000"/>
              <w:bottom w:val="single" w:sz="6" w:space="0" w:color="000000"/>
              <w:right w:val="single" w:sz="6" w:space="0" w:color="000000"/>
            </w:tcBorders>
          </w:tcPr>
          <w:p w14:paraId="736DC1ED" w14:textId="5588A3DD" w:rsidR="0071629F" w:rsidRPr="00062B4F" w:rsidRDefault="0071629F" w:rsidP="0071629F">
            <w:pPr>
              <w:spacing w:beforeAutospacing="1" w:afterAutospacing="1" w:line="288" w:lineRule="auto"/>
              <w:ind w:firstLine="0"/>
              <w:jc w:val="left"/>
              <w:rPr>
                <w:iCs/>
                <w:szCs w:val="24"/>
                <w:lang w:eastAsia="ru-RU"/>
              </w:rPr>
            </w:pPr>
            <w:r w:rsidRPr="00062B4F">
              <w:rPr>
                <w:iCs/>
                <w:szCs w:val="24"/>
                <w:lang w:eastAsia="ru-RU"/>
              </w:rPr>
              <w:t xml:space="preserve">300 мг х 1 раз в </w:t>
            </w:r>
            <w:proofErr w:type="spellStart"/>
            <w:r w:rsidRPr="00062B4F">
              <w:rPr>
                <w:iCs/>
                <w:szCs w:val="24"/>
                <w:lang w:eastAsia="ru-RU"/>
              </w:rPr>
              <w:t>сут</w:t>
            </w:r>
            <w:proofErr w:type="spellEnd"/>
          </w:p>
        </w:tc>
      </w:tr>
    </w:tbl>
    <w:p w14:paraId="6FA89225" w14:textId="77777777" w:rsidR="000C7098" w:rsidRPr="00062B4F" w:rsidRDefault="000C7098" w:rsidP="0078009F">
      <w:pPr>
        <w:pStyle w:val="27"/>
      </w:pPr>
    </w:p>
    <w:p w14:paraId="30FB8CE1" w14:textId="77777777" w:rsidR="000C7098" w:rsidRPr="00062B4F" w:rsidRDefault="000C7098" w:rsidP="00A26583">
      <w:pPr>
        <w:pStyle w:val="3"/>
        <w:rPr>
          <w:rFonts w:ascii="Times New Roman" w:hAnsi="Times New Roman"/>
          <w:b/>
          <w:iCs/>
          <w:color w:val="auto"/>
        </w:rPr>
      </w:pPr>
      <w:bookmarkStart w:id="30" w:name="_Toc86133408"/>
      <w:r w:rsidRPr="00062B4F">
        <w:rPr>
          <w:rFonts w:ascii="Times New Roman" w:hAnsi="Times New Roman"/>
          <w:b/>
          <w:iCs/>
          <w:color w:val="auto"/>
        </w:rPr>
        <w:t>3.1.5. Диагностика на этапе лечения (мониторинг результатов терапии ИТК у пациентов с ХМЛ)</w:t>
      </w:r>
      <w:bookmarkEnd w:id="30"/>
    </w:p>
    <w:p w14:paraId="3D585BE5" w14:textId="6A34E3EC" w:rsidR="000C7098" w:rsidRDefault="000C7098" w:rsidP="00505FD7">
      <w:pPr>
        <w:numPr>
          <w:ilvl w:val="0"/>
          <w:numId w:val="20"/>
        </w:numPr>
        <w:ind w:left="714" w:hanging="357"/>
        <w:rPr>
          <w:iCs/>
          <w:szCs w:val="24"/>
          <w:lang w:eastAsia="ru-RU"/>
        </w:rPr>
      </w:pPr>
      <w:r w:rsidRPr="00062B4F">
        <w:rPr>
          <w:b/>
          <w:bCs/>
          <w:iCs/>
          <w:szCs w:val="24"/>
          <w:lang w:eastAsia="ru-RU"/>
        </w:rPr>
        <w:t>Рекомендуется</w:t>
      </w:r>
      <w:r w:rsidRPr="00062B4F">
        <w:rPr>
          <w:iCs/>
          <w:szCs w:val="24"/>
          <w:lang w:eastAsia="ru-RU"/>
        </w:rPr>
        <w:t xml:space="preserve"> регулярный мониторинг гематологических, цитогенетических и молекулярно-генетических и других показателей у пациента для оценки эффективности и переносимости терапии ИТК </w:t>
      </w:r>
      <w:r w:rsidR="00D6082E" w:rsidRPr="00062B4F">
        <w:rPr>
          <w:iCs/>
          <w:szCs w:val="24"/>
          <w:lang w:eastAsia="ru-RU"/>
        </w:rPr>
        <w:t xml:space="preserve"> </w:t>
      </w:r>
      <w:r w:rsidR="00D6082E" w:rsidRPr="00062B4F">
        <w:rPr>
          <w:iCs/>
          <w:szCs w:val="24"/>
          <w:lang w:eastAsia="ru-RU"/>
        </w:rPr>
        <w:fldChar w:fldCharType="begin" w:fldLock="1"/>
      </w:r>
      <w:r w:rsidR="00C54289" w:rsidRPr="00062B4F">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2013","type":"article-journal","volume":"122"},"uris":["http://www.mendeley.com/documents/?uuid=b5e67c21-2872-4c38-9959-b900b58387b2"]},{"id":"ITEM-2","itemData":{"DOI":"10.1182/blood.v91.9.3357.3357_3357_3365","ISSN":"00064971","PMID":"9558393","abstract":"We investigated a new method using fluorescence in situ hybridization and DNA probes that span the common break-points of t(9;22)(q34;q11.2) and that detect double BCR/ABL fusion (D-FISH) in bone marrow cells with this translocation, one on the abnormal chromosome 9 and one on the Philadelphia chromosome (Ph chromosome). D-FISH patterns were abnormal in 30 of 30 specimens with classic, simple, complex, and masked Ph chromosomes. Based on 200 nuclei from each of 30 normal specimens, the mean percentage of false- positive cells was 0.25 ± 0.39. Thirty-seven specimens from 10 patients were studied before treatment and two or more times at 4-month intervals after treatment with interferon-α(2b) (IFN-α(2b)) with or without ara-C. Based on 200 nuclei, the results of D-FISH in these specimens correlated closely with quantitative cytogenetics and accurately quantified disease within a few percent. We studied 6,000 nuclei for each of six specimens, three normal and three from patients with chronic myeloid leukemia (CML) in cytogenetic remission. The normal cutoff for 6,000 nuclei was 0.079% and patients in cytogenetic remission had residual disease ranging from 7 (0.117%)to 53 (0.883%) Ph-positive nuclei. We conclude that D-FISH can detect the ph chromosome and its variant translocations and accurately quantify disease in CML at diagnosis and at all times after treatment, including cytogenetic remission.","author":[{"dropping-particle":"","family":"Dewald","given":"Gordon W.","non-dropping-particle":"","parse-names":false,"suffix":""},{"dropping-particle":"","family":"Wyatt","given":"William A.","non-dropping-particle":"","parse-names":false,"suffix":""},{"dropping-particle":"","family":"Juneau","given":"Amy L.","non-dropping-particle":"","parse-names":false,"suffix":""},{"dropping-particle":"","family":"Carlson","given":"Richard O.","non-dropping-particle":"","parse-names":false,"suffix":""},{"dropping-particle":"","family":"Zinsmeister","given":"Alan R.","non-dropping-particle":"","parse-names":false,"suffix":""},{"dropping-particle":"","family":"Jalal","given":"Syed M.","non-dropping-particle":"","parse-names":false,"suffix":""},{"dropping-particle":"","family":"Spurbeck","given":"Jack L.","non-dropping-particle":"","parse-names":false,"suffix":""},{"dropping-particle":"","family":"Silver","given":"Richard T.","non-dropping-particle":"","parse-names":false,"suffix":""}],"container-title":"Blood","id":"ITEM-2","issue":"9","issued":{"date-parts":[["1998","5","1"]]},"page":"3357-3365","publisher":"American Society of Hematology","title":"Highly sensitive fluorescence in situ hybridization method to detect double BCR/ABL fusion and monitor response to therapy in chronic myeloid leukemia","type":"article-journal","volume":"91"},"uris":["http://www.mendeley.com/documents/?uuid=daf09a71-aefe-390e-bd71-468723f9b6de"]},{"id":"ITEM-3","itemData":{"DOI":"10.1002/cncr.25678","ISSN":"0008543X","abstract":"BACKGROUND: The current study was conducted to compare simultaneously obtained bone marrow (BM) cytogenetics (CTG), peripheral blood (PB) and BM fluorescence in situ hybridization (FISH), and quantitative real-time polymerase chain reaction (Q-PCR) for BCR-ABL1 in monitoring response to treatment with tyrosine kinase inhibitors and homoharringtonine (HHT) in patients with chronic myeloid leukemia (CML). METHODS: PB and BM FISH (n = 112 samples) and/or Q-PCR (n = 132 samples) for BCR-ABL1 were simultaneously obtained in 70 patients with Philadelphia chromosome-positive (Ph+) CML in chronic (68%), accelerated (16%), and blast phase (16%) before the initiation of therapy and during the course of treatment with imatinib (IM) (n = 40 patients), dasatinib (n = 20 patients), nilotinib (n = 4 patients), bosutinib (n = 18 patients), or HHT (n = 4 patients) for patients with newly diagnosed (n = 13 patients), IM-sensitive (n = 34 patients), IM-resistant (n = 30 patients), or IM-intolerant (n = 9 patients) disease. Eighteen patients were found to have Ph+ variants or karyotypic abnormalities in addition to the Ph+. RESULTS: Excellent correlations (r) were observed between PB and BM FISH (r = 0.95) and PB and BM Q-PCR (r = 0.87), as well as BM CTG and PB FISH (r = 0.89) and PB Q-PCR (r = 0.82). This correlation was not affected by the presence of the Ph+ variant or additional chromosomal abnormalities, the presence of ABL1 kinase domain mutations, phase of the disease, or treatment. CONCLUSIONS: PB FISH and Q-PCR appear to be reliable methods with which to monitor response to modern therapy in patients with all phases of CML. © 2010 American Cancer Society.","author":[{"dropping-particle":"","family":"Lima","given":"Lisa","non-dropping-particle":"","parse-names":false,"suffix":""},{"dropping-particle":"","family":"Bernal-Mizrachi","given":"Leon","non-dropping-particle":"","parse-names":false,"suffix":""},{"dropping-particle":"","family":"Saxe","given":"Debra","non-dropping-particle":"","parse-names":false,"suffix":""},{"dropping-particle":"","family":"Mann","given":"Karen P.","non-dropping-particle":"","parse-names":false,"suffix":""},{"dropping-particle":"","family":"Tighiouart","given":"Mourad","non-dropping-particle":"","parse-names":false,"suffix":""},{"dropping-particle":"","family":"Arellano","given":"Martha","non-dropping-particle":"","parse-names":false,"suffix":""},{"dropping-particle":"","family":"Heffner","given":"Leonard","non-dropping-particle":"","parse-names":false,"suffix":""},{"dropping-particle":"","family":"McLemore","given":"Morgan","non-dropping-particle":"","parse-names":false,"suffix":""},{"dropping-particle":"","family":"Langston","given":"Amelia","non-dropping-particle":"","parse-names":false,"suffix":""},{"dropping-particle":"","family":"Winton","given":"Elliott","non-dropping-particle":"","parse-names":false,"suffix":""},{"dropping-particle":"","family":"Khoury","given":"Hanna Jean","non-dropping-particle":"","parse-names":false,"suffix":""}],"container-title":"Cancer","id":"ITEM-3","issue":"6","issued":{"date-parts":[["2011","3","15"]]},"page":"1245-1252","title":"Peripheral blood monitoring of chronic myeloid leukemia during treatment with imatinib, second-line agents, and beyond","type":"article-journal","volume":"117"},"uris":["http://www.mendeley.com/documents/?uuid=995a564b-ca83-3880-a812-8148d7cedb42"]},{"id":"ITEM-4","itemData":{"DOI":"10.1182/blood-2006-01-0092","ISSN":"0006-4971","PMID":"16522812","abstract":"The introduction in 1998 of imatinib mesylate (IM) revolutionized management of patients with chronic myeloid leukemia (CML) and the second generation of tyrosine kinase inhibitors may prove superior to IM. Real-time quantitative polymerase chain reaction (RQ-PCR) provides an accurate measure of the total leukemiacell mass and the degree to which BCR-ABL transcripts are reduced by therapy correlates with progression-free survival. Because a rising level of BCR-ABL is an early indication of loss of response and thus the need to reassess therapeutic strategy, regular molecular monitoring of individual patients is clearly desirable. Here we summarize the results of a consensus meeting that took place at the National Institutes of Health (NIH) in Bethesda in October 2005. We make suggestions for (1) harmonizing the differing methodologies for measuring BCR-ABL transcripts in patients with CML undergoing treatment and using a conversion factor whereby individual laboratories can express BCR-ABL transcript levels on an internationally agreed scale; (2) using serial RQ-PCR results rather than bone marrow cytogenetics or fluorescence in situ hybridization (FISH) for the BCR-ABL gene to monitor individual patients responding to treatment; and (3) detecting and reporting Philadelphia (Ph) chromosome-positive subpopulations bearing BCR-ABL kinase domain mutations. We recognize that our recommendations are provisional and will require revision as new evidence emerges.","author":[{"dropping-particle":"","family":"Hughes","given":"T.","non-dropping-particle":"","parse-names":false,"suffix":""},{"dropping-particle":"","family":"Deininger","given":"Michael","non-dropping-particle":"","parse-names":false,"suffix":""},{"dropping-particle":"","family":"Hochhaus","given":"Andreas","non-dropping-particle":"","parse-names":false,"suffix":""},{"dropping-particle":"","family":"Branford","given":"Susan","non-dropping-particle":"","parse-names":false,"suffix":""},{"dropping-particle":"","family":"Radich","given":"Jerald","non-dropping-particle":"","parse-names":false,"suffix":""},{"dropping-particle":"","family":"Kaeda","given":"Jaspal","non-dropping-particle":"","parse-names":false,"suffix":""},{"dropping-particle":"","family":"Baccarani","given":"Michele","non-dropping-particle":"","parse-names":false,"suffix":""},{"dropping-particle":"","family":"Cortes","given":"Jorge","non-dropping-particle":"","parse-names":false,"suffix":""},{"dropping-particle":"","family":"Cross","given":"Nicholas C P","non-dropping-particle":"","parse-names":false,"suffix":""},{"dropping-particle":"","family":"Druker","given":"Brian J","non-dropping-particle":"","parse-names":false,"suffix":""},{"dropping-particle":"","family":"Gabert","given":"Jean","non-dropping-particle":"","parse-names":false,"suffix":""},{"dropping-particle":"","family":"Grimwade","given":"David","non-dropping-particle":"","parse-names":false,"suffix":""},{"dropping-particle":"","family":"Hehlmann","given":"Rüdiger","non-dropping-particle":"","parse-names":false,"suffix":""},{"dropping-particle":"","family":"Kamel-Reid","given":"Suzanne","non-dropping-particle":"","parse-names":false,"suffix":""},{"dropping-particle":"","family":"Lipton","given":"Jeffrey H","non-dropping-particle":"","parse-names":false,"suffix":""},{"dropping-particle":"","family":"Longtine","given":"Janina","non-dropping-particle":"","parse-names":false,"suffix":""},{"dropping-particle":"","family":"Martinelli","given":"Giovanni","non-dropping-particle":"","parse-names":false,"suffix":""},{"dropping-particle":"","family":"Saglio","given":"Giuseppe","non-dropping-particle":"","parse-names":false,"suffix":""},{"dropping-particle":"","family":"Soverini","given":"Simona","non-dropping-particle":"","parse-names":false,"suffix":""},{"dropping-particle":"","family":"Stock","given":"Wendy","non-dropping-particle":"","parse-names":false,"suffix":""},{"dropping-particle":"","family":"Goldman","given":"John M","non-dropping-particle":"","parse-names":false,"suffix":""}],"container-title":"Blood","id":"ITEM-4","issue":"1","issued":{"date-parts":[["2006","7"]]},"page":"28-37","title":"Monitoring CML patients responding to treatment with tyrosine kinase inhibitors: review and recommendations for harmonizing current methodology for detecting BCR-ABL transcripts and kinase domain mutations and for expressing results","type":"article-journal","volume":"108"},"uris":["http://www.mendeley.com/documents/?uuid=71c8ca6b-7581-47eb-9cb2-d4cf3d18d8b4"]},{"id":"ITEM-5","itemData":{"DOI":"10.1038/sj.leu.2404388","ISSN":"14765551","abstract":"Molecular monitoring for patients with chronic myeloid leukaemia (CML) has become an important practice in the era of imatinib therapy. For successful widespread introduction into the mainstream patient monitoring schedule, many procedural aspects of the complex real-time quantitative polymerase chain reaction (RQ-PCR) technique for measuring BCR-ABL transcripts require optimization. Recommendations for harmonizing the differing methodologies have recently been proposed. These recommendations were designed to maximize reliability of analysis for clinical decision making and proposed the adoption of an International Scale of measurement. The purpose of this review is to present the evidence and supporting data for specific recommendations. These recommendations include use of the same source of cells, either blood or marrow, for analysis; for validation of equal PCR amplification efficiencies of cDNA and standards when using a plasmid to construct standard curves and for ensuring ongoing high-level performance by undertaking a quality assurance programme. Clinicians must know the measurement reliability of an RQ-PCR assay to be able to determine the significance of a change in BCR-ABL level. An assay with poor precision limits the clinical usefulness of results. International harmonization should establish RQ-PCR measurement of BCR-ABL as the best method for monitoring treatment response for patients with CML.","author":[{"dropping-particle":"","family":"Branford","given":"S.","non-dropping-particle":"","parse-names":false,"suffix":""},{"dropping-particle":"","family":"Cross","given":"N. C.P.","non-dropping-particle":"","parse-names":false,"suffix":""},{"dropping-particle":"","family":"Hochhaus","given":"A.","non-dropping-particle":"","parse-names":false,"suffix":""},{"dropping-particle":"","family":"Radich","given":"J.","non-dropping-particle":"","parse-names":false,"suffix":""},{"dropping-particle":"","family":"Saglio","given":"G.","non-dropping-particle":"","parse-names":false,"suffix":""},{"dropping-particle":"","family":"Kaeda","given":"J.","non-dropping-particle":"","parse-names":false,"suffix":""},{"dropping-particle":"","family":"Goldman","given":"J.","non-dropping-particle":"","parse-names":false,"suffix":""},{"dropping-particle":"","family":"Hughes","given":"T.","non-dropping-particle":"","parse-names":false,"suffix":""}],"container-title":"Leukemia","id":"ITEM-5","issue":"11","issued":{"date-parts":[["2006"]]},"page":"1925-1930","publisher":"Nature Publishing Group","title":"Rationale for the recommendations for harmonizing current methodology for detecting BCR-ABL transcripts in patients with chronic myeloid leukaemia","type":"article","volume":"20"},"uris":["http://www.mendeley.com/documents/?uuid=0a60a3f7-0e18-33c6-b570-a550d83a0a94"]},{"id":"ITEM-6","itemData":{"DOI":"10.1185/03007995.2014.904281","ISSN":"14734877","abstract":"Objective: Adherence with oral tyrosine kinase inhibitor (TKI) therapy over prolonged timeframes is required for successful outcomes among patients with chronic phase chronic myelogenous leukemia (CP-CML). Since quantitative polymerase chain reaction (qPCR) monitoring may identify early suboptimal responses, and thereby permit detection of non-adherence to therapy, we sought to assess the association between frequency of molecular monitoring and medication adherence. Research design and methods: This is a retrospective cohort study design of diagnosed CP-CML obtained from two large US administrative claims databases. Patients were grouped into cohorts based on the number of qPCR tests they had. Adherence was assessed both by medication possession ratio (MPR) and proportion of days covered (PDC) and was compared between qPCR cohorts. A sensitivity analysis was performed by adjusting for the number of oncology outpatient visits not due to routine molecular monitoring. Results: Over the 12 month study period, 1205 CML patients met the selection criteria; 41.0% had no qPCR tests, 31.9% had 1-2 tests, and 27.1% had 3-4 tests; 88.9% of patients were initiated on imatinib. Patients in the 3-4 qPCR tests cohort had an average MPR that was 10.22 (p&lt;0.001) and 9.54 (p&lt;0.001) percentage points higher compared to patients in the 0 tests cohort and the 1-2 tests cohort. When using PDC as a measure of adherence, similar results were obtained. The results of the sensitivity analysis were consistent with core analysis findings, excluding number of physician visits as a potential driver of adherence. Limitations: These findings demonstrate an association, not causation, between molecular monitoring frequency and adherence. Conclusions: Frequent molecular monitoring (3-4 times per year as recommended in current guidelines) is associated with greater TKI treatment adherence for patients diagnosed with CML. Since TKI adherence &gt;80% has been associated with better clinical outcomes, this study underscores the importance of molecular monitoring. © 2014 All rights reserved.","author":[{"dropping-particle":"","family":"Guérin","given":"Annie","non-dropping-particle":"","parse-names":false,"suffix":""},{"dropping-particle":"","family":"Chen","given":"Lei","non-dropping-particle":"","parse-names":false,"suffix":""},{"dropping-particle":"","family":"Dea","given":"Katherine","non-dropping-particle":"","parse-names":false,"suffix":""},{"dropping-particle":"","family":"Wu","given":"Eric Q.","non-dropping-particle":"","parse-names":false,"suffix":""},{"dropping-particle":"","family":"Goldberg","given":"Stuart L.","non-dropping-particle":"","parse-names":false,"suffix":""}],"container-title":"Current Medical Research and Opinion","id":"ITEM-6","issue":"7","issued":{"date-parts":[["2014"]]},"page":"1345-1352","publisher":"Informa Healthcare","title":"Association between regular molecular monitoring and tyrosine kinase inhibitor therapy adherence in chronic myelogenous leukemia in the chronic phase","type":"article-journal","volume":"30"},"uris":["http://www.mendeley.com/documents/?uuid=c71ad257-07aa-352e-a726-045c0f2953c5"]}],"mendeley":{"formattedCitation":"[11–13,15,55,56]","plainTextFormattedCitation":"[11–13,15,55,56]","previouslyFormattedCitation":"[11–13,15,55,56]"},"properties":{"noteIndex":0},"schema":"https://github.com/citation-style-language/schema/raw/master/csl-citation.json"}</w:instrText>
      </w:r>
      <w:r w:rsidR="00D6082E" w:rsidRPr="00062B4F">
        <w:rPr>
          <w:iCs/>
          <w:szCs w:val="24"/>
          <w:lang w:eastAsia="ru-RU"/>
        </w:rPr>
        <w:fldChar w:fldCharType="separate"/>
      </w:r>
      <w:r w:rsidR="00C54289" w:rsidRPr="00062B4F">
        <w:rPr>
          <w:iCs/>
          <w:noProof/>
          <w:szCs w:val="24"/>
          <w:lang w:val="en-US" w:eastAsia="ru-RU"/>
        </w:rPr>
        <w:t>[11–13,15,55,56</w:t>
      </w:r>
      <w:r w:rsidR="001A1192">
        <w:rPr>
          <w:iCs/>
          <w:noProof/>
          <w:szCs w:val="24"/>
          <w:lang w:eastAsia="ru-RU"/>
        </w:rPr>
        <w:t>,101</w:t>
      </w:r>
      <w:r w:rsidR="00C54289" w:rsidRPr="00062B4F">
        <w:rPr>
          <w:iCs/>
          <w:noProof/>
          <w:szCs w:val="24"/>
          <w:lang w:val="en-US" w:eastAsia="ru-RU"/>
        </w:rPr>
        <w:t>]</w:t>
      </w:r>
      <w:r w:rsidR="00D6082E" w:rsidRPr="00062B4F">
        <w:rPr>
          <w:iCs/>
          <w:szCs w:val="24"/>
          <w:lang w:eastAsia="ru-RU"/>
        </w:rPr>
        <w:fldChar w:fldCharType="end"/>
      </w:r>
      <w:r w:rsidR="00D6082E" w:rsidRPr="00062B4F">
        <w:rPr>
          <w:iCs/>
          <w:szCs w:val="24"/>
          <w:lang w:eastAsia="ru-RU"/>
        </w:rPr>
        <w:t>.</w:t>
      </w:r>
    </w:p>
    <w:p w14:paraId="20D24398" w14:textId="2AA3E250" w:rsidR="00DF576E" w:rsidRPr="00752457" w:rsidRDefault="00DF576E" w:rsidP="00505FD7">
      <w:pPr>
        <w:numPr>
          <w:ilvl w:val="0"/>
          <w:numId w:val="20"/>
        </w:numPr>
      </w:pPr>
      <w:r w:rsidRPr="00752457">
        <w:rPr>
          <w:rStyle w:val="layout"/>
        </w:rPr>
        <w:t xml:space="preserve">При длительной глубокой </w:t>
      </w:r>
      <w:proofErr w:type="spellStart"/>
      <w:r w:rsidRPr="00752457">
        <w:rPr>
          <w:rStyle w:val="layout"/>
        </w:rPr>
        <w:t>цитопении</w:t>
      </w:r>
      <w:proofErr w:type="spellEnd"/>
      <w:r w:rsidRPr="00752457">
        <w:rPr>
          <w:rStyle w:val="layout"/>
        </w:rPr>
        <w:t xml:space="preserve"> на фоне лечения ИТК вне зависимости от стадии ХМЛ рекомендуется выполнение </w:t>
      </w:r>
      <w:proofErr w:type="spellStart"/>
      <w:r w:rsidRPr="00752457">
        <w:rPr>
          <w:rStyle w:val="layout"/>
        </w:rPr>
        <w:t>трепанобиопсии</w:t>
      </w:r>
      <w:proofErr w:type="spellEnd"/>
      <w:r w:rsidRPr="00752457">
        <w:rPr>
          <w:rStyle w:val="layout"/>
        </w:rPr>
        <w:t xml:space="preserve"> с последующим </w:t>
      </w:r>
      <w:proofErr w:type="gramStart"/>
      <w:r w:rsidRPr="00752457">
        <w:t>патолого-анатомическим</w:t>
      </w:r>
      <w:proofErr w:type="gramEnd"/>
      <w:r w:rsidRPr="00752457">
        <w:t xml:space="preserve"> исследованием </w:t>
      </w:r>
      <w:proofErr w:type="spellStart"/>
      <w:r w:rsidRPr="00752457">
        <w:t>биопсийного</w:t>
      </w:r>
      <w:proofErr w:type="spellEnd"/>
      <w:r w:rsidRPr="00752457">
        <w:t xml:space="preserve"> (операционного) материала костного мозга </w:t>
      </w:r>
    </w:p>
    <w:p w14:paraId="01CA36F6" w14:textId="77777777" w:rsidR="000C7098" w:rsidRPr="00062B4F" w:rsidRDefault="000C7098" w:rsidP="00EF3037">
      <w:pPr>
        <w:ind w:left="709" w:firstLine="0"/>
        <w:rPr>
          <w:szCs w:val="24"/>
          <w:lang w:eastAsia="ru-RU"/>
        </w:rPr>
      </w:pPr>
      <w:r w:rsidRPr="00062B4F">
        <w:rPr>
          <w:b/>
          <w:bCs/>
          <w:szCs w:val="24"/>
          <w:lang w:eastAsia="ru-RU"/>
        </w:rPr>
        <w:t xml:space="preserve">Уровень убедительности рекомендаций – </w:t>
      </w:r>
      <w:r w:rsidR="008D4635" w:rsidRPr="00062B4F">
        <w:rPr>
          <w:b/>
          <w:bCs/>
          <w:szCs w:val="24"/>
          <w:lang w:eastAsia="ru-RU"/>
        </w:rPr>
        <w:t>С</w:t>
      </w:r>
      <w:r w:rsidR="00EF3037" w:rsidRPr="00062B4F">
        <w:rPr>
          <w:b/>
          <w:bCs/>
          <w:szCs w:val="24"/>
          <w:lang w:eastAsia="ru-RU"/>
        </w:rPr>
        <w:t xml:space="preserve"> </w:t>
      </w:r>
      <w:r w:rsidRPr="00062B4F">
        <w:rPr>
          <w:bCs/>
          <w:szCs w:val="24"/>
          <w:lang w:eastAsia="ru-RU"/>
        </w:rPr>
        <w:t xml:space="preserve">(уровень достоверности доказательств – </w:t>
      </w:r>
      <w:r w:rsidR="008D4635" w:rsidRPr="00062B4F">
        <w:rPr>
          <w:bCs/>
          <w:szCs w:val="24"/>
          <w:lang w:eastAsia="ru-RU"/>
        </w:rPr>
        <w:t>4</w:t>
      </w:r>
      <w:r w:rsidRPr="00062B4F">
        <w:rPr>
          <w:bCs/>
          <w:szCs w:val="24"/>
          <w:lang w:eastAsia="ru-RU"/>
        </w:rPr>
        <w:t>).</w:t>
      </w:r>
    </w:p>
    <w:p w14:paraId="45AB3BE1" w14:textId="77777777" w:rsidR="000C7098" w:rsidRPr="00062B4F" w:rsidRDefault="000C7098" w:rsidP="00EF3037">
      <w:pPr>
        <w:rPr>
          <w:i/>
          <w:iCs/>
          <w:szCs w:val="24"/>
          <w:lang w:eastAsia="ru-RU"/>
        </w:rPr>
      </w:pPr>
      <w:r w:rsidRPr="00062B4F">
        <w:rPr>
          <w:b/>
          <w:bCs/>
          <w:i/>
          <w:iCs/>
          <w:szCs w:val="24"/>
          <w:lang w:eastAsia="ru-RU"/>
        </w:rPr>
        <w:t xml:space="preserve">Комментарий: </w:t>
      </w:r>
      <w:r w:rsidRPr="00062B4F">
        <w:rPr>
          <w:i/>
          <w:iCs/>
          <w:szCs w:val="24"/>
          <w:lang w:eastAsia="ru-RU"/>
        </w:rPr>
        <w:t>для своевременной оценки результатов терапии и возможных нежелательных явлений терапии необходимо регулярно выполнять мониторинг клинико- лабораторных показателей (табл. 6). Принимая во внимание необходимость длительного приема препаратов, целесообразна регулярная беседа с пациентом с целью контроля приверженности терапии.</w:t>
      </w:r>
    </w:p>
    <w:p w14:paraId="55250FA4" w14:textId="77777777" w:rsidR="000C7098" w:rsidRPr="00062B4F" w:rsidRDefault="000C7098" w:rsidP="00C44EDA">
      <w:pPr>
        <w:spacing w:before="120" w:after="120" w:line="288" w:lineRule="auto"/>
        <w:ind w:firstLine="0"/>
        <w:rPr>
          <w:spacing w:val="-2"/>
          <w:szCs w:val="24"/>
          <w:lang w:eastAsia="ru-RU"/>
        </w:rPr>
      </w:pPr>
      <w:r w:rsidRPr="00062B4F">
        <w:rPr>
          <w:b/>
          <w:bCs/>
          <w:spacing w:val="-2"/>
          <w:szCs w:val="24"/>
          <w:lang w:eastAsia="ru-RU"/>
        </w:rPr>
        <w:t xml:space="preserve">Таблица 6. </w:t>
      </w:r>
      <w:r w:rsidRPr="00062B4F">
        <w:rPr>
          <w:spacing w:val="-2"/>
          <w:szCs w:val="24"/>
          <w:lang w:eastAsia="ru-RU"/>
        </w:rPr>
        <w:t>Частота динамического обследования пациентов с ХМЛ, получающих ИТК</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624"/>
        <w:gridCol w:w="5715"/>
      </w:tblGrid>
      <w:tr w:rsidR="00C571B1" w:rsidRPr="00062B4F" w14:paraId="27B1D3AF" w14:textId="77777777" w:rsidTr="00DF576E">
        <w:trPr>
          <w:cantSplit/>
          <w:trHeight w:val="542"/>
          <w:jc w:val="center"/>
        </w:trPr>
        <w:tc>
          <w:tcPr>
            <w:tcW w:w="3624" w:type="dxa"/>
            <w:tcBorders>
              <w:top w:val="single" w:sz="6" w:space="0" w:color="000000"/>
              <w:left w:val="single" w:sz="6" w:space="0" w:color="000000"/>
              <w:bottom w:val="single" w:sz="6" w:space="0" w:color="000000"/>
              <w:right w:val="single" w:sz="6" w:space="0" w:color="000000"/>
            </w:tcBorders>
          </w:tcPr>
          <w:p w14:paraId="09D5DC73" w14:textId="28793A20" w:rsidR="00C571B1" w:rsidRPr="00062B4F" w:rsidRDefault="00C571B1" w:rsidP="00C571B1">
            <w:pPr>
              <w:spacing w:beforeAutospacing="1" w:afterAutospacing="1" w:line="240" w:lineRule="auto"/>
              <w:ind w:firstLine="0"/>
              <w:jc w:val="center"/>
              <w:rPr>
                <w:b/>
                <w:szCs w:val="24"/>
                <w:lang w:eastAsia="ru-RU"/>
              </w:rPr>
            </w:pPr>
            <w:r w:rsidRPr="00062B4F">
              <w:rPr>
                <w:b/>
                <w:szCs w:val="24"/>
                <w:lang w:eastAsia="ru-RU"/>
              </w:rPr>
              <w:t>Исследование</w:t>
            </w:r>
          </w:p>
        </w:tc>
        <w:tc>
          <w:tcPr>
            <w:tcW w:w="5715" w:type="dxa"/>
            <w:tcBorders>
              <w:top w:val="single" w:sz="6" w:space="0" w:color="000000"/>
              <w:left w:val="single" w:sz="6" w:space="0" w:color="000000"/>
              <w:bottom w:val="single" w:sz="6" w:space="0" w:color="000000"/>
              <w:right w:val="single" w:sz="6" w:space="0" w:color="000000"/>
            </w:tcBorders>
          </w:tcPr>
          <w:p w14:paraId="6C76E165" w14:textId="18BEC7AB" w:rsidR="00C571B1" w:rsidRPr="00062B4F" w:rsidRDefault="00C571B1" w:rsidP="00C571B1">
            <w:pPr>
              <w:spacing w:beforeAutospacing="1" w:afterAutospacing="1" w:line="240" w:lineRule="auto"/>
              <w:ind w:firstLine="0"/>
              <w:jc w:val="center"/>
              <w:rPr>
                <w:b/>
                <w:szCs w:val="24"/>
                <w:lang w:eastAsia="ru-RU"/>
              </w:rPr>
            </w:pPr>
            <w:r w:rsidRPr="00062B4F">
              <w:rPr>
                <w:b/>
                <w:szCs w:val="24"/>
                <w:lang w:eastAsia="ru-RU"/>
              </w:rPr>
              <w:t>Периодичность мониторинга</w:t>
            </w:r>
          </w:p>
        </w:tc>
      </w:tr>
      <w:tr w:rsidR="00C571B1" w:rsidRPr="00062B4F" w14:paraId="3FB9722C" w14:textId="77777777" w:rsidTr="00DF576E">
        <w:trPr>
          <w:cantSplit/>
          <w:trHeight w:val="918"/>
          <w:jc w:val="center"/>
        </w:trPr>
        <w:tc>
          <w:tcPr>
            <w:tcW w:w="3624" w:type="dxa"/>
            <w:tcBorders>
              <w:top w:val="single" w:sz="6" w:space="0" w:color="000000"/>
              <w:left w:val="single" w:sz="6" w:space="0" w:color="000000"/>
              <w:bottom w:val="single" w:sz="6" w:space="0" w:color="000000"/>
              <w:right w:val="single" w:sz="6" w:space="0" w:color="000000"/>
            </w:tcBorders>
            <w:vAlign w:val="center"/>
          </w:tcPr>
          <w:p w14:paraId="6C129AF1" w14:textId="6A224DB7" w:rsidR="00C571B1" w:rsidRPr="00062B4F" w:rsidRDefault="00C571B1" w:rsidP="00C571B1">
            <w:pPr>
              <w:spacing w:beforeAutospacing="1" w:afterAutospacing="1" w:line="240" w:lineRule="auto"/>
              <w:ind w:firstLine="0"/>
              <w:jc w:val="left"/>
              <w:rPr>
                <w:szCs w:val="24"/>
                <w:lang w:eastAsia="ru-RU"/>
              </w:rPr>
            </w:pPr>
            <w:r w:rsidRPr="00062B4F">
              <w:rPr>
                <w:szCs w:val="24"/>
                <w:lang w:eastAsia="ru-RU"/>
              </w:rPr>
              <w:t>Клинический анализ крови</w:t>
            </w:r>
          </w:p>
        </w:tc>
        <w:tc>
          <w:tcPr>
            <w:tcW w:w="5715" w:type="dxa"/>
            <w:tcBorders>
              <w:top w:val="single" w:sz="6" w:space="0" w:color="000000"/>
              <w:left w:val="single" w:sz="6" w:space="0" w:color="000000"/>
              <w:bottom w:val="single" w:sz="6" w:space="0" w:color="000000"/>
              <w:right w:val="single" w:sz="6" w:space="0" w:color="000000"/>
            </w:tcBorders>
          </w:tcPr>
          <w:p w14:paraId="20CEFC80" w14:textId="1069E17F" w:rsidR="00C571B1" w:rsidRPr="00062B4F" w:rsidRDefault="00C571B1" w:rsidP="00C571B1">
            <w:pPr>
              <w:spacing w:beforeAutospacing="1" w:afterAutospacing="1" w:line="240" w:lineRule="auto"/>
              <w:ind w:firstLine="0"/>
              <w:jc w:val="left"/>
              <w:rPr>
                <w:szCs w:val="24"/>
                <w:lang w:eastAsia="ru-RU"/>
              </w:rPr>
            </w:pPr>
            <w:r w:rsidRPr="00062B4F">
              <w:rPr>
                <w:szCs w:val="24"/>
                <w:lang w:eastAsia="ru-RU"/>
              </w:rPr>
              <w:t>Каждые 15 дней до достижения и подтверждения ПГО, далее – как минимум каждые 3 месяца или чаще</w:t>
            </w:r>
            <w:r>
              <w:rPr>
                <w:szCs w:val="24"/>
                <w:lang w:eastAsia="ru-RU"/>
              </w:rPr>
              <w:t xml:space="preserve"> </w:t>
            </w:r>
            <w:r w:rsidRPr="00062B4F">
              <w:rPr>
                <w:szCs w:val="24"/>
                <w:lang w:eastAsia="ru-RU"/>
              </w:rPr>
              <w:t>по мере необходимости</w:t>
            </w:r>
          </w:p>
        </w:tc>
      </w:tr>
      <w:tr w:rsidR="00C571B1" w:rsidRPr="00062B4F" w14:paraId="3F842C9C" w14:textId="77777777" w:rsidTr="00DF576E">
        <w:trPr>
          <w:cantSplit/>
          <w:trHeight w:val="2961"/>
          <w:jc w:val="center"/>
        </w:trPr>
        <w:tc>
          <w:tcPr>
            <w:tcW w:w="3624" w:type="dxa"/>
            <w:tcBorders>
              <w:top w:val="single" w:sz="6" w:space="0" w:color="000000"/>
              <w:left w:val="single" w:sz="6" w:space="0" w:color="000000"/>
              <w:bottom w:val="single" w:sz="6" w:space="0" w:color="000000"/>
              <w:right w:val="single" w:sz="6" w:space="0" w:color="000000"/>
            </w:tcBorders>
            <w:vAlign w:val="center"/>
          </w:tcPr>
          <w:p w14:paraId="485DDA40" w14:textId="183EB5A0" w:rsidR="00C571B1" w:rsidRPr="00062B4F" w:rsidRDefault="00C571B1" w:rsidP="00C571B1">
            <w:pPr>
              <w:spacing w:beforeAutospacing="1" w:afterAutospacing="1" w:line="240" w:lineRule="auto"/>
              <w:ind w:firstLine="0"/>
              <w:jc w:val="left"/>
              <w:rPr>
                <w:szCs w:val="24"/>
                <w:lang w:eastAsia="ru-RU"/>
              </w:rPr>
            </w:pPr>
            <w:r w:rsidRPr="00062B4F">
              <w:rPr>
                <w:szCs w:val="24"/>
                <w:lang w:eastAsia="ru-RU"/>
              </w:rPr>
              <w:lastRenderedPageBreak/>
              <w:t xml:space="preserve">Стандартное цитогенетическое исследование костного мозга (не менее 20 </w:t>
            </w:r>
            <w:proofErr w:type="gramStart"/>
            <w:r w:rsidRPr="00062B4F">
              <w:rPr>
                <w:szCs w:val="24"/>
                <w:lang w:eastAsia="ru-RU"/>
              </w:rPr>
              <w:t>метафаз)</w:t>
            </w:r>
            <w:r>
              <w:rPr>
                <w:szCs w:val="24"/>
                <w:lang w:eastAsia="ru-RU"/>
              </w:rPr>
              <w:t>*</w:t>
            </w:r>
            <w:proofErr w:type="gramEnd"/>
          </w:p>
        </w:tc>
        <w:tc>
          <w:tcPr>
            <w:tcW w:w="5715" w:type="dxa"/>
            <w:tcBorders>
              <w:top w:val="single" w:sz="6" w:space="0" w:color="000000"/>
              <w:left w:val="single" w:sz="6" w:space="0" w:color="000000"/>
              <w:bottom w:val="single" w:sz="6" w:space="0" w:color="000000"/>
              <w:right w:val="single" w:sz="6" w:space="0" w:color="000000"/>
            </w:tcBorders>
            <w:vAlign w:val="center"/>
          </w:tcPr>
          <w:p w14:paraId="496956F6" w14:textId="77777777" w:rsidR="00C571B1" w:rsidRPr="00426F17" w:rsidRDefault="00C571B1" w:rsidP="00C571B1">
            <w:pPr>
              <w:pStyle w:val="afe"/>
              <w:numPr>
                <w:ilvl w:val="1"/>
                <w:numId w:val="8"/>
              </w:numPr>
              <w:tabs>
                <w:tab w:val="clear" w:pos="1440"/>
              </w:tabs>
              <w:spacing w:line="240" w:lineRule="auto"/>
              <w:ind w:left="0" w:firstLine="337"/>
              <w:jc w:val="left"/>
            </w:pPr>
            <w:r w:rsidRPr="00426F17">
              <w:t>На 3-м, 6-м и 12-м месяцах терапии. В случае достижения ПЦО на 3-м месяце и подтверждении на 6-м месяце – исследование на 12 мес. может не выполняться</w:t>
            </w:r>
          </w:p>
          <w:p w14:paraId="6939F9D9" w14:textId="77777777" w:rsidR="00C571B1" w:rsidRPr="00426F17" w:rsidRDefault="00C571B1" w:rsidP="00C571B1">
            <w:pPr>
              <w:pStyle w:val="afe"/>
              <w:numPr>
                <w:ilvl w:val="1"/>
                <w:numId w:val="8"/>
              </w:numPr>
              <w:tabs>
                <w:tab w:val="clear" w:pos="1440"/>
              </w:tabs>
              <w:spacing w:line="240" w:lineRule="auto"/>
              <w:ind w:left="0" w:firstLine="337"/>
              <w:jc w:val="left"/>
            </w:pPr>
            <w:r w:rsidRPr="00426F17">
              <w:t xml:space="preserve">В случае неудачи терапии по данным молекулярного мониторинга на любом этапе терапии. </w:t>
            </w:r>
          </w:p>
          <w:p w14:paraId="7032FBE8" w14:textId="77777777" w:rsidR="00C571B1" w:rsidRPr="00426F17" w:rsidRDefault="00C571B1" w:rsidP="00C571B1">
            <w:pPr>
              <w:spacing w:line="240" w:lineRule="auto"/>
              <w:ind w:firstLine="337"/>
              <w:jc w:val="left"/>
            </w:pPr>
            <w:r w:rsidRPr="00426F17">
              <w:rPr>
                <w:szCs w:val="24"/>
                <w:lang w:eastAsia="ru-RU"/>
              </w:rPr>
              <w:t>3</w:t>
            </w:r>
            <w:r w:rsidRPr="00426F17">
              <w:t>.  При наличии ДХА высокого риска, выявленных в дебюте или в ходе терапии, в </w:t>
            </w:r>
            <w:proofErr w:type="spellStart"/>
            <w:r w:rsidRPr="00426F17">
              <w:t>Ph</w:t>
            </w:r>
            <w:proofErr w:type="spellEnd"/>
            <w:r w:rsidRPr="00426F17">
              <w:t>+ клетках целесообразен цитогенетический мониторинг не реже 1 раза в год</w:t>
            </w:r>
          </w:p>
          <w:p w14:paraId="55B5EE4F" w14:textId="3FFD3495" w:rsidR="00C571B1" w:rsidRPr="00062B4F" w:rsidRDefault="00C571B1" w:rsidP="00C571B1">
            <w:pPr>
              <w:spacing w:beforeAutospacing="1" w:afterAutospacing="1" w:line="240" w:lineRule="auto"/>
              <w:ind w:firstLine="0"/>
              <w:jc w:val="left"/>
              <w:rPr>
                <w:szCs w:val="24"/>
                <w:lang w:eastAsia="ru-RU"/>
              </w:rPr>
            </w:pPr>
            <w:r w:rsidRPr="00426F17">
              <w:rPr>
                <w:szCs w:val="24"/>
                <w:lang w:eastAsia="ru-RU"/>
              </w:rPr>
              <w:t xml:space="preserve">Если в ходе количественной ПЦР-РВ соотношение </w:t>
            </w:r>
            <w:proofErr w:type="gramStart"/>
            <w:r w:rsidRPr="00426F17">
              <w:rPr>
                <w:i/>
                <w:szCs w:val="24"/>
                <w:lang w:eastAsia="ru-RU"/>
              </w:rPr>
              <w:t>BCR::</w:t>
            </w:r>
            <w:proofErr w:type="gramEnd"/>
            <w:r w:rsidRPr="00426F17">
              <w:rPr>
                <w:i/>
                <w:szCs w:val="24"/>
                <w:lang w:eastAsia="ru-RU"/>
              </w:rPr>
              <w:t>ABL</w:t>
            </w:r>
            <w:r w:rsidRPr="00426F17">
              <w:rPr>
                <w:i/>
                <w:iCs/>
                <w:szCs w:val="24"/>
                <w:lang w:eastAsia="ru-RU"/>
              </w:rPr>
              <w:t>1/</w:t>
            </w:r>
            <w:r w:rsidRPr="00426F17">
              <w:rPr>
                <w:i/>
                <w:iCs/>
                <w:szCs w:val="24"/>
                <w:lang w:val="en-US" w:eastAsia="ru-RU"/>
              </w:rPr>
              <w:t>ABL</w:t>
            </w:r>
            <w:r w:rsidRPr="00426F17">
              <w:rPr>
                <w:i/>
                <w:iCs/>
                <w:szCs w:val="24"/>
                <w:lang w:eastAsia="ru-RU"/>
              </w:rPr>
              <w:t xml:space="preserve">1 </w:t>
            </w:r>
            <w:r w:rsidRPr="00426F17">
              <w:rPr>
                <w:iCs/>
                <w:szCs w:val="24"/>
                <w:lang w:eastAsia="ru-RU"/>
              </w:rPr>
              <w:t xml:space="preserve">составляет </w:t>
            </w:r>
            <w:r w:rsidRPr="00426F17">
              <w:rPr>
                <w:szCs w:val="24"/>
                <w:lang w:eastAsia="ru-RU"/>
              </w:rPr>
              <w:t>менее 1%</w:t>
            </w:r>
            <w:r w:rsidR="00426F17">
              <w:rPr>
                <w:szCs w:val="24"/>
                <w:lang w:eastAsia="ru-RU"/>
              </w:rPr>
              <w:t>,то</w:t>
            </w:r>
            <w:r w:rsidRPr="00426F17">
              <w:rPr>
                <w:szCs w:val="24"/>
                <w:lang w:eastAsia="ru-RU"/>
              </w:rPr>
              <w:t xml:space="preserve"> выполнение цитогенетического исследования нецелесообразно</w:t>
            </w:r>
          </w:p>
        </w:tc>
      </w:tr>
      <w:tr w:rsidR="00C571B1" w:rsidRPr="00062B4F" w14:paraId="45DD7040" w14:textId="77777777" w:rsidTr="00DF576E">
        <w:trPr>
          <w:cantSplit/>
          <w:trHeight w:val="553"/>
          <w:jc w:val="center"/>
        </w:trPr>
        <w:tc>
          <w:tcPr>
            <w:tcW w:w="3624" w:type="dxa"/>
            <w:tcBorders>
              <w:top w:val="single" w:sz="6" w:space="0" w:color="000000"/>
              <w:left w:val="single" w:sz="6" w:space="0" w:color="000000"/>
              <w:bottom w:val="single" w:sz="6" w:space="0" w:color="000000"/>
              <w:right w:val="single" w:sz="6" w:space="0" w:color="000000"/>
            </w:tcBorders>
          </w:tcPr>
          <w:p w14:paraId="4CB02354" w14:textId="6E2A6107" w:rsidR="00C571B1" w:rsidRPr="009A26D8" w:rsidRDefault="00C571B1" w:rsidP="00C571B1">
            <w:pPr>
              <w:spacing w:beforeAutospacing="1" w:afterAutospacing="1" w:line="240" w:lineRule="auto"/>
              <w:ind w:firstLine="0"/>
              <w:jc w:val="left"/>
              <w:rPr>
                <w:szCs w:val="24"/>
                <w:lang w:eastAsia="ru-RU"/>
              </w:rPr>
            </w:pPr>
            <w:r w:rsidRPr="005D4C74">
              <w:rPr>
                <w:szCs w:val="24"/>
                <w:lang w:eastAsia="ru-RU"/>
              </w:rPr>
              <w:t xml:space="preserve">Количественная ПЦР в реальном времени** (измерение уровня относительной экспрессии </w:t>
            </w:r>
            <w:proofErr w:type="gramStart"/>
            <w:r w:rsidRPr="005D4C74">
              <w:rPr>
                <w:i/>
                <w:szCs w:val="24"/>
                <w:lang w:eastAsia="ru-RU"/>
              </w:rPr>
              <w:t>BCR::</w:t>
            </w:r>
            <w:proofErr w:type="gramEnd"/>
            <w:r w:rsidRPr="005D4C74">
              <w:rPr>
                <w:i/>
                <w:szCs w:val="24"/>
                <w:lang w:eastAsia="ru-RU"/>
              </w:rPr>
              <w:t>ABL</w:t>
            </w:r>
            <w:r w:rsidRPr="005D4C74">
              <w:rPr>
                <w:i/>
                <w:iCs/>
                <w:szCs w:val="24"/>
                <w:lang w:eastAsia="ru-RU"/>
              </w:rPr>
              <w:t xml:space="preserve">1 </w:t>
            </w:r>
            <w:r w:rsidRPr="005D4C74">
              <w:rPr>
                <w:szCs w:val="24"/>
                <w:lang w:eastAsia="ru-RU"/>
              </w:rPr>
              <w:t xml:space="preserve">с указанием количества копий контрольного гена </w:t>
            </w:r>
            <w:r w:rsidRPr="005D4C74">
              <w:rPr>
                <w:i/>
                <w:iCs/>
                <w:szCs w:val="24"/>
                <w:lang w:eastAsia="ru-RU"/>
              </w:rPr>
              <w:t xml:space="preserve">ABL1 – </w:t>
            </w:r>
            <w:r w:rsidRPr="005D4C74">
              <w:rPr>
                <w:iCs/>
                <w:szCs w:val="24"/>
                <w:lang w:eastAsia="ru-RU"/>
              </w:rPr>
              <w:t>не менее 10 000 копий</w:t>
            </w:r>
            <w:r w:rsidRPr="005D4C74">
              <w:rPr>
                <w:szCs w:val="24"/>
                <w:lang w:eastAsia="ru-RU"/>
              </w:rPr>
              <w:t>)***</w:t>
            </w:r>
          </w:p>
        </w:tc>
        <w:tc>
          <w:tcPr>
            <w:tcW w:w="5715" w:type="dxa"/>
            <w:tcBorders>
              <w:top w:val="single" w:sz="6" w:space="0" w:color="000000"/>
              <w:left w:val="single" w:sz="6" w:space="0" w:color="000000"/>
              <w:bottom w:val="single" w:sz="6" w:space="0" w:color="000000"/>
              <w:right w:val="single" w:sz="6" w:space="0" w:color="000000"/>
            </w:tcBorders>
            <w:vAlign w:val="center"/>
          </w:tcPr>
          <w:p w14:paraId="18C12CB9" w14:textId="2D95AEA2" w:rsidR="00C571B1" w:rsidRPr="009A26D8" w:rsidRDefault="00C571B1" w:rsidP="00C571B1">
            <w:pPr>
              <w:spacing w:beforeAutospacing="1" w:afterAutospacing="1" w:line="240" w:lineRule="auto"/>
              <w:ind w:firstLine="0"/>
              <w:jc w:val="left"/>
              <w:rPr>
                <w:szCs w:val="24"/>
                <w:lang w:eastAsia="ru-RU"/>
              </w:rPr>
            </w:pPr>
            <w:r w:rsidRPr="005D4C74">
              <w:rPr>
                <w:szCs w:val="24"/>
                <w:u w:val="single"/>
                <w:lang w:eastAsia="ru-RU"/>
              </w:rPr>
              <w:t xml:space="preserve">Каждые 3 </w:t>
            </w:r>
            <w:proofErr w:type="spellStart"/>
            <w:r w:rsidRPr="005D4C74">
              <w:rPr>
                <w:szCs w:val="24"/>
                <w:u w:val="single"/>
                <w:lang w:eastAsia="ru-RU"/>
              </w:rPr>
              <w:t>мес</w:t>
            </w:r>
            <w:proofErr w:type="spellEnd"/>
            <w:r w:rsidRPr="005D4C74">
              <w:rPr>
                <w:szCs w:val="24"/>
                <w:u w:val="single"/>
                <w:lang w:eastAsia="ru-RU"/>
              </w:rPr>
              <w:t xml:space="preserve"> до достижения БМО, затем </w:t>
            </w:r>
            <w:r w:rsidRPr="005D4C74">
              <w:rPr>
                <w:szCs w:val="24"/>
                <w:lang w:eastAsia="ru-RU"/>
              </w:rPr>
              <w:t>постоянно не реже 1 раза в 6 месяцев****</w:t>
            </w:r>
          </w:p>
        </w:tc>
      </w:tr>
      <w:tr w:rsidR="00C571B1" w:rsidRPr="00062B4F" w14:paraId="76A1A37F" w14:textId="77777777" w:rsidTr="00DF576E">
        <w:trPr>
          <w:cantSplit/>
          <w:trHeight w:val="693"/>
          <w:jc w:val="center"/>
        </w:trPr>
        <w:tc>
          <w:tcPr>
            <w:tcW w:w="3624" w:type="dxa"/>
            <w:tcBorders>
              <w:top w:val="single" w:sz="6" w:space="0" w:color="000000"/>
              <w:left w:val="single" w:sz="6" w:space="0" w:color="000000"/>
              <w:bottom w:val="single" w:sz="6" w:space="0" w:color="000000"/>
              <w:right w:val="single" w:sz="6" w:space="0" w:color="000000"/>
            </w:tcBorders>
            <w:vAlign w:val="center"/>
          </w:tcPr>
          <w:p w14:paraId="5B28262F" w14:textId="180959DB" w:rsidR="00C571B1" w:rsidRPr="009A26D8" w:rsidRDefault="00C571B1" w:rsidP="00C571B1">
            <w:pPr>
              <w:spacing w:beforeAutospacing="1" w:afterAutospacing="1" w:line="240" w:lineRule="auto"/>
              <w:ind w:firstLine="0"/>
              <w:jc w:val="left"/>
              <w:rPr>
                <w:szCs w:val="24"/>
                <w:lang w:eastAsia="ru-RU"/>
              </w:rPr>
            </w:pPr>
            <w:r w:rsidRPr="005D4C74">
              <w:rPr>
                <w:szCs w:val="24"/>
                <w:lang w:eastAsia="ru-RU"/>
              </w:rPr>
              <w:t xml:space="preserve">Определение мутаций </w:t>
            </w:r>
            <w:proofErr w:type="gramStart"/>
            <w:r w:rsidRPr="005D4C74">
              <w:rPr>
                <w:i/>
                <w:szCs w:val="24"/>
                <w:lang w:eastAsia="ru-RU"/>
              </w:rPr>
              <w:t>BCR::</w:t>
            </w:r>
            <w:proofErr w:type="gramEnd"/>
            <w:r w:rsidRPr="005D4C74">
              <w:rPr>
                <w:i/>
                <w:szCs w:val="24"/>
                <w:lang w:eastAsia="ru-RU"/>
              </w:rPr>
              <w:t>ABL</w:t>
            </w:r>
            <w:r w:rsidRPr="005D4C74">
              <w:rPr>
                <w:i/>
                <w:iCs/>
                <w:szCs w:val="24"/>
                <w:lang w:eastAsia="ru-RU"/>
              </w:rPr>
              <w:t>1</w:t>
            </w:r>
          </w:p>
        </w:tc>
        <w:tc>
          <w:tcPr>
            <w:tcW w:w="5715" w:type="dxa"/>
            <w:tcBorders>
              <w:top w:val="single" w:sz="6" w:space="0" w:color="000000"/>
              <w:left w:val="single" w:sz="6" w:space="0" w:color="000000"/>
              <w:bottom w:val="single" w:sz="6" w:space="0" w:color="000000"/>
              <w:right w:val="single" w:sz="6" w:space="0" w:color="000000"/>
            </w:tcBorders>
          </w:tcPr>
          <w:p w14:paraId="2E4DB83C" w14:textId="26E9C131" w:rsidR="00C571B1" w:rsidRPr="00062B4F" w:rsidRDefault="00C571B1" w:rsidP="00F96407">
            <w:pPr>
              <w:spacing w:beforeAutospacing="1" w:afterAutospacing="1" w:line="240" w:lineRule="auto"/>
              <w:ind w:firstLine="0"/>
              <w:jc w:val="left"/>
              <w:rPr>
                <w:szCs w:val="24"/>
                <w:lang w:eastAsia="ru-RU"/>
              </w:rPr>
            </w:pPr>
            <w:r w:rsidRPr="005D4C74">
              <w:rPr>
                <w:szCs w:val="24"/>
                <w:lang w:eastAsia="ru-RU"/>
              </w:rPr>
              <w:t xml:space="preserve">При </w:t>
            </w:r>
            <w:r w:rsidRPr="005D4C74">
              <w:rPr>
                <w:szCs w:val="24"/>
                <w:u w:val="single"/>
                <w:lang w:eastAsia="ru-RU"/>
              </w:rPr>
              <w:t>неудаче</w:t>
            </w:r>
            <w:r w:rsidRPr="005D4C74">
              <w:rPr>
                <w:szCs w:val="24"/>
                <w:lang w:eastAsia="ru-RU"/>
              </w:rPr>
              <w:t xml:space="preserve"> терапии первой или последующих линий ИТК, при переходе на другие ИТК или другие виды терапии, в дебюте заболевани</w:t>
            </w:r>
            <w:r w:rsidR="00F96407">
              <w:rPr>
                <w:szCs w:val="24"/>
                <w:lang w:eastAsia="ru-RU"/>
              </w:rPr>
              <w:t>я</w:t>
            </w:r>
            <w:r w:rsidRPr="005D4C74">
              <w:rPr>
                <w:szCs w:val="24"/>
                <w:lang w:eastAsia="ru-RU"/>
              </w:rPr>
              <w:t xml:space="preserve"> у больных с ФА или БК</w:t>
            </w:r>
          </w:p>
        </w:tc>
      </w:tr>
      <w:tr w:rsidR="00C571B1" w:rsidRPr="00062B4F" w14:paraId="6416FDFE" w14:textId="77777777" w:rsidTr="00DF576E">
        <w:trPr>
          <w:cantSplit/>
          <w:trHeight w:val="2107"/>
          <w:jc w:val="center"/>
        </w:trPr>
        <w:tc>
          <w:tcPr>
            <w:tcW w:w="3624" w:type="dxa"/>
            <w:tcBorders>
              <w:top w:val="single" w:sz="6" w:space="0" w:color="000000"/>
              <w:left w:val="single" w:sz="6" w:space="0" w:color="000000"/>
              <w:bottom w:val="single" w:sz="6" w:space="0" w:color="000000"/>
              <w:right w:val="single" w:sz="6" w:space="0" w:color="000000"/>
            </w:tcBorders>
          </w:tcPr>
          <w:p w14:paraId="320A26D7" w14:textId="670D5BAC" w:rsidR="00C571B1" w:rsidRPr="00062B4F" w:rsidRDefault="00C571B1" w:rsidP="00C571B1">
            <w:pPr>
              <w:spacing w:beforeAutospacing="1" w:afterAutospacing="1" w:line="240" w:lineRule="auto"/>
              <w:ind w:firstLine="0"/>
              <w:jc w:val="left"/>
              <w:rPr>
                <w:szCs w:val="24"/>
                <w:lang w:eastAsia="ru-RU"/>
              </w:rPr>
            </w:pPr>
            <w:r w:rsidRPr="00062B4F">
              <w:rPr>
                <w:szCs w:val="24"/>
                <w:lang w:eastAsia="ru-RU"/>
              </w:rPr>
              <w:t>Биохимический анализ крови</w:t>
            </w:r>
          </w:p>
        </w:tc>
        <w:tc>
          <w:tcPr>
            <w:tcW w:w="5715" w:type="dxa"/>
            <w:tcBorders>
              <w:top w:val="single" w:sz="6" w:space="0" w:color="000000"/>
              <w:left w:val="single" w:sz="6" w:space="0" w:color="000000"/>
              <w:bottom w:val="single" w:sz="6" w:space="0" w:color="000000"/>
              <w:right w:val="single" w:sz="6" w:space="0" w:color="000000"/>
            </w:tcBorders>
          </w:tcPr>
          <w:p w14:paraId="62AEA53B" w14:textId="77777777" w:rsidR="00C571B1" w:rsidRDefault="00C571B1" w:rsidP="00C571B1">
            <w:pPr>
              <w:spacing w:beforeAutospacing="1" w:afterAutospacing="1" w:line="240" w:lineRule="auto"/>
              <w:ind w:firstLine="0"/>
              <w:jc w:val="left"/>
              <w:rPr>
                <w:szCs w:val="24"/>
                <w:lang w:eastAsia="ru-RU"/>
              </w:rPr>
            </w:pPr>
            <w:r w:rsidRPr="00062B4F">
              <w:rPr>
                <w:szCs w:val="24"/>
                <w:lang w:eastAsia="ru-RU"/>
              </w:rPr>
              <w:t>Каждые 15 дней в течение 1-го месяца терапии;</w:t>
            </w:r>
            <w:r>
              <w:rPr>
                <w:szCs w:val="24"/>
                <w:lang w:eastAsia="ru-RU"/>
              </w:rPr>
              <w:t xml:space="preserve"> </w:t>
            </w:r>
            <w:r w:rsidRPr="00062B4F">
              <w:rPr>
                <w:szCs w:val="24"/>
                <w:lang w:eastAsia="ru-RU"/>
              </w:rPr>
              <w:t>1 раз в месяц в течение первых 3-х месяцев терапии;</w:t>
            </w:r>
            <w:r>
              <w:rPr>
                <w:szCs w:val="24"/>
                <w:lang w:eastAsia="ru-RU"/>
              </w:rPr>
              <w:t xml:space="preserve"> </w:t>
            </w:r>
            <w:r w:rsidRPr="00062B4F">
              <w:rPr>
                <w:szCs w:val="24"/>
                <w:lang w:eastAsia="ru-RU"/>
              </w:rPr>
              <w:t>далее 1 раз в 3</w:t>
            </w:r>
            <w:r>
              <w:rPr>
                <w:szCs w:val="24"/>
                <w:lang w:eastAsia="ru-RU"/>
              </w:rPr>
              <w:t>-6 месяцев.</w:t>
            </w:r>
          </w:p>
          <w:p w14:paraId="499B40EF" w14:textId="6105B3CE" w:rsidR="00C571B1" w:rsidRPr="00062B4F" w:rsidRDefault="00C571B1" w:rsidP="00C571B1">
            <w:pPr>
              <w:spacing w:beforeAutospacing="1" w:afterAutospacing="1" w:line="240" w:lineRule="auto"/>
              <w:ind w:firstLine="0"/>
              <w:jc w:val="left"/>
              <w:rPr>
                <w:szCs w:val="24"/>
                <w:lang w:eastAsia="ru-RU"/>
              </w:rPr>
            </w:pPr>
            <w:r w:rsidRPr="00062B4F">
              <w:rPr>
                <w:szCs w:val="24"/>
                <w:lang w:eastAsia="ru-RU"/>
              </w:rPr>
              <w:t>При необходимости мониторинга токсичности</w:t>
            </w:r>
            <w:r>
              <w:rPr>
                <w:szCs w:val="24"/>
                <w:lang w:eastAsia="ru-RU"/>
              </w:rPr>
              <w:t xml:space="preserve"> </w:t>
            </w:r>
            <w:r w:rsidRPr="00062B4F">
              <w:rPr>
                <w:szCs w:val="24"/>
                <w:lang w:eastAsia="ru-RU"/>
              </w:rPr>
              <w:t>показан более частый контроль</w:t>
            </w:r>
          </w:p>
        </w:tc>
      </w:tr>
      <w:tr w:rsidR="00C571B1" w:rsidRPr="00062B4F" w14:paraId="57CD56B0" w14:textId="77777777" w:rsidTr="00DF576E">
        <w:trPr>
          <w:cantSplit/>
          <w:trHeight w:val="1822"/>
          <w:jc w:val="center"/>
        </w:trPr>
        <w:tc>
          <w:tcPr>
            <w:tcW w:w="3624" w:type="dxa"/>
            <w:tcBorders>
              <w:top w:val="single" w:sz="6" w:space="0" w:color="000000"/>
              <w:left w:val="single" w:sz="6" w:space="0" w:color="000000"/>
              <w:bottom w:val="single" w:sz="6" w:space="0" w:color="000000"/>
              <w:right w:val="single" w:sz="6" w:space="0" w:color="000000"/>
            </w:tcBorders>
          </w:tcPr>
          <w:p w14:paraId="611AEC10" w14:textId="68A56E3F" w:rsidR="00C571B1" w:rsidRPr="00062B4F" w:rsidRDefault="00C571B1" w:rsidP="00C571B1">
            <w:pPr>
              <w:spacing w:beforeAutospacing="1" w:afterAutospacing="1" w:line="240" w:lineRule="auto"/>
              <w:ind w:firstLine="0"/>
              <w:jc w:val="left"/>
              <w:rPr>
                <w:szCs w:val="24"/>
                <w:lang w:eastAsia="ru-RU"/>
              </w:rPr>
            </w:pPr>
            <w:r w:rsidRPr="00062B4F">
              <w:rPr>
                <w:szCs w:val="24"/>
                <w:lang w:eastAsia="ru-RU"/>
              </w:rPr>
              <w:t>ЭКГ</w:t>
            </w:r>
          </w:p>
        </w:tc>
        <w:tc>
          <w:tcPr>
            <w:tcW w:w="5715" w:type="dxa"/>
            <w:tcBorders>
              <w:top w:val="single" w:sz="6" w:space="0" w:color="000000"/>
              <w:left w:val="single" w:sz="6" w:space="0" w:color="000000"/>
              <w:bottom w:val="single" w:sz="6" w:space="0" w:color="000000"/>
              <w:right w:val="single" w:sz="6" w:space="0" w:color="000000"/>
            </w:tcBorders>
          </w:tcPr>
          <w:p w14:paraId="24FCD031" w14:textId="45F6E457" w:rsidR="00C571B1" w:rsidRPr="00062B4F" w:rsidRDefault="00C571B1" w:rsidP="00C571B1">
            <w:pPr>
              <w:spacing w:beforeAutospacing="1" w:afterAutospacing="1" w:line="240" w:lineRule="auto"/>
              <w:ind w:firstLine="0"/>
              <w:jc w:val="left"/>
              <w:rPr>
                <w:szCs w:val="24"/>
                <w:lang w:eastAsia="ru-RU"/>
              </w:rPr>
            </w:pPr>
            <w:r>
              <w:rPr>
                <w:szCs w:val="24"/>
                <w:lang w:eastAsia="ru-RU"/>
              </w:rPr>
              <w:t xml:space="preserve">1 раз в 3 месяца для контроля интервала QT. </w:t>
            </w:r>
            <w:r w:rsidRPr="00062B4F">
              <w:rPr>
                <w:szCs w:val="24"/>
                <w:lang w:eastAsia="ru-RU"/>
              </w:rPr>
              <w:t>У пациентов с факторами риска сердечно-сосудисты</w:t>
            </w:r>
            <w:r w:rsidRPr="00351AF0">
              <w:rPr>
                <w:szCs w:val="24"/>
                <w:lang w:eastAsia="ru-RU"/>
              </w:rPr>
              <w:t>х</w:t>
            </w:r>
            <w:r w:rsidRPr="00062B4F">
              <w:rPr>
                <w:szCs w:val="24"/>
                <w:lang w:eastAsia="ru-RU"/>
              </w:rPr>
              <w:t xml:space="preserve"> </w:t>
            </w:r>
            <w:r>
              <w:rPr>
                <w:szCs w:val="24"/>
                <w:lang w:eastAsia="ru-RU"/>
              </w:rPr>
              <w:t>событий</w:t>
            </w:r>
            <w:r w:rsidRPr="00062B4F">
              <w:rPr>
                <w:szCs w:val="24"/>
                <w:lang w:eastAsia="ru-RU"/>
              </w:rPr>
              <w:t xml:space="preserve"> рекомендован мониторинг по клиническим показаниям</w:t>
            </w:r>
            <w:r>
              <w:rPr>
                <w:szCs w:val="24"/>
                <w:lang w:eastAsia="ru-RU"/>
              </w:rPr>
              <w:t>.</w:t>
            </w:r>
          </w:p>
          <w:p w14:paraId="66FB753B" w14:textId="11CBBFEB" w:rsidR="00C571B1" w:rsidRPr="00062B4F" w:rsidRDefault="00C571B1" w:rsidP="00C571B1">
            <w:pPr>
              <w:spacing w:beforeAutospacing="1" w:afterAutospacing="1" w:line="240" w:lineRule="auto"/>
              <w:ind w:firstLine="0"/>
              <w:jc w:val="left"/>
              <w:rPr>
                <w:szCs w:val="24"/>
                <w:lang w:eastAsia="ru-RU"/>
              </w:rPr>
            </w:pPr>
            <w:r w:rsidRPr="00062B4F">
              <w:rPr>
                <w:szCs w:val="24"/>
                <w:lang w:eastAsia="ru-RU"/>
              </w:rPr>
              <w:t>При переходе на другие ИТК: перед началом нового ИТК и через неделю приема нового ИТК</w:t>
            </w:r>
          </w:p>
        </w:tc>
      </w:tr>
      <w:tr w:rsidR="00C571B1" w:rsidRPr="00062B4F" w14:paraId="57082996" w14:textId="77777777" w:rsidTr="00DF576E">
        <w:trPr>
          <w:cantSplit/>
          <w:trHeight w:val="752"/>
          <w:jc w:val="center"/>
        </w:trPr>
        <w:tc>
          <w:tcPr>
            <w:tcW w:w="3624" w:type="dxa"/>
            <w:tcBorders>
              <w:top w:val="single" w:sz="6" w:space="0" w:color="000000"/>
              <w:left w:val="single" w:sz="6" w:space="0" w:color="000000"/>
              <w:bottom w:val="single" w:sz="6" w:space="0" w:color="000000"/>
              <w:right w:val="single" w:sz="6" w:space="0" w:color="000000"/>
            </w:tcBorders>
          </w:tcPr>
          <w:p w14:paraId="7B837A3F" w14:textId="01CE2729" w:rsidR="00C571B1" w:rsidRPr="00062B4F" w:rsidRDefault="00C571B1" w:rsidP="00C571B1">
            <w:pPr>
              <w:spacing w:beforeAutospacing="1" w:afterAutospacing="1" w:line="240" w:lineRule="auto"/>
              <w:ind w:firstLine="0"/>
              <w:jc w:val="left"/>
              <w:rPr>
                <w:szCs w:val="24"/>
                <w:lang w:eastAsia="ru-RU"/>
              </w:rPr>
            </w:pPr>
            <w:r w:rsidRPr="00062B4F">
              <w:rPr>
                <w:szCs w:val="24"/>
                <w:lang w:eastAsia="ru-RU"/>
              </w:rPr>
              <w:t>Рентгенография/флюорография органов грудной полости</w:t>
            </w:r>
          </w:p>
        </w:tc>
        <w:tc>
          <w:tcPr>
            <w:tcW w:w="5715" w:type="dxa"/>
            <w:tcBorders>
              <w:top w:val="single" w:sz="6" w:space="0" w:color="000000"/>
              <w:left w:val="single" w:sz="6" w:space="0" w:color="000000"/>
              <w:bottom w:val="single" w:sz="6" w:space="0" w:color="000000"/>
              <w:right w:val="single" w:sz="6" w:space="0" w:color="000000"/>
            </w:tcBorders>
          </w:tcPr>
          <w:p w14:paraId="7DF5BAB2" w14:textId="70A3081A" w:rsidR="00C571B1" w:rsidRPr="00062B4F" w:rsidRDefault="00C571B1" w:rsidP="00C571B1">
            <w:pPr>
              <w:spacing w:beforeAutospacing="1" w:afterAutospacing="1" w:line="240" w:lineRule="auto"/>
              <w:ind w:firstLine="0"/>
              <w:jc w:val="left"/>
              <w:rPr>
                <w:szCs w:val="24"/>
                <w:lang w:eastAsia="ru-RU"/>
              </w:rPr>
            </w:pPr>
            <w:r w:rsidRPr="00062B4F">
              <w:rPr>
                <w:szCs w:val="24"/>
                <w:lang w:eastAsia="ru-RU"/>
              </w:rPr>
              <w:t xml:space="preserve">1 раз в год или </w:t>
            </w:r>
            <w:r w:rsidRPr="00805A41">
              <w:rPr>
                <w:szCs w:val="24"/>
                <w:lang w:eastAsia="ru-RU"/>
              </w:rPr>
              <w:t>чаще</w:t>
            </w:r>
            <w:r>
              <w:rPr>
                <w:szCs w:val="24"/>
                <w:lang w:eastAsia="ru-RU"/>
              </w:rPr>
              <w:t xml:space="preserve"> </w:t>
            </w:r>
            <w:r w:rsidRPr="00062B4F">
              <w:rPr>
                <w:szCs w:val="24"/>
                <w:lang w:eastAsia="ru-RU"/>
              </w:rPr>
              <w:t>по клиническим показаниям</w:t>
            </w:r>
          </w:p>
        </w:tc>
      </w:tr>
    </w:tbl>
    <w:p w14:paraId="518FB85D" w14:textId="77777777" w:rsidR="00DF576E" w:rsidRPr="005D4C74" w:rsidRDefault="00DF576E" w:rsidP="00DF576E">
      <w:pPr>
        <w:spacing w:line="288" w:lineRule="auto"/>
        <w:ind w:firstLine="284"/>
        <w:rPr>
          <w:szCs w:val="24"/>
          <w:lang w:eastAsia="ru-RU"/>
        </w:rPr>
      </w:pPr>
      <w:r w:rsidRPr="005D4C74">
        <w:rPr>
          <w:szCs w:val="24"/>
          <w:lang w:eastAsia="ru-RU"/>
        </w:rPr>
        <w:t xml:space="preserve">Примечания: </w:t>
      </w:r>
    </w:p>
    <w:p w14:paraId="5A11EC8C" w14:textId="45CAFFE9" w:rsidR="00DF576E" w:rsidRPr="005D4C74" w:rsidRDefault="00DF576E" w:rsidP="00DF576E">
      <w:pPr>
        <w:spacing w:line="288" w:lineRule="auto"/>
        <w:ind w:firstLine="284"/>
        <w:rPr>
          <w:szCs w:val="24"/>
          <w:lang w:eastAsia="ru-RU"/>
        </w:rPr>
      </w:pPr>
      <w:r w:rsidRPr="005D4C74">
        <w:rPr>
          <w:iCs/>
          <w:szCs w:val="24"/>
        </w:rPr>
        <w:t>*</w:t>
      </w:r>
      <w:r w:rsidRPr="005D4C74">
        <w:rPr>
          <w:szCs w:val="24"/>
          <w:lang w:eastAsia="ru-RU"/>
        </w:rPr>
        <w:t xml:space="preserve"> </w:t>
      </w:r>
      <w:r w:rsidR="0063083B" w:rsidRPr="005D4C74">
        <w:rPr>
          <w:szCs w:val="24"/>
          <w:lang w:eastAsia="ru-RU"/>
        </w:rPr>
        <w:t xml:space="preserve">у пациентов с атипичными </w:t>
      </w:r>
      <w:proofErr w:type="spellStart"/>
      <w:r w:rsidR="0063083B" w:rsidRPr="005D4C74">
        <w:rPr>
          <w:szCs w:val="24"/>
          <w:lang w:eastAsia="ru-RU"/>
        </w:rPr>
        <w:t>транскриптами</w:t>
      </w:r>
      <w:proofErr w:type="spellEnd"/>
      <w:r w:rsidR="0063083B" w:rsidRPr="005D4C74">
        <w:rPr>
          <w:szCs w:val="24"/>
          <w:lang w:eastAsia="ru-RU"/>
        </w:rPr>
        <w:t xml:space="preserve"> </w:t>
      </w:r>
      <w:proofErr w:type="gramStart"/>
      <w:r w:rsidR="0063083B" w:rsidRPr="005D4C74">
        <w:rPr>
          <w:i/>
          <w:szCs w:val="24"/>
          <w:lang w:val="en-US" w:eastAsia="ru-RU"/>
        </w:rPr>
        <w:t>BCR</w:t>
      </w:r>
      <w:r w:rsidR="0063083B" w:rsidRPr="005D4C74">
        <w:rPr>
          <w:i/>
          <w:szCs w:val="24"/>
          <w:lang w:eastAsia="ru-RU"/>
        </w:rPr>
        <w:t>::</w:t>
      </w:r>
      <w:proofErr w:type="gramEnd"/>
      <w:r w:rsidR="0063083B" w:rsidRPr="005D4C74">
        <w:rPr>
          <w:i/>
          <w:szCs w:val="24"/>
          <w:lang w:val="en-US" w:eastAsia="ru-RU"/>
        </w:rPr>
        <w:t>ABL</w:t>
      </w:r>
      <w:r w:rsidR="0063083B" w:rsidRPr="005D4C74">
        <w:rPr>
          <w:i/>
          <w:szCs w:val="24"/>
          <w:lang w:eastAsia="ru-RU"/>
        </w:rPr>
        <w:t xml:space="preserve">1, </w:t>
      </w:r>
      <w:r w:rsidR="0063083B" w:rsidRPr="005D4C74">
        <w:rPr>
          <w:szCs w:val="24"/>
          <w:lang w:eastAsia="ru-RU"/>
        </w:rPr>
        <w:t xml:space="preserve">а также </w:t>
      </w:r>
      <w:proofErr w:type="spellStart"/>
      <w:r w:rsidR="0063083B" w:rsidRPr="005D4C74">
        <w:rPr>
          <w:szCs w:val="24"/>
          <w:lang w:eastAsia="ru-RU"/>
        </w:rPr>
        <w:t>кри</w:t>
      </w:r>
      <w:r w:rsidR="00AA3586" w:rsidRPr="005D4C74">
        <w:rPr>
          <w:szCs w:val="24"/>
          <w:lang w:eastAsia="ru-RU"/>
        </w:rPr>
        <w:t>п</w:t>
      </w:r>
      <w:r w:rsidR="0063083B" w:rsidRPr="005D4C74">
        <w:rPr>
          <w:szCs w:val="24"/>
          <w:lang w:eastAsia="ru-RU"/>
        </w:rPr>
        <w:t>тическими</w:t>
      </w:r>
      <w:proofErr w:type="spellEnd"/>
      <w:r w:rsidR="0063083B" w:rsidRPr="005D4C74">
        <w:rPr>
          <w:szCs w:val="24"/>
          <w:lang w:eastAsia="ru-RU"/>
        </w:rPr>
        <w:t xml:space="preserve"> вариантами </w:t>
      </w:r>
      <w:proofErr w:type="spellStart"/>
      <w:r w:rsidR="0063083B" w:rsidRPr="005D4C74">
        <w:rPr>
          <w:szCs w:val="24"/>
          <w:lang w:eastAsia="ru-RU"/>
        </w:rPr>
        <w:t>транслокации</w:t>
      </w:r>
      <w:proofErr w:type="spellEnd"/>
      <w:r w:rsidR="0063083B" w:rsidRPr="005D4C74">
        <w:rPr>
          <w:szCs w:val="24"/>
          <w:lang w:eastAsia="ru-RU"/>
        </w:rPr>
        <w:t xml:space="preserve"> </w:t>
      </w:r>
      <w:r w:rsidR="0063083B" w:rsidRPr="005D4C74">
        <w:rPr>
          <w:szCs w:val="24"/>
          <w:lang w:val="en-US" w:eastAsia="ru-RU"/>
        </w:rPr>
        <w:t>t</w:t>
      </w:r>
      <w:r w:rsidR="0063083B" w:rsidRPr="005D4C74">
        <w:rPr>
          <w:szCs w:val="24"/>
          <w:lang w:eastAsia="ru-RU"/>
        </w:rPr>
        <w:t>(9;22) рекомендуется</w:t>
      </w:r>
      <w:r w:rsidRPr="005D4C74">
        <w:rPr>
          <w:szCs w:val="24"/>
          <w:lang w:eastAsia="ru-RU"/>
        </w:rPr>
        <w:t xml:space="preserve"> применение метода </w:t>
      </w:r>
      <w:r w:rsidRPr="005D4C74">
        <w:rPr>
          <w:szCs w:val="24"/>
          <w:lang w:val="en-US" w:eastAsia="ru-RU"/>
        </w:rPr>
        <w:t>FISH</w:t>
      </w:r>
      <w:r w:rsidRPr="005D4C74">
        <w:rPr>
          <w:szCs w:val="24"/>
          <w:lang w:eastAsia="ru-RU"/>
        </w:rPr>
        <w:t xml:space="preserve"> для мониторинга</w:t>
      </w:r>
      <w:r w:rsidR="0063083B" w:rsidRPr="005D4C74">
        <w:rPr>
          <w:szCs w:val="24"/>
          <w:lang w:eastAsia="ru-RU"/>
        </w:rPr>
        <w:t xml:space="preserve">. Следует подчеркнуть, что </w:t>
      </w:r>
      <w:r w:rsidRPr="005D4C74">
        <w:rPr>
          <w:szCs w:val="24"/>
          <w:lang w:eastAsia="ru-RU"/>
        </w:rPr>
        <w:t xml:space="preserve">значения менее или равные 1% </w:t>
      </w:r>
      <w:proofErr w:type="gramStart"/>
      <w:r w:rsidRPr="005D4C74">
        <w:rPr>
          <w:i/>
          <w:szCs w:val="24"/>
          <w:lang w:val="en-US" w:eastAsia="ru-RU"/>
        </w:rPr>
        <w:t>BCR</w:t>
      </w:r>
      <w:r w:rsidRPr="005D4C74">
        <w:rPr>
          <w:i/>
          <w:szCs w:val="24"/>
          <w:lang w:eastAsia="ru-RU"/>
        </w:rPr>
        <w:t>::</w:t>
      </w:r>
      <w:proofErr w:type="gramEnd"/>
      <w:r w:rsidRPr="005D4C74">
        <w:rPr>
          <w:i/>
          <w:szCs w:val="24"/>
          <w:lang w:val="en-US" w:eastAsia="ru-RU"/>
        </w:rPr>
        <w:t>ABL</w:t>
      </w:r>
      <w:r w:rsidRPr="005D4C74">
        <w:rPr>
          <w:szCs w:val="24"/>
          <w:lang w:eastAsia="ru-RU"/>
        </w:rPr>
        <w:t xml:space="preserve">-позитивных клеток соответствуют ПЦО (0% </w:t>
      </w:r>
      <w:proofErr w:type="spellStart"/>
      <w:r w:rsidRPr="005D4C74">
        <w:rPr>
          <w:szCs w:val="24"/>
          <w:lang w:val="en-US" w:eastAsia="ru-RU"/>
        </w:rPr>
        <w:t>Ph</w:t>
      </w:r>
      <w:proofErr w:type="spellEnd"/>
      <w:r w:rsidRPr="005D4C74">
        <w:rPr>
          <w:szCs w:val="24"/>
          <w:vertAlign w:val="superscript"/>
          <w:lang w:eastAsia="ru-RU"/>
        </w:rPr>
        <w:t>+</w:t>
      </w:r>
      <w:r w:rsidRPr="005D4C74">
        <w:rPr>
          <w:szCs w:val="24"/>
          <w:lang w:eastAsia="ru-RU"/>
        </w:rPr>
        <w:t xml:space="preserve">). Однако при величинах более 1% по данным </w:t>
      </w:r>
      <w:r w:rsidRPr="005D4C74">
        <w:rPr>
          <w:szCs w:val="24"/>
          <w:lang w:val="en-US" w:eastAsia="ru-RU"/>
        </w:rPr>
        <w:t>FISH</w:t>
      </w:r>
      <w:r w:rsidRPr="005D4C74">
        <w:rPr>
          <w:szCs w:val="24"/>
          <w:lang w:eastAsia="ru-RU"/>
        </w:rPr>
        <w:t xml:space="preserve"> корреляции между результатами СЦИ и </w:t>
      </w:r>
      <w:r w:rsidRPr="005D4C74">
        <w:rPr>
          <w:szCs w:val="24"/>
          <w:lang w:val="en-US" w:eastAsia="ru-RU"/>
        </w:rPr>
        <w:t>FISH</w:t>
      </w:r>
      <w:r w:rsidRPr="005D4C74">
        <w:rPr>
          <w:szCs w:val="24"/>
          <w:lang w:eastAsia="ru-RU"/>
        </w:rPr>
        <w:t xml:space="preserve"> нет [</w:t>
      </w:r>
      <w:r w:rsidRPr="005D4C74">
        <w:rPr>
          <w:szCs w:val="24"/>
          <w:lang w:val="en-US" w:eastAsia="ru-RU"/>
        </w:rPr>
        <w:t>N</w:t>
      </w:r>
      <w:r w:rsidRPr="005D4C74">
        <w:rPr>
          <w:szCs w:val="24"/>
          <w:lang w:eastAsia="ru-RU"/>
        </w:rPr>
        <w:t xml:space="preserve">. </w:t>
      </w:r>
      <w:proofErr w:type="spellStart"/>
      <w:r w:rsidRPr="005D4C74">
        <w:rPr>
          <w:szCs w:val="24"/>
          <w:lang w:val="en-US" w:eastAsia="ru-RU"/>
        </w:rPr>
        <w:t>Testoni</w:t>
      </w:r>
      <w:proofErr w:type="spellEnd"/>
      <w:r w:rsidRPr="005D4C74">
        <w:rPr>
          <w:szCs w:val="24"/>
          <w:lang w:eastAsia="ru-RU"/>
        </w:rPr>
        <w:t xml:space="preserve"> </w:t>
      </w:r>
      <w:r w:rsidRPr="005D4C74">
        <w:rPr>
          <w:szCs w:val="24"/>
          <w:lang w:val="en-US" w:eastAsia="ru-RU"/>
        </w:rPr>
        <w:t>et</w:t>
      </w:r>
      <w:r w:rsidRPr="005D4C74">
        <w:rPr>
          <w:szCs w:val="24"/>
          <w:lang w:eastAsia="ru-RU"/>
        </w:rPr>
        <w:t xml:space="preserve"> </w:t>
      </w:r>
      <w:r w:rsidRPr="005D4C74">
        <w:rPr>
          <w:szCs w:val="24"/>
          <w:lang w:val="en-US" w:eastAsia="ru-RU"/>
        </w:rPr>
        <w:t>al</w:t>
      </w:r>
      <w:r w:rsidRPr="005D4C74">
        <w:rPr>
          <w:szCs w:val="24"/>
          <w:lang w:eastAsia="ru-RU"/>
        </w:rPr>
        <w:t xml:space="preserve"> 2009]. </w:t>
      </w:r>
    </w:p>
    <w:p w14:paraId="52E97FDF" w14:textId="74B3DCF7" w:rsidR="0063083B" w:rsidRPr="005D4C74" w:rsidRDefault="00DF576E" w:rsidP="00DF576E">
      <w:pPr>
        <w:spacing w:line="288" w:lineRule="auto"/>
        <w:ind w:firstLine="284"/>
        <w:rPr>
          <w:szCs w:val="24"/>
          <w:lang w:eastAsia="ru-RU"/>
        </w:rPr>
      </w:pPr>
      <w:r w:rsidRPr="005D4C74">
        <w:rPr>
          <w:szCs w:val="24"/>
          <w:lang w:eastAsia="ru-RU"/>
        </w:rPr>
        <w:t xml:space="preserve">** </w:t>
      </w:r>
      <w:r w:rsidR="00E31D94" w:rsidRPr="005D4C74">
        <w:rPr>
          <w:szCs w:val="24"/>
          <w:lang w:eastAsia="ru-RU"/>
        </w:rPr>
        <w:t>рекомендуется</w:t>
      </w:r>
      <w:r w:rsidRPr="005D4C74">
        <w:rPr>
          <w:szCs w:val="24"/>
          <w:lang w:eastAsia="ru-RU"/>
        </w:rPr>
        <w:t xml:space="preserve"> результаты определения экспрессии </w:t>
      </w:r>
      <w:proofErr w:type="gramStart"/>
      <w:r w:rsidRPr="005D4C74">
        <w:rPr>
          <w:i/>
          <w:szCs w:val="24"/>
          <w:lang w:val="en-US" w:eastAsia="ru-RU"/>
        </w:rPr>
        <w:t>BCR</w:t>
      </w:r>
      <w:r w:rsidRPr="005D4C74">
        <w:rPr>
          <w:i/>
          <w:szCs w:val="24"/>
          <w:lang w:eastAsia="ru-RU"/>
        </w:rPr>
        <w:t>::</w:t>
      </w:r>
      <w:proofErr w:type="gramEnd"/>
      <w:r w:rsidRPr="005D4C74">
        <w:rPr>
          <w:i/>
          <w:szCs w:val="24"/>
          <w:lang w:val="en-US" w:eastAsia="ru-RU"/>
        </w:rPr>
        <w:t>ABL</w:t>
      </w:r>
      <w:r w:rsidRPr="005D4C74">
        <w:rPr>
          <w:szCs w:val="24"/>
          <w:lang w:eastAsia="ru-RU"/>
        </w:rPr>
        <w:t xml:space="preserve"> выдавать в процентах по международной шкале (</w:t>
      </w:r>
      <w:r w:rsidRPr="005D4C74">
        <w:rPr>
          <w:szCs w:val="24"/>
          <w:lang w:val="en-US" w:eastAsia="ru-RU"/>
        </w:rPr>
        <w:t>IS</w:t>
      </w:r>
      <w:r w:rsidRPr="005D4C74">
        <w:rPr>
          <w:szCs w:val="24"/>
          <w:lang w:eastAsia="ru-RU"/>
        </w:rPr>
        <w:t>). Этого можно достичь тремя способами: использование</w:t>
      </w:r>
      <w:r w:rsidR="0063083B" w:rsidRPr="005D4C74">
        <w:rPr>
          <w:szCs w:val="24"/>
          <w:lang w:eastAsia="ru-RU"/>
        </w:rPr>
        <w:t>м</w:t>
      </w:r>
      <w:r w:rsidRPr="005D4C74">
        <w:rPr>
          <w:szCs w:val="24"/>
          <w:lang w:eastAsia="ru-RU"/>
        </w:rPr>
        <w:t xml:space="preserve"> фактора конверсии, получаемого лабораторией при проведении стандартизации</w:t>
      </w:r>
      <w:r w:rsidR="0063083B" w:rsidRPr="005D4C74">
        <w:rPr>
          <w:szCs w:val="24"/>
          <w:lang w:eastAsia="ru-RU"/>
        </w:rPr>
        <w:t>;</w:t>
      </w:r>
      <w:r w:rsidRPr="005D4C74">
        <w:rPr>
          <w:szCs w:val="24"/>
          <w:lang w:eastAsia="ru-RU"/>
        </w:rPr>
        <w:t xml:space="preserve"> </w:t>
      </w:r>
      <w:r w:rsidRPr="005D4C74">
        <w:rPr>
          <w:szCs w:val="24"/>
          <w:lang w:eastAsia="ru-RU"/>
        </w:rPr>
        <w:lastRenderedPageBreak/>
        <w:t>применение</w:t>
      </w:r>
      <w:r w:rsidR="0063083B" w:rsidRPr="005D4C74">
        <w:rPr>
          <w:szCs w:val="24"/>
          <w:lang w:eastAsia="ru-RU"/>
        </w:rPr>
        <w:t>м</w:t>
      </w:r>
      <w:r w:rsidRPr="005D4C74">
        <w:rPr>
          <w:szCs w:val="24"/>
          <w:lang w:eastAsia="ru-RU"/>
        </w:rPr>
        <w:t xml:space="preserve"> аттестованных калибраторов или коммерческих тест-систем, представляющих свои результаты в % </w:t>
      </w:r>
      <w:r w:rsidR="0063083B" w:rsidRPr="005D4C74">
        <w:rPr>
          <w:szCs w:val="24"/>
          <w:lang w:eastAsia="ru-RU"/>
        </w:rPr>
        <w:t xml:space="preserve">по </w:t>
      </w:r>
      <w:r w:rsidRPr="005D4C74">
        <w:rPr>
          <w:szCs w:val="24"/>
          <w:lang w:val="en-US" w:eastAsia="ru-RU"/>
        </w:rPr>
        <w:t>IS</w:t>
      </w:r>
      <w:r w:rsidRPr="005D4C74">
        <w:rPr>
          <w:szCs w:val="24"/>
          <w:lang w:eastAsia="ru-RU"/>
        </w:rPr>
        <w:t xml:space="preserve">. </w:t>
      </w:r>
    </w:p>
    <w:p w14:paraId="7CAC94AB" w14:textId="54D16616" w:rsidR="00DF576E" w:rsidRPr="005D4C74" w:rsidRDefault="0063083B" w:rsidP="00DF576E">
      <w:pPr>
        <w:spacing w:line="288" w:lineRule="auto"/>
        <w:ind w:firstLine="284"/>
        <w:rPr>
          <w:szCs w:val="24"/>
          <w:lang w:eastAsia="ru-RU"/>
        </w:rPr>
      </w:pPr>
      <w:r w:rsidRPr="005D4C74">
        <w:rPr>
          <w:szCs w:val="24"/>
          <w:lang w:eastAsia="ru-RU"/>
        </w:rPr>
        <w:t>***</w:t>
      </w:r>
      <w:r w:rsidR="00DF576E" w:rsidRPr="005D4C74">
        <w:rPr>
          <w:szCs w:val="24"/>
          <w:lang w:eastAsia="ru-RU"/>
        </w:rPr>
        <w:t xml:space="preserve">При количестве копий контрольного гена </w:t>
      </w:r>
      <w:r w:rsidR="00DF576E" w:rsidRPr="005D4C74">
        <w:rPr>
          <w:i/>
          <w:szCs w:val="24"/>
          <w:lang w:val="en-US" w:eastAsia="ru-RU"/>
        </w:rPr>
        <w:t>ABL</w:t>
      </w:r>
      <w:r w:rsidR="00DF576E" w:rsidRPr="005D4C74">
        <w:rPr>
          <w:i/>
          <w:szCs w:val="24"/>
          <w:lang w:eastAsia="ru-RU"/>
        </w:rPr>
        <w:t xml:space="preserve">1 </w:t>
      </w:r>
      <w:r w:rsidR="00DF576E" w:rsidRPr="005D4C74">
        <w:rPr>
          <w:szCs w:val="24"/>
          <w:lang w:eastAsia="ru-RU"/>
        </w:rPr>
        <w:t>менее 10 000 копий результат не может быть выдан</w:t>
      </w:r>
      <w:r w:rsidR="00C44EDA" w:rsidRPr="005D4C74">
        <w:rPr>
          <w:szCs w:val="24"/>
          <w:lang w:eastAsia="ru-RU"/>
        </w:rPr>
        <w:t>,</w:t>
      </w:r>
      <w:r w:rsidR="00DF576E" w:rsidRPr="005D4C74">
        <w:rPr>
          <w:szCs w:val="24"/>
          <w:lang w:eastAsia="ru-RU"/>
        </w:rPr>
        <w:t xml:space="preserve"> и </w:t>
      </w:r>
      <w:r w:rsidR="00E31D94" w:rsidRPr="005D4C74">
        <w:rPr>
          <w:szCs w:val="24"/>
          <w:lang w:eastAsia="ru-RU"/>
        </w:rPr>
        <w:t xml:space="preserve">анализ </w:t>
      </w:r>
      <w:r w:rsidR="00DF576E" w:rsidRPr="005D4C74">
        <w:rPr>
          <w:szCs w:val="24"/>
          <w:lang w:eastAsia="ru-RU"/>
        </w:rPr>
        <w:t>должен быть проведен повторно.</w:t>
      </w:r>
    </w:p>
    <w:p w14:paraId="03D04DD9" w14:textId="68B3E442" w:rsidR="00DF576E" w:rsidRPr="00AA3586" w:rsidRDefault="00DF576E" w:rsidP="00DF576E">
      <w:pPr>
        <w:spacing w:line="288" w:lineRule="auto"/>
        <w:ind w:firstLine="284"/>
        <w:rPr>
          <w:szCs w:val="24"/>
          <w:lang w:eastAsia="ru-RU"/>
        </w:rPr>
      </w:pPr>
      <w:r w:rsidRPr="005D4C74">
        <w:rPr>
          <w:szCs w:val="24"/>
          <w:lang w:eastAsia="ru-RU"/>
        </w:rPr>
        <w:t xml:space="preserve">****Возможен более частый контроль для оценки стабильности глубокого молекулярного ответа перед </w:t>
      </w:r>
      <w:r w:rsidR="00E31D94" w:rsidRPr="005D4C74">
        <w:rPr>
          <w:szCs w:val="24"/>
          <w:lang w:eastAsia="ru-RU"/>
        </w:rPr>
        <w:t xml:space="preserve">фазой </w:t>
      </w:r>
      <w:r w:rsidRPr="005D4C74">
        <w:rPr>
          <w:szCs w:val="24"/>
          <w:lang w:eastAsia="ru-RU"/>
        </w:rPr>
        <w:t xml:space="preserve">ремиссии без лечения. </w:t>
      </w:r>
      <w:r w:rsidR="00E31D94" w:rsidRPr="005D4C74">
        <w:rPr>
          <w:szCs w:val="24"/>
          <w:lang w:eastAsia="ru-RU"/>
        </w:rPr>
        <w:t xml:space="preserve">См </w:t>
      </w:r>
      <w:r w:rsidR="00C44EDA" w:rsidRPr="005D4C74">
        <w:rPr>
          <w:szCs w:val="24"/>
          <w:lang w:eastAsia="ru-RU"/>
        </w:rPr>
        <w:t>«</w:t>
      </w:r>
      <w:r w:rsidR="00C44EDA" w:rsidRPr="005D4C74">
        <w:rPr>
          <w:bCs/>
        </w:rPr>
        <w:t>Возможность отмены терапии ИТК у пациентов с глубоким молекулярным ответом»</w:t>
      </w:r>
      <w:r w:rsidR="00C44EDA" w:rsidRPr="005D4C74">
        <w:rPr>
          <w:szCs w:val="24"/>
          <w:lang w:eastAsia="ru-RU"/>
        </w:rPr>
        <w:t xml:space="preserve"> в разделе 7</w:t>
      </w:r>
    </w:p>
    <w:p w14:paraId="69473CB2" w14:textId="77FCB7AF" w:rsidR="00DF576E" w:rsidRDefault="00C571B1" w:rsidP="00C571B1">
      <w:pPr>
        <w:spacing w:line="288" w:lineRule="auto"/>
        <w:ind w:firstLine="284"/>
        <w:rPr>
          <w:sz w:val="22"/>
          <w:lang w:eastAsia="ru-RU"/>
        </w:rPr>
      </w:pPr>
      <w:r>
        <w:rPr>
          <w:sz w:val="22"/>
          <w:lang w:eastAsia="ru-RU"/>
        </w:rPr>
        <w:t xml:space="preserve">***** </w:t>
      </w:r>
      <w:r w:rsidR="003E4461" w:rsidRPr="00805A41">
        <w:rPr>
          <w:szCs w:val="24"/>
          <w:lang w:eastAsia="ru-RU"/>
        </w:rPr>
        <w:t>Для пациентов без неудачи терапии стандартное цитогенетическое исследование костного мозга рекомендуется в тех случаях, когда стандартизированный молекулярный мониторинг невозможен.</w:t>
      </w:r>
    </w:p>
    <w:p w14:paraId="790B5663" w14:textId="77777777" w:rsidR="000C7098" w:rsidRPr="00062B4F" w:rsidRDefault="000C7098" w:rsidP="00A26583">
      <w:pPr>
        <w:pStyle w:val="3"/>
        <w:rPr>
          <w:rFonts w:ascii="Times New Roman" w:hAnsi="Times New Roman"/>
          <w:b/>
          <w:iCs/>
          <w:color w:val="auto"/>
        </w:rPr>
      </w:pPr>
      <w:bookmarkStart w:id="31" w:name="_Toc86133409"/>
      <w:r w:rsidRPr="00062B4F">
        <w:rPr>
          <w:rFonts w:ascii="Times New Roman" w:hAnsi="Times New Roman"/>
          <w:b/>
          <w:iCs/>
          <w:color w:val="auto"/>
        </w:rPr>
        <w:t>3.1.6. Тактика ведения в зависимости от результатов терапии</w:t>
      </w:r>
      <w:bookmarkEnd w:id="31"/>
    </w:p>
    <w:p w14:paraId="42FE1717" w14:textId="0A18BCAA" w:rsidR="000C7098" w:rsidRPr="00062B4F" w:rsidRDefault="000C7098" w:rsidP="00505FD7">
      <w:pPr>
        <w:numPr>
          <w:ilvl w:val="0"/>
          <w:numId w:val="20"/>
        </w:numPr>
        <w:ind w:left="714" w:hanging="357"/>
        <w:rPr>
          <w:iCs/>
          <w:szCs w:val="24"/>
          <w:lang w:eastAsia="ru-RU"/>
        </w:rPr>
      </w:pPr>
      <w:r w:rsidRPr="00062B4F">
        <w:rPr>
          <w:b/>
          <w:bCs/>
          <w:iCs/>
          <w:szCs w:val="24"/>
          <w:lang w:eastAsia="ru-RU"/>
        </w:rPr>
        <w:t xml:space="preserve">Рекомендуется </w:t>
      </w:r>
      <w:r w:rsidRPr="00062B4F">
        <w:rPr>
          <w:bCs/>
          <w:iCs/>
          <w:szCs w:val="24"/>
          <w:lang w:eastAsia="ru-RU"/>
        </w:rPr>
        <w:t xml:space="preserve">пациентам с неудачей терапии </w:t>
      </w:r>
      <w:proofErr w:type="spellStart"/>
      <w:r w:rsidRPr="00062B4F">
        <w:rPr>
          <w:bCs/>
          <w:iCs/>
          <w:szCs w:val="24"/>
          <w:lang w:eastAsia="ru-RU"/>
        </w:rPr>
        <w:t>иматинибом</w:t>
      </w:r>
      <w:proofErr w:type="spellEnd"/>
      <w:r w:rsidR="00577329" w:rsidRPr="00062B4F">
        <w:rPr>
          <w:bCs/>
          <w:iCs/>
          <w:szCs w:val="24"/>
          <w:lang w:eastAsia="ru-RU"/>
        </w:rPr>
        <w:t>**</w:t>
      </w:r>
      <w:r w:rsidRPr="00062B4F">
        <w:rPr>
          <w:bCs/>
          <w:iCs/>
          <w:szCs w:val="24"/>
          <w:lang w:eastAsia="ru-RU"/>
        </w:rPr>
        <w:t xml:space="preserve"> переход на ИТК2</w:t>
      </w:r>
      <w:r w:rsidRPr="00062B4F">
        <w:rPr>
          <w:b/>
          <w:bCs/>
          <w:iCs/>
          <w:szCs w:val="24"/>
          <w:lang w:eastAsia="ru-RU"/>
        </w:rPr>
        <w:t xml:space="preserve"> (</w:t>
      </w:r>
      <w:proofErr w:type="spellStart"/>
      <w:r w:rsidRPr="00062B4F">
        <w:rPr>
          <w:iCs/>
          <w:szCs w:val="24"/>
          <w:lang w:eastAsia="ru-RU"/>
        </w:rPr>
        <w:t>нилотиниб</w:t>
      </w:r>
      <w:proofErr w:type="spellEnd"/>
      <w:r w:rsidRPr="00062B4F">
        <w:rPr>
          <w:iCs/>
          <w:szCs w:val="24"/>
          <w:lang w:eastAsia="ru-RU"/>
        </w:rPr>
        <w:t xml:space="preserve">**, </w:t>
      </w:r>
      <w:proofErr w:type="spellStart"/>
      <w:r w:rsidRPr="00062B4F">
        <w:rPr>
          <w:iCs/>
          <w:szCs w:val="24"/>
          <w:lang w:eastAsia="ru-RU"/>
        </w:rPr>
        <w:t>дазатиниб</w:t>
      </w:r>
      <w:proofErr w:type="spellEnd"/>
      <w:r w:rsidRPr="00062B4F">
        <w:rPr>
          <w:iCs/>
          <w:szCs w:val="24"/>
          <w:lang w:eastAsia="ru-RU"/>
        </w:rPr>
        <w:t xml:space="preserve">**, </w:t>
      </w:r>
      <w:proofErr w:type="spellStart"/>
      <w:r w:rsidRPr="00062B4F">
        <w:rPr>
          <w:iCs/>
          <w:szCs w:val="24"/>
          <w:lang w:eastAsia="ru-RU"/>
        </w:rPr>
        <w:t>бозутиниб</w:t>
      </w:r>
      <w:proofErr w:type="spellEnd"/>
      <w:r w:rsidR="002425E1" w:rsidRPr="00062B4F">
        <w:rPr>
          <w:iCs/>
          <w:szCs w:val="24"/>
          <w:lang w:eastAsia="ru-RU"/>
        </w:rPr>
        <w:t>**</w:t>
      </w:r>
      <w:r w:rsidRPr="00062B4F">
        <w:rPr>
          <w:iCs/>
          <w:szCs w:val="24"/>
          <w:lang w:eastAsia="ru-RU"/>
        </w:rPr>
        <w:t>)</w:t>
      </w:r>
      <w:r w:rsidR="00D6082E" w:rsidRPr="00062B4F">
        <w:rPr>
          <w:iCs/>
          <w:szCs w:val="24"/>
          <w:lang w:eastAsia="ru-RU"/>
        </w:rPr>
        <w:t xml:space="preserve"> </w:t>
      </w:r>
      <w:r w:rsidR="00D6082E" w:rsidRPr="00062B4F">
        <w:rPr>
          <w:iCs/>
          <w:szCs w:val="24"/>
          <w:lang w:eastAsia="ru-RU"/>
        </w:rPr>
        <w:fldChar w:fldCharType="begin" w:fldLock="1"/>
      </w:r>
      <w:r w:rsidR="00D3055F" w:rsidRPr="00062B4F">
        <w:rPr>
          <w:iCs/>
          <w:szCs w:val="24"/>
          <w:lang w:eastAsia="ru-RU"/>
        </w:rPr>
        <w:instrText xml:space="preserve">ADDIN CSL_CITATION {"citationItems":[{"id":"ITEM-1","itemData":{"DOI":"10.1002/ajh.24423","ISSN":"03618609","author":[{"dropping-particle":"","family":"Shah","given":"Neil P.","non-dropping-particle":"","parse-names":false,"suffix":""},{"dropping-particle":"","family":"Rousselot","given":"Philippe","non-dropping-particle":"","parse-names":false,"suffix":""},{"dropping-particle":"","family":"Schiffer","given":"Charles","non-dropping-particle":"","parse-names":false,"suffix":""},{"dropping-particle":"","family":"Rea","given":"Delphine","non-dropping-particle":"","parse-names":false,"suffix":""},{"dropping-particle":"","family":"Cortes","given":"Jorge E.","non-dropping-particle":"","parse-names":false,"suffix":""},{"dropping-particle":"","family":"Milone","given":"Jorge","non-dropping-particle":"","parse-names":false,"suffix":""},{"dropping-particle":"","family":"Mohamed","given":"Hesham","non-dropping-particle":"","parse-names":false,"suffix":""},{"dropping-particle":"","family":"Healey","given":"Diane","non-dropping-particle":"","parse-names":false,"suffix":""},{"dropping-particle":"","family":"Kantarjian","given":"Hagop","non-dropping-particle":"","parse-names":false,"suffix":""},{"dropping-particle":"","family":"Hochhaus","given":"Andreas","non-dropping-particle":"","parse-names":false,"suffix":""},{"dropping-particle":"","family":"Saglio","given":"Giuseppe","non-dropping-particle":"","parse-names":false,"suffix":""}],"container-title":"American Journal of Hematology","id":"ITEM-1","issue":"9","issued":{"date-parts":[["2016","9"]]},"page":"869-874","title":"Dasatinib in imatinib-resistant or -intolerant chronic-phase, chronic myeloid leukemia patients: 7-year follow-up of study CA180-034","type":"article-journal","volume":"91"},"uris":["http://www.mendeley.com/documents/?uuid=c99273db-1012-41aa-ad61-8bbbc4b7d9ed"]},{"id":"ITEM-2","itemData":{"DOI":"10.1002/ajh.24536","ISSN":"0361-8609","PMID":"27531525","abstract":"Bosutinib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Hematology","id":"ITEM-2","issue":"12","issued":{"date-parts":[["2016","12"]]},"page":"1206-1214","title":"Long‐term bosutinib for chronic phase chronic myeloid leukemia after failure of imatinib plus dasatinib and/or nilotinib","type":"article-journal","volume":"91"},"uris":["http://www.mendeley.com/documents/?uuid=cb4ca7e0-91a8-4047-a36e-7c8a2122b009"]},{"id":"ITEM-3","itemData":{"DOI":"10.1038/leu.2012.181","ISSN":"0887-6924","PMID":"22763385","abstract":"Nilotinib (Tasigna) is a BCR-ABL1 tyrosine kinase inhibitor approved for the treatment of patients with Philadelphia chromosome-positive chronic myeloid leukemia in chronic phase (CML-CP) who are newly diagnosed or intolerant of or resistant to imatinib. The 48-month follow-up data for patients with CML-CP treated with nilotinib after imatinib resistance or intolerance on an international phase II study were analyzed. Overall, 59% of patients achieved major cytogenetic response; 45% achieved complete cytogenetic response while on study. The estimated rate of overall survival (OS) and progression-free survival (PFS) at 48 months was 78% and 57%, respectively. Deeper levels of molecular responses at 3 and 6 months were highly positively correlated with long-term outcomes, including PFS and OS at 48 months. Of the 321 patients initially enrolled in the study, 98 (31%) were treated for at least 48 months. Discontinuations were primarily due to disease progression (30%) or adverse events (21%). Nilotinib is safe and effective for long-term use in responding patients with CML-CP who are intolerant of or resistant to imatinib. Further significant improvements in therapy are required for patients who are resistant or intolerant to imatinib.","author":[{"dropping-particle":"","family":"Giles","given":"F J","non-dropping-particle":"","parse-names":false,"suffix":""},{"dropping-particle":"","family":"Coutre","given":"P D","non-dropping-particle":"le","parse-names":false,"suffix":""},{"dropping-particle":"","family":"Pinilla-Ibarz","given":"J","non-dropping-particle":"","parse-names":false,"suffix":""},{"dropping-particle":"","family":"Larson","given":"R A","non-dropping-particle":"","parse-names":false,"suffix":""},{"dropping-particle":"","family":"Gattermann","given":"N","non-dropping-particle":"","parse-names":false,"suffix":""},{"dropping-particle":"","family":"Ottmann","given":"O G","non-dropping-particle":"","parse-names":false,"suffix":""},{"dropping-particle":"","family":"Hochhaus","given":"A","non-dropping-particle":"","parse-names":false,"suffix":""},{"dropping-particle":"","family":"Radich","given":"J P","non-dropping-particle":"","parse-names":false,"suffix":""},{"dropping-particle":"","family":"Saglio","given":"G","non-dropping-particle":"","parse-names":false,"suffix":""},{"dropping-particle":"","family":"Hughes","given":"T P","non-dropping-particle":"","parse-names":false,"suffix":""},{"dropping-particle":"","family":"Martinelli","given":"G","non-dropping-particle":"","parse-names":false,"suffix":""},{"dropping-particle":"","family":"Kim","given":"D-W","non-dropping-particle":"","parse-names":false,"suffix":""},{"dropping-particle":"","family":"Novick","given":"S","non-dropping-particle":"","parse-names":false,"suffix":""},{"dropping-particle":"","family":"Gillis","given":"K","non-dropping-particle":"","parse-names":false,"suffix":""},{"dropping-particle":"","family":"Fan","given":"X","non-dropping-particle":"","parse-names":false,"suffix":""},{"dropping-particle":"","family":"Cortes","given":"J","non-dropping-particle":"","parse-names":false,"suffix":""},{"dropping-particle":"","family":"Baccarani","given":"M","non-dropping-particle":"","parse-names":false,"suffix":""},{"dropping-particle":"","family":"Kantarjian","given":"H M","non-dropping-particle":"","parse-names":false,"suffix":""}],"container-title":"Leukemia","id":"ITEM-3","issue":"1","issued":{"date-parts":[["2013","1"]]},"page":"107-112","title":"Nilotinib in imatinib-resistant or imatinib-intolerant patients with chronic myeloid leukemia in chronic phase: 48-month follow-up results of a phase II study","type":"article-journal","volume":"27"},"uris":["http://www.mendeley.com/documents/?uuid=4d425528-2c73-4832-8fee-6e4c41472cdb"]},{"id":"ITEM-4","itemData":{"DOI":"10.1182/blood-2008-11-186817","ISSN":"0006-4971","PMID":"19369231","abstract":"Dasatinib is the most potent BCR-ABL inhibitor, with 325-fold higher potency than imatinib against unmutated BCR-ABL in vitro. Studies have demonstrated the benefits of dasatinib 70 mg twice daily in patients with accelerated-phase chronic myeloid leukemia intolerant or resistant to imatinib. A phase 3 study compared the efficacy and safety of dasatinib 140 mg once daily with the current twice-daily regimen. Here, results from the subgroup with accelerated-phase chronic myeloid leukemia (n = 317) with a median follow-up of 15 months (treatment duration, 0.03-31.15 months) are reported. Among patients randomized to once-daily (n = 158) or twice-daily (n = 159) treatment, rates of major hematologic and cytogenetic responses were comparable (major hematologic response, 66% vs 68%; major cytogenetic response, 39% vs 43%, respectively). Estimated progression-free survival rates at 24 months were 51% and 55%, whereas overall survival rates were 63% versus 72%. Once-daily treatment was associated with an improved safety profile. In particular, significantly fewer patients in the once-daily group experienced a pleural effusion (all grades, 20% vs 39% P &lt; .001). These results demonstrate that dasatinib 140 mg once daily has similar efficacy to dasatinib 70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C.","non-dropping-particle":"","parse-names":false,"suffix":""},{"dropping-particle":"","family":"Radich","given":"J. P.","non-dropping-particle":"","parse-names":false,"suffix":""},{"dropping-particle":"","family":"Khoury","given":"H. J.","non-dropping-particle":"","parse-names":false,"suffix":""},{"dropping-particle":"","family":"Khoroshko","given":"N.","non-dropping-particle":"","parse-names":false,"suffix":""},{"dropping-particle":"","family":"Bradley-Garelik","given":"M. B.","non-dropping-particle":"","parse-names":false,"suffix":""},{"dropping-particle":"","family":"Zhu","given":"C.","non-dropping-particle":"","parse-names":false,"suffix":""},{"dropping-particle":"","family":"Tallman","given":"M. S.","non-dropping-particle":"","parse-names":false,"suffix":""}],"container-title":"Blood","id":"ITEM-4","issue":"25","issued":{"date-parts":[["2009","6"]]},"page":"6322-6329","title":"Phase 3 study of dasatinib 140 mg once daily versus 70 mg twice daily in patients with chronic myeloid leukemia in accelerated phase resistant or intolerant to imatinib: 15-month median follow-up","type":"article-journal","volume":"113"},"uris":["http://www.mendeley.com/documents/?uuid=e9b7e499-beb9-4b23-8c72-8821f8450217"]},{"id":"ITEM-5","itemData":{"DOI":"10.1002/ajh.24034","ISSN":"10968652","abstract":"Long-term efficacy and safety of bosutinib (≥4 years follow-up from last enrolled patient) were evaluated in an ongoing phase 1/2 study in the advanced leukemia cohort with prior treatment failure (accelerated-phase [AP, n = 79] chronic myeloid leukemia [CML], blast-phase [BP, n = 64] CML, acute lymphoblastic leukemia [ALL, n = 24]). Fourteen AP, 2 BP, and 1 ALL patient remained on bosutinib at 4 years (vs. 38, 8, 1 at 1 year); median (range) treatment durations: 10.2 (0.1-88.6), 2.8 (0.03-55.9), 0.97 (0.3-89.2) months. Among AP and BP patients, 57% and 28% newly attained or maintained baseline overall hematologic response (OHR); 40% and 37% attained/maintained major cytogenetic response (MCyR) by 4 years (most by 12 months). In responders at 1 versus 4 years, Kaplan-Meier (KM) probabilities of maintaining OHR were 78% versus 49% (AP) and 28% versus 19% (BP); KM probabilities of maintaining MCyR were 65% versus 49% (AP) and 21% versus 21% (BP). Most common AEs (AP, BP) were gastrointestinal (96%; 83%), primarily diarrhea (85%; 64%), which was typically low grade (maximum grade 1/2: 81%; 59%) and transient; no patient discontinued due to diarrhea. Serious AEs occurred in 44 (56%) AP and 37 (58%) BP patients, most commonly pneumonia (n = 9) for AP and pyrexia (n = 6) for BP; 11 and 13 died within 30 days of last dose (2 considered bosutinib-related [AP] per investigator). Responses were durable in </w:instrText>
      </w:r>
      <w:r w:rsidR="00D3055F" w:rsidRPr="00062B4F">
        <w:rPr>
          <w:rFonts w:ascii="Cambria Math" w:hAnsi="Cambria Math" w:cs="Cambria Math"/>
          <w:iCs/>
          <w:szCs w:val="24"/>
          <w:lang w:eastAsia="ru-RU"/>
        </w:rPr>
        <w:instrText>∼</w:instrText>
      </w:r>
      <w:r w:rsidR="00D3055F" w:rsidRPr="00062B4F">
        <w:rPr>
          <w:iCs/>
          <w:szCs w:val="24"/>
          <w:lang w:eastAsia="ru-RU"/>
        </w:rPr>
        <w:instrText>50% AP responders at 4 years (</w:instrText>
      </w:r>
      <w:r w:rsidR="00D3055F" w:rsidRPr="00062B4F">
        <w:rPr>
          <w:rFonts w:ascii="Cambria Math" w:hAnsi="Cambria Math" w:cs="Cambria Math"/>
          <w:iCs/>
          <w:szCs w:val="24"/>
          <w:lang w:eastAsia="ru-RU"/>
        </w:rPr>
        <w:instrText>∼</w:instrText>
      </w:r>
      <w:r w:rsidR="00D3055F" w:rsidRPr="00062B4F">
        <w:rPr>
          <w:iCs/>
          <w:szCs w:val="24"/>
          <w:lang w:eastAsia="ru-RU"/>
        </w:rPr>
        <w:instrText>25% BP patients responded at year 1, suggesting possible bridge-to-transplant role in BP patients); toxicity was manageable.","author":[{"dropping-particle":"","family":"Gambacorti-Passerini","given":"Carlo","non-dropping-particle":"","parse-names":false,"suffix":""},{"dropping-particle":"","family":"Kantarjian","given":"Hagop M.","non-dropping-particle":"","parse-names":false,"suffix":""},{"dropping-particle":"","family":"Kim","given":"Dong Wook","non-dropping-particle":"","parse-names":false,"suffix":""},{"dropping-particle":"","family":"Khoury","given":"Hanna J.","non-dropping-particle":"","parse-names":false,"suffix":""},{"dropping-particle":"","family":"Turkina","given":"Anna G.","non-dropping-particle":"","parse-names":false,"suffix":""},{"dropping-particle":"","family":"Brümmendorf","given":"Tim H.","non-dropping-particle":"","parse-names":false,"suffix":""},{"dropping-particle":"","family":"Matczak","given":"Ewa","non-dropping-particle":"","parse-names":false,"suffix":""},{"dropping-particle":"","family":"Bardy-Bouxin","given":"Nathalie","non-dropping-particle":"","parse-names":false,"suffix":""},{"dropping-particle":"","family":"Shapiro","given":"Mark","non-dropping-particle":"","parse-names":false,"suffix":""},{"dropping-particle":"","family":"Turnbull","given":"Kathleen","non-dropping-particle":"","parse-names":false,"suffix":""},{"dropping-particle":"","family":"Leip","given":"Eric","non-dropping-particle":"","parse-names":false,"suffix":""},{"dropping-particle":"","family":"Cortes","given":"Jorge E.","non-dropping-particle":"","parse-names":false,"suffix":""}],"container-title":"American Journal of Hematology","id":"ITEM-5","issue":"9","issued":{"date-parts":[["2015","9","1"]]},"page":"755-768","publisher":"Wiley-Liss Inc.","title":"Long-term efficacy and safety of bosutinib in patients with advanced leukemia following resistance/intolerance to imatinib and other tyrosine kinase inhibitors","type":"article-journal","volume":"90"},"uris":["http://www.mendeley.com/documents/?uuid=af8548cf-b2be-3ecc-8f44-89d967377ee2"]},{"id":"ITEM-6","itemData":{"DOI":"10.1002/ajh.23728","ISSN":"03618609","PMID":"24711212","abstract":"Bosutinib is an orally active, dual Src/Abl tyrosine kinase inhibitor for treatment of chronic myeloid leukemia (CML) following resistance/intolerance to prior therapy. Here, we report the data from the 2-year follow-up of a phase 1/2 open-label study evaluating the efficacy and safety of bosutinib as second-line therapy in 288 patients with chronic phase CML resistant (n = 200) or intolerant (n = 88) to imatinib. The cumulative response rates to bosutinib were as follows: 85% achieved/maintained complete hematologic response, 59% achieved/maintained major cytogenetic response (including 48% with complete cytogenetic response), and 35% achieved major molecular response. Responses were durable, with 2-year estimates of retaining response &gt;70%. Two-year probabilities of progression-free survival and overall survival were 81% and 91%, respectively. The most common toxicities were primarily gastrointestinal adverse events (diarrhea [84%], nausea [45%], vomiting [37%]), which were primarily mild to moderate, typically transient, and first occurred early during treatment. Thrombocytopenia was the most common grade 3/4 hematologic laboratory abnormality (24%). Outcomes were generally similar among imatinib-resistant and imatinib-intolerant patients and did not differ with age. The longer-term results of the present analysis confirm that bosutinib is an effective and tolerable second-line therapy for patients with imatinib-resistant or imatinib-intolerant chronic phase CML. ClinicalTrials.gov Identifier: NCT00261846.","author":[{"dropping-particle":"","family":"Gambacorti-Passerini","given":"Carlo","non-dropping-particle":"","parse-names":false,"suffix":""},{"dropping-particle":"","family":"Brümmendorf","given":"Tim H.","non-dropping-particle":"","parse-names":false,"suffix":""},{"dropping-particle":"","family":"Kim","given":"Dong-Wook","non-dropping-particle":"","parse-names":false,"suffix":""},{"dropping-particle":"","family":"Turkina","given":"Anna G.","non-dropping-particle":"","parse-names":false,"suffix":""},{"dropping-particle":"","family":"Masszi","given":"Tamas","non-dropping-particle":"","parse-names":false,"suffix":""},{"dropping-particle":"","family":"Assouline","given":"Sarit","non-dropping-particle":"","parse-names":false,"suffix":""},{"dropping-particle":"","family":"Durrant","given":"Simon","non-dropping-particle":"","parse-names":false,"suffix":""},{"dropping-particle":"","family":"Kantarjian","given":"Hagop M.","non-dropping-particle":"","parse-names":false,"suffix":""},{"dropping-particle":"","family":"Khoury","given":"H. Jean","non-dropping-particle":"","parse-names":false,"suffix":""},{"dropping-particle":"","family":"Zaritskey","given":"Andrey","non-dropping-particle":"","parse-names":false,"suffix":""},{"dropping-particle":"","family":"Shen","given":"Zhi-Xiang","non-dropping-particle":"","parse-names":false,"suffix":""},{"dropping-particle":"","family":"Jin","given":"Jie","non-dropping-particle":"","parse-names":false,"suffix":""},{"dropping-particle":"","family":"Vellenga","given":"Edo","non-dropping-particle":"","parse-names":false,"suffix":""},{"dropping-particle":"","family":"Pasquini","given":"Ricardo","non-dropping-particle":"","parse-names":false,"suffix":""},{"dropping-particle":"","family":"Mathews","given":"Vikram","non-dropping-particle":"","parse-names":false,"suffix":""},{"dropping-particle":"","family":"Cervantes","given":"Francisco","non-dropping-particle":"","parse-names":false,"suffix":""},{"dropping-particle":"","family":"Besson","given":"Nadine","non-dropping-particle":"","parse-names":false,"suffix":""},{"dropping-particle":"","family":"Turnbull","given":"Kathleen","non-dropping-particle":"","parse-names":false,"suffix":""},{"dropping-particle":"","family":"Leip","given":"Eric","non-dropping-particle":"","parse-names":false,"suffix":""},{"dropping-particle":"","family":"Kelly","given":"Virginia","non-dropping-particle":"","parse-names":false,"suffix":""},{"dropping-particle":"","family":"Cortes","given":"Jorge E.","non-dropping-particle":"","parse-names":false,"suffix":""}],"container-title":"American Journal of Hematology","id":"ITEM-6","issue":"7","issued":{"date-parts":[["2014","7"]]},"page":"732-742","title":"Bosutinib efficacy and safety in chronic phase chronic myeloid leukemia after imatinib resistance or intolerance: Minimum 24-month follow-up","type":"article-journal","volume":"89"},"uris":["http://www.mendeley.com/documents/?uuid=ac80a76e-0b42-4ae1-b8ba-0ab152dd0b17"]}],"mendeley":{"formattedCitation":"[27,32–34,36,37]","plainTextFormattedCitation":"[27,32–34,36,37]","previouslyFormattedCitation":"[27,32–34,36,37]"},"properties":{"noteIndex":0},"schema":"https://github.com/citation-style-language/schema/raw/master/csl-citation.json"}</w:instrText>
      </w:r>
      <w:r w:rsidR="00D6082E" w:rsidRPr="00062B4F">
        <w:rPr>
          <w:iCs/>
          <w:szCs w:val="24"/>
          <w:lang w:eastAsia="ru-RU"/>
        </w:rPr>
        <w:fldChar w:fldCharType="separate"/>
      </w:r>
      <w:r w:rsidR="00B83D95" w:rsidRPr="00062B4F">
        <w:rPr>
          <w:iCs/>
          <w:noProof/>
          <w:szCs w:val="24"/>
          <w:lang w:eastAsia="ru-RU"/>
        </w:rPr>
        <w:t>[27,32–34,36,37</w:t>
      </w:r>
      <w:r w:rsidR="001A1192">
        <w:rPr>
          <w:iCs/>
          <w:noProof/>
          <w:szCs w:val="24"/>
          <w:lang w:eastAsia="ru-RU"/>
        </w:rPr>
        <w:t>.101</w:t>
      </w:r>
      <w:r w:rsidR="00B83D95" w:rsidRPr="00062B4F">
        <w:rPr>
          <w:iCs/>
          <w:noProof/>
          <w:szCs w:val="24"/>
          <w:lang w:eastAsia="ru-RU"/>
        </w:rPr>
        <w:t>]</w:t>
      </w:r>
      <w:r w:rsidR="00D6082E" w:rsidRPr="00062B4F">
        <w:rPr>
          <w:iCs/>
          <w:szCs w:val="24"/>
          <w:lang w:eastAsia="ru-RU"/>
        </w:rPr>
        <w:fldChar w:fldCharType="end"/>
      </w:r>
      <w:r w:rsidR="00D6082E" w:rsidRPr="00062B4F">
        <w:rPr>
          <w:iCs/>
          <w:szCs w:val="24"/>
          <w:lang w:eastAsia="ru-RU"/>
        </w:rPr>
        <w:t>.</w:t>
      </w:r>
    </w:p>
    <w:p w14:paraId="28C8A267" w14:textId="77777777" w:rsidR="000C7098" w:rsidRPr="00062B4F" w:rsidRDefault="000C7098" w:rsidP="008E7654">
      <w:pPr>
        <w:ind w:left="709" w:firstLine="0"/>
        <w:rPr>
          <w:b/>
          <w:bCs/>
          <w:szCs w:val="24"/>
          <w:lang w:eastAsia="ru-RU"/>
        </w:rPr>
      </w:pPr>
      <w:r w:rsidRPr="00062B4F">
        <w:rPr>
          <w:b/>
          <w:bCs/>
          <w:szCs w:val="24"/>
          <w:lang w:eastAsia="ru-RU"/>
        </w:rPr>
        <w:t>Уровень убедительности рекомендаций – A (уровень достоверности доказательств – 2).</w:t>
      </w:r>
    </w:p>
    <w:p w14:paraId="340B031D" w14:textId="77777777" w:rsidR="000C7098" w:rsidRPr="00062B4F" w:rsidRDefault="000C7098" w:rsidP="008E7654">
      <w:pPr>
        <w:rPr>
          <w:i/>
          <w:iCs/>
          <w:szCs w:val="24"/>
          <w:lang w:eastAsia="ru-RU"/>
        </w:rPr>
      </w:pPr>
      <w:r w:rsidRPr="00062B4F">
        <w:rPr>
          <w:b/>
          <w:bCs/>
          <w:i/>
          <w:iCs/>
          <w:szCs w:val="24"/>
          <w:lang w:eastAsia="ru-RU"/>
        </w:rPr>
        <w:t>Комментарий</w:t>
      </w:r>
      <w:r w:rsidRPr="00062B4F">
        <w:rPr>
          <w:i/>
          <w:iCs/>
          <w:szCs w:val="24"/>
          <w:lang w:eastAsia="ru-RU"/>
        </w:rPr>
        <w:t>: эффект терапии 1 линии может быть расценен как оптимальный, неудача терапии, предупреждение (табл. 7).</w:t>
      </w:r>
    </w:p>
    <w:p w14:paraId="25834422" w14:textId="3E113A47" w:rsidR="000C7098" w:rsidRPr="00062B4F" w:rsidRDefault="000C7098" w:rsidP="00137BCA">
      <w:pPr>
        <w:spacing w:line="348" w:lineRule="auto"/>
        <w:rPr>
          <w:i/>
          <w:iCs/>
          <w:szCs w:val="24"/>
          <w:lang w:eastAsia="ru-RU"/>
        </w:rPr>
      </w:pPr>
      <w:r w:rsidRPr="00062B4F">
        <w:rPr>
          <w:i/>
          <w:iCs/>
          <w:szCs w:val="24"/>
          <w:lang w:eastAsia="ru-RU"/>
        </w:rPr>
        <w:t xml:space="preserve">При неудаче терапии </w:t>
      </w:r>
      <w:proofErr w:type="spellStart"/>
      <w:r w:rsidRPr="00062B4F">
        <w:rPr>
          <w:i/>
          <w:iCs/>
          <w:szCs w:val="24"/>
          <w:lang w:eastAsia="ru-RU"/>
        </w:rPr>
        <w:t>иматинибом</w:t>
      </w:r>
      <w:proofErr w:type="spellEnd"/>
      <w:r w:rsidRPr="00062B4F">
        <w:rPr>
          <w:i/>
          <w:iCs/>
          <w:szCs w:val="24"/>
          <w:lang w:eastAsia="ru-RU"/>
        </w:rPr>
        <w:t xml:space="preserve">** в 1 линии показан переход на ИТК2 с учетом переносимости и мутационного статуса. В условиях ограниченного доступа ИТК2 при неудаче терапии </w:t>
      </w:r>
      <w:proofErr w:type="spellStart"/>
      <w:r w:rsidRPr="00062B4F">
        <w:rPr>
          <w:i/>
          <w:iCs/>
          <w:szCs w:val="24"/>
          <w:lang w:eastAsia="ru-RU"/>
        </w:rPr>
        <w:t>иматинибом</w:t>
      </w:r>
      <w:proofErr w:type="spellEnd"/>
      <w:r w:rsidRPr="00062B4F">
        <w:rPr>
          <w:i/>
          <w:iCs/>
          <w:szCs w:val="24"/>
          <w:lang w:eastAsia="ru-RU"/>
        </w:rPr>
        <w:t xml:space="preserve">** в 1 линии необходимо безотлагательно повысить дозу </w:t>
      </w:r>
      <w:proofErr w:type="spellStart"/>
      <w:r w:rsidRPr="00062B4F">
        <w:rPr>
          <w:i/>
          <w:iCs/>
          <w:szCs w:val="24"/>
          <w:lang w:eastAsia="ru-RU"/>
        </w:rPr>
        <w:t>иматиниба</w:t>
      </w:r>
      <w:proofErr w:type="spellEnd"/>
      <w:r w:rsidRPr="00062B4F">
        <w:rPr>
          <w:i/>
          <w:iCs/>
          <w:szCs w:val="24"/>
          <w:lang w:eastAsia="ru-RU"/>
        </w:rPr>
        <w:t xml:space="preserve">** до 600–800 мг с учетом переносимости, в качестве временной меры до перевода на ИТК2. У пациентов с высокой группой риска по </w:t>
      </w:r>
      <w:r w:rsidRPr="00062B4F">
        <w:rPr>
          <w:i/>
          <w:iCs/>
          <w:szCs w:val="24"/>
          <w:lang w:val="en-US" w:eastAsia="ru-RU"/>
        </w:rPr>
        <w:t>J</w:t>
      </w:r>
      <w:r w:rsidRPr="00062B4F">
        <w:rPr>
          <w:i/>
          <w:iCs/>
          <w:szCs w:val="24"/>
          <w:lang w:eastAsia="ru-RU"/>
        </w:rPr>
        <w:t>.</w:t>
      </w:r>
      <w:r w:rsidRPr="00062B4F">
        <w:rPr>
          <w:i/>
          <w:iCs/>
          <w:szCs w:val="24"/>
          <w:lang w:val="en-US" w:eastAsia="ru-RU"/>
        </w:rPr>
        <w:t>E</w:t>
      </w:r>
      <w:r w:rsidRPr="00062B4F">
        <w:rPr>
          <w:i/>
          <w:iCs/>
          <w:szCs w:val="24"/>
          <w:lang w:eastAsia="ru-RU"/>
        </w:rPr>
        <w:t>.</w:t>
      </w:r>
      <w:r w:rsidRPr="00062B4F">
        <w:rPr>
          <w:i/>
          <w:iCs/>
          <w:szCs w:val="24"/>
          <w:lang w:val="en-US" w:eastAsia="ru-RU"/>
        </w:rPr>
        <w:t> </w:t>
      </w:r>
      <w:proofErr w:type="spellStart"/>
      <w:r w:rsidRPr="00062B4F">
        <w:rPr>
          <w:i/>
          <w:iCs/>
          <w:szCs w:val="24"/>
          <w:lang w:eastAsia="ru-RU"/>
        </w:rPr>
        <w:t>Soka</w:t>
      </w:r>
      <w:proofErr w:type="spellEnd"/>
      <w:r w:rsidRPr="00062B4F">
        <w:rPr>
          <w:i/>
          <w:iCs/>
          <w:szCs w:val="24"/>
          <w:lang w:val="en-US" w:eastAsia="ru-RU"/>
        </w:rPr>
        <w:t>l</w:t>
      </w:r>
      <w:r w:rsidR="000047D4">
        <w:rPr>
          <w:i/>
          <w:iCs/>
          <w:szCs w:val="24"/>
          <w:lang w:eastAsia="ru-RU"/>
        </w:rPr>
        <w:t xml:space="preserve"> или ELTS</w:t>
      </w:r>
      <w:r w:rsidRPr="00062B4F">
        <w:rPr>
          <w:i/>
          <w:iCs/>
          <w:szCs w:val="24"/>
          <w:lang w:eastAsia="ru-RU"/>
        </w:rPr>
        <w:t xml:space="preserve"> (табл. 2), ДХА в </w:t>
      </w:r>
      <w:proofErr w:type="spellStart"/>
      <w:r w:rsidRPr="00062B4F">
        <w:rPr>
          <w:i/>
          <w:iCs/>
          <w:szCs w:val="24"/>
          <w:lang w:eastAsia="ru-RU"/>
        </w:rPr>
        <w:t>Ph</w:t>
      </w:r>
      <w:proofErr w:type="spellEnd"/>
      <w:r w:rsidRPr="00062B4F">
        <w:rPr>
          <w:i/>
          <w:iCs/>
          <w:szCs w:val="24"/>
          <w:lang w:eastAsia="ru-RU"/>
        </w:rPr>
        <w:noBreakHyphen/>
        <w:t xml:space="preserve">положительных клетках (которые являются </w:t>
      </w:r>
      <w:proofErr w:type="spellStart"/>
      <w:r w:rsidRPr="00062B4F">
        <w:rPr>
          <w:i/>
          <w:iCs/>
          <w:szCs w:val="24"/>
          <w:lang w:eastAsia="ru-RU"/>
        </w:rPr>
        <w:t>прогностически</w:t>
      </w:r>
      <w:proofErr w:type="spellEnd"/>
      <w:r w:rsidRPr="00062B4F">
        <w:rPr>
          <w:i/>
          <w:iCs/>
          <w:szCs w:val="24"/>
          <w:lang w:eastAsia="ru-RU"/>
        </w:rPr>
        <w:t xml:space="preserve"> неблагоприятными факторами) предпочтительнее </w:t>
      </w:r>
      <w:r w:rsidR="003A4954">
        <w:rPr>
          <w:i/>
          <w:iCs/>
          <w:szCs w:val="24"/>
          <w:lang w:eastAsia="ru-RU"/>
        </w:rPr>
        <w:t>быстрое переключение на</w:t>
      </w:r>
      <w:r w:rsidRPr="00062B4F">
        <w:rPr>
          <w:i/>
          <w:iCs/>
          <w:szCs w:val="24"/>
          <w:lang w:eastAsia="ru-RU"/>
        </w:rPr>
        <w:t xml:space="preserve"> ИТК</w:t>
      </w:r>
      <w:r w:rsidR="003A4954">
        <w:rPr>
          <w:i/>
          <w:iCs/>
          <w:szCs w:val="24"/>
          <w:lang w:eastAsia="ru-RU"/>
        </w:rPr>
        <w:t>2</w:t>
      </w:r>
      <w:r w:rsidRPr="00062B4F">
        <w:rPr>
          <w:i/>
          <w:iCs/>
          <w:szCs w:val="24"/>
          <w:lang w:eastAsia="ru-RU"/>
        </w:rPr>
        <w:t xml:space="preserve">, чем повышение дозы </w:t>
      </w:r>
      <w:proofErr w:type="spellStart"/>
      <w:r w:rsidRPr="00062B4F">
        <w:rPr>
          <w:i/>
          <w:iCs/>
          <w:szCs w:val="24"/>
          <w:lang w:eastAsia="ru-RU"/>
        </w:rPr>
        <w:t>иматиниба</w:t>
      </w:r>
      <w:proofErr w:type="spellEnd"/>
      <w:r w:rsidRPr="00062B4F">
        <w:rPr>
          <w:i/>
          <w:iCs/>
          <w:szCs w:val="24"/>
          <w:lang w:eastAsia="ru-RU"/>
        </w:rPr>
        <w:t>**.</w:t>
      </w:r>
    </w:p>
    <w:p w14:paraId="37D9829A" w14:textId="77777777" w:rsidR="000C7098" w:rsidRPr="00062B4F" w:rsidRDefault="000C7098" w:rsidP="00137BCA">
      <w:pPr>
        <w:spacing w:line="348" w:lineRule="auto"/>
        <w:rPr>
          <w:i/>
          <w:iCs/>
          <w:szCs w:val="24"/>
          <w:lang w:eastAsia="ru-RU"/>
        </w:rPr>
      </w:pPr>
      <w:r w:rsidRPr="00062B4F">
        <w:rPr>
          <w:i/>
          <w:iCs/>
          <w:szCs w:val="24"/>
          <w:lang w:eastAsia="ru-RU"/>
        </w:rPr>
        <w:t>При неудаче терапии ИТК2 в 1 линии лечения показана смена препарата на другой ИТК2; в интересах пациентов рассмотреть варианты экспериментального лечения в рамках клинических исследований, показано выполнить HLA</w:t>
      </w:r>
      <w:r w:rsidRPr="00062B4F">
        <w:rPr>
          <w:i/>
          <w:iCs/>
          <w:szCs w:val="24"/>
          <w:lang w:eastAsia="ru-RU"/>
        </w:rPr>
        <w:noBreakHyphen/>
        <w:t xml:space="preserve">типирование </w:t>
      </w:r>
      <w:proofErr w:type="spellStart"/>
      <w:r w:rsidRPr="00062B4F">
        <w:rPr>
          <w:i/>
          <w:iCs/>
          <w:szCs w:val="24"/>
          <w:lang w:eastAsia="ru-RU"/>
        </w:rPr>
        <w:t>сиблингов</w:t>
      </w:r>
      <w:proofErr w:type="spellEnd"/>
      <w:r w:rsidRPr="00062B4F">
        <w:rPr>
          <w:i/>
          <w:iCs/>
          <w:szCs w:val="24"/>
          <w:lang w:eastAsia="ru-RU"/>
        </w:rPr>
        <w:t xml:space="preserve"> при их наличии. Эффективность увеличения дозы ИТК2 в 1 линии недостаточно доказана и поэтому нецелесообразна.</w:t>
      </w:r>
    </w:p>
    <w:p w14:paraId="2E7414E7" w14:textId="77777777" w:rsidR="000C7098" w:rsidRPr="00062B4F" w:rsidRDefault="000C7098" w:rsidP="00137BCA">
      <w:pPr>
        <w:spacing w:line="348" w:lineRule="auto"/>
        <w:rPr>
          <w:i/>
          <w:iCs/>
          <w:szCs w:val="24"/>
          <w:lang w:eastAsia="ru-RU"/>
        </w:rPr>
      </w:pPr>
      <w:r w:rsidRPr="00062B4F">
        <w:rPr>
          <w:i/>
          <w:iCs/>
          <w:szCs w:val="24"/>
          <w:lang w:eastAsia="ru-RU"/>
        </w:rPr>
        <w:t>При оптимальном ответе продолжают лечение тем же препаратом ИТК.</w:t>
      </w:r>
    </w:p>
    <w:p w14:paraId="3652BC48" w14:textId="649574E9" w:rsidR="000C7098" w:rsidRPr="00062B4F" w:rsidRDefault="000C7098" w:rsidP="00137BCA">
      <w:pPr>
        <w:spacing w:line="348" w:lineRule="auto"/>
        <w:rPr>
          <w:i/>
          <w:iCs/>
          <w:szCs w:val="24"/>
          <w:lang w:eastAsia="ru-RU"/>
        </w:rPr>
      </w:pPr>
      <w:r w:rsidRPr="00062B4F">
        <w:rPr>
          <w:i/>
          <w:iCs/>
          <w:szCs w:val="24"/>
          <w:lang w:eastAsia="ru-RU"/>
        </w:rPr>
        <w:t>При отсутствии оптимального ответа рекомендовано проверить приверженность пациента к терапии и возможное лекарственное взаимодействие.</w:t>
      </w:r>
    </w:p>
    <w:p w14:paraId="28E86BF8" w14:textId="77777777" w:rsidR="00DF771B" w:rsidRPr="00062B4F" w:rsidRDefault="00DF771B" w:rsidP="00DF771B">
      <w:pPr>
        <w:spacing w:line="348" w:lineRule="auto"/>
        <w:rPr>
          <w:i/>
          <w:iCs/>
          <w:szCs w:val="24"/>
          <w:lang w:eastAsia="ru-RU"/>
        </w:rPr>
      </w:pPr>
      <w:r w:rsidRPr="00062B4F">
        <w:rPr>
          <w:i/>
          <w:iCs/>
          <w:szCs w:val="24"/>
          <w:lang w:eastAsia="ru-RU"/>
        </w:rPr>
        <w:t xml:space="preserve">При констатации предупреждения на терапии </w:t>
      </w:r>
      <w:proofErr w:type="spellStart"/>
      <w:r w:rsidRPr="00062B4F">
        <w:rPr>
          <w:i/>
          <w:iCs/>
          <w:szCs w:val="24"/>
          <w:lang w:eastAsia="ru-RU"/>
        </w:rPr>
        <w:t>иматинибом</w:t>
      </w:r>
      <w:proofErr w:type="spellEnd"/>
      <w:r w:rsidRPr="00062B4F">
        <w:rPr>
          <w:i/>
          <w:iCs/>
          <w:szCs w:val="24"/>
          <w:lang w:eastAsia="ru-RU"/>
        </w:rPr>
        <w:t xml:space="preserve">** и ИТК2 целесообразно </w:t>
      </w:r>
      <w:r w:rsidRPr="003C0EA0">
        <w:rPr>
          <w:i/>
          <w:iCs/>
          <w:szCs w:val="24"/>
          <w:lang w:eastAsia="ru-RU"/>
        </w:rPr>
        <w:t>рассмотреть вопрос о смене терапии или продолжить прием препарата в прежней дозе на фоне тщательного мониторинга эффективности терапии и</w:t>
      </w:r>
      <w:r w:rsidRPr="00062B4F">
        <w:rPr>
          <w:i/>
          <w:iCs/>
          <w:szCs w:val="24"/>
          <w:lang w:eastAsia="ru-RU"/>
        </w:rPr>
        <w:t xml:space="preserve"> обеспечить готовность к смене терапии в случае констатации неудачи.</w:t>
      </w:r>
    </w:p>
    <w:p w14:paraId="7513176D" w14:textId="088E454D" w:rsidR="000C7098" w:rsidRPr="00062B4F" w:rsidRDefault="000C7098" w:rsidP="00E41552">
      <w:pPr>
        <w:spacing w:before="120" w:after="120" w:line="288" w:lineRule="auto"/>
        <w:rPr>
          <w:iCs/>
          <w:szCs w:val="24"/>
          <w:lang w:eastAsia="ru-RU"/>
        </w:rPr>
      </w:pPr>
      <w:r w:rsidRPr="00062B4F">
        <w:rPr>
          <w:b/>
          <w:bCs/>
          <w:iCs/>
          <w:szCs w:val="24"/>
          <w:lang w:eastAsia="ru-RU"/>
        </w:rPr>
        <w:lastRenderedPageBreak/>
        <w:t>Таблица 7.</w:t>
      </w:r>
      <w:r w:rsidRPr="00062B4F">
        <w:rPr>
          <w:iCs/>
          <w:szCs w:val="24"/>
          <w:lang w:eastAsia="ru-RU"/>
        </w:rPr>
        <w:t> Критерии ответа на терапию ИТК в первой</w:t>
      </w:r>
      <w:r w:rsidR="002A5A29">
        <w:rPr>
          <w:iCs/>
          <w:szCs w:val="24"/>
          <w:lang w:eastAsia="ru-RU"/>
        </w:rPr>
        <w:t xml:space="preserve"> и </w:t>
      </w:r>
      <w:r w:rsidR="00E323F3">
        <w:rPr>
          <w:iCs/>
          <w:szCs w:val="24"/>
          <w:lang w:eastAsia="ru-RU"/>
        </w:rPr>
        <w:t>второй</w:t>
      </w:r>
      <w:r w:rsidRPr="00062B4F">
        <w:rPr>
          <w:iCs/>
          <w:szCs w:val="24"/>
          <w:lang w:eastAsia="ru-RU"/>
        </w:rPr>
        <w:t xml:space="preserve"> </w:t>
      </w:r>
      <w:r w:rsidR="002A5A29" w:rsidRPr="00062B4F">
        <w:rPr>
          <w:iCs/>
          <w:szCs w:val="24"/>
          <w:lang w:eastAsia="ru-RU"/>
        </w:rPr>
        <w:t>лини</w:t>
      </w:r>
      <w:r w:rsidR="002A5A29">
        <w:rPr>
          <w:iCs/>
          <w:szCs w:val="24"/>
          <w:lang w:eastAsia="ru-RU"/>
        </w:rPr>
        <w:t>ях</w:t>
      </w:r>
      <w:r w:rsidR="002A5A29" w:rsidRPr="00062B4F">
        <w:rPr>
          <w:iCs/>
          <w:szCs w:val="24"/>
          <w:lang w:eastAsia="ru-RU"/>
        </w:rPr>
        <w:t xml:space="preserve"> </w:t>
      </w:r>
      <w:r w:rsidRPr="00062B4F">
        <w:rPr>
          <w:iCs/>
          <w:szCs w:val="24"/>
          <w:lang w:eastAsia="ru-RU"/>
        </w:rPr>
        <w:t>лечения у пациентов в ХФ и ФА</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775"/>
        <w:gridCol w:w="2328"/>
        <w:gridCol w:w="2648"/>
        <w:gridCol w:w="2588"/>
      </w:tblGrid>
      <w:tr w:rsidR="000C7098" w:rsidRPr="00062B4F" w14:paraId="48ADC6BF" w14:textId="77777777">
        <w:trPr>
          <w:trHeight w:val="377"/>
          <w:jc w:val="center"/>
        </w:trPr>
        <w:tc>
          <w:tcPr>
            <w:tcW w:w="1775" w:type="dxa"/>
            <w:tcBorders>
              <w:top w:val="single" w:sz="6" w:space="0" w:color="000000"/>
              <w:left w:val="single" w:sz="6" w:space="0" w:color="000000"/>
              <w:bottom w:val="single" w:sz="6" w:space="0" w:color="000000"/>
              <w:right w:val="single" w:sz="6" w:space="0" w:color="000000"/>
            </w:tcBorders>
          </w:tcPr>
          <w:p w14:paraId="7876A7CE" w14:textId="77777777" w:rsidR="000C7098" w:rsidRPr="00062B4F" w:rsidRDefault="000C7098" w:rsidP="009D2E3F">
            <w:pPr>
              <w:spacing w:beforeAutospacing="1" w:afterAutospacing="1" w:line="240" w:lineRule="auto"/>
              <w:ind w:firstLine="0"/>
              <w:jc w:val="center"/>
              <w:rPr>
                <w:b/>
                <w:szCs w:val="24"/>
                <w:lang w:eastAsia="ru-RU"/>
              </w:rPr>
            </w:pPr>
            <w:r w:rsidRPr="00062B4F">
              <w:rPr>
                <w:b/>
                <w:iCs/>
                <w:szCs w:val="24"/>
                <w:lang w:eastAsia="ru-RU"/>
              </w:rPr>
              <w:t>Срок терапии</w:t>
            </w:r>
          </w:p>
        </w:tc>
        <w:tc>
          <w:tcPr>
            <w:tcW w:w="2328" w:type="dxa"/>
            <w:tcBorders>
              <w:top w:val="single" w:sz="6" w:space="0" w:color="000000"/>
              <w:left w:val="single" w:sz="6" w:space="0" w:color="000000"/>
              <w:bottom w:val="single" w:sz="6" w:space="0" w:color="000000"/>
              <w:right w:val="single" w:sz="6" w:space="0" w:color="000000"/>
            </w:tcBorders>
          </w:tcPr>
          <w:p w14:paraId="7B1089BC" w14:textId="77777777" w:rsidR="000C7098" w:rsidRPr="00062B4F" w:rsidRDefault="000C7098" w:rsidP="009D2E3F">
            <w:pPr>
              <w:spacing w:beforeAutospacing="1" w:afterAutospacing="1" w:line="240" w:lineRule="auto"/>
              <w:ind w:firstLine="0"/>
              <w:jc w:val="center"/>
              <w:rPr>
                <w:b/>
                <w:szCs w:val="24"/>
                <w:lang w:eastAsia="ru-RU"/>
              </w:rPr>
            </w:pPr>
            <w:r w:rsidRPr="00062B4F">
              <w:rPr>
                <w:b/>
                <w:iCs/>
                <w:szCs w:val="24"/>
                <w:lang w:eastAsia="ru-RU"/>
              </w:rPr>
              <w:t>Оптимальный ответ</w:t>
            </w:r>
          </w:p>
        </w:tc>
        <w:tc>
          <w:tcPr>
            <w:tcW w:w="2648" w:type="dxa"/>
            <w:tcBorders>
              <w:top w:val="single" w:sz="6" w:space="0" w:color="000000"/>
              <w:left w:val="single" w:sz="6" w:space="0" w:color="000000"/>
              <w:bottom w:val="single" w:sz="6" w:space="0" w:color="000000"/>
              <w:right w:val="single" w:sz="6" w:space="0" w:color="000000"/>
            </w:tcBorders>
          </w:tcPr>
          <w:p w14:paraId="4480F3E6" w14:textId="77777777" w:rsidR="000C7098" w:rsidRPr="00062B4F" w:rsidRDefault="000C7098" w:rsidP="009D2E3F">
            <w:pPr>
              <w:spacing w:beforeAutospacing="1" w:afterAutospacing="1" w:line="240" w:lineRule="auto"/>
              <w:ind w:firstLine="0"/>
              <w:jc w:val="center"/>
              <w:rPr>
                <w:b/>
                <w:szCs w:val="24"/>
                <w:lang w:eastAsia="ru-RU"/>
              </w:rPr>
            </w:pPr>
            <w:r w:rsidRPr="00062B4F">
              <w:rPr>
                <w:b/>
                <w:iCs/>
                <w:szCs w:val="24"/>
                <w:lang w:eastAsia="ru-RU"/>
              </w:rPr>
              <w:t>Предупреждение</w:t>
            </w:r>
          </w:p>
        </w:tc>
        <w:tc>
          <w:tcPr>
            <w:tcW w:w="2588" w:type="dxa"/>
            <w:tcBorders>
              <w:top w:val="single" w:sz="6" w:space="0" w:color="000000"/>
              <w:left w:val="single" w:sz="6" w:space="0" w:color="000000"/>
              <w:bottom w:val="single" w:sz="6" w:space="0" w:color="000000"/>
              <w:right w:val="single" w:sz="6" w:space="0" w:color="000000"/>
            </w:tcBorders>
          </w:tcPr>
          <w:p w14:paraId="2219891C" w14:textId="77777777" w:rsidR="000C7098" w:rsidRPr="00062B4F" w:rsidRDefault="000C7098" w:rsidP="009D2E3F">
            <w:pPr>
              <w:spacing w:beforeAutospacing="1" w:afterAutospacing="1" w:line="240" w:lineRule="auto"/>
              <w:ind w:firstLine="0"/>
              <w:jc w:val="center"/>
              <w:rPr>
                <w:b/>
                <w:szCs w:val="24"/>
                <w:lang w:eastAsia="ru-RU"/>
              </w:rPr>
            </w:pPr>
            <w:r w:rsidRPr="00062B4F">
              <w:rPr>
                <w:b/>
                <w:iCs/>
                <w:szCs w:val="24"/>
                <w:lang w:eastAsia="ru-RU"/>
              </w:rPr>
              <w:t>Неудача терапии</w:t>
            </w:r>
          </w:p>
        </w:tc>
      </w:tr>
      <w:tr w:rsidR="000C7098" w:rsidRPr="00B04CDA" w14:paraId="6014DA99" w14:textId="77777777" w:rsidTr="002772C4">
        <w:trPr>
          <w:trHeight w:val="525"/>
          <w:jc w:val="center"/>
        </w:trPr>
        <w:tc>
          <w:tcPr>
            <w:tcW w:w="1775" w:type="dxa"/>
            <w:tcBorders>
              <w:top w:val="single" w:sz="6" w:space="0" w:color="000000"/>
              <w:left w:val="single" w:sz="6" w:space="0" w:color="000000"/>
              <w:bottom w:val="single" w:sz="6" w:space="0" w:color="000000"/>
              <w:right w:val="single" w:sz="6" w:space="0" w:color="000000"/>
            </w:tcBorders>
            <w:vAlign w:val="center"/>
          </w:tcPr>
          <w:p w14:paraId="4DAE637B" w14:textId="77777777" w:rsidR="000C7098" w:rsidRPr="00B04CDA" w:rsidRDefault="000C7098" w:rsidP="002772C4">
            <w:pPr>
              <w:spacing w:beforeAutospacing="1" w:afterAutospacing="1" w:line="240" w:lineRule="auto"/>
              <w:ind w:firstLine="0"/>
              <w:jc w:val="left"/>
              <w:rPr>
                <w:szCs w:val="24"/>
                <w:lang w:eastAsia="ru-RU"/>
              </w:rPr>
            </w:pPr>
            <w:r w:rsidRPr="00B04CDA">
              <w:rPr>
                <w:iCs/>
                <w:szCs w:val="24"/>
                <w:lang w:eastAsia="ru-RU"/>
              </w:rPr>
              <w:t>На момент диагноза</w:t>
            </w:r>
          </w:p>
        </w:tc>
        <w:tc>
          <w:tcPr>
            <w:tcW w:w="2328" w:type="dxa"/>
            <w:tcBorders>
              <w:top w:val="single" w:sz="6" w:space="0" w:color="000000"/>
              <w:left w:val="single" w:sz="6" w:space="0" w:color="000000"/>
              <w:bottom w:val="single" w:sz="6" w:space="0" w:color="000000"/>
              <w:right w:val="single" w:sz="6" w:space="0" w:color="000000"/>
            </w:tcBorders>
          </w:tcPr>
          <w:p w14:paraId="362B3436" w14:textId="77777777" w:rsidR="000C7098" w:rsidRPr="00B04CDA" w:rsidRDefault="000C7098" w:rsidP="009D2E3F">
            <w:pPr>
              <w:spacing w:beforeAutospacing="1" w:afterAutospacing="1" w:line="240" w:lineRule="auto"/>
              <w:ind w:firstLine="0"/>
              <w:jc w:val="left"/>
              <w:rPr>
                <w:szCs w:val="24"/>
                <w:lang w:eastAsia="ru-RU"/>
              </w:rPr>
            </w:pPr>
            <w:r w:rsidRPr="00B04CDA">
              <w:rPr>
                <w:iCs/>
                <w:szCs w:val="24"/>
                <w:lang w:eastAsia="ru-RU"/>
              </w:rPr>
              <w:t> </w:t>
            </w:r>
          </w:p>
        </w:tc>
        <w:tc>
          <w:tcPr>
            <w:tcW w:w="2648" w:type="dxa"/>
            <w:tcBorders>
              <w:top w:val="single" w:sz="6" w:space="0" w:color="000000"/>
              <w:left w:val="single" w:sz="6" w:space="0" w:color="000000"/>
              <w:bottom w:val="single" w:sz="6" w:space="0" w:color="000000"/>
              <w:right w:val="single" w:sz="6" w:space="0" w:color="000000"/>
            </w:tcBorders>
          </w:tcPr>
          <w:p w14:paraId="327EBCE2" w14:textId="2AD740AB" w:rsidR="000C7098" w:rsidRPr="00B04CDA" w:rsidRDefault="0063083B" w:rsidP="002772C4">
            <w:pPr>
              <w:spacing w:beforeAutospacing="1" w:afterAutospacing="1" w:line="240" w:lineRule="auto"/>
              <w:ind w:firstLine="0"/>
              <w:jc w:val="center"/>
              <w:rPr>
                <w:szCs w:val="24"/>
                <w:lang w:eastAsia="ru-RU"/>
              </w:rPr>
            </w:pPr>
            <w:r w:rsidRPr="00B04CDA">
              <w:rPr>
                <w:szCs w:val="24"/>
                <w:lang w:eastAsia="ru-RU"/>
              </w:rPr>
              <w:t xml:space="preserve">ДХА высокого риска </w:t>
            </w:r>
            <w:r w:rsidR="000C7098" w:rsidRPr="00B04CDA">
              <w:rPr>
                <w:iCs/>
                <w:szCs w:val="24"/>
                <w:lang w:eastAsia="ru-RU"/>
              </w:rPr>
              <w:t xml:space="preserve">в </w:t>
            </w:r>
            <w:proofErr w:type="spellStart"/>
            <w:r w:rsidR="000C7098" w:rsidRPr="00B04CDA">
              <w:rPr>
                <w:iCs/>
                <w:szCs w:val="24"/>
                <w:lang w:eastAsia="ru-RU"/>
              </w:rPr>
              <w:t>Ph</w:t>
            </w:r>
            <w:proofErr w:type="spellEnd"/>
            <w:r w:rsidR="000C7098" w:rsidRPr="00B04CDA">
              <w:rPr>
                <w:iCs/>
                <w:szCs w:val="24"/>
                <w:lang w:eastAsia="ru-RU"/>
              </w:rPr>
              <w:t>+ клетках</w:t>
            </w:r>
            <w:r w:rsidR="00BD29B0" w:rsidRPr="00B04CDA">
              <w:rPr>
                <w:iCs/>
                <w:szCs w:val="24"/>
                <w:lang w:eastAsia="ru-RU"/>
              </w:rPr>
              <w:t xml:space="preserve">, группа высокого риска по </w:t>
            </w:r>
            <w:r w:rsidR="00BD29B0" w:rsidRPr="00B04CDA">
              <w:rPr>
                <w:iCs/>
                <w:szCs w:val="24"/>
                <w:lang w:val="en-US" w:eastAsia="ru-RU"/>
              </w:rPr>
              <w:t>ELTS</w:t>
            </w:r>
          </w:p>
        </w:tc>
        <w:tc>
          <w:tcPr>
            <w:tcW w:w="2588" w:type="dxa"/>
            <w:tcBorders>
              <w:top w:val="single" w:sz="6" w:space="0" w:color="000000"/>
              <w:left w:val="single" w:sz="6" w:space="0" w:color="000000"/>
              <w:bottom w:val="single" w:sz="6" w:space="0" w:color="000000"/>
              <w:right w:val="single" w:sz="6" w:space="0" w:color="000000"/>
            </w:tcBorders>
          </w:tcPr>
          <w:p w14:paraId="4320E598" w14:textId="77777777" w:rsidR="000C7098" w:rsidRPr="00B04CDA" w:rsidRDefault="000C7098" w:rsidP="009D2E3F">
            <w:pPr>
              <w:spacing w:beforeAutospacing="1" w:afterAutospacing="1" w:line="240" w:lineRule="auto"/>
              <w:ind w:firstLine="0"/>
              <w:jc w:val="left"/>
              <w:rPr>
                <w:szCs w:val="24"/>
                <w:lang w:eastAsia="ru-RU"/>
              </w:rPr>
            </w:pPr>
            <w:r w:rsidRPr="00B04CDA">
              <w:rPr>
                <w:iCs/>
                <w:szCs w:val="24"/>
                <w:lang w:eastAsia="ru-RU"/>
              </w:rPr>
              <w:t> </w:t>
            </w:r>
          </w:p>
        </w:tc>
      </w:tr>
      <w:tr w:rsidR="000C7098" w:rsidRPr="00B04CDA" w14:paraId="72A3A2E4" w14:textId="77777777" w:rsidTr="002772C4">
        <w:trPr>
          <w:trHeight w:val="1485"/>
          <w:jc w:val="center"/>
        </w:trPr>
        <w:tc>
          <w:tcPr>
            <w:tcW w:w="1775" w:type="dxa"/>
            <w:tcBorders>
              <w:top w:val="single" w:sz="6" w:space="0" w:color="000000"/>
              <w:left w:val="single" w:sz="6" w:space="0" w:color="000000"/>
              <w:bottom w:val="single" w:sz="6" w:space="0" w:color="000000"/>
              <w:right w:val="single" w:sz="6" w:space="0" w:color="000000"/>
            </w:tcBorders>
            <w:vAlign w:val="center"/>
          </w:tcPr>
          <w:p w14:paraId="1B130C61" w14:textId="77777777" w:rsidR="000C7098" w:rsidRPr="00B04CDA" w:rsidRDefault="000C7098" w:rsidP="002772C4">
            <w:pPr>
              <w:spacing w:beforeAutospacing="1" w:afterAutospacing="1" w:line="240" w:lineRule="auto"/>
              <w:ind w:firstLine="0"/>
              <w:jc w:val="left"/>
              <w:rPr>
                <w:szCs w:val="24"/>
                <w:lang w:eastAsia="ru-RU"/>
              </w:rPr>
            </w:pPr>
            <w:r w:rsidRPr="00B04CDA">
              <w:rPr>
                <w:iCs/>
                <w:szCs w:val="24"/>
                <w:lang w:eastAsia="ru-RU"/>
              </w:rPr>
              <w:t>3 месяца</w:t>
            </w:r>
          </w:p>
        </w:tc>
        <w:tc>
          <w:tcPr>
            <w:tcW w:w="2328" w:type="dxa"/>
            <w:tcBorders>
              <w:top w:val="single" w:sz="6" w:space="0" w:color="000000"/>
              <w:left w:val="single" w:sz="6" w:space="0" w:color="000000"/>
              <w:bottom w:val="single" w:sz="6" w:space="0" w:color="000000"/>
              <w:right w:val="single" w:sz="6" w:space="0" w:color="000000"/>
            </w:tcBorders>
            <w:vAlign w:val="center"/>
          </w:tcPr>
          <w:p w14:paraId="6743A05E" w14:textId="20538602" w:rsidR="000C7098" w:rsidRPr="00B04CDA" w:rsidRDefault="006369C6" w:rsidP="00DF771B">
            <w:pPr>
              <w:spacing w:line="240" w:lineRule="auto"/>
              <w:ind w:firstLine="0"/>
              <w:jc w:val="center"/>
              <w:rPr>
                <w:iCs/>
                <w:szCs w:val="24"/>
                <w:lang w:eastAsia="ru-RU"/>
              </w:rPr>
            </w:pPr>
            <w:proofErr w:type="gramStart"/>
            <w:r w:rsidRPr="00B04CDA">
              <w:rPr>
                <w:i/>
                <w:szCs w:val="24"/>
                <w:lang w:eastAsia="ru-RU"/>
              </w:rPr>
              <w:t>BCR::</w:t>
            </w:r>
            <w:proofErr w:type="gramEnd"/>
            <w:r w:rsidRPr="00B04CDA">
              <w:rPr>
                <w:i/>
                <w:szCs w:val="24"/>
                <w:lang w:eastAsia="ru-RU"/>
              </w:rPr>
              <w:t>ABL</w:t>
            </w:r>
            <w:r w:rsidRPr="00B04CDA">
              <w:rPr>
                <w:i/>
                <w:iCs/>
                <w:szCs w:val="24"/>
                <w:lang w:eastAsia="ru-RU"/>
              </w:rPr>
              <w:t>1</w:t>
            </w:r>
            <w:r w:rsidR="00D675F9" w:rsidRPr="00B04CDA">
              <w:rPr>
                <w:iCs/>
                <w:szCs w:val="24"/>
                <w:lang w:eastAsia="ru-RU"/>
              </w:rPr>
              <w:t>≤</w:t>
            </w:r>
            <w:r w:rsidR="000C7098" w:rsidRPr="00B04CDA">
              <w:rPr>
                <w:iCs/>
                <w:szCs w:val="24"/>
                <w:lang w:eastAsia="ru-RU"/>
              </w:rPr>
              <w:t>10%</w:t>
            </w:r>
          </w:p>
          <w:p w14:paraId="28D92EDF" w14:textId="77777777" w:rsidR="002772C4" w:rsidRPr="00B04CDA" w:rsidRDefault="002772C4" w:rsidP="00DF771B">
            <w:pPr>
              <w:spacing w:line="240" w:lineRule="auto"/>
              <w:ind w:firstLine="0"/>
              <w:jc w:val="center"/>
              <w:rPr>
                <w:szCs w:val="24"/>
                <w:lang w:eastAsia="ru-RU"/>
              </w:rPr>
            </w:pPr>
          </w:p>
          <w:p w14:paraId="16D7BE03" w14:textId="638EE435" w:rsidR="00DF771B" w:rsidRPr="00B04CDA" w:rsidRDefault="00DF771B" w:rsidP="00DF771B">
            <w:pPr>
              <w:spacing w:line="240" w:lineRule="auto"/>
              <w:ind w:firstLine="0"/>
              <w:jc w:val="center"/>
              <w:rPr>
                <w:szCs w:val="24"/>
                <w:lang w:eastAsia="ru-RU"/>
              </w:rPr>
            </w:pPr>
            <w:proofErr w:type="spellStart"/>
            <w:r w:rsidRPr="00B04CDA">
              <w:rPr>
                <w:szCs w:val="24"/>
                <w:lang w:eastAsia="ru-RU"/>
              </w:rPr>
              <w:t>Ph</w:t>
            </w:r>
            <w:proofErr w:type="spellEnd"/>
            <w:r w:rsidRPr="00B04CDA">
              <w:rPr>
                <w:szCs w:val="24"/>
                <w:vertAlign w:val="superscript"/>
                <w:lang w:eastAsia="ru-RU"/>
              </w:rPr>
              <w:t>+</w:t>
            </w:r>
            <w:r w:rsidR="002772C4" w:rsidRPr="00B04CDA">
              <w:rPr>
                <w:szCs w:val="24"/>
                <w:lang w:eastAsia="ru-RU"/>
              </w:rPr>
              <w:t xml:space="preserve"> ≤35</w:t>
            </w:r>
            <w:r w:rsidRPr="00B04CDA">
              <w:rPr>
                <w:szCs w:val="24"/>
                <w:lang w:eastAsia="ru-RU"/>
              </w:rPr>
              <w:t>%</w:t>
            </w:r>
          </w:p>
        </w:tc>
        <w:tc>
          <w:tcPr>
            <w:tcW w:w="2648" w:type="dxa"/>
            <w:tcBorders>
              <w:top w:val="single" w:sz="6" w:space="0" w:color="000000"/>
              <w:left w:val="single" w:sz="6" w:space="0" w:color="000000"/>
              <w:bottom w:val="single" w:sz="6" w:space="0" w:color="000000"/>
              <w:right w:val="single" w:sz="6" w:space="0" w:color="000000"/>
            </w:tcBorders>
            <w:vAlign w:val="center"/>
          </w:tcPr>
          <w:p w14:paraId="371207F3" w14:textId="7BD5A190" w:rsidR="000C7098" w:rsidRPr="00B04CDA" w:rsidRDefault="006369C6" w:rsidP="00E31D94">
            <w:pPr>
              <w:spacing w:line="240" w:lineRule="auto"/>
              <w:ind w:firstLine="0"/>
              <w:jc w:val="center"/>
              <w:rPr>
                <w:iCs/>
                <w:szCs w:val="24"/>
                <w:lang w:eastAsia="ru-RU"/>
              </w:rPr>
            </w:pPr>
            <w:bookmarkStart w:id="32" w:name="тп"/>
            <w:bookmarkEnd w:id="32"/>
            <w:proofErr w:type="gramStart"/>
            <w:r w:rsidRPr="00B04CDA">
              <w:rPr>
                <w:i/>
                <w:szCs w:val="24"/>
                <w:lang w:eastAsia="ru-RU"/>
              </w:rPr>
              <w:t>BCR::</w:t>
            </w:r>
            <w:proofErr w:type="gramEnd"/>
            <w:r w:rsidRPr="00B04CDA">
              <w:rPr>
                <w:i/>
                <w:szCs w:val="24"/>
                <w:lang w:eastAsia="ru-RU"/>
              </w:rPr>
              <w:t>ABL</w:t>
            </w:r>
            <w:r w:rsidRPr="00B04CDA">
              <w:rPr>
                <w:i/>
                <w:iCs/>
                <w:szCs w:val="24"/>
                <w:lang w:eastAsia="ru-RU"/>
              </w:rPr>
              <w:t>1</w:t>
            </w:r>
            <w:r w:rsidR="00D675F9" w:rsidRPr="00B04CDA">
              <w:rPr>
                <w:iCs/>
                <w:szCs w:val="24"/>
                <w:lang w:eastAsia="ru-RU"/>
              </w:rPr>
              <w:t>&gt;</w:t>
            </w:r>
            <w:r w:rsidR="000C7098" w:rsidRPr="00B04CDA">
              <w:rPr>
                <w:iCs/>
                <w:szCs w:val="24"/>
                <w:lang w:eastAsia="ru-RU"/>
              </w:rPr>
              <w:t>10%</w:t>
            </w:r>
          </w:p>
          <w:p w14:paraId="6B688C5F" w14:textId="77777777" w:rsidR="00E31D94" w:rsidRPr="00B04CDA" w:rsidRDefault="00E31D94" w:rsidP="00E31D94">
            <w:pPr>
              <w:spacing w:line="240" w:lineRule="auto"/>
              <w:ind w:firstLine="0"/>
              <w:jc w:val="center"/>
              <w:rPr>
                <w:iCs/>
                <w:szCs w:val="24"/>
                <w:lang w:eastAsia="ru-RU"/>
              </w:rPr>
            </w:pPr>
            <w:r w:rsidRPr="00B04CDA">
              <w:rPr>
                <w:iCs/>
                <w:szCs w:val="24"/>
                <w:lang w:eastAsia="ru-RU"/>
              </w:rPr>
              <w:t>при однократном исследовании</w:t>
            </w:r>
          </w:p>
          <w:p w14:paraId="2DA18788" w14:textId="77777777" w:rsidR="002772C4" w:rsidRPr="00B04CDA" w:rsidRDefault="002772C4" w:rsidP="00E31D94">
            <w:pPr>
              <w:spacing w:line="240" w:lineRule="auto"/>
              <w:ind w:firstLine="0"/>
              <w:jc w:val="center"/>
              <w:rPr>
                <w:iCs/>
                <w:szCs w:val="24"/>
                <w:lang w:eastAsia="ru-RU"/>
              </w:rPr>
            </w:pPr>
          </w:p>
          <w:p w14:paraId="5D904D51" w14:textId="4DA4091F" w:rsidR="007D4B69" w:rsidRPr="00B04CDA" w:rsidRDefault="00DF771B" w:rsidP="002772C4">
            <w:pPr>
              <w:spacing w:line="240" w:lineRule="auto"/>
              <w:ind w:firstLine="0"/>
              <w:jc w:val="center"/>
              <w:rPr>
                <w:szCs w:val="24"/>
                <w:lang w:eastAsia="ru-RU"/>
              </w:rPr>
            </w:pPr>
            <w:proofErr w:type="spellStart"/>
            <w:r w:rsidRPr="00B04CDA">
              <w:rPr>
                <w:szCs w:val="24"/>
                <w:lang w:eastAsia="ru-RU"/>
              </w:rPr>
              <w:t>Ph</w:t>
            </w:r>
            <w:proofErr w:type="spellEnd"/>
            <w:r w:rsidRPr="00B04CDA">
              <w:rPr>
                <w:szCs w:val="24"/>
                <w:vertAlign w:val="superscript"/>
                <w:lang w:eastAsia="ru-RU"/>
              </w:rPr>
              <w:t>+</w:t>
            </w:r>
            <w:r w:rsidRPr="00B04CDA">
              <w:rPr>
                <w:iCs/>
                <w:szCs w:val="24"/>
                <w:lang w:eastAsia="ru-RU"/>
              </w:rPr>
              <w:t xml:space="preserve"> 36–95%</w:t>
            </w:r>
          </w:p>
        </w:tc>
        <w:tc>
          <w:tcPr>
            <w:tcW w:w="2588" w:type="dxa"/>
            <w:tcBorders>
              <w:top w:val="single" w:sz="6" w:space="0" w:color="000000"/>
              <w:left w:val="single" w:sz="6" w:space="0" w:color="000000"/>
              <w:bottom w:val="single" w:sz="6" w:space="0" w:color="000000"/>
              <w:right w:val="single" w:sz="6" w:space="0" w:color="000000"/>
            </w:tcBorders>
            <w:vAlign w:val="center"/>
          </w:tcPr>
          <w:p w14:paraId="19B221E7" w14:textId="6CF611B4" w:rsidR="002F4D2B" w:rsidRPr="00B04CDA" w:rsidRDefault="000C7098" w:rsidP="006369C6">
            <w:pPr>
              <w:spacing w:beforeAutospacing="1" w:afterAutospacing="1" w:line="240" w:lineRule="auto"/>
              <w:ind w:firstLine="0"/>
              <w:jc w:val="center"/>
              <w:rPr>
                <w:szCs w:val="24"/>
                <w:lang w:eastAsia="ru-RU"/>
              </w:rPr>
            </w:pPr>
            <w:r w:rsidRPr="00B04CDA">
              <w:rPr>
                <w:iCs/>
                <w:szCs w:val="24"/>
                <w:lang w:eastAsia="ru-RU"/>
              </w:rPr>
              <w:t>Нет ПГО</w:t>
            </w:r>
          </w:p>
          <w:p w14:paraId="0F792974" w14:textId="28FED530" w:rsidR="002772C4" w:rsidRPr="00B04CDA" w:rsidRDefault="006369C6" w:rsidP="002772C4">
            <w:pPr>
              <w:spacing w:beforeAutospacing="1" w:afterAutospacing="1" w:line="240" w:lineRule="auto"/>
              <w:ind w:firstLine="0"/>
              <w:jc w:val="center"/>
              <w:rPr>
                <w:iCs/>
                <w:szCs w:val="24"/>
                <w:lang w:eastAsia="ru-RU"/>
              </w:rPr>
            </w:pPr>
            <w:proofErr w:type="gramStart"/>
            <w:r w:rsidRPr="00B04CDA">
              <w:rPr>
                <w:i/>
                <w:szCs w:val="24"/>
                <w:lang w:eastAsia="ru-RU"/>
              </w:rPr>
              <w:t>BCR::</w:t>
            </w:r>
            <w:proofErr w:type="gramEnd"/>
            <w:r w:rsidRPr="00B04CDA">
              <w:rPr>
                <w:i/>
                <w:szCs w:val="24"/>
                <w:lang w:eastAsia="ru-RU"/>
              </w:rPr>
              <w:t>ABL</w:t>
            </w:r>
            <w:r w:rsidRPr="00B04CDA">
              <w:rPr>
                <w:i/>
                <w:iCs/>
                <w:szCs w:val="24"/>
                <w:lang w:eastAsia="ru-RU"/>
              </w:rPr>
              <w:t>1</w:t>
            </w:r>
            <w:r w:rsidR="00D675F9" w:rsidRPr="00B04CDA">
              <w:rPr>
                <w:iCs/>
                <w:szCs w:val="24"/>
                <w:lang w:eastAsia="ru-RU"/>
              </w:rPr>
              <w:t>&gt;10%</w:t>
            </w:r>
            <w:r w:rsidR="00E31D94" w:rsidRPr="00B04CDA">
              <w:rPr>
                <w:iCs/>
                <w:szCs w:val="24"/>
                <w:lang w:eastAsia="ru-RU"/>
              </w:rPr>
              <w:t xml:space="preserve">, </w:t>
            </w:r>
            <w:r w:rsidR="00D675F9" w:rsidRPr="00B04CDA">
              <w:rPr>
                <w:iCs/>
                <w:szCs w:val="24"/>
                <w:lang w:eastAsia="ru-RU"/>
              </w:rPr>
              <w:t>подтвержденный повторным анализом через 1-3 месяца</w:t>
            </w:r>
            <w:r w:rsidR="00022C17" w:rsidRPr="00B04CDA">
              <w:rPr>
                <w:iCs/>
                <w:szCs w:val="24"/>
                <w:lang w:eastAsia="ru-RU"/>
              </w:rPr>
              <w:t xml:space="preserve"> </w:t>
            </w:r>
          </w:p>
          <w:p w14:paraId="440E4616" w14:textId="53454DA1" w:rsidR="000C7098" w:rsidRPr="00B04CDA" w:rsidRDefault="00022C17" w:rsidP="002772C4">
            <w:pPr>
              <w:spacing w:beforeAutospacing="1" w:afterAutospacing="1" w:line="240" w:lineRule="auto"/>
              <w:ind w:firstLine="0"/>
              <w:jc w:val="center"/>
              <w:rPr>
                <w:szCs w:val="24"/>
                <w:lang w:eastAsia="ru-RU"/>
              </w:rPr>
            </w:pPr>
            <w:proofErr w:type="spellStart"/>
            <w:r w:rsidRPr="00B04CDA">
              <w:rPr>
                <w:iCs/>
                <w:szCs w:val="24"/>
                <w:lang w:eastAsia="ru-RU"/>
              </w:rPr>
              <w:t>Ph</w:t>
            </w:r>
            <w:proofErr w:type="spellEnd"/>
            <w:r w:rsidRPr="00B04CDA">
              <w:rPr>
                <w:iCs/>
                <w:szCs w:val="24"/>
                <w:lang w:eastAsia="ru-RU"/>
              </w:rPr>
              <w:t>+ &gt;95%</w:t>
            </w:r>
          </w:p>
        </w:tc>
      </w:tr>
      <w:tr w:rsidR="000C7098" w:rsidRPr="00B04CDA" w14:paraId="6153F3FA" w14:textId="77777777" w:rsidTr="002772C4">
        <w:trPr>
          <w:trHeight w:val="1249"/>
          <w:jc w:val="center"/>
        </w:trPr>
        <w:tc>
          <w:tcPr>
            <w:tcW w:w="1775" w:type="dxa"/>
            <w:tcBorders>
              <w:top w:val="single" w:sz="6" w:space="0" w:color="000000"/>
              <w:left w:val="single" w:sz="6" w:space="0" w:color="000000"/>
              <w:bottom w:val="single" w:sz="6" w:space="0" w:color="000000"/>
              <w:right w:val="single" w:sz="6" w:space="0" w:color="000000"/>
            </w:tcBorders>
            <w:vAlign w:val="center"/>
          </w:tcPr>
          <w:p w14:paraId="0AACEA0F" w14:textId="77777777" w:rsidR="000C7098" w:rsidRPr="00B04CDA" w:rsidRDefault="000C7098" w:rsidP="002772C4">
            <w:pPr>
              <w:spacing w:beforeAutospacing="1" w:afterAutospacing="1" w:line="240" w:lineRule="auto"/>
              <w:ind w:firstLine="0"/>
              <w:jc w:val="left"/>
              <w:rPr>
                <w:szCs w:val="24"/>
                <w:lang w:eastAsia="ru-RU"/>
              </w:rPr>
            </w:pPr>
            <w:r w:rsidRPr="00B04CDA">
              <w:rPr>
                <w:iCs/>
                <w:szCs w:val="24"/>
                <w:lang w:eastAsia="ru-RU"/>
              </w:rPr>
              <w:t> 6 месяцев</w:t>
            </w:r>
          </w:p>
        </w:tc>
        <w:tc>
          <w:tcPr>
            <w:tcW w:w="2328" w:type="dxa"/>
            <w:tcBorders>
              <w:top w:val="single" w:sz="6" w:space="0" w:color="000000"/>
              <w:left w:val="single" w:sz="6" w:space="0" w:color="000000"/>
              <w:bottom w:val="single" w:sz="6" w:space="0" w:color="000000"/>
              <w:right w:val="single" w:sz="6" w:space="0" w:color="000000"/>
            </w:tcBorders>
            <w:vAlign w:val="center"/>
          </w:tcPr>
          <w:p w14:paraId="4BB0C81C" w14:textId="75C0CE56" w:rsidR="000C7098" w:rsidRPr="00B04CDA" w:rsidRDefault="006369C6" w:rsidP="00DF771B">
            <w:pPr>
              <w:spacing w:line="240" w:lineRule="auto"/>
              <w:ind w:firstLine="0"/>
              <w:jc w:val="center"/>
              <w:rPr>
                <w:iCs/>
                <w:szCs w:val="24"/>
                <w:lang w:eastAsia="ru-RU"/>
              </w:rPr>
            </w:pPr>
            <w:proofErr w:type="gramStart"/>
            <w:r w:rsidRPr="00B04CDA">
              <w:rPr>
                <w:i/>
                <w:szCs w:val="24"/>
                <w:lang w:eastAsia="ru-RU"/>
              </w:rPr>
              <w:t>BCR::</w:t>
            </w:r>
            <w:proofErr w:type="gramEnd"/>
            <w:r w:rsidRPr="00B04CDA">
              <w:rPr>
                <w:i/>
                <w:szCs w:val="24"/>
                <w:lang w:eastAsia="ru-RU"/>
              </w:rPr>
              <w:t>ABL</w:t>
            </w:r>
            <w:r w:rsidRPr="00B04CDA">
              <w:rPr>
                <w:i/>
                <w:iCs/>
                <w:szCs w:val="24"/>
                <w:lang w:eastAsia="ru-RU"/>
              </w:rPr>
              <w:t>1</w:t>
            </w:r>
            <w:r w:rsidR="00B714F4" w:rsidRPr="00B04CDA">
              <w:rPr>
                <w:iCs/>
                <w:szCs w:val="24"/>
                <w:lang w:eastAsia="ru-RU"/>
              </w:rPr>
              <w:t>≤</w:t>
            </w:r>
            <w:r w:rsidR="000C7098" w:rsidRPr="00B04CDA">
              <w:rPr>
                <w:iCs/>
                <w:szCs w:val="24"/>
                <w:lang w:eastAsia="ru-RU"/>
              </w:rPr>
              <w:t>1%</w:t>
            </w:r>
          </w:p>
          <w:p w14:paraId="112220FA" w14:textId="77777777" w:rsidR="002772C4" w:rsidRPr="00B04CDA" w:rsidRDefault="002772C4" w:rsidP="00DF771B">
            <w:pPr>
              <w:spacing w:line="240" w:lineRule="auto"/>
              <w:ind w:firstLine="0"/>
              <w:jc w:val="center"/>
              <w:rPr>
                <w:iCs/>
                <w:szCs w:val="24"/>
                <w:lang w:eastAsia="ru-RU"/>
              </w:rPr>
            </w:pPr>
          </w:p>
          <w:p w14:paraId="4A5A5F63" w14:textId="34D738E2" w:rsidR="007D4B69" w:rsidRPr="00B04CDA" w:rsidRDefault="007D4B69" w:rsidP="00DF771B">
            <w:pPr>
              <w:spacing w:line="240" w:lineRule="auto"/>
              <w:ind w:firstLine="0"/>
              <w:jc w:val="center"/>
              <w:rPr>
                <w:szCs w:val="24"/>
                <w:lang w:eastAsia="ru-RU"/>
              </w:rPr>
            </w:pPr>
            <w:proofErr w:type="spellStart"/>
            <w:r w:rsidRPr="00B04CDA">
              <w:rPr>
                <w:iCs/>
                <w:szCs w:val="24"/>
                <w:lang w:eastAsia="ru-RU"/>
              </w:rPr>
              <w:t>Ph</w:t>
            </w:r>
            <w:proofErr w:type="spellEnd"/>
            <w:r w:rsidRPr="00B04CDA">
              <w:rPr>
                <w:iCs/>
                <w:szCs w:val="24"/>
                <w:vertAlign w:val="superscript"/>
                <w:lang w:eastAsia="ru-RU"/>
              </w:rPr>
              <w:t>+</w:t>
            </w:r>
            <w:r w:rsidRPr="00B04CDA">
              <w:rPr>
                <w:iCs/>
                <w:szCs w:val="24"/>
                <w:lang w:eastAsia="ru-RU"/>
              </w:rPr>
              <w:t xml:space="preserve"> 0%</w:t>
            </w:r>
          </w:p>
        </w:tc>
        <w:tc>
          <w:tcPr>
            <w:tcW w:w="2648" w:type="dxa"/>
            <w:tcBorders>
              <w:top w:val="single" w:sz="6" w:space="0" w:color="000000"/>
              <w:left w:val="single" w:sz="6" w:space="0" w:color="000000"/>
              <w:bottom w:val="single" w:sz="6" w:space="0" w:color="000000"/>
              <w:right w:val="single" w:sz="6" w:space="0" w:color="000000"/>
            </w:tcBorders>
            <w:vAlign w:val="center"/>
          </w:tcPr>
          <w:p w14:paraId="331A2F96" w14:textId="77777777" w:rsidR="007D4B69" w:rsidRPr="00B04CDA" w:rsidRDefault="006369C6" w:rsidP="00DF771B">
            <w:pPr>
              <w:spacing w:line="240" w:lineRule="auto"/>
              <w:ind w:firstLine="0"/>
              <w:jc w:val="center"/>
              <w:rPr>
                <w:iCs/>
                <w:szCs w:val="24"/>
                <w:lang w:eastAsia="ru-RU"/>
              </w:rPr>
            </w:pPr>
            <w:proofErr w:type="gramStart"/>
            <w:r w:rsidRPr="00B04CDA">
              <w:rPr>
                <w:i/>
                <w:szCs w:val="24"/>
                <w:lang w:eastAsia="ru-RU"/>
              </w:rPr>
              <w:t>BCR::</w:t>
            </w:r>
            <w:proofErr w:type="gramEnd"/>
            <w:r w:rsidRPr="00B04CDA">
              <w:rPr>
                <w:i/>
                <w:szCs w:val="24"/>
                <w:lang w:eastAsia="ru-RU"/>
              </w:rPr>
              <w:t>ABL</w:t>
            </w:r>
            <w:r w:rsidRPr="00B04CDA">
              <w:rPr>
                <w:i/>
                <w:iCs/>
                <w:szCs w:val="24"/>
                <w:lang w:eastAsia="ru-RU"/>
              </w:rPr>
              <w:t>1</w:t>
            </w:r>
            <w:r w:rsidR="00A868C6" w:rsidRPr="00B04CDA">
              <w:rPr>
                <w:iCs/>
                <w:szCs w:val="24"/>
                <w:lang w:eastAsia="ru-RU"/>
              </w:rPr>
              <w:t>&gt;</w:t>
            </w:r>
            <w:r w:rsidR="000C7098" w:rsidRPr="00B04CDA">
              <w:rPr>
                <w:iCs/>
                <w:szCs w:val="24"/>
                <w:lang w:eastAsia="ru-RU"/>
              </w:rPr>
              <w:t>1%–10%</w:t>
            </w:r>
          </w:p>
          <w:p w14:paraId="6557D71B" w14:textId="77777777" w:rsidR="002772C4" w:rsidRPr="00B04CDA" w:rsidRDefault="002772C4" w:rsidP="00DF771B">
            <w:pPr>
              <w:spacing w:line="240" w:lineRule="auto"/>
              <w:ind w:firstLine="0"/>
              <w:jc w:val="center"/>
              <w:rPr>
                <w:iCs/>
                <w:szCs w:val="24"/>
                <w:lang w:eastAsia="ru-RU"/>
              </w:rPr>
            </w:pPr>
          </w:p>
          <w:p w14:paraId="0AB91599" w14:textId="121F09AA" w:rsidR="007D4B69" w:rsidRPr="00B04CDA" w:rsidRDefault="00DF771B" w:rsidP="00DF771B">
            <w:pPr>
              <w:spacing w:line="240" w:lineRule="auto"/>
              <w:ind w:firstLine="0"/>
              <w:jc w:val="center"/>
              <w:rPr>
                <w:iCs/>
                <w:szCs w:val="24"/>
                <w:lang w:eastAsia="ru-RU"/>
              </w:rPr>
            </w:pPr>
            <w:r w:rsidRPr="00B04CDA">
              <w:rPr>
                <w:iCs/>
                <w:szCs w:val="24"/>
                <w:lang w:eastAsia="ru-RU"/>
              </w:rPr>
              <w:t>Ph</w:t>
            </w:r>
            <w:r w:rsidRPr="00B04CDA">
              <w:rPr>
                <w:iCs/>
                <w:szCs w:val="24"/>
                <w:vertAlign w:val="superscript"/>
                <w:lang w:eastAsia="ru-RU"/>
              </w:rPr>
              <w:t>+</w:t>
            </w:r>
            <w:r w:rsidRPr="00B04CDA">
              <w:rPr>
                <w:iCs/>
                <w:szCs w:val="24"/>
                <w:lang w:eastAsia="ru-RU"/>
              </w:rPr>
              <w:t>1–35%</w:t>
            </w:r>
          </w:p>
        </w:tc>
        <w:tc>
          <w:tcPr>
            <w:tcW w:w="2588" w:type="dxa"/>
            <w:tcBorders>
              <w:top w:val="single" w:sz="6" w:space="0" w:color="000000"/>
              <w:left w:val="single" w:sz="6" w:space="0" w:color="000000"/>
              <w:bottom w:val="single" w:sz="6" w:space="0" w:color="000000"/>
              <w:right w:val="single" w:sz="6" w:space="0" w:color="000000"/>
            </w:tcBorders>
            <w:vAlign w:val="center"/>
          </w:tcPr>
          <w:p w14:paraId="00AE7F3C" w14:textId="24C0065C" w:rsidR="00DF771B" w:rsidRPr="00B04CDA" w:rsidRDefault="006369C6" w:rsidP="00DF771B">
            <w:pPr>
              <w:spacing w:line="240" w:lineRule="auto"/>
              <w:ind w:firstLine="0"/>
              <w:jc w:val="center"/>
              <w:rPr>
                <w:szCs w:val="24"/>
                <w:lang w:eastAsia="ru-RU"/>
              </w:rPr>
            </w:pPr>
            <w:bookmarkStart w:id="33" w:name="шн"/>
            <w:bookmarkEnd w:id="33"/>
            <w:proofErr w:type="gramStart"/>
            <w:r w:rsidRPr="00B04CDA">
              <w:rPr>
                <w:i/>
                <w:szCs w:val="24"/>
                <w:lang w:eastAsia="ru-RU"/>
              </w:rPr>
              <w:t>BCR::</w:t>
            </w:r>
            <w:proofErr w:type="gramEnd"/>
            <w:r w:rsidRPr="00B04CDA">
              <w:rPr>
                <w:i/>
                <w:szCs w:val="24"/>
                <w:lang w:eastAsia="ru-RU"/>
              </w:rPr>
              <w:t>ABL</w:t>
            </w:r>
            <w:r w:rsidRPr="00B04CDA">
              <w:rPr>
                <w:i/>
                <w:iCs/>
                <w:szCs w:val="24"/>
                <w:lang w:eastAsia="ru-RU"/>
              </w:rPr>
              <w:t>1</w:t>
            </w:r>
            <w:r w:rsidR="00A868C6" w:rsidRPr="00B04CDA">
              <w:rPr>
                <w:iCs/>
                <w:szCs w:val="24"/>
                <w:lang w:eastAsia="ru-RU"/>
              </w:rPr>
              <w:t>&gt;</w:t>
            </w:r>
            <w:r w:rsidR="000C7098" w:rsidRPr="00B04CDA">
              <w:rPr>
                <w:iCs/>
                <w:szCs w:val="24"/>
                <w:lang w:eastAsia="ru-RU"/>
              </w:rPr>
              <w:t>10%</w:t>
            </w:r>
            <w:r w:rsidR="00DF771B" w:rsidRPr="00B04CDA">
              <w:rPr>
                <w:szCs w:val="24"/>
                <w:lang w:eastAsia="ru-RU"/>
              </w:rPr>
              <w:t xml:space="preserve"> </w:t>
            </w:r>
          </w:p>
          <w:p w14:paraId="75E4212A" w14:textId="77777777" w:rsidR="002772C4" w:rsidRPr="00B04CDA" w:rsidRDefault="002772C4" w:rsidP="00DF771B">
            <w:pPr>
              <w:spacing w:line="240" w:lineRule="auto"/>
              <w:ind w:firstLine="0"/>
              <w:jc w:val="center"/>
              <w:rPr>
                <w:szCs w:val="24"/>
                <w:lang w:eastAsia="ru-RU"/>
              </w:rPr>
            </w:pPr>
          </w:p>
          <w:p w14:paraId="57B8A30C" w14:textId="4153C0F1" w:rsidR="000C7098" w:rsidRPr="00B04CDA" w:rsidRDefault="00DF771B" w:rsidP="00DF771B">
            <w:pPr>
              <w:spacing w:line="240" w:lineRule="auto"/>
              <w:ind w:firstLine="0"/>
              <w:jc w:val="center"/>
              <w:rPr>
                <w:szCs w:val="24"/>
                <w:lang w:eastAsia="ru-RU"/>
              </w:rPr>
            </w:pPr>
            <w:proofErr w:type="spellStart"/>
            <w:r w:rsidRPr="00B04CDA">
              <w:rPr>
                <w:szCs w:val="24"/>
                <w:lang w:eastAsia="ru-RU"/>
              </w:rPr>
              <w:t>Ph</w:t>
            </w:r>
            <w:proofErr w:type="spellEnd"/>
            <w:r w:rsidRPr="00B04CDA">
              <w:rPr>
                <w:szCs w:val="24"/>
                <w:lang w:eastAsia="ru-RU"/>
              </w:rPr>
              <w:t>+ &gt;35%</w:t>
            </w:r>
          </w:p>
        </w:tc>
      </w:tr>
      <w:tr w:rsidR="000C7098" w:rsidRPr="00B04CDA" w14:paraId="30DE0EF2" w14:textId="77777777" w:rsidTr="002772C4">
        <w:trPr>
          <w:trHeight w:val="765"/>
          <w:jc w:val="center"/>
        </w:trPr>
        <w:tc>
          <w:tcPr>
            <w:tcW w:w="1775" w:type="dxa"/>
            <w:tcBorders>
              <w:top w:val="single" w:sz="6" w:space="0" w:color="000000"/>
              <w:left w:val="single" w:sz="6" w:space="0" w:color="000000"/>
              <w:bottom w:val="single" w:sz="6" w:space="0" w:color="000000"/>
              <w:right w:val="single" w:sz="6" w:space="0" w:color="000000"/>
            </w:tcBorders>
            <w:vAlign w:val="center"/>
          </w:tcPr>
          <w:p w14:paraId="6CC397E2" w14:textId="77777777" w:rsidR="000C7098" w:rsidRPr="00B04CDA" w:rsidRDefault="000C7098" w:rsidP="002772C4">
            <w:pPr>
              <w:spacing w:beforeAutospacing="1" w:afterAutospacing="1" w:line="240" w:lineRule="auto"/>
              <w:ind w:firstLine="0"/>
              <w:jc w:val="left"/>
              <w:rPr>
                <w:szCs w:val="24"/>
                <w:lang w:eastAsia="ru-RU"/>
              </w:rPr>
            </w:pPr>
            <w:r w:rsidRPr="00B04CDA">
              <w:rPr>
                <w:iCs/>
                <w:szCs w:val="24"/>
                <w:lang w:eastAsia="ru-RU"/>
              </w:rPr>
              <w:t>12 месяцев</w:t>
            </w:r>
          </w:p>
        </w:tc>
        <w:tc>
          <w:tcPr>
            <w:tcW w:w="2328" w:type="dxa"/>
            <w:tcBorders>
              <w:top w:val="single" w:sz="6" w:space="0" w:color="000000"/>
              <w:left w:val="single" w:sz="6" w:space="0" w:color="000000"/>
              <w:bottom w:val="single" w:sz="6" w:space="0" w:color="000000"/>
              <w:right w:val="single" w:sz="6" w:space="0" w:color="000000"/>
            </w:tcBorders>
            <w:vAlign w:val="center"/>
          </w:tcPr>
          <w:p w14:paraId="23E96EA4" w14:textId="00B8AE0F" w:rsidR="000C7098" w:rsidRPr="00B04CDA" w:rsidRDefault="006369C6" w:rsidP="00DF771B">
            <w:pPr>
              <w:spacing w:line="240" w:lineRule="auto"/>
              <w:ind w:firstLine="0"/>
              <w:jc w:val="center"/>
              <w:rPr>
                <w:iCs/>
                <w:szCs w:val="24"/>
                <w:lang w:eastAsia="ru-RU"/>
              </w:rPr>
            </w:pPr>
            <w:bookmarkStart w:id="34" w:name="дво"/>
            <w:bookmarkEnd w:id="34"/>
            <w:proofErr w:type="gramStart"/>
            <w:r w:rsidRPr="00B04CDA">
              <w:rPr>
                <w:i/>
                <w:szCs w:val="24"/>
                <w:lang w:eastAsia="ru-RU"/>
              </w:rPr>
              <w:t>BCR::</w:t>
            </w:r>
            <w:proofErr w:type="gramEnd"/>
            <w:r w:rsidRPr="00B04CDA">
              <w:rPr>
                <w:i/>
                <w:szCs w:val="24"/>
                <w:lang w:eastAsia="ru-RU"/>
              </w:rPr>
              <w:t>ABL</w:t>
            </w:r>
            <w:r w:rsidRPr="00B04CDA">
              <w:rPr>
                <w:i/>
                <w:iCs/>
                <w:szCs w:val="24"/>
                <w:lang w:eastAsia="ru-RU"/>
              </w:rPr>
              <w:t>1</w:t>
            </w:r>
            <w:r w:rsidR="00DA2704" w:rsidRPr="00B04CDA">
              <w:rPr>
                <w:iCs/>
                <w:szCs w:val="24"/>
                <w:lang w:eastAsia="ru-RU"/>
              </w:rPr>
              <w:t>≤</w:t>
            </w:r>
            <w:r w:rsidR="000C7098" w:rsidRPr="00B04CDA">
              <w:rPr>
                <w:iCs/>
                <w:szCs w:val="24"/>
                <w:lang w:eastAsia="ru-RU"/>
              </w:rPr>
              <w:t>0,1% (БМО)</w:t>
            </w:r>
          </w:p>
          <w:p w14:paraId="5496C15C" w14:textId="77777777" w:rsidR="002772C4" w:rsidRPr="00B04CDA" w:rsidRDefault="002772C4" w:rsidP="00DF771B">
            <w:pPr>
              <w:spacing w:line="240" w:lineRule="auto"/>
              <w:ind w:firstLine="0"/>
              <w:jc w:val="center"/>
              <w:rPr>
                <w:iCs/>
                <w:szCs w:val="24"/>
                <w:lang w:eastAsia="ru-RU"/>
              </w:rPr>
            </w:pPr>
          </w:p>
          <w:p w14:paraId="6148A34F" w14:textId="4D465781" w:rsidR="007D4B69" w:rsidRPr="00B04CDA" w:rsidRDefault="007D4B69" w:rsidP="00DF771B">
            <w:pPr>
              <w:spacing w:line="240" w:lineRule="auto"/>
              <w:ind w:firstLine="0"/>
              <w:jc w:val="center"/>
              <w:rPr>
                <w:szCs w:val="24"/>
                <w:lang w:eastAsia="ru-RU"/>
              </w:rPr>
            </w:pPr>
            <w:proofErr w:type="spellStart"/>
            <w:r w:rsidRPr="00B04CDA">
              <w:rPr>
                <w:iCs/>
                <w:szCs w:val="24"/>
                <w:lang w:eastAsia="ru-RU"/>
              </w:rPr>
              <w:t>Ph</w:t>
            </w:r>
            <w:proofErr w:type="spellEnd"/>
            <w:r w:rsidRPr="00B04CDA">
              <w:rPr>
                <w:iCs/>
                <w:szCs w:val="24"/>
                <w:vertAlign w:val="superscript"/>
                <w:lang w:eastAsia="ru-RU"/>
              </w:rPr>
              <w:t>+</w:t>
            </w:r>
            <w:r w:rsidRPr="00B04CDA">
              <w:rPr>
                <w:iCs/>
                <w:szCs w:val="24"/>
                <w:lang w:eastAsia="ru-RU"/>
              </w:rPr>
              <w:t xml:space="preserve"> 0%</w:t>
            </w:r>
          </w:p>
        </w:tc>
        <w:tc>
          <w:tcPr>
            <w:tcW w:w="2648" w:type="dxa"/>
            <w:tcBorders>
              <w:top w:val="single" w:sz="6" w:space="0" w:color="000000"/>
              <w:left w:val="single" w:sz="6" w:space="0" w:color="000000"/>
              <w:bottom w:val="single" w:sz="6" w:space="0" w:color="000000"/>
              <w:right w:val="single" w:sz="6" w:space="0" w:color="000000"/>
            </w:tcBorders>
            <w:vAlign w:val="center"/>
          </w:tcPr>
          <w:p w14:paraId="655D7A02" w14:textId="77777777" w:rsidR="000C7098" w:rsidRPr="00B04CDA" w:rsidRDefault="006369C6" w:rsidP="00DF771B">
            <w:pPr>
              <w:spacing w:line="240" w:lineRule="auto"/>
              <w:ind w:firstLine="0"/>
              <w:jc w:val="center"/>
              <w:rPr>
                <w:iCs/>
                <w:szCs w:val="24"/>
                <w:lang w:eastAsia="ru-RU"/>
              </w:rPr>
            </w:pPr>
            <w:bookmarkStart w:id="35" w:name="двп"/>
            <w:bookmarkEnd w:id="35"/>
            <w:proofErr w:type="gramStart"/>
            <w:r w:rsidRPr="00B04CDA">
              <w:rPr>
                <w:i/>
                <w:szCs w:val="24"/>
                <w:lang w:eastAsia="ru-RU"/>
              </w:rPr>
              <w:t>BCR::</w:t>
            </w:r>
            <w:proofErr w:type="gramEnd"/>
            <w:r w:rsidRPr="00B04CDA">
              <w:rPr>
                <w:i/>
                <w:szCs w:val="24"/>
                <w:lang w:eastAsia="ru-RU"/>
              </w:rPr>
              <w:t>ABL</w:t>
            </w:r>
            <w:r w:rsidRPr="00B04CDA">
              <w:rPr>
                <w:i/>
                <w:iCs/>
                <w:szCs w:val="24"/>
                <w:lang w:eastAsia="ru-RU"/>
              </w:rPr>
              <w:t>1</w:t>
            </w:r>
            <w:r w:rsidR="00A868C6" w:rsidRPr="00B04CDA">
              <w:rPr>
                <w:iCs/>
                <w:szCs w:val="24"/>
                <w:lang w:eastAsia="ru-RU"/>
              </w:rPr>
              <w:t>&gt;</w:t>
            </w:r>
            <w:r w:rsidR="000C7098" w:rsidRPr="00B04CDA">
              <w:rPr>
                <w:iCs/>
                <w:szCs w:val="24"/>
                <w:lang w:eastAsia="ru-RU"/>
              </w:rPr>
              <w:t>0,1</w:t>
            </w:r>
            <w:r w:rsidR="000C7098" w:rsidRPr="00B04CDA">
              <w:rPr>
                <w:iCs/>
                <w:szCs w:val="24"/>
                <w:lang w:val="en-US" w:eastAsia="ru-RU"/>
              </w:rPr>
              <w:t>–</w:t>
            </w:r>
            <w:r w:rsidR="000C7098" w:rsidRPr="00B04CDA">
              <w:rPr>
                <w:iCs/>
                <w:szCs w:val="24"/>
                <w:lang w:eastAsia="ru-RU"/>
              </w:rPr>
              <w:t>1%</w:t>
            </w:r>
          </w:p>
          <w:p w14:paraId="3684CF19" w14:textId="77777777" w:rsidR="002772C4" w:rsidRPr="00B04CDA" w:rsidRDefault="002772C4" w:rsidP="00DF771B">
            <w:pPr>
              <w:spacing w:line="240" w:lineRule="auto"/>
              <w:ind w:firstLine="0"/>
              <w:jc w:val="center"/>
              <w:rPr>
                <w:iCs/>
                <w:szCs w:val="24"/>
                <w:lang w:eastAsia="ru-RU"/>
              </w:rPr>
            </w:pPr>
          </w:p>
          <w:p w14:paraId="41D10EAB" w14:textId="52C1CEB8" w:rsidR="00DF771B" w:rsidRPr="00B04CDA" w:rsidRDefault="00DF771B" w:rsidP="00DF771B">
            <w:pPr>
              <w:spacing w:line="240" w:lineRule="auto"/>
              <w:ind w:firstLine="0"/>
              <w:jc w:val="center"/>
              <w:rPr>
                <w:szCs w:val="24"/>
                <w:lang w:eastAsia="ru-RU"/>
              </w:rPr>
            </w:pPr>
            <w:proofErr w:type="spellStart"/>
            <w:r w:rsidRPr="00B04CDA">
              <w:rPr>
                <w:iCs/>
                <w:szCs w:val="24"/>
                <w:lang w:eastAsia="ru-RU"/>
              </w:rPr>
              <w:t>Ph</w:t>
            </w:r>
            <w:proofErr w:type="spellEnd"/>
            <w:r w:rsidRPr="00B04CDA">
              <w:rPr>
                <w:iCs/>
                <w:szCs w:val="24"/>
                <w:vertAlign w:val="superscript"/>
                <w:lang w:eastAsia="ru-RU"/>
              </w:rPr>
              <w:t>+</w:t>
            </w:r>
            <w:r w:rsidRPr="00B04CDA">
              <w:rPr>
                <w:iCs/>
                <w:szCs w:val="24"/>
                <w:lang w:eastAsia="ru-RU"/>
              </w:rPr>
              <w:t xml:space="preserve"> 0%</w:t>
            </w:r>
          </w:p>
        </w:tc>
        <w:tc>
          <w:tcPr>
            <w:tcW w:w="2588" w:type="dxa"/>
            <w:tcBorders>
              <w:top w:val="single" w:sz="6" w:space="0" w:color="000000"/>
              <w:left w:val="single" w:sz="6" w:space="0" w:color="000000"/>
              <w:bottom w:val="single" w:sz="6" w:space="0" w:color="000000"/>
              <w:right w:val="single" w:sz="6" w:space="0" w:color="000000"/>
            </w:tcBorders>
            <w:vAlign w:val="center"/>
          </w:tcPr>
          <w:p w14:paraId="318F5E56" w14:textId="640951DF" w:rsidR="000C7098" w:rsidRPr="00B04CDA" w:rsidRDefault="006369C6" w:rsidP="00DF771B">
            <w:pPr>
              <w:spacing w:line="240" w:lineRule="auto"/>
              <w:ind w:firstLine="0"/>
              <w:jc w:val="center"/>
              <w:rPr>
                <w:iCs/>
                <w:szCs w:val="24"/>
                <w:lang w:eastAsia="ru-RU"/>
              </w:rPr>
            </w:pPr>
            <w:bookmarkStart w:id="36" w:name="двн"/>
            <w:bookmarkEnd w:id="36"/>
            <w:proofErr w:type="gramStart"/>
            <w:r w:rsidRPr="00B04CDA">
              <w:rPr>
                <w:i/>
                <w:szCs w:val="24"/>
                <w:lang w:eastAsia="ru-RU"/>
              </w:rPr>
              <w:t>BCR::</w:t>
            </w:r>
            <w:proofErr w:type="gramEnd"/>
            <w:r w:rsidRPr="00B04CDA">
              <w:rPr>
                <w:i/>
                <w:szCs w:val="24"/>
                <w:lang w:eastAsia="ru-RU"/>
              </w:rPr>
              <w:t>ABL</w:t>
            </w:r>
            <w:r w:rsidRPr="00B04CDA">
              <w:rPr>
                <w:i/>
                <w:iCs/>
                <w:szCs w:val="24"/>
                <w:lang w:eastAsia="ru-RU"/>
              </w:rPr>
              <w:t>1</w:t>
            </w:r>
            <w:r w:rsidR="00A868C6" w:rsidRPr="00B04CDA">
              <w:rPr>
                <w:iCs/>
                <w:szCs w:val="24"/>
                <w:lang w:eastAsia="ru-RU"/>
              </w:rPr>
              <w:t>&gt;</w:t>
            </w:r>
            <w:r w:rsidR="000C7098" w:rsidRPr="00B04CDA">
              <w:rPr>
                <w:iCs/>
                <w:szCs w:val="24"/>
                <w:lang w:eastAsia="ru-RU"/>
              </w:rPr>
              <w:t>1%</w:t>
            </w:r>
          </w:p>
          <w:p w14:paraId="2009C268" w14:textId="77777777" w:rsidR="002772C4" w:rsidRPr="00B04CDA" w:rsidRDefault="002772C4" w:rsidP="00DF771B">
            <w:pPr>
              <w:spacing w:line="240" w:lineRule="auto"/>
              <w:ind w:firstLine="0"/>
              <w:jc w:val="center"/>
              <w:rPr>
                <w:iCs/>
                <w:szCs w:val="24"/>
                <w:lang w:eastAsia="ru-RU"/>
              </w:rPr>
            </w:pPr>
          </w:p>
          <w:p w14:paraId="24D23F95" w14:textId="2681F322" w:rsidR="00DF771B" w:rsidRPr="00B04CDA" w:rsidRDefault="00DF771B" w:rsidP="00DF771B">
            <w:pPr>
              <w:spacing w:line="240" w:lineRule="auto"/>
              <w:ind w:firstLine="0"/>
              <w:jc w:val="center"/>
              <w:rPr>
                <w:szCs w:val="24"/>
                <w:lang w:eastAsia="ru-RU"/>
              </w:rPr>
            </w:pPr>
            <w:proofErr w:type="spellStart"/>
            <w:r w:rsidRPr="00B04CDA">
              <w:rPr>
                <w:iCs/>
                <w:szCs w:val="24"/>
                <w:lang w:eastAsia="ru-RU"/>
              </w:rPr>
              <w:t>Ph</w:t>
            </w:r>
            <w:proofErr w:type="spellEnd"/>
            <w:r w:rsidRPr="00B04CDA">
              <w:rPr>
                <w:iCs/>
                <w:szCs w:val="24"/>
                <w:vertAlign w:val="superscript"/>
                <w:lang w:eastAsia="ru-RU"/>
              </w:rPr>
              <w:t>+</w:t>
            </w:r>
            <w:r w:rsidRPr="00B04CDA">
              <w:rPr>
                <w:iCs/>
                <w:szCs w:val="24"/>
                <w:lang w:eastAsia="ru-RU"/>
              </w:rPr>
              <w:t xml:space="preserve"> </w:t>
            </w:r>
            <w:r w:rsidR="002772C4" w:rsidRPr="00B04CDA">
              <w:rPr>
                <w:iCs/>
                <w:szCs w:val="24"/>
                <w:lang w:val="en-US" w:eastAsia="ru-RU"/>
              </w:rPr>
              <w:t>&gt;</w:t>
            </w:r>
            <w:r w:rsidRPr="00B04CDA">
              <w:rPr>
                <w:iCs/>
                <w:szCs w:val="24"/>
                <w:lang w:eastAsia="ru-RU"/>
              </w:rPr>
              <w:t>0%</w:t>
            </w:r>
          </w:p>
        </w:tc>
      </w:tr>
      <w:tr w:rsidR="000C7098" w:rsidRPr="00B04CDA" w14:paraId="49194CEF" w14:textId="77777777" w:rsidTr="002772C4">
        <w:trPr>
          <w:trHeight w:val="1558"/>
          <w:jc w:val="center"/>
        </w:trPr>
        <w:tc>
          <w:tcPr>
            <w:tcW w:w="1775" w:type="dxa"/>
            <w:tcBorders>
              <w:top w:val="single" w:sz="6" w:space="0" w:color="000000"/>
              <w:left w:val="single" w:sz="6" w:space="0" w:color="000000"/>
              <w:bottom w:val="single" w:sz="6" w:space="0" w:color="000000"/>
              <w:right w:val="single" w:sz="6" w:space="0" w:color="000000"/>
            </w:tcBorders>
            <w:vAlign w:val="center"/>
          </w:tcPr>
          <w:p w14:paraId="51F02F42" w14:textId="77777777" w:rsidR="000C7098" w:rsidRPr="00B04CDA" w:rsidRDefault="000C7098" w:rsidP="002772C4">
            <w:pPr>
              <w:spacing w:beforeAutospacing="1" w:afterAutospacing="1" w:line="240" w:lineRule="auto"/>
              <w:ind w:firstLine="0"/>
              <w:jc w:val="left"/>
              <w:rPr>
                <w:szCs w:val="24"/>
                <w:lang w:eastAsia="ru-RU"/>
              </w:rPr>
            </w:pPr>
            <w:r w:rsidRPr="00B04CDA">
              <w:rPr>
                <w:iCs/>
                <w:szCs w:val="24"/>
                <w:lang w:eastAsia="ru-RU"/>
              </w:rPr>
              <w:t>В дальнейшем</w:t>
            </w:r>
            <w:r w:rsidRPr="00B04CDA">
              <w:rPr>
                <w:iCs/>
                <w:szCs w:val="24"/>
                <w:lang w:eastAsia="ru-RU"/>
              </w:rPr>
              <w:br/>
              <w:t>и в любое время</w:t>
            </w:r>
          </w:p>
        </w:tc>
        <w:tc>
          <w:tcPr>
            <w:tcW w:w="2328" w:type="dxa"/>
            <w:tcBorders>
              <w:top w:val="single" w:sz="6" w:space="0" w:color="000000"/>
              <w:left w:val="single" w:sz="6" w:space="0" w:color="000000"/>
              <w:bottom w:val="single" w:sz="6" w:space="0" w:color="000000"/>
              <w:right w:val="single" w:sz="6" w:space="0" w:color="000000"/>
            </w:tcBorders>
            <w:vAlign w:val="center"/>
          </w:tcPr>
          <w:p w14:paraId="0651CC8C" w14:textId="47FA2FD1" w:rsidR="000C7098" w:rsidRPr="00B04CDA" w:rsidRDefault="006369C6" w:rsidP="002772C4">
            <w:pPr>
              <w:spacing w:beforeAutospacing="1" w:afterAutospacing="1" w:line="240" w:lineRule="auto"/>
              <w:ind w:firstLine="0"/>
              <w:jc w:val="center"/>
              <w:rPr>
                <w:szCs w:val="24"/>
                <w:lang w:eastAsia="ru-RU"/>
              </w:rPr>
            </w:pPr>
            <w:bookmarkStart w:id="37" w:name="дало"/>
            <w:bookmarkEnd w:id="37"/>
            <w:proofErr w:type="gramStart"/>
            <w:r w:rsidRPr="00B04CDA">
              <w:rPr>
                <w:i/>
                <w:szCs w:val="24"/>
                <w:lang w:eastAsia="ru-RU"/>
              </w:rPr>
              <w:t>BCR::</w:t>
            </w:r>
            <w:proofErr w:type="gramEnd"/>
            <w:r w:rsidRPr="00B04CDA">
              <w:rPr>
                <w:i/>
                <w:szCs w:val="24"/>
                <w:lang w:eastAsia="ru-RU"/>
              </w:rPr>
              <w:t>ABL</w:t>
            </w:r>
            <w:r w:rsidRPr="00B04CDA">
              <w:rPr>
                <w:i/>
                <w:iCs/>
                <w:szCs w:val="24"/>
                <w:lang w:eastAsia="ru-RU"/>
              </w:rPr>
              <w:t>1</w:t>
            </w:r>
            <w:r w:rsidR="00DA2704" w:rsidRPr="00B04CDA">
              <w:rPr>
                <w:iCs/>
                <w:szCs w:val="24"/>
                <w:lang w:eastAsia="ru-RU"/>
              </w:rPr>
              <w:t>≤</w:t>
            </w:r>
            <w:r w:rsidR="000C7098" w:rsidRPr="00B04CDA">
              <w:rPr>
                <w:iCs/>
                <w:szCs w:val="24"/>
                <w:lang w:eastAsia="ru-RU"/>
              </w:rPr>
              <w:t>0,1%</w:t>
            </w:r>
          </w:p>
        </w:tc>
        <w:tc>
          <w:tcPr>
            <w:tcW w:w="2648" w:type="dxa"/>
            <w:tcBorders>
              <w:top w:val="single" w:sz="6" w:space="0" w:color="000000"/>
              <w:left w:val="single" w:sz="6" w:space="0" w:color="000000"/>
              <w:bottom w:val="single" w:sz="6" w:space="0" w:color="000000"/>
              <w:right w:val="single" w:sz="6" w:space="0" w:color="000000"/>
            </w:tcBorders>
            <w:vAlign w:val="center"/>
          </w:tcPr>
          <w:p w14:paraId="0B20DAF9" w14:textId="7C0B413A" w:rsidR="000C7098" w:rsidRPr="00B04CDA" w:rsidRDefault="006369C6" w:rsidP="006369C6">
            <w:pPr>
              <w:spacing w:beforeAutospacing="1" w:afterAutospacing="1" w:line="240" w:lineRule="auto"/>
              <w:ind w:firstLine="0"/>
              <w:jc w:val="center"/>
              <w:rPr>
                <w:szCs w:val="24"/>
                <w:lang w:eastAsia="ru-RU"/>
              </w:rPr>
            </w:pPr>
            <w:bookmarkStart w:id="38" w:name="далп"/>
            <w:bookmarkEnd w:id="38"/>
            <w:proofErr w:type="gramStart"/>
            <w:r w:rsidRPr="00B04CDA">
              <w:rPr>
                <w:i/>
                <w:szCs w:val="24"/>
                <w:lang w:eastAsia="ru-RU"/>
              </w:rPr>
              <w:t>BCR::</w:t>
            </w:r>
            <w:proofErr w:type="gramEnd"/>
            <w:r w:rsidRPr="00B04CDA">
              <w:rPr>
                <w:i/>
                <w:szCs w:val="24"/>
                <w:lang w:eastAsia="ru-RU"/>
              </w:rPr>
              <w:t>ABL</w:t>
            </w:r>
            <w:r w:rsidRPr="00B04CDA">
              <w:rPr>
                <w:i/>
                <w:iCs/>
                <w:szCs w:val="24"/>
                <w:lang w:eastAsia="ru-RU"/>
              </w:rPr>
              <w:t>1</w:t>
            </w:r>
            <w:r w:rsidR="00DA2704" w:rsidRPr="00B04CDA">
              <w:rPr>
                <w:iCs/>
                <w:szCs w:val="24"/>
                <w:lang w:eastAsia="ru-RU"/>
              </w:rPr>
              <w:t>&gt;0,1</w:t>
            </w:r>
            <w:r w:rsidR="00DA2704" w:rsidRPr="00B04CDA">
              <w:rPr>
                <w:iCs/>
                <w:szCs w:val="24"/>
                <w:lang w:val="en-US" w:eastAsia="ru-RU"/>
              </w:rPr>
              <w:t>–</w:t>
            </w:r>
            <w:r w:rsidR="00DA2704" w:rsidRPr="00B04CDA">
              <w:rPr>
                <w:iCs/>
                <w:szCs w:val="24"/>
                <w:lang w:eastAsia="ru-RU"/>
              </w:rPr>
              <w:t>1%</w:t>
            </w:r>
          </w:p>
        </w:tc>
        <w:tc>
          <w:tcPr>
            <w:tcW w:w="2588" w:type="dxa"/>
            <w:tcBorders>
              <w:top w:val="single" w:sz="6" w:space="0" w:color="000000"/>
              <w:left w:val="single" w:sz="6" w:space="0" w:color="000000"/>
              <w:bottom w:val="single" w:sz="6" w:space="0" w:color="000000"/>
              <w:right w:val="single" w:sz="6" w:space="0" w:color="000000"/>
            </w:tcBorders>
            <w:vAlign w:val="center"/>
          </w:tcPr>
          <w:p w14:paraId="73307742" w14:textId="77777777" w:rsidR="0063083B" w:rsidRPr="00B04CDA" w:rsidRDefault="0063083B" w:rsidP="002772C4">
            <w:pPr>
              <w:spacing w:line="240" w:lineRule="auto"/>
              <w:ind w:firstLine="0"/>
              <w:jc w:val="center"/>
              <w:rPr>
                <w:iCs/>
                <w:szCs w:val="24"/>
                <w:lang w:eastAsia="ru-RU"/>
              </w:rPr>
            </w:pPr>
            <w:bookmarkStart w:id="39" w:name="далн"/>
            <w:bookmarkEnd w:id="39"/>
            <w:proofErr w:type="gramStart"/>
            <w:r w:rsidRPr="00B04CDA">
              <w:rPr>
                <w:i/>
                <w:szCs w:val="24"/>
                <w:lang w:eastAsia="ru-RU"/>
              </w:rPr>
              <w:t>BCR::</w:t>
            </w:r>
            <w:proofErr w:type="gramEnd"/>
            <w:r w:rsidRPr="00B04CDA">
              <w:rPr>
                <w:i/>
                <w:szCs w:val="24"/>
                <w:lang w:eastAsia="ru-RU"/>
              </w:rPr>
              <w:t>ABL</w:t>
            </w:r>
            <w:r w:rsidRPr="00B04CDA">
              <w:rPr>
                <w:i/>
                <w:iCs/>
                <w:szCs w:val="24"/>
                <w:lang w:eastAsia="ru-RU"/>
              </w:rPr>
              <w:t>1</w:t>
            </w:r>
            <w:r w:rsidRPr="00B04CDA">
              <w:rPr>
                <w:iCs/>
                <w:szCs w:val="24"/>
                <w:lang w:eastAsia="ru-RU"/>
              </w:rPr>
              <w:t>&gt;1%</w:t>
            </w:r>
          </w:p>
          <w:p w14:paraId="461BE414" w14:textId="77777777" w:rsidR="002772C4" w:rsidRPr="00B04CDA" w:rsidRDefault="002772C4" w:rsidP="002772C4">
            <w:pPr>
              <w:spacing w:line="240" w:lineRule="auto"/>
              <w:ind w:firstLine="0"/>
              <w:jc w:val="center"/>
              <w:rPr>
                <w:iCs/>
                <w:szCs w:val="24"/>
                <w:lang w:eastAsia="ru-RU"/>
              </w:rPr>
            </w:pPr>
          </w:p>
          <w:p w14:paraId="255C166A" w14:textId="3EAB9BD2" w:rsidR="0063083B" w:rsidRPr="00B04CDA" w:rsidRDefault="002772C4" w:rsidP="002772C4">
            <w:pPr>
              <w:spacing w:line="240" w:lineRule="auto"/>
              <w:ind w:firstLine="0"/>
              <w:jc w:val="center"/>
            </w:pPr>
            <w:r w:rsidRPr="00B04CDA">
              <w:rPr>
                <w:iCs/>
                <w:szCs w:val="24"/>
                <w:lang w:eastAsia="ru-RU"/>
              </w:rPr>
              <w:t xml:space="preserve">Мутации </w:t>
            </w:r>
            <w:proofErr w:type="gramStart"/>
            <w:r w:rsidR="0063083B" w:rsidRPr="00B04CDA">
              <w:rPr>
                <w:i/>
                <w:szCs w:val="24"/>
                <w:lang w:eastAsia="ru-RU"/>
              </w:rPr>
              <w:t>BCR::</w:t>
            </w:r>
            <w:proofErr w:type="gramEnd"/>
            <w:r w:rsidR="0063083B" w:rsidRPr="00B04CDA">
              <w:rPr>
                <w:i/>
                <w:szCs w:val="24"/>
                <w:lang w:eastAsia="ru-RU"/>
              </w:rPr>
              <w:t>ABL</w:t>
            </w:r>
            <w:r w:rsidR="0063083B" w:rsidRPr="00B04CDA">
              <w:rPr>
                <w:i/>
                <w:iCs/>
                <w:szCs w:val="24"/>
                <w:lang w:eastAsia="ru-RU"/>
              </w:rPr>
              <w:t>1</w:t>
            </w:r>
            <w:r w:rsidRPr="00B04CDA">
              <w:rPr>
                <w:i/>
                <w:iCs/>
                <w:szCs w:val="24"/>
                <w:lang w:eastAsia="ru-RU"/>
              </w:rPr>
              <w:t xml:space="preserve">, </w:t>
            </w:r>
            <w:r w:rsidRPr="00B04CDA">
              <w:rPr>
                <w:iCs/>
                <w:szCs w:val="24"/>
                <w:lang w:eastAsia="ru-RU"/>
              </w:rPr>
              <w:t>приводящие к резистентности</w:t>
            </w:r>
          </w:p>
          <w:p w14:paraId="3709BB7E" w14:textId="77777777" w:rsidR="002772C4" w:rsidRPr="00B04CDA" w:rsidRDefault="002772C4" w:rsidP="002772C4">
            <w:pPr>
              <w:spacing w:line="240" w:lineRule="auto"/>
              <w:ind w:firstLine="0"/>
              <w:jc w:val="center"/>
              <w:rPr>
                <w:iCs/>
                <w:szCs w:val="24"/>
                <w:lang w:eastAsia="ru-RU"/>
              </w:rPr>
            </w:pPr>
          </w:p>
          <w:p w14:paraId="647073DA" w14:textId="58D4A8AA" w:rsidR="000C7098" w:rsidRPr="00B04CDA" w:rsidRDefault="0063083B" w:rsidP="002772C4">
            <w:pPr>
              <w:spacing w:line="240" w:lineRule="auto"/>
              <w:ind w:firstLine="0"/>
              <w:jc w:val="center"/>
              <w:rPr>
                <w:szCs w:val="24"/>
                <w:lang w:eastAsia="ru-RU"/>
              </w:rPr>
            </w:pPr>
            <w:r w:rsidRPr="00B04CDA">
              <w:rPr>
                <w:iCs/>
                <w:szCs w:val="24"/>
                <w:lang w:eastAsia="ru-RU"/>
              </w:rPr>
              <w:t xml:space="preserve">ДХА высокого риска в </w:t>
            </w:r>
            <w:proofErr w:type="spellStart"/>
            <w:r w:rsidRPr="00B04CDA">
              <w:rPr>
                <w:iCs/>
                <w:szCs w:val="24"/>
                <w:lang w:eastAsia="ru-RU"/>
              </w:rPr>
              <w:t>Ph</w:t>
            </w:r>
            <w:proofErr w:type="spellEnd"/>
            <w:r w:rsidRPr="00B04CDA">
              <w:rPr>
                <w:iCs/>
                <w:szCs w:val="24"/>
                <w:vertAlign w:val="superscript"/>
                <w:lang w:eastAsia="ru-RU"/>
              </w:rPr>
              <w:t>+</w:t>
            </w:r>
            <w:r w:rsidRPr="00B04CDA">
              <w:rPr>
                <w:iCs/>
                <w:szCs w:val="24"/>
                <w:lang w:eastAsia="ru-RU"/>
              </w:rPr>
              <w:t xml:space="preserve"> клетках</w:t>
            </w:r>
          </w:p>
        </w:tc>
      </w:tr>
    </w:tbl>
    <w:p w14:paraId="0F3D3ABA" w14:textId="5E6E85A5" w:rsidR="0063083B" w:rsidRPr="00B04CDA" w:rsidRDefault="0063083B" w:rsidP="0063083B">
      <w:pPr>
        <w:spacing w:line="288" w:lineRule="auto"/>
        <w:ind w:firstLine="0"/>
      </w:pPr>
      <w:r w:rsidRPr="00B04CDA">
        <w:rPr>
          <w:lang w:eastAsia="ru-RU"/>
        </w:rPr>
        <w:t xml:space="preserve">Примечания. </w:t>
      </w:r>
      <w:bookmarkStart w:id="40" w:name="__DdeLink__6351_562553030"/>
      <w:r w:rsidRPr="00B04CDA">
        <w:rPr>
          <w:lang w:eastAsia="ru-RU"/>
        </w:rPr>
        <w:t xml:space="preserve">Под значением экспрессии </w:t>
      </w:r>
      <w:proofErr w:type="gramStart"/>
      <w:r w:rsidRPr="00B04CDA">
        <w:rPr>
          <w:i/>
          <w:lang w:eastAsia="ru-RU"/>
        </w:rPr>
        <w:t>BCR::</w:t>
      </w:r>
      <w:proofErr w:type="gramEnd"/>
      <w:r w:rsidRPr="00B04CDA">
        <w:rPr>
          <w:i/>
          <w:lang w:eastAsia="ru-RU"/>
        </w:rPr>
        <w:t>ABL</w:t>
      </w:r>
      <w:r w:rsidRPr="00B04CDA">
        <w:rPr>
          <w:i/>
          <w:iCs/>
          <w:lang w:eastAsia="ru-RU"/>
        </w:rPr>
        <w:t xml:space="preserve">1, </w:t>
      </w:r>
      <w:r w:rsidRPr="00B04CDA">
        <w:rPr>
          <w:iCs/>
          <w:lang w:eastAsia="ru-RU"/>
        </w:rPr>
        <w:t>указанным в таблице</w:t>
      </w:r>
      <w:bookmarkEnd w:id="40"/>
      <w:r w:rsidR="00E323F3">
        <w:rPr>
          <w:iCs/>
          <w:lang w:eastAsia="ru-RU"/>
        </w:rPr>
        <w:t>,</w:t>
      </w:r>
      <w:r w:rsidRPr="00B04CDA">
        <w:rPr>
          <w:iCs/>
          <w:lang w:eastAsia="ru-RU"/>
        </w:rPr>
        <w:t xml:space="preserve"> понимается соотношение</w:t>
      </w:r>
      <w:r w:rsidRPr="00B04CDA">
        <w:rPr>
          <w:i/>
          <w:iCs/>
          <w:lang w:eastAsia="ru-RU"/>
        </w:rPr>
        <w:t xml:space="preserve"> </w:t>
      </w:r>
      <w:r w:rsidRPr="00B04CDA">
        <w:rPr>
          <w:i/>
          <w:lang w:eastAsia="ru-RU"/>
        </w:rPr>
        <w:t>BCR::ABL</w:t>
      </w:r>
      <w:r w:rsidRPr="00B04CDA">
        <w:rPr>
          <w:i/>
          <w:iCs/>
          <w:lang w:eastAsia="ru-RU"/>
        </w:rPr>
        <w:t>1/</w:t>
      </w:r>
      <w:r w:rsidRPr="00B04CDA">
        <w:rPr>
          <w:i/>
          <w:iCs/>
          <w:lang w:val="en-US" w:eastAsia="ru-RU"/>
        </w:rPr>
        <w:t>ABL</w:t>
      </w:r>
      <w:r w:rsidRPr="00B04CDA">
        <w:rPr>
          <w:i/>
          <w:iCs/>
          <w:lang w:eastAsia="ru-RU"/>
        </w:rPr>
        <w:t xml:space="preserve">1 </w:t>
      </w:r>
      <w:r w:rsidRPr="00B04CDA">
        <w:rPr>
          <w:iCs/>
          <w:lang w:eastAsia="ru-RU"/>
        </w:rPr>
        <w:t>по международной шкале</w:t>
      </w:r>
    </w:p>
    <w:p w14:paraId="3B02B66E" w14:textId="7C0BC1DA" w:rsidR="0063083B" w:rsidRPr="002772C4" w:rsidRDefault="0063083B" w:rsidP="0063083B">
      <w:pPr>
        <w:spacing w:line="288" w:lineRule="auto"/>
        <w:ind w:firstLine="0"/>
        <w:rPr>
          <w:i/>
          <w:iCs/>
          <w:lang w:eastAsia="ru-RU"/>
        </w:rPr>
      </w:pPr>
      <w:r w:rsidRPr="00B04CDA">
        <w:rPr>
          <w:rStyle w:val="jlqj4b"/>
        </w:rPr>
        <w:t xml:space="preserve">Для пациентов, </w:t>
      </w:r>
      <w:r w:rsidR="00D23567">
        <w:rPr>
          <w:rStyle w:val="jlqj4b"/>
        </w:rPr>
        <w:t>пла</w:t>
      </w:r>
      <w:r w:rsidR="0088321B">
        <w:rPr>
          <w:rStyle w:val="jlqj4b"/>
        </w:rPr>
        <w:t>нирующих</w:t>
      </w:r>
      <w:r w:rsidRPr="00B04CDA">
        <w:rPr>
          <w:rStyle w:val="jlqj4b"/>
        </w:rPr>
        <w:t xml:space="preserve"> ремисси</w:t>
      </w:r>
      <w:r w:rsidR="0088321B">
        <w:rPr>
          <w:rStyle w:val="jlqj4b"/>
        </w:rPr>
        <w:t>ю</w:t>
      </w:r>
      <w:r w:rsidRPr="00B04CDA">
        <w:rPr>
          <w:rStyle w:val="jlqj4b"/>
        </w:rPr>
        <w:t xml:space="preserve"> без лечения</w:t>
      </w:r>
      <w:r w:rsidR="00D23567">
        <w:rPr>
          <w:rStyle w:val="jlqj4b"/>
        </w:rPr>
        <w:t>,</w:t>
      </w:r>
      <w:r w:rsidRPr="00B04CDA">
        <w:rPr>
          <w:rStyle w:val="jlqj4b"/>
        </w:rPr>
        <w:t xml:space="preserve"> оптимальный ответ (в любое время) составляет </w:t>
      </w:r>
      <w:proofErr w:type="gramStart"/>
      <w:r w:rsidRPr="00B04CDA">
        <w:rPr>
          <w:i/>
          <w:lang w:eastAsia="ru-RU"/>
        </w:rPr>
        <w:t>BCR::</w:t>
      </w:r>
      <w:proofErr w:type="gramEnd"/>
      <w:r w:rsidRPr="00B04CDA">
        <w:rPr>
          <w:i/>
          <w:lang w:eastAsia="ru-RU"/>
        </w:rPr>
        <w:t>ABL</w:t>
      </w:r>
      <w:r w:rsidRPr="00B04CDA">
        <w:rPr>
          <w:i/>
          <w:iCs/>
          <w:lang w:eastAsia="ru-RU"/>
        </w:rPr>
        <w:t>1</w:t>
      </w:r>
      <w:r w:rsidRPr="00B04CDA">
        <w:rPr>
          <w:rStyle w:val="jlqj4b"/>
        </w:rPr>
        <w:t>≤ 0,01% (</w:t>
      </w:r>
      <w:r w:rsidR="008605B3" w:rsidRPr="00B04CDA">
        <w:rPr>
          <w:rStyle w:val="jlqj4b"/>
        </w:rPr>
        <w:t>МО</w:t>
      </w:r>
      <w:r w:rsidRPr="00B04CDA">
        <w:rPr>
          <w:rStyle w:val="jlqj4b"/>
          <w:vertAlign w:val="superscript"/>
        </w:rPr>
        <w:t>4</w:t>
      </w:r>
      <w:r w:rsidRPr="00B04CDA">
        <w:rPr>
          <w:rStyle w:val="jlqj4b"/>
        </w:rPr>
        <w:t>).</w:t>
      </w:r>
      <w:r w:rsidRPr="002772C4">
        <w:t xml:space="preserve"> </w:t>
      </w:r>
    </w:p>
    <w:p w14:paraId="6999D387" w14:textId="77777777" w:rsidR="000C7098" w:rsidRPr="008605B3" w:rsidRDefault="000C7098" w:rsidP="00C10677">
      <w:pPr>
        <w:rPr>
          <w:i/>
          <w:iCs/>
          <w:szCs w:val="24"/>
          <w:lang w:eastAsia="ru-RU"/>
        </w:rPr>
      </w:pPr>
    </w:p>
    <w:p w14:paraId="4D54CCAA" w14:textId="4AC70304" w:rsidR="000C7098" w:rsidRPr="00062B4F" w:rsidRDefault="000C7098" w:rsidP="00753E08">
      <w:pPr>
        <w:pStyle w:val="3"/>
        <w:spacing w:before="120" w:after="120"/>
        <w:rPr>
          <w:rFonts w:ascii="Times New Roman" w:hAnsi="Times New Roman"/>
          <w:b/>
          <w:iCs/>
          <w:color w:val="auto"/>
        </w:rPr>
      </w:pPr>
      <w:bookmarkStart w:id="41" w:name="_Toc86133410"/>
      <w:r w:rsidRPr="00062B4F">
        <w:rPr>
          <w:rFonts w:ascii="Times New Roman" w:hAnsi="Times New Roman"/>
          <w:b/>
          <w:iCs/>
          <w:color w:val="auto"/>
        </w:rPr>
        <w:t xml:space="preserve">3.1.8. Терапия при неудаче второй и </w:t>
      </w:r>
      <w:r w:rsidR="004F02CE" w:rsidRPr="00062B4F">
        <w:rPr>
          <w:rFonts w:ascii="Times New Roman" w:hAnsi="Times New Roman"/>
          <w:b/>
          <w:iCs/>
          <w:color w:val="auto"/>
        </w:rPr>
        <w:t>последующ</w:t>
      </w:r>
      <w:r w:rsidR="004F02CE">
        <w:rPr>
          <w:rFonts w:ascii="Times New Roman" w:hAnsi="Times New Roman"/>
          <w:b/>
          <w:iCs/>
          <w:color w:val="auto"/>
        </w:rPr>
        <w:t>их</w:t>
      </w:r>
      <w:r w:rsidR="004F02CE" w:rsidRPr="00062B4F">
        <w:rPr>
          <w:rFonts w:ascii="Times New Roman" w:hAnsi="Times New Roman"/>
          <w:b/>
          <w:iCs/>
          <w:color w:val="auto"/>
        </w:rPr>
        <w:t xml:space="preserve"> лини</w:t>
      </w:r>
      <w:r w:rsidR="004F02CE">
        <w:rPr>
          <w:rFonts w:ascii="Times New Roman" w:hAnsi="Times New Roman"/>
          <w:b/>
          <w:iCs/>
          <w:color w:val="auto"/>
        </w:rPr>
        <w:t>й</w:t>
      </w:r>
      <w:r w:rsidR="004F02CE" w:rsidRPr="00062B4F">
        <w:rPr>
          <w:rFonts w:ascii="Times New Roman" w:hAnsi="Times New Roman"/>
          <w:b/>
          <w:iCs/>
          <w:color w:val="auto"/>
        </w:rPr>
        <w:t xml:space="preserve"> </w:t>
      </w:r>
      <w:r w:rsidRPr="00062B4F">
        <w:rPr>
          <w:rFonts w:ascii="Times New Roman" w:hAnsi="Times New Roman"/>
          <w:b/>
          <w:iCs/>
          <w:color w:val="auto"/>
        </w:rPr>
        <w:t>лечения</w:t>
      </w:r>
      <w:bookmarkEnd w:id="41"/>
    </w:p>
    <w:p w14:paraId="493C81CE" w14:textId="097C638A" w:rsidR="000C7098" w:rsidRPr="00062B4F" w:rsidRDefault="000C7098" w:rsidP="00505FD7">
      <w:pPr>
        <w:numPr>
          <w:ilvl w:val="0"/>
          <w:numId w:val="20"/>
        </w:numPr>
        <w:ind w:left="714" w:hanging="357"/>
        <w:rPr>
          <w:iCs/>
          <w:szCs w:val="24"/>
          <w:lang w:eastAsia="ru-RU"/>
        </w:rPr>
      </w:pPr>
      <w:r w:rsidRPr="00062B4F">
        <w:rPr>
          <w:b/>
          <w:bCs/>
          <w:iCs/>
          <w:szCs w:val="24"/>
          <w:lang w:eastAsia="ru-RU"/>
        </w:rPr>
        <w:t xml:space="preserve">Рекомендуется </w:t>
      </w:r>
      <w:r w:rsidR="00680F61">
        <w:rPr>
          <w:iCs/>
          <w:szCs w:val="24"/>
          <w:lang w:eastAsia="ru-RU"/>
        </w:rPr>
        <w:t xml:space="preserve"> пациентам с </w:t>
      </w:r>
      <w:r w:rsidRPr="00062B4F">
        <w:rPr>
          <w:iCs/>
          <w:szCs w:val="24"/>
          <w:lang w:eastAsia="ru-RU"/>
        </w:rPr>
        <w:t>неудач</w:t>
      </w:r>
      <w:r w:rsidR="00680F61">
        <w:rPr>
          <w:iCs/>
          <w:szCs w:val="24"/>
          <w:lang w:eastAsia="ru-RU"/>
        </w:rPr>
        <w:t>ей</w:t>
      </w:r>
      <w:r w:rsidRPr="00062B4F">
        <w:rPr>
          <w:iCs/>
          <w:szCs w:val="24"/>
          <w:lang w:eastAsia="ru-RU"/>
        </w:rPr>
        <w:t xml:space="preserve"> </w:t>
      </w:r>
      <w:r w:rsidR="00680F61">
        <w:rPr>
          <w:iCs/>
          <w:szCs w:val="24"/>
          <w:lang w:eastAsia="ru-RU"/>
        </w:rPr>
        <w:t>двух</w:t>
      </w:r>
      <w:r w:rsidR="00680F61" w:rsidRPr="00062B4F">
        <w:rPr>
          <w:iCs/>
          <w:szCs w:val="24"/>
          <w:lang w:eastAsia="ru-RU"/>
        </w:rPr>
        <w:t xml:space="preserve"> </w:t>
      </w:r>
      <w:r w:rsidRPr="00062B4F">
        <w:rPr>
          <w:iCs/>
          <w:szCs w:val="24"/>
          <w:lang w:eastAsia="ru-RU"/>
        </w:rPr>
        <w:t>и более линий терапии ХМЛ переход на другой ИТК</w:t>
      </w:r>
      <w:r w:rsidR="00680F61">
        <w:rPr>
          <w:iCs/>
          <w:szCs w:val="24"/>
          <w:lang w:eastAsia="ru-RU"/>
        </w:rPr>
        <w:t xml:space="preserve"> или выполнение</w:t>
      </w:r>
      <w:r w:rsidRPr="00062B4F">
        <w:rPr>
          <w:iCs/>
          <w:szCs w:val="24"/>
          <w:lang w:eastAsia="ru-RU"/>
        </w:rPr>
        <w:t xml:space="preserve"> </w:t>
      </w:r>
      <w:proofErr w:type="spellStart"/>
      <w:r w:rsidRPr="00062B4F">
        <w:rPr>
          <w:iCs/>
          <w:szCs w:val="24"/>
          <w:lang w:eastAsia="ru-RU"/>
        </w:rPr>
        <w:t>аллоТГСК</w:t>
      </w:r>
      <w:proofErr w:type="spellEnd"/>
      <w:r w:rsidRPr="00062B4F">
        <w:rPr>
          <w:iCs/>
          <w:szCs w:val="24"/>
          <w:lang w:eastAsia="ru-RU"/>
        </w:rPr>
        <w:t xml:space="preserve"> </w:t>
      </w:r>
      <w:r w:rsidR="00D6082E" w:rsidRPr="00062B4F">
        <w:rPr>
          <w:iCs/>
          <w:szCs w:val="24"/>
          <w:lang w:eastAsia="ru-RU"/>
        </w:rPr>
        <w:t xml:space="preserve"> </w:t>
      </w:r>
      <w:r w:rsidR="00D6082E" w:rsidRPr="00062B4F">
        <w:rPr>
          <w:iCs/>
          <w:szCs w:val="24"/>
          <w:lang w:eastAsia="ru-RU"/>
        </w:rPr>
        <w:fldChar w:fldCharType="begin" w:fldLock="1"/>
      </w:r>
      <w:r w:rsidR="00C27408" w:rsidRPr="00062B4F">
        <w:rPr>
          <w:iCs/>
          <w:szCs w:val="24"/>
          <w:lang w:eastAsia="ru-RU"/>
        </w:rPr>
        <w:instrText>ADDIN CSL_CITATION {"citationItems":[{"id":"ITEM-1","itemData":{"DOI":"10.1002/ajh.24536","ISSN":"0361-8609","PMID":"27531525","abstract":"Bosutinib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Hematology","id":"ITEM-1","issue":"12","issued":{"date-parts":[["2016","12"]]},"page":"1206-1214","title":"Long‐term bosutinib for chronic phase chronic myeloid leukemia after failure of imatinib plus dasatinib and/or nilotinib","type":"article-journal","volume":"91"},"uris":["http://www.mendeley.com/documents/?uuid=cb4ca7e0-91a8-4047-a36e-7c8a2122b009"]},{"id":"ITEM-2","itemData":{"DOI":"10.1182/blood-2016-09-739086","ISSN":"15280020","abstract":"Ponatinib has potent activity against native and mutant BCR-ABL1, including BCR-ABL1T315I. The pivotal phase 2 Ponatinib Ph1 ALL and CML Evaluation (PACE) trial evaluated efficacy and safety of ponatinib at a starting dose of 45 mg once daily in 449 patients with chronic myeloid leukemia (CML) or Philadelphia chromosome–positive acute lymphoblastic leukemia (ALL) resistant/intolerant to dasatinib or nilotinib, or with BCR-ABL1T315I. This analysis focuses on chronic-phase CML (CP-CML) patients (n 5 270) with 56.8-month median follow-up. Among 267 evaluable patients, 60%, 40%, and 24% achieved major cytogenetic response (MCyR), major molecular response (MMR), and 4.5-log molecular response, respectively. The probability of maintaining MCyR for 5 years was 82% among responders. Dose reductions were implemented in October 2013 to decrease the risk of arterial occlusive events (AOEs); ‡90% of CP-CML patients who had achieved MCyR or MMR maintained response 40 months after elective dose reductions. Estimated 5-year overall survival was 73%. In CP-CML patients, the most common treatment-emergent adverse events were rash (47%), abdominal pain (46%), thrombocytopenia (46%), headache (43%), dry skin (42%), and constipation (41%). The cumulative incidence of AOEs in CP-CML patients increased over time to 31%, while the exposure-adjusted incidence of new AOEs (15.8 and 4.9 per 100 patient-years in years 1 and 5, respectively) did not increase over time. These final PACE results demonstrate ponatinib provides durable and clinically meaningful responses, irrespective of dose reductions, in this population of heavily pretreated CP-CML patients. This trial was registered at www.clinicaltrials.gov as #NCT01207440.","author":[{"dropping-particle":"","family":"Cortes","given":"Jorge E.","non-dropping-particle":"","parse-names":false,"suffix":""},{"dropping-particle":"","family":"Kim","given":"Dong Wook","non-dropping-particle":"","parse-names":false,"suffix":""},{"dropping-particle":"","family":"Pinilla-Ibarz","given":"Javier","non-dropping-particle":"","parse-names":false,"suffix":""},{"dropping-particle":"","family":"Coutre","given":"Philipp D.","non-dropping-particle":"le","parse-names":false,"suffix":""},{"dropping-particle":"","family":"Paquette","given":"Ronald","non-dropping-particle":"","parse-names":false,"suffix":""},{"dropping-particle":"","family":"Chuah","given":"Charles","non-dropping-particle":"","parse-names":false,"suffix":""},{"dropping-particle":"","family":"Nicolini","given":"Franck E.","non-dropping-particle":"","parse-names":false,"suffix":""},{"dropping-particle":"","family":"Apperley","given":"Jane F.","non-dropping-particle":"","parse-names":false,"suffix":""},{"dropping-particle":"","family":"Khoury","given":"H. Jean","non-dropping-particle":"","parse-names":false,"suffix":""},{"dropping-particle":"","family":"Talpaz","given":"Moshe","non-dropping-particle":"","parse-names":false,"suffix":""},{"dropping-particle":"","family":"DeAngelo","given":"Daniel J.","non-dropping-particle":"","parse-names":false,"suffix":""},{"dropping-particle":"","family":"Abruzzese","given":"Elisabetta","non-dropping-particle":"","parse-names":false,"suffix":""},{"dropping-particle":"","family":"Rea","given":"Delphine","non-dropping-particle":"","parse-names":false,"suffix":""},{"dropping-particle":"","family":"Baccarani","given":"Michele","non-dropping-particle":"","parse-names":false,"suffix":""},{"dropping-particle":"","family":"Müller","given":"Martin C.","non-dropping-particle":"","parse-names":false,"suffix":""},{"dropping-particle":"","family":"Gambacorti-Passerini","given":"Carlo","non-dropping-particle":"","parse-names":false,"suffix":""},{"dropping-particle":"","family":"Lustgarten","given":"Stephanie","non-dropping-particle":"","parse-names":false,"suffix":""},{"dropping-particle":"","family":"Rivera","given":"Victor M.","non-dropping-particle":"","parse-names":false,"suffix":""},{"dropping-particle":"","family":"Haluska","given":"Frank G.","non-dropping-particle":"","parse-names":false,"suffix":""},{"dropping-particle":"","family":"Guilhot","given":"François","non-dropping-particle":"","parse-names":false,"suffix":""},{"dropping-particle":"","family":"Deininger","given":"Michael W.","non-dropping-particle":"","parse-names":false,"suffix":""},{"dropping-particle":"","family":"Hochhaus","given":"Andreas","non-dropping-particle":"","parse-names":false,"suffix":""},{"dropping-particle":"","family":"Hughes","given":"Timothy P.","non-dropping-particle":"","parse-names":false,"suffix":""},{"dropping-particle":"","family":"Shah","given":"Neil P.","non-dropping-particle":"","parse-names":false,"suffix":""},{"dropping-particle":"","family":"Kantarjian","given":"Hagop M.","non-dropping-particle":"","parse-names":false,"suffix":""}],"container-title":"Blood","id":"ITEM-2","issue":"4","issued":{"date-parts":[["2018","7","26"]]},"page":"393-404","publisher":"American Society of Hematology","title":"Ponatinib efficacy and safety in Philadelphia chromosome–positive leukemia: final 5-year results of the phase 2 PACE trial","type":"article-journal","volume":"132"},"uris":["http://www.mendeley.com/documents/?uuid=8a91b53c-2339-3b4c-87da-06712e288581"]},{"id":"ITEM-3","itemData":{"DOI":"10.1182/blood.v124.21.4551.4551","ISSN":"0006-4971","abstract":"INTRODUCTIONPatients with chronic myeloid leukemia (CP-CML) failing 1st line imatinib are most commonly treated with the second-generation (2G) tyrosine kinase inhibitors (TKIs) dasatinib and nilotinib. However, for patients who experience resistance or intolerance (R/I) to 2G-TKIs in 2nd line, there currently is no consensus on the optimal therapy sequence for 3rd line treatment. The comparative efficacy of using ponatinib in the 3rd line after 2G TKI failure was examined in a previous study (Lipton et al., ASH 2013). This study assesses the comparative efficacy of ponatinib versus sequential treatment of alternate 2G TKIs in 3rdline setting in two separate patient populations, post-imatinib and dasatinib patients and post-imatinib and nilotinib patients.METHODSA systematic review was conducted in MEDLINE, EMBASE and the Cochrane Libraries (2002-2014), as well as 3 conferences (ASH (2008-2014), ASCO (2008-2014), and EHA (2008-2013)). Studies evaluating any TKI were included if they enrolled 10 or more post-imatinib adult patients with CP-CML who were also R/I to dasatinib or nilotinib. All study designs were considered and no restriction was applied with respect to therapy dose, due to incomplete reporting of doses in the available studies. Analyses was run on two groups of patients, those failing imatinib and dasatinib (Group Ima/Das) and those failing imatinib and nilotinib (Group Ima/Nil). Bayesian methods were used to synthesize major cytogenetic response (MCyR) and complete cytogenetic response (CCyR) from individual studies and estimate the overall response probability with 95% credible interval (CrI) for each treatment. Bayesian analysis also was used to estimate the likelihood that each treatment offers the highest probability of CCyR/MCyR based on available evidence.RESULTSSix studies evaluating bosutinib, nilotinib and ponatinib for Group Ima/Das (n= 419) and five studies evaluating bosutinib, dasatinib and ponatinib for Group Ima/Nil (n=83) were included in the analysis. All studies reported CCyR in both groups. Five studies evaluating bosutinib, nilotinib and ponatinib reported MCyR in Group Ima/Das and three studies evaluating bosutinib and ponatinib reported MCyR in Group Ima/Nil.Synthesized treatment-specific probabilities and 95% CrI for CCyR are presented in Figure 1.Synthesized treatment-specific probabilities of CCyR for Group Ima/Das were 27% for nilotinib, 20% for bosutinib and 54% (95% CrI 43%% to 66%) for ponatinib. Treatment-spe…","author":[{"dropping-particle":"","family":"Lipton","given":"Jeffrey H.","non-dropping-particle":"","parse-names":false,"suffix":""},{"dropping-particle":"","family":"Shah","given":"Dhvani","non-dropping-particle":"","parse-names":false,"suffix":""},{"dropping-particle":"","family":"Tongbram","given":"Vanita","non-dropping-particle":"","parse-names":false,"suffix":""},{"dropping-particle":"","family":"Sidhu","given":"Manpreet K","non-dropping-particle":"","parse-names":false,"suffix":""},{"dropping-particle":"","family":"Huang","given":"Hui","non-dropping-particle":"","parse-names":false,"suffix":""},{"dropping-particle":"","family":"McGarry","given":"Lisa J","non-dropping-particle":"","parse-names":false,"suffix":""},{"dropping-particle":"","family":"Lustgarten","given":"Stephanie","non-dropping-particle":"","parse-names":false,"suffix":""},{"dropping-particle":"","family":"Hawkins","given":"Neil","non-dropping-particle":"","parse-names":false,"suffix":""}],"container-title":"Blood","id":"ITEM-3","issue":"21","issued":{"date-parts":[["2014","12","6"]]},"page":"4551-4551","publisher":"American Society of Hematology","title":"Comparative Efficacy Among 3rd Line Post-Imatinib Chronic Phase-Chronic Myeloid Leukemia (CP-CML) Patients after Failure of Dasatinib or Nilotinib Tyrosine Kinase Inhibitors","type":"article-journal","volume":"124"},"uris":["http://www.mendeley.com/documents/?uuid=9857c561-2298-3ad0-b481-b4e377390ddb"]}],"mendeley":{"formattedCitation":"[33,60,61]","plainTextFormattedCitation":"[33,60,61]","previouslyFormattedCitation":"[33,60,61]"},"properties":{"noteIndex":0},"schema":"https://github.com/citation-style-language/schema/raw/master/csl-citation.json"}</w:instrText>
      </w:r>
      <w:r w:rsidR="00D6082E" w:rsidRPr="00062B4F">
        <w:rPr>
          <w:iCs/>
          <w:szCs w:val="24"/>
          <w:lang w:eastAsia="ru-RU"/>
        </w:rPr>
        <w:fldChar w:fldCharType="separate"/>
      </w:r>
      <w:r w:rsidR="00792690" w:rsidRPr="00062B4F">
        <w:rPr>
          <w:iCs/>
          <w:noProof/>
          <w:szCs w:val="24"/>
          <w:lang w:eastAsia="ru-RU"/>
        </w:rPr>
        <w:t>[33,60,61]</w:t>
      </w:r>
      <w:r w:rsidR="00D6082E" w:rsidRPr="00062B4F">
        <w:rPr>
          <w:iCs/>
          <w:szCs w:val="24"/>
          <w:lang w:eastAsia="ru-RU"/>
        </w:rPr>
        <w:fldChar w:fldCharType="end"/>
      </w:r>
      <w:r w:rsidR="00D6082E" w:rsidRPr="00062B4F">
        <w:rPr>
          <w:iCs/>
          <w:szCs w:val="24"/>
          <w:lang w:eastAsia="ru-RU"/>
        </w:rPr>
        <w:t>.</w:t>
      </w:r>
    </w:p>
    <w:p w14:paraId="314C92D4" w14:textId="77777777" w:rsidR="000C7098" w:rsidRPr="00062B4F" w:rsidRDefault="000C7098" w:rsidP="00EF3037">
      <w:pPr>
        <w:ind w:left="720" w:hanging="11"/>
        <w:rPr>
          <w:b/>
          <w:bCs/>
          <w:szCs w:val="24"/>
          <w:lang w:eastAsia="ru-RU"/>
        </w:rPr>
      </w:pPr>
      <w:r w:rsidRPr="00062B4F">
        <w:rPr>
          <w:b/>
          <w:bCs/>
          <w:szCs w:val="24"/>
          <w:lang w:eastAsia="ru-RU"/>
        </w:rPr>
        <w:t xml:space="preserve">Уровень убедительности рекомендаций – </w:t>
      </w:r>
      <w:r w:rsidR="008D4635" w:rsidRPr="00062B4F">
        <w:rPr>
          <w:b/>
          <w:bCs/>
          <w:szCs w:val="24"/>
          <w:lang w:eastAsia="ru-RU"/>
        </w:rPr>
        <w:t xml:space="preserve">С </w:t>
      </w:r>
      <w:r w:rsidRPr="00062B4F">
        <w:rPr>
          <w:b/>
          <w:bCs/>
          <w:szCs w:val="24"/>
          <w:lang w:eastAsia="ru-RU"/>
        </w:rPr>
        <w:t>(уровень достоверности доказательств – 2).</w:t>
      </w:r>
    </w:p>
    <w:p w14:paraId="61A9A46F" w14:textId="1B670E72" w:rsidR="000C7098" w:rsidRPr="00062B4F" w:rsidRDefault="000C7098" w:rsidP="00EF3037">
      <w:pPr>
        <w:rPr>
          <w:b/>
          <w:bCs/>
          <w:i/>
          <w:iCs/>
          <w:szCs w:val="24"/>
          <w:lang w:eastAsia="ru-RU"/>
        </w:rPr>
      </w:pPr>
      <w:r w:rsidRPr="00062B4F">
        <w:rPr>
          <w:b/>
          <w:bCs/>
          <w:i/>
          <w:iCs/>
          <w:szCs w:val="24"/>
          <w:lang w:eastAsia="ru-RU"/>
        </w:rPr>
        <w:t>Комментарий</w:t>
      </w:r>
      <w:r w:rsidRPr="00351AF0">
        <w:rPr>
          <w:i/>
          <w:iCs/>
          <w:szCs w:val="24"/>
          <w:lang w:eastAsia="ru-RU"/>
        </w:rPr>
        <w:t>:</w:t>
      </w:r>
      <w:r w:rsidR="00941E84">
        <w:rPr>
          <w:i/>
          <w:iCs/>
          <w:szCs w:val="24"/>
          <w:lang w:eastAsia="ru-RU"/>
        </w:rPr>
        <w:t xml:space="preserve"> </w:t>
      </w:r>
      <w:r w:rsidR="00941E84" w:rsidRPr="00351AF0">
        <w:rPr>
          <w:i/>
          <w:iCs/>
          <w:szCs w:val="24"/>
          <w:lang w:eastAsia="ru-RU"/>
        </w:rPr>
        <w:t xml:space="preserve">Критерии ответа на терапию ИТК в первой и </w:t>
      </w:r>
      <w:r w:rsidR="008605B3" w:rsidRPr="007B6E32">
        <w:rPr>
          <w:i/>
          <w:iCs/>
          <w:szCs w:val="24"/>
          <w:lang w:eastAsia="ru-RU"/>
        </w:rPr>
        <w:t>второй</w:t>
      </w:r>
      <w:r w:rsidR="008605B3">
        <w:rPr>
          <w:i/>
          <w:iCs/>
          <w:szCs w:val="24"/>
          <w:lang w:eastAsia="ru-RU"/>
        </w:rPr>
        <w:t xml:space="preserve"> </w:t>
      </w:r>
      <w:r w:rsidR="00941E84" w:rsidRPr="00351AF0">
        <w:rPr>
          <w:i/>
          <w:iCs/>
          <w:szCs w:val="24"/>
          <w:lang w:eastAsia="ru-RU"/>
        </w:rPr>
        <w:t>линиях</w:t>
      </w:r>
      <w:r w:rsidR="001C122A" w:rsidRPr="00351AF0">
        <w:rPr>
          <w:i/>
          <w:iCs/>
          <w:szCs w:val="24"/>
          <w:lang w:eastAsia="ru-RU"/>
        </w:rPr>
        <w:t xml:space="preserve"> представлены в табл</w:t>
      </w:r>
      <w:r w:rsidR="000A7C4E">
        <w:rPr>
          <w:i/>
          <w:iCs/>
          <w:szCs w:val="24"/>
          <w:lang w:eastAsia="ru-RU"/>
        </w:rPr>
        <w:t>ице</w:t>
      </w:r>
      <w:r w:rsidR="001C122A" w:rsidRPr="00351AF0">
        <w:rPr>
          <w:i/>
          <w:iCs/>
          <w:szCs w:val="24"/>
          <w:lang w:eastAsia="ru-RU"/>
        </w:rPr>
        <w:t xml:space="preserve"> 7.</w:t>
      </w:r>
      <w:r w:rsidRPr="00062B4F">
        <w:rPr>
          <w:i/>
          <w:iCs/>
          <w:szCs w:val="24"/>
          <w:lang w:eastAsia="ru-RU"/>
        </w:rPr>
        <w:t xml:space="preserve"> Возможности терапии при неудаче 2</w:t>
      </w:r>
      <w:r w:rsidR="00E820CD">
        <w:rPr>
          <w:i/>
          <w:iCs/>
          <w:szCs w:val="24"/>
          <w:lang w:eastAsia="ru-RU"/>
        </w:rPr>
        <w:t>-х</w:t>
      </w:r>
      <w:r w:rsidRPr="00062B4F">
        <w:rPr>
          <w:i/>
          <w:iCs/>
          <w:szCs w:val="24"/>
          <w:lang w:eastAsia="ru-RU"/>
        </w:rPr>
        <w:t xml:space="preserve"> и более линий терапии ИТК ограничены. В качестве терапевтических опций рассматриваются перевод на другой ИТК2, </w:t>
      </w:r>
      <w:r w:rsidR="000A7C4E">
        <w:rPr>
          <w:i/>
          <w:iCs/>
          <w:szCs w:val="24"/>
          <w:lang w:eastAsia="ru-RU"/>
        </w:rPr>
        <w:t xml:space="preserve">выполнение </w:t>
      </w:r>
      <w:proofErr w:type="spellStart"/>
      <w:r w:rsidRPr="00062B4F">
        <w:rPr>
          <w:i/>
          <w:iCs/>
          <w:szCs w:val="24"/>
          <w:lang w:eastAsia="ru-RU"/>
        </w:rPr>
        <w:t>аллоТГСК</w:t>
      </w:r>
      <w:proofErr w:type="spellEnd"/>
      <w:r w:rsidR="0017564D">
        <w:rPr>
          <w:i/>
          <w:iCs/>
          <w:szCs w:val="24"/>
          <w:lang w:eastAsia="ru-RU"/>
        </w:rPr>
        <w:t xml:space="preserve">, </w:t>
      </w:r>
      <w:r w:rsidR="0017564D" w:rsidRPr="00062B4F">
        <w:rPr>
          <w:i/>
          <w:iCs/>
          <w:szCs w:val="24"/>
          <w:lang w:eastAsia="ru-RU"/>
        </w:rPr>
        <w:t>включение пациента в клинические исследования</w:t>
      </w:r>
      <w:r w:rsidR="0017564D">
        <w:rPr>
          <w:i/>
          <w:iCs/>
          <w:szCs w:val="24"/>
          <w:lang w:eastAsia="ru-RU"/>
        </w:rPr>
        <w:t xml:space="preserve"> или </w:t>
      </w:r>
      <w:r w:rsidR="0017564D">
        <w:rPr>
          <w:i/>
          <w:iCs/>
          <w:szCs w:val="24"/>
          <w:lang w:eastAsia="ru-RU"/>
        </w:rPr>
        <w:lastRenderedPageBreak/>
        <w:t>программы раннего доступа к незарегистрированным в России ИТК третьего и последующих поколений</w:t>
      </w:r>
      <w:r w:rsidRPr="00062B4F">
        <w:rPr>
          <w:i/>
          <w:iCs/>
          <w:szCs w:val="24"/>
          <w:lang w:eastAsia="ru-RU"/>
        </w:rPr>
        <w:t xml:space="preserve">. </w:t>
      </w:r>
      <w:r w:rsidR="007C3CAF">
        <w:rPr>
          <w:i/>
          <w:iCs/>
          <w:szCs w:val="24"/>
          <w:lang w:eastAsia="ru-RU"/>
        </w:rPr>
        <w:t xml:space="preserve">При отсутствии альтернатив, </w:t>
      </w:r>
      <w:r w:rsidR="00685287">
        <w:rPr>
          <w:i/>
          <w:iCs/>
          <w:szCs w:val="24"/>
          <w:lang w:eastAsia="ru-RU"/>
        </w:rPr>
        <w:t xml:space="preserve">регулярный прием ИТК показан в том </w:t>
      </w:r>
      <w:r w:rsidR="004873B1">
        <w:rPr>
          <w:i/>
          <w:iCs/>
          <w:szCs w:val="24"/>
          <w:lang w:eastAsia="ru-RU"/>
        </w:rPr>
        <w:t>числе и в случае отсутствия цитогенетиче</w:t>
      </w:r>
      <w:r w:rsidR="00C63D42">
        <w:rPr>
          <w:i/>
          <w:iCs/>
          <w:szCs w:val="24"/>
          <w:lang w:eastAsia="ru-RU"/>
        </w:rPr>
        <w:t>ского ответа на терапию</w:t>
      </w:r>
      <w:r w:rsidR="009C3627">
        <w:rPr>
          <w:i/>
          <w:iCs/>
          <w:szCs w:val="24"/>
          <w:lang w:eastAsia="ru-RU"/>
        </w:rPr>
        <w:t xml:space="preserve"> для уменьшения р</w:t>
      </w:r>
      <w:r w:rsidR="00A4102C">
        <w:rPr>
          <w:i/>
          <w:iCs/>
          <w:szCs w:val="24"/>
          <w:lang w:eastAsia="ru-RU"/>
        </w:rPr>
        <w:t xml:space="preserve">исков прогрессирования и смерти по сравнению с терапией только цитостатическими </w:t>
      </w:r>
      <w:proofErr w:type="gramStart"/>
      <w:r w:rsidR="00A4102C">
        <w:rPr>
          <w:i/>
          <w:iCs/>
          <w:szCs w:val="24"/>
          <w:lang w:eastAsia="ru-RU"/>
        </w:rPr>
        <w:t>препаратами.</w:t>
      </w:r>
      <w:r w:rsidR="00C63D42">
        <w:rPr>
          <w:i/>
          <w:iCs/>
          <w:szCs w:val="24"/>
          <w:lang w:eastAsia="ru-RU"/>
        </w:rPr>
        <w:t>.</w:t>
      </w:r>
      <w:proofErr w:type="gramEnd"/>
      <w:r w:rsidR="00D5681A">
        <w:rPr>
          <w:i/>
          <w:iCs/>
          <w:szCs w:val="24"/>
          <w:lang w:eastAsia="ru-RU"/>
        </w:rPr>
        <w:t xml:space="preserve"> Все зарегистрированные препараты ИТК могут быть использованы в качестве второй или последующих линий терапии</w:t>
      </w:r>
      <w:r w:rsidRPr="00062B4F">
        <w:rPr>
          <w:i/>
          <w:iCs/>
          <w:szCs w:val="24"/>
          <w:lang w:eastAsia="ru-RU"/>
        </w:rPr>
        <w:t>.</w:t>
      </w:r>
      <w:r w:rsidR="00621B75" w:rsidRPr="00621B75">
        <w:rPr>
          <w:iCs/>
          <w:noProof/>
          <w:szCs w:val="24"/>
          <w:lang w:eastAsia="ru-RU"/>
        </w:rPr>
        <w:t xml:space="preserve"> </w:t>
      </w:r>
      <w:r w:rsidR="00621B75" w:rsidRPr="00062B4F">
        <w:rPr>
          <w:iCs/>
          <w:noProof/>
          <w:szCs w:val="24"/>
          <w:lang w:eastAsia="ru-RU"/>
        </w:rPr>
        <w:t>[</w:t>
      </w:r>
      <w:r w:rsidR="00621B75">
        <w:rPr>
          <w:iCs/>
          <w:noProof/>
          <w:szCs w:val="24"/>
          <w:lang w:eastAsia="ru-RU"/>
        </w:rPr>
        <w:t>101</w:t>
      </w:r>
      <w:r w:rsidR="00621B75" w:rsidRPr="00062B4F">
        <w:rPr>
          <w:iCs/>
          <w:noProof/>
          <w:szCs w:val="24"/>
          <w:lang w:eastAsia="ru-RU"/>
        </w:rPr>
        <w:t>]</w:t>
      </w:r>
      <w:r w:rsidR="00621B75">
        <w:rPr>
          <w:i/>
          <w:iCs/>
          <w:szCs w:val="24"/>
          <w:lang w:eastAsia="ru-RU"/>
        </w:rPr>
        <w:t xml:space="preserve"> </w:t>
      </w:r>
    </w:p>
    <w:p w14:paraId="41D57D0F" w14:textId="77777777" w:rsidR="000C7098" w:rsidRPr="00062B4F" w:rsidRDefault="000C7098" w:rsidP="00894E8F">
      <w:pPr>
        <w:spacing w:line="288" w:lineRule="auto"/>
        <w:ind w:left="357" w:firstLine="0"/>
        <w:rPr>
          <w:sz w:val="22"/>
          <w:lang w:eastAsia="ru-RU"/>
        </w:rPr>
      </w:pPr>
    </w:p>
    <w:p w14:paraId="362B733B" w14:textId="77777777" w:rsidR="000C7098" w:rsidRPr="00062B4F" w:rsidRDefault="000C7098" w:rsidP="00B85EB5">
      <w:pPr>
        <w:pStyle w:val="3"/>
        <w:spacing w:before="0" w:after="120"/>
        <w:rPr>
          <w:rFonts w:ascii="Times New Roman" w:hAnsi="Times New Roman"/>
          <w:b/>
          <w:iCs/>
          <w:color w:val="auto"/>
        </w:rPr>
      </w:pPr>
      <w:bookmarkStart w:id="42" w:name="_Toc86133411"/>
      <w:r w:rsidRPr="00062B4F">
        <w:rPr>
          <w:rFonts w:ascii="Times New Roman" w:hAnsi="Times New Roman"/>
          <w:b/>
          <w:iCs/>
          <w:color w:val="auto"/>
        </w:rPr>
        <w:t xml:space="preserve">3.1.9. </w:t>
      </w:r>
      <w:proofErr w:type="spellStart"/>
      <w:r w:rsidRPr="00062B4F">
        <w:rPr>
          <w:rFonts w:ascii="Times New Roman" w:hAnsi="Times New Roman"/>
          <w:b/>
          <w:iCs/>
          <w:color w:val="auto"/>
        </w:rPr>
        <w:t>Циторедуктивная</w:t>
      </w:r>
      <w:proofErr w:type="spellEnd"/>
      <w:r w:rsidRPr="00062B4F">
        <w:rPr>
          <w:rFonts w:ascii="Times New Roman" w:hAnsi="Times New Roman"/>
          <w:b/>
          <w:iCs/>
          <w:color w:val="auto"/>
        </w:rPr>
        <w:t xml:space="preserve"> и цитостатическая терапия</w:t>
      </w:r>
      <w:bookmarkEnd w:id="42"/>
    </w:p>
    <w:p w14:paraId="3BF05C8D" w14:textId="59BE878D" w:rsidR="000C7098" w:rsidRPr="00062B4F" w:rsidRDefault="000C7098" w:rsidP="00505FD7">
      <w:pPr>
        <w:numPr>
          <w:ilvl w:val="0"/>
          <w:numId w:val="20"/>
        </w:numPr>
        <w:ind w:left="714" w:hanging="357"/>
        <w:rPr>
          <w:iCs/>
          <w:szCs w:val="24"/>
          <w:lang w:eastAsia="ru-RU"/>
        </w:rPr>
      </w:pPr>
      <w:r w:rsidRPr="00062B4F">
        <w:rPr>
          <w:b/>
          <w:bCs/>
          <w:iCs/>
          <w:szCs w:val="24"/>
          <w:lang w:eastAsia="ru-RU"/>
        </w:rPr>
        <w:t xml:space="preserve">Рекомендуется </w:t>
      </w:r>
      <w:proofErr w:type="spellStart"/>
      <w:r w:rsidRPr="00062B4F">
        <w:rPr>
          <w:iCs/>
          <w:szCs w:val="24"/>
          <w:lang w:eastAsia="ru-RU"/>
        </w:rPr>
        <w:t>циторедуктивная</w:t>
      </w:r>
      <w:proofErr w:type="spellEnd"/>
      <w:r w:rsidRPr="00062B4F">
        <w:rPr>
          <w:iCs/>
          <w:szCs w:val="24"/>
          <w:lang w:eastAsia="ru-RU"/>
        </w:rPr>
        <w:t xml:space="preserve"> терапия для уменьшения опухолевой массы в дебюте заболевания</w:t>
      </w:r>
      <w:r w:rsidR="00495F59">
        <w:rPr>
          <w:iCs/>
          <w:szCs w:val="24"/>
          <w:lang w:eastAsia="ru-RU"/>
        </w:rPr>
        <w:t xml:space="preserve"> до верификации диагноза и начала терапии ИТК</w:t>
      </w:r>
      <w:r w:rsidRPr="00062B4F">
        <w:rPr>
          <w:iCs/>
          <w:szCs w:val="24"/>
          <w:lang w:eastAsia="ru-RU"/>
        </w:rPr>
        <w:t xml:space="preserve">, </w:t>
      </w:r>
      <w:proofErr w:type="spellStart"/>
      <w:r w:rsidRPr="00062B4F">
        <w:rPr>
          <w:iCs/>
          <w:szCs w:val="24"/>
          <w:lang w:eastAsia="ru-RU"/>
        </w:rPr>
        <w:t>циторедуктивная</w:t>
      </w:r>
      <w:proofErr w:type="spellEnd"/>
      <w:r w:rsidRPr="00062B4F">
        <w:rPr>
          <w:iCs/>
          <w:szCs w:val="24"/>
          <w:lang w:eastAsia="ru-RU"/>
        </w:rPr>
        <w:t xml:space="preserve"> и цитостатическая терапии при </w:t>
      </w:r>
      <w:r w:rsidR="009D3D6B">
        <w:rPr>
          <w:iCs/>
          <w:szCs w:val="24"/>
          <w:lang w:eastAsia="ru-RU"/>
        </w:rPr>
        <w:t>отсутствии гематологического ответа</w:t>
      </w:r>
      <w:r w:rsidRPr="00062B4F">
        <w:rPr>
          <w:iCs/>
          <w:szCs w:val="24"/>
          <w:lang w:eastAsia="ru-RU"/>
        </w:rPr>
        <w:t xml:space="preserve"> </w:t>
      </w:r>
      <w:r w:rsidR="009D3D6B">
        <w:rPr>
          <w:iCs/>
          <w:szCs w:val="24"/>
          <w:lang w:eastAsia="ru-RU"/>
        </w:rPr>
        <w:t>на терапии всеми доступными</w:t>
      </w:r>
      <w:r w:rsidRPr="00062B4F">
        <w:rPr>
          <w:iCs/>
          <w:szCs w:val="24"/>
          <w:lang w:eastAsia="ru-RU"/>
        </w:rPr>
        <w:t xml:space="preserve"> ИТК, невозможности другой терапии, с паллиативной целью</w:t>
      </w:r>
      <w:r w:rsidR="00774F66">
        <w:rPr>
          <w:iCs/>
          <w:szCs w:val="24"/>
          <w:lang w:eastAsia="ru-RU"/>
        </w:rPr>
        <w:t xml:space="preserve"> в том числе и в сочетании с ИТК</w:t>
      </w:r>
      <w:r w:rsidRPr="00062B4F">
        <w:rPr>
          <w:iCs/>
          <w:szCs w:val="24"/>
          <w:lang w:eastAsia="ru-RU"/>
        </w:rPr>
        <w:t> </w:t>
      </w:r>
      <w:r w:rsidR="00D6082E" w:rsidRPr="00062B4F">
        <w:rPr>
          <w:iCs/>
          <w:szCs w:val="24"/>
          <w:lang w:eastAsia="ru-RU"/>
        </w:rPr>
        <w:fldChar w:fldCharType="begin" w:fldLock="1"/>
      </w:r>
      <w:r w:rsidR="00901C36" w:rsidRPr="00062B4F">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онкогематология","id":"ITEM-2","issue":"3","issued":{"date-parts":[["2017"]]},"page":"294–316","title":"Клинические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миелолейкоза","type":"article-journal","volume":"10"},"uris":["http://www.mendeley.com/documents/?uuid=397be9b3-e69b-4f4a-84ed-5ca19a8b5f12"]},{"id":"ITEM-3","itemData":{"DOI":"10.1002/cncr.22470","ISSN":"0008543X","PMID":"17236224","abstract":"BACKGROUND Resistance to imatinib is a frequent clinical problem in advanced phase chronic myelogenous leukemia (CML). A Phase II study was performed on low-dose decitabine, a DNA methyltransferase inhibitor, in combination with imatinib in patients with CML in accelerated phase (AP) and myeloid blastic phase (BP). METHODS Patients received decitabine 15 mg/m(2) intravenously daily, 5 days a week for 2 weeks, and imatinib 600 mg orally daily. Global DNA methylation was measured by long interspersed nucleotide element (LINE) bisulfite/pyrosequencing. RESULTS Twenty-eight patients were enrolled (25 with imatinib resistance; 18 in AP, 10 in BP). A total of 91 cycles (median, 2.5 cycles per patient) was administered. Complete hematologic responses, partial hematologic responses, and hematologic improvement were observed in 9 (32%), 1 (4%), and 2 (7%) patients. Major and minor cytogenetic responses were observed in 5 (18%) and 3 (11%) patients. The hematologic response rate was higher in patients without BCR-ABL kinase mutations (10 of 19, 53%) than in those with mutations (1 of 7, 14%). Median duration of hematologic response was 18 (range, 4 to 107+) weeks. Myelosuppression was the major adverse effect, with neutropenic fever in 9 patients (32%). LINE methylation decreased from 71.6% +/- 0.9% (mean +/- standard error of the mean) to 60.4% +/- 2.0% on Day 5, 60.5% +/- 1.8% on Day 12, and returned to 68.8% +/- 1.4% at peripheral blood recovery. A decrease in LINE methylation tended to be greater in nonresponders than in responders on Days 5 and 12. CONCLUSIONS Combination therapy with decitabine and imatinib is well tolerated and active in advanced phase CML without BCR-ABL kinase mutations.","author":[{"dropping-particle":"","family":"Oki","given":"Yasuhiro","non-dropping-particle":"","parse-names":false,"suffix":""},{"dropping-particle":"","family":"Kantarjian","given":"Hagop M.","non-dropping-particle":"","parse-names":false,"suffix":""},{"dropping-particle":"","family":"Gharibyan","given":"Vazganush","non-dropping-particle":"","parse-names":false,"suffix":""},{"dropping-particle":"","family":"Jones","given":"Dan","non-dropping-particle":"","parse-names":false,"suffix":""},{"dropping-particle":"","family":"O'Brien","given":"Susan","non-dropping-particle":"","parse-names":false,"suffix":""},{"dropping-particle":"","family":"Verstovsek","given":"Srdan","non-dropping-particle":"","parse-names":false,"suffix":""},{"dropping-particle":"","family":"Cortes","given":"Jorge","non-dropping-particle":"","parse-names":false,"suffix":""},{"dropping-particle":"","family":"Morris","given":"Gail M.","non-dropping-particle":"","parse-names":false,"suffix":""},{"dropping-particle":"","family":"Garcia-Manero","given":"Guillermo","non-dropping-particle":"","parse-names":false,"suffix":""},{"dropping-particle":"","family":"Issa","given":"Jean-Pierre J.","non-dropping-particle":"","parse-names":false,"suffix":""}],"container-title":"Cancer","id":"ITEM-3","issue":"5","issued":{"date-parts":[["2007","3"]]},"page":"899-906","title":"Phase II study of low-dose decitabine in combination with imatinib mesylate in patients with accelerated or myeloid blastic phase of chronic myelogenous leukemia","type":"article-journal","volume":"109"},"uris":["http://www.mendeley.com/documents/?uuid=9ba6f68e-e780-4e9f-8f20-7215c8c79b0f"]},{"id":"ITEM-4","itemData":{"DOI":"10.1080/10428190601075973","ISSN":"10428194","abstract":"Imatinib is the single most effective agent in chronic myelogenous leukemia (CML) in blast phase (BP), inducing hematologic responses in 30-50% of patients. However, only a few of these are complete (CHR) and durable. Imatinib is synergistic with idarubicin and cytarabine. We administered imatinib 600 mg/day, cytarabine 10 mg/day subcutaneous, and idarubicin 12 mg/m2 intravenous every 14 days in 19 patients with CML in myeloid BP. Fourteen patients (74%) achieved a hematologic response: CHR in 9 (47%) (3 with complete and 1 with minor cytogenetic responses) and return to chronic phase (RTC) in 5 (26%). Median duration of response was 10 weeks (range, 2-89). Six patients received allogeneic stem cell transplantation: 4 CHR, 1 chronic phase and 1 BP. Median survival was 5 months (range, 2-20 months). This outpatient regimen is effective and well tolerated and perhaps superior to single-agent imatinib for patients in myeloid BP.","author":[{"dropping-particle":"","family":"Quintás-Cardama","given":"Alfonso","non-dropping-particle":"","parse-names":false,"suffix":""},{"dropping-particle":"","family":"Kantarjian","given":"Hagop","non-dropping-particle":"","parse-names":false,"suffix":""},{"dropping-particle":"","family":"Garcia-Manero","given":"Guillermo","non-dropping-particle":"","parse-names":false,"suffix":""},{"dropping-particle":"","family":"O'Brien","given":"Susan","non-dropping-particle":"","parse-names":false,"suffix":""},{"dropping-particle":"","family":"Faderl","given":"Stefan","non-dropping-particle":"","parse-names":false,"suffix":""},{"dropping-particle":"","family":"Ravandi","given":"Farhad","non-dropping-particle":"","parse-names":false,"suffix":""},{"dropping-particle":"","family":"Giles","given":"Francis","non-dropping-particle":"","parse-names":false,"suffix":""},{"dropping-particle":"","family":"Thomas","given":"Deborah","non-dropping-particle":"","parse-names":false,"suffix":""},{"dropping-particle":"","family":"Wierda","given":"William","non-dropping-particle":"","parse-names":false,"suffix":""},{"dropping-particle":"","family":"Cortes","given":"Jorge","non-dropping-particle":"","parse-names":false,"suffix":""}],"container-title":"Leukemia and Lymphoma","id":"ITEM-4","issue":"2","issued":{"date-parts":[["2007","2"]]},"page":"283-289","title":"A pilot study of imatinib, low-dose cytarabine and idarubicin for patients with chronic myeloid leukemia in myeloid blast phase","type":"article","volume":"48"},"uris":["http://www.mendeley.com/documents/?uuid=a0581409-4662-3987-b3f7-1364a8e1226c"]},{"id":"ITEM-5","itemData":{"DOI":"10.1002/cncr.22535","ISSN":"0008543X","abstract":"BACKGROUND. Despite advances in drug therapy and allogeneic stem cell transplantation (allo-SCT), the prognosis of patients with chronic myeloid leukemia (CML) in blast crisis remains poor. Imatinib has demonstrated synergistic effects in vitro with mitoxantrone, etoposide, and cytarabine. METHODS. A Phase I/II trial was performed in patients with CML myeloid blast crisis. Patients were treated with imatinib + mitoxantrone/etoposide in four cohorts: mitoxantrone 10 mg/m2/day and etoposide 100 mg/m 2/day for 2 or 3 consecutive days and imatinib 600 mg/day from Day 15 (cohorts 1 and 2) or from Day 1 (cohorts 3 and 4). After hematologic reconstitution after the cytopenic phase, cytarabine was given at a dose of 10 mg/m2/day in addition to imatinib as maintenance treatment. RESULTS. A total of 16 patients were available for analysis, median age 59 years (range, 37-74). All patients who received more intensive induction treatment (cohorts 3 and 4, n = 7) achieved a hematologic response (HR). In contrast, HR was achieved in only 6 of 9 patients treated in cohorts 1 and 2. The induction treatment was well tolerated. Six patients who achieved HR received an allo-SCT with myeloablative conditioning. The median survival in the transplant group was 16.2 months vs 4.7 months in the group with conventional treatment only (P = .067). CONCLUSIONS. The combination of mitoxantrone/etoposide and imatinib is well tolerated, with mild nonhematologic toxicity even in older patients. Eligible patients benefit from allo-SCT after response to the induction treatment. © 2007 American Cancer Society.","author":[{"dropping-particle":"","family":"Fruehauf","given":"Stefan","non-dropping-particle":"","parse-names":false,"suffix":""},{"dropping-particle":"","family":"Topaly","given":"Julian","non-dropping-particle":"","parse-names":false,"suffix":""},{"dropping-particle":"","family":"Buss","given":"Eike C.","non-dropping-particle":"","parse-names":false,"suffix":""},{"dropping-particle":"","family":"Fischer","given":"Thomas","non-dropping-particle":"","parse-names":false,"suffix":""},{"dropping-particle":"","family":"Ottmann","given":"Oliver G.","non-dropping-particle":"","parse-names":false,"suffix":""},{"dropping-particle":"","family":"Emmerich","given":"Bertold","non-dropping-particle":"","parse-names":false,"suffix":""},{"dropping-particle":"","family":"Müller","given":"Martin C.","non-dropping-particle":"","parse-names":false,"suffix":""},{"dropping-particle":"","family":"Schuld","given":"Peter","non-dropping-particle":"","parse-names":false,"suffix":""},{"dropping-particle":"","family":"Balleisen","given":"Leopold","non-dropping-particle":"","parse-names":false,"suffix":""},{"dropping-particle":"","family":"Hehlmann","given":"Rüdiger","non-dropping-particle":"","parse-names":false,"suffix":""},{"dropping-particle":"","family":"Ho","given":"Anthony D.","non-dropping-particle":"","parse-names":false,"suffix":""},{"dropping-particle":"","family":"Hochhaus","given":"Andreas","non-dropping-particle":"","parse-names":false,"suffix":""}],"container-title":"Cancer","id":"ITEM-5","issue":"8","issued":{"date-parts":[["2007","4","15"]]},"page":"1543-1549","title":"Imatinib combined with mitoxantrone/etoposide and cytarabine is an effective induction therapy for patients with chronic myeloid leukemia in myeloid blast crisis","type":"article-journal","volume":"109"},"uris":["http://www.mendeley.com/documents/?uuid=472a39d0-469d-3808-842e-631a6c9bbf6d"]},{"id":"ITEM-6","itemData":{"DOI":"10.1016/j.leukres.2010.11.004","ISSN":"01452126","abstract":"Background: The median survival of patients with chronic myelogenous leukemia in myeloid blast crisis (MBC-CML) is poor even for patients treated with tyrosine kinase inhibitors (TKIs). Design and methods: We conducted a dose-escalating study of daunorubicin combined to fixed doses of IM (imatinib mesylate, 600. mg/d) and cytarabine (200. mg/d for 7 days), followed by hematopoietic stem cell transplantation or maintenance therapy with single-agent IM in patients with MBC-CML at onset or after failure of therapy excluding TKIs. Results: Thirty-six patients were evaluated. Median follow-up is 6.1 years. Daunorubicin was escaladed up to 45mg/m 2/d 3 days. Twenty eight patients (77.7%) had hematologic response including 20 patients (55.5%) in complete hematologic response (CHR). Patients who received daunorubicin at 30-45mg/m 2/d had higher CHR rates compared to other patients. Median overall survival was 16 months. Overall survival in patients with hematological response was 35.4 months. Better results were observed in patients diagnosed with MBC-CML at onset. Conclusions: The combination of IM with a standard \" 3. +. 7\" regiment was well tolerated and provided a high response rate. More than 55% of the patients achieved CHR and hematopoietic stem cell transplantation (SCT) was feasible in half of the cases. This trial was registered at www.clinicaltrials.gov as # NCT00219765. © 2010 Elsevier Ltd.","author":[{"dropping-particle":"","family":"Deau","given":"Bénédicte","non-dropping-particle":"","parse-names":false,"suffix":""},{"dropping-particle":"","family":"Nicolini","given":"Franck E.","non-dropping-particle":"","parse-names":false,"suffix":""},{"dropping-particle":"","family":"Guilhot","given":"Joelle","non-dropping-particle":"","parse-names":false,"suffix":""},{"dropping-particle":"","family":"Huguet","given":"Françoise","non-dropping-particle":"","parse-names":false,"suffix":""},{"dropping-particle":"","family":"Guerci","given":"Agnès","non-dropping-particle":"","parse-names":false,"suffix":""},{"dropping-particle":"","family":"Legros","given":"Laurence","non-dropping-particle":"","parse-names":false,"suffix":""},{"dropping-particle":"","family":"Pautas","given":"Cécile","non-dropping-particle":"","parse-names":false,"suffix":""},{"dropping-particle":"","family":"Berthou","given":"Christian","non-dropping-particle":"","parse-names":false,"suffix":""},{"dropping-particle":"","family":"Guyotat","given":"Denis","non-dropping-particle":"","parse-names":false,"suffix":""},{"dropping-particle":"","family":"Cony-Makhoul","given":"Pascale","non-dropping-particle":"","parse-names":false,"suffix":""},{"dropping-particle":"","family":"Gardembas","given":"Martine","non-dropping-particle":"","parse-names":false,"suffix":""},{"dropping-particle":"","family":"Michallet","given":"Mauricette","non-dropping-particle":"","parse-names":false,"suffix":""},{"dropping-particle":"","family":"Hayette","given":"Sandrine","non-dropping-particle":"","parse-names":false,"suffix":""},{"dropping-particle":"","family":"Cayuela","given":"Jean Michel","non-dropping-particle":"","parse-names":false,"suffix":""},{"dropping-particle":"","family":"Weiss","given":"Isabelle Radford","non-dropping-particle":"","parse-names":false,"suffix":""},{"dropping-particle":"","family":"Réa","given":"Delphine","non-dropping-particle":"","parse-names":false,"suffix":""},{"dropping-particle":"","family":"Castaigne","given":"Sylvie","non-dropping-particle":"","parse-names":false,"suffix":""},{"dropping-particle":"","family":"Mahon","given":"François Xavier","non-dropping-particle":"","parse-names":false,"suffix":""},{"dropping-particle":"","family":"Guilhot","given":"François","non-dropping-particle":"","parse-names":false,"suffix":""},{"dropping-particle":"","family":"Rousselot","given":"Philippe","non-dropping-particle":"","parse-names":false,"suffix":""}],"container-title":"Leukemia Research","id":"ITEM-6","issue":"6","issued":{"date-parts":[["2011","6"]]},"page":"777-782","title":"The addition of daunorubicin to imatinib mesylate in combination with cytarabine improves the response rate and the survival of patients with myeloid blast crisis chronic myelogenous leukemia (AFR01 study)","type":"article-journal","volume":"35"},"uris":["http://www.mendeley.com/documents/?uuid=590c213e-9a10-3cd7-afb0-f2fa3ad9112b"]},{"id":"ITEM-7","itemData":{"DOI":"10.1002/ajh.23624","ISSN":"03618609","PMID":"24779033","abstract":"Dasatinib is a second generation tyrosine kinase inhibitor, with activity in imatinib resistant Ph-positive ALL. We have treated 34 patients with relapsed Philadelphia chromosome positive acute lymphoblastic leukemia (ALL) (n=19) or lymphoid blast phase of chronic myelogenous leukemia (CML-LB) (n=15) with the combination of dasatinib and the hyperCVAD regimen. Prior regimens included hyperCVAD plus imatinib (n=11, 4 had transplant in first CR), other combination chemotherapy (n=12), monotherapy with kinase inhibitors other than dasatinib (n=9), and investigational agents (n=2). Pretreatment ABL mutations were noted in 10 patients. The overall response rate was 91%, with 24 patients (71%) achieving complete response (CR), and 7(21%) CR with incomplete platelet recovery (CRp). Two patients died during induction and one had progressive disease. Twenty-six patients (84%) achieved complete cytogenetic remission after one cycle of therapy. Overall, 13 patients (42%) achieved complete molecular response, and 11 patients (35%) had major molecular response (BCR-ABL/ABL&lt;0.1%). Nine patients proceeded to allogeneic transplantation. Grades 3 and 4 toxicities included hemorrhage, pleural and pericardial effusions and infections. The median follow-up for patients with CML-LB is 37.5 months (range, 7-70 months) with a 3-year overall survival of 70%; 68% remained in CR at 3 years. For ALL patients, the median follow-up is 52 months (range, 45-59 months) with a 3-year survival of 26%; 30% remain in CR at 3 years. The combination of HyperCVAD regimen with dasatinib is effective in patients with relapsed Ph-positive ALL and CML-LB. © 2013 Wiley Periodicals, Inc.","author":[{"dropping-particle":"","family":"Benjamini","given":"Ohad","non-dropping-particle":"","parse-names":false,"suffix":""},{"dropping-particle":"","family":"Dumlao","given":"Theresa Liu","non-dropping-particle":"","parse-names":false,"suffix":""},{"dropping-particle":"","family":"Kantarjian","given":"Hagop","non-dropping-particle":"","parse-names":false,"suffix":""},{"dropping-particle":"","family":"O'Brien","given":"Susan","non-dropping-particle":"","parse-names":false,"suffix":""},{"dropping-particle":"","family":"Garcia-Manero","given":"Guillermo","non-dropping-particle":"","parse-names":false,"suffix":""},{"dropping-particle":"","family":"Faderl","given":"Stefan","non-dropping-particle":"","parse-names":false,"suffix":""},{"dropping-particle":"","family":"Jorgensen","given":"Jeffrey","non-dropping-particle":"","parse-names":false,"suffix":""},{"dropping-particle":"","family":"Luthra","given":"Rajyalakshmi","non-dropping-particle":"","parse-names":false,"suffix":""},{"dropping-particle":"","family":"Garris","given":"Rebecca","non-dropping-particle":"","parse-names":false,"suffix":""},{"dropping-particle":"","family":"Thomas","given":"Deborah","non-dropping-particle":"","parse-names":false,"suffix":""},{"dropping-particle":"","family":"Kebriaei","given":"Partow","non-dropping-particle":"","parse-names":false,"suffix":""},{"dropping-particle":"","family":"Champlin","given":"Richard","non-dropping-particle":"","parse-names":false,"suffix":""},{"dropping-particle":"","family":"Jabbour","given":"Elias","non-dropping-particle":"","parse-names":false,"suffix":""},{"dropping-particle":"","family":"Burger","given":"Jan","non-dropping-particle":"","parse-names":false,"suffix":""},{"dropping-particle":"","family":"Cortes","given":"Jorge","non-dropping-particle":"","parse-names":false,"suffix":""},{"dropping-particle":"","family":"Ravandi","given":"Farhad","non-dropping-particle":"","parse-names":false,"suffix":""}],"container-title":"American Journal of Hematology","id":"ITEM-7","issue":"3","issued":{"date-parts":[["2014","3"]]},"page":"282-287","title":"Phase II trial of HyperCVAD and Dasatinib in patients with relapsed Philadelphia chromosome positive acute lymphoblastic leukemia or blast phase chronic myeloid leukemia","type":"article-journal","volume":"89"},"uris":["http://www.mendeley.com/documents/?uuid=5f121b86-fb52-38d1-a3e0-932d86eafdc7"]}],"mendeley":{"formattedCitation":"[10,11,62–66]","plainTextFormattedCitation":"[10,11,62–66]","previouslyFormattedCitation":"[10,11,62–66]"},"properties":{"noteIndex":0},"schema":"https://github.com/citation-style-language/schema/raw/master/csl-citation.json"}</w:instrText>
      </w:r>
      <w:r w:rsidR="00D6082E" w:rsidRPr="00062B4F">
        <w:rPr>
          <w:iCs/>
          <w:szCs w:val="24"/>
          <w:lang w:eastAsia="ru-RU"/>
        </w:rPr>
        <w:fldChar w:fldCharType="separate"/>
      </w:r>
      <w:r w:rsidR="00C27408" w:rsidRPr="00062B4F">
        <w:rPr>
          <w:iCs/>
          <w:noProof/>
          <w:szCs w:val="24"/>
          <w:lang w:eastAsia="ru-RU"/>
        </w:rPr>
        <w:t>[10,11,62–66]</w:t>
      </w:r>
      <w:r w:rsidR="00D6082E" w:rsidRPr="00062B4F">
        <w:rPr>
          <w:iCs/>
          <w:szCs w:val="24"/>
          <w:lang w:eastAsia="ru-RU"/>
        </w:rPr>
        <w:fldChar w:fldCharType="end"/>
      </w:r>
      <w:r w:rsidR="00D6082E" w:rsidRPr="00062B4F">
        <w:rPr>
          <w:iCs/>
          <w:szCs w:val="24"/>
          <w:lang w:eastAsia="ru-RU"/>
        </w:rPr>
        <w:t>.</w:t>
      </w:r>
    </w:p>
    <w:p w14:paraId="0F1B56F5" w14:textId="77777777" w:rsidR="000C7098" w:rsidRPr="00062B4F" w:rsidRDefault="000C7098" w:rsidP="00F7434E">
      <w:pPr>
        <w:spacing w:after="120"/>
        <w:ind w:left="709" w:firstLine="0"/>
        <w:rPr>
          <w:b/>
          <w:szCs w:val="24"/>
          <w:lang w:eastAsia="ru-RU"/>
        </w:rPr>
      </w:pPr>
      <w:r w:rsidRPr="00062B4F">
        <w:rPr>
          <w:b/>
          <w:bCs/>
          <w:szCs w:val="24"/>
          <w:lang w:eastAsia="ru-RU"/>
        </w:rPr>
        <w:t xml:space="preserve">Уровень убедительности рекомендаций </w:t>
      </w:r>
      <w:r w:rsidRPr="00062B4F">
        <w:rPr>
          <w:b/>
          <w:bCs/>
          <w:i/>
          <w:szCs w:val="24"/>
          <w:lang w:eastAsia="ru-RU"/>
        </w:rPr>
        <w:t xml:space="preserve">– </w:t>
      </w:r>
      <w:r w:rsidRPr="00062B4F">
        <w:rPr>
          <w:b/>
          <w:bCs/>
          <w:szCs w:val="24"/>
          <w:lang w:eastAsia="ru-RU"/>
        </w:rPr>
        <w:t xml:space="preserve">В </w:t>
      </w:r>
      <w:r w:rsidRPr="00062B4F">
        <w:rPr>
          <w:b/>
          <w:szCs w:val="24"/>
          <w:lang w:eastAsia="ru-RU"/>
        </w:rPr>
        <w:t>(уровень достоверности доказательств – 3).</w:t>
      </w:r>
    </w:p>
    <w:p w14:paraId="26E39E4B" w14:textId="77777777" w:rsidR="000C7098" w:rsidRPr="00062B4F" w:rsidRDefault="000C7098" w:rsidP="00C10677">
      <w:pPr>
        <w:rPr>
          <w:i/>
          <w:iCs/>
          <w:szCs w:val="24"/>
          <w:lang w:eastAsia="ru-RU"/>
        </w:rPr>
      </w:pPr>
      <w:r w:rsidRPr="00062B4F">
        <w:rPr>
          <w:b/>
          <w:bCs/>
          <w:i/>
          <w:iCs/>
          <w:szCs w:val="24"/>
          <w:lang w:eastAsia="ru-RU"/>
        </w:rPr>
        <w:t>Комментарии</w:t>
      </w:r>
      <w:r w:rsidRPr="00062B4F">
        <w:rPr>
          <w:i/>
          <w:iCs/>
          <w:szCs w:val="24"/>
          <w:lang w:eastAsia="ru-RU"/>
        </w:rPr>
        <w:t xml:space="preserve">: В ХФ ХМЛ применение химиопрепаратов проводится в режиме </w:t>
      </w:r>
      <w:proofErr w:type="spellStart"/>
      <w:r w:rsidRPr="00062B4F">
        <w:rPr>
          <w:i/>
          <w:iCs/>
          <w:szCs w:val="24"/>
          <w:lang w:eastAsia="ru-RU"/>
        </w:rPr>
        <w:t>монохимиотерапии</w:t>
      </w:r>
      <w:proofErr w:type="spellEnd"/>
      <w:r w:rsidRPr="00062B4F">
        <w:rPr>
          <w:i/>
          <w:iCs/>
          <w:szCs w:val="24"/>
          <w:lang w:eastAsia="ru-RU"/>
        </w:rPr>
        <w:t xml:space="preserve">, которая назначается в следующих случаях: </w:t>
      </w:r>
    </w:p>
    <w:p w14:paraId="053C59F3" w14:textId="3C412E9F" w:rsidR="000C7098" w:rsidRPr="00E820CD" w:rsidRDefault="000C7098" w:rsidP="00E820CD">
      <w:pPr>
        <w:pStyle w:val="afe"/>
        <w:numPr>
          <w:ilvl w:val="0"/>
          <w:numId w:val="20"/>
        </w:numPr>
        <w:rPr>
          <w:i/>
          <w:iCs/>
          <w:szCs w:val="24"/>
          <w:lang w:eastAsia="ru-RU"/>
        </w:rPr>
      </w:pPr>
      <w:r w:rsidRPr="00E820CD">
        <w:rPr>
          <w:i/>
          <w:iCs/>
          <w:szCs w:val="24"/>
          <w:lang w:eastAsia="ru-RU"/>
        </w:rPr>
        <w:t xml:space="preserve">для уменьшения массы опухоли на период обследования до получения результатов цитогенетического исследования или молекулярно-генетического исследования и для поддержания гематологического ответа; </w:t>
      </w:r>
    </w:p>
    <w:p w14:paraId="77536351" w14:textId="6D7F20B7" w:rsidR="000C7098" w:rsidRPr="00E820CD" w:rsidRDefault="000C7098" w:rsidP="00E820CD">
      <w:pPr>
        <w:pStyle w:val="afe"/>
        <w:numPr>
          <w:ilvl w:val="0"/>
          <w:numId w:val="20"/>
        </w:numPr>
        <w:rPr>
          <w:i/>
          <w:iCs/>
          <w:szCs w:val="24"/>
          <w:lang w:eastAsia="ru-RU"/>
        </w:rPr>
      </w:pPr>
      <w:r w:rsidRPr="00E820CD">
        <w:rPr>
          <w:i/>
          <w:iCs/>
          <w:szCs w:val="24"/>
          <w:lang w:eastAsia="ru-RU"/>
        </w:rPr>
        <w:t>когда проведение другой терапии невозможно: непереносимость</w:t>
      </w:r>
      <w:r w:rsidR="007C52A3" w:rsidRPr="00E820CD">
        <w:rPr>
          <w:i/>
          <w:iCs/>
          <w:szCs w:val="24"/>
          <w:lang w:eastAsia="ru-RU"/>
        </w:rPr>
        <w:t xml:space="preserve"> всех</w:t>
      </w:r>
      <w:r w:rsidRPr="00E820CD">
        <w:rPr>
          <w:i/>
          <w:iCs/>
          <w:szCs w:val="24"/>
          <w:lang w:eastAsia="ru-RU"/>
        </w:rPr>
        <w:t xml:space="preserve"> ИТК.</w:t>
      </w:r>
    </w:p>
    <w:p w14:paraId="27F84B30" w14:textId="551B0CE8" w:rsidR="00696071" w:rsidRDefault="00BA179D" w:rsidP="00C10677">
      <w:pPr>
        <w:rPr>
          <w:i/>
          <w:iCs/>
          <w:szCs w:val="24"/>
          <w:lang w:eastAsia="ru-RU"/>
        </w:rPr>
      </w:pPr>
      <w:r>
        <w:rPr>
          <w:i/>
          <w:iCs/>
          <w:szCs w:val="24"/>
          <w:lang w:eastAsia="ru-RU"/>
        </w:rPr>
        <w:t xml:space="preserve">С </w:t>
      </w:r>
      <w:proofErr w:type="spellStart"/>
      <w:r>
        <w:rPr>
          <w:i/>
          <w:iCs/>
          <w:szCs w:val="24"/>
          <w:lang w:eastAsia="ru-RU"/>
        </w:rPr>
        <w:t>циторедуктивной</w:t>
      </w:r>
      <w:proofErr w:type="spellEnd"/>
      <w:r>
        <w:rPr>
          <w:i/>
          <w:iCs/>
          <w:szCs w:val="24"/>
          <w:lang w:eastAsia="ru-RU"/>
        </w:rPr>
        <w:t xml:space="preserve"> целью </w:t>
      </w:r>
      <w:proofErr w:type="gramStart"/>
      <w:r>
        <w:rPr>
          <w:i/>
          <w:iCs/>
          <w:szCs w:val="24"/>
          <w:lang w:eastAsia="ru-RU"/>
        </w:rPr>
        <w:t>применя</w:t>
      </w:r>
      <w:r w:rsidR="00CD01F1">
        <w:rPr>
          <w:i/>
          <w:iCs/>
          <w:szCs w:val="24"/>
          <w:lang w:eastAsia="ru-RU"/>
        </w:rPr>
        <w:t xml:space="preserve">ется </w:t>
      </w:r>
      <w:r w:rsidR="000C7098" w:rsidRPr="00062B4F">
        <w:rPr>
          <w:i/>
          <w:iCs/>
          <w:szCs w:val="24"/>
          <w:lang w:eastAsia="ru-RU"/>
        </w:rPr>
        <w:t xml:space="preserve"> </w:t>
      </w:r>
      <w:proofErr w:type="spellStart"/>
      <w:r w:rsidR="000C7098" w:rsidRPr="00062B4F">
        <w:rPr>
          <w:i/>
          <w:iCs/>
          <w:szCs w:val="24"/>
          <w:lang w:eastAsia="ru-RU"/>
        </w:rPr>
        <w:t>гидроксикарбамид</w:t>
      </w:r>
      <w:proofErr w:type="spellEnd"/>
      <w:proofErr w:type="gramEnd"/>
      <w:r w:rsidR="000C7098" w:rsidRPr="00062B4F">
        <w:rPr>
          <w:i/>
          <w:iCs/>
          <w:szCs w:val="24"/>
          <w:lang w:eastAsia="ru-RU"/>
        </w:rPr>
        <w:t>** в дозе 10–</w:t>
      </w:r>
      <w:r w:rsidR="00EF3037" w:rsidRPr="00062B4F">
        <w:rPr>
          <w:i/>
          <w:iCs/>
          <w:szCs w:val="24"/>
          <w:lang w:eastAsia="ru-RU"/>
        </w:rPr>
        <w:t>4</w:t>
      </w:r>
      <w:r w:rsidR="000C7098" w:rsidRPr="00062B4F">
        <w:rPr>
          <w:i/>
          <w:iCs/>
          <w:szCs w:val="24"/>
          <w:lang w:eastAsia="ru-RU"/>
        </w:rPr>
        <w:t>0 мг/кг/</w:t>
      </w:r>
      <w:proofErr w:type="spellStart"/>
      <w:r w:rsidR="000C7098" w:rsidRPr="00062B4F">
        <w:rPr>
          <w:i/>
          <w:iCs/>
          <w:szCs w:val="24"/>
          <w:lang w:eastAsia="ru-RU"/>
        </w:rPr>
        <w:t>сут</w:t>
      </w:r>
      <w:proofErr w:type="spellEnd"/>
      <w:r w:rsidR="000C7098" w:rsidRPr="00062B4F">
        <w:rPr>
          <w:i/>
          <w:iCs/>
          <w:szCs w:val="24"/>
          <w:lang w:eastAsia="ru-RU"/>
        </w:rPr>
        <w:t xml:space="preserve"> в зависимости от показателей анализа крови (табл. 9), 6</w:t>
      </w:r>
      <w:r w:rsidR="000C7098" w:rsidRPr="00062B4F">
        <w:rPr>
          <w:i/>
          <w:iCs/>
          <w:szCs w:val="24"/>
          <w:lang w:eastAsia="ru-RU"/>
        </w:rPr>
        <w:noBreakHyphen/>
        <w:t xml:space="preserve">меркаптопурин**, </w:t>
      </w:r>
      <w:proofErr w:type="spellStart"/>
      <w:r w:rsidR="000C7098" w:rsidRPr="00062B4F">
        <w:rPr>
          <w:i/>
          <w:iCs/>
          <w:szCs w:val="24"/>
          <w:lang w:eastAsia="ru-RU"/>
        </w:rPr>
        <w:t>цитарабин</w:t>
      </w:r>
      <w:proofErr w:type="spellEnd"/>
      <w:r w:rsidR="000C7098" w:rsidRPr="00062B4F">
        <w:rPr>
          <w:i/>
          <w:iCs/>
          <w:szCs w:val="24"/>
          <w:lang w:eastAsia="ru-RU"/>
        </w:rPr>
        <w:t xml:space="preserve">**. Для профилактики осложнений, связанных с синдромом лизиса опухоли в период </w:t>
      </w:r>
      <w:proofErr w:type="spellStart"/>
      <w:r w:rsidR="000C7098" w:rsidRPr="00062B4F">
        <w:rPr>
          <w:i/>
          <w:iCs/>
          <w:szCs w:val="24"/>
          <w:lang w:eastAsia="ru-RU"/>
        </w:rPr>
        <w:t>циторедукции</w:t>
      </w:r>
      <w:proofErr w:type="spellEnd"/>
      <w:r w:rsidR="000C7098" w:rsidRPr="00062B4F">
        <w:rPr>
          <w:i/>
          <w:iCs/>
          <w:szCs w:val="24"/>
          <w:lang w:eastAsia="ru-RU"/>
        </w:rPr>
        <w:t>, обязательным является введение адекватного объема жидкости (до 2–2,5 л/м</w:t>
      </w:r>
      <w:r w:rsidR="000C7098" w:rsidRPr="00062B4F">
        <w:rPr>
          <w:i/>
          <w:iCs/>
          <w:szCs w:val="24"/>
          <w:vertAlign w:val="superscript"/>
          <w:lang w:eastAsia="ru-RU"/>
        </w:rPr>
        <w:t>2</w:t>
      </w:r>
      <w:r w:rsidR="000C7098" w:rsidRPr="00062B4F">
        <w:rPr>
          <w:i/>
          <w:iCs/>
          <w:szCs w:val="24"/>
          <w:lang w:eastAsia="ru-RU"/>
        </w:rPr>
        <w:t xml:space="preserve"> поверхности тела при отсутствии сердечной недостаточности), </w:t>
      </w:r>
      <w:proofErr w:type="spellStart"/>
      <w:r w:rsidR="000C7098" w:rsidRPr="00062B4F">
        <w:rPr>
          <w:i/>
          <w:iCs/>
          <w:szCs w:val="24"/>
          <w:lang w:eastAsia="ru-RU"/>
        </w:rPr>
        <w:t>аллопуринола</w:t>
      </w:r>
      <w:proofErr w:type="spellEnd"/>
      <w:r w:rsidR="000C7098" w:rsidRPr="00062B4F">
        <w:rPr>
          <w:i/>
          <w:iCs/>
          <w:szCs w:val="24"/>
          <w:lang w:eastAsia="ru-RU"/>
        </w:rPr>
        <w:t>** в дозе 300–600 мг/</w:t>
      </w:r>
      <w:proofErr w:type="spellStart"/>
      <w:r w:rsidR="000C7098" w:rsidRPr="00062B4F">
        <w:rPr>
          <w:i/>
          <w:iCs/>
          <w:szCs w:val="24"/>
          <w:lang w:eastAsia="ru-RU"/>
        </w:rPr>
        <w:t>сут</w:t>
      </w:r>
      <w:proofErr w:type="spellEnd"/>
      <w:r w:rsidR="000C7098" w:rsidRPr="00062B4F">
        <w:rPr>
          <w:i/>
          <w:iCs/>
          <w:szCs w:val="24"/>
          <w:lang w:eastAsia="ru-RU"/>
        </w:rPr>
        <w:t xml:space="preserve">. В случае признаков </w:t>
      </w:r>
      <w:proofErr w:type="spellStart"/>
      <w:r w:rsidR="000C7098" w:rsidRPr="00062B4F">
        <w:rPr>
          <w:i/>
          <w:iCs/>
          <w:szCs w:val="24"/>
          <w:lang w:eastAsia="ru-RU"/>
        </w:rPr>
        <w:t>лейкостаза</w:t>
      </w:r>
      <w:proofErr w:type="spellEnd"/>
      <w:r w:rsidR="000C7098" w:rsidRPr="00062B4F">
        <w:rPr>
          <w:i/>
          <w:iCs/>
          <w:szCs w:val="24"/>
          <w:lang w:eastAsia="ru-RU"/>
        </w:rPr>
        <w:t xml:space="preserve"> (нарушения микроциркуляции: энцефалопатия, снижение зрения, почечная недостаточность) с симптоматической целью показан </w:t>
      </w:r>
      <w:proofErr w:type="spellStart"/>
      <w:r w:rsidR="000C7098" w:rsidRPr="00062B4F">
        <w:rPr>
          <w:i/>
          <w:iCs/>
          <w:szCs w:val="24"/>
          <w:lang w:eastAsia="ru-RU"/>
        </w:rPr>
        <w:t>лейкаферез</w:t>
      </w:r>
      <w:proofErr w:type="spellEnd"/>
      <w:r w:rsidR="000C7098" w:rsidRPr="00062B4F">
        <w:rPr>
          <w:i/>
          <w:iCs/>
          <w:szCs w:val="24"/>
          <w:lang w:eastAsia="ru-RU"/>
        </w:rPr>
        <w:t>.</w:t>
      </w:r>
    </w:p>
    <w:p w14:paraId="00057248" w14:textId="77777777" w:rsidR="00AC169D" w:rsidRPr="00062B4F" w:rsidRDefault="00AC169D" w:rsidP="00AC169D">
      <w:pPr>
        <w:spacing w:before="120"/>
        <w:rPr>
          <w:szCs w:val="24"/>
          <w:lang w:eastAsia="ru-RU"/>
        </w:rPr>
      </w:pPr>
      <w:r w:rsidRPr="00062B4F">
        <w:rPr>
          <w:b/>
          <w:bCs/>
          <w:iCs/>
          <w:szCs w:val="24"/>
          <w:lang w:eastAsia="ru-RU"/>
        </w:rPr>
        <w:t>Таблица 9. </w:t>
      </w:r>
      <w:r w:rsidRPr="00062B4F">
        <w:rPr>
          <w:iCs/>
          <w:szCs w:val="24"/>
          <w:lang w:eastAsia="ru-RU"/>
        </w:rPr>
        <w:t xml:space="preserve">Доза </w:t>
      </w:r>
      <w:proofErr w:type="spellStart"/>
      <w:r w:rsidRPr="00062B4F">
        <w:rPr>
          <w:iCs/>
          <w:szCs w:val="24"/>
          <w:lang w:eastAsia="ru-RU"/>
        </w:rPr>
        <w:t>гидроксикарбамида</w:t>
      </w:r>
      <w:proofErr w:type="spellEnd"/>
      <w:r w:rsidRPr="00062B4F">
        <w:rPr>
          <w:iCs/>
          <w:szCs w:val="24"/>
          <w:lang w:eastAsia="ru-RU"/>
        </w:rPr>
        <w:t>** в зависимости от уровня лейкоцитов</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659"/>
        <w:gridCol w:w="4680"/>
      </w:tblGrid>
      <w:tr w:rsidR="00AC169D" w:rsidRPr="00062B4F" w14:paraId="354B061C" w14:textId="77777777" w:rsidTr="004F1CAB">
        <w:trPr>
          <w:trHeight w:val="534"/>
          <w:jc w:val="center"/>
        </w:trPr>
        <w:tc>
          <w:tcPr>
            <w:tcW w:w="3480" w:type="dxa"/>
            <w:tcBorders>
              <w:top w:val="single" w:sz="6" w:space="0" w:color="000000"/>
              <w:left w:val="single" w:sz="6" w:space="0" w:color="000000"/>
              <w:bottom w:val="single" w:sz="6" w:space="0" w:color="000000"/>
              <w:right w:val="single" w:sz="6" w:space="0" w:color="000000"/>
            </w:tcBorders>
          </w:tcPr>
          <w:p w14:paraId="6BFDEF0C" w14:textId="77777777" w:rsidR="00AC169D" w:rsidRPr="00062B4F" w:rsidRDefault="00AC169D" w:rsidP="004F1CAB">
            <w:pPr>
              <w:spacing w:beforeAutospacing="1" w:afterAutospacing="1" w:line="240" w:lineRule="auto"/>
              <w:ind w:firstLine="0"/>
              <w:jc w:val="center"/>
              <w:rPr>
                <w:b/>
                <w:szCs w:val="24"/>
                <w:lang w:eastAsia="ru-RU"/>
              </w:rPr>
            </w:pPr>
            <w:r w:rsidRPr="00062B4F">
              <w:rPr>
                <w:b/>
                <w:iCs/>
                <w:szCs w:val="24"/>
                <w:lang w:eastAsia="ru-RU"/>
              </w:rPr>
              <w:t>Количество лейкоцитов в крови</w:t>
            </w:r>
          </w:p>
        </w:tc>
        <w:tc>
          <w:tcPr>
            <w:tcW w:w="3495" w:type="dxa"/>
            <w:tcBorders>
              <w:top w:val="single" w:sz="6" w:space="0" w:color="000000"/>
              <w:left w:val="single" w:sz="6" w:space="0" w:color="000000"/>
              <w:bottom w:val="single" w:sz="6" w:space="0" w:color="000000"/>
              <w:right w:val="single" w:sz="6" w:space="0" w:color="000000"/>
            </w:tcBorders>
          </w:tcPr>
          <w:p w14:paraId="07C896BA" w14:textId="77777777" w:rsidR="00AC169D" w:rsidRPr="00062B4F" w:rsidRDefault="00AC169D" w:rsidP="004F1CAB">
            <w:pPr>
              <w:spacing w:beforeAutospacing="1" w:afterAutospacing="1" w:line="240" w:lineRule="auto"/>
              <w:ind w:firstLine="0"/>
              <w:jc w:val="center"/>
              <w:rPr>
                <w:b/>
                <w:szCs w:val="24"/>
                <w:lang w:eastAsia="ru-RU"/>
              </w:rPr>
            </w:pPr>
            <w:r w:rsidRPr="00062B4F">
              <w:rPr>
                <w:b/>
                <w:iCs/>
                <w:szCs w:val="24"/>
                <w:lang w:eastAsia="ru-RU"/>
              </w:rPr>
              <w:t xml:space="preserve">Доза </w:t>
            </w:r>
            <w:proofErr w:type="spellStart"/>
            <w:r w:rsidRPr="00062B4F">
              <w:rPr>
                <w:b/>
                <w:iCs/>
                <w:szCs w:val="24"/>
                <w:lang w:eastAsia="ru-RU"/>
              </w:rPr>
              <w:t>гидроксикарбамида</w:t>
            </w:r>
            <w:proofErr w:type="spellEnd"/>
          </w:p>
        </w:tc>
      </w:tr>
      <w:tr w:rsidR="00AC169D" w:rsidRPr="00062B4F" w14:paraId="4154333B" w14:textId="77777777" w:rsidTr="004F1CAB">
        <w:trPr>
          <w:trHeight w:val="400"/>
          <w:jc w:val="center"/>
        </w:trPr>
        <w:tc>
          <w:tcPr>
            <w:tcW w:w="3480" w:type="dxa"/>
            <w:tcBorders>
              <w:top w:val="single" w:sz="6" w:space="0" w:color="000000"/>
              <w:left w:val="single" w:sz="6" w:space="0" w:color="000000"/>
              <w:bottom w:val="single" w:sz="6" w:space="0" w:color="000000"/>
              <w:right w:val="single" w:sz="6" w:space="0" w:color="000000"/>
            </w:tcBorders>
          </w:tcPr>
          <w:p w14:paraId="1A361DEA" w14:textId="77777777" w:rsidR="00AC169D" w:rsidRPr="00062B4F" w:rsidRDefault="00AC169D" w:rsidP="004F1CAB">
            <w:pPr>
              <w:spacing w:beforeAutospacing="1" w:afterAutospacing="1" w:line="240" w:lineRule="auto"/>
              <w:ind w:firstLine="0"/>
              <w:jc w:val="left"/>
              <w:rPr>
                <w:szCs w:val="24"/>
                <w:lang w:eastAsia="ru-RU"/>
              </w:rPr>
            </w:pPr>
            <w:r w:rsidRPr="00062B4F">
              <w:rPr>
                <w:iCs/>
                <w:szCs w:val="24"/>
                <w:lang w:eastAsia="ru-RU"/>
              </w:rPr>
              <w:t>&gt;100 х 10</w:t>
            </w:r>
            <w:r w:rsidRPr="00062B4F">
              <w:rPr>
                <w:iCs/>
                <w:szCs w:val="24"/>
                <w:vertAlign w:val="superscript"/>
                <w:lang w:eastAsia="ru-RU"/>
              </w:rPr>
              <w:t>9</w:t>
            </w:r>
            <w:r w:rsidRPr="00062B4F">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29266743" w14:textId="77777777" w:rsidR="00AC169D" w:rsidRPr="00062B4F" w:rsidRDefault="00AC169D" w:rsidP="004F1CAB">
            <w:pPr>
              <w:spacing w:beforeAutospacing="1" w:afterAutospacing="1" w:line="240" w:lineRule="auto"/>
              <w:ind w:firstLine="0"/>
              <w:jc w:val="left"/>
              <w:rPr>
                <w:szCs w:val="24"/>
                <w:lang w:eastAsia="ru-RU"/>
              </w:rPr>
            </w:pPr>
            <w:r w:rsidRPr="00062B4F">
              <w:rPr>
                <w:iCs/>
                <w:szCs w:val="24"/>
                <w:lang w:eastAsia="ru-RU"/>
              </w:rPr>
              <w:t>50 мг/кг ежедневно (дозировка вне зарегистрированных показаний)</w:t>
            </w:r>
          </w:p>
        </w:tc>
      </w:tr>
      <w:tr w:rsidR="00AC169D" w:rsidRPr="00062B4F" w14:paraId="1767DBDF" w14:textId="77777777" w:rsidTr="004F1CAB">
        <w:trPr>
          <w:trHeight w:val="407"/>
          <w:jc w:val="center"/>
        </w:trPr>
        <w:tc>
          <w:tcPr>
            <w:tcW w:w="3480" w:type="dxa"/>
            <w:tcBorders>
              <w:top w:val="single" w:sz="6" w:space="0" w:color="000000"/>
              <w:left w:val="single" w:sz="6" w:space="0" w:color="000000"/>
              <w:bottom w:val="single" w:sz="6" w:space="0" w:color="000000"/>
              <w:right w:val="single" w:sz="6" w:space="0" w:color="000000"/>
            </w:tcBorders>
          </w:tcPr>
          <w:p w14:paraId="563E399F" w14:textId="77777777" w:rsidR="00AC169D" w:rsidRPr="00062B4F" w:rsidRDefault="00AC169D" w:rsidP="004F1CAB">
            <w:pPr>
              <w:spacing w:beforeAutospacing="1" w:afterAutospacing="1" w:line="240" w:lineRule="auto"/>
              <w:ind w:firstLine="0"/>
              <w:jc w:val="left"/>
              <w:rPr>
                <w:iCs/>
                <w:szCs w:val="24"/>
                <w:lang w:eastAsia="ru-RU"/>
              </w:rPr>
            </w:pPr>
            <w:r w:rsidRPr="00062B4F">
              <w:rPr>
                <w:iCs/>
                <w:szCs w:val="24"/>
                <w:lang w:eastAsia="ru-RU"/>
              </w:rPr>
              <w:t>40–100 х 10</w:t>
            </w:r>
            <w:r w:rsidRPr="00062B4F">
              <w:rPr>
                <w:iCs/>
                <w:szCs w:val="24"/>
                <w:vertAlign w:val="superscript"/>
                <w:lang w:eastAsia="ru-RU"/>
              </w:rPr>
              <w:t>9</w:t>
            </w:r>
            <w:r w:rsidRPr="00062B4F">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2C3564C6" w14:textId="77777777" w:rsidR="00AC169D" w:rsidRPr="00062B4F" w:rsidRDefault="00AC169D" w:rsidP="004F1CAB">
            <w:pPr>
              <w:spacing w:beforeAutospacing="1" w:afterAutospacing="1" w:line="240" w:lineRule="auto"/>
              <w:ind w:firstLine="0"/>
              <w:jc w:val="left"/>
              <w:rPr>
                <w:iCs/>
                <w:szCs w:val="24"/>
                <w:lang w:eastAsia="ru-RU"/>
              </w:rPr>
            </w:pPr>
            <w:r w:rsidRPr="00062B4F">
              <w:rPr>
                <w:iCs/>
                <w:szCs w:val="24"/>
                <w:lang w:eastAsia="ru-RU"/>
              </w:rPr>
              <w:t>40 мг/кг ежедневно</w:t>
            </w:r>
          </w:p>
        </w:tc>
      </w:tr>
      <w:tr w:rsidR="00AC169D" w:rsidRPr="00062B4F" w14:paraId="030E2A21" w14:textId="77777777" w:rsidTr="004F1CAB">
        <w:trPr>
          <w:trHeight w:val="412"/>
          <w:jc w:val="center"/>
        </w:trPr>
        <w:tc>
          <w:tcPr>
            <w:tcW w:w="3480" w:type="dxa"/>
            <w:tcBorders>
              <w:top w:val="single" w:sz="6" w:space="0" w:color="000000"/>
              <w:left w:val="single" w:sz="6" w:space="0" w:color="000000"/>
              <w:bottom w:val="single" w:sz="6" w:space="0" w:color="000000"/>
              <w:right w:val="single" w:sz="6" w:space="0" w:color="000000"/>
            </w:tcBorders>
          </w:tcPr>
          <w:p w14:paraId="066AA89F" w14:textId="77777777" w:rsidR="00AC169D" w:rsidRPr="00062B4F" w:rsidRDefault="00AC169D" w:rsidP="004F1CAB">
            <w:pPr>
              <w:spacing w:beforeAutospacing="1" w:afterAutospacing="1" w:line="240" w:lineRule="auto"/>
              <w:ind w:firstLine="0"/>
              <w:jc w:val="left"/>
              <w:rPr>
                <w:szCs w:val="24"/>
                <w:lang w:eastAsia="ru-RU"/>
              </w:rPr>
            </w:pPr>
            <w:r w:rsidRPr="00062B4F">
              <w:rPr>
                <w:iCs/>
                <w:szCs w:val="24"/>
                <w:lang w:eastAsia="ru-RU"/>
              </w:rPr>
              <w:lastRenderedPageBreak/>
              <w:t>20–40 х 10</w:t>
            </w:r>
            <w:r w:rsidRPr="00062B4F">
              <w:rPr>
                <w:iCs/>
                <w:szCs w:val="24"/>
                <w:vertAlign w:val="superscript"/>
                <w:lang w:eastAsia="ru-RU"/>
              </w:rPr>
              <w:t>9</w:t>
            </w:r>
            <w:r w:rsidRPr="00062B4F">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44D38E7D" w14:textId="77777777" w:rsidR="00AC169D" w:rsidRPr="00062B4F" w:rsidRDefault="00AC169D" w:rsidP="004F1CAB">
            <w:pPr>
              <w:spacing w:beforeAutospacing="1" w:afterAutospacing="1" w:line="240" w:lineRule="auto"/>
              <w:ind w:firstLine="0"/>
              <w:jc w:val="left"/>
              <w:rPr>
                <w:szCs w:val="24"/>
                <w:lang w:eastAsia="ru-RU"/>
              </w:rPr>
            </w:pPr>
            <w:r w:rsidRPr="00062B4F">
              <w:rPr>
                <w:iCs/>
                <w:szCs w:val="24"/>
                <w:lang w:eastAsia="ru-RU"/>
              </w:rPr>
              <w:t>30 мг/кг ежедневно</w:t>
            </w:r>
          </w:p>
        </w:tc>
      </w:tr>
      <w:tr w:rsidR="00AC169D" w:rsidRPr="00062B4F" w14:paraId="6B8577CF" w14:textId="77777777" w:rsidTr="004F1CAB">
        <w:trPr>
          <w:trHeight w:val="418"/>
          <w:jc w:val="center"/>
        </w:trPr>
        <w:tc>
          <w:tcPr>
            <w:tcW w:w="3480" w:type="dxa"/>
            <w:tcBorders>
              <w:top w:val="single" w:sz="6" w:space="0" w:color="000000"/>
              <w:left w:val="single" w:sz="6" w:space="0" w:color="000000"/>
              <w:bottom w:val="single" w:sz="6" w:space="0" w:color="000000"/>
              <w:right w:val="single" w:sz="6" w:space="0" w:color="000000"/>
            </w:tcBorders>
          </w:tcPr>
          <w:p w14:paraId="5172E9DC" w14:textId="77777777" w:rsidR="00AC169D" w:rsidRPr="00062B4F" w:rsidRDefault="00AC169D" w:rsidP="004F1CAB">
            <w:pPr>
              <w:spacing w:beforeAutospacing="1" w:afterAutospacing="1" w:line="240" w:lineRule="auto"/>
              <w:ind w:firstLine="0"/>
              <w:jc w:val="left"/>
              <w:rPr>
                <w:szCs w:val="24"/>
                <w:lang w:eastAsia="ru-RU"/>
              </w:rPr>
            </w:pPr>
            <w:r w:rsidRPr="00062B4F">
              <w:rPr>
                <w:iCs/>
                <w:szCs w:val="24"/>
                <w:lang w:eastAsia="ru-RU"/>
              </w:rPr>
              <w:t>10–20 х10</w:t>
            </w:r>
            <w:r w:rsidRPr="00062B4F">
              <w:rPr>
                <w:iCs/>
                <w:szCs w:val="24"/>
                <w:vertAlign w:val="superscript"/>
                <w:lang w:eastAsia="ru-RU"/>
              </w:rPr>
              <w:t>9</w:t>
            </w:r>
            <w:r w:rsidRPr="00062B4F">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40828DC4" w14:textId="77777777" w:rsidR="00AC169D" w:rsidRPr="00062B4F" w:rsidRDefault="00AC169D" w:rsidP="004F1CAB">
            <w:pPr>
              <w:spacing w:beforeAutospacing="1" w:afterAutospacing="1" w:line="240" w:lineRule="auto"/>
              <w:ind w:firstLine="0"/>
              <w:jc w:val="left"/>
              <w:rPr>
                <w:szCs w:val="24"/>
                <w:lang w:eastAsia="ru-RU"/>
              </w:rPr>
            </w:pPr>
            <w:r w:rsidRPr="00062B4F">
              <w:rPr>
                <w:iCs/>
                <w:szCs w:val="24"/>
                <w:lang w:eastAsia="ru-RU"/>
              </w:rPr>
              <w:t>20 мг/кг ежедневно</w:t>
            </w:r>
          </w:p>
        </w:tc>
      </w:tr>
      <w:tr w:rsidR="00AC169D" w:rsidRPr="00062B4F" w14:paraId="31E90D60" w14:textId="77777777" w:rsidTr="004F1CAB">
        <w:trPr>
          <w:trHeight w:val="410"/>
          <w:jc w:val="center"/>
        </w:trPr>
        <w:tc>
          <w:tcPr>
            <w:tcW w:w="3480" w:type="dxa"/>
            <w:tcBorders>
              <w:top w:val="single" w:sz="6" w:space="0" w:color="000000"/>
              <w:left w:val="single" w:sz="6" w:space="0" w:color="000000"/>
              <w:bottom w:val="single" w:sz="6" w:space="0" w:color="000000"/>
              <w:right w:val="single" w:sz="6" w:space="0" w:color="000000"/>
            </w:tcBorders>
          </w:tcPr>
          <w:p w14:paraId="7A5237B5" w14:textId="77777777" w:rsidR="00AC169D" w:rsidRPr="00062B4F" w:rsidRDefault="00AC169D" w:rsidP="004F1CAB">
            <w:pPr>
              <w:spacing w:beforeAutospacing="1" w:afterAutospacing="1" w:line="240" w:lineRule="auto"/>
              <w:ind w:firstLine="0"/>
              <w:jc w:val="left"/>
              <w:rPr>
                <w:szCs w:val="24"/>
                <w:lang w:eastAsia="ru-RU"/>
              </w:rPr>
            </w:pPr>
            <w:r w:rsidRPr="00062B4F">
              <w:rPr>
                <w:iCs/>
                <w:szCs w:val="24"/>
                <w:lang w:eastAsia="ru-RU"/>
              </w:rPr>
              <w:t>10–5 х 10</w:t>
            </w:r>
            <w:r w:rsidRPr="00062B4F">
              <w:rPr>
                <w:iCs/>
                <w:szCs w:val="24"/>
                <w:vertAlign w:val="superscript"/>
                <w:lang w:eastAsia="ru-RU"/>
              </w:rPr>
              <w:t>9</w:t>
            </w:r>
            <w:r w:rsidRPr="00062B4F">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3F30102B" w14:textId="77777777" w:rsidR="00AC169D" w:rsidRPr="00062B4F" w:rsidRDefault="00AC169D" w:rsidP="004F1CAB">
            <w:pPr>
              <w:spacing w:beforeAutospacing="1" w:afterAutospacing="1" w:line="240" w:lineRule="auto"/>
              <w:ind w:firstLine="0"/>
              <w:jc w:val="left"/>
              <w:rPr>
                <w:szCs w:val="24"/>
                <w:lang w:eastAsia="ru-RU"/>
              </w:rPr>
            </w:pPr>
            <w:r w:rsidRPr="00062B4F">
              <w:rPr>
                <w:iCs/>
                <w:szCs w:val="24"/>
                <w:lang w:eastAsia="ru-RU"/>
              </w:rPr>
              <w:t>10 мг/кг ежедневно</w:t>
            </w:r>
          </w:p>
        </w:tc>
      </w:tr>
      <w:tr w:rsidR="00AC169D" w:rsidRPr="00062B4F" w14:paraId="2B660EC9" w14:textId="77777777" w:rsidTr="004F1CAB">
        <w:trPr>
          <w:trHeight w:val="403"/>
          <w:jc w:val="center"/>
        </w:trPr>
        <w:tc>
          <w:tcPr>
            <w:tcW w:w="3480" w:type="dxa"/>
            <w:tcBorders>
              <w:top w:val="single" w:sz="6" w:space="0" w:color="000000"/>
              <w:left w:val="single" w:sz="6" w:space="0" w:color="000000"/>
              <w:bottom w:val="single" w:sz="6" w:space="0" w:color="000000"/>
              <w:right w:val="single" w:sz="6" w:space="0" w:color="000000"/>
            </w:tcBorders>
          </w:tcPr>
          <w:p w14:paraId="54B2E7DA" w14:textId="77777777" w:rsidR="00AC169D" w:rsidRPr="00062B4F" w:rsidRDefault="00AC169D" w:rsidP="004F1CAB">
            <w:pPr>
              <w:spacing w:beforeAutospacing="1" w:afterAutospacing="1" w:line="240" w:lineRule="auto"/>
              <w:ind w:firstLine="0"/>
              <w:jc w:val="left"/>
              <w:rPr>
                <w:szCs w:val="24"/>
                <w:lang w:eastAsia="ru-RU"/>
              </w:rPr>
            </w:pPr>
            <w:r w:rsidRPr="00062B4F">
              <w:rPr>
                <w:iCs/>
                <w:szCs w:val="24"/>
                <w:lang w:eastAsia="ru-RU"/>
              </w:rPr>
              <w:t>&lt;3 х 10</w:t>
            </w:r>
            <w:r w:rsidRPr="00062B4F">
              <w:rPr>
                <w:iCs/>
                <w:szCs w:val="24"/>
                <w:vertAlign w:val="superscript"/>
                <w:lang w:eastAsia="ru-RU"/>
              </w:rPr>
              <w:t>9</w:t>
            </w:r>
            <w:r w:rsidRPr="00062B4F">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6E757713" w14:textId="77777777" w:rsidR="00AC169D" w:rsidRPr="00062B4F" w:rsidRDefault="00AC169D" w:rsidP="004F1CAB">
            <w:pPr>
              <w:spacing w:beforeAutospacing="1" w:afterAutospacing="1" w:line="240" w:lineRule="auto"/>
              <w:ind w:firstLine="0"/>
              <w:jc w:val="left"/>
              <w:rPr>
                <w:szCs w:val="24"/>
                <w:lang w:eastAsia="ru-RU"/>
              </w:rPr>
            </w:pPr>
            <w:r w:rsidRPr="00062B4F">
              <w:rPr>
                <w:iCs/>
                <w:szCs w:val="24"/>
                <w:lang w:eastAsia="ru-RU"/>
              </w:rPr>
              <w:t>*временно отменяется</w:t>
            </w:r>
          </w:p>
        </w:tc>
      </w:tr>
    </w:tbl>
    <w:p w14:paraId="1A06555C" w14:textId="47523142" w:rsidR="00AC169D" w:rsidRDefault="00AC169D" w:rsidP="00C10677">
      <w:pPr>
        <w:rPr>
          <w:i/>
          <w:iCs/>
          <w:szCs w:val="24"/>
          <w:lang w:eastAsia="ru-RU"/>
        </w:rPr>
      </w:pPr>
      <w:r w:rsidRPr="00062B4F">
        <w:rPr>
          <w:iCs/>
          <w:szCs w:val="24"/>
          <w:lang w:eastAsia="ru-RU"/>
        </w:rPr>
        <w:t>*</w:t>
      </w:r>
      <w:r w:rsidRPr="00062B4F">
        <w:rPr>
          <w:iCs/>
          <w:sz w:val="22"/>
          <w:lang w:eastAsia="ru-RU"/>
        </w:rPr>
        <w:t xml:space="preserve">Прием </w:t>
      </w:r>
      <w:proofErr w:type="spellStart"/>
      <w:r w:rsidRPr="00062B4F">
        <w:rPr>
          <w:iCs/>
          <w:sz w:val="22"/>
          <w:lang w:eastAsia="ru-RU"/>
        </w:rPr>
        <w:t>гидроксикарбамида</w:t>
      </w:r>
      <w:proofErr w:type="spellEnd"/>
      <w:r w:rsidRPr="00062B4F">
        <w:rPr>
          <w:iCs/>
          <w:sz w:val="22"/>
          <w:lang w:eastAsia="ru-RU"/>
        </w:rPr>
        <w:t>** должен быть регулярным, так как при отмене препарата уровень лейкоцитов вновь быстро увеличивается. Контроль количества лейкоцитов и других показателей гемограммы (гемоглобин + тромбоциты + формула крови) необходимо осуществлять еженедельно.</w:t>
      </w:r>
    </w:p>
    <w:p w14:paraId="2D16A01D" w14:textId="38F90F6E" w:rsidR="000509B5" w:rsidRDefault="00696071" w:rsidP="00505FD7">
      <w:pPr>
        <w:numPr>
          <w:ilvl w:val="0"/>
          <w:numId w:val="20"/>
        </w:numPr>
        <w:ind w:left="714" w:hanging="357"/>
        <w:rPr>
          <w:b/>
          <w:bCs/>
          <w:iCs/>
          <w:szCs w:val="24"/>
          <w:lang w:eastAsia="ru-RU"/>
        </w:rPr>
      </w:pPr>
      <w:r w:rsidRPr="00351AF0">
        <w:rPr>
          <w:b/>
          <w:bCs/>
          <w:iCs/>
          <w:szCs w:val="24"/>
          <w:lang w:eastAsia="ru-RU"/>
        </w:rPr>
        <w:t>Рекомендуется</w:t>
      </w:r>
      <w:r w:rsidR="000C7098" w:rsidRPr="00351AF0">
        <w:rPr>
          <w:b/>
          <w:bCs/>
          <w:iCs/>
          <w:szCs w:val="24"/>
          <w:lang w:eastAsia="ru-RU"/>
        </w:rPr>
        <w:t xml:space="preserve"> </w:t>
      </w:r>
      <w:r w:rsidR="00BB6166" w:rsidRPr="00AE094D">
        <w:rPr>
          <w:bCs/>
          <w:iCs/>
          <w:szCs w:val="24"/>
          <w:lang w:eastAsia="ru-RU"/>
        </w:rPr>
        <w:t xml:space="preserve">пациентам с БК ХМЛ </w:t>
      </w:r>
      <w:r w:rsidR="00905426" w:rsidRPr="00351AF0">
        <w:rPr>
          <w:bCs/>
          <w:iCs/>
          <w:szCs w:val="24"/>
          <w:lang w:eastAsia="ru-RU"/>
        </w:rPr>
        <w:t xml:space="preserve">проведение </w:t>
      </w:r>
      <w:proofErr w:type="spellStart"/>
      <w:r w:rsidR="000C7098" w:rsidRPr="00351AF0">
        <w:rPr>
          <w:bCs/>
          <w:iCs/>
          <w:szCs w:val="24"/>
          <w:lang w:eastAsia="ru-RU"/>
        </w:rPr>
        <w:t>полихимиотерапи</w:t>
      </w:r>
      <w:r w:rsidR="00BB6166">
        <w:rPr>
          <w:bCs/>
          <w:iCs/>
          <w:szCs w:val="24"/>
          <w:lang w:eastAsia="ru-RU"/>
        </w:rPr>
        <w:t>и</w:t>
      </w:r>
      <w:proofErr w:type="spellEnd"/>
      <w:r w:rsidR="00BB6166">
        <w:rPr>
          <w:bCs/>
          <w:iCs/>
          <w:szCs w:val="24"/>
          <w:lang w:eastAsia="ru-RU"/>
        </w:rPr>
        <w:t xml:space="preserve"> </w:t>
      </w:r>
      <w:r w:rsidR="000C7098" w:rsidRPr="00351AF0">
        <w:rPr>
          <w:bCs/>
          <w:iCs/>
          <w:szCs w:val="24"/>
          <w:lang w:eastAsia="ru-RU"/>
        </w:rPr>
        <w:t xml:space="preserve">по схемам лечения острых лейкозов в зависимости от фенотипа </w:t>
      </w:r>
      <w:proofErr w:type="spellStart"/>
      <w:r w:rsidR="000C7098" w:rsidRPr="00351AF0">
        <w:rPr>
          <w:bCs/>
          <w:iCs/>
          <w:szCs w:val="24"/>
          <w:lang w:eastAsia="ru-RU"/>
        </w:rPr>
        <w:t>бластов</w:t>
      </w:r>
      <w:proofErr w:type="spellEnd"/>
      <w:r w:rsidR="00723056" w:rsidRPr="00351AF0">
        <w:rPr>
          <w:bCs/>
          <w:iCs/>
          <w:szCs w:val="24"/>
          <w:lang w:eastAsia="ru-RU"/>
        </w:rPr>
        <w:t xml:space="preserve"> в комбинации</w:t>
      </w:r>
      <w:r w:rsidR="000C7098" w:rsidRPr="00351AF0">
        <w:rPr>
          <w:bCs/>
          <w:iCs/>
          <w:szCs w:val="24"/>
          <w:lang w:eastAsia="ru-RU"/>
        </w:rPr>
        <w:t xml:space="preserve"> </w:t>
      </w:r>
      <w:r w:rsidR="00723056" w:rsidRPr="00351AF0">
        <w:rPr>
          <w:bCs/>
          <w:iCs/>
          <w:szCs w:val="24"/>
          <w:lang w:eastAsia="ru-RU"/>
        </w:rPr>
        <w:t xml:space="preserve">с наиболее эффективным для конкретного пациента </w:t>
      </w:r>
      <w:r w:rsidR="000C7098" w:rsidRPr="00351AF0">
        <w:rPr>
          <w:bCs/>
          <w:iCs/>
          <w:szCs w:val="24"/>
          <w:lang w:eastAsia="ru-RU"/>
        </w:rPr>
        <w:t>ИТК</w:t>
      </w:r>
      <w:r w:rsidR="009E548D" w:rsidRPr="00351AF0">
        <w:rPr>
          <w:bCs/>
          <w:iCs/>
          <w:szCs w:val="24"/>
          <w:lang w:eastAsia="ru-RU"/>
        </w:rPr>
        <w:t xml:space="preserve">. Возможна </w:t>
      </w:r>
      <w:proofErr w:type="spellStart"/>
      <w:r w:rsidR="009E548D" w:rsidRPr="00351AF0">
        <w:rPr>
          <w:bCs/>
          <w:iCs/>
          <w:szCs w:val="24"/>
          <w:lang w:eastAsia="ru-RU"/>
        </w:rPr>
        <w:t>монотерапия</w:t>
      </w:r>
      <w:proofErr w:type="spellEnd"/>
      <w:r w:rsidR="009E548D" w:rsidRPr="00351AF0">
        <w:rPr>
          <w:bCs/>
          <w:iCs/>
          <w:szCs w:val="24"/>
          <w:lang w:eastAsia="ru-RU"/>
        </w:rPr>
        <w:t xml:space="preserve"> ИТК при невозможности проведения сочетанной терапии</w:t>
      </w:r>
      <w:r w:rsidR="00901C36" w:rsidRPr="00351AF0">
        <w:rPr>
          <w:bCs/>
          <w:iCs/>
          <w:szCs w:val="24"/>
          <w:lang w:eastAsia="ru-RU"/>
        </w:rPr>
        <w:t xml:space="preserve"> </w:t>
      </w:r>
      <w:r w:rsidR="00901C36" w:rsidRPr="00351AF0">
        <w:rPr>
          <w:bCs/>
          <w:iCs/>
          <w:szCs w:val="24"/>
          <w:lang w:eastAsia="ru-RU"/>
        </w:rPr>
        <w:fldChar w:fldCharType="begin" w:fldLock="1"/>
      </w:r>
      <w:r w:rsidR="00901C36" w:rsidRPr="00351AF0">
        <w:rPr>
          <w:bCs/>
          <w:iCs/>
          <w:szCs w:val="24"/>
          <w:lang w:eastAsia="ru-RU"/>
        </w:rPr>
        <w:instrText>ADDIN CSL_CITATION {"citationItems":[{"id":"ITEM-1","itemData":{"DOI":"10.1002/cncr.22470","ISSN":"0008543X","PMID":"17236224","abstract":"BACKGROUND Resistance to imatinib is a frequent clinical problem in advanced phase chronic myelogenous leukemia (CML). A Phase II study was performed on low-dose decitabine, a DNA methyltransferase inhibitor, in combination with imatinib in patients with CML in accelerated phase (AP) and myeloid blastic phase (BP). METHODS Patients received decitabine 15 mg/m(2) intravenously daily, 5 days a week for 2 weeks, and imatinib 600 mg orally daily. Global DNA methylation was measured by long interspersed nucleotide element (LINE) bisulfite/pyrosequencing. RESULTS Twenty-eight patients were enrolled (25 with imatinib resistance; 18 in AP, 10 in BP). A total of 91 cycles (median, 2.5 cycles per patient) was administered. Complete hematologic responses, partial hematologic responses, and hematologic improvement were observed in 9 (32%), 1 (4%), and 2 (7%) patients. Major and minor cytogenetic responses were observed in 5 (18%) and 3 (11%) patients. The hematologic response rate was higher in patients without BCR-ABL kinase mutations (10 of 19, 53%) than in those with mutations (1 of 7, 14%). Median duration of hematologic response was 18 (range, 4 to 107+) weeks. Myelosuppression was the major adverse effect, with neutropenic fever in 9 patients (32%). LINE methylation decreased from 71.6% +/- 0.9% (mean +/- standard error of the mean) to 60.4% +/- 2.0% on Day 5, 60.5% +/- 1.8% on Day 12, and returned to 68.8% +/- 1.4% at peripheral blood recovery. A decrease in LINE methylation tended to be greater in nonresponders than in responders on Days 5 and 12. CONCLUSIONS Combination therapy with decitabine and imatinib is well tolerated and active in advanced phase CML without BCR-ABL kinase mutations.","author":[{"dropping-particle":"","family":"Oki","given":"Yasuhiro","non-dropping-particle":"","parse-names":false,"suffix":""},{"dropping-particle":"","family":"Kantarjian","given":"Hagop M.","non-dropping-particle":"","parse-names":false,"suffix":""},{"dropping-particle":"","family":"Gharibyan","given":"Vazganush","non-dropping-particle":"","parse-names":false,"suffix":""},{"dropping-particle":"","family":"Jones","given":"Dan","non-dropping-particle":"","parse-names":false,"suffix":""},{"dropping-particle":"","family":"O'Brien","given":"Susan","non-dropping-particle":"","parse-names":false,"suffix":""},{"dropping-particle":"","family":"Verstovsek","given":"Srdan","non-dropping-particle":"","parse-names":false,"suffix":""},{"dropping-particle":"","family":"Cortes","given":"Jorge","non-dropping-particle":"","parse-names":false,"suffix":""},{"dropping-particle":"","family":"Morris","given":"Gail M.","non-dropping-particle":"","parse-names":false,"suffix":""},{"dropping-particle":"","family":"Garcia-Manero","given":"Guillermo","non-dropping-particle":"","parse-names":false,"suffix":""},{"dropping-particle":"","family":"Issa","given":"Jean-Pierre J.","non-dropping-particle":"","parse-names":false,"suffix":""}],"container-title":"Cancer","id":"ITEM-1","issue":"5","issued":{"date-parts":[["2007","3"]]},"page":"899-906","title":"Phase II study of low-dose decitabine in combination with imatinib mesylate in patients with accelerated or myeloid blastic phase of chronic myelogenous leukemia","type":"article-journal","volume":"109"},"uris":["http://www.mendeley.com/documents/?uuid=9ba6f68e-e780-4e9f-8f20-7215c8c79b0f"]},{"id":"ITEM-2","itemData":{"DOI":"10.1080/10428190601075973","ISSN":"10428194","abstract":"Imatinib is the single most effective agent in chronic myelogenous leukemia (CML) in blast phase (BP), inducing hematologic responses in 30-50% of patients. However, only a few of these are complete (CHR) and durable. Imatinib is synergistic with idarubicin and cytarabine. We administered imatinib 600 mg/day, cytarabine 10 mg/day subcutaneous, and idarubicin 12 mg/m2 intravenous every 14 days in 19 patients with CML in myeloid BP. Fourteen patients (74%) achieved a hematologic response: CHR in 9 (47%) (3 with complete and 1 with minor cytogenetic responses) and return to chronic phase (RTC) in 5 (26%). Median duration of response was 10 weeks (range, 2-89). Six patients received allogeneic stem cell transplantation: 4 CHR, 1 chronic phase and 1 BP. Median survival was 5 months (range, 2-20 months). This outpatient regimen is effective and well tolerated and perhaps superior to single-agent imatinib for patients in myeloid BP.","author":[{"dropping-particle":"","family":"Quintás-Cardama","given":"Alfonso","non-dropping-particle":"","parse-names":false,"suffix":""},{"dropping-particle":"","family":"Kantarjian","given":"Hagop","non-dropping-particle":"","parse-names":false,"suffix":""},{"dropping-particle":"","family":"Garcia-Manero","given":"Guillermo","non-dropping-particle":"","parse-names":false,"suffix":""},{"dropping-particle":"","family":"O'Brien","given":"Susan","non-dropping-particle":"","parse-names":false,"suffix":""},{"dropping-particle":"","family":"Faderl","given":"Stefan","non-dropping-particle":"","parse-names":false,"suffix":""},{"dropping-particle":"","family":"Ravandi","given":"Farhad","non-dropping-particle":"","parse-names":false,"suffix":""},{"dropping-particle":"","family":"Giles","given":"Francis","non-dropping-particle":"","parse-names":false,"suffix":""},{"dropping-particle":"","family":"Thomas","given":"Deborah","non-dropping-particle":"","parse-names":false,"suffix":""},{"dropping-particle":"","family":"Wierda","given":"William","non-dropping-particle":"","parse-names":false,"suffix":""},{"dropping-particle":"","family":"Cortes","given":"Jorge","non-dropping-particle":"","parse-names":false,"suffix":""}],"container-title":"Leukemia and Lymphoma","id":"ITEM-2","issue":"2","issued":{"date-parts":[["2007","2"]]},"page":"283-289","title":"A pilot study of imatinib, low-dose cytarabine and idarubicin for patients with chronic myeloid leukemia in myeloid blast phase","type":"article","volume":"48"},"uris":["http://www.mendeley.com/documents/?uuid=a0581409-4662-3987-b3f7-1364a8e1226c"]},{"id":"ITEM-3","itemData":{"DOI":"10.1002/cncr.22535","ISSN":"0008543X","abstract":"BACKGROUND. Despite advances in drug therapy and allogeneic stem cell transplantation (allo-SCT), the prognosis of patients with chronic myeloid leukemia (CML) in blast crisis remains poor. Imatinib has demonstrated synergistic effects in vitro with mitoxantrone, etoposide, and cytarabine. METHODS. A Phase I/II trial was performed in patients with CML myeloid blast crisis. Patients were treated with imatinib + mitoxantrone/etoposide in four cohorts: mitoxantrone 10 mg/m2/day and etoposide 100 mg/m 2/day for 2 or 3 consecutive days and imatinib 600 mg/day from Day 15 (cohorts 1 and 2) or from Day 1 (cohorts 3 and 4). After hematologic reconstitution after the cytopenic phase, cytarabine was given at a dose of 10 mg/m2/day in addition to imatinib as maintenance treatment. RESULTS. A total of 16 patients were available for analysis, median age 59 years (range, 37-74). All patients who received more intensive induction treatment (cohorts 3 and 4, n = 7) achieved a hematologic response (HR). In contrast, HR was achieved in only 6 of 9 patients treated in cohorts 1 and 2. The induction treatment was well tolerated. Six patients who achieved HR received an allo-SCT with myeloablative conditioning. The median survival in the transplant group was 16.2 months vs 4.7 months in the group with conventional treatment only (P = .067). CONCLUSIONS. The combination of mitoxantrone/etoposide and imatinib is well tolerated, with mild nonhematologic toxicity even in older patients. Eligible patients benefit from allo-SCT after response to the induction treatment. © 2007 American Cancer Society.","author":[{"dropping-particle":"","family":"Fruehauf","given":"Stefan","non-dropping-particle":"","parse-names":false,"suffix":""},{"dropping-particle":"","family":"Topaly","given":"Julian","non-dropping-particle":"","parse-names":false,"suffix":""},{"dropping-particle":"","family":"Buss","given":"Eike C.","non-dropping-particle":"","parse-names":false,"suffix":""},{"dropping-particle":"","family":"Fischer","given":"Thomas","non-dropping-particle":"","parse-names":false,"suffix":""},{"dropping-particle":"","family":"Ottmann","given":"Oliver G.","non-dropping-particle":"","parse-names":false,"suffix":""},{"dropping-particle":"","family":"Emmerich","given":"Bertold","non-dropping-particle":"","parse-names":false,"suffix":""},{"dropping-particle":"","family":"Müller","given":"Martin C.","non-dropping-particle":"","parse-names":false,"suffix":""},{"dropping-particle":"","family":"Schuld","given":"Peter","non-dropping-particle":"","parse-names":false,"suffix":""},{"dropping-particle":"","family":"Balleisen","given":"Leopold","non-dropping-particle":"","parse-names":false,"suffix":""},{"dropping-particle":"","family":"Hehlmann","given":"Rüdiger","non-dropping-particle":"","parse-names":false,"suffix":""},{"dropping-particle":"","family":"Ho","given":"Anthony D.","non-dropping-particle":"","parse-names":false,"suffix":""},{"dropping-particle":"","family":"Hochhaus","given":"Andreas","non-dropping-particle":"","parse-names":false,"suffix":""}],"container-title":"Cancer","id":"ITEM-3","issue":"8","issued":{"date-parts":[["2007","4","15"]]},"page":"1543-1549","title":"Imatinib combined with mitoxantrone/etoposide and cytarabine is an effective induction therapy for patients with chronic myeloid leukemia in myeloid blast crisis","type":"article-journal","volume":"109"},"uris":["http://www.mendeley.com/documents/?uuid=472a39d0-469d-3808-842e-631a6c9bbf6d"]},{"id":"ITEM-4","itemData":{"DOI":"10.1016/j.leukres.2010.11.004","ISSN":"01452126","abstract":"Background: The median survival of patients with chronic myelogenous leukemia in myeloid blast crisis (MBC-CML) is poor even for patients treated with tyrosine kinase inhibitors (TKIs). Design and methods: We conducted a dose-escalating study of daunorubicin combined to fixed doses of IM (imatinib mesylate, 600. mg/d) and cytarabine (200. mg/d for 7 days), followed by hematopoietic stem cell transplantation or maintenance therapy with single-agent IM in patients with MBC-CML at onset or after failure of therapy excluding TKIs. Results: Thirty-six patients were evaluated. Median follow-up is 6.1 years. Daunorubicin was escaladed up to 45mg/m 2/d 3 days. Twenty eight patients (77.7%) had hematologic response including 20 patients (55.5%) in complete hematologic response (CHR). Patients who received daunorubicin at 30-45mg/m 2/d had higher CHR rates compared to other patients. Median overall survival was 16 months. Overall survival in patients with hematological response was 35.4 months. Better results were observed in patients diagnosed with MBC-CML at onset. Conclusions: The combination of IM with a standard \" 3. +. 7\" regiment was well tolerated and provided a high response rate. More than 55% of the patients achieved CHR and hematopoietic stem cell transplantation (SCT) was feasible in half of the cases. This trial was registered at www.clinicaltrials.gov as # NCT00219765. © 2010 Elsevier Ltd.","author":[{"dropping-particle":"","family":"Deau","given":"Bénédicte","non-dropping-particle":"","parse-names":false,"suffix":""},{"dropping-particle":"","family":"Nicolini","given":"Franck E.","non-dropping-particle":"","parse-names":false,"suffix":""},{"dropping-particle":"","family":"Guilhot","given":"Joelle","non-dropping-particle":"","parse-names":false,"suffix":""},{"dropping-particle":"","family":"Huguet","given":"Françoise","non-dropping-particle":"","parse-names":false,"suffix":""},{"dropping-particle":"","family":"Guerci","given":"Agnès","non-dropping-particle":"","parse-names":false,"suffix":""},{"dropping-particle":"","family":"Legros","given":"Laurence","non-dropping-particle":"","parse-names":false,"suffix":""},{"dropping-particle":"","family":"Pautas","given":"Cécile","non-dropping-particle":"","parse-names":false,"suffix":""},{"dropping-particle":"","family":"Berthou","given":"Christian","non-dropping-particle":"","parse-names":false,"suffix":""},{"dropping-particle":"","family":"Guyotat","given":"Denis","non-dropping-particle":"","parse-names":false,"suffix":""},{"dropping-particle":"","family":"Cony-Makhoul","given":"Pascale","non-dropping-particle":"","parse-names":false,"suffix":""},{"dropping-particle":"","family":"Gardembas","given":"Martine","non-dropping-particle":"","parse-names":false,"suffix":""},{"dropping-particle":"","family":"Michallet","given":"Mauricette","non-dropping-particle":"","parse-names":false,"suffix":""},{"dropping-particle":"","family":"Hayette","given":"Sandrine","non-dropping-particle":"","parse-names":false,"suffix":""},{"dropping-particle":"","family":"Cayuela","given":"Jean Michel","non-dropping-particle":"","parse-names":false,"suffix":""},{"dropping-particle":"","family":"Weiss","given":"Isabelle Radford","non-dropping-particle":"","parse-names":false,"suffix":""},{"dropping-particle":"","family":"Réa","given":"Delphine","non-dropping-particle":"","parse-names":false,"suffix":""},{"dropping-particle":"","family":"Castaigne","given":"Sylvie","non-dropping-particle":"","parse-names":false,"suffix":""},{"dropping-particle":"","family":"Mahon","given":"François Xavier","non-dropping-particle":"","parse-names":false,"suffix":""},{"dropping-particle":"","family":"Guilhot","given":"François","non-dropping-particle":"","parse-names":false,"suffix":""},{"dropping-particle":"","family":"Rousselot","given":"Philippe","non-dropping-particle":"","parse-names":false,"suffix":""}],"container-title":"Leukemia Research","id":"ITEM-4","issue":"6","issued":{"date-parts":[["2011","6"]]},"page":"777-782","title":"The addition of daunorubicin to imatinib mesylate in combination with cytarabine improves the response rate and the survival of patients with myeloid blast crisis chronic myelogenous leukemia (AFR01 study)","type":"article-journal","volume":"35"},"uris":["http://www.mendeley.com/documents/?uuid=590c213e-9a10-3cd7-afb0-f2fa3ad9112b"]},{"id":"ITEM-5","itemData":{"DOI":"10.1002/ajh.23624","ISSN":"03618609","PMID":"24779033","abstract":"Dasatinib is a second generation tyrosine kinase inhibitor, with activity in imatinib resistant Ph-positive ALL. We have treated 34 patients with relapsed Philadelphia chromosome positive acute lymphoblastic leukemia (ALL) (n=19) or lymphoid blast phase of chronic myelogenous leukemia (CML-LB) (n=15) with the combination of dasatinib and the hyperCVAD regimen. Prior regimens included hyperCVAD plus imatinib (n=11, 4 had transplant in first CR), other combination chemotherapy (n=12), monotherapy with kinase inhibitors other than dasatinib (n=9), and investigational agents (n=2). Pretreatment ABL mutations were noted in 10 patients. The overall response rate was 91%, with 24 patients (71%) achieving complete response (CR), and 7(21%) CR with incomplete platelet recovery (CRp). Two patients died during induction and one had progressive disease. Twenty-six patients (84%) achieved complete cytogenetic remission after one cycle of therapy. Overall, 13 patients (42%) achieved complete molecular response, and 11 patients (35%) had major molecular response (BCR-ABL/ABL&lt;0.1%). Nine patients proceeded to allogeneic transplantation. Grades 3 and 4 toxicities included hemorrhage, pleural and pericardial effusions and infections. The median follow-up for patients with CML-LB is 37.5 months (range, 7-70 months) with a 3-year overall survival of 70%; 68% remained in CR at 3 years. For ALL patients, the median follow-up is 52 months (range, 45-59 months) with a 3-year survival of 26%; 30% remain in CR at 3 years. The combination of HyperCVAD regimen with dasatinib is effective in patients with relapsed Ph-positive ALL and CML-LB. © 2013 Wiley Periodicals, Inc.","author":[{"dropping-particle":"","family":"Benjamini","given":"Ohad","non-dropping-particle":"","parse-names":false,"suffix":""},{"dropping-particle":"","family":"Dumlao","given":"Theresa Liu","non-dropping-particle":"","parse-names":false,"suffix":""},{"dropping-particle":"","family":"Kantarjian","given":"Hagop","non-dropping-particle":"","parse-names":false,"suffix":""},{"dropping-particle":"","family":"O'Brien","given":"Susan","non-dropping-particle":"","parse-names":false,"suffix":""},{"dropping-particle":"","family":"Garcia-Manero","given":"Guillermo","non-dropping-particle":"","parse-names":false,"suffix":""},{"dropping-particle":"","family":"Faderl","given":"Stefan","non-dropping-particle":"","parse-names":false,"suffix":""},{"dropping-particle":"","family":"Jorgensen","given":"Jeffrey","non-dropping-particle":"","parse-names":false,"suffix":""},{"dropping-particle":"","family":"Luthra","given":"Rajyalakshmi","non-dropping-particle":"","parse-names":false,"suffix":""},{"dropping-particle":"","family":"Garris","given":"Rebecca","non-dropping-particle":"","parse-names":false,"suffix":""},{"dropping-particle":"","family":"Thomas","given":"Deborah","non-dropping-particle":"","parse-names":false,"suffix":""},{"dropping-particle":"","family":"Kebriaei","given":"Partow","non-dropping-particle":"","parse-names":false,"suffix":""},{"dropping-particle":"","family":"Champlin","given":"Richard","non-dropping-particle":"","parse-names":false,"suffix":""},{"dropping-particle":"","family":"Jabbour","given":"Elias","non-dropping-particle":"","parse-names":false,"suffix":""},{"dropping-particle":"","family":"Burger","given":"Jan","non-dropping-particle":"","parse-names":false,"suffix":""},{"dropping-particle":"","family":"Cortes","given":"Jorge","non-dropping-particle":"","parse-names":false,"suffix":""},{"dropping-particle":"","family":"Ravandi","given":"Farhad","non-dropping-particle":"","parse-names":false,"suffix":""}],"container-title":"American Journal of Hematology","id":"ITEM-5","issue":"3","issued":{"date-parts":[["2014","3"]]},"page":"282-287","title":"Phase II trial of HyperCVAD and Dasatinib in patients with relapsed Philadelphia chromosome positive acute lymphoblastic leukemia or blast phase chronic myeloid leukemia","type":"article-journal","volume":"89"},"uris":["http://www.mendeley.com/documents/?uuid=5f121b86-fb52-38d1-a3e0-932d86eafdc7"]}],"mendeley":{"formattedCitation":"[62–66]","plainTextFormattedCitation":"[62–66]","previouslyFormattedCitation":"[62–66]"},"properties":{"noteIndex":0},"schema":"https://github.com/citation-style-language/schema/raw/master/csl-citation.json"}</w:instrText>
      </w:r>
      <w:r w:rsidR="00901C36" w:rsidRPr="00351AF0">
        <w:rPr>
          <w:bCs/>
          <w:iCs/>
          <w:szCs w:val="24"/>
          <w:lang w:eastAsia="ru-RU"/>
        </w:rPr>
        <w:fldChar w:fldCharType="separate"/>
      </w:r>
      <w:r w:rsidR="00901C36" w:rsidRPr="00351AF0">
        <w:rPr>
          <w:bCs/>
          <w:iCs/>
          <w:szCs w:val="24"/>
          <w:lang w:eastAsia="ru-RU"/>
        </w:rPr>
        <w:t>[62–66]</w:t>
      </w:r>
      <w:r w:rsidR="00901C36" w:rsidRPr="00351AF0">
        <w:rPr>
          <w:bCs/>
          <w:iCs/>
          <w:szCs w:val="24"/>
          <w:lang w:eastAsia="ru-RU"/>
        </w:rPr>
        <w:fldChar w:fldCharType="end"/>
      </w:r>
      <w:r w:rsidR="00901C36" w:rsidRPr="00351AF0">
        <w:rPr>
          <w:b/>
          <w:bCs/>
          <w:iCs/>
          <w:szCs w:val="24"/>
          <w:lang w:eastAsia="ru-RU"/>
        </w:rPr>
        <w:t>.</w:t>
      </w:r>
      <w:r w:rsidR="009E548D" w:rsidRPr="00351AF0">
        <w:rPr>
          <w:b/>
          <w:bCs/>
          <w:iCs/>
          <w:szCs w:val="24"/>
          <w:lang w:eastAsia="ru-RU"/>
        </w:rPr>
        <w:t xml:space="preserve"> </w:t>
      </w:r>
    </w:p>
    <w:p w14:paraId="0FC7E2A2" w14:textId="02D8D901" w:rsidR="004E1226" w:rsidRPr="00351AF0" w:rsidRDefault="004E1226" w:rsidP="00351AF0">
      <w:pPr>
        <w:spacing w:after="120"/>
        <w:ind w:left="709" w:firstLine="0"/>
        <w:rPr>
          <w:b/>
          <w:szCs w:val="24"/>
          <w:lang w:eastAsia="ru-RU"/>
        </w:rPr>
      </w:pPr>
      <w:r w:rsidRPr="00351AF0">
        <w:rPr>
          <w:b/>
          <w:bCs/>
          <w:szCs w:val="24"/>
          <w:lang w:eastAsia="ru-RU"/>
        </w:rPr>
        <w:t xml:space="preserve">Уровень убедительности рекомендаций </w:t>
      </w:r>
      <w:r w:rsidRPr="00351AF0">
        <w:rPr>
          <w:b/>
          <w:bCs/>
          <w:i/>
          <w:szCs w:val="24"/>
          <w:lang w:eastAsia="ru-RU"/>
        </w:rPr>
        <w:t xml:space="preserve">– </w:t>
      </w:r>
      <w:r>
        <w:rPr>
          <w:b/>
          <w:bCs/>
          <w:szCs w:val="24"/>
          <w:lang w:eastAsia="ru-RU"/>
        </w:rPr>
        <w:t>С</w:t>
      </w:r>
      <w:r w:rsidRPr="00351AF0">
        <w:rPr>
          <w:b/>
          <w:bCs/>
          <w:szCs w:val="24"/>
          <w:lang w:eastAsia="ru-RU"/>
        </w:rPr>
        <w:t xml:space="preserve"> </w:t>
      </w:r>
      <w:r w:rsidRPr="00351AF0">
        <w:rPr>
          <w:b/>
          <w:szCs w:val="24"/>
          <w:lang w:eastAsia="ru-RU"/>
        </w:rPr>
        <w:t xml:space="preserve">(уровень достоверности доказательств – </w:t>
      </w:r>
      <w:r>
        <w:rPr>
          <w:b/>
          <w:szCs w:val="24"/>
          <w:lang w:eastAsia="ru-RU"/>
        </w:rPr>
        <w:t>2</w:t>
      </w:r>
      <w:r w:rsidRPr="00351AF0">
        <w:rPr>
          <w:b/>
          <w:szCs w:val="24"/>
          <w:lang w:eastAsia="ru-RU"/>
        </w:rPr>
        <w:t>).</w:t>
      </w:r>
    </w:p>
    <w:p w14:paraId="5516026D" w14:textId="45D1C953" w:rsidR="000C7098" w:rsidRPr="00F42E8C" w:rsidRDefault="004E1226" w:rsidP="00351AF0">
      <w:pPr>
        <w:ind w:firstLine="0"/>
        <w:rPr>
          <w:i/>
          <w:iCs/>
          <w:szCs w:val="24"/>
          <w:lang w:eastAsia="ru-RU"/>
        </w:rPr>
      </w:pPr>
      <w:r w:rsidRPr="00062B4F">
        <w:rPr>
          <w:b/>
          <w:bCs/>
          <w:i/>
          <w:iCs/>
          <w:szCs w:val="24"/>
          <w:lang w:eastAsia="ru-RU"/>
        </w:rPr>
        <w:t>Комментарии</w:t>
      </w:r>
      <w:r w:rsidRPr="00062B4F">
        <w:rPr>
          <w:i/>
          <w:iCs/>
          <w:szCs w:val="24"/>
          <w:lang w:eastAsia="ru-RU"/>
        </w:rPr>
        <w:t>:</w:t>
      </w:r>
      <w:r>
        <w:rPr>
          <w:i/>
          <w:iCs/>
          <w:szCs w:val="24"/>
          <w:lang w:eastAsia="ru-RU"/>
        </w:rPr>
        <w:t xml:space="preserve"> </w:t>
      </w:r>
      <w:r w:rsidR="009E548D" w:rsidRPr="00351AF0">
        <w:rPr>
          <w:i/>
          <w:iCs/>
          <w:szCs w:val="24"/>
          <w:lang w:eastAsia="ru-RU"/>
        </w:rPr>
        <w:t>Выбор интенсивности терапии зависит от текущего соматического статуса пациента</w:t>
      </w:r>
      <w:r w:rsidR="00F42E8C">
        <w:rPr>
          <w:i/>
          <w:iCs/>
          <w:szCs w:val="24"/>
          <w:lang w:eastAsia="ru-RU"/>
        </w:rPr>
        <w:t xml:space="preserve">, возраста и перспектив проведения </w:t>
      </w:r>
      <w:proofErr w:type="spellStart"/>
      <w:r w:rsidR="00F42E8C">
        <w:rPr>
          <w:i/>
          <w:iCs/>
          <w:szCs w:val="24"/>
          <w:lang w:eastAsia="ru-RU"/>
        </w:rPr>
        <w:t>АллоТГСК</w:t>
      </w:r>
      <w:proofErr w:type="spellEnd"/>
      <w:r w:rsidR="00F42E8C">
        <w:rPr>
          <w:i/>
          <w:iCs/>
          <w:szCs w:val="24"/>
          <w:lang w:eastAsia="ru-RU"/>
        </w:rPr>
        <w:t xml:space="preserve">. Проведение </w:t>
      </w:r>
      <w:proofErr w:type="spellStart"/>
      <w:r w:rsidR="00F42E8C">
        <w:rPr>
          <w:i/>
          <w:iCs/>
          <w:szCs w:val="24"/>
          <w:lang w:eastAsia="ru-RU"/>
        </w:rPr>
        <w:t>АллоТГСК</w:t>
      </w:r>
      <w:proofErr w:type="spellEnd"/>
      <w:r w:rsidR="00F42E8C">
        <w:rPr>
          <w:i/>
          <w:iCs/>
          <w:szCs w:val="24"/>
          <w:lang w:eastAsia="ru-RU"/>
        </w:rPr>
        <w:t xml:space="preserve"> </w:t>
      </w:r>
      <w:r w:rsidR="00E1296C">
        <w:rPr>
          <w:i/>
          <w:iCs/>
          <w:szCs w:val="24"/>
          <w:lang w:eastAsia="ru-RU"/>
        </w:rPr>
        <w:t xml:space="preserve">показано только после достижения гематологической </w:t>
      </w:r>
      <w:proofErr w:type="spellStart"/>
      <w:r w:rsidR="00E1296C">
        <w:rPr>
          <w:i/>
          <w:iCs/>
          <w:szCs w:val="24"/>
          <w:lang w:eastAsia="ru-RU"/>
        </w:rPr>
        <w:t>ремисии</w:t>
      </w:r>
      <w:proofErr w:type="spellEnd"/>
      <w:r w:rsidR="00E1296C">
        <w:rPr>
          <w:i/>
          <w:iCs/>
          <w:szCs w:val="24"/>
          <w:lang w:eastAsia="ru-RU"/>
        </w:rPr>
        <w:t xml:space="preserve"> БК.</w:t>
      </w:r>
      <w:r w:rsidR="00F42E8C">
        <w:rPr>
          <w:i/>
          <w:iCs/>
          <w:szCs w:val="24"/>
          <w:lang w:eastAsia="ru-RU"/>
        </w:rPr>
        <w:t xml:space="preserve"> </w:t>
      </w:r>
    </w:p>
    <w:p w14:paraId="6D190B43" w14:textId="10B39B78" w:rsidR="000C7098" w:rsidRPr="00062B4F" w:rsidRDefault="000C7098" w:rsidP="00B85EB5">
      <w:pPr>
        <w:spacing w:line="288" w:lineRule="auto"/>
        <w:rPr>
          <w:iCs/>
          <w:sz w:val="22"/>
          <w:lang w:eastAsia="ru-RU"/>
        </w:rPr>
      </w:pPr>
    </w:p>
    <w:p w14:paraId="74D20C89" w14:textId="77777777" w:rsidR="000C7098" w:rsidRPr="00062B4F" w:rsidRDefault="000C7098" w:rsidP="00AB55DD">
      <w:pPr>
        <w:spacing w:line="288" w:lineRule="auto"/>
        <w:rPr>
          <w:szCs w:val="24"/>
          <w:lang w:eastAsia="ru-RU"/>
        </w:rPr>
      </w:pPr>
    </w:p>
    <w:p w14:paraId="3937E612" w14:textId="29FDDF5B" w:rsidR="000C7098" w:rsidRPr="00062B4F" w:rsidRDefault="000C7098" w:rsidP="00356E5E">
      <w:pPr>
        <w:pStyle w:val="3"/>
        <w:rPr>
          <w:rFonts w:ascii="Times New Roman" w:hAnsi="Times New Roman"/>
          <w:b/>
          <w:iCs/>
          <w:color w:val="auto"/>
        </w:rPr>
      </w:pPr>
      <w:bookmarkStart w:id="43" w:name="_Toc86133412"/>
      <w:r w:rsidRPr="00062B4F">
        <w:rPr>
          <w:rFonts w:ascii="Times New Roman" w:hAnsi="Times New Roman"/>
          <w:b/>
          <w:iCs/>
          <w:color w:val="auto"/>
        </w:rPr>
        <w:t xml:space="preserve">3.1.10. Терапия </w:t>
      </w:r>
      <w:r w:rsidR="00ED4EEE">
        <w:rPr>
          <w:rFonts w:ascii="Times New Roman" w:hAnsi="Times New Roman"/>
          <w:b/>
          <w:iCs/>
          <w:color w:val="auto"/>
        </w:rPr>
        <w:t xml:space="preserve">препаратами </w:t>
      </w:r>
      <w:r w:rsidRPr="00062B4F">
        <w:rPr>
          <w:rFonts w:ascii="Times New Roman" w:hAnsi="Times New Roman"/>
          <w:b/>
          <w:iCs/>
          <w:color w:val="auto"/>
        </w:rPr>
        <w:t>интерферон</w:t>
      </w:r>
      <w:r w:rsidR="00ED4EEE">
        <w:rPr>
          <w:rFonts w:ascii="Times New Roman" w:hAnsi="Times New Roman"/>
          <w:b/>
          <w:iCs/>
          <w:color w:val="auto"/>
        </w:rPr>
        <w:t>а</w:t>
      </w:r>
      <w:r w:rsidRPr="00062B4F">
        <w:rPr>
          <w:rFonts w:ascii="Times New Roman" w:hAnsi="Times New Roman"/>
          <w:b/>
          <w:iCs/>
          <w:color w:val="auto"/>
        </w:rPr>
        <w:t xml:space="preserve"> альфа</w:t>
      </w:r>
      <w:bookmarkEnd w:id="43"/>
    </w:p>
    <w:p w14:paraId="30821595" w14:textId="77777777" w:rsidR="000C7098" w:rsidRPr="00062B4F" w:rsidRDefault="000C7098" w:rsidP="00C10677">
      <w:pPr>
        <w:rPr>
          <w:iCs/>
        </w:rPr>
      </w:pPr>
    </w:p>
    <w:p w14:paraId="0982D531" w14:textId="0B6E7B1B" w:rsidR="000C7098" w:rsidRPr="00062B4F" w:rsidRDefault="000C7098" w:rsidP="00505FD7">
      <w:pPr>
        <w:numPr>
          <w:ilvl w:val="0"/>
          <w:numId w:val="20"/>
        </w:numPr>
        <w:ind w:left="714" w:hanging="357"/>
        <w:rPr>
          <w:iCs/>
          <w:szCs w:val="24"/>
          <w:lang w:eastAsia="ru-RU"/>
        </w:rPr>
      </w:pPr>
      <w:r w:rsidRPr="00062B4F">
        <w:rPr>
          <w:b/>
          <w:bCs/>
          <w:iCs/>
          <w:szCs w:val="24"/>
          <w:lang w:eastAsia="ru-RU"/>
        </w:rPr>
        <w:t>Рекомендуется</w:t>
      </w:r>
      <w:r w:rsidR="00542002" w:rsidRPr="00062B4F">
        <w:rPr>
          <w:iCs/>
          <w:szCs w:val="24"/>
          <w:lang w:eastAsia="ru-RU"/>
        </w:rPr>
        <w:t xml:space="preserve"> </w:t>
      </w:r>
      <w:proofErr w:type="spellStart"/>
      <w:r w:rsidR="00A456DA">
        <w:rPr>
          <w:iCs/>
          <w:szCs w:val="24"/>
          <w:lang w:eastAsia="ru-RU"/>
        </w:rPr>
        <w:t>моно</w:t>
      </w:r>
      <w:r w:rsidRPr="00062B4F">
        <w:rPr>
          <w:iCs/>
          <w:szCs w:val="24"/>
          <w:lang w:eastAsia="ru-RU"/>
        </w:rPr>
        <w:t>терапия</w:t>
      </w:r>
      <w:proofErr w:type="spellEnd"/>
      <w:r w:rsidR="00542002" w:rsidRPr="00062B4F">
        <w:rPr>
          <w:iCs/>
          <w:szCs w:val="24"/>
          <w:lang w:eastAsia="ru-RU"/>
        </w:rPr>
        <w:t xml:space="preserve"> </w:t>
      </w:r>
      <w:r w:rsidRPr="00062B4F">
        <w:rPr>
          <w:iCs/>
          <w:szCs w:val="24"/>
          <w:lang w:eastAsia="ru-RU"/>
        </w:rPr>
        <w:t>препаратами интерферона альфа**</w:t>
      </w:r>
      <w:r w:rsidR="00DC464A" w:rsidRPr="00062B4F">
        <w:rPr>
          <w:iCs/>
          <w:szCs w:val="24"/>
          <w:lang w:eastAsia="ru-RU"/>
        </w:rPr>
        <w:t xml:space="preserve"> 2а или 2</w:t>
      </w:r>
      <w:r w:rsidR="00DC464A" w:rsidRPr="00062B4F">
        <w:rPr>
          <w:iCs/>
          <w:szCs w:val="24"/>
          <w:lang w:val="en-US" w:eastAsia="ru-RU"/>
        </w:rPr>
        <w:t>b</w:t>
      </w:r>
      <w:r w:rsidRPr="00062B4F">
        <w:rPr>
          <w:iCs/>
          <w:szCs w:val="24"/>
          <w:lang w:eastAsia="ru-RU"/>
        </w:rPr>
        <w:t xml:space="preserve"> (ИФ-α) </w:t>
      </w:r>
      <w:r w:rsidR="002C27C8" w:rsidRPr="00062B4F">
        <w:rPr>
          <w:iCs/>
          <w:szCs w:val="24"/>
          <w:lang w:eastAsia="ru-RU"/>
        </w:rPr>
        <w:t>в дозировках в соответствии с инструкцией по медицинскому применению лекарственного препарата</w:t>
      </w:r>
      <w:r w:rsidR="00DC464A" w:rsidRPr="00062B4F">
        <w:rPr>
          <w:iCs/>
          <w:szCs w:val="24"/>
          <w:lang w:eastAsia="ru-RU"/>
        </w:rPr>
        <w:t xml:space="preserve"> </w:t>
      </w:r>
      <w:r w:rsidRPr="00062B4F">
        <w:rPr>
          <w:iCs/>
          <w:szCs w:val="24"/>
          <w:lang w:eastAsia="ru-RU"/>
        </w:rPr>
        <w:t>пациентам: в период беременности, при непереносимости всех доступных ИТК.</w:t>
      </w:r>
      <w:r w:rsidR="00D6082E" w:rsidRPr="00062B4F">
        <w:rPr>
          <w:iCs/>
          <w:szCs w:val="24"/>
          <w:lang w:eastAsia="ru-RU"/>
        </w:rPr>
        <w:t xml:space="preserve"> </w:t>
      </w:r>
      <w:r w:rsidR="00D6082E" w:rsidRPr="00062B4F">
        <w:rPr>
          <w:iCs/>
          <w:szCs w:val="24"/>
          <w:lang w:eastAsia="ru-RU"/>
        </w:rPr>
        <w:fldChar w:fldCharType="begin" w:fldLock="1"/>
      </w:r>
      <w:r w:rsidR="00542002" w:rsidRPr="00062B4F">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онкогематология","id":"ITEM-2","issue":"3","issued":{"date-parts":[["2017"]]},"page":"294–316","title":"Клинические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миелолейкоза","type":"article-journal","volume":"10"},"uris":["http://www.mendeley.com/documents/?uuid=397be9b3-e69b-4f4a-84ed-5ca19a8b5f12"]},{"id":"ITEM-3","itemData":{"DOI":"10.1038/leu.2015.45","ISSN":"14765551","abstract":"A minority of chronic myeloid leukemia (CML) patients is capable of successfully discontinuing imatinib. Treatment modalities to increase this proportion are currently unknown. Here, we assessed the role of interferon alpha 2a (IFN) on therapy discontinuation in a previously reported cohort of 20 chronic phase CML patients who were treated upfront with IFN alpha plus imatinib followed by IFN monotherapy to maintain cytogenetic or molecular remission (MR) after imatinib discontinuation. After a median follow-up of 7.9 years (range, 5.2-12.2), relapse-free survival was 73% (8/11 patients) and 84% (5/6 patients) for patients who discontinued imatinib in major MR (MMR) and MR4/MR4.5, respectively. Ten patients discontinued IFN after a median of 4.5 years (range, 0.24-9.3). After a median of 2.8 years (range, 0.7-5.1), nine of them remain in ongoing treatment-free remission with MR5 (n=6) and MR4.5 (n=3). The four patients who still administer IFN are in stable MR5, MR4.5, MR4, and MMR, respectively. In conclusion, an IFN/imatinib induction treatment followed by a temporary IFN maintenance therapy may enable a high rate of treatment discontinuation in CML patients in at least MMR when stopping imatinib.","author":[{"dropping-particle":"","family":"Burchert","given":"A.","non-dropping-particle":"","parse-names":false,"suffix":""},{"dropping-particle":"","family":"Saussele","given":"S.","non-dropping-particle":"","parse-names":false,"suffix":""},{"dropping-particle":"","family":"Eigendorff","given":"E.","non-dropping-particle":"","parse-names":false,"suffix":""},{"dropping-particle":"","family":"Müller","given":"M. C.","non-dropping-particle":"","parse-names":false,"suffix":""},{"dropping-particle":"","family":"Sohlbach","given":"K.","non-dropping-particle":"","parse-names":false,"suffix":""},{"dropping-particle":"","family":"Inselmann","given":"S.","non-dropping-particle":"","parse-names":false,"suffix":""},{"dropping-particle":"","family":"Schütz","given":"C.","non-dropping-particle":"","parse-names":false,"suffix":""},{"dropping-particle":"","family":"Metzelder","given":"S. K.","non-dropping-particle":"","parse-names":false,"suffix":""},{"dropping-particle":"","family":"Ziermann","given":"J.","non-dropping-particle":"","parse-names":false,"suffix":""},{"dropping-particle":"","family":"Kostrewa","given":"P.","non-dropping-particle":"","parse-names":false,"suffix":""},{"dropping-particle":"","family":"Hoffmann","given":"J.","non-dropping-particle":"","parse-names":false,"suffix":""},{"dropping-particle":"","family":"Hehlmann","given":"R.","non-dropping-particle":"","parse-names":false,"suffix":""},{"dropping-particle":"","family":"Neubauer","given":"A.","non-dropping-particle":"","parse-names":false,"suffix":""},{"dropping-particle":"","family":"Hochhaus","given":"A.","non-dropping-particle":"","parse-names":false,"suffix":""}],"container-title":"Leukemia","id":"ITEM-3","issue":"6","issued":{"date-parts":[["2015","6","9"]]},"page":"1331-1335","publisher":"Nature Publishing Group","title":"Interferon alpha 2 maintenance therapy may enable high rates of treatment discontinuation in chronic myeloid leukemia","type":"article-journal","volume":"29"},"uris":["http://www.mendeley.com/documents/?uuid=5a97515d-a529-31ad-b104-61ca8fd65722"]}],"mendeley":{"formattedCitation":"[10,11,67]","plainTextFormattedCitation":"[10,11,67]","previouslyFormattedCitation":"[10,11,67]"},"properties":{"noteIndex":0},"schema":"https://github.com/citation-style-language/schema/raw/master/csl-citation.json"}</w:instrText>
      </w:r>
      <w:r w:rsidR="00D6082E" w:rsidRPr="00062B4F">
        <w:rPr>
          <w:iCs/>
          <w:szCs w:val="24"/>
          <w:lang w:eastAsia="ru-RU"/>
        </w:rPr>
        <w:fldChar w:fldCharType="separate"/>
      </w:r>
      <w:r w:rsidR="00542002" w:rsidRPr="00062B4F">
        <w:rPr>
          <w:iCs/>
          <w:noProof/>
          <w:szCs w:val="24"/>
          <w:lang w:eastAsia="ru-RU"/>
        </w:rPr>
        <w:t>[10,11,67]</w:t>
      </w:r>
      <w:r w:rsidR="00D6082E" w:rsidRPr="00062B4F">
        <w:rPr>
          <w:iCs/>
          <w:szCs w:val="24"/>
          <w:lang w:eastAsia="ru-RU"/>
        </w:rPr>
        <w:fldChar w:fldCharType="end"/>
      </w:r>
      <w:r w:rsidR="00D6082E" w:rsidRPr="00062B4F">
        <w:rPr>
          <w:iCs/>
          <w:szCs w:val="24"/>
          <w:lang w:eastAsia="ru-RU"/>
        </w:rPr>
        <w:t>.</w:t>
      </w:r>
    </w:p>
    <w:p w14:paraId="7B396707" w14:textId="77777777" w:rsidR="000C7098" w:rsidRPr="00062B4F" w:rsidRDefault="000C7098" w:rsidP="00F7434E">
      <w:pPr>
        <w:ind w:left="709" w:firstLine="0"/>
        <w:rPr>
          <w:b/>
          <w:bCs/>
          <w:szCs w:val="24"/>
          <w:lang w:eastAsia="ru-RU"/>
        </w:rPr>
      </w:pPr>
      <w:r w:rsidRPr="00062B4F">
        <w:rPr>
          <w:b/>
          <w:bCs/>
          <w:szCs w:val="24"/>
          <w:lang w:eastAsia="ru-RU"/>
        </w:rPr>
        <w:t xml:space="preserve">Уровень убедительности рекомендаций – С (уровень достоверности доказательств – </w:t>
      </w:r>
      <w:r w:rsidR="008D4635" w:rsidRPr="00062B4F">
        <w:rPr>
          <w:b/>
          <w:bCs/>
          <w:szCs w:val="24"/>
          <w:lang w:eastAsia="ru-RU"/>
        </w:rPr>
        <w:t>4</w:t>
      </w:r>
      <w:r w:rsidRPr="00062B4F">
        <w:rPr>
          <w:b/>
          <w:bCs/>
          <w:szCs w:val="24"/>
          <w:lang w:eastAsia="ru-RU"/>
        </w:rPr>
        <w:t>).</w:t>
      </w:r>
    </w:p>
    <w:p w14:paraId="64327A84" w14:textId="19BC877D" w:rsidR="000C7098" w:rsidRPr="00062B4F" w:rsidRDefault="000C7098" w:rsidP="00A22CA1">
      <w:pPr>
        <w:rPr>
          <w:i/>
          <w:iCs/>
          <w:szCs w:val="24"/>
          <w:lang w:eastAsia="ru-RU"/>
        </w:rPr>
      </w:pPr>
      <w:r w:rsidRPr="00062B4F">
        <w:rPr>
          <w:b/>
          <w:bCs/>
          <w:i/>
          <w:iCs/>
          <w:szCs w:val="24"/>
          <w:lang w:eastAsia="ru-RU"/>
        </w:rPr>
        <w:t xml:space="preserve">Комментарии: </w:t>
      </w:r>
      <w:r w:rsidRPr="00062B4F">
        <w:rPr>
          <w:i/>
          <w:iCs/>
          <w:szCs w:val="24"/>
          <w:lang w:eastAsia="ru-RU"/>
        </w:rPr>
        <w:t xml:space="preserve">терапия препаратами ИФ-α** проводится </w:t>
      </w:r>
      <w:proofErr w:type="gramStart"/>
      <w:r w:rsidRPr="00062B4F">
        <w:rPr>
          <w:i/>
          <w:iCs/>
          <w:szCs w:val="24"/>
          <w:lang w:eastAsia="ru-RU"/>
        </w:rPr>
        <w:t>в</w:t>
      </w:r>
      <w:r w:rsidR="000F6438">
        <w:rPr>
          <w:i/>
          <w:iCs/>
          <w:szCs w:val="24"/>
          <w:lang w:eastAsia="ru-RU"/>
        </w:rPr>
        <w:t xml:space="preserve"> </w:t>
      </w:r>
      <w:r w:rsidRPr="00062B4F">
        <w:rPr>
          <w:i/>
          <w:iCs/>
          <w:szCs w:val="24"/>
          <w:lang w:eastAsia="ru-RU"/>
        </w:rPr>
        <w:t xml:space="preserve"> особых</w:t>
      </w:r>
      <w:proofErr w:type="gramEnd"/>
      <w:r w:rsidRPr="00062B4F">
        <w:rPr>
          <w:i/>
          <w:iCs/>
          <w:szCs w:val="24"/>
          <w:lang w:eastAsia="ru-RU"/>
        </w:rPr>
        <w:t xml:space="preserve"> случаях, когда терапия ИТК не показана. Применение ИФ-α** возможно в период беременности, </w:t>
      </w:r>
      <w:r w:rsidR="000F6438">
        <w:rPr>
          <w:i/>
          <w:iCs/>
          <w:szCs w:val="24"/>
          <w:lang w:eastAsia="ru-RU"/>
        </w:rPr>
        <w:t>в случае непереносимости всех доступных ИТК у больных в ХФ</w:t>
      </w:r>
      <w:r w:rsidR="00BE6FE6">
        <w:rPr>
          <w:i/>
          <w:iCs/>
          <w:szCs w:val="24"/>
          <w:lang w:eastAsia="ru-RU"/>
        </w:rPr>
        <w:t xml:space="preserve">. </w:t>
      </w:r>
      <w:r w:rsidR="00B74C58">
        <w:rPr>
          <w:i/>
          <w:iCs/>
          <w:szCs w:val="24"/>
          <w:lang w:eastAsia="ru-RU"/>
        </w:rPr>
        <w:t>Эффективность</w:t>
      </w:r>
      <w:r w:rsidRPr="00062B4F">
        <w:rPr>
          <w:i/>
          <w:iCs/>
          <w:szCs w:val="24"/>
          <w:lang w:eastAsia="ru-RU"/>
        </w:rPr>
        <w:t xml:space="preserve"> ИФ-α** при ФА и БК не доказана.</w:t>
      </w:r>
    </w:p>
    <w:p w14:paraId="7F930745" w14:textId="77777777" w:rsidR="000C7098" w:rsidRPr="00062B4F" w:rsidRDefault="000C7098" w:rsidP="00BD04DA">
      <w:pPr>
        <w:suppressAutoHyphens/>
        <w:spacing w:before="240"/>
        <w:outlineLvl w:val="1"/>
        <w:rPr>
          <w:b/>
          <w:szCs w:val="24"/>
          <w:u w:val="single"/>
          <w:lang w:eastAsia="ru-RU"/>
        </w:rPr>
      </w:pPr>
      <w:bookmarkStart w:id="44" w:name="_Toc86133413"/>
      <w:r w:rsidRPr="00062B4F">
        <w:rPr>
          <w:b/>
          <w:szCs w:val="24"/>
          <w:u w:val="single"/>
          <w:lang w:eastAsia="ru-RU"/>
        </w:rPr>
        <w:t>3.2. Иное лечение</w:t>
      </w:r>
      <w:bookmarkEnd w:id="44"/>
    </w:p>
    <w:p w14:paraId="468AE2CB" w14:textId="77777777" w:rsidR="000C7098" w:rsidRPr="00062B4F" w:rsidRDefault="000C7098" w:rsidP="00BD04DA">
      <w:pPr>
        <w:keepNext/>
        <w:keepLines/>
        <w:spacing w:before="40"/>
        <w:outlineLvl w:val="2"/>
        <w:rPr>
          <w:b/>
          <w:iCs/>
          <w:szCs w:val="24"/>
        </w:rPr>
      </w:pPr>
      <w:bookmarkStart w:id="45" w:name="_Toc86133414"/>
      <w:r w:rsidRPr="00062B4F">
        <w:rPr>
          <w:b/>
          <w:iCs/>
          <w:szCs w:val="24"/>
        </w:rPr>
        <w:lastRenderedPageBreak/>
        <w:t>3.2.1. Показания к аллогенной ТГСК при ХМЛ</w:t>
      </w:r>
      <w:bookmarkEnd w:id="45"/>
    </w:p>
    <w:p w14:paraId="4CD58DC6" w14:textId="00E7DAB2" w:rsidR="008605B3" w:rsidRPr="00A81B23" w:rsidRDefault="000C7098" w:rsidP="008B7ADA">
      <w:pPr>
        <w:pStyle w:val="afe"/>
        <w:numPr>
          <w:ilvl w:val="0"/>
          <w:numId w:val="20"/>
        </w:numPr>
      </w:pPr>
      <w:r w:rsidRPr="008B7ADA">
        <w:rPr>
          <w:b/>
          <w:bCs/>
          <w:iCs/>
          <w:szCs w:val="24"/>
          <w:lang w:eastAsia="ru-RU"/>
        </w:rPr>
        <w:t xml:space="preserve">Рекомендуется </w:t>
      </w:r>
      <w:r w:rsidR="008605B3" w:rsidRPr="008B7ADA">
        <w:rPr>
          <w:iCs/>
          <w:szCs w:val="24"/>
          <w:lang w:eastAsia="ru-RU"/>
        </w:rPr>
        <w:t>аллогенная ТГСК</w:t>
      </w:r>
      <w:r w:rsidR="00451837" w:rsidRPr="008B7ADA">
        <w:rPr>
          <w:iCs/>
          <w:szCs w:val="24"/>
          <w:lang w:eastAsia="ru-RU"/>
        </w:rPr>
        <w:t>:</w:t>
      </w:r>
      <w:r w:rsidR="008621F1" w:rsidRPr="008B7ADA">
        <w:rPr>
          <w:iCs/>
          <w:szCs w:val="24"/>
          <w:lang w:eastAsia="ru-RU"/>
        </w:rPr>
        <w:t xml:space="preserve"> п</w:t>
      </w:r>
      <w:r w:rsidR="008605B3" w:rsidRPr="008B7ADA">
        <w:rPr>
          <w:iCs/>
          <w:szCs w:val="24"/>
          <w:lang w:eastAsia="ru-RU"/>
        </w:rPr>
        <w:t>ри неудаче терапии 2-х линий ИТК или при неудаче ИТК2 в первой линии</w:t>
      </w:r>
      <w:r w:rsidR="008621F1" w:rsidRPr="008B7ADA">
        <w:rPr>
          <w:iCs/>
          <w:szCs w:val="24"/>
          <w:lang w:eastAsia="ru-RU"/>
        </w:rPr>
        <w:t>; п</w:t>
      </w:r>
      <w:r w:rsidR="008605B3" w:rsidRPr="008B7ADA">
        <w:rPr>
          <w:iCs/>
          <w:szCs w:val="24"/>
          <w:lang w:eastAsia="ru-RU"/>
        </w:rPr>
        <w:t>ри затяжных рецидивирующих</w:t>
      </w:r>
      <w:r w:rsidR="00451837" w:rsidRPr="008B7ADA">
        <w:rPr>
          <w:iCs/>
          <w:szCs w:val="24"/>
          <w:lang w:eastAsia="ru-RU"/>
        </w:rPr>
        <w:t xml:space="preserve"> </w:t>
      </w:r>
      <w:proofErr w:type="spellStart"/>
      <w:r w:rsidR="00451837" w:rsidRPr="008B7ADA">
        <w:rPr>
          <w:iCs/>
          <w:szCs w:val="24"/>
          <w:lang w:eastAsia="ru-RU"/>
        </w:rPr>
        <w:t>цитопениях</w:t>
      </w:r>
      <w:proofErr w:type="spellEnd"/>
      <w:r w:rsidR="00451837" w:rsidRPr="008B7ADA">
        <w:rPr>
          <w:iCs/>
          <w:szCs w:val="24"/>
          <w:lang w:eastAsia="ru-RU"/>
        </w:rPr>
        <w:t xml:space="preserve"> на фоне терапии ИТК</w:t>
      </w:r>
      <w:r w:rsidR="008621F1" w:rsidRPr="008B7ADA">
        <w:rPr>
          <w:iCs/>
          <w:szCs w:val="24"/>
          <w:lang w:eastAsia="ru-RU"/>
        </w:rPr>
        <w:t>; п</w:t>
      </w:r>
      <w:r w:rsidR="00595BC0" w:rsidRPr="008B7ADA">
        <w:rPr>
          <w:iCs/>
          <w:szCs w:val="24"/>
          <w:lang w:eastAsia="ru-RU"/>
        </w:rPr>
        <w:t>ри наличии мутации T315I</w:t>
      </w:r>
      <w:r w:rsidR="00D61FC9">
        <w:rPr>
          <w:iCs/>
          <w:szCs w:val="24"/>
          <w:lang w:eastAsia="ru-RU"/>
        </w:rPr>
        <w:t xml:space="preserve"> </w:t>
      </w:r>
      <w:r w:rsidR="00D61FC9" w:rsidRPr="00710D11">
        <w:rPr>
          <w:iCs/>
          <w:szCs w:val="24"/>
          <w:lang w:eastAsia="ru-RU"/>
        </w:rPr>
        <w:t xml:space="preserve">и </w:t>
      </w:r>
      <w:r w:rsidR="00CD0532" w:rsidRPr="00710D11">
        <w:rPr>
          <w:iCs/>
          <w:szCs w:val="24"/>
          <w:lang w:eastAsia="ru-RU"/>
        </w:rPr>
        <w:t>неэффективности</w:t>
      </w:r>
      <w:r w:rsidR="00D61FC9" w:rsidRPr="00710D11">
        <w:rPr>
          <w:iCs/>
          <w:szCs w:val="24"/>
          <w:lang w:eastAsia="ru-RU"/>
        </w:rPr>
        <w:t xml:space="preserve"> </w:t>
      </w:r>
      <w:proofErr w:type="spellStart"/>
      <w:r w:rsidR="00D61FC9" w:rsidRPr="00710D11">
        <w:rPr>
          <w:iCs/>
          <w:szCs w:val="24"/>
          <w:lang w:eastAsia="ru-RU"/>
        </w:rPr>
        <w:t>понатиниб</w:t>
      </w:r>
      <w:r w:rsidR="00CD0532" w:rsidRPr="00710D11">
        <w:rPr>
          <w:iCs/>
          <w:szCs w:val="24"/>
          <w:lang w:eastAsia="ru-RU"/>
        </w:rPr>
        <w:t>а</w:t>
      </w:r>
      <w:proofErr w:type="spellEnd"/>
      <w:r w:rsidR="00595BC0" w:rsidRPr="00710D11">
        <w:rPr>
          <w:iCs/>
          <w:szCs w:val="24"/>
          <w:lang w:eastAsia="ru-RU"/>
        </w:rPr>
        <w:t>;</w:t>
      </w:r>
      <w:r w:rsidR="00595BC0" w:rsidRPr="008B7ADA">
        <w:rPr>
          <w:iCs/>
          <w:szCs w:val="24"/>
          <w:lang w:eastAsia="ru-RU"/>
        </w:rPr>
        <w:t xml:space="preserve"> при </w:t>
      </w:r>
      <w:r w:rsidR="008605B3" w:rsidRPr="008B7ADA">
        <w:rPr>
          <w:iCs/>
          <w:szCs w:val="24"/>
          <w:lang w:eastAsia="ru-RU"/>
        </w:rPr>
        <w:t>БК</w:t>
      </w:r>
      <w:r w:rsidR="00451837" w:rsidRPr="008B7ADA">
        <w:rPr>
          <w:iCs/>
          <w:szCs w:val="24"/>
          <w:lang w:eastAsia="ru-RU"/>
        </w:rPr>
        <w:t xml:space="preserve"> в дебюте ХМЛ или </w:t>
      </w:r>
      <w:r w:rsidR="00595BC0" w:rsidRPr="008B7ADA">
        <w:rPr>
          <w:iCs/>
          <w:szCs w:val="24"/>
          <w:lang w:eastAsia="ru-RU"/>
        </w:rPr>
        <w:t xml:space="preserve">в случае </w:t>
      </w:r>
      <w:r w:rsidR="008621F1" w:rsidRPr="008B7ADA">
        <w:rPr>
          <w:iCs/>
          <w:szCs w:val="24"/>
          <w:lang w:eastAsia="ru-RU"/>
        </w:rPr>
        <w:t>прогрессировани</w:t>
      </w:r>
      <w:r w:rsidR="00595BC0" w:rsidRPr="008B7ADA">
        <w:rPr>
          <w:iCs/>
          <w:szCs w:val="24"/>
          <w:lang w:eastAsia="ru-RU"/>
        </w:rPr>
        <w:t>я</w:t>
      </w:r>
      <w:r w:rsidR="008621F1" w:rsidRPr="008B7ADA">
        <w:rPr>
          <w:iCs/>
          <w:szCs w:val="24"/>
          <w:lang w:eastAsia="ru-RU"/>
        </w:rPr>
        <w:t xml:space="preserve"> до БК </w:t>
      </w:r>
      <w:r w:rsidR="00451837" w:rsidRPr="008B7ADA">
        <w:rPr>
          <w:iCs/>
          <w:szCs w:val="24"/>
          <w:lang w:eastAsia="ru-RU"/>
        </w:rPr>
        <w:t xml:space="preserve">на фоне терапии </w:t>
      </w:r>
      <w:r w:rsidR="00595BC0" w:rsidRPr="008B7ADA">
        <w:rPr>
          <w:iCs/>
          <w:szCs w:val="24"/>
          <w:lang w:eastAsia="ru-RU"/>
        </w:rPr>
        <w:t xml:space="preserve">(только </w:t>
      </w:r>
      <w:r w:rsidR="008621F1" w:rsidRPr="008B7ADA">
        <w:rPr>
          <w:iCs/>
          <w:szCs w:val="24"/>
          <w:lang w:eastAsia="ru-RU"/>
        </w:rPr>
        <w:t>после</w:t>
      </w:r>
      <w:r w:rsidR="00451837" w:rsidRPr="008B7ADA">
        <w:rPr>
          <w:iCs/>
          <w:szCs w:val="24"/>
          <w:lang w:eastAsia="ru-RU"/>
        </w:rPr>
        <w:t xml:space="preserve"> достижении второй ХФ</w:t>
      </w:r>
      <w:r w:rsidR="00595BC0" w:rsidRPr="008B7ADA">
        <w:rPr>
          <w:iCs/>
          <w:szCs w:val="24"/>
          <w:lang w:eastAsia="ru-RU"/>
        </w:rPr>
        <w:t xml:space="preserve">); в случае </w:t>
      </w:r>
      <w:r w:rsidR="006238F1" w:rsidRPr="008B7ADA">
        <w:rPr>
          <w:iCs/>
          <w:szCs w:val="24"/>
          <w:lang w:eastAsia="ru-RU"/>
        </w:rPr>
        <w:t>п</w:t>
      </w:r>
      <w:r w:rsidR="009512C3" w:rsidRPr="008B7ADA">
        <w:rPr>
          <w:iCs/>
          <w:szCs w:val="24"/>
          <w:lang w:eastAsia="ru-RU"/>
        </w:rPr>
        <w:t>рогрессировани</w:t>
      </w:r>
      <w:r w:rsidR="00595BC0" w:rsidRPr="008B7ADA">
        <w:rPr>
          <w:iCs/>
          <w:szCs w:val="24"/>
          <w:lang w:eastAsia="ru-RU"/>
        </w:rPr>
        <w:t>я</w:t>
      </w:r>
      <w:r w:rsidR="009512C3" w:rsidRPr="008B7ADA">
        <w:rPr>
          <w:iCs/>
          <w:szCs w:val="24"/>
          <w:lang w:eastAsia="ru-RU"/>
        </w:rPr>
        <w:t xml:space="preserve"> до </w:t>
      </w:r>
      <w:r w:rsidR="008605B3" w:rsidRPr="008B7ADA">
        <w:rPr>
          <w:iCs/>
          <w:szCs w:val="24"/>
          <w:lang w:eastAsia="ru-RU"/>
        </w:rPr>
        <w:t xml:space="preserve">ФА </w:t>
      </w:r>
      <w:r w:rsidR="009512C3" w:rsidRPr="008B7ADA">
        <w:rPr>
          <w:iCs/>
          <w:szCs w:val="24"/>
          <w:lang w:eastAsia="ru-RU"/>
        </w:rPr>
        <w:t xml:space="preserve">на фоне терапии </w:t>
      </w:r>
      <w:r w:rsidR="00595BC0" w:rsidRPr="008B7ADA">
        <w:rPr>
          <w:iCs/>
          <w:szCs w:val="24"/>
          <w:lang w:eastAsia="ru-RU"/>
        </w:rPr>
        <w:t>(только после достижении второй ХФ)</w:t>
      </w:r>
      <w:r w:rsidR="008605B3" w:rsidRPr="00A81B23">
        <w:fldChar w:fldCharType="begin"/>
      </w:r>
      <w:r w:rsidR="008605B3" w:rsidRPr="00A81B23">
        <w:instrText xml:space="preserve">ADDIN CSL_CITATION {"citationItems":[{"id":"ITEM-1","itemData":{"DOI":"10.1182/blood-2010-08-302679","ISSN":"0006-4971","PMID":"21156844","abstract":"Hematopoietic stem cell transplantation (HSCT) is effective therapy for patients with chronic myelogenous leukemia (CML) but is now mostly indicated for patients who develop resistance to tyrosine kinase inhibitors (TKIs), which can be associated with point mutations in BCR-ABL1. We reviewed the outcomes of imatinib-resistant CML patients (chronic phase, n = 34; accelerated phase [AP], n = 9; and blast phase [BP], n = 4) who underwent HSCT and had BCR-ABL1 sequencing. Mutations were found in 19 patients (40%); 15 of 19 had advanced CML (AP + BP + second chronic phase). Patients with mutations were more likely to transform to AP/BP at time of imatinib failure (69% vs 35%, P = .03). Forty-two patients (89%) responded to HSCT: 32 (68%) had at least a major molecular response. The 2-year event-free survival was 36% and 58% (P = .05) for the mutant and nonmutant groups, respectively; and the 2-year overall survival was 44% and 76% (P = .02), respectively. HSCT is an important salvage option for TKI-resistant patients with or without BCR-ABL1 mutations. Patients with mutations were more likely to develop advanced disease and had worse outcomes after HSCT. HSCT should be considered early for patients deemed to have a low probability of responding to second-generation TKI.","author":[{"dropping-particle":"","family":"Jabbour","given":"E.","non-dropping-particle":"","parse-names":false,"suffix":""},{"dropping-particle":"","family":"Cortes","given":"J.","non-dropping-particle":"","parse-names":false,"suffix":""},{"dropping-particle":"","family":"Santos","given":"F. P. S.","non-dropping-particle":"","parse-names":false,"suffix":""},{"dropping-particle":"","family":"Jones","given":"D.","non-dropping-particle":"","parse-names":false,"suffix":""},{"dropping-particle":"","family":"O'Brien","given":"S.","non-dropping-particle":"","parse-names":false,"suffix":""},{"dropping-particle":"","family":"Rondon","given":"G.","non-dropping-particle":"","parse-names":false,"suffix":""},{"dropping-particle":"","family":"Popat","given":"U.","non-dropping-particle":"","parse-names":false,"suffix":""},{"dropping-particle":"","family":"Giralt","given":"S.","non-dropping-particle":"","parse-names":false,"suffix":""},{"dropping-particle":"","family":"Kebriaei","given":"P.","non-dropping-particle":"","parse-names":false,"suffix":""},{"dropping-particle":"","family":"Jones","given":"R. B.","non-dropping-particle":"","parse-names":false,"suffix":""},{"dropping-particle":"","family":"Kantarjian","given":"H.","non-dropping-particle":"","parse-names":false,"suffix":""},{"dropping-particle":"","family":"Champlin","given":"R.","non-dropping-particle":"","parse-names":false,"suffix":""},{"dropping-particle":"","family":"Lima","given":"M.","non-dropping-particle":"de","parse-names":false,"suffix":""}],"container-title":"Blood","id":"ITEM-1","issue":"13","issued":{"date-parts":[["2011","3"]]},"page":"3641-3647","title":"Results of allogeneic hematopoietic stem cell transplantation for chronic myelogenous leukemia patients who failed tyrosine kinase inhibitors after developing BCR-ABL1 kinase domain mutations","type":"article-journal","volume":"117"},"uris":["http://www.mendeley.com/documents/?uuid=2964b775-8ec5-46db-918a-bd523f6c9af2"]},{"id":"ITEM-2","itemData":{"DOI":"10.1182/blood-2011-07-367326","ISSN":"00064971","abstract":"T315I + Philadelphia chromosome-positive leukemias are inherently resistant to all licensed tyrosine kinase inhibitors, and therapeutic options remain limited.We report the outcome of allogeneic stem cell transplantation in 64 patients with documented BCR-ABL T315I mutations. Median follow-up was 52 months from mutation detection and 26 months from transplantation. At transplantation, 51.5% of patients with chronic myeloid leukemia were in the chronic phase and 4.5% were in advanced phases. Median overall survival after transplantation was 10.3 months (range 5.7 months to not reached [ie, still alive]) for those with chronic myeloid leukemia in the blast phase and 7.4 months (range 1.4 months to not reached [ie, still alive]) for those with Philadelphia chromosome-positive acute lymphoblastic leukemia but has not yet been reached for those in the chronic and accelerated phases of chronic myeloid leukemia. The occurrence of chronic GVHD had a positive impact on overall survival (P </w:instrText>
      </w:r>
      <w:r w:rsidR="008605B3" w:rsidRPr="008B7ADA">
        <w:rPr>
          <w:rFonts w:ascii="Cambria Math" w:hAnsi="Cambria Math" w:cs="Cambria Math"/>
        </w:rPr>
        <w:instrText>∇</w:instrText>
      </w:r>
      <w:r w:rsidR="008605B3" w:rsidRPr="00A81B23">
        <w:instrText xml:space="preserve"> .047). Transplant-related mortality rates were low. Multivariate analysis identified only blast phase at transplantation (hazard ratio 3.68, P </w:instrText>
      </w:r>
      <w:r w:rsidR="008605B3" w:rsidRPr="008B7ADA">
        <w:rPr>
          <w:rFonts w:ascii="Cambria Math" w:hAnsi="Cambria Math" w:cs="Cambria Math"/>
        </w:rPr>
        <w:instrText>∇</w:instrText>
      </w:r>
      <w:r w:rsidR="008605B3" w:rsidRPr="00A81B23">
        <w:instrText xml:space="preserve"> .0011) and unrelated stem cell donor (hazard ratio 2.98, P </w:instrText>
      </w:r>
      <w:r w:rsidR="008605B3" w:rsidRPr="008B7ADA">
        <w:rPr>
          <w:rFonts w:ascii="Cambria Math" w:hAnsi="Cambria Math" w:cs="Cambria Math"/>
        </w:rPr>
        <w:instrText>∇</w:instrText>
      </w:r>
      <w:r w:rsidR="008605B3" w:rsidRPr="00A81B23">
        <w:instrText xml:space="preserve"> .011) as unfavorable factors. We conclude that allogeneic stem cell transplantation represents a valuable therapeutic tool for eligible patients with BCR-ABL T315I mutation, a tool that may or may not be replaced by third-generation tyrosine kinase inhibitors. © 2011 by The American Society of Hematology.","author":[{"dropping-particle":"","family":"Nicolini","given":"Franck Emmanuel","non-dropping-particle":"","parse-names":false,"suffix":""},{"dropping-particle":"","family":"Basak","given":"Grzegorz W.","non-dropping-particle":"","parse-names":false,"suffix":""},{"dropping-particle":"","family":"Soverini","given":"Simona","non-dropping-particle":"","parse-names":false,"suffix":""},{"dropping-particle":"","family":"Martinelli","given":"Giovanni","non-dropping-particle":"","parse-names":false,"suffix":""},{"dropping-particle":"","family":"Mauro","given":"Michael J.","non-dropping-particle":"","parse-names":false,"suffix":""},{"dropping-particle":"","family":"Müller","given":"Martin C.","non-dropping-particle":"","parse-names":false,"suffix":""},{"dropping-particle":"","family":"Hochhaus","given":"Andreas","non-dropping-particle":"","parse-names":false,"suffix":""},{"dropping-particle":"","family":"Chuah","given":"Charles","non-dropping-particle":"","parse-names":false,"suffix":""},{"dropping-particle":"","family":"Dufva","given":"Inge H.","non-dropping-particle":"","parse-names":false,"suffix":""},{"dropping-particle":"","family":"Rege-Cambrin","given":"Giovanna","non-dropping-particle":"","parse-names":false,"suffix":""},{"dropping-particle":"","family":"Saglio","given":"Giuseppe","non-dropping-particle":"","parse-names":false,"suffix":""},{"dropping-particle":"","family":"Michallet","given":"Mauricette","non-dropping-particle":"","parse-names":false,"suffix":""},{"dropping-particle":"","family":"Labussière","given":"Hélène","non-dropping-particle":"","parse-names":false,"suffix":""},{"dropping-particle":"","family":"Morisset","given":"Stéphane","non-dropping-particle":"","parse-names":false,"suffix":""},{"dropping-particle":"","family":"Hayette","given":"Sandrine","non-dropping-particle":"","parse-names":false,"suffix":""},{"dropping-particle":"","family":"Etienne","given":"Gabriel","non-dropping-particle":"","parse-names":false,"suffix":""},{"dropping-particle":"","family":"Olavarria","given":"Eduardo","non-dropping-particle":"","parse-names":false,"suffix":""},{"dropping-particle":"","family":"Zhou","given":"Wei","non-dropping-particle":"","parse-names":false,"suffix":""},{"dropping-particle":"","family":"Peter","given":"Senaka","non-dropping-particle":"","parse-names":false,"suffix":""},{"dropping-particle":"","family":"Apperley","given":"Jane F.","non-dropping-particle":"","parse-names":false,"suffix":""},{"dropping-particle":"","family":"Cortes","given":"Jorge","non-dropping-particle":"","parse-names":false,"suffix":""}],"container-title":"Blood","id":"ITEM-2","issue":"20","issued":{"date-parts":[["2011","11","17"]]},"page":"5697-5700","title":"Allogeneic stem cell transplantation for patients harboring T315I BCR-ABL mutated leukemias","type":"article-journal","volume":"118"},"uris":["http://www.mendeley.com/documents/?uuid=e9e5139d-4e18-335d-aa26-dd657f686c3e"]},{"id":"ITEM-3","itemData":{"DOI":"10.1016/j.bbmt.2015.04.005","ISSN":"15236536","abstract":"Allogeneic hematopoietic stem cell transplantation (HSCT) remains the only known curative therapy for chronic myeloid leukemia (CML); however, it is rarely utilized given the excellent long-term results with tyrosine kinase inhibitor (TKI) treatment. The purpose of this study is to examine HSCT outcomes for patients with CML who failed TKI therapy or presented in advanced phase and to identify predictors of survival, relapse, and nonrelapse mortality (NRM). Fifty-one patients with CML underwent HSCT for advanced disease at diagnosis (n= 15), TKI resistance as defined by the European LeukemiaNet guidelines (n= 30), TKI intolerance (n= 2), or physician preference (n= 4). At a median follow-up of 71.9 months, the 8-year overall survival (OS), event-free survival (EFS), relapse, and NRM were 68%, 46%, 41%, and 23%, respectively. In univariate analysis, predictors of OS included first chronic phase (CP1) disease status at HSCT (P= 0005), European Society for Blood and Marrow Transplantation score 1 to 4 (P= 04), and complete molecular response (CMR) to HSCT (P &lt;.0001). Donor (female) to patient (male) gender combination (P= 02) and CMR to HSCT (P &lt;.0001) predicted lower relapse. In multivariate analysis, CMR to HSCT remained an independent predictor of OS (odds ratio [OR], 43), EFS (OR, 56) and relapse (OR, 29). This report indicates that the outlook is excellent for those patients who remain in CP1 at the time of HSCT and achieve a CMR after HSCT. However, only approximately 50% of those in advanced phase at HSCT are long-term survivors. This highlights the ongoing need to try to identify patients earlier, before disease progression, who are destined to fail this treatment to optimize transplantation outcomes.","author":[{"dropping-particle":"","family":"Nair","given":"Anish P.","non-dropping-particle":"","parse-names":false,"suffix":""},{"dropping-particle":"","family":"Barnett","given":"Michael J.","non-dropping-particle":"","parse-names":false,"suffix":""},{"dropping-particle":"","family":"Broady","given":"Raewyn C.","non-dropping-particle":"","parse-names":false,"suffix":""},{"dropping-particle":"","family":"Hogge","given":"Donna E.","non-dropping-particle":"","parse-names":false,"suffix":""},{"dropping-particle":"","family":"Song","given":"Kevin W.","non-dropping-particle":"","parse-names":false,"suffix":""},{"dropping-particle":"","family":"Toze","given":"Cynthia L.","non-dropping-particle":"","parse-names":false,"suffix":""},{"dropping-particle":"","family":"Nantel","given":"Stephen H.","non-dropping-particle":"","parse-names":false,"suffix":""},{"dropping-particle":"","family":"Power","given":"Maryse M.","non-dropping-particle":"","parse-names":false,"suffix":""},{"dropping-particle":"","family":"Sutherland","given":"Heather J.","non-dropping-particle":"","parse-names":false,"suffix":""},{"dropping-particle":"","family":"Nevill","given":"Thomas J.","non-dropping-particle":"","parse-names":false,"suffix":""},{"dropping-particle":"","family":"Abou Mourad","given":"Yasser","non-dropping-particle":"","parse-names":false,"suffix":""},{"dropping-particle":"","family":"Narayanan","given":"Sujaatha","non-dropping-particle":"","parse-names":false,"suffix":""},{"dropping-particle":"","family":"Gerrie","given":"Alina S.","non-dropping-particle":"","parse-names":false,"suffix":""},{"dropping-particle":"","family":"Forrest","given":"Donna L.","non-dropping-particle":"","parse-names":false,"suffix":""}],"container-title":"Biology of Blood and Marrow Transplantation","id":"ITEM-3","issue":"8","issued":{"date-parts":[["2015","8","1"]]},"page":"1437-1444","publisher":"Elsevier Inc.","title":"Allogeneic Hematopoietic Stem Cell Transplantation Is an Effective Salvage Therapy for Patients with Chronic Myeloid Leukemia Presenting with Advanced Disease or Failing Treatment with Tyrosine Kinase Inhibitors","type":"article-journal","volume":"21"},"uris":["http://www.mendeley.com/documents/?uuid=baa62149-9089-3f90-b6b9-af665f93e6f6"]},{"id":"ITEM-4","itemData":{"DOI":"10.1182/blood-2006-06-031682","ISSN":"00064971","abstract":"The impact of imatinib mesylate (IM) treatment for chronic myeloid leukemia (CML) on subsequent allogeneic transplantation is uncertain. To better understand this relationship, we retrospectively compared 145 patients with CML receiving IM for a minimum of 3 months before allogeneic hematopoietic cell transplantation (HCT) to 231 patients with CML who did not. IM treatment was associated with no increase in early hepatotoxicity or engraftment delay after HCT compared with the historical cohort. In addition, there was no statistically significant difference in the IM-treated cohort compared with the historical cohort with regard to overall survival, disease-free survival, relapse, and nonrelapse mortality. For chronic-phase (CP) patients, IM response prior to HCT was associated with post-HCT outcome. Patients who underwent transplantation in CP with a suboptimal response or a loss of response on IM had a statistically significant higher hazard of mortality when compared with CP patients who achieved a complete cytogenetic response (CCR) or major cytogenetic response (MCR) on IM (HR = 5.31, 95% confidence interval [CI] 1.13-25.05, P = .03). These data indicate that pre-HCT IM is not associated with increased transplant-related morbidity (TRM) or poorer outcomes. However, patients with a suboptimal or loss of IM response before HCT do worse, suggesting a more aggressive disease course for these patients. © 2007 by The American Society of Hematology.","author":[{"dropping-particle":"","family":"Oehler","given":"Vivian G.","non-dropping-particle":"","parse-names":false,"suffix":""},{"dropping-particle":"","family":"Gooley","given":"Ted","non-dropping-particle":"","parse-names":false,"suffix":""},{"dropping-particle":"","family":"Snyder","given":"David S.","non-dropping-particle":"","parse-names":false,"suffix":""},{"dropping-particle":"","family":"Johnston","given":"Laura","non-dropping-particle":"","parse-names":false,"suffix":""},{"dropping-particle":"","family":"Lin","given":"Allen","non-dropping-particle":"","parse-names":false,"suffix":""},{"dropping-particle":"","family":"Cummings","given":"Carrie C.","non-dropping-particle":"","parse-names":false,"suffix":""},{"dropping-particle":"","family":"Chu","given":"Su","non-dropping-particle":"","parse-names":false,"suffix":""},{"dropping-particle":"","family":"Bhatia","given":"Ravi","non-dropping-particle":"","parse-names":false,"suffix":""},{"dropping-particle":"","family":"Forman","given":"Stephen J.","non-dropping-particle":"","parse-names":false,"suffix":""},{"dropping-particle":"","family":"Negrin","given":"Robert S.","non-dropping-particle":"","parse-names":false,"suffix":""},{"dropping-particle":"","family":"Appelbaum","given":"Frederick R.","non-dropping-particle":"","parse-names":false,"suffix":""},{"dropping-particle":"","family":"Radich","given":"Jerald P.","non-dropping-particle":"","parse-names":false,"suffix":""}],"container-title":"Blood","id":"ITEM-4","issue":"4","issued":{"date-parts":[["2007","2","15"]]},"page":"1782-1789","title":"The effects of imatinib mesylate treatment before allogeneic transplantation for chronic myeloid leukemia","type":"article-journal","volume":"109"},"uris":["http://www.mendeley.com/documents/?uuid=dd6712b7-b160-3fde-8af7-9982d2f14e77"]},{"id":"ITEM-5","itemData":{"DOI":"10.1002/cncr.22778","ISSN":"0008543X","abstract":"BACKGROUND. Patients undergoing allogeneic hematopoietic stem cell transplantation (HSCT) for chronic myeloid leukemia (CML) are increasingly likely to have received a novel tyrosine kinase inhibitor (NTKI) after failing imatinib mesylate. It is unknown whether the use of these NTKIs before HSCT increases transplant-related toxicity. METHODS. The outcome of 12 patients with CML (1 in chronic phase, 6 in the accelerated phase, and 5 in the blastic phase) who received dasatinib (n = 2), nilotinib (n = 7), or both (n = 3) before HSCT were retrospectively analyzed. RESULTS. The median time on treatment was 134 days, and the median time from the end of NTKI therapy to HSCT was 34 days. The preparative regimen was ablative in 8 patients and nonablative in 4. All patients engrafted within 13 days. There was no significant early transplant-related toxicity. One patient developed secondary graft failure after 6 months from the first HSCT that required a second HSCT. Acute and chronic graft-versus-host disease (GVHD) was observed in 7 and 6 patients, respectively. Nine patients achieved a molecular response: 4 complete and 5 major (quantitative reverse transcriptase-polymerase chain reaction &lt;0.05%). Three patients had disease progression by Day 30 after HSCT. Two patients developed disease recurrence after a median of 12 months. After a median follow-up of 10 months, 7 patients were alive in molecular response and 5 patients had died, 4 of disease progression and 1 of extensive chronic GVHD. CONCLUSIONS. Previous treatment with NTKI did not increase transplant-related toxicity in this preliminary experience. Further follow-up and a larger number of patients will be necessary to confirm these observations. © 2007 American Cancer Society.","author":[{"dropping-particle":"","family":"Jabbour","given":"Elias","non-dropping-particle":"","parse-names":false,"suffix":""},{"dropping-particle":"","family":"Cortes","given":"Jorge","non-dropping-particle":"","parse-names":false,"suffix":""},{"dropping-particle":"","family":"Kantarjian","given":"Hagop","non-dropping-particle":"","parse-names":false,"suffix":""},{"dropping-particle":"","family":"Giralt","given":"Sergio","non-dropping-particle":"","parse-names":false,"suffix":""},{"dropping-particle":"","family":"Andersson","given":"Borje S.","non-dropping-particle":"","parse-names":false,"suffix":""},{"dropping-particle":"","family":"Giles","given":"Francis","non-dropping-particle":"","parse-names":false,"suffix":""},{"dropping-particle":"","family":"Shpall","given":"Elizabeth","non-dropping-particle":"","parse-names":false,"suffix":""},{"dropping-particle":"","family":"Kebriaei","given":"Partow","non-dropping-particle":"","parse-names":false,"suffix":""},{"dropping-particle":"","family":"Champlin","given":"Richard","non-dropping-particle":"","parse-names":false,"suffix":""},{"dropping-particle":"","family":"Lima","given":"Marcos","non-dropping-particle":"De","parse-names":false,"suffix":""}],"container-title":"Cancer","id":"ITEM-5","issue":"2","issued":{"date-parts":[["2007","7","15"]]},"page":"340-344","title":"Novel tyrosine kinase inhibitor therapy before allogeneic stem cell transplantation in patients with chronic myeloid leukemia: No evidence for increased transplant-related toxicity","type":"article-journal","volume":"110"},"uris":["http://www.mendeley.com/documents/?uuid=f1995925-3e16-34ad-9c68-2f0aea11ed51"]},{"id":"ITEM-6","itemData":{"DOI":"10.1038/leu.2008.160","ISSN":"14765551","author":[{"dropping-particle":"","family":"Shimoni","given":"A.","non-dropping-particle":"","parse-names":false,"suffix":""},{"dropping-particle":"","family":"Leiba","given":"M.","non-dropping-particle":"","parse-names":false,"suffix":""},{"dropping-particle":"","family":"Schleuning","given":"M.","non-dropping-particle":"","parse-names":false,"suffix":""},{"dropping-particle":"","family":"Martineau","given":"G.","non-dropping-particle":"","parse-names":false,"suffix":""},{"dropping-particle":"","family":"Renaud","given":"M.","non-dropping-particle":"","parse-names":false,"suffix":""},{"dropping-particle":"","family":"Koren-Michowitz","given":"M.","non-dropping-particle":"","parse-names":false,"suffix":""},{"dropping-particle":"","family":"Ribakovski","given":"E.","non-dropping-particle":"","parse-names":false,"suffix":""},{"dropping-particle":"","family":"Coutre","given":"P.","non-dropping-particle":"le","parse-names":false,"suffix":""},{"dropping-particle":"","family":"Arnold","given":"R.","non-dropping-particle":"","parse-names":false,"suffix":""},{"dropping-particle":"","family":"Guilhot","given":"F.","non-dropping-particle":"","parse-names":false,"suffix":""},{"dropping-particle":"","family":"Nagler","given":"A.","non-dropping-particle":"","parse-names":false,"suffix":""}],"container-title":"Leukemia","id":"ITEM-6","issue":"1","issued":{"date-parts":[["2009"]]},"page":"190-194","publisher":"Nature Publishing Group","title":"Prior treatment with the tyrosine kinase inhibitors dasatinib and nilotinib allows stem cell transplantation (SCT) in a less advanced disease phase and does not increase SCT toxicity in patients with chronic myelogenous leukemia and Philadelphia positive acute lymphoblastic leukemia","type":"article","volume":"23"},"uris":["http://www.mendeley.com/documents/?uuid=a4b62bcc-bb70-31f1-a1d1-18d7266f581b"]},{"id":"ITEM-7","itemData":{"DOI":"10.1016/j.leukres.2009.04.036","ISSN":"01452126","abstract":"Philadelphia-positive chronic myeloid leukemia (Ph+ CML) patients who are resistant to imatinib are commonly treated with second-generation tyrosine kinase inhibitors (TKIs). Limited data exist on the possible effects of these drugs on subsequent allogeneic hematopoietic stem cell transplantation (allo-HSCT).The outcome of 12 imatinib-resistant CML patients treated with dasatinib or nilotinib or both before allo-HSCT, was retrospectively analyzed. Patients were treated with second-generation TKIs for 1-17 months (median, 8). At the time of transplant, 3 patients were in complete cytogenetic response (CCgR), 3 patients in partial cytogenetic response (PCgR) and 6 patients were in less than PCgR. Donors were HLA-matched related in 4 cases and unrelated in 8 cases. Stem cell source was peripheral blood, bone marrow or cord blood in 6, 5 and 1 cases, respectively. All patients engrafted successfully and all but one achieved a full donor chimerism. Three patients experienced acute and chronic graft-versus-host disease. No cases of transplant-related mortality were recorded. Best response to allo-HSCT was complete molecular response (CMR) in 9 patients, major molecular response (MMR) in 1 patient and CCgR in 2 patients. Median follow-up was 16.5 months. At the last evaluation, 9 patients were in continuous CMR and 1 patient was in MMR; 2 patients had died of disease progression. Second-generation TKIs given before allo-HSCT do not negatively affect transplant engraftment and response rate, nor increases transplant-related toxicity. © 2009 Elsevier Ltd. All rights reserved.","author":[{"dropping-particle":"","family":"Breccia","given":"Massimo","non-dropping-particle":"","parse-names":false,"suffix":""},{"dropping-particle":"","family":"Palandri","given":"Francesca","non-dropping-particle":"","parse-names":false,"suffix":""},{"dropping-particle":"","family":"Iori","given":"Anna Paola","non-dropping-particle":"","parse-names":false,"suffix":""},{"dropping-particle":"","family":"Colaci","given":"Elisabetta","non-dropping-particle":"","parse-names":false,"suffix":""},{"dropping-particle":"","family":"Latagliata","given":"Roberto","non-dropping-particle":"","parse-names":false,"suffix":""},{"dropping-particle":"","family":"Castagnetti","given":"Fausto","non-dropping-particle":"","parse-names":false,"suffix":""},{"dropping-particle":"","family":"Torelli","given":"Giovanni Fernando","non-dropping-particle":"","parse-names":false,"suffix":""},{"dropping-particle":"","family":"Usai","given":"Sara","non-dropping-particle":"","parse-names":false,"suffix":""},{"dropping-particle":"","family":"Valle","given":"Veronica","non-dropping-particle":"","parse-names":false,"suffix":""},{"dropping-particle":"","family":"Martinelli","given":"Giovanni","non-dropping-particle":"","parse-names":false,"suffix":""},{"dropping-particle":"","family":"Rosti","given":"Gianantonio","non-dropping-particle":"","parse-names":false,"suffix":""},{"dropping-particle":"","family":"Foà","given":"Robin","non-dropping-particle":"","parse-names":false,"suffix":""},{"dropping-particle":"","family":"Baccarani","given":"Michele","non-dropping-particle":"","parse-names":false,"suffix":""},{"dropping-particle":"","family":"Alimena","given":"Giuliana","non-dropping-particle":"","parse-names":false,"suffix":""}],"container-title":"Leukemia Research","id":"ITEM-7","issue":"2","issued":{"date-parts":[["2010","2"]]},"page":"143-147","title":"Second-generation tyrosine kinase inhibitors before allogeneic stem cell transplantation in patients with chronic myeloid leukemia resistant to imatinib","type":"article-journal","volume":"34"},"uris":["http://www.mendeley.com/documents/?uuid=df5b2f33-7ce3-3407-b80a-c55f2e8a8480"]}],"mendeley":{"formattedCitation":"[53,54,68–72]","plainTextFormattedCitation":"[53,54,68–72]","previouslyFormattedCitation":"[53,54,68–72]"},"properties":{"noteIndex":0},"schema":"https://github.com/citation-style-language/schema/raw/master/csl-citation.json"}</w:instrText>
      </w:r>
      <w:r w:rsidR="008605B3" w:rsidRPr="00A81B23">
        <w:fldChar w:fldCharType="separate"/>
      </w:r>
      <w:bookmarkStart w:id="46" w:name="__Fieldmark__2942_2024483163"/>
      <w:r w:rsidR="008605B3" w:rsidRPr="008B7ADA">
        <w:rPr>
          <w:iCs/>
          <w:szCs w:val="24"/>
          <w:lang w:eastAsia="ru-RU"/>
        </w:rPr>
        <w:t>[</w:t>
      </w:r>
      <w:bookmarkStart w:id="47" w:name="__Fieldmark__3232_562553030"/>
      <w:r w:rsidR="008605B3" w:rsidRPr="008B7ADA">
        <w:rPr>
          <w:iCs/>
          <w:szCs w:val="24"/>
          <w:lang w:eastAsia="ru-RU"/>
        </w:rPr>
        <w:t>53,54,68–72]</w:t>
      </w:r>
      <w:r w:rsidR="008605B3" w:rsidRPr="00A81B23">
        <w:fldChar w:fldCharType="end"/>
      </w:r>
      <w:bookmarkEnd w:id="46"/>
      <w:bookmarkEnd w:id="47"/>
      <w:r w:rsidR="008605B3" w:rsidRPr="008B7ADA">
        <w:rPr>
          <w:iCs/>
          <w:szCs w:val="24"/>
          <w:lang w:eastAsia="ru-RU"/>
        </w:rPr>
        <w:t>.</w:t>
      </w:r>
    </w:p>
    <w:p w14:paraId="705ACB06" w14:textId="77777777" w:rsidR="000C7098" w:rsidRPr="008B7ADA" w:rsidRDefault="000C7098" w:rsidP="008B7ADA">
      <w:pPr>
        <w:ind w:left="709" w:firstLine="0"/>
        <w:rPr>
          <w:b/>
          <w:bCs/>
          <w:szCs w:val="24"/>
          <w:lang w:eastAsia="ru-RU"/>
        </w:rPr>
      </w:pPr>
      <w:r w:rsidRPr="008B7ADA">
        <w:rPr>
          <w:b/>
          <w:bCs/>
          <w:szCs w:val="24"/>
          <w:lang w:eastAsia="ru-RU"/>
        </w:rPr>
        <w:t xml:space="preserve">Уровень убедительности рекомендаций – </w:t>
      </w:r>
      <w:r w:rsidR="008D4635" w:rsidRPr="008B7ADA">
        <w:rPr>
          <w:b/>
          <w:bCs/>
          <w:szCs w:val="24"/>
          <w:lang w:eastAsia="ru-RU"/>
        </w:rPr>
        <w:t xml:space="preserve">С </w:t>
      </w:r>
      <w:r w:rsidRPr="008B7ADA">
        <w:rPr>
          <w:b/>
          <w:bCs/>
          <w:szCs w:val="24"/>
          <w:lang w:eastAsia="ru-RU"/>
        </w:rPr>
        <w:t xml:space="preserve">(уровень достоверности доказательств – </w:t>
      </w:r>
      <w:r w:rsidR="008D4635" w:rsidRPr="008B7ADA">
        <w:rPr>
          <w:b/>
          <w:bCs/>
          <w:szCs w:val="24"/>
          <w:lang w:eastAsia="ru-RU"/>
        </w:rPr>
        <w:t>4</w:t>
      </w:r>
      <w:r w:rsidRPr="008B7ADA">
        <w:rPr>
          <w:b/>
          <w:bCs/>
          <w:szCs w:val="24"/>
          <w:lang w:eastAsia="ru-RU"/>
        </w:rPr>
        <w:t>).</w:t>
      </w:r>
    </w:p>
    <w:p w14:paraId="30DF5018" w14:textId="59BD97E8" w:rsidR="000C7098" w:rsidRPr="00062B4F" w:rsidRDefault="000C7098" w:rsidP="0026684C">
      <w:pPr>
        <w:rPr>
          <w:i/>
          <w:iCs/>
          <w:szCs w:val="24"/>
          <w:lang w:eastAsia="ru-RU"/>
        </w:rPr>
      </w:pPr>
      <w:r w:rsidRPr="00062B4F">
        <w:rPr>
          <w:b/>
          <w:bCs/>
          <w:i/>
          <w:iCs/>
          <w:szCs w:val="24"/>
          <w:lang w:eastAsia="ru-RU"/>
        </w:rPr>
        <w:t xml:space="preserve">Комментарии: </w:t>
      </w:r>
      <w:r w:rsidR="00DB5B77" w:rsidRPr="00DB5B77">
        <w:rPr>
          <w:i/>
          <w:iCs/>
          <w:szCs w:val="24"/>
          <w:lang w:eastAsia="ru-RU"/>
        </w:rPr>
        <w:t>аллогенная ТГСК</w:t>
      </w:r>
      <w:r w:rsidR="0026684C">
        <w:rPr>
          <w:b/>
          <w:bCs/>
          <w:i/>
          <w:iCs/>
          <w:szCs w:val="24"/>
          <w:lang w:eastAsia="ru-RU"/>
        </w:rPr>
        <w:t xml:space="preserve"> </w:t>
      </w:r>
      <w:r w:rsidR="00DB5B77">
        <w:rPr>
          <w:i/>
          <w:iCs/>
          <w:szCs w:val="24"/>
          <w:lang w:eastAsia="ru-RU"/>
        </w:rPr>
        <w:t>показана в</w:t>
      </w:r>
      <w:r w:rsidR="0026684C" w:rsidRPr="0026684C">
        <w:rPr>
          <w:i/>
          <w:iCs/>
          <w:szCs w:val="24"/>
          <w:lang w:eastAsia="ru-RU"/>
        </w:rPr>
        <w:t xml:space="preserve"> </w:t>
      </w:r>
      <w:r w:rsidR="005E2E51">
        <w:rPr>
          <w:i/>
          <w:iCs/>
          <w:szCs w:val="24"/>
          <w:lang w:eastAsia="ru-RU"/>
        </w:rPr>
        <w:t>ХФ</w:t>
      </w:r>
      <w:r w:rsidR="0026684C" w:rsidRPr="0026684C">
        <w:rPr>
          <w:i/>
          <w:iCs/>
          <w:szCs w:val="24"/>
          <w:lang w:eastAsia="ru-RU"/>
        </w:rPr>
        <w:t xml:space="preserve"> ХМЛ - при неудаче терапии 2-х линий ИТК</w:t>
      </w:r>
      <w:r w:rsidR="00FF6C93">
        <w:rPr>
          <w:i/>
          <w:iCs/>
          <w:szCs w:val="24"/>
          <w:lang w:eastAsia="ru-RU"/>
        </w:rPr>
        <w:t xml:space="preserve"> или ИТК2ого поколения в первой линии</w:t>
      </w:r>
      <w:r w:rsidR="0026684C" w:rsidRPr="0026684C">
        <w:rPr>
          <w:i/>
          <w:iCs/>
          <w:szCs w:val="24"/>
          <w:lang w:eastAsia="ru-RU"/>
        </w:rPr>
        <w:t xml:space="preserve"> и/или при наличии мутации T315I</w:t>
      </w:r>
      <w:r w:rsidR="004803B9">
        <w:rPr>
          <w:i/>
          <w:iCs/>
          <w:szCs w:val="24"/>
          <w:lang w:eastAsia="ru-RU"/>
        </w:rPr>
        <w:t xml:space="preserve"> </w:t>
      </w:r>
      <w:r w:rsidR="004803B9" w:rsidRPr="00A777E6">
        <w:rPr>
          <w:i/>
          <w:iCs/>
          <w:szCs w:val="24"/>
          <w:lang w:eastAsia="ru-RU"/>
        </w:rPr>
        <w:t>(при</w:t>
      </w:r>
      <w:r w:rsidR="00CD0532" w:rsidRPr="00A777E6">
        <w:rPr>
          <w:i/>
          <w:iCs/>
          <w:szCs w:val="24"/>
          <w:lang w:eastAsia="ru-RU"/>
        </w:rPr>
        <w:t xml:space="preserve"> неэффективности или</w:t>
      </w:r>
      <w:r w:rsidR="004803B9" w:rsidRPr="00A777E6">
        <w:rPr>
          <w:i/>
          <w:iCs/>
          <w:szCs w:val="24"/>
          <w:lang w:eastAsia="ru-RU"/>
        </w:rPr>
        <w:t xml:space="preserve"> отсутствии возможности назначения </w:t>
      </w:r>
      <w:proofErr w:type="spellStart"/>
      <w:r w:rsidR="004803B9" w:rsidRPr="00A777E6">
        <w:rPr>
          <w:i/>
          <w:iCs/>
          <w:szCs w:val="24"/>
          <w:lang w:eastAsia="ru-RU"/>
        </w:rPr>
        <w:t>понатиниба</w:t>
      </w:r>
      <w:proofErr w:type="spellEnd"/>
      <w:r w:rsidR="004803B9" w:rsidRPr="00A777E6">
        <w:rPr>
          <w:i/>
          <w:iCs/>
          <w:szCs w:val="24"/>
          <w:lang w:eastAsia="ru-RU"/>
        </w:rPr>
        <w:t>)</w:t>
      </w:r>
      <w:r w:rsidR="0026684C" w:rsidRPr="00A777E6">
        <w:rPr>
          <w:i/>
          <w:iCs/>
          <w:szCs w:val="24"/>
          <w:lang w:eastAsia="ru-RU"/>
        </w:rPr>
        <w:t xml:space="preserve"> и/или в с</w:t>
      </w:r>
      <w:r w:rsidR="0026684C" w:rsidRPr="0026684C">
        <w:rPr>
          <w:i/>
          <w:iCs/>
          <w:szCs w:val="24"/>
          <w:lang w:eastAsia="ru-RU"/>
        </w:rPr>
        <w:t xml:space="preserve">лучае непереносимости ИТК (рецидивирующие затяжные </w:t>
      </w:r>
      <w:proofErr w:type="spellStart"/>
      <w:r w:rsidR="0026684C" w:rsidRPr="0026684C">
        <w:rPr>
          <w:i/>
          <w:iCs/>
          <w:szCs w:val="24"/>
          <w:lang w:eastAsia="ru-RU"/>
        </w:rPr>
        <w:t>цитопении</w:t>
      </w:r>
      <w:proofErr w:type="spellEnd"/>
      <w:r w:rsidR="0026684C" w:rsidRPr="0026684C">
        <w:rPr>
          <w:i/>
          <w:iCs/>
          <w:szCs w:val="24"/>
          <w:lang w:eastAsia="ru-RU"/>
        </w:rPr>
        <w:t xml:space="preserve"> 3-4ст на любой линии терапии в особенности при выявлении дополнительных хромосомных аномалий в </w:t>
      </w:r>
      <w:proofErr w:type="spellStart"/>
      <w:r w:rsidR="0026684C" w:rsidRPr="0026684C">
        <w:rPr>
          <w:i/>
          <w:iCs/>
          <w:szCs w:val="24"/>
          <w:lang w:eastAsia="ru-RU"/>
        </w:rPr>
        <w:t>Ph</w:t>
      </w:r>
      <w:proofErr w:type="spellEnd"/>
      <w:r w:rsidR="0026684C" w:rsidRPr="0026684C">
        <w:rPr>
          <w:i/>
          <w:iCs/>
          <w:szCs w:val="24"/>
          <w:lang w:eastAsia="ru-RU"/>
        </w:rPr>
        <w:t xml:space="preserve">-негативных клетках, а также в случае аплазии или фиброза костного мозга по данным морфологического исследования </w:t>
      </w:r>
      <w:proofErr w:type="spellStart"/>
      <w:r w:rsidR="0026684C" w:rsidRPr="0026684C">
        <w:rPr>
          <w:i/>
          <w:iCs/>
          <w:szCs w:val="24"/>
          <w:lang w:eastAsia="ru-RU"/>
        </w:rPr>
        <w:t>трепанобиоптата</w:t>
      </w:r>
      <w:proofErr w:type="spellEnd"/>
      <w:r w:rsidR="0026684C" w:rsidRPr="0026684C">
        <w:rPr>
          <w:i/>
          <w:iCs/>
          <w:szCs w:val="24"/>
          <w:lang w:eastAsia="ru-RU"/>
        </w:rPr>
        <w:t xml:space="preserve"> костного мозга, </w:t>
      </w:r>
      <w:proofErr w:type="spellStart"/>
      <w:r w:rsidR="0026684C" w:rsidRPr="0026684C">
        <w:rPr>
          <w:i/>
          <w:iCs/>
          <w:szCs w:val="24"/>
          <w:lang w:eastAsia="ru-RU"/>
        </w:rPr>
        <w:t>негематологическая</w:t>
      </w:r>
      <w:proofErr w:type="spellEnd"/>
      <w:r w:rsidR="0026684C" w:rsidRPr="0026684C">
        <w:rPr>
          <w:i/>
          <w:iCs/>
          <w:szCs w:val="24"/>
          <w:lang w:eastAsia="ru-RU"/>
        </w:rPr>
        <w:t xml:space="preserve"> </w:t>
      </w:r>
      <w:proofErr w:type="spellStart"/>
      <w:r w:rsidR="0026684C" w:rsidRPr="0026684C">
        <w:rPr>
          <w:i/>
          <w:iCs/>
          <w:szCs w:val="24"/>
          <w:lang w:eastAsia="ru-RU"/>
        </w:rPr>
        <w:t>персистирующая</w:t>
      </w:r>
      <w:proofErr w:type="spellEnd"/>
      <w:r w:rsidR="0026684C" w:rsidRPr="0026684C">
        <w:rPr>
          <w:i/>
          <w:iCs/>
          <w:szCs w:val="24"/>
          <w:lang w:eastAsia="ru-RU"/>
        </w:rPr>
        <w:t xml:space="preserve"> токсичность 2-4ст на всех доступных ИТК) в отсутствии оптимального ответ</w:t>
      </w:r>
      <w:r w:rsidR="005E2E51">
        <w:rPr>
          <w:i/>
          <w:iCs/>
          <w:szCs w:val="24"/>
          <w:lang w:eastAsia="ru-RU"/>
        </w:rPr>
        <w:t xml:space="preserve">а </w:t>
      </w:r>
      <w:r w:rsidR="001D1652" w:rsidRPr="00062B4F">
        <w:rPr>
          <w:i/>
          <w:iCs/>
          <w:szCs w:val="24"/>
          <w:lang w:eastAsia="ru-RU"/>
        </w:rPr>
        <w:fldChar w:fldCharType="begin" w:fldLock="1"/>
      </w:r>
      <w:r w:rsidR="00CA6209" w:rsidRPr="00062B4F">
        <w:rPr>
          <w:i/>
          <w:iCs/>
          <w:szCs w:val="24"/>
          <w:lang w:eastAsia="ru-RU"/>
        </w:rPr>
        <w:instrText>ADDIN CSL_CITATION {"citationItems":[{"id":"ITEM-1","itemData":{"DOI":"10.1002/cncr.25092","ISSN":"0008543X","PMID":"20564073","abstract":"BACKGROUND Resistance to tyrosine kinase inhibitor (TKIs) therapy is associated with the development of kinase domain mutations. Although many imatinib-resistant mutations respond well to second-generation TKIs, the threonine-to-isoleucine mutation at codon 315 of the breakpoint cluster region/v-abl Abelson murine leukemia viral oncogene protein fusion Bcr-Abl (T315I) is insensitive to all currently available TKIs. The outcome in such patients after stem cell transplantation (SCT) is unknown. METHODS Eight patients with TKI-resistant CML who had T315I mutations underwent 9 transplantations. At the time of SCT, 2 patients were in chronic phase, 3 patients were in accelerated phase; and 3 patients were in second chronic phase. RESULTS The best responses after SCT were a complete molecular response (CMR) in 3 patients, a complete cytogenetic response (CCyR) in 4 patients, and a complete hematologic response (CHR) in 1 patient, and 1 patient had no response. The best outcome was for patients who underwent transplantation in chronic phase, and both of those patients remained alive and in complete molecular remission 14 months and 42 months after SCT. After a median follow-up of 13 months from SCT, 5 patients remained alive, including 3 patients in CMR, 1 patient in CCyR, and 1 patient in CHR. CONCLUSIONS The current results indicated that SCT is an effective strategy for patients with CML who have the T315I mutation, particularly in earlier stages.","author":[{"dropping-particle":"","family":"Velev","given":"Nikolai","non-dropping-particle":"","parse-names":false,"suffix":""},{"dropping-particle":"","family":"Cortes","given":"Jorge","non-dropping-particle":"","parse-names":false,"suffix":""},{"dropping-particle":"","family":"Champlin","given":"Richard","non-dropping-particle":"","parse-names":false,"suffix":""},{"dropping-particle":"","family":"Jones","given":"Dan","non-dropping-particle":"","parse-names":false,"suffix":""},{"dropping-particle":"","family":"Rondon","given":"Gabriela","non-dropping-particle":"","parse-names":false,"suffix":""},{"dropping-particle":"","family":"Giralt","given":"Sergio","non-dropping-particle":"","parse-names":false,"suffix":""},{"dropping-particle":"","family":"Borthakur","given":"Gautam","non-dropping-particle":"","parse-names":false,"suffix":""},{"dropping-particle":"","family":"Kantarjian","given":"Hagop M.","non-dropping-particle":"","parse-names":false,"suffix":""},{"dropping-particle":"","family":"Lima","given":"Marcos","non-dropping-particle":"De","parse-names":false,"suffix":""}],"container-title":"Cancer","id":"ITEM-1","issue":"15","issued":{"date-parts":[["2010","5"]]},"page":"3631-3637","title":"Stem cell transplantation for patients with chronic myeloid leukemia resistant to tyrosine kinase inhibitors with BCR-ABL kinase domain mutation T315I","type":"article-journal","volume":"116"},"uris":["http://www.mendeley.com/documents/?uuid=29eb1dc2-0915-41a4-86c0-be0177d76bf0"]},{"id":"ITEM-2","itemData":{"DOI":"10.1182/blood-2010-08-302679","ISSN":"0006-4971","PMID":"21156844","abstract":"Hematopoietic stem cell transplantation (HSCT) is effective therapy for patients with chronic myelogenous leukemia (CML) but is now mostly indicated for patients who develop resistance to tyrosine kinase inhibitors (TKIs), which can be associated with point mutations in BCR-ABL1. We reviewed the outcomes of imatinib-resistant CML patients (chronic phase, n = 34; accelerated phase [AP], n = 9; and blast phase [BP], n = 4) who underwent HSCT and had BCR-ABL1 sequencing. Mutations were found in 19 patients (40%); 15 of 19 had advanced CML (AP + BP + second chronic phase). Patients with mutations were more likely to transform to AP/BP at time of imatinib failure (69% vs 35%, P = .03). Forty-two patients (89%) responded to HSCT: 32 (68%) had at least a major molecular response. The 2-year event-free survival was 36% and 58% (P = .05) for the mutant and nonmutant groups, respectively; and the 2-year overall survival was 44% and 76% (P = .02), respectively. HSCT is an important salvage option for TKI-resistant patients with or without BCR-ABL1 mutations. Patients with mutations were more likely to develop advanced disease and had worse outcomes after HSCT. HSCT should be considered early for patients deemed to have a low probability of responding to second-generation TKI.","author":[{"dropping-particle":"","family":"Jabbour","given":"E.","non-dropping-particle":"","parse-names":false,"suffix":""},{"dropping-particle":"","family":"Cortes","given":"J.","non-dropping-particle":"","parse-names":false,"suffix":""},{"dropping-particle":"","family":"Santos","given":"F. P. S.","non-dropping-particle":"","parse-names":false,"suffix":""},{"dropping-particle":"","family":"Jones","given":"D.","non-dropping-particle":"","parse-names":false,"suffix":""},{"dropping-particle":"","family":"O'Brien","given":"S.","non-dropping-particle":"","parse-names":false,"suffix":""},{"dropping-particle":"","family":"Rondon","given":"G.","non-dropping-particle":"","parse-names":false,"suffix":""},{"dropping-particle":"","family":"Popat","given":"U.","non-dropping-particle":"","parse-names":false,"suffix":""},{"dropping-particle":"","family":"Giralt","given":"S.","non-dropping-particle":"","parse-names":false,"suffix":""},{"dropping-particle":"","family":"Kebriaei","given":"P.","non-dropping-particle":"","parse-names":false,"suffix":""},{"dropping-particle":"","family":"Jones","given":"R. B.","non-dropping-particle":"","parse-names":false,"suffix":""},{"dropping-particle":"","family":"Kantarjian","given":"H.","non-dropping-particle":"","parse-names":false,"suffix":""},{"dropping-particle":"","family":"Champlin","given":"R.","non-dropping-particle":"","parse-names":false,"suffix":""},{"dropping-particle":"","family":"Lima","given":"M.","non-dropping-particle":"de","parse-names":false,"suffix":""}],"container-title":"Blood","id":"ITEM-2","issue":"13","issued":{"date-parts":[["2011","3"]]},"page":"3641-3647","title":"Results of allogeneic hematopoietic stem cell transplantation for chronic myelogenous leukemia patients who failed tyrosine kinase inhibitors after developing BCR-ABL1 kinase domain mutations","type":"article-journal","volume":"117"},"uris":["http://www.mendeley.com/documents/?uuid=2964b775-8ec5-46db-918a-bd523f6c9af2"]}],"mendeley":{"formattedCitation":"[52,53]","plainTextFormattedCitation":"[52,53]","previouslyFormattedCitation":"[52,53]"},"properties":{"noteIndex":0},"schema":"https://github.com/citation-style-language/schema/raw/master/csl-citation.json"}</w:instrText>
      </w:r>
      <w:r w:rsidR="001D1652" w:rsidRPr="00062B4F">
        <w:rPr>
          <w:i/>
          <w:iCs/>
          <w:szCs w:val="24"/>
          <w:lang w:eastAsia="ru-RU"/>
        </w:rPr>
        <w:fldChar w:fldCharType="separate"/>
      </w:r>
      <w:r w:rsidR="001D1652" w:rsidRPr="00062B4F">
        <w:rPr>
          <w:iCs/>
          <w:noProof/>
          <w:szCs w:val="24"/>
          <w:lang w:eastAsia="ru-RU"/>
        </w:rPr>
        <w:t>[52,53]</w:t>
      </w:r>
      <w:r w:rsidR="001D1652" w:rsidRPr="00062B4F">
        <w:rPr>
          <w:i/>
          <w:iCs/>
          <w:szCs w:val="24"/>
          <w:lang w:eastAsia="ru-RU"/>
        </w:rPr>
        <w:fldChar w:fldCharType="end"/>
      </w:r>
      <w:r w:rsidRPr="00062B4F">
        <w:rPr>
          <w:i/>
          <w:iCs/>
          <w:szCs w:val="24"/>
          <w:lang w:eastAsia="ru-RU"/>
        </w:rPr>
        <w:t xml:space="preserve">. </w:t>
      </w:r>
    </w:p>
    <w:p w14:paraId="44CA83CA" w14:textId="688FF683" w:rsidR="000375D7" w:rsidRPr="000375D7" w:rsidRDefault="000375D7" w:rsidP="000375D7">
      <w:pPr>
        <w:rPr>
          <w:i/>
          <w:iCs/>
          <w:szCs w:val="24"/>
          <w:lang w:eastAsia="ru-RU"/>
        </w:rPr>
      </w:pPr>
      <w:r w:rsidRPr="000375D7">
        <w:rPr>
          <w:i/>
          <w:iCs/>
          <w:szCs w:val="24"/>
          <w:lang w:eastAsia="ru-RU"/>
        </w:rPr>
        <w:t xml:space="preserve">В случае дебюта ХМЛ в </w:t>
      </w:r>
      <w:r w:rsidR="005E2E51">
        <w:rPr>
          <w:i/>
          <w:iCs/>
          <w:szCs w:val="24"/>
          <w:lang w:eastAsia="ru-RU"/>
        </w:rPr>
        <w:t>ФА</w:t>
      </w:r>
      <w:r w:rsidRPr="000375D7">
        <w:rPr>
          <w:i/>
          <w:iCs/>
          <w:szCs w:val="24"/>
          <w:lang w:eastAsia="ru-RU"/>
        </w:rPr>
        <w:t xml:space="preserve"> – при неудаче терапии первой линии ИТК и/или </w:t>
      </w:r>
      <w:proofErr w:type="spellStart"/>
      <w:r w:rsidRPr="000375D7">
        <w:rPr>
          <w:i/>
          <w:iCs/>
          <w:szCs w:val="24"/>
          <w:lang w:eastAsia="ru-RU"/>
        </w:rPr>
        <w:t>недостижении</w:t>
      </w:r>
      <w:proofErr w:type="spellEnd"/>
      <w:r w:rsidRPr="000375D7">
        <w:rPr>
          <w:i/>
          <w:iCs/>
          <w:szCs w:val="24"/>
          <w:lang w:eastAsia="ru-RU"/>
        </w:rPr>
        <w:t xml:space="preserve"> оптимального ответа на 2-х линиях ИТК и/или в любое время при наличии мутации T315I</w:t>
      </w:r>
      <w:r w:rsidR="008E0422">
        <w:rPr>
          <w:i/>
          <w:iCs/>
          <w:szCs w:val="24"/>
          <w:lang w:eastAsia="ru-RU"/>
        </w:rPr>
        <w:t xml:space="preserve"> </w:t>
      </w:r>
      <w:r w:rsidR="008E0422" w:rsidRPr="00A777E6">
        <w:rPr>
          <w:i/>
          <w:iCs/>
          <w:szCs w:val="24"/>
          <w:lang w:eastAsia="ru-RU"/>
        </w:rPr>
        <w:t xml:space="preserve">(при неэффективности или отсутствии возможности назначения </w:t>
      </w:r>
      <w:proofErr w:type="spellStart"/>
      <w:r w:rsidR="008E0422" w:rsidRPr="00A777E6">
        <w:rPr>
          <w:i/>
          <w:iCs/>
          <w:szCs w:val="24"/>
          <w:lang w:eastAsia="ru-RU"/>
        </w:rPr>
        <w:t>понатиниба</w:t>
      </w:r>
      <w:proofErr w:type="spellEnd"/>
      <w:r w:rsidR="008E0422" w:rsidRPr="00A777E6">
        <w:rPr>
          <w:i/>
          <w:iCs/>
          <w:szCs w:val="24"/>
          <w:lang w:eastAsia="ru-RU"/>
        </w:rPr>
        <w:t>)</w:t>
      </w:r>
      <w:r w:rsidR="00F70045" w:rsidRPr="00A777E6">
        <w:rPr>
          <w:i/>
          <w:iCs/>
          <w:szCs w:val="24"/>
          <w:lang w:eastAsia="ru-RU"/>
        </w:rPr>
        <w:t>.</w:t>
      </w:r>
      <w:r w:rsidR="00DB5B77" w:rsidRPr="00A777E6">
        <w:rPr>
          <w:i/>
          <w:iCs/>
          <w:szCs w:val="24"/>
          <w:lang w:eastAsia="ru-RU"/>
        </w:rPr>
        <w:t xml:space="preserve"> В сл</w:t>
      </w:r>
      <w:r w:rsidR="00DB5B77" w:rsidRPr="000375D7">
        <w:rPr>
          <w:i/>
          <w:iCs/>
          <w:szCs w:val="24"/>
          <w:lang w:eastAsia="ru-RU"/>
        </w:rPr>
        <w:t xml:space="preserve">учае дебюта ХМЛ в </w:t>
      </w:r>
      <w:r w:rsidR="00DB5B77">
        <w:rPr>
          <w:i/>
          <w:iCs/>
          <w:szCs w:val="24"/>
          <w:lang w:eastAsia="ru-RU"/>
        </w:rPr>
        <w:t>БК</w:t>
      </w:r>
      <w:r w:rsidR="00F70045">
        <w:rPr>
          <w:i/>
          <w:iCs/>
          <w:szCs w:val="24"/>
          <w:lang w:eastAsia="ru-RU"/>
        </w:rPr>
        <w:t xml:space="preserve"> или при прогрессии в БК.</w:t>
      </w:r>
    </w:p>
    <w:p w14:paraId="34B9D509" w14:textId="33DC8B54" w:rsidR="0068735F" w:rsidRDefault="000375D7" w:rsidP="0068735F">
      <w:pPr>
        <w:rPr>
          <w:i/>
          <w:iCs/>
          <w:szCs w:val="24"/>
          <w:lang w:eastAsia="ru-RU"/>
        </w:rPr>
      </w:pPr>
      <w:r w:rsidRPr="000375D7">
        <w:rPr>
          <w:i/>
          <w:iCs/>
          <w:szCs w:val="24"/>
          <w:lang w:eastAsia="ru-RU"/>
        </w:rPr>
        <w:t xml:space="preserve">В </w:t>
      </w:r>
      <w:r w:rsidR="007D67C1">
        <w:rPr>
          <w:i/>
          <w:iCs/>
          <w:szCs w:val="24"/>
          <w:lang w:eastAsia="ru-RU"/>
        </w:rPr>
        <w:t>ФА</w:t>
      </w:r>
      <w:r w:rsidRPr="000375D7">
        <w:rPr>
          <w:i/>
          <w:iCs/>
          <w:szCs w:val="24"/>
          <w:lang w:eastAsia="ru-RU"/>
        </w:rPr>
        <w:t xml:space="preserve">, </w:t>
      </w:r>
      <w:proofErr w:type="spellStart"/>
      <w:r w:rsidR="005C62ED" w:rsidRPr="000375D7">
        <w:rPr>
          <w:i/>
          <w:iCs/>
          <w:szCs w:val="24"/>
          <w:lang w:eastAsia="ru-RU"/>
        </w:rPr>
        <w:t>р</w:t>
      </w:r>
      <w:r w:rsidR="005C62ED">
        <w:rPr>
          <w:i/>
          <w:iCs/>
          <w:szCs w:val="24"/>
          <w:lang w:eastAsia="ru-RU"/>
        </w:rPr>
        <w:t>а</w:t>
      </w:r>
      <w:r w:rsidR="005C62ED" w:rsidRPr="000375D7">
        <w:rPr>
          <w:i/>
          <w:iCs/>
          <w:szCs w:val="24"/>
          <w:lang w:eastAsia="ru-RU"/>
        </w:rPr>
        <w:t>звившейся</w:t>
      </w:r>
      <w:proofErr w:type="spellEnd"/>
      <w:r w:rsidRPr="000375D7">
        <w:rPr>
          <w:i/>
          <w:iCs/>
          <w:szCs w:val="24"/>
          <w:lang w:eastAsia="ru-RU"/>
        </w:rPr>
        <w:t xml:space="preserve"> в ходе терапии ИТК, а также в </w:t>
      </w:r>
      <w:r w:rsidR="007D67C1">
        <w:rPr>
          <w:i/>
          <w:iCs/>
          <w:szCs w:val="24"/>
          <w:lang w:eastAsia="ru-RU"/>
        </w:rPr>
        <w:t>БК</w:t>
      </w:r>
      <w:r w:rsidRPr="000375D7">
        <w:rPr>
          <w:i/>
          <w:iCs/>
          <w:szCs w:val="24"/>
          <w:lang w:eastAsia="ru-RU"/>
        </w:rPr>
        <w:t xml:space="preserve"> - всем пациентам сразу после достижения ХФ на фоне ИТК и/или сочетания ИТК с химиотерапией. Выполнение </w:t>
      </w:r>
      <w:proofErr w:type="spellStart"/>
      <w:r w:rsidRPr="000375D7">
        <w:rPr>
          <w:i/>
          <w:iCs/>
          <w:szCs w:val="24"/>
          <w:lang w:eastAsia="ru-RU"/>
        </w:rPr>
        <w:t>аллоТГСК</w:t>
      </w:r>
      <w:proofErr w:type="spellEnd"/>
      <w:r w:rsidRPr="000375D7">
        <w:rPr>
          <w:i/>
          <w:iCs/>
          <w:szCs w:val="24"/>
          <w:lang w:eastAsia="ru-RU"/>
        </w:rPr>
        <w:t xml:space="preserve"> вне гематологического ответа (редукция </w:t>
      </w:r>
      <w:proofErr w:type="spellStart"/>
      <w:r w:rsidRPr="000375D7">
        <w:rPr>
          <w:i/>
          <w:iCs/>
          <w:szCs w:val="24"/>
          <w:lang w:eastAsia="ru-RU"/>
        </w:rPr>
        <w:t>бластоза</w:t>
      </w:r>
      <w:proofErr w:type="spellEnd"/>
      <w:r w:rsidRPr="000375D7">
        <w:rPr>
          <w:i/>
          <w:iCs/>
          <w:szCs w:val="24"/>
          <w:lang w:eastAsia="ru-RU"/>
        </w:rPr>
        <w:t xml:space="preserve"> &lt;10% в крови и костном мозге, регресс всех экстрамедуллярных очагов и санация ликвора) не показано</w:t>
      </w:r>
      <w:r w:rsidR="0068735F">
        <w:rPr>
          <w:i/>
          <w:iCs/>
          <w:szCs w:val="24"/>
          <w:lang w:eastAsia="ru-RU"/>
        </w:rPr>
        <w:t>.</w:t>
      </w:r>
      <w:r w:rsidR="0068735F" w:rsidRPr="0068735F">
        <w:rPr>
          <w:i/>
          <w:iCs/>
          <w:szCs w:val="24"/>
          <w:lang w:eastAsia="ru-RU"/>
        </w:rPr>
        <w:t xml:space="preserve"> </w:t>
      </w:r>
      <w:r w:rsidR="0068735F" w:rsidRPr="00062B4F">
        <w:rPr>
          <w:i/>
          <w:iCs/>
          <w:szCs w:val="24"/>
          <w:lang w:eastAsia="ru-RU"/>
        </w:rPr>
        <w:fldChar w:fldCharType="begin" w:fldLock="1"/>
      </w:r>
      <w:r w:rsidR="0068735F" w:rsidRPr="00062B4F">
        <w:rPr>
          <w:i/>
          <w:iCs/>
          <w:szCs w:val="24"/>
          <w:lang w:eastAsia="ru-RU"/>
        </w:rPr>
        <w:instrText>ADDIN CSL_CITATION {"citationItems":[{"id":"ITEM-1","itemData":{"DOI":"10.1182/blood-2010-01-263624","ISSN":"00064971","abstract":"Outstanding results have been obtained in the treatment of chronic myeloid leukemia (CML) with first-line imatinib therapy. However, approximately 35% of patients will not obtain long-term benefit with this approach. Allogeneic hematopoietic stem cell transplantation (HCT) is a valuable second- and third-line therapy for appropriately selected patients. To identify useful prognostic indicators of transplantation outcome in postimatinib therapeutic interventions, we investigated the role of the HCT comorbidity index (HCT-CI) together with levels of C-reactive protein (CRP) before HCT in 271 patients who underwent myeloablative HCT for CML in first chronic phase. Multivariate analysis showed both an HCT-CI score higher than 0 and CRP levels higher than 9 mg/L independently predict inferior survival and increased nonrelapse mortality at 100 days after HCT. CML patients without comorbidities (HCT-CI score 0) with normal CRP levels (0-9 mg/L) may therefore be candidates for early allogeneic HCT after failing imatinib. © 2010 by The American Society of Hematology.","author":[{"dropping-particle":"","family":"Pavlů","given":"Jiří","non-dropping-particle":"","parse-names":false,"suffix":""},{"dropping-particle":"","family":"Kew","given":"Andrea K.","non-dropping-particle":"","parse-names":false,"suffix":""},{"dropping-particle":"","family":"Taylor-Roberts","given":"Beatrice","non-dropping-particle":"","parse-names":false,"suffix":""},{"dropping-particle":"","family":"Auner","given":"Holger W.","non-dropping-particle":"","parse-names":false,"suffix":""},{"dropping-particle":"","family":"Marin","given":"David","non-dropping-particle":"","parse-names":false,"suffix":""},{"dropping-particle":"","family":"Olavarria","given":"Eduardo","non-dropping-particle":"","parse-names":false,"suffix":""},{"dropping-particle":"","family":"Kanfer","given":"Edward J.","non-dropping-particle":"","parse-names":false,"suffix":""},{"dropping-particle":"","family":"MacDonald","given":"Donald H.","non-dropping-particle":"","parse-names":false,"suffix":""},{"dropping-particle":"","family":"Milojkovic","given":"Dragana","non-dropping-particle":"","parse-names":false,"suffix":""},{"dropping-particle":"","family":"Rahemtulla","given":"Amin","non-dropping-particle":"","parse-names":false,"suffix":""},{"dropping-particle":"","family":"Rezvani","given":"Katayoun","non-dropping-particle":"","parse-names":false,"suffix":""},{"dropping-particle":"","family":"Goldman","given":"John M.","non-dropping-particle":"","parse-names":false,"suffix":""},{"dropping-particle":"","family":"Apperley","given":"Jane F.","non-dropping-particle":"","parse-names":false,"suffix":""},{"dropping-particle":"","family":"Szydlo","given":"Richard M.","non-dropping-particle":"","parse-names":false,"suffix":""}],"container-title":"Blood","id":"ITEM-1","issue":"20","issued":{"date-parts":[["2010","5","20"]]},"page":"4018-4020","title":"Optimizing patient selection for myeloablative allogeneic hematopoietic cell transplantation in chronic myeloid leukemia in chronic phase","type":"article-journal","volume":"115"},"uris":["http://www.mendeley.com/documents/?uuid=4951b518-bebb-359b-a184-99f49ff81fd3"]},{"id":"ITEM-2","itemData":{"DOI":"10.1182/blood-2009-08-237115","ISSN":"00064971","abstract":"The role of allogeneic stem cell transplantation in chronic myeloid leukemia is being reevaluated. Whereas drug treatment has been shown to be superior in first-line treatment, data on allogeneic hematopoietic stem cell transplantation (allo SCT) as second-line therapy after imatinib failure are scarce. Using an interim safety analysis of the randomized German CML Study IV designed to optimize imatinib therapy by combination, dose escalation, and transplantation, we here report on 84 patients who underwent consecutive transplantation according to predefined criteria (low European Group for Blood and Marrow Transplantation [EBMT] score, imatinib failure, and advanced disease). Three-year survival after transplantation of 56 patients in chronic phase was 91% (median follow-up: 30 months). Transplantation-related mortality was 8%. In a matched pair comparison of patients who received a transplant and those who did not, survival was not different. Three-year survival after transplantation of 28 patients in advanced phase was 59%. Eighty-eight percent of patients who received a transplant achieved complete molecular remissions. We conclude that allo SCT could become the preferred second-line option after imatinib failure for suitable patients with a donor. The study is registered at the National Institutes of Health, http://clinicaltrials.gov:NCT00055874. © 2010 by The American Society of Hematology.","author":[{"dropping-particle":"","family":"Saussele","given":"Susanne","non-dropping-particle":"","parse-names":false,"suffix":""},{"dropping-particle":"","family":"Lauseker","given":"Michael","non-dropping-particle":"","parse-names":false,"suffix":""},{"dropping-particle":"","family":"Gratwohl","given":"Alois","non-dropping-particle":"","parse-names":false,"suffix":""},{"dropping-particle":"","family":"Beelen","given":"Dietrich W.","non-dropping-particle":"","parse-names":false,"suffix":""},{"dropping-particle":"","family":"Bunjes","given":"Donald","non-dropping-particle":"","parse-names":false,"suffix":""},{"dropping-particle":"","family":"Schwerdtfeger","given":"Rainer","non-dropping-particle":"","parse-names":false,"suffix":""},{"dropping-particle":"","family":"Kolb","given":"Hans Jochem","non-dropping-particle":"","parse-names":false,"suffix":""},{"dropping-particle":"","family":"Ho","given":"Anthony D.","non-dropping-particle":"","parse-names":false,"suffix":""},{"dropping-particle":"","family":"Falge","given":"Christiane","non-dropping-particle":"","parse-names":false,"suffix":""},{"dropping-particle":"","family":"Holler","given":"Ernst","non-dropping-particle":"","parse-names":false,"suffix":""},{"dropping-particle":"","family":"Schlimok","given":"Günter","non-dropping-particle":"","parse-names":false,"suffix":""},{"dropping-particle":"","family":"Zander","given":"Axel R.","non-dropping-particle":"","parse-names":false,"suffix":""},{"dropping-particle":"","family":"Arnold","given":"Renate","non-dropping-particle":"","parse-names":false,"suffix":""},{"dropping-particle":"","family":"Kanz","given":"Lothar","non-dropping-particle":"","parse-names":false,"suffix":""},{"dropping-particle":"","family":"Dengler","given":"Robert","non-dropping-particle":"","parse-names":false,"suffix":""},{"dropping-particle":"","family":"Haferlach","given":"Claudia","non-dropping-particle":"","parse-names":false,"suffix":""},{"dropping-particle":"","family":"Schlegelberger","given":"Brigitte","non-dropping-particle":"","parse-names":false,"suffix":""},{"dropping-particle":"","family":"Pfirrmann","given":"Markus","non-dropping-particle":"","parse-names":false,"suffix":""},{"dropping-particle":"","family":"Müller","given":"Martin C.","non-dropping-particle":"","parse-names":false,"suffix":""},{"dropping-particle":"","family":"Schnittger","given":"Susanne","non-dropping-particle":"","parse-names":false,"suffix":""},{"dropping-particle":"","family":"Leitner","given":"Armin","non-dropping-particle":"","parse-names":false,"suffix":""},{"dropping-particle":"","family":"Pletsch","given":"Nadine","non-dropping-particle":"","parse-names":false,"suffix":""},{"dropping-particle":"","family":"Hochhaus","given":"Andreas","non-dropping-particle":"","parse-names":false,"suffix":""},{"dropping-particle":"","family":"Hasford","given":"Joerg","non-dropping-particle":"","parse-names":false,"suffix":""},{"dropping-particle":"","family":"Hehlmann","given":"Rüdiger","non-dropping-particle":"","parse-names":false,"suffix":""}],"container-title":"Blood","id":"ITEM-2","issue":"10","issued":{"date-parts":[["2010","3","11"]]},"page":"1880-1885","title":"Allogeneic hematopoietic stem cell transplantation (allo SCT) for chronic myeloid leukemia in the imatinib era: Evaluation of its impact within a subgroup of the randomized German CML study IV","type":"article-journal","volume":"115"},"uris":["http://www.mendeley.com/documents/?uuid=32798977-f26c-33b9-9c0c-740515b816d9"]}],"mendeley":{"formattedCitation":"[73,74]","plainTextFormattedCitation":"[73,74]","previouslyFormattedCitation":"[73,74]"},"properties":{"noteIndex":0},"schema":"https://github.com/citation-style-language/schema/raw/master/csl-citation.json"}</w:instrText>
      </w:r>
      <w:r w:rsidR="0068735F" w:rsidRPr="00062B4F">
        <w:rPr>
          <w:i/>
          <w:iCs/>
          <w:szCs w:val="24"/>
          <w:lang w:eastAsia="ru-RU"/>
        </w:rPr>
        <w:fldChar w:fldCharType="separate"/>
      </w:r>
      <w:r w:rsidR="0068735F" w:rsidRPr="00062B4F">
        <w:rPr>
          <w:iCs/>
          <w:noProof/>
          <w:szCs w:val="24"/>
          <w:lang w:eastAsia="ru-RU"/>
        </w:rPr>
        <w:t>[73,74]</w:t>
      </w:r>
      <w:r w:rsidR="0068735F" w:rsidRPr="00062B4F">
        <w:rPr>
          <w:i/>
          <w:iCs/>
          <w:szCs w:val="24"/>
          <w:lang w:eastAsia="ru-RU"/>
        </w:rPr>
        <w:fldChar w:fldCharType="end"/>
      </w:r>
      <w:r w:rsidR="0068735F" w:rsidRPr="00062B4F">
        <w:rPr>
          <w:i/>
          <w:iCs/>
          <w:szCs w:val="24"/>
          <w:lang w:eastAsia="ru-RU"/>
        </w:rPr>
        <w:t>.</w:t>
      </w:r>
    </w:p>
    <w:p w14:paraId="156D2B92" w14:textId="340E6723" w:rsidR="000C7098" w:rsidRPr="00062B4F" w:rsidRDefault="000C7098" w:rsidP="00B85EB5">
      <w:pPr>
        <w:pStyle w:val="3"/>
        <w:spacing w:before="120" w:after="120"/>
        <w:rPr>
          <w:rFonts w:ascii="Times New Roman" w:hAnsi="Times New Roman"/>
          <w:b/>
          <w:iCs/>
          <w:color w:val="auto"/>
        </w:rPr>
      </w:pPr>
      <w:bookmarkStart w:id="48" w:name="_Toc86133415"/>
      <w:r w:rsidRPr="00062B4F">
        <w:rPr>
          <w:rFonts w:ascii="Times New Roman" w:hAnsi="Times New Roman"/>
          <w:b/>
          <w:iCs/>
          <w:color w:val="auto"/>
        </w:rPr>
        <w:t>3.2.2. Сопроводительная терапия</w:t>
      </w:r>
      <w:bookmarkEnd w:id="48"/>
    </w:p>
    <w:p w14:paraId="3D55D0B7" w14:textId="3C59D3D8" w:rsidR="00DF32E4" w:rsidRDefault="00DF32E4" w:rsidP="00DF32E4">
      <w:pPr>
        <w:pStyle w:val="afe"/>
        <w:numPr>
          <w:ilvl w:val="0"/>
          <w:numId w:val="20"/>
        </w:numPr>
        <w:rPr>
          <w:szCs w:val="24"/>
        </w:rPr>
      </w:pPr>
      <w:r w:rsidRPr="00DF32E4">
        <w:rPr>
          <w:b/>
          <w:szCs w:val="24"/>
        </w:rPr>
        <w:t>Р</w:t>
      </w:r>
      <w:r w:rsidR="00B439D6" w:rsidRPr="00DF32E4">
        <w:rPr>
          <w:b/>
          <w:szCs w:val="24"/>
        </w:rPr>
        <w:t>екомендуется</w:t>
      </w:r>
      <w:r w:rsidRPr="00DF32E4">
        <w:rPr>
          <w:b/>
          <w:szCs w:val="24"/>
        </w:rPr>
        <w:t xml:space="preserve"> </w:t>
      </w:r>
      <w:r w:rsidRPr="00DF32E4">
        <w:rPr>
          <w:szCs w:val="24"/>
        </w:rPr>
        <w:t>п</w:t>
      </w:r>
      <w:r w:rsidR="000C7098" w:rsidRPr="00DF32E4">
        <w:rPr>
          <w:szCs w:val="24"/>
        </w:rPr>
        <w:t xml:space="preserve">ри возникновении острого или хронического болевого синдрома </w:t>
      </w:r>
      <w:r w:rsidRPr="00DF32E4">
        <w:rPr>
          <w:szCs w:val="24"/>
        </w:rPr>
        <w:t>проведение</w:t>
      </w:r>
      <w:r w:rsidR="000C7098" w:rsidRPr="00DF32E4">
        <w:rPr>
          <w:szCs w:val="24"/>
        </w:rPr>
        <w:t xml:space="preserve"> обезболивающ</w:t>
      </w:r>
      <w:r w:rsidRPr="00DF32E4">
        <w:rPr>
          <w:szCs w:val="24"/>
        </w:rPr>
        <w:t>ей терапии</w:t>
      </w:r>
      <w:r>
        <w:rPr>
          <w:szCs w:val="24"/>
        </w:rPr>
        <w:t>.</w:t>
      </w:r>
      <w:r w:rsidR="000C7098" w:rsidRPr="00DF32E4">
        <w:rPr>
          <w:szCs w:val="24"/>
        </w:rPr>
        <w:t xml:space="preserve"> </w:t>
      </w:r>
      <w:r w:rsidRPr="00DF32E4">
        <w:rPr>
          <w:szCs w:val="24"/>
        </w:rPr>
        <w:fldChar w:fldCharType="begin" w:fldLock="1"/>
      </w:r>
      <w:r w:rsidRPr="00DF32E4">
        <w:rPr>
          <w:szCs w:val="24"/>
        </w:rPr>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id":"ITEM-2","itemData":{"author":[{"dropping-particle":"","family":"Абузарова","given":"Г.Р.","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Савченко.","id":"ITEM-2","issued":{"date-parts":[["2018"]]},"page":"278-288","title":"Лечение болевого синдрома у онкологических больных","type":"chapter"},"uris":["http://www.mendeley.com/documents/?uuid=3021caae-334d-4ac5-97a6-7ea5587353dc"]}],"mendeley":{"formattedCitation":"[77,78]","plainTextFormattedCitation":"[77,78]","previouslyFormattedCitation":"[77,78]"},"properties":{"noteIndex":0},"schema":"https://github.com/citation-style-language/schema/raw/master/csl-citation.json"}</w:instrText>
      </w:r>
      <w:r w:rsidRPr="00DF32E4">
        <w:rPr>
          <w:szCs w:val="24"/>
        </w:rPr>
        <w:fldChar w:fldCharType="separate"/>
      </w:r>
      <w:r w:rsidRPr="00DF32E4">
        <w:rPr>
          <w:noProof/>
          <w:szCs w:val="24"/>
        </w:rPr>
        <w:t>[77,78]</w:t>
      </w:r>
      <w:r w:rsidRPr="00DF32E4">
        <w:rPr>
          <w:szCs w:val="24"/>
        </w:rPr>
        <w:fldChar w:fldCharType="end"/>
      </w:r>
      <w:r>
        <w:rPr>
          <w:szCs w:val="24"/>
        </w:rPr>
        <w:t xml:space="preserve">. </w:t>
      </w:r>
    </w:p>
    <w:p w14:paraId="30694C5A" w14:textId="2034C6E3" w:rsidR="00DF32E4" w:rsidRDefault="00DF32E4" w:rsidP="00DF32E4">
      <w:pPr>
        <w:pStyle w:val="afe"/>
        <w:ind w:firstLine="0"/>
        <w:rPr>
          <w:b/>
          <w:bCs/>
          <w:szCs w:val="24"/>
          <w:lang w:eastAsia="ru-RU"/>
        </w:rPr>
      </w:pPr>
      <w:r w:rsidRPr="00DF32E4">
        <w:rPr>
          <w:b/>
          <w:bCs/>
          <w:szCs w:val="24"/>
          <w:lang w:eastAsia="ru-RU"/>
        </w:rPr>
        <w:t>Уровень убедительности рекомендаций – С (уровень достоверности доказательств – 4).</w:t>
      </w:r>
    </w:p>
    <w:p w14:paraId="2A4846D5" w14:textId="62BD33AF" w:rsidR="00DF32E4" w:rsidRPr="00DF32E4" w:rsidRDefault="00DF32E4" w:rsidP="00DF32E4">
      <w:pPr>
        <w:pStyle w:val="afe"/>
        <w:ind w:firstLine="0"/>
        <w:rPr>
          <w:i/>
          <w:szCs w:val="24"/>
        </w:rPr>
      </w:pPr>
      <w:r w:rsidRPr="00062B4F">
        <w:rPr>
          <w:b/>
          <w:bCs/>
          <w:i/>
          <w:iCs/>
          <w:szCs w:val="24"/>
          <w:lang w:eastAsia="ru-RU"/>
        </w:rPr>
        <w:t>Комментарии:</w:t>
      </w:r>
      <w:r>
        <w:rPr>
          <w:szCs w:val="24"/>
        </w:rPr>
        <w:t xml:space="preserve"> </w:t>
      </w:r>
      <w:r w:rsidRPr="00DF32E4">
        <w:rPr>
          <w:i/>
          <w:szCs w:val="24"/>
        </w:rPr>
        <w:t xml:space="preserve">обезболивающая терапия проводится согласно существующим протоколам обезболивания, в том числе, по показаниям – с применением </w:t>
      </w:r>
      <w:r w:rsidRPr="00DF32E4">
        <w:rPr>
          <w:i/>
          <w:szCs w:val="24"/>
        </w:rPr>
        <w:lastRenderedPageBreak/>
        <w:t xml:space="preserve">наркотических и психотропных лекарственных препаратов, с учетом возможных противопоказаний, связанных с </w:t>
      </w:r>
      <w:proofErr w:type="spellStart"/>
      <w:r w:rsidRPr="00DF32E4">
        <w:rPr>
          <w:i/>
          <w:szCs w:val="24"/>
        </w:rPr>
        <w:t>цитопенией</w:t>
      </w:r>
      <w:proofErr w:type="spellEnd"/>
      <w:r w:rsidRPr="00DF32E4">
        <w:rPr>
          <w:i/>
          <w:szCs w:val="24"/>
        </w:rPr>
        <w:t>, иными клиническими ситуациями.</w:t>
      </w:r>
    </w:p>
    <w:p w14:paraId="17F60DF3" w14:textId="52C3E3D9" w:rsidR="000C7098" w:rsidRPr="00DF32E4" w:rsidRDefault="00DF32E4" w:rsidP="00DF32E4">
      <w:pPr>
        <w:pStyle w:val="afe"/>
        <w:numPr>
          <w:ilvl w:val="0"/>
          <w:numId w:val="20"/>
        </w:numPr>
        <w:rPr>
          <w:szCs w:val="24"/>
        </w:rPr>
      </w:pPr>
      <w:r w:rsidRPr="00DF32E4">
        <w:rPr>
          <w:b/>
          <w:szCs w:val="24"/>
        </w:rPr>
        <w:t>Р</w:t>
      </w:r>
      <w:r w:rsidR="00B439D6" w:rsidRPr="00DF32E4">
        <w:rPr>
          <w:b/>
          <w:szCs w:val="24"/>
        </w:rPr>
        <w:t>екомендуется</w:t>
      </w:r>
      <w:r w:rsidRPr="00DF32E4">
        <w:rPr>
          <w:szCs w:val="24"/>
        </w:rPr>
        <w:t xml:space="preserve"> п</w:t>
      </w:r>
      <w:r w:rsidR="000C7098" w:rsidRPr="00DF32E4">
        <w:rPr>
          <w:szCs w:val="24"/>
        </w:rPr>
        <w:t xml:space="preserve">ри развитии </w:t>
      </w:r>
      <w:r>
        <w:rPr>
          <w:szCs w:val="24"/>
        </w:rPr>
        <w:t>клинически значимой анемии</w:t>
      </w:r>
      <w:r w:rsidR="000C7098" w:rsidRPr="00DF32E4">
        <w:rPr>
          <w:szCs w:val="24"/>
        </w:rPr>
        <w:t xml:space="preserve"> или </w:t>
      </w:r>
      <w:r w:rsidR="00BD6DFA">
        <w:rPr>
          <w:szCs w:val="24"/>
        </w:rPr>
        <w:t xml:space="preserve">тромбоцитопении </w:t>
      </w:r>
      <w:r w:rsidR="00BD6DFA" w:rsidRPr="00DF32E4">
        <w:rPr>
          <w:szCs w:val="24"/>
        </w:rPr>
        <w:t>проведение</w:t>
      </w:r>
      <w:r w:rsidR="000C7098" w:rsidRPr="00DF32E4">
        <w:rPr>
          <w:szCs w:val="24"/>
        </w:rPr>
        <w:t xml:space="preserve"> заместительных гемотрансфузи</w:t>
      </w:r>
      <w:r>
        <w:rPr>
          <w:szCs w:val="24"/>
        </w:rPr>
        <w:t>й</w:t>
      </w:r>
      <w:r w:rsidR="000C7098" w:rsidRPr="00DF32E4">
        <w:rPr>
          <w:szCs w:val="24"/>
        </w:rPr>
        <w:t xml:space="preserve"> компонентов крови. </w:t>
      </w:r>
    </w:p>
    <w:p w14:paraId="355306B3" w14:textId="3B50CC61" w:rsidR="00DF32E4" w:rsidRDefault="00DF32E4" w:rsidP="00DF32E4">
      <w:pPr>
        <w:pStyle w:val="afe"/>
        <w:ind w:firstLine="0"/>
        <w:rPr>
          <w:b/>
          <w:bCs/>
          <w:szCs w:val="24"/>
          <w:lang w:eastAsia="ru-RU"/>
        </w:rPr>
      </w:pPr>
      <w:r w:rsidRPr="00DF32E4">
        <w:rPr>
          <w:b/>
          <w:bCs/>
          <w:szCs w:val="24"/>
          <w:lang w:eastAsia="ru-RU"/>
        </w:rPr>
        <w:t xml:space="preserve">Уровень убедительности рекомендаций – С (уровень достоверности доказательств – </w:t>
      </w:r>
      <w:r>
        <w:rPr>
          <w:b/>
          <w:bCs/>
          <w:szCs w:val="24"/>
          <w:lang w:eastAsia="ru-RU"/>
        </w:rPr>
        <w:t>5</w:t>
      </w:r>
      <w:r w:rsidRPr="00DF32E4">
        <w:rPr>
          <w:b/>
          <w:bCs/>
          <w:szCs w:val="24"/>
          <w:lang w:eastAsia="ru-RU"/>
        </w:rPr>
        <w:t>).</w:t>
      </w:r>
    </w:p>
    <w:p w14:paraId="6959AC2D" w14:textId="0AF47191" w:rsidR="00DF32E4" w:rsidRPr="00DF32E4" w:rsidRDefault="00DF32E4" w:rsidP="00DF32E4">
      <w:pPr>
        <w:pStyle w:val="afe"/>
        <w:ind w:firstLine="0"/>
        <w:rPr>
          <w:i/>
          <w:szCs w:val="24"/>
        </w:rPr>
      </w:pPr>
      <w:r w:rsidRPr="00062B4F">
        <w:rPr>
          <w:b/>
          <w:bCs/>
          <w:i/>
          <w:iCs/>
          <w:szCs w:val="24"/>
          <w:lang w:eastAsia="ru-RU"/>
        </w:rPr>
        <w:t>Комментарии:</w:t>
      </w:r>
      <w:r>
        <w:rPr>
          <w:szCs w:val="24"/>
        </w:rPr>
        <w:t xml:space="preserve"> </w:t>
      </w:r>
      <w:r w:rsidRPr="00DF32E4">
        <w:rPr>
          <w:i/>
          <w:szCs w:val="24"/>
        </w:rPr>
        <w:t xml:space="preserve">при </w:t>
      </w:r>
      <w:r w:rsidR="00BD6DFA">
        <w:rPr>
          <w:i/>
          <w:szCs w:val="24"/>
        </w:rPr>
        <w:t>выявлении</w:t>
      </w:r>
      <w:r w:rsidRPr="00DF32E4">
        <w:rPr>
          <w:i/>
          <w:szCs w:val="24"/>
        </w:rPr>
        <w:t xml:space="preserve"> </w:t>
      </w:r>
      <w:r w:rsidR="00BD6DFA">
        <w:rPr>
          <w:i/>
          <w:szCs w:val="24"/>
        </w:rPr>
        <w:t xml:space="preserve">анемии с потребностью в гемотрансфузиях проводятся трансфузии </w:t>
      </w:r>
      <w:proofErr w:type="spellStart"/>
      <w:r w:rsidR="00BD6DFA">
        <w:rPr>
          <w:i/>
          <w:szCs w:val="24"/>
        </w:rPr>
        <w:t>эритроцитсодержащих</w:t>
      </w:r>
      <w:proofErr w:type="spellEnd"/>
      <w:r w:rsidR="00BD6DFA">
        <w:rPr>
          <w:i/>
          <w:szCs w:val="24"/>
        </w:rPr>
        <w:t xml:space="preserve"> компонентов крови; при выявлении клинически </w:t>
      </w:r>
      <w:proofErr w:type="gramStart"/>
      <w:r w:rsidR="00BD6DFA">
        <w:rPr>
          <w:i/>
          <w:szCs w:val="24"/>
        </w:rPr>
        <w:t xml:space="preserve">значимого  </w:t>
      </w:r>
      <w:r w:rsidRPr="00DF32E4">
        <w:rPr>
          <w:i/>
          <w:szCs w:val="24"/>
        </w:rPr>
        <w:t>геморрагического</w:t>
      </w:r>
      <w:proofErr w:type="gramEnd"/>
      <w:r w:rsidRPr="00DF32E4">
        <w:rPr>
          <w:i/>
          <w:szCs w:val="24"/>
        </w:rPr>
        <w:t xml:space="preserve"> синдрома </w:t>
      </w:r>
      <w:r w:rsidR="00BD6DFA">
        <w:rPr>
          <w:i/>
          <w:szCs w:val="24"/>
        </w:rPr>
        <w:t xml:space="preserve">проводятся </w:t>
      </w:r>
      <w:r w:rsidRPr="00DF32E4">
        <w:rPr>
          <w:i/>
          <w:szCs w:val="24"/>
        </w:rPr>
        <w:t>трансфузи</w:t>
      </w:r>
      <w:r w:rsidR="00BD6DFA">
        <w:rPr>
          <w:i/>
          <w:szCs w:val="24"/>
        </w:rPr>
        <w:t xml:space="preserve">и </w:t>
      </w:r>
      <w:proofErr w:type="spellStart"/>
      <w:r w:rsidR="00BD6DFA">
        <w:rPr>
          <w:i/>
          <w:szCs w:val="24"/>
        </w:rPr>
        <w:t>тромбоцитарной</w:t>
      </w:r>
      <w:proofErr w:type="spellEnd"/>
      <w:r w:rsidR="00BD6DFA">
        <w:rPr>
          <w:i/>
          <w:szCs w:val="24"/>
        </w:rPr>
        <w:t xml:space="preserve"> массы/</w:t>
      </w:r>
      <w:proofErr w:type="spellStart"/>
      <w:r w:rsidR="00BD6DFA">
        <w:rPr>
          <w:i/>
          <w:szCs w:val="24"/>
        </w:rPr>
        <w:t>тромбоконцентрата</w:t>
      </w:r>
      <w:proofErr w:type="spellEnd"/>
      <w:r w:rsidRPr="00DF32E4">
        <w:rPr>
          <w:i/>
          <w:szCs w:val="24"/>
        </w:rPr>
        <w:t xml:space="preserve">. </w:t>
      </w:r>
    </w:p>
    <w:p w14:paraId="7166184A" w14:textId="77777777" w:rsidR="000C7098" w:rsidRPr="00062B4F" w:rsidRDefault="000C7098" w:rsidP="00E26138">
      <w:pPr>
        <w:pStyle w:val="afff2"/>
      </w:pPr>
      <w:bookmarkStart w:id="49" w:name="_Toc86133416"/>
      <w:r w:rsidRPr="00062B4F">
        <w:t>4. Медицинская реабилитация, медицинские показания и противопоказания к применению методов реабилитации</w:t>
      </w:r>
      <w:bookmarkEnd w:id="49"/>
    </w:p>
    <w:p w14:paraId="74BED274" w14:textId="52BE618D" w:rsidR="000C7098" w:rsidRPr="00062B4F" w:rsidRDefault="000C7098" w:rsidP="00505FD7">
      <w:pPr>
        <w:numPr>
          <w:ilvl w:val="0"/>
          <w:numId w:val="20"/>
        </w:numPr>
        <w:rPr>
          <w:szCs w:val="24"/>
          <w:lang w:eastAsia="ru-RU"/>
        </w:rPr>
      </w:pPr>
      <w:r w:rsidRPr="00062B4F">
        <w:rPr>
          <w:b/>
          <w:szCs w:val="24"/>
          <w:lang w:eastAsia="ru-RU"/>
        </w:rPr>
        <w:t>Рекомендуется</w:t>
      </w:r>
      <w:r w:rsidRPr="00062B4F">
        <w:rPr>
          <w:szCs w:val="24"/>
          <w:lang w:eastAsia="ru-RU"/>
        </w:rPr>
        <w:t xml:space="preserve"> </w:t>
      </w:r>
      <w:r w:rsidR="003E2269">
        <w:t xml:space="preserve">проведение реабилитации пациентам при возникновении осложнений </w:t>
      </w:r>
      <w:r w:rsidR="00F7646A">
        <w:t>в процессе</w:t>
      </w:r>
      <w:r w:rsidR="003E2269">
        <w:t xml:space="preserve"> терапии </w:t>
      </w:r>
      <w:r w:rsidR="00F7646A">
        <w:t>Х</w:t>
      </w:r>
      <w:r w:rsidR="003E2269">
        <w:t xml:space="preserve">МЛ в рамках соответствующих нозологий </w:t>
      </w:r>
      <w:r w:rsidRPr="00062B4F">
        <w:rPr>
          <w:szCs w:val="24"/>
          <w:lang w:eastAsia="ru-RU"/>
        </w:rPr>
        <w:t xml:space="preserve"> </w:t>
      </w:r>
      <w:r w:rsidRPr="00062B4F">
        <w:rPr>
          <w:szCs w:val="24"/>
          <w:lang w:eastAsia="ru-RU"/>
        </w:rPr>
        <w:fldChar w:fldCharType="begin" w:fldLock="1"/>
      </w:r>
      <w:r w:rsidR="00C54289" w:rsidRPr="00062B4F">
        <w:rPr>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a606279c-898c-4321-a50e-4410a5285b95","http://www.mendeley.com/documents/?uuid=397be9b3-e69b-4f4a-84ed-5ca19a8b5f12"]}],"mendeley":{"formattedCitation":"[10]","plainTextFormattedCitation":"[10]","previouslyFormattedCitation":"[10]"},"properties":{"noteIndex":0},"schema":"https://github.com/citation-style-language/schema/raw/master/csl-citation.json"}</w:instrText>
      </w:r>
      <w:r w:rsidRPr="00062B4F">
        <w:rPr>
          <w:szCs w:val="24"/>
          <w:lang w:eastAsia="ru-RU"/>
        </w:rPr>
        <w:fldChar w:fldCharType="separate"/>
      </w:r>
      <w:r w:rsidR="00C54289" w:rsidRPr="00062B4F">
        <w:rPr>
          <w:noProof/>
          <w:szCs w:val="24"/>
          <w:lang w:eastAsia="ru-RU"/>
        </w:rPr>
        <w:t>[10]</w:t>
      </w:r>
      <w:r w:rsidRPr="00062B4F">
        <w:rPr>
          <w:szCs w:val="24"/>
          <w:lang w:eastAsia="ru-RU"/>
        </w:rPr>
        <w:fldChar w:fldCharType="end"/>
      </w:r>
      <w:r w:rsidRPr="00062B4F">
        <w:rPr>
          <w:szCs w:val="24"/>
          <w:lang w:eastAsia="ru-RU"/>
        </w:rPr>
        <w:t>.</w:t>
      </w:r>
    </w:p>
    <w:p w14:paraId="579CAAD8" w14:textId="77777777" w:rsidR="000C7098" w:rsidRPr="00062B4F" w:rsidRDefault="000C7098" w:rsidP="008E7654">
      <w:pPr>
        <w:ind w:left="720" w:hanging="11"/>
        <w:rPr>
          <w:b/>
          <w:bCs/>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C</w:t>
      </w:r>
      <w:r w:rsidRPr="00062B4F">
        <w:rPr>
          <w:b/>
          <w:bCs/>
          <w:szCs w:val="24"/>
          <w:lang w:eastAsia="ru-RU"/>
        </w:rPr>
        <w:t xml:space="preserve"> (уровень достоверности доказательств – 5).</w:t>
      </w:r>
    </w:p>
    <w:p w14:paraId="20DB3333" w14:textId="77777777" w:rsidR="00F7646A" w:rsidRDefault="000C7098" w:rsidP="00457E02">
      <w:pPr>
        <w:ind w:firstLine="0"/>
        <w:rPr>
          <w:i/>
        </w:rPr>
      </w:pPr>
      <w:r w:rsidRPr="00062B4F">
        <w:rPr>
          <w:b/>
          <w:i/>
          <w:szCs w:val="24"/>
          <w:lang w:eastAsia="ru-RU"/>
        </w:rPr>
        <w:t>Комментарии:</w:t>
      </w:r>
      <w:r w:rsidRPr="00062B4F">
        <w:rPr>
          <w:i/>
          <w:szCs w:val="24"/>
          <w:lang w:eastAsia="ru-RU"/>
        </w:rPr>
        <w:t xml:space="preserve"> </w:t>
      </w:r>
      <w:r w:rsidR="00457E02">
        <w:rPr>
          <w:i/>
        </w:rPr>
        <w:t>специальных методов реабилитации при ХМЛ не существует. Реабилитация пациентов с ХМЛ должна носить комплексный характер, охватывая медицинские и социально-психологические аспекты адаптации пациента к нормальной жизни. Объем медицинской реабилитации разрабатывается индивидуально для каждого пациента врачом-</w:t>
      </w:r>
      <w:proofErr w:type="spellStart"/>
      <w:r w:rsidR="00457E02">
        <w:rPr>
          <w:i/>
        </w:rPr>
        <w:t>реабилитологом</w:t>
      </w:r>
      <w:proofErr w:type="spellEnd"/>
      <w:r w:rsidR="00457E02">
        <w:rPr>
          <w:i/>
        </w:rPr>
        <w:t xml:space="preserve"> при участии врача-гематолога и зависит от течения и </w:t>
      </w:r>
      <w:r w:rsidR="008D0D04">
        <w:rPr>
          <w:i/>
        </w:rPr>
        <w:t xml:space="preserve">проявлений заболевания </w:t>
      </w:r>
      <w:r w:rsidR="00457E02">
        <w:rPr>
          <w:i/>
        </w:rPr>
        <w:t xml:space="preserve">и проведенных вмешательств (ТГСК, </w:t>
      </w:r>
      <w:r w:rsidR="008D0D04">
        <w:rPr>
          <w:i/>
        </w:rPr>
        <w:t xml:space="preserve">осложнения после ПХТ при БК </w:t>
      </w:r>
      <w:proofErr w:type="gramStart"/>
      <w:r w:rsidR="008D0D04">
        <w:rPr>
          <w:i/>
        </w:rPr>
        <w:t xml:space="preserve">ХМЛ, </w:t>
      </w:r>
      <w:r w:rsidR="006960DB">
        <w:rPr>
          <w:i/>
        </w:rPr>
        <w:t xml:space="preserve"> нарушения</w:t>
      </w:r>
      <w:proofErr w:type="gramEnd"/>
      <w:r w:rsidR="006960DB">
        <w:rPr>
          <w:i/>
        </w:rPr>
        <w:t xml:space="preserve"> функций органов и систем при проведении терапии ИТК</w:t>
      </w:r>
      <w:r w:rsidR="00457E02">
        <w:rPr>
          <w:i/>
        </w:rPr>
        <w:t xml:space="preserve">). Кроме того, программа реабилитации должна учитывать социальные и психологические проблемы пациента и требует кроме медицинской помощи обязательного участия социальных работников и психологов. Реабилитация при возникновении осложнений в течение заболевания и лечения проводится в рамках соответствующих нозологий. </w:t>
      </w:r>
    </w:p>
    <w:p w14:paraId="48ED068C" w14:textId="77777777" w:rsidR="000C7098" w:rsidRPr="00351AF0" w:rsidRDefault="000C7098" w:rsidP="00505FD7">
      <w:pPr>
        <w:numPr>
          <w:ilvl w:val="0"/>
          <w:numId w:val="20"/>
        </w:numPr>
        <w:rPr>
          <w:b/>
          <w:szCs w:val="24"/>
          <w:lang w:eastAsia="ru-RU"/>
        </w:rPr>
      </w:pPr>
      <w:r w:rsidRPr="00062B4F">
        <w:rPr>
          <w:b/>
          <w:szCs w:val="24"/>
          <w:lang w:eastAsia="ru-RU"/>
        </w:rPr>
        <w:t xml:space="preserve">Рекомендуется </w:t>
      </w:r>
      <w:r w:rsidRPr="00351AF0">
        <w:rPr>
          <w:szCs w:val="24"/>
          <w:lang w:eastAsia="ru-RU"/>
        </w:rPr>
        <w:t xml:space="preserve">санаторно-курортное лечение в санаториях общего профиля пациентам с оптимальным уровнем ответа на терапию ХМЛ </w:t>
      </w:r>
      <w:r w:rsidRPr="00351AF0">
        <w:rPr>
          <w:szCs w:val="24"/>
          <w:lang w:eastAsia="ru-RU"/>
        </w:rPr>
        <w:fldChar w:fldCharType="begin" w:fldLock="1"/>
      </w:r>
      <w:r w:rsidR="00C54289" w:rsidRPr="00351AF0">
        <w:rPr>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http://www.mendeley.com/documents/?uuid=a606279c-898c-4321-a50e-4410a5285b95"]}],"mendeley":{"formattedCitation":"[10]","plainTextFormattedCitation":"[10]","previouslyFormattedCitation":"[10]"},"properties":{"noteIndex":0},"schema":"https://github.com/citation-style-language/schema/raw/master/csl-citation.json"}</w:instrText>
      </w:r>
      <w:r w:rsidRPr="00351AF0">
        <w:rPr>
          <w:szCs w:val="24"/>
          <w:lang w:eastAsia="ru-RU"/>
        </w:rPr>
        <w:fldChar w:fldCharType="separate"/>
      </w:r>
      <w:r w:rsidR="00C54289" w:rsidRPr="00351AF0">
        <w:rPr>
          <w:szCs w:val="24"/>
          <w:lang w:eastAsia="ru-RU"/>
        </w:rPr>
        <w:t>[10]</w:t>
      </w:r>
      <w:r w:rsidRPr="00351AF0">
        <w:rPr>
          <w:szCs w:val="24"/>
          <w:lang w:eastAsia="ru-RU"/>
        </w:rPr>
        <w:fldChar w:fldCharType="end"/>
      </w:r>
      <w:r w:rsidRPr="00351AF0">
        <w:rPr>
          <w:b/>
          <w:szCs w:val="24"/>
          <w:lang w:eastAsia="ru-RU"/>
        </w:rPr>
        <w:t>.</w:t>
      </w:r>
    </w:p>
    <w:p w14:paraId="48210685" w14:textId="77777777" w:rsidR="000C7098" w:rsidRPr="00062B4F" w:rsidRDefault="000C7098" w:rsidP="008E7654">
      <w:pPr>
        <w:ind w:left="720" w:hanging="11"/>
        <w:rPr>
          <w:b/>
          <w:bCs/>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C</w:t>
      </w:r>
      <w:r w:rsidRPr="00062B4F">
        <w:rPr>
          <w:b/>
          <w:bCs/>
          <w:szCs w:val="24"/>
          <w:lang w:eastAsia="ru-RU"/>
        </w:rPr>
        <w:t xml:space="preserve"> (уровень достоверности доказательств – 5).</w:t>
      </w:r>
    </w:p>
    <w:p w14:paraId="3603F81B" w14:textId="77777777" w:rsidR="000C7098" w:rsidRPr="00062B4F" w:rsidRDefault="000C7098" w:rsidP="008E7654">
      <w:pPr>
        <w:rPr>
          <w:i/>
          <w:szCs w:val="24"/>
          <w:lang w:eastAsia="ru-RU"/>
        </w:rPr>
      </w:pPr>
      <w:r w:rsidRPr="00062B4F">
        <w:rPr>
          <w:b/>
          <w:i/>
          <w:szCs w:val="24"/>
          <w:lang w:eastAsia="ru-RU"/>
        </w:rPr>
        <w:t>Комментарии:</w:t>
      </w:r>
      <w:r w:rsidRPr="00062B4F">
        <w:rPr>
          <w:i/>
          <w:szCs w:val="24"/>
          <w:lang w:eastAsia="ru-RU"/>
        </w:rPr>
        <w:t xml:space="preserve"> Традиционные представления о наличии противопоказаний к любому виду физиотерапевтического и санаторно-курортного лечения пациентов с ХМЛ в эпоху до внедрения ИТК в настоящее время подвергаются пересмотру. Общепринятых </w:t>
      </w:r>
      <w:r w:rsidRPr="00062B4F">
        <w:rPr>
          <w:i/>
          <w:szCs w:val="24"/>
          <w:lang w:eastAsia="ru-RU"/>
        </w:rPr>
        <w:lastRenderedPageBreak/>
        <w:t xml:space="preserve">рекомендаций в настоящее время не существует, однако, при наличии у пациентов глубоких уровней ответа (ПЦО, БМО) следует допустить лечение таких пациентов в местных санаториях с использованием физиотерапевтических методов локального воздействия. Возможными провоцирующими факторами ухудшения течения заболевания могут быть ультрафиолетовое облучение (инсоляция), методы электромагнитного воздействия. Дополнительными противопоказаниями могут являться проявления побочных эффектов терапии ИТК. </w:t>
      </w:r>
    </w:p>
    <w:p w14:paraId="5151EAD7" w14:textId="77777777" w:rsidR="000C7098" w:rsidRPr="00062B4F" w:rsidRDefault="000C7098" w:rsidP="00E26138">
      <w:pPr>
        <w:pStyle w:val="afff2"/>
      </w:pPr>
      <w:bookmarkStart w:id="50" w:name="_Toc86133417"/>
      <w:r w:rsidRPr="00062B4F">
        <w:t>5. Профилактика и диспансерное наблюдение, медицинские показания и противопоказания к применению методов профилактики</w:t>
      </w:r>
      <w:bookmarkEnd w:id="50"/>
    </w:p>
    <w:p w14:paraId="4EAB1B70" w14:textId="77777777" w:rsidR="000C7098" w:rsidRPr="00062B4F" w:rsidRDefault="000C7098" w:rsidP="00C10677">
      <w:pPr>
        <w:rPr>
          <w:iCs/>
          <w:szCs w:val="24"/>
          <w:lang w:eastAsia="ru-RU"/>
        </w:rPr>
      </w:pPr>
      <w:r w:rsidRPr="00062B4F">
        <w:rPr>
          <w:iCs/>
          <w:szCs w:val="24"/>
          <w:lang w:eastAsia="ru-RU"/>
        </w:rPr>
        <w:t>В связи с невозможностью в настоящее время выделить этиологические факторы заболевания разработка конкретных рекомендаций по первичной профилактике ХМЛ в настоящее время невозможна.</w:t>
      </w:r>
    </w:p>
    <w:p w14:paraId="15486FA8" w14:textId="77777777" w:rsidR="000C7098" w:rsidRPr="00062B4F" w:rsidRDefault="000C7098" w:rsidP="00C10677">
      <w:pPr>
        <w:rPr>
          <w:szCs w:val="24"/>
          <w:lang w:eastAsia="ru-RU"/>
        </w:rPr>
      </w:pPr>
      <w:r w:rsidRPr="00062B4F">
        <w:rPr>
          <w:iCs/>
          <w:szCs w:val="24"/>
          <w:lang w:eastAsia="ru-RU"/>
        </w:rPr>
        <w:t xml:space="preserve">После выявления заболевания наиболее важными факторами сохранения жизни и здоровья </w:t>
      </w:r>
      <w:r w:rsidRPr="00062B4F">
        <w:rPr>
          <w:szCs w:val="24"/>
          <w:lang w:eastAsia="ru-RU"/>
        </w:rPr>
        <w:t>пациентов</w:t>
      </w:r>
      <w:r w:rsidRPr="00062B4F">
        <w:rPr>
          <w:iCs/>
          <w:szCs w:val="24"/>
          <w:lang w:eastAsia="ru-RU"/>
        </w:rPr>
        <w:t xml:space="preserve"> являются как можно более быстрое начало терапии ИТК и строгая приверженность пациента к выполнению рекомендаций по лечению и мониторингу ответа на терапию </w:t>
      </w:r>
      <w:r w:rsidR="00D6082E"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D6082E" w:rsidRPr="00062B4F">
        <w:rPr>
          <w:iCs/>
          <w:szCs w:val="24"/>
          <w:lang w:eastAsia="ru-RU"/>
        </w:rPr>
        <w:fldChar w:fldCharType="separate"/>
      </w:r>
      <w:r w:rsidR="00EA3217" w:rsidRPr="00062B4F">
        <w:rPr>
          <w:iCs/>
          <w:noProof/>
          <w:szCs w:val="24"/>
          <w:lang w:eastAsia="ru-RU"/>
        </w:rPr>
        <w:t>[10,11]</w:t>
      </w:r>
      <w:r w:rsidR="00D6082E" w:rsidRPr="00062B4F">
        <w:rPr>
          <w:iCs/>
          <w:szCs w:val="24"/>
          <w:lang w:eastAsia="ru-RU"/>
        </w:rPr>
        <w:fldChar w:fldCharType="end"/>
      </w:r>
      <w:r w:rsidR="00D6082E" w:rsidRPr="00062B4F">
        <w:rPr>
          <w:iCs/>
          <w:szCs w:val="24"/>
          <w:lang w:eastAsia="ru-RU"/>
        </w:rPr>
        <w:t>.</w:t>
      </w:r>
    </w:p>
    <w:p w14:paraId="16F03CF3" w14:textId="77777777" w:rsidR="000C7098" w:rsidRPr="00062B4F" w:rsidRDefault="000C7098" w:rsidP="002E32FD">
      <w:pPr>
        <w:rPr>
          <w:iCs/>
          <w:szCs w:val="24"/>
          <w:lang w:eastAsia="ru-RU"/>
        </w:rPr>
      </w:pPr>
      <w:r w:rsidRPr="00062B4F">
        <w:rPr>
          <w:iCs/>
          <w:szCs w:val="24"/>
          <w:lang w:eastAsia="ru-RU"/>
        </w:rPr>
        <w:t xml:space="preserve">Современное медикаментозное лечение </w:t>
      </w:r>
      <w:r w:rsidRPr="00062B4F">
        <w:rPr>
          <w:szCs w:val="24"/>
          <w:lang w:eastAsia="ru-RU"/>
        </w:rPr>
        <w:t>пациентов с</w:t>
      </w:r>
      <w:r w:rsidRPr="00062B4F">
        <w:rPr>
          <w:iCs/>
          <w:szCs w:val="24"/>
          <w:lang w:eastAsia="ru-RU"/>
        </w:rPr>
        <w:t xml:space="preserve"> ХМЛ является высокоэффективным у подавляющего большинства пациентов. Имеющиеся рекомендации по контролю нежелательных явлений ИТК и возможность альтернативного выбора препаратов позволяет практически полностью сохранить физическое состояние и повседневный уровень активности.</w:t>
      </w:r>
    </w:p>
    <w:p w14:paraId="195F039B" w14:textId="77777777" w:rsidR="000C7098" w:rsidRPr="00062B4F" w:rsidRDefault="000C7098" w:rsidP="00505FD7">
      <w:pPr>
        <w:numPr>
          <w:ilvl w:val="0"/>
          <w:numId w:val="20"/>
        </w:numPr>
        <w:rPr>
          <w:iCs/>
          <w:szCs w:val="24"/>
        </w:rPr>
      </w:pPr>
      <w:r w:rsidRPr="00062B4F">
        <w:rPr>
          <w:b/>
          <w:bCs/>
          <w:iCs/>
          <w:szCs w:val="24"/>
        </w:rPr>
        <w:t>Рекомендуется</w:t>
      </w:r>
      <w:r w:rsidRPr="00062B4F">
        <w:rPr>
          <w:iCs/>
          <w:szCs w:val="24"/>
        </w:rPr>
        <w:t xml:space="preserve"> всем пациентам с ХМЛ профилактика фоновых предопухолевых заболеваний и состояний, приверженность здоровому образу жизни, исключение хронических интоксикаций, ограничение контакта с вредными производственными факторами, участие в мероприятиях диспансеризации </w:t>
      </w:r>
      <w:r w:rsidR="00EA3217"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062B4F">
        <w:rPr>
          <w:iCs/>
          <w:szCs w:val="24"/>
          <w:lang w:eastAsia="ru-RU"/>
        </w:rPr>
        <w:fldChar w:fldCharType="separate"/>
      </w:r>
      <w:r w:rsidR="00EA3217" w:rsidRPr="00062B4F">
        <w:rPr>
          <w:iCs/>
          <w:noProof/>
          <w:szCs w:val="24"/>
          <w:lang w:eastAsia="ru-RU"/>
        </w:rPr>
        <w:t>[10,11]</w:t>
      </w:r>
      <w:r w:rsidR="00EA3217" w:rsidRPr="00062B4F">
        <w:rPr>
          <w:iCs/>
          <w:szCs w:val="24"/>
          <w:lang w:eastAsia="ru-RU"/>
        </w:rPr>
        <w:fldChar w:fldCharType="end"/>
      </w:r>
      <w:r w:rsidR="00EA3217" w:rsidRPr="00062B4F">
        <w:rPr>
          <w:iCs/>
          <w:szCs w:val="24"/>
          <w:lang w:eastAsia="ru-RU"/>
        </w:rPr>
        <w:t>.</w:t>
      </w:r>
    </w:p>
    <w:p w14:paraId="6D1A162A" w14:textId="77777777" w:rsidR="000C7098" w:rsidRPr="00062B4F" w:rsidRDefault="000C7098" w:rsidP="008E7654">
      <w:pPr>
        <w:ind w:left="720" w:hanging="11"/>
        <w:rPr>
          <w:b/>
          <w:bCs/>
          <w:iCs/>
          <w:szCs w:val="24"/>
        </w:rPr>
      </w:pPr>
      <w:r w:rsidRPr="00062B4F">
        <w:rPr>
          <w:b/>
          <w:bCs/>
          <w:iCs/>
        </w:rPr>
        <w:t xml:space="preserve">Уровень убедительности рекомендаций – </w:t>
      </w:r>
      <w:r w:rsidRPr="00062B4F">
        <w:rPr>
          <w:b/>
          <w:bCs/>
          <w:iCs/>
          <w:lang w:val="en-US"/>
        </w:rPr>
        <w:t>C</w:t>
      </w:r>
      <w:r w:rsidRPr="00062B4F">
        <w:rPr>
          <w:b/>
          <w:bCs/>
          <w:iCs/>
        </w:rPr>
        <w:t xml:space="preserve"> (уровень достоверности доказательств – 5).</w:t>
      </w:r>
    </w:p>
    <w:p w14:paraId="1CD146B1" w14:textId="77777777" w:rsidR="000C7098" w:rsidRPr="00062B4F" w:rsidRDefault="000C7098" w:rsidP="00505FD7">
      <w:pPr>
        <w:numPr>
          <w:ilvl w:val="0"/>
          <w:numId w:val="20"/>
        </w:numPr>
        <w:rPr>
          <w:iCs/>
          <w:szCs w:val="24"/>
        </w:rPr>
      </w:pPr>
      <w:r w:rsidRPr="00062B4F">
        <w:rPr>
          <w:b/>
          <w:bCs/>
          <w:iCs/>
          <w:szCs w:val="24"/>
        </w:rPr>
        <w:t xml:space="preserve">Рекомендуется </w:t>
      </w:r>
      <w:r w:rsidRPr="00062B4F">
        <w:rPr>
          <w:iCs/>
          <w:szCs w:val="24"/>
        </w:rPr>
        <w:t xml:space="preserve">всем пациентам с ХМЛ диспансерное наблюдение </w:t>
      </w:r>
      <w:r w:rsidRPr="00062B4F">
        <w:rPr>
          <w:iCs/>
        </w:rPr>
        <w:t xml:space="preserve">для оценки эффективности терапии, контроля побочных действий и лекарственной токсичности </w:t>
      </w:r>
      <w:r w:rsidR="00D6082E" w:rsidRPr="00062B4F">
        <w:rPr>
          <w:iCs/>
          <w:szCs w:val="24"/>
          <w:lang w:eastAsia="ru-RU"/>
        </w:rPr>
        <w:t xml:space="preserve"> </w:t>
      </w:r>
      <w:r w:rsidR="00EA3217"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062B4F">
        <w:rPr>
          <w:iCs/>
          <w:szCs w:val="24"/>
          <w:lang w:eastAsia="ru-RU"/>
        </w:rPr>
        <w:fldChar w:fldCharType="separate"/>
      </w:r>
      <w:r w:rsidR="00EA3217" w:rsidRPr="00062B4F">
        <w:rPr>
          <w:iCs/>
          <w:noProof/>
          <w:szCs w:val="24"/>
          <w:lang w:eastAsia="ru-RU"/>
        </w:rPr>
        <w:t>[10,11]</w:t>
      </w:r>
      <w:r w:rsidR="00EA3217" w:rsidRPr="00062B4F">
        <w:rPr>
          <w:iCs/>
          <w:szCs w:val="24"/>
          <w:lang w:eastAsia="ru-RU"/>
        </w:rPr>
        <w:fldChar w:fldCharType="end"/>
      </w:r>
      <w:r w:rsidR="00EA3217" w:rsidRPr="00062B4F">
        <w:rPr>
          <w:iCs/>
          <w:szCs w:val="24"/>
          <w:lang w:eastAsia="ru-RU"/>
        </w:rPr>
        <w:t>.</w:t>
      </w:r>
    </w:p>
    <w:p w14:paraId="2391AA7A" w14:textId="77777777" w:rsidR="000C7098" w:rsidRPr="00062B4F" w:rsidRDefault="000C7098" w:rsidP="008E7654">
      <w:pPr>
        <w:ind w:left="720" w:hanging="11"/>
        <w:rPr>
          <w:b/>
          <w:bCs/>
        </w:rPr>
      </w:pPr>
      <w:r w:rsidRPr="00062B4F">
        <w:rPr>
          <w:b/>
          <w:bCs/>
        </w:rPr>
        <w:t xml:space="preserve">Уровень убедительности рекомендаций – </w:t>
      </w:r>
      <w:r w:rsidRPr="00062B4F">
        <w:rPr>
          <w:b/>
          <w:bCs/>
          <w:lang w:val="en-US"/>
        </w:rPr>
        <w:t>C</w:t>
      </w:r>
      <w:r w:rsidRPr="00062B4F">
        <w:rPr>
          <w:b/>
          <w:bCs/>
        </w:rPr>
        <w:t xml:space="preserve"> (уровень достоверности доказательств – 5).</w:t>
      </w:r>
    </w:p>
    <w:p w14:paraId="2645CA50" w14:textId="77777777" w:rsidR="000C7098" w:rsidRPr="00062B4F" w:rsidRDefault="000C7098" w:rsidP="002E32FD">
      <w:pPr>
        <w:ind w:left="720" w:firstLine="0"/>
        <w:rPr>
          <w:i/>
          <w:iCs/>
        </w:rPr>
      </w:pPr>
      <w:r w:rsidRPr="00062B4F">
        <w:rPr>
          <w:b/>
          <w:bCs/>
          <w:i/>
          <w:iCs/>
        </w:rPr>
        <w:t>Комментарии:</w:t>
      </w:r>
      <w:r w:rsidRPr="00062B4F">
        <w:rPr>
          <w:i/>
          <w:iCs/>
        </w:rPr>
        <w:t xml:space="preserve"> Диспансерное наблюдение проводится врачом-гематологом, а при его отсутствии врачом-онкологом или терапевтом. Динамическое наблюдение </w:t>
      </w:r>
      <w:r w:rsidRPr="00062B4F">
        <w:rPr>
          <w:i/>
          <w:iCs/>
        </w:rPr>
        <w:lastRenderedPageBreak/>
        <w:t>необходимо проводить не реже 1 раза в триместр на протяжении первого года терапии и не реже 1 раза в полугодие в последующем периоде терапии.</w:t>
      </w:r>
      <w:bookmarkStart w:id="51" w:name="_Toc531609339"/>
    </w:p>
    <w:p w14:paraId="5E6F172F" w14:textId="77777777" w:rsidR="000C7098" w:rsidRPr="00062B4F" w:rsidRDefault="000C7098" w:rsidP="00E26138">
      <w:pPr>
        <w:pStyle w:val="afff2"/>
      </w:pPr>
      <w:bookmarkStart w:id="52" w:name="_Toc86133418"/>
      <w:r w:rsidRPr="00062B4F">
        <w:t xml:space="preserve">6. Организация </w:t>
      </w:r>
      <w:r w:rsidR="009B6507" w:rsidRPr="00062B4F">
        <w:t xml:space="preserve">оказания </w:t>
      </w:r>
      <w:r w:rsidRPr="00062B4F">
        <w:t>медицинской помощи</w:t>
      </w:r>
      <w:bookmarkEnd w:id="51"/>
      <w:bookmarkEnd w:id="52"/>
    </w:p>
    <w:p w14:paraId="66D941C9" w14:textId="77777777" w:rsidR="000C7098" w:rsidRPr="00062B4F" w:rsidRDefault="000C7098" w:rsidP="00A5375C">
      <w:pPr>
        <w:spacing w:before="240"/>
        <w:ind w:firstLine="851"/>
      </w:pPr>
      <w:r w:rsidRPr="00062B4F">
        <w:t xml:space="preserve">Медицинская помощь, за исключением медицинской помощи в рамках клинической апробации, в соответствии с федеральным законом от 21.11.2011 </w:t>
      </w:r>
      <w:r w:rsidRPr="00062B4F">
        <w:rPr>
          <w:lang w:val="en-US"/>
        </w:rPr>
        <w:t>N</w:t>
      </w:r>
      <w:r w:rsidRPr="00062B4F">
        <w:t xml:space="preserve"> 323-ФЗ (ред. от 25.05.2019) «Об основах охраны здоровья граждан в Российской Федерации» организуется и оказывается:</w:t>
      </w:r>
    </w:p>
    <w:p w14:paraId="37BDA273" w14:textId="77777777" w:rsidR="000C7098" w:rsidRPr="00062B4F" w:rsidRDefault="000C7098" w:rsidP="00505FD7">
      <w:pPr>
        <w:numPr>
          <w:ilvl w:val="0"/>
          <w:numId w:val="25"/>
        </w:numPr>
        <w:ind w:left="993"/>
      </w:pPr>
      <w:r w:rsidRPr="00062B4F">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010DD4DF" w14:textId="77777777" w:rsidR="000C7098" w:rsidRPr="00062B4F" w:rsidRDefault="000C7098" w:rsidP="00505FD7">
      <w:pPr>
        <w:numPr>
          <w:ilvl w:val="0"/>
          <w:numId w:val="25"/>
        </w:numPr>
        <w:ind w:left="993"/>
      </w:pPr>
      <w:r w:rsidRPr="00062B4F">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0AAC203E" w14:textId="5D80D153" w:rsidR="000C7098" w:rsidRPr="00062B4F" w:rsidRDefault="000C7098" w:rsidP="00505FD7">
      <w:pPr>
        <w:numPr>
          <w:ilvl w:val="0"/>
          <w:numId w:val="25"/>
        </w:numPr>
        <w:ind w:left="993"/>
        <w:jc w:val="left"/>
      </w:pPr>
      <w:r w:rsidRPr="00062B4F">
        <w:t>на основе клинических рекомендаций;</w:t>
      </w:r>
    </w:p>
    <w:p w14:paraId="085DAAF7" w14:textId="77777777" w:rsidR="000C7098" w:rsidRDefault="000C7098" w:rsidP="00505FD7">
      <w:pPr>
        <w:numPr>
          <w:ilvl w:val="0"/>
          <w:numId w:val="25"/>
        </w:numPr>
        <w:ind w:left="993"/>
      </w:pPr>
      <w:r w:rsidRPr="00062B4F">
        <w:t>с учетом стандартов медицинской помощи, утвержденных уполномоченным федеральным органом исполнительной власти.</w:t>
      </w:r>
    </w:p>
    <w:p w14:paraId="0C748CCE" w14:textId="24638B7E" w:rsidR="000C7098" w:rsidRPr="00062B4F" w:rsidRDefault="00423C0A" w:rsidP="00423C0A">
      <w:r w:rsidRPr="00062B4F">
        <w:t xml:space="preserve">При выявлении у больного ХМЛ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больного на консультацию в центр амбулаторной гематологической/онкологической помощи либо в </w:t>
      </w:r>
      <w:r w:rsidRPr="0074400C">
        <w:t>первичный гематологический кабинет.</w:t>
      </w:r>
    </w:p>
    <w:p w14:paraId="6E4A661B" w14:textId="5F15098E" w:rsidR="000C7098" w:rsidRPr="00062B4F" w:rsidRDefault="000C7098" w:rsidP="007F2C93">
      <w:r w:rsidRPr="00062B4F">
        <w:t xml:space="preserve">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w:t>
      </w:r>
      <w:r w:rsidR="00C214C9">
        <w:t>фазу</w:t>
      </w:r>
      <w:r w:rsidRPr="00062B4F">
        <w:t xml:space="preserve"> заболевания</w:t>
      </w:r>
      <w:r w:rsidR="00C214C9">
        <w:t xml:space="preserve"> и группу риска</w:t>
      </w:r>
      <w:r w:rsidRPr="00062B4F">
        <w:t>.</w:t>
      </w:r>
    </w:p>
    <w:p w14:paraId="373C02E5" w14:textId="77777777" w:rsidR="000C7098" w:rsidRPr="00062B4F" w:rsidRDefault="000C7098" w:rsidP="007F2C93">
      <w:r w:rsidRPr="00062B4F">
        <w:t>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больным 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1447EEC6" w14:textId="77777777" w:rsidR="000C7098" w:rsidRPr="00062B4F" w:rsidRDefault="000C7098" w:rsidP="007F2C93">
      <w:r w:rsidRPr="00062B4F">
        <w:t>При выявлении ХМЛ или подозрении на него в ходе оказания скорой медицинской помощи больного переводят или направляют в медицинские организации, оказывающие медицинскую помощь больным 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269FE4C5" w14:textId="77777777" w:rsidR="000C7098" w:rsidRPr="00062B4F" w:rsidRDefault="000C7098" w:rsidP="00A5375C">
      <w:pPr>
        <w:ind w:firstLine="851"/>
      </w:pPr>
      <w:r w:rsidRPr="00062B4F">
        <w:lastRenderedPageBreak/>
        <w:t>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больным ХМЛ,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в себя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5F180DF1" w14:textId="77777777" w:rsidR="000C7098" w:rsidRPr="00062B4F" w:rsidRDefault="000C7098" w:rsidP="00A5375C">
      <w:pPr>
        <w:ind w:firstLine="851"/>
      </w:pPr>
      <w:r w:rsidRPr="00062B4F">
        <w:t>В медицинской организации, оказывающей медицинскую помощь больным ХМЛ,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больного.</w:t>
      </w:r>
    </w:p>
    <w:p w14:paraId="38DBAF1E" w14:textId="77777777" w:rsidR="000C7098" w:rsidRPr="00062B4F" w:rsidRDefault="000C7098" w:rsidP="00A5375C">
      <w:pPr>
        <w:ind w:firstLine="851"/>
      </w:pPr>
      <w:r w:rsidRPr="00062B4F">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14:paraId="5ED9E032" w14:textId="77777777" w:rsidR="000C7098" w:rsidRPr="00062B4F" w:rsidRDefault="000C7098" w:rsidP="004004A0">
      <w:pPr>
        <w:widowControl w:val="0"/>
        <w:rPr>
          <w:b/>
          <w:szCs w:val="24"/>
          <w:lang w:eastAsia="ru-RU"/>
        </w:rPr>
      </w:pPr>
      <w:r w:rsidRPr="00062B4F">
        <w:rPr>
          <w:b/>
          <w:szCs w:val="24"/>
          <w:lang w:eastAsia="ru-RU"/>
        </w:rPr>
        <w:t xml:space="preserve">Показания для плановой госпитализации: </w:t>
      </w:r>
    </w:p>
    <w:p w14:paraId="677AD73F" w14:textId="77777777" w:rsidR="000C7098" w:rsidRPr="00062B4F" w:rsidRDefault="000C7098" w:rsidP="004004A0">
      <w:pPr>
        <w:widowControl w:val="0"/>
        <w:ind w:left="1134" w:firstLine="284"/>
        <w:rPr>
          <w:szCs w:val="24"/>
          <w:lang w:eastAsia="ru-RU"/>
        </w:rPr>
      </w:pPr>
      <w:r w:rsidRPr="00062B4F">
        <w:rPr>
          <w:szCs w:val="24"/>
          <w:lang w:eastAsia="ru-RU"/>
        </w:rPr>
        <w:t>1) проведение плановых трансфузий компонентов крови при анемии, тромбоцитопении 3 степени;</w:t>
      </w:r>
    </w:p>
    <w:p w14:paraId="6EA07A1B" w14:textId="77777777" w:rsidR="000C7098" w:rsidRPr="00062B4F" w:rsidRDefault="000C7098" w:rsidP="004004A0">
      <w:pPr>
        <w:widowControl w:val="0"/>
        <w:ind w:left="1134" w:firstLine="284"/>
        <w:rPr>
          <w:szCs w:val="24"/>
          <w:lang w:eastAsia="ru-RU"/>
        </w:rPr>
      </w:pPr>
      <w:r w:rsidRPr="00062B4F">
        <w:rPr>
          <w:szCs w:val="24"/>
          <w:lang w:eastAsia="ru-RU"/>
        </w:rPr>
        <w:t xml:space="preserve">2) коррекция побочных эффектов терапии ХМЛ, включая терапию ингибиторами </w:t>
      </w:r>
      <w:proofErr w:type="spellStart"/>
      <w:r w:rsidRPr="00062B4F">
        <w:rPr>
          <w:szCs w:val="24"/>
          <w:lang w:eastAsia="ru-RU"/>
        </w:rPr>
        <w:t>тирозинкиназ</w:t>
      </w:r>
      <w:proofErr w:type="spellEnd"/>
      <w:r w:rsidRPr="00062B4F">
        <w:rPr>
          <w:szCs w:val="24"/>
          <w:lang w:eastAsia="ru-RU"/>
        </w:rPr>
        <w:t>, цитостатическими препаратами;</w:t>
      </w:r>
    </w:p>
    <w:p w14:paraId="1D793F11" w14:textId="77777777" w:rsidR="000C7098" w:rsidRPr="00062B4F" w:rsidRDefault="000C7098" w:rsidP="004004A0">
      <w:pPr>
        <w:widowControl w:val="0"/>
        <w:ind w:left="1134" w:firstLine="284"/>
        <w:rPr>
          <w:szCs w:val="24"/>
          <w:lang w:eastAsia="ru-RU"/>
        </w:rPr>
      </w:pPr>
      <w:r w:rsidRPr="00062B4F">
        <w:rPr>
          <w:szCs w:val="24"/>
          <w:lang w:eastAsia="ru-RU"/>
        </w:rPr>
        <w:t xml:space="preserve">3)  необходимость проведения обследования в условиях стационара с целью выбора оптимальной тактики ведения пациента; </w:t>
      </w:r>
    </w:p>
    <w:p w14:paraId="4F754053" w14:textId="34E8343C" w:rsidR="000C7098" w:rsidRPr="00062B4F" w:rsidRDefault="000C7098" w:rsidP="004004A0">
      <w:pPr>
        <w:widowControl w:val="0"/>
        <w:ind w:left="1134" w:firstLine="284"/>
        <w:rPr>
          <w:szCs w:val="24"/>
          <w:lang w:eastAsia="ru-RU"/>
        </w:rPr>
      </w:pPr>
      <w:r w:rsidRPr="00062B4F">
        <w:rPr>
          <w:szCs w:val="24"/>
          <w:lang w:eastAsia="ru-RU"/>
        </w:rPr>
        <w:t xml:space="preserve">4) проведение плановой терапии ингибиторами </w:t>
      </w:r>
      <w:proofErr w:type="spellStart"/>
      <w:r w:rsidRPr="00062B4F">
        <w:rPr>
          <w:szCs w:val="24"/>
          <w:lang w:eastAsia="ru-RU"/>
        </w:rPr>
        <w:t>тирозинкиназ</w:t>
      </w:r>
      <w:proofErr w:type="spellEnd"/>
      <w:r w:rsidRPr="00062B4F">
        <w:rPr>
          <w:szCs w:val="24"/>
          <w:lang w:eastAsia="ru-RU"/>
        </w:rPr>
        <w:t xml:space="preserve">, </w:t>
      </w:r>
      <w:r w:rsidR="00711215" w:rsidRPr="00062B4F">
        <w:rPr>
          <w:szCs w:val="24"/>
          <w:lang w:eastAsia="ru-RU"/>
        </w:rPr>
        <w:t>цитостатической</w:t>
      </w:r>
      <w:r w:rsidRPr="00062B4F">
        <w:rPr>
          <w:szCs w:val="24"/>
          <w:lang w:eastAsia="ru-RU"/>
        </w:rPr>
        <w:t xml:space="preserve"> терапии у пациентов с комплексной сопутствующей патологией, требующей наблюдения в условиях стационара.</w:t>
      </w:r>
    </w:p>
    <w:p w14:paraId="60317F20" w14:textId="77777777" w:rsidR="000C7098" w:rsidRPr="00062B4F" w:rsidRDefault="000C7098" w:rsidP="004004A0">
      <w:pPr>
        <w:widowControl w:val="0"/>
        <w:rPr>
          <w:b/>
          <w:szCs w:val="24"/>
          <w:lang w:eastAsia="ru-RU"/>
        </w:rPr>
      </w:pPr>
      <w:r w:rsidRPr="00062B4F">
        <w:rPr>
          <w:b/>
          <w:szCs w:val="24"/>
          <w:lang w:eastAsia="ru-RU"/>
        </w:rPr>
        <w:t xml:space="preserve">Показания для экстренной госпитализации: </w:t>
      </w:r>
    </w:p>
    <w:p w14:paraId="65E6D9B2" w14:textId="01AC1BFB" w:rsidR="000C7098" w:rsidRPr="00062B4F" w:rsidRDefault="000C7098" w:rsidP="004004A0">
      <w:pPr>
        <w:widowControl w:val="0"/>
        <w:ind w:left="1134" w:firstLine="284"/>
        <w:rPr>
          <w:szCs w:val="24"/>
          <w:lang w:eastAsia="ru-RU"/>
        </w:rPr>
      </w:pPr>
      <w:r w:rsidRPr="00062B4F">
        <w:rPr>
          <w:szCs w:val="24"/>
          <w:lang w:eastAsia="ru-RU"/>
        </w:rPr>
        <w:t xml:space="preserve">1) </w:t>
      </w:r>
      <w:r w:rsidR="00423C0A" w:rsidRPr="00062B4F">
        <w:rPr>
          <w:spacing w:val="-2"/>
          <w:szCs w:val="24"/>
          <w:lang w:eastAsia="ru-RU"/>
        </w:rPr>
        <w:t xml:space="preserve">проведение срочных трансфузий компонентов крови при тромбоцитопении, сопровождающейся геморрагическим синдромом, анемии </w:t>
      </w:r>
      <w:r w:rsidR="00423C0A" w:rsidRPr="0074400C">
        <w:rPr>
          <w:szCs w:val="24"/>
          <w:lang w:eastAsia="ru-RU"/>
        </w:rPr>
        <w:t>с гипоксическим синдромом</w:t>
      </w:r>
    </w:p>
    <w:p w14:paraId="643A7128" w14:textId="77777777" w:rsidR="000C7098" w:rsidRPr="00062B4F" w:rsidRDefault="000C7098" w:rsidP="004004A0">
      <w:pPr>
        <w:widowControl w:val="0"/>
        <w:ind w:left="1134" w:firstLine="284"/>
        <w:rPr>
          <w:szCs w:val="24"/>
          <w:lang w:eastAsia="ru-RU"/>
        </w:rPr>
      </w:pPr>
      <w:r w:rsidRPr="00062B4F">
        <w:rPr>
          <w:szCs w:val="24"/>
          <w:lang w:eastAsia="ru-RU"/>
        </w:rPr>
        <w:t xml:space="preserve">2) остро возникшие состояния, включая инфекционные осложнения и токсичность терапии 3–4 степени после проведенных курсов терапии цитостатическими препаратами или ингибиторами </w:t>
      </w:r>
      <w:proofErr w:type="spellStart"/>
      <w:r w:rsidRPr="00062B4F">
        <w:rPr>
          <w:szCs w:val="24"/>
          <w:lang w:eastAsia="ru-RU"/>
        </w:rPr>
        <w:t>тирозинкиназ</w:t>
      </w:r>
      <w:proofErr w:type="spellEnd"/>
      <w:r w:rsidRPr="00062B4F">
        <w:rPr>
          <w:szCs w:val="24"/>
          <w:lang w:eastAsia="ru-RU"/>
        </w:rPr>
        <w:t>;</w:t>
      </w:r>
    </w:p>
    <w:p w14:paraId="3113F029" w14:textId="77777777" w:rsidR="000C7098" w:rsidRPr="00062B4F" w:rsidRDefault="000C7098" w:rsidP="004004A0">
      <w:pPr>
        <w:widowControl w:val="0"/>
        <w:ind w:left="1134" w:firstLine="284"/>
        <w:rPr>
          <w:szCs w:val="24"/>
          <w:lang w:eastAsia="ru-RU"/>
        </w:rPr>
      </w:pPr>
      <w:r w:rsidRPr="00062B4F">
        <w:rPr>
          <w:szCs w:val="24"/>
          <w:lang w:eastAsia="ru-RU"/>
        </w:rPr>
        <w:lastRenderedPageBreak/>
        <w:t xml:space="preserve">3) коррекция </w:t>
      </w:r>
      <w:proofErr w:type="spellStart"/>
      <w:r w:rsidRPr="00062B4F">
        <w:rPr>
          <w:szCs w:val="24"/>
          <w:lang w:eastAsia="ru-RU"/>
        </w:rPr>
        <w:t>жизнеугрожающих</w:t>
      </w:r>
      <w:proofErr w:type="spellEnd"/>
      <w:r w:rsidRPr="00062B4F">
        <w:rPr>
          <w:szCs w:val="24"/>
          <w:lang w:eastAsia="ru-RU"/>
        </w:rPr>
        <w:t xml:space="preserve"> состояний.</w:t>
      </w:r>
    </w:p>
    <w:p w14:paraId="64F12C8F" w14:textId="77777777" w:rsidR="000C7098" w:rsidRPr="00062B4F" w:rsidRDefault="000C7098" w:rsidP="004004A0">
      <w:pPr>
        <w:widowControl w:val="0"/>
        <w:rPr>
          <w:b/>
          <w:szCs w:val="24"/>
          <w:lang w:eastAsia="ru-RU"/>
        </w:rPr>
      </w:pPr>
      <w:r w:rsidRPr="00062B4F">
        <w:rPr>
          <w:b/>
          <w:szCs w:val="24"/>
          <w:lang w:eastAsia="ru-RU"/>
        </w:rPr>
        <w:t>Показания к выписке пациента из стационара:</w:t>
      </w:r>
    </w:p>
    <w:p w14:paraId="134757B9" w14:textId="77777777" w:rsidR="000C7098" w:rsidRPr="00062B4F" w:rsidRDefault="000C7098" w:rsidP="004004A0">
      <w:pPr>
        <w:widowControl w:val="0"/>
        <w:ind w:left="1134" w:firstLine="284"/>
        <w:rPr>
          <w:szCs w:val="24"/>
          <w:lang w:eastAsia="ru-RU"/>
        </w:rPr>
      </w:pPr>
      <w:r w:rsidRPr="00062B4F">
        <w:rPr>
          <w:szCs w:val="24"/>
          <w:lang w:eastAsia="ru-RU"/>
        </w:rPr>
        <w:t xml:space="preserve">1) купирование острых, </w:t>
      </w:r>
      <w:proofErr w:type="spellStart"/>
      <w:r w:rsidRPr="00062B4F">
        <w:rPr>
          <w:szCs w:val="24"/>
          <w:lang w:eastAsia="ru-RU"/>
        </w:rPr>
        <w:t>жизнеугрожающих</w:t>
      </w:r>
      <w:proofErr w:type="spellEnd"/>
      <w:r w:rsidRPr="00062B4F">
        <w:rPr>
          <w:szCs w:val="24"/>
          <w:lang w:eastAsia="ru-RU"/>
        </w:rPr>
        <w:t xml:space="preserve"> и иных состояний, приведших к госпитализации;</w:t>
      </w:r>
    </w:p>
    <w:p w14:paraId="32FD0BA8" w14:textId="77777777" w:rsidR="000C7098" w:rsidRPr="00062B4F" w:rsidRDefault="000C7098" w:rsidP="004004A0">
      <w:pPr>
        <w:widowControl w:val="0"/>
        <w:ind w:left="1134" w:firstLine="284"/>
        <w:rPr>
          <w:szCs w:val="24"/>
          <w:lang w:eastAsia="ru-RU"/>
        </w:rPr>
      </w:pPr>
      <w:r w:rsidRPr="00062B4F">
        <w:rPr>
          <w:szCs w:val="24"/>
          <w:lang w:eastAsia="ru-RU"/>
        </w:rPr>
        <w:t>2) возможность продолжения лечения в амбулаторных условиях;</w:t>
      </w:r>
    </w:p>
    <w:p w14:paraId="30B4EF65" w14:textId="77777777" w:rsidR="000C7098" w:rsidRPr="00062B4F" w:rsidRDefault="000C7098" w:rsidP="004004A0">
      <w:pPr>
        <w:widowControl w:val="0"/>
        <w:ind w:left="1134" w:firstLine="284"/>
        <w:rPr>
          <w:szCs w:val="24"/>
          <w:lang w:eastAsia="ru-RU"/>
        </w:rPr>
      </w:pPr>
      <w:r w:rsidRPr="00062B4F">
        <w:rPr>
          <w:szCs w:val="24"/>
          <w:lang w:eastAsia="ru-RU"/>
        </w:rPr>
        <w:t>3) отказ больного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медицинскую помощь по профилю «гематология»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14:paraId="2850B47C" w14:textId="77777777" w:rsidR="000C7098" w:rsidRPr="00062B4F" w:rsidRDefault="000C7098" w:rsidP="004004A0">
      <w:pPr>
        <w:widowControl w:val="0"/>
        <w:ind w:left="1134" w:firstLine="284"/>
        <w:rPr>
          <w:szCs w:val="24"/>
          <w:lang w:eastAsia="ru-RU"/>
        </w:rPr>
      </w:pPr>
      <w:r w:rsidRPr="00062B4F">
        <w:rPr>
          <w:szCs w:val="24"/>
          <w:lang w:eastAsia="ru-RU"/>
        </w:rPr>
        <w:t>4) в случаях несоблюдения пациентом предписаний или правил внутреннего распорядка лечебно-профилактического учреждения, если это не угрожает жизни пациента и здоровью окружающих;</w:t>
      </w:r>
    </w:p>
    <w:p w14:paraId="3B28B4C4" w14:textId="77777777" w:rsidR="000C7098" w:rsidRPr="00062B4F" w:rsidRDefault="000C7098" w:rsidP="004004A0">
      <w:pPr>
        <w:widowControl w:val="0"/>
        <w:ind w:left="1134" w:firstLine="284"/>
        <w:rPr>
          <w:szCs w:val="24"/>
          <w:lang w:eastAsia="ru-RU"/>
        </w:rPr>
      </w:pPr>
      <w:r w:rsidRPr="00062B4F">
        <w:rPr>
          <w:szCs w:val="24"/>
          <w:lang w:eastAsia="ru-RU"/>
        </w:rPr>
        <w:t>5) необходимость перевода больного в другую медицинскую организацию по соответствующему профилю оказания медицинской помощи.</w:t>
      </w:r>
    </w:p>
    <w:p w14:paraId="23AB9421" w14:textId="77777777" w:rsidR="000C7098" w:rsidRPr="00062B4F" w:rsidRDefault="000C7098" w:rsidP="00C10677">
      <w:pPr>
        <w:widowControl w:val="0"/>
        <w:ind w:firstLine="851"/>
        <w:rPr>
          <w:iCs/>
          <w:szCs w:val="24"/>
          <w:lang w:eastAsia="ru-RU"/>
        </w:rPr>
      </w:pPr>
      <w:r w:rsidRPr="00062B4F">
        <w:rPr>
          <w:iCs/>
          <w:szCs w:val="24"/>
          <w:lang w:eastAsia="ru-RU"/>
        </w:rPr>
        <w:t xml:space="preserve">Заключение о целесообразности перевода больного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больного врачами-специалистами медицинской организации, в которую планируется перевод. </w:t>
      </w:r>
    </w:p>
    <w:p w14:paraId="085E7010" w14:textId="77777777" w:rsidR="000C7098" w:rsidRPr="00062B4F" w:rsidRDefault="000C7098" w:rsidP="00E26138">
      <w:pPr>
        <w:pStyle w:val="afff2"/>
      </w:pPr>
      <w:bookmarkStart w:id="53" w:name="_Toc86133419"/>
      <w:r w:rsidRPr="00062B4F">
        <w:t xml:space="preserve">7. </w:t>
      </w:r>
      <w:r w:rsidRPr="00062B4F">
        <w:rPr>
          <w:szCs w:val="28"/>
        </w:rPr>
        <w:t>Дополнительная информация (в том числе факторы, влияющие на исход заболевания или состояния)</w:t>
      </w:r>
      <w:bookmarkEnd w:id="53"/>
    </w:p>
    <w:p w14:paraId="29FDC086" w14:textId="77777777" w:rsidR="000C7098" w:rsidRPr="00062B4F" w:rsidRDefault="000C7098" w:rsidP="00356E5E">
      <w:pPr>
        <w:spacing w:before="120" w:after="120" w:line="372" w:lineRule="auto"/>
        <w:rPr>
          <w:szCs w:val="24"/>
          <w:lang w:eastAsia="ru-RU"/>
        </w:rPr>
      </w:pPr>
      <w:r w:rsidRPr="00062B4F">
        <w:rPr>
          <w:b/>
          <w:bCs/>
          <w:szCs w:val="24"/>
          <w:lang w:eastAsia="ru-RU"/>
        </w:rPr>
        <w:t>Тактика ведения пациента при развитии нежелательных явлений терапии ИТК</w:t>
      </w:r>
    </w:p>
    <w:p w14:paraId="06CF9CB1" w14:textId="77777777" w:rsidR="000C7098" w:rsidRPr="00062B4F" w:rsidRDefault="000C7098" w:rsidP="00C10677">
      <w:pPr>
        <w:rPr>
          <w:szCs w:val="24"/>
          <w:lang w:eastAsia="ru-RU"/>
        </w:rPr>
      </w:pPr>
      <w:proofErr w:type="spellStart"/>
      <w:r w:rsidRPr="00062B4F">
        <w:rPr>
          <w:szCs w:val="24"/>
          <w:lang w:eastAsia="ru-RU"/>
        </w:rPr>
        <w:t>Антилейкемический</w:t>
      </w:r>
      <w:proofErr w:type="spellEnd"/>
      <w:r w:rsidRPr="00062B4F">
        <w:rPr>
          <w:szCs w:val="24"/>
          <w:lang w:eastAsia="ru-RU"/>
        </w:rPr>
        <w:t xml:space="preserve"> эффект является безусловным приоритетом терапии ХМЛ. Однако для сохранения принципа максимального и постоянного воздействия на опухолевый клон важно свести к минимуму нежелательные эффекты терапии, учитывая необходимость длительного приема препаратов</w:t>
      </w:r>
      <w:r w:rsidR="00EA3217" w:rsidRPr="00062B4F">
        <w:rPr>
          <w:szCs w:val="24"/>
          <w:lang w:eastAsia="ru-RU"/>
        </w:rPr>
        <w:t xml:space="preserve"> </w:t>
      </w:r>
      <w:r w:rsidR="00EA3217"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062B4F">
        <w:rPr>
          <w:iCs/>
          <w:szCs w:val="24"/>
          <w:lang w:eastAsia="ru-RU"/>
        </w:rPr>
        <w:fldChar w:fldCharType="separate"/>
      </w:r>
      <w:r w:rsidR="00EA3217" w:rsidRPr="00062B4F">
        <w:rPr>
          <w:iCs/>
          <w:noProof/>
          <w:szCs w:val="24"/>
          <w:lang w:eastAsia="ru-RU"/>
        </w:rPr>
        <w:t>[10,11]</w:t>
      </w:r>
      <w:r w:rsidR="00EA3217" w:rsidRPr="00062B4F">
        <w:rPr>
          <w:iCs/>
          <w:szCs w:val="24"/>
          <w:lang w:eastAsia="ru-RU"/>
        </w:rPr>
        <w:fldChar w:fldCharType="end"/>
      </w:r>
      <w:r w:rsidR="00EA3217" w:rsidRPr="00062B4F">
        <w:rPr>
          <w:iCs/>
          <w:szCs w:val="24"/>
          <w:lang w:eastAsia="ru-RU"/>
        </w:rPr>
        <w:t>.</w:t>
      </w:r>
      <w:r w:rsidRPr="00062B4F">
        <w:rPr>
          <w:szCs w:val="24"/>
          <w:lang w:eastAsia="ru-RU"/>
        </w:rPr>
        <w:t xml:space="preserve"> </w:t>
      </w:r>
      <w:r w:rsidR="00D6082E" w:rsidRPr="00062B4F">
        <w:rPr>
          <w:i/>
          <w:iCs/>
          <w:szCs w:val="24"/>
          <w:lang w:eastAsia="ru-RU"/>
        </w:rPr>
        <w:t xml:space="preserve"> </w:t>
      </w:r>
    </w:p>
    <w:p w14:paraId="65BAD4C4" w14:textId="60988EDB" w:rsidR="000C7098" w:rsidRPr="00062B4F" w:rsidRDefault="000C7098" w:rsidP="00C10677">
      <w:pPr>
        <w:rPr>
          <w:szCs w:val="24"/>
          <w:lang w:eastAsia="ru-RU"/>
        </w:rPr>
      </w:pPr>
      <w:r w:rsidRPr="00062B4F">
        <w:rPr>
          <w:szCs w:val="24"/>
          <w:lang w:eastAsia="ru-RU"/>
        </w:rPr>
        <w:t xml:space="preserve">Большинство нежелательных эффектов терапии ИТК являются хорошо контролируемыми, низкой степени токсичности. Отдаленные результаты применения </w:t>
      </w:r>
      <w:proofErr w:type="spellStart"/>
      <w:r w:rsidRPr="00062B4F">
        <w:rPr>
          <w:szCs w:val="24"/>
          <w:lang w:eastAsia="ru-RU"/>
        </w:rPr>
        <w:t>иматиниба</w:t>
      </w:r>
      <w:proofErr w:type="spellEnd"/>
      <w:r w:rsidRPr="00062B4F">
        <w:rPr>
          <w:szCs w:val="24"/>
          <w:lang w:eastAsia="ru-RU"/>
        </w:rPr>
        <w:t xml:space="preserve">** в течение более 15 лет не выявили дополнительных или </w:t>
      </w:r>
      <w:proofErr w:type="spellStart"/>
      <w:r w:rsidRPr="00062B4F">
        <w:rPr>
          <w:szCs w:val="24"/>
          <w:lang w:eastAsia="ru-RU"/>
        </w:rPr>
        <w:t>жизнеугрожающих</w:t>
      </w:r>
      <w:proofErr w:type="spellEnd"/>
      <w:r w:rsidRPr="00062B4F">
        <w:rPr>
          <w:szCs w:val="24"/>
          <w:lang w:eastAsia="ru-RU"/>
        </w:rPr>
        <w:t xml:space="preserve"> явлений токсичности. Применение ИТК2 имеет меньший срок наблюдения, данные о новых нежелательных явлениях продолжают накапливаться и</w:t>
      </w:r>
      <w:r w:rsidR="00835FD6">
        <w:rPr>
          <w:szCs w:val="24"/>
          <w:lang w:eastAsia="ru-RU"/>
        </w:rPr>
        <w:t xml:space="preserve"> </w:t>
      </w:r>
      <w:r w:rsidRPr="00062B4F">
        <w:rPr>
          <w:szCs w:val="24"/>
          <w:lang w:eastAsia="ru-RU"/>
        </w:rPr>
        <w:t>в настоящее время.</w:t>
      </w:r>
    </w:p>
    <w:p w14:paraId="4B815252" w14:textId="4C28250D" w:rsidR="000C7098" w:rsidRPr="00062B4F" w:rsidRDefault="000C7098" w:rsidP="00C10677">
      <w:pPr>
        <w:rPr>
          <w:szCs w:val="24"/>
          <w:lang w:eastAsia="ru-RU"/>
        </w:rPr>
      </w:pPr>
      <w:r w:rsidRPr="00062B4F">
        <w:rPr>
          <w:szCs w:val="24"/>
          <w:lang w:eastAsia="ru-RU"/>
        </w:rPr>
        <w:lastRenderedPageBreak/>
        <w:t xml:space="preserve">Токсичность терапии на фоне применения ИТК можно разделить на гематологическую </w:t>
      </w:r>
      <w:r w:rsidRPr="002773D4">
        <w:rPr>
          <w:szCs w:val="24"/>
          <w:lang w:eastAsia="ru-RU"/>
        </w:rPr>
        <w:t xml:space="preserve">и </w:t>
      </w:r>
      <w:proofErr w:type="spellStart"/>
      <w:r w:rsidR="00835FD6" w:rsidRPr="002773D4">
        <w:rPr>
          <w:szCs w:val="24"/>
          <w:lang w:eastAsia="ru-RU"/>
        </w:rPr>
        <w:t>негематологическую</w:t>
      </w:r>
      <w:proofErr w:type="spellEnd"/>
      <w:r w:rsidRPr="00062B4F">
        <w:rPr>
          <w:szCs w:val="24"/>
          <w:lang w:eastAsia="ru-RU"/>
        </w:rPr>
        <w:t>. Степень выраженности нежелательных явлений оценивают в соответствии с критериями токсичности CTCA</w:t>
      </w:r>
      <w:r w:rsidRPr="00062B4F">
        <w:rPr>
          <w:szCs w:val="24"/>
          <w:lang w:val="en-US" w:eastAsia="ru-RU"/>
        </w:rPr>
        <w:t>E</w:t>
      </w:r>
      <w:r w:rsidRPr="00062B4F">
        <w:rPr>
          <w:szCs w:val="24"/>
          <w:lang w:eastAsia="ru-RU"/>
        </w:rPr>
        <w:t xml:space="preserve"> </w:t>
      </w:r>
      <w:proofErr w:type="spellStart"/>
      <w:r w:rsidRPr="00062B4F">
        <w:rPr>
          <w:szCs w:val="24"/>
          <w:lang w:eastAsia="ru-RU"/>
        </w:rPr>
        <w:t>ver</w:t>
      </w:r>
      <w:proofErr w:type="spellEnd"/>
      <w:r w:rsidRPr="00062B4F">
        <w:rPr>
          <w:szCs w:val="24"/>
          <w:lang w:eastAsia="ru-RU"/>
        </w:rPr>
        <w:t xml:space="preserve"> 5.0 </w:t>
      </w:r>
      <w:r w:rsidR="00D6082E" w:rsidRPr="00062B4F">
        <w:rPr>
          <w:szCs w:val="24"/>
          <w:lang w:eastAsia="ru-RU"/>
        </w:rPr>
        <w:t xml:space="preserve"> </w:t>
      </w:r>
      <w:r w:rsidR="00D6082E" w:rsidRPr="00062B4F">
        <w:rPr>
          <w:szCs w:val="24"/>
          <w:lang w:eastAsia="ru-RU"/>
        </w:rPr>
        <w:fldChar w:fldCharType="begin" w:fldLock="1"/>
      </w:r>
      <w:r w:rsidR="00EA3217" w:rsidRPr="00062B4F">
        <w:rPr>
          <w:szCs w:val="24"/>
          <w:lang w:eastAsia="ru-RU"/>
        </w:rPr>
        <w:instrText>ADDIN CSL_CITATION {"citationItems":[{"id":"ITEM-1","itemData":{"container-title":"November 27, 2017","id":"ITEM-1","issued":{"date-parts":[["2017"]]},"page":"155","title":"NCI CTC AE ver 5","type":"webpage"},"uris":["http://www.mendeley.com/documents/?uuid=2d0ee155-a1b4-4e93-9821-8d538ea46176"]}],"mendeley":{"formattedCitation":"[79]","plainTextFormattedCitation":"[79]","previouslyFormattedCitation":"[79]"},"properties":{"noteIndex":0},"schema":"https://github.com/citation-style-language/schema/raw/master/csl-citation.json"}</w:instrText>
      </w:r>
      <w:r w:rsidR="00D6082E" w:rsidRPr="00062B4F">
        <w:rPr>
          <w:szCs w:val="24"/>
          <w:lang w:eastAsia="ru-RU"/>
        </w:rPr>
        <w:fldChar w:fldCharType="separate"/>
      </w:r>
      <w:r w:rsidR="00CA6209" w:rsidRPr="00062B4F">
        <w:rPr>
          <w:noProof/>
          <w:szCs w:val="24"/>
          <w:lang w:eastAsia="ru-RU"/>
        </w:rPr>
        <w:t>[79]</w:t>
      </w:r>
      <w:r w:rsidR="00D6082E" w:rsidRPr="00062B4F">
        <w:rPr>
          <w:szCs w:val="24"/>
          <w:lang w:eastAsia="ru-RU"/>
        </w:rPr>
        <w:fldChar w:fldCharType="end"/>
      </w:r>
      <w:r w:rsidR="00D6082E" w:rsidRPr="00062B4F">
        <w:rPr>
          <w:szCs w:val="24"/>
          <w:lang w:eastAsia="ru-RU"/>
        </w:rPr>
        <w:t xml:space="preserve">. </w:t>
      </w:r>
      <w:r w:rsidRPr="00062B4F">
        <w:rPr>
          <w:szCs w:val="24"/>
          <w:lang w:eastAsia="ru-RU"/>
        </w:rPr>
        <w:t>Некоторые виды токсичности ИТК представлены в приложении Г</w:t>
      </w:r>
      <w:r w:rsidR="006D07EB">
        <w:rPr>
          <w:szCs w:val="24"/>
          <w:lang w:eastAsia="ru-RU"/>
        </w:rPr>
        <w:t>2</w:t>
      </w:r>
      <w:r w:rsidRPr="00062B4F">
        <w:rPr>
          <w:szCs w:val="24"/>
          <w:lang w:eastAsia="ru-RU"/>
        </w:rPr>
        <w:t>.</w:t>
      </w:r>
    </w:p>
    <w:p w14:paraId="3B3FFBF1" w14:textId="77777777" w:rsidR="000C7098" w:rsidRPr="00062B4F" w:rsidRDefault="000C7098" w:rsidP="00C10677">
      <w:pPr>
        <w:rPr>
          <w:szCs w:val="24"/>
          <w:lang w:eastAsia="ru-RU"/>
        </w:rPr>
      </w:pPr>
      <w:r w:rsidRPr="00062B4F">
        <w:rPr>
          <w:b/>
          <w:bCs/>
          <w:szCs w:val="24"/>
          <w:lang w:eastAsia="ru-RU"/>
        </w:rPr>
        <w:t>Гематологическая токсичность</w:t>
      </w:r>
    </w:p>
    <w:p w14:paraId="20B11276" w14:textId="77777777" w:rsidR="000C7098" w:rsidRPr="00062B4F" w:rsidRDefault="000C7098" w:rsidP="00C10677">
      <w:pPr>
        <w:rPr>
          <w:szCs w:val="24"/>
          <w:lang w:eastAsia="ru-RU"/>
        </w:rPr>
      </w:pPr>
      <w:r w:rsidRPr="00062B4F">
        <w:rPr>
          <w:szCs w:val="24"/>
          <w:lang w:eastAsia="ru-RU"/>
        </w:rPr>
        <w:t xml:space="preserve">К гематологической токсичности относится снижение уровня гемоглобина, </w:t>
      </w:r>
      <w:proofErr w:type="spellStart"/>
      <w:r w:rsidRPr="00062B4F">
        <w:rPr>
          <w:szCs w:val="24"/>
          <w:lang w:eastAsia="ru-RU"/>
        </w:rPr>
        <w:t>нейтропения</w:t>
      </w:r>
      <w:proofErr w:type="spellEnd"/>
      <w:r w:rsidRPr="00062B4F">
        <w:rPr>
          <w:szCs w:val="24"/>
          <w:lang w:eastAsia="ru-RU"/>
        </w:rPr>
        <w:t xml:space="preserve"> и тромбоцитопения.</w:t>
      </w:r>
    </w:p>
    <w:p w14:paraId="441DFE67" w14:textId="06C5157F" w:rsidR="000C7098" w:rsidRPr="00062B4F" w:rsidRDefault="000C7098" w:rsidP="00C10677">
      <w:pPr>
        <w:rPr>
          <w:szCs w:val="24"/>
          <w:lang w:eastAsia="ru-RU"/>
        </w:rPr>
      </w:pPr>
      <w:r w:rsidRPr="00062B4F">
        <w:rPr>
          <w:szCs w:val="24"/>
          <w:lang w:eastAsia="ru-RU"/>
        </w:rPr>
        <w:t xml:space="preserve">Анемия </w:t>
      </w:r>
      <w:r w:rsidR="00EE533F">
        <w:rPr>
          <w:szCs w:val="24"/>
          <w:lang w:eastAsia="ru-RU"/>
        </w:rPr>
        <w:t>1-3</w:t>
      </w:r>
      <w:r w:rsidR="00EE533F" w:rsidRPr="00062B4F">
        <w:rPr>
          <w:szCs w:val="24"/>
          <w:lang w:eastAsia="ru-RU"/>
        </w:rPr>
        <w:t xml:space="preserve"> </w:t>
      </w:r>
      <w:r w:rsidRPr="00062B4F">
        <w:rPr>
          <w:szCs w:val="24"/>
          <w:lang w:eastAsia="ru-RU"/>
        </w:rPr>
        <w:t xml:space="preserve">степени во всех фазах ХМЛ не является показанием к прерыванию терапии ИТК. Показано дополнительное обследование пациента для исключения других причин анемии, с учетом клинической ситуации. При клинически значимых проявлениях анемического синдрома показаны заместительные трансфузии </w:t>
      </w:r>
      <w:proofErr w:type="spellStart"/>
      <w:r w:rsidRPr="00062B4F">
        <w:rPr>
          <w:szCs w:val="24"/>
          <w:lang w:eastAsia="ru-RU"/>
        </w:rPr>
        <w:t>эритроцитарной</w:t>
      </w:r>
      <w:proofErr w:type="spellEnd"/>
      <w:r w:rsidRPr="00062B4F">
        <w:rPr>
          <w:szCs w:val="24"/>
          <w:lang w:eastAsia="ru-RU"/>
        </w:rPr>
        <w:t xml:space="preserve"> массы (взвеси). Целесообразность назначения препаратов </w:t>
      </w:r>
      <w:proofErr w:type="spellStart"/>
      <w:r w:rsidRPr="00062B4F">
        <w:rPr>
          <w:szCs w:val="24"/>
          <w:lang w:eastAsia="ru-RU"/>
        </w:rPr>
        <w:t>эритропоэтина</w:t>
      </w:r>
      <w:proofErr w:type="spellEnd"/>
      <w:r w:rsidRPr="00062B4F">
        <w:rPr>
          <w:szCs w:val="24"/>
          <w:lang w:eastAsia="ru-RU"/>
        </w:rPr>
        <w:t xml:space="preserve"> является спорной. При </w:t>
      </w:r>
      <w:proofErr w:type="spellStart"/>
      <w:r w:rsidRPr="00062B4F">
        <w:rPr>
          <w:szCs w:val="24"/>
          <w:lang w:eastAsia="ru-RU"/>
        </w:rPr>
        <w:t>нейтропении</w:t>
      </w:r>
      <w:proofErr w:type="spellEnd"/>
      <w:r w:rsidRPr="00062B4F">
        <w:rPr>
          <w:szCs w:val="24"/>
          <w:lang w:eastAsia="ru-RU"/>
        </w:rPr>
        <w:t xml:space="preserve"> и тромбоцитопении 1–2 степени в любой фазе ХМЛ снижения дозы ИТК и перерывов в лечении не требуется. В ХФ ХМЛ при 3-4 степени </w:t>
      </w:r>
      <w:proofErr w:type="spellStart"/>
      <w:r w:rsidRPr="00062B4F">
        <w:rPr>
          <w:szCs w:val="24"/>
          <w:lang w:eastAsia="ru-RU"/>
        </w:rPr>
        <w:t>нейтропении</w:t>
      </w:r>
      <w:proofErr w:type="spellEnd"/>
      <w:r w:rsidRPr="00062B4F">
        <w:rPr>
          <w:szCs w:val="24"/>
          <w:lang w:eastAsia="ru-RU"/>
        </w:rPr>
        <w:t xml:space="preserve"> и/или тромбоцитопении показана временная отмена ИТК с контролем клинического анализа крови один раз в неделю</w:t>
      </w:r>
      <w:r w:rsidR="00EA3217" w:rsidRPr="00062B4F">
        <w:rPr>
          <w:szCs w:val="24"/>
          <w:lang w:eastAsia="ru-RU"/>
        </w:rPr>
        <w:t xml:space="preserve"> </w:t>
      </w:r>
      <w:r w:rsidR="00EA3217"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062B4F">
        <w:rPr>
          <w:iCs/>
          <w:szCs w:val="24"/>
          <w:lang w:eastAsia="ru-RU"/>
        </w:rPr>
        <w:fldChar w:fldCharType="separate"/>
      </w:r>
      <w:r w:rsidR="00EA3217" w:rsidRPr="00062B4F">
        <w:rPr>
          <w:iCs/>
          <w:noProof/>
          <w:szCs w:val="24"/>
          <w:lang w:eastAsia="ru-RU"/>
        </w:rPr>
        <w:t>[10,11]</w:t>
      </w:r>
      <w:r w:rsidR="00EA3217" w:rsidRPr="00062B4F">
        <w:rPr>
          <w:iCs/>
          <w:szCs w:val="24"/>
          <w:lang w:eastAsia="ru-RU"/>
        </w:rPr>
        <w:fldChar w:fldCharType="end"/>
      </w:r>
      <w:r w:rsidR="00EA3217" w:rsidRPr="00062B4F">
        <w:rPr>
          <w:iCs/>
          <w:szCs w:val="24"/>
          <w:lang w:eastAsia="ru-RU"/>
        </w:rPr>
        <w:t>.</w:t>
      </w:r>
    </w:p>
    <w:p w14:paraId="4DB57E79" w14:textId="77777777" w:rsidR="000C7098" w:rsidRPr="00062B4F" w:rsidRDefault="000C7098" w:rsidP="00C10677">
      <w:pPr>
        <w:rPr>
          <w:szCs w:val="24"/>
          <w:lang w:eastAsia="ru-RU"/>
        </w:rPr>
      </w:pPr>
      <w:r w:rsidRPr="00062B4F">
        <w:rPr>
          <w:szCs w:val="24"/>
          <w:lang w:eastAsia="ru-RU"/>
        </w:rPr>
        <w:t>После восстановления абсолютного числа нейтрофилов (АЧН) до уровня более 1,0 х 10</w:t>
      </w:r>
      <w:r w:rsidRPr="00062B4F">
        <w:rPr>
          <w:szCs w:val="24"/>
          <w:vertAlign w:val="superscript"/>
          <w:lang w:eastAsia="ru-RU"/>
        </w:rPr>
        <w:t>9</w:t>
      </w:r>
      <w:r w:rsidRPr="00062B4F">
        <w:rPr>
          <w:szCs w:val="24"/>
          <w:lang w:eastAsia="ru-RU"/>
        </w:rPr>
        <w:t>/л, тромбоцитов более 50 х 10</w:t>
      </w:r>
      <w:r w:rsidRPr="00062B4F">
        <w:rPr>
          <w:szCs w:val="24"/>
          <w:vertAlign w:val="superscript"/>
          <w:lang w:eastAsia="ru-RU"/>
        </w:rPr>
        <w:t>9</w:t>
      </w:r>
      <w:r w:rsidRPr="00062B4F">
        <w:rPr>
          <w:szCs w:val="24"/>
          <w:lang w:eastAsia="ru-RU"/>
        </w:rPr>
        <w:t>/л возобновить терапию ИТК</w:t>
      </w:r>
      <w:r w:rsidRPr="00062B4F">
        <w:rPr>
          <w:b/>
          <w:bCs/>
          <w:szCs w:val="24"/>
          <w:lang w:eastAsia="ru-RU"/>
        </w:rPr>
        <w:t>)</w:t>
      </w:r>
      <w:r w:rsidR="00EA3217" w:rsidRPr="00062B4F">
        <w:rPr>
          <w:iCs/>
          <w:szCs w:val="24"/>
          <w:lang w:eastAsia="ru-RU"/>
        </w:rPr>
        <w:t xml:space="preserve"> </w:t>
      </w:r>
      <w:r w:rsidR="00EA3217"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062B4F">
        <w:rPr>
          <w:iCs/>
          <w:szCs w:val="24"/>
          <w:lang w:eastAsia="ru-RU"/>
        </w:rPr>
        <w:fldChar w:fldCharType="separate"/>
      </w:r>
      <w:r w:rsidR="00EA3217" w:rsidRPr="00062B4F">
        <w:rPr>
          <w:iCs/>
          <w:noProof/>
          <w:szCs w:val="24"/>
          <w:lang w:eastAsia="ru-RU"/>
        </w:rPr>
        <w:t>[10,11]</w:t>
      </w:r>
      <w:r w:rsidR="00EA3217" w:rsidRPr="00062B4F">
        <w:rPr>
          <w:iCs/>
          <w:szCs w:val="24"/>
          <w:lang w:eastAsia="ru-RU"/>
        </w:rPr>
        <w:fldChar w:fldCharType="end"/>
      </w:r>
      <w:r w:rsidR="00EA3217" w:rsidRPr="00062B4F">
        <w:rPr>
          <w:iCs/>
          <w:szCs w:val="24"/>
          <w:lang w:eastAsia="ru-RU"/>
        </w:rPr>
        <w:t>.</w:t>
      </w:r>
      <w:r w:rsidR="00EA3217" w:rsidRPr="00062B4F">
        <w:rPr>
          <w:iCs/>
          <w:szCs w:val="24"/>
          <w:lang w:val="en-US" w:eastAsia="ru-RU"/>
        </w:rPr>
        <w:t xml:space="preserve"> </w:t>
      </w:r>
    </w:p>
    <w:p w14:paraId="46C1C59E" w14:textId="77777777" w:rsidR="000C7098" w:rsidRPr="00062B4F" w:rsidRDefault="000C7098" w:rsidP="00505FD7">
      <w:pPr>
        <w:numPr>
          <w:ilvl w:val="0"/>
          <w:numId w:val="21"/>
        </w:numPr>
        <w:spacing w:line="372" w:lineRule="auto"/>
        <w:rPr>
          <w:szCs w:val="24"/>
          <w:lang w:eastAsia="ru-RU"/>
        </w:rPr>
      </w:pPr>
      <w:r w:rsidRPr="00062B4F">
        <w:rPr>
          <w:szCs w:val="24"/>
          <w:lang w:eastAsia="ru-RU"/>
        </w:rPr>
        <w:t>если перерыв в лечении составит менее 2 недель, лечение возобновляется в прежней дозе, при перерыве более 2 недель – в сниженной на один уровень дозе (см. табл. 4 и табл. 5 – дозы ИТК);</w:t>
      </w:r>
    </w:p>
    <w:p w14:paraId="12C71A30" w14:textId="77777777" w:rsidR="000C7098" w:rsidRPr="00062B4F" w:rsidRDefault="000C7098" w:rsidP="00505FD7">
      <w:pPr>
        <w:numPr>
          <w:ilvl w:val="0"/>
          <w:numId w:val="21"/>
        </w:numPr>
        <w:spacing w:line="372" w:lineRule="auto"/>
        <w:rPr>
          <w:szCs w:val="24"/>
          <w:lang w:eastAsia="ru-RU"/>
        </w:rPr>
      </w:pPr>
      <w:r w:rsidRPr="00062B4F">
        <w:rPr>
          <w:szCs w:val="24"/>
          <w:lang w:eastAsia="ru-RU"/>
        </w:rPr>
        <w:t>если доза ИТК ранее была снижена, при стабильных показателях гемограммы через 1 месяц целесообразно возвращение к стандартной дозировке;</w:t>
      </w:r>
    </w:p>
    <w:p w14:paraId="7B446A77" w14:textId="59715DD4" w:rsidR="000C7098" w:rsidRPr="00062B4F" w:rsidRDefault="000C7098" w:rsidP="00505FD7">
      <w:pPr>
        <w:numPr>
          <w:ilvl w:val="0"/>
          <w:numId w:val="21"/>
        </w:numPr>
        <w:spacing w:line="372" w:lineRule="auto"/>
        <w:rPr>
          <w:szCs w:val="24"/>
          <w:lang w:eastAsia="ru-RU"/>
        </w:rPr>
      </w:pPr>
      <w:r w:rsidRPr="00062B4F">
        <w:rPr>
          <w:szCs w:val="24"/>
          <w:lang w:eastAsia="ru-RU"/>
        </w:rPr>
        <w:t xml:space="preserve">при длительных </w:t>
      </w:r>
      <w:proofErr w:type="spellStart"/>
      <w:r w:rsidRPr="00062B4F">
        <w:rPr>
          <w:szCs w:val="24"/>
          <w:lang w:eastAsia="ru-RU"/>
        </w:rPr>
        <w:t>нейтропениях</w:t>
      </w:r>
      <w:proofErr w:type="spellEnd"/>
      <w:r w:rsidRPr="00062B4F">
        <w:rPr>
          <w:szCs w:val="24"/>
          <w:lang w:eastAsia="ru-RU"/>
        </w:rPr>
        <w:t xml:space="preserve"> возможно кратковременное применение </w:t>
      </w:r>
      <w:proofErr w:type="spellStart"/>
      <w:r w:rsidRPr="00062B4F">
        <w:rPr>
          <w:szCs w:val="24"/>
          <w:lang w:eastAsia="ru-RU"/>
        </w:rPr>
        <w:t>гранулоцитарного</w:t>
      </w:r>
      <w:proofErr w:type="spellEnd"/>
      <w:r w:rsidRPr="00062B4F">
        <w:rPr>
          <w:szCs w:val="24"/>
          <w:lang w:eastAsia="ru-RU"/>
        </w:rPr>
        <w:t xml:space="preserve"> </w:t>
      </w:r>
      <w:proofErr w:type="spellStart"/>
      <w:r w:rsidRPr="00062B4F">
        <w:rPr>
          <w:szCs w:val="24"/>
          <w:lang w:eastAsia="ru-RU"/>
        </w:rPr>
        <w:t>колониестимулирующего</w:t>
      </w:r>
      <w:proofErr w:type="spellEnd"/>
      <w:r w:rsidRPr="00062B4F">
        <w:rPr>
          <w:szCs w:val="24"/>
          <w:lang w:eastAsia="ru-RU"/>
        </w:rPr>
        <w:t xml:space="preserve"> фактора (Г-КСФ): </w:t>
      </w:r>
      <w:proofErr w:type="spellStart"/>
      <w:r w:rsidRPr="00062B4F">
        <w:rPr>
          <w:szCs w:val="24"/>
          <w:lang w:eastAsia="ru-RU"/>
        </w:rPr>
        <w:t>филграстим</w:t>
      </w:r>
      <w:proofErr w:type="spellEnd"/>
      <w:r w:rsidRPr="00062B4F">
        <w:rPr>
          <w:szCs w:val="24"/>
          <w:lang w:eastAsia="ru-RU"/>
        </w:rPr>
        <w:t xml:space="preserve"> в дозе 5 мкг/кг/</w:t>
      </w:r>
      <w:proofErr w:type="spellStart"/>
      <w:r w:rsidRPr="00062B4F">
        <w:rPr>
          <w:szCs w:val="24"/>
          <w:lang w:eastAsia="ru-RU"/>
        </w:rPr>
        <w:t>сут</w:t>
      </w:r>
      <w:proofErr w:type="spellEnd"/>
      <w:r w:rsidRPr="00062B4F">
        <w:rPr>
          <w:szCs w:val="24"/>
          <w:lang w:eastAsia="ru-RU"/>
        </w:rPr>
        <w:t xml:space="preserve"> подкожно, при отсутствии эффекта от введения Г-КСФ необходима редукция дозы или смена ИТК, принимая во внимание результаты оценки лейкозного клона – уровень </w:t>
      </w:r>
      <w:proofErr w:type="gramStart"/>
      <w:r w:rsidR="006369C6" w:rsidRPr="002773D4">
        <w:rPr>
          <w:i/>
          <w:szCs w:val="24"/>
          <w:lang w:eastAsia="ru-RU"/>
        </w:rPr>
        <w:t>BCR::</w:t>
      </w:r>
      <w:proofErr w:type="gramEnd"/>
      <w:r w:rsidR="006369C6" w:rsidRPr="002773D4">
        <w:rPr>
          <w:i/>
          <w:szCs w:val="24"/>
          <w:lang w:eastAsia="ru-RU"/>
        </w:rPr>
        <w:t>ABL</w:t>
      </w:r>
      <w:r w:rsidR="006369C6" w:rsidRPr="002773D4">
        <w:rPr>
          <w:i/>
          <w:iCs/>
          <w:szCs w:val="24"/>
          <w:lang w:eastAsia="ru-RU"/>
        </w:rPr>
        <w:t>1</w:t>
      </w:r>
      <w:r w:rsidRPr="002773D4">
        <w:rPr>
          <w:i/>
          <w:iCs/>
          <w:szCs w:val="24"/>
          <w:lang w:eastAsia="ru-RU"/>
        </w:rPr>
        <w:t>;</w:t>
      </w:r>
    </w:p>
    <w:p w14:paraId="0AB55EEE" w14:textId="77777777" w:rsidR="000C7098" w:rsidRPr="00062B4F" w:rsidRDefault="000C7098" w:rsidP="00505FD7">
      <w:pPr>
        <w:numPr>
          <w:ilvl w:val="0"/>
          <w:numId w:val="21"/>
        </w:numPr>
        <w:spacing w:line="372" w:lineRule="auto"/>
        <w:rPr>
          <w:szCs w:val="24"/>
          <w:lang w:eastAsia="ru-RU"/>
        </w:rPr>
      </w:pPr>
      <w:r w:rsidRPr="00062B4F">
        <w:rPr>
          <w:szCs w:val="24"/>
          <w:lang w:eastAsia="ru-RU"/>
        </w:rPr>
        <w:t xml:space="preserve">при длительных повторных </w:t>
      </w:r>
      <w:proofErr w:type="spellStart"/>
      <w:r w:rsidRPr="00062B4F">
        <w:rPr>
          <w:szCs w:val="24"/>
          <w:lang w:eastAsia="ru-RU"/>
        </w:rPr>
        <w:t>цитопениях</w:t>
      </w:r>
      <w:proofErr w:type="spellEnd"/>
      <w:r w:rsidRPr="00062B4F">
        <w:rPr>
          <w:szCs w:val="24"/>
          <w:lang w:eastAsia="ru-RU"/>
        </w:rPr>
        <w:t xml:space="preserve"> необходимо провести обследование (</w:t>
      </w:r>
      <w:proofErr w:type="spellStart"/>
      <w:r w:rsidRPr="00062B4F">
        <w:rPr>
          <w:szCs w:val="24"/>
          <w:lang w:eastAsia="ru-RU"/>
        </w:rPr>
        <w:t>миелограмма</w:t>
      </w:r>
      <w:proofErr w:type="spellEnd"/>
      <w:r w:rsidRPr="00062B4F">
        <w:rPr>
          <w:szCs w:val="24"/>
          <w:lang w:eastAsia="ru-RU"/>
        </w:rPr>
        <w:t>, гистологическое исследование костного мозга) с целью исключения прогрессирования заболевания, развития фиброза костного мозга.</w:t>
      </w:r>
    </w:p>
    <w:p w14:paraId="6B078223" w14:textId="77777777" w:rsidR="000C7098" w:rsidRPr="00062B4F" w:rsidRDefault="000C7098" w:rsidP="00C10677">
      <w:pPr>
        <w:spacing w:line="372" w:lineRule="auto"/>
        <w:rPr>
          <w:szCs w:val="24"/>
          <w:lang w:eastAsia="ru-RU"/>
        </w:rPr>
      </w:pPr>
      <w:r w:rsidRPr="00062B4F">
        <w:rPr>
          <w:szCs w:val="24"/>
          <w:lang w:eastAsia="ru-RU"/>
        </w:rPr>
        <w:t xml:space="preserve">В ФА и БК ХМЛ даже при наличии </w:t>
      </w:r>
      <w:proofErr w:type="spellStart"/>
      <w:r w:rsidRPr="00062B4F">
        <w:rPr>
          <w:szCs w:val="24"/>
          <w:lang w:eastAsia="ru-RU"/>
        </w:rPr>
        <w:t>нейтропении</w:t>
      </w:r>
      <w:proofErr w:type="spellEnd"/>
      <w:r w:rsidRPr="00062B4F">
        <w:rPr>
          <w:szCs w:val="24"/>
          <w:lang w:eastAsia="ru-RU"/>
        </w:rPr>
        <w:t xml:space="preserve"> и тромбоцитопении 3–4 степеней с целью индукции ремиссии в течение первых 4 недель терапия ИТК не должна прерываться. При тромбоцитопении 3-4 степени, геморрагическом синдроме показаны </w:t>
      </w:r>
      <w:r w:rsidRPr="00062B4F">
        <w:rPr>
          <w:szCs w:val="24"/>
          <w:lang w:eastAsia="ru-RU"/>
        </w:rPr>
        <w:lastRenderedPageBreak/>
        <w:t xml:space="preserve">трансфузии </w:t>
      </w:r>
      <w:proofErr w:type="spellStart"/>
      <w:r w:rsidRPr="00062B4F">
        <w:rPr>
          <w:szCs w:val="24"/>
          <w:lang w:eastAsia="ru-RU"/>
        </w:rPr>
        <w:t>тромбоцитарного</w:t>
      </w:r>
      <w:proofErr w:type="spellEnd"/>
      <w:r w:rsidRPr="00062B4F">
        <w:rPr>
          <w:szCs w:val="24"/>
          <w:lang w:eastAsia="ru-RU"/>
        </w:rPr>
        <w:t xml:space="preserve"> концентрата. Если </w:t>
      </w:r>
      <w:proofErr w:type="spellStart"/>
      <w:r w:rsidRPr="00062B4F">
        <w:rPr>
          <w:szCs w:val="24"/>
          <w:lang w:eastAsia="ru-RU"/>
        </w:rPr>
        <w:t>миелосупрессия</w:t>
      </w:r>
      <w:proofErr w:type="spellEnd"/>
      <w:r w:rsidRPr="00062B4F">
        <w:rPr>
          <w:szCs w:val="24"/>
          <w:lang w:eastAsia="ru-RU"/>
        </w:rPr>
        <w:t xml:space="preserve"> сохраняется после 1 месяца терапии, показано выполнение стернальной пункции с подсчетом </w:t>
      </w:r>
      <w:proofErr w:type="spellStart"/>
      <w:r w:rsidRPr="00062B4F">
        <w:rPr>
          <w:szCs w:val="24"/>
          <w:lang w:eastAsia="ru-RU"/>
        </w:rPr>
        <w:t>миелограммы</w:t>
      </w:r>
      <w:proofErr w:type="spellEnd"/>
      <w:r w:rsidRPr="00062B4F">
        <w:rPr>
          <w:szCs w:val="24"/>
          <w:lang w:eastAsia="ru-RU"/>
        </w:rPr>
        <w:t xml:space="preserve"> для исключения прогрессирования заболевания</w:t>
      </w:r>
      <w:r w:rsidR="00EA3217" w:rsidRPr="00062B4F">
        <w:rPr>
          <w:szCs w:val="24"/>
          <w:lang w:eastAsia="ru-RU"/>
        </w:rPr>
        <w:t xml:space="preserve"> </w:t>
      </w:r>
      <w:r w:rsidR="00EA3217"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062B4F">
        <w:rPr>
          <w:iCs/>
          <w:szCs w:val="24"/>
          <w:lang w:eastAsia="ru-RU"/>
        </w:rPr>
        <w:fldChar w:fldCharType="separate"/>
      </w:r>
      <w:r w:rsidR="00EA3217" w:rsidRPr="00062B4F">
        <w:rPr>
          <w:iCs/>
          <w:noProof/>
          <w:szCs w:val="24"/>
          <w:lang w:eastAsia="ru-RU"/>
        </w:rPr>
        <w:t>[10,11]</w:t>
      </w:r>
      <w:r w:rsidR="00EA3217" w:rsidRPr="00062B4F">
        <w:rPr>
          <w:iCs/>
          <w:szCs w:val="24"/>
          <w:lang w:eastAsia="ru-RU"/>
        </w:rPr>
        <w:fldChar w:fldCharType="end"/>
      </w:r>
      <w:r w:rsidR="00EA3217" w:rsidRPr="00062B4F">
        <w:rPr>
          <w:iCs/>
          <w:szCs w:val="24"/>
          <w:lang w:eastAsia="ru-RU"/>
        </w:rPr>
        <w:t>.</w:t>
      </w:r>
    </w:p>
    <w:p w14:paraId="1A1862F7" w14:textId="77777777" w:rsidR="000C7098" w:rsidRPr="00062B4F" w:rsidRDefault="000C7098" w:rsidP="00C10677">
      <w:pPr>
        <w:spacing w:line="372" w:lineRule="auto"/>
        <w:rPr>
          <w:szCs w:val="24"/>
          <w:lang w:eastAsia="ru-RU"/>
        </w:rPr>
      </w:pPr>
      <w:r w:rsidRPr="00062B4F">
        <w:rPr>
          <w:szCs w:val="24"/>
          <w:lang w:eastAsia="ru-RU"/>
        </w:rPr>
        <w:t xml:space="preserve">При числе </w:t>
      </w:r>
      <w:proofErr w:type="spellStart"/>
      <w:r w:rsidRPr="00062B4F">
        <w:rPr>
          <w:szCs w:val="24"/>
          <w:lang w:eastAsia="ru-RU"/>
        </w:rPr>
        <w:t>бластных</w:t>
      </w:r>
      <w:proofErr w:type="spellEnd"/>
      <w:r w:rsidRPr="00062B4F">
        <w:rPr>
          <w:szCs w:val="24"/>
          <w:lang w:eastAsia="ru-RU"/>
        </w:rPr>
        <w:t xml:space="preserve"> клеток менее 5 % и снижении </w:t>
      </w:r>
      <w:proofErr w:type="spellStart"/>
      <w:r w:rsidRPr="00062B4F">
        <w:rPr>
          <w:szCs w:val="24"/>
          <w:lang w:eastAsia="ru-RU"/>
        </w:rPr>
        <w:t>клеточности</w:t>
      </w:r>
      <w:proofErr w:type="spellEnd"/>
      <w:r w:rsidRPr="00062B4F">
        <w:rPr>
          <w:szCs w:val="24"/>
          <w:lang w:eastAsia="ru-RU"/>
        </w:rPr>
        <w:t xml:space="preserve"> костного мозга следует продолжить перерыв в терапии. Контроль клинического анализа крови проводить не реже 1 раза в неделю. Возобновить терапию после восстановления АЧН до уровня более 0,5 х 10</w:t>
      </w:r>
      <w:r w:rsidRPr="00062B4F">
        <w:rPr>
          <w:szCs w:val="24"/>
          <w:vertAlign w:val="superscript"/>
          <w:lang w:eastAsia="ru-RU"/>
        </w:rPr>
        <w:t>9</w:t>
      </w:r>
      <w:r w:rsidRPr="00062B4F">
        <w:rPr>
          <w:szCs w:val="24"/>
          <w:lang w:eastAsia="ru-RU"/>
        </w:rPr>
        <w:t>/л и тромбоцитов более 50 х 10</w:t>
      </w:r>
      <w:r w:rsidRPr="00062B4F">
        <w:rPr>
          <w:szCs w:val="24"/>
          <w:vertAlign w:val="superscript"/>
          <w:lang w:eastAsia="ru-RU"/>
        </w:rPr>
        <w:t>9</w:t>
      </w:r>
      <w:r w:rsidRPr="00062B4F">
        <w:rPr>
          <w:szCs w:val="24"/>
          <w:lang w:eastAsia="ru-RU"/>
        </w:rPr>
        <w:t xml:space="preserve">/л. При повторном возникновении </w:t>
      </w:r>
      <w:proofErr w:type="spellStart"/>
      <w:r w:rsidRPr="00062B4F">
        <w:rPr>
          <w:szCs w:val="24"/>
          <w:lang w:eastAsia="ru-RU"/>
        </w:rPr>
        <w:t>миелосупрессии</w:t>
      </w:r>
      <w:proofErr w:type="spellEnd"/>
      <w:r w:rsidRPr="00062B4F">
        <w:rPr>
          <w:szCs w:val="24"/>
          <w:lang w:eastAsia="ru-RU"/>
        </w:rPr>
        <w:t xml:space="preserve"> доза ИТК должна быть снижена. При длительных и/или повторных эпизодах </w:t>
      </w:r>
      <w:proofErr w:type="spellStart"/>
      <w:r w:rsidRPr="00062B4F">
        <w:rPr>
          <w:szCs w:val="24"/>
          <w:lang w:eastAsia="ru-RU"/>
        </w:rPr>
        <w:t>нейтропении</w:t>
      </w:r>
      <w:proofErr w:type="spellEnd"/>
      <w:r w:rsidRPr="00062B4F">
        <w:rPr>
          <w:szCs w:val="24"/>
          <w:lang w:eastAsia="ru-RU"/>
        </w:rPr>
        <w:t xml:space="preserve"> и отсутствии </w:t>
      </w:r>
      <w:proofErr w:type="spellStart"/>
      <w:r w:rsidRPr="00062B4F">
        <w:rPr>
          <w:szCs w:val="24"/>
          <w:lang w:eastAsia="ru-RU"/>
        </w:rPr>
        <w:t>бластоза</w:t>
      </w:r>
      <w:proofErr w:type="spellEnd"/>
      <w:r w:rsidRPr="00062B4F">
        <w:rPr>
          <w:szCs w:val="24"/>
          <w:lang w:eastAsia="ru-RU"/>
        </w:rPr>
        <w:t xml:space="preserve"> в периферической крови и костном мозге возможно применение Г</w:t>
      </w:r>
      <w:r w:rsidRPr="00062B4F">
        <w:rPr>
          <w:szCs w:val="24"/>
          <w:lang w:eastAsia="ru-RU"/>
        </w:rPr>
        <w:noBreakHyphen/>
        <w:t>КСФ</w:t>
      </w:r>
      <w:r w:rsidR="00635FCD" w:rsidRPr="00062B4F">
        <w:rPr>
          <w:szCs w:val="24"/>
          <w:lang w:eastAsia="ru-RU"/>
        </w:rPr>
        <w:t xml:space="preserve"> </w:t>
      </w:r>
      <w:r w:rsidR="00635FCD" w:rsidRPr="00062B4F">
        <w:rPr>
          <w:szCs w:val="24"/>
          <w:lang w:eastAsia="ru-RU"/>
        </w:rPr>
        <w:fldChar w:fldCharType="begin" w:fldLock="1"/>
      </w:r>
      <w:r w:rsidR="00EA3217" w:rsidRPr="00062B4F">
        <w:rPr>
          <w:szCs w:val="24"/>
          <w:lang w:eastAsia="ru-RU"/>
        </w:rPr>
        <w:instrText>ADDIN CSL_CITATION {"citationItems":[{"id":"ITEM-1","itemData":{"DOI":"10.1002/cncr.20285","ISSN":"0008-543X","PMID":"15197801","abstract":"BACKGROUND Imatinib mesylate administration has become standard treatment for patients with chronic myelogenous leukemia (CML). Although the safety profile of imatinib is favorable, Grade &gt; or = 3 neutropenia (according to the National Cancer Institute Common Toxicity Criteria) occurs in 35-45% of patients with CML in chronic phase who receive standard-dose imatinib. Myelosuppression results in treatment interruptions, which may compromise responses to imatinib. The authors investigated the ability of granulocyte-colony-stimulating factor (filgrastim) to reverse imatinib-associated neutropenia, thereby allowing for more continuous imatinib administration. METHODS Thirteen patients with chronic-phase CML and Grade &gt; or = 3, imatinib-induced neutropenia were treated with filgrastim. Treatment with filgrastim was initiated after a median of 22 months from the start of imatinib. Eleven patients received filgrastim 5 microg/kg 1-3 times weekly, and 2 patients received filgrastim 5 microg/kg daily; doses were titrated to maintain an absolute neutrophil count (ANC) &gt; or = 10(9)/L. RESULTS Seven of 11 patients (64%) who began treatment with an ANC &lt; 1.5 x 10(9)/L had responses (i.e., their ANC improved to &gt; or = 2 x 10(9)/L within 21 days); the other 4 patients experienced slower recovery but were able to continue receiving imatinib uninterrupted. Before filgrastim administration was initiated, patients did not receive imatinib (due to neutropenia-related treatment interruptions) for an average of 21% of the total time since the start of imatinib. This figure decreased to 6% after the start of filgrastim treatment (P = 0.0008). Before filgrastim treatment was initiated, only one patient had achieved a major (partial) cytogenetic response. After the start of filgrastim treatment, five patients had major cytogenetic responses (including two complete responses). CONCLUSIONS The authors concluded that filgrastim may overcome imatinib-associated neutropenia and allow improved delivery of imatinib. Some patients may experience improvements in their responses to therapy as a result.","author":[{"dropping-particle":"","family":"Quintas-Cardama","given":"Alfonso","non-dropping-particle":"","parse-names":false,"suffix":""},{"dropping-particle":"","family":"Kantarjian","given":"Hagop","non-dropping-particle":"","parse-names":false,"suffix":""},{"dropping-particle":"","family":"O'Brien","given":"Susan","non-dropping-particle":"","parse-names":false,"suffix":""},{"dropping-particle":"","family":"Garcia-Manero","given":"Guillermo","non-dropping-particle":"","parse-names":false,"suffix":""},{"dropping-particle":"","family":"Rios","given":"Mary B.","non-dropping-particle":"","parse-names":false,"suffix":""},{"dropping-particle":"","family":"Talpaz","given":"Moshe","non-dropping-particle":"","parse-names":false,"suffix":""},{"dropping-particle":"","family":"Cortes","given":"Jorge","non-dropping-particle":"","parse-names":false,"suffix":""}],"container-title":"Cancer","id":"ITEM-1","issue":"12","issued":{"date-parts":[["2004","6"]]},"page":"2592-2597","title":"Granulocyte-colony-stimulating factor (filgrastim) may overcome imatinib-induced neutropenia in patients with chronic-phase chronic myelogenous leukemia","type":"article-journal","volume":"100"},"uris":["http://www.mendeley.com/documents/?uuid=31e4df7e-152c-475a-946f-030e03614ec4"]}],"mendeley":{"formattedCitation":"[80]","plainTextFormattedCitation":"[80]","previouslyFormattedCitation":"[80]"},"properties":{"noteIndex":0},"schema":"https://github.com/citation-style-language/schema/raw/master/csl-citation.json"}</w:instrText>
      </w:r>
      <w:r w:rsidR="00635FCD" w:rsidRPr="00062B4F">
        <w:rPr>
          <w:szCs w:val="24"/>
          <w:lang w:eastAsia="ru-RU"/>
        </w:rPr>
        <w:fldChar w:fldCharType="separate"/>
      </w:r>
      <w:r w:rsidR="00CA6209" w:rsidRPr="00062B4F">
        <w:rPr>
          <w:noProof/>
          <w:szCs w:val="24"/>
          <w:lang w:eastAsia="ru-RU"/>
        </w:rPr>
        <w:t>[80]</w:t>
      </w:r>
      <w:r w:rsidR="00635FCD" w:rsidRPr="00062B4F">
        <w:rPr>
          <w:szCs w:val="24"/>
          <w:lang w:eastAsia="ru-RU"/>
        </w:rPr>
        <w:fldChar w:fldCharType="end"/>
      </w:r>
      <w:r w:rsidR="00635FCD" w:rsidRPr="00062B4F">
        <w:rPr>
          <w:szCs w:val="24"/>
          <w:lang w:eastAsia="ru-RU"/>
        </w:rPr>
        <w:t>;</w:t>
      </w:r>
    </w:p>
    <w:p w14:paraId="34996716" w14:textId="51D65006" w:rsidR="000C7098" w:rsidRPr="00062B4F" w:rsidRDefault="000C7098" w:rsidP="00C10677">
      <w:pPr>
        <w:spacing w:line="372" w:lineRule="auto"/>
        <w:rPr>
          <w:szCs w:val="24"/>
          <w:lang w:eastAsia="ru-RU"/>
        </w:rPr>
      </w:pPr>
      <w:r w:rsidRPr="00062B4F">
        <w:rPr>
          <w:szCs w:val="24"/>
          <w:lang w:eastAsia="ru-RU"/>
        </w:rPr>
        <w:t xml:space="preserve">При наличии более 5 % </w:t>
      </w:r>
      <w:proofErr w:type="spellStart"/>
      <w:r w:rsidRPr="00062B4F">
        <w:rPr>
          <w:szCs w:val="24"/>
          <w:lang w:eastAsia="ru-RU"/>
        </w:rPr>
        <w:t>бластов</w:t>
      </w:r>
      <w:proofErr w:type="spellEnd"/>
      <w:r w:rsidRPr="00062B4F">
        <w:rPr>
          <w:szCs w:val="24"/>
          <w:lang w:eastAsia="ru-RU"/>
        </w:rPr>
        <w:t xml:space="preserve"> и </w:t>
      </w:r>
      <w:proofErr w:type="spellStart"/>
      <w:r w:rsidRPr="00062B4F">
        <w:rPr>
          <w:szCs w:val="24"/>
          <w:lang w:eastAsia="ru-RU"/>
        </w:rPr>
        <w:t>гиперклеточном</w:t>
      </w:r>
      <w:proofErr w:type="spellEnd"/>
      <w:r w:rsidRPr="00062B4F">
        <w:rPr>
          <w:szCs w:val="24"/>
          <w:lang w:eastAsia="ru-RU"/>
        </w:rPr>
        <w:t xml:space="preserve"> костном мозге должен быть обсужден вопрос об изменении тактики терапии. При переключении с одного ИТК на другой существует вероятность развития перекрестной гематологической токсичности, так как развитие </w:t>
      </w:r>
      <w:proofErr w:type="spellStart"/>
      <w:r w:rsidRPr="00062B4F">
        <w:rPr>
          <w:szCs w:val="24"/>
          <w:lang w:eastAsia="ru-RU"/>
        </w:rPr>
        <w:t>цитопений</w:t>
      </w:r>
      <w:proofErr w:type="spellEnd"/>
      <w:r w:rsidRPr="00062B4F">
        <w:rPr>
          <w:szCs w:val="24"/>
          <w:lang w:eastAsia="ru-RU"/>
        </w:rPr>
        <w:t xml:space="preserve"> у </w:t>
      </w:r>
      <w:r w:rsidRPr="00062B4F">
        <w:rPr>
          <w:iCs/>
          <w:szCs w:val="24"/>
          <w:lang w:eastAsia="ru-RU"/>
        </w:rPr>
        <w:t>пациентов</w:t>
      </w:r>
      <w:r w:rsidRPr="00062B4F">
        <w:rPr>
          <w:szCs w:val="24"/>
          <w:lang w:eastAsia="ru-RU"/>
        </w:rPr>
        <w:t xml:space="preserve"> </w:t>
      </w:r>
      <w:r w:rsidR="0057474A">
        <w:rPr>
          <w:szCs w:val="24"/>
          <w:lang w:eastAsia="ru-RU"/>
        </w:rPr>
        <w:t xml:space="preserve">с </w:t>
      </w:r>
      <w:r w:rsidRPr="00062B4F">
        <w:rPr>
          <w:szCs w:val="24"/>
          <w:lang w:eastAsia="ru-RU"/>
        </w:rPr>
        <w:t xml:space="preserve">ХМЛ, по-видимому, в большей степени связано не столько с особенностями действия конкретного ИТК, сколько со снижением резервов нормального кроветворения. Это особенно ярко проявляется у пациентов с продвинутыми фазами ХМЛ, а также у пациентов с резистентностью к 1–2 линии терапии ИТК. При повторных </w:t>
      </w:r>
      <w:proofErr w:type="spellStart"/>
      <w:r w:rsidRPr="00062B4F">
        <w:rPr>
          <w:szCs w:val="24"/>
          <w:lang w:eastAsia="ru-RU"/>
        </w:rPr>
        <w:t>цитопениях</w:t>
      </w:r>
      <w:proofErr w:type="spellEnd"/>
      <w:r w:rsidRPr="00062B4F">
        <w:rPr>
          <w:szCs w:val="24"/>
          <w:lang w:eastAsia="ru-RU"/>
        </w:rPr>
        <w:t xml:space="preserve"> 3–4 степени, которые затрудняют проведение терапии ИТК в непрерывном режиме и, соответственно, способствуют снижению эффективности лечения, показано обсуждение вопроса о выполнении </w:t>
      </w:r>
      <w:proofErr w:type="spellStart"/>
      <w:r w:rsidRPr="00062B4F">
        <w:rPr>
          <w:szCs w:val="24"/>
          <w:lang w:eastAsia="ru-RU"/>
        </w:rPr>
        <w:t>аллоТГСК</w:t>
      </w:r>
      <w:proofErr w:type="spellEnd"/>
      <w:r w:rsidRPr="00062B4F">
        <w:rPr>
          <w:szCs w:val="24"/>
          <w:lang w:eastAsia="ru-RU"/>
        </w:rPr>
        <w:t>.</w:t>
      </w:r>
    </w:p>
    <w:p w14:paraId="7C148A29" w14:textId="77777777" w:rsidR="000C7098" w:rsidRPr="00062B4F" w:rsidRDefault="000C7098" w:rsidP="00C10677">
      <w:pPr>
        <w:rPr>
          <w:szCs w:val="24"/>
          <w:lang w:eastAsia="ru-RU"/>
        </w:rPr>
      </w:pPr>
      <w:proofErr w:type="spellStart"/>
      <w:r w:rsidRPr="00062B4F">
        <w:rPr>
          <w:b/>
          <w:bCs/>
          <w:szCs w:val="24"/>
          <w:lang w:eastAsia="ru-RU"/>
        </w:rPr>
        <w:t>Негематологическая</w:t>
      </w:r>
      <w:proofErr w:type="spellEnd"/>
      <w:r w:rsidRPr="00062B4F">
        <w:rPr>
          <w:b/>
          <w:bCs/>
          <w:szCs w:val="24"/>
          <w:lang w:eastAsia="ru-RU"/>
        </w:rPr>
        <w:t xml:space="preserve"> токсичность</w:t>
      </w:r>
    </w:p>
    <w:p w14:paraId="3B053890" w14:textId="7A418032" w:rsidR="000C7098" w:rsidRPr="00062B4F" w:rsidRDefault="000C7098" w:rsidP="00C10677">
      <w:pPr>
        <w:spacing w:line="372" w:lineRule="auto"/>
        <w:rPr>
          <w:szCs w:val="24"/>
          <w:lang w:eastAsia="ru-RU"/>
        </w:rPr>
      </w:pPr>
      <w:r w:rsidRPr="00062B4F">
        <w:rPr>
          <w:szCs w:val="24"/>
          <w:lang w:eastAsia="ru-RU"/>
        </w:rPr>
        <w:t>Помимо гематологической токсичности терапия ИТК может осложняться и другими побочными эффектами</w:t>
      </w:r>
      <w:r w:rsidR="00072C1A">
        <w:rPr>
          <w:szCs w:val="24"/>
          <w:lang w:eastAsia="ru-RU"/>
        </w:rPr>
        <w:t>.</w:t>
      </w:r>
      <w:r w:rsidRPr="00062B4F">
        <w:rPr>
          <w:szCs w:val="24"/>
          <w:lang w:eastAsia="ru-RU"/>
        </w:rPr>
        <w:t xml:space="preserve"> Наиболее частыми побочными эффектами лечения ИТК являются тошнота, рвота, диарея, задержка жидкости с развитием отеков, кожная сыпь, зуд, слабость, нарушения сна, боли в мышцах и суставах</w:t>
      </w:r>
      <w:r w:rsidR="008330EC">
        <w:rPr>
          <w:szCs w:val="24"/>
          <w:lang w:eastAsia="ru-RU"/>
        </w:rPr>
        <w:t>, изменения лабораторных показателей</w:t>
      </w:r>
      <w:r w:rsidRPr="00062B4F">
        <w:rPr>
          <w:szCs w:val="24"/>
          <w:lang w:eastAsia="ru-RU"/>
        </w:rPr>
        <w:t>. Особенное значение данные побочные явления приобретают в связи с необходимостью постоянного приема препаратов ИТК. Даже небольшая выраженность постоянно существующих побочных эффектов может приводить к снижению приверженности к лечению (</w:t>
      </w:r>
      <w:proofErr w:type="spellStart"/>
      <w:r w:rsidRPr="00062B4F">
        <w:rPr>
          <w:szCs w:val="24"/>
          <w:lang w:eastAsia="ru-RU"/>
        </w:rPr>
        <w:t>комплаентности</w:t>
      </w:r>
      <w:proofErr w:type="spellEnd"/>
      <w:r w:rsidRPr="00062B4F">
        <w:rPr>
          <w:szCs w:val="24"/>
          <w:lang w:eastAsia="ru-RU"/>
        </w:rPr>
        <w:t xml:space="preserve">) – пропускам приема либо снижению дозы препарата пациентами, что ведет к снижению эффективности терапии. Профили </w:t>
      </w:r>
      <w:proofErr w:type="spellStart"/>
      <w:r w:rsidRPr="00062B4F">
        <w:rPr>
          <w:szCs w:val="24"/>
          <w:lang w:eastAsia="ru-RU"/>
        </w:rPr>
        <w:t>негематологической</w:t>
      </w:r>
      <w:proofErr w:type="spellEnd"/>
      <w:r w:rsidRPr="00062B4F">
        <w:rPr>
          <w:szCs w:val="24"/>
          <w:lang w:eastAsia="ru-RU"/>
        </w:rPr>
        <w:t xml:space="preserve"> токсичности </w:t>
      </w:r>
      <w:proofErr w:type="spellStart"/>
      <w:r w:rsidRPr="00062B4F">
        <w:rPr>
          <w:szCs w:val="24"/>
          <w:lang w:eastAsia="ru-RU"/>
        </w:rPr>
        <w:t>иматиниба</w:t>
      </w:r>
      <w:proofErr w:type="spellEnd"/>
      <w:r w:rsidRPr="00062B4F">
        <w:rPr>
          <w:szCs w:val="24"/>
          <w:lang w:eastAsia="ru-RU"/>
        </w:rPr>
        <w:t xml:space="preserve">**, </w:t>
      </w:r>
      <w:proofErr w:type="spellStart"/>
      <w:r w:rsidRPr="00062B4F">
        <w:rPr>
          <w:szCs w:val="24"/>
          <w:lang w:eastAsia="ru-RU"/>
        </w:rPr>
        <w:t>нилотиниба</w:t>
      </w:r>
      <w:proofErr w:type="spellEnd"/>
      <w:r w:rsidRPr="00062B4F">
        <w:rPr>
          <w:szCs w:val="24"/>
          <w:lang w:eastAsia="ru-RU"/>
        </w:rPr>
        <w:t xml:space="preserve">**, </w:t>
      </w:r>
      <w:proofErr w:type="spellStart"/>
      <w:r w:rsidRPr="00062B4F">
        <w:rPr>
          <w:szCs w:val="24"/>
          <w:lang w:eastAsia="ru-RU"/>
        </w:rPr>
        <w:t>дазатиниба</w:t>
      </w:r>
      <w:proofErr w:type="spellEnd"/>
      <w:r w:rsidRPr="00062B4F">
        <w:rPr>
          <w:szCs w:val="24"/>
          <w:lang w:eastAsia="ru-RU"/>
        </w:rPr>
        <w:t xml:space="preserve">** и </w:t>
      </w:r>
      <w:proofErr w:type="spellStart"/>
      <w:r w:rsidRPr="00062B4F">
        <w:rPr>
          <w:szCs w:val="24"/>
          <w:lang w:eastAsia="ru-RU"/>
        </w:rPr>
        <w:t>бозутиниба</w:t>
      </w:r>
      <w:proofErr w:type="spellEnd"/>
      <w:r w:rsidR="00192F67">
        <w:rPr>
          <w:szCs w:val="24"/>
          <w:lang w:eastAsia="ru-RU"/>
        </w:rPr>
        <w:t>**</w:t>
      </w:r>
      <w:r w:rsidRPr="00062B4F">
        <w:rPr>
          <w:szCs w:val="24"/>
          <w:lang w:eastAsia="ru-RU"/>
        </w:rPr>
        <w:t xml:space="preserve"> отличаются.</w:t>
      </w:r>
    </w:p>
    <w:p w14:paraId="5257B4EB" w14:textId="77777777" w:rsidR="000C7098" w:rsidRPr="00062B4F" w:rsidRDefault="000C7098" w:rsidP="00C10677">
      <w:pPr>
        <w:spacing w:line="372" w:lineRule="auto"/>
        <w:rPr>
          <w:szCs w:val="24"/>
          <w:lang w:eastAsia="ru-RU"/>
        </w:rPr>
      </w:pPr>
      <w:r w:rsidRPr="00062B4F">
        <w:rPr>
          <w:szCs w:val="24"/>
          <w:lang w:eastAsia="ru-RU"/>
        </w:rPr>
        <w:t xml:space="preserve">При возникновении </w:t>
      </w:r>
      <w:proofErr w:type="spellStart"/>
      <w:r w:rsidRPr="00062B4F">
        <w:rPr>
          <w:szCs w:val="24"/>
          <w:lang w:eastAsia="ru-RU"/>
        </w:rPr>
        <w:t>негематологической</w:t>
      </w:r>
      <w:proofErr w:type="spellEnd"/>
      <w:r w:rsidRPr="00062B4F">
        <w:rPr>
          <w:szCs w:val="24"/>
          <w:lang w:eastAsia="ru-RU"/>
        </w:rPr>
        <w:t xml:space="preserve"> токсичности следует дифференцировать побочные эффекты терапии ИТК от возможных клинических проявлений сопутствующих заболеваний. Целесообразно дополнительное обследование пациента для исключения </w:t>
      </w:r>
      <w:r w:rsidRPr="00062B4F">
        <w:rPr>
          <w:szCs w:val="24"/>
          <w:lang w:eastAsia="ru-RU"/>
        </w:rPr>
        <w:lastRenderedPageBreak/>
        <w:t>другой патологии. Для минимизации явлений токсичности требуется адекватная симптоматическая терапия.</w:t>
      </w:r>
    </w:p>
    <w:p w14:paraId="09C47597" w14:textId="77777777" w:rsidR="000C7098" w:rsidRPr="00062B4F" w:rsidRDefault="000C7098" w:rsidP="00C10677">
      <w:pPr>
        <w:spacing w:line="372" w:lineRule="auto"/>
        <w:rPr>
          <w:szCs w:val="24"/>
          <w:lang w:eastAsia="ru-RU"/>
        </w:rPr>
      </w:pPr>
      <w:r w:rsidRPr="00062B4F">
        <w:rPr>
          <w:szCs w:val="24"/>
          <w:lang w:eastAsia="ru-RU"/>
        </w:rPr>
        <w:t xml:space="preserve">Общая тактика ведения </w:t>
      </w:r>
      <w:r w:rsidRPr="00062B4F">
        <w:rPr>
          <w:iCs/>
          <w:szCs w:val="24"/>
          <w:lang w:eastAsia="ru-RU"/>
        </w:rPr>
        <w:t>пациентов</w:t>
      </w:r>
      <w:r w:rsidRPr="00062B4F">
        <w:rPr>
          <w:i/>
          <w:szCs w:val="24"/>
          <w:lang w:eastAsia="ru-RU"/>
        </w:rPr>
        <w:t xml:space="preserve"> </w:t>
      </w:r>
      <w:r w:rsidRPr="00062B4F">
        <w:rPr>
          <w:szCs w:val="24"/>
          <w:lang w:eastAsia="ru-RU"/>
        </w:rPr>
        <w:t xml:space="preserve">при различных проявлениях </w:t>
      </w:r>
      <w:proofErr w:type="spellStart"/>
      <w:r w:rsidRPr="00062B4F">
        <w:rPr>
          <w:szCs w:val="24"/>
          <w:lang w:eastAsia="ru-RU"/>
        </w:rPr>
        <w:t>негематологической</w:t>
      </w:r>
      <w:proofErr w:type="spellEnd"/>
      <w:r w:rsidRPr="00062B4F">
        <w:rPr>
          <w:szCs w:val="24"/>
          <w:lang w:eastAsia="ru-RU"/>
        </w:rPr>
        <w:t xml:space="preserve"> токсичности на фоне ИТК представлена в табл. 10. Следует подчеркнуть, что перерывы в лечении и снижение дозы допустимы при длительных и/или повторных эпизодах токсичности 2 степени и при однократной токсичности 3-4 степени. Непереносимость терапии ИТК возможно констатировать при длительном (более 2–3 мес.) сохранении явлений токсичности 2 степени при условии адекватной сопроводительной терапии, а также при повторных явлениях токсичности 3–4 степени. Непереносимость терапии является показанием к переводу на другой ИТК, так как профиль </w:t>
      </w:r>
      <w:proofErr w:type="spellStart"/>
      <w:r w:rsidRPr="00062B4F">
        <w:rPr>
          <w:szCs w:val="24"/>
          <w:lang w:eastAsia="ru-RU"/>
        </w:rPr>
        <w:t>негематологической</w:t>
      </w:r>
      <w:proofErr w:type="spellEnd"/>
      <w:r w:rsidRPr="00062B4F">
        <w:rPr>
          <w:szCs w:val="24"/>
          <w:lang w:eastAsia="ru-RU"/>
        </w:rPr>
        <w:t xml:space="preserve"> токсичности у препаратов разный, и перекрестная непереносимость минимальная</w:t>
      </w:r>
      <w:r w:rsidR="00EA3217" w:rsidRPr="00062B4F">
        <w:rPr>
          <w:szCs w:val="24"/>
          <w:lang w:eastAsia="ru-RU"/>
        </w:rPr>
        <w:t xml:space="preserve"> </w:t>
      </w:r>
      <w:r w:rsidR="00EA3217" w:rsidRPr="00062B4F">
        <w:rPr>
          <w:iCs/>
          <w:szCs w:val="24"/>
          <w:lang w:eastAsia="ru-RU"/>
        </w:rPr>
        <w:fldChar w:fldCharType="begin" w:fldLock="1"/>
      </w:r>
      <w:r w:rsidR="00EA3217"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062B4F">
        <w:rPr>
          <w:iCs/>
          <w:szCs w:val="24"/>
          <w:lang w:eastAsia="ru-RU"/>
        </w:rPr>
        <w:fldChar w:fldCharType="separate"/>
      </w:r>
      <w:r w:rsidR="00EA3217" w:rsidRPr="00062B4F">
        <w:rPr>
          <w:iCs/>
          <w:noProof/>
          <w:szCs w:val="24"/>
          <w:lang w:eastAsia="ru-RU"/>
        </w:rPr>
        <w:t>[10,11]</w:t>
      </w:r>
      <w:r w:rsidR="00EA3217" w:rsidRPr="00062B4F">
        <w:rPr>
          <w:iCs/>
          <w:szCs w:val="24"/>
          <w:lang w:eastAsia="ru-RU"/>
        </w:rPr>
        <w:fldChar w:fldCharType="end"/>
      </w:r>
      <w:r w:rsidR="00EA3217" w:rsidRPr="00062B4F">
        <w:rPr>
          <w:iCs/>
          <w:szCs w:val="24"/>
          <w:lang w:eastAsia="ru-RU"/>
        </w:rPr>
        <w:t>.</w:t>
      </w:r>
    </w:p>
    <w:p w14:paraId="50DFC9A4" w14:textId="77777777" w:rsidR="000C7098" w:rsidRPr="00062B4F" w:rsidRDefault="000C7098" w:rsidP="001629EF">
      <w:pPr>
        <w:spacing w:before="120" w:line="372" w:lineRule="auto"/>
        <w:rPr>
          <w:szCs w:val="24"/>
          <w:lang w:eastAsia="ru-RU"/>
        </w:rPr>
      </w:pPr>
      <w:r w:rsidRPr="00062B4F">
        <w:rPr>
          <w:b/>
          <w:bCs/>
          <w:szCs w:val="24"/>
          <w:lang w:eastAsia="ru-RU"/>
        </w:rPr>
        <w:t>Таблица 10. </w:t>
      </w:r>
      <w:r w:rsidRPr="00062B4F">
        <w:rPr>
          <w:szCs w:val="24"/>
          <w:lang w:eastAsia="ru-RU"/>
        </w:rPr>
        <w:t xml:space="preserve">Общая тактика терапии при </w:t>
      </w:r>
      <w:proofErr w:type="spellStart"/>
      <w:r w:rsidRPr="00062B4F">
        <w:rPr>
          <w:szCs w:val="24"/>
          <w:lang w:eastAsia="ru-RU"/>
        </w:rPr>
        <w:t>негематологической</w:t>
      </w:r>
      <w:proofErr w:type="spellEnd"/>
      <w:r w:rsidRPr="00062B4F">
        <w:rPr>
          <w:szCs w:val="24"/>
          <w:lang w:eastAsia="ru-RU"/>
        </w:rPr>
        <w:t xml:space="preserve"> токсичности ИТК</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244"/>
        <w:gridCol w:w="6095"/>
      </w:tblGrid>
      <w:tr w:rsidR="000C7098" w:rsidRPr="00062B4F" w14:paraId="17C4EEA2" w14:textId="77777777">
        <w:trPr>
          <w:trHeight w:val="652"/>
          <w:jc w:val="center"/>
        </w:trPr>
        <w:tc>
          <w:tcPr>
            <w:tcW w:w="3720" w:type="dxa"/>
            <w:tcBorders>
              <w:top w:val="single" w:sz="6" w:space="0" w:color="000000"/>
              <w:left w:val="single" w:sz="6" w:space="0" w:color="000000"/>
              <w:bottom w:val="single" w:sz="6" w:space="0" w:color="000000"/>
              <w:right w:val="single" w:sz="6" w:space="0" w:color="000000"/>
            </w:tcBorders>
          </w:tcPr>
          <w:p w14:paraId="344783BA"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Степень токсичности</w:t>
            </w:r>
          </w:p>
        </w:tc>
        <w:tc>
          <w:tcPr>
            <w:tcW w:w="7485" w:type="dxa"/>
            <w:tcBorders>
              <w:top w:val="single" w:sz="6" w:space="0" w:color="000000"/>
              <w:left w:val="single" w:sz="6" w:space="0" w:color="000000"/>
              <w:bottom w:val="single" w:sz="6" w:space="0" w:color="000000"/>
              <w:right w:val="single" w:sz="6" w:space="0" w:color="000000"/>
            </w:tcBorders>
          </w:tcPr>
          <w:p w14:paraId="369546AB"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Тактика терапии</w:t>
            </w:r>
          </w:p>
        </w:tc>
      </w:tr>
      <w:tr w:rsidR="000C7098" w:rsidRPr="00062B4F" w14:paraId="7F87D599" w14:textId="77777777">
        <w:trPr>
          <w:trHeight w:val="525"/>
          <w:jc w:val="center"/>
        </w:trPr>
        <w:tc>
          <w:tcPr>
            <w:tcW w:w="3720" w:type="dxa"/>
            <w:tcBorders>
              <w:top w:val="single" w:sz="6" w:space="0" w:color="000000"/>
              <w:left w:val="single" w:sz="6" w:space="0" w:color="000000"/>
              <w:bottom w:val="single" w:sz="6" w:space="0" w:color="000000"/>
              <w:right w:val="single" w:sz="6" w:space="0" w:color="000000"/>
            </w:tcBorders>
          </w:tcPr>
          <w:p w14:paraId="79036E87"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u w:val="single"/>
                <w:lang w:eastAsia="ru-RU"/>
              </w:rPr>
              <w:t xml:space="preserve">Степень 1 </w:t>
            </w:r>
          </w:p>
        </w:tc>
        <w:tc>
          <w:tcPr>
            <w:tcW w:w="7485" w:type="dxa"/>
            <w:tcBorders>
              <w:top w:val="single" w:sz="6" w:space="0" w:color="000000"/>
              <w:left w:val="single" w:sz="6" w:space="0" w:color="000000"/>
              <w:bottom w:val="single" w:sz="6" w:space="0" w:color="000000"/>
              <w:right w:val="single" w:sz="6" w:space="0" w:color="000000"/>
            </w:tcBorders>
          </w:tcPr>
          <w:p w14:paraId="13B41B4B"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Перерывов в лечении и снижения дозы не требуется</w:t>
            </w:r>
          </w:p>
        </w:tc>
      </w:tr>
      <w:tr w:rsidR="000C7098" w:rsidRPr="00062B4F" w14:paraId="40E1D69D" w14:textId="77777777">
        <w:trPr>
          <w:trHeight w:val="2460"/>
          <w:jc w:val="center"/>
        </w:trPr>
        <w:tc>
          <w:tcPr>
            <w:tcW w:w="3720" w:type="dxa"/>
            <w:tcBorders>
              <w:top w:val="single" w:sz="6" w:space="0" w:color="000000"/>
              <w:left w:val="single" w:sz="6" w:space="0" w:color="000000"/>
              <w:bottom w:val="single" w:sz="6" w:space="0" w:color="000000"/>
              <w:right w:val="single" w:sz="6" w:space="0" w:color="000000"/>
            </w:tcBorders>
          </w:tcPr>
          <w:p w14:paraId="191A481E" w14:textId="77777777" w:rsidR="000C7098" w:rsidRPr="00062B4F" w:rsidRDefault="000C7098" w:rsidP="00D038E9">
            <w:pPr>
              <w:ind w:firstLine="0"/>
              <w:jc w:val="left"/>
              <w:rPr>
                <w:u w:val="single"/>
                <w:lang w:eastAsia="ru-RU"/>
              </w:rPr>
            </w:pPr>
            <w:r w:rsidRPr="00062B4F">
              <w:rPr>
                <w:u w:val="single"/>
                <w:lang w:eastAsia="ru-RU"/>
              </w:rPr>
              <w:t>Степень 2:</w:t>
            </w:r>
          </w:p>
          <w:p w14:paraId="204D725A" w14:textId="77777777" w:rsidR="000C7098" w:rsidRPr="00062B4F" w:rsidRDefault="000C7098" w:rsidP="00D038E9">
            <w:pPr>
              <w:ind w:firstLine="0"/>
              <w:jc w:val="left"/>
              <w:rPr>
                <w:lang w:eastAsia="ru-RU"/>
              </w:rPr>
            </w:pPr>
            <w:r w:rsidRPr="00062B4F">
              <w:rPr>
                <w:lang w:eastAsia="ru-RU"/>
              </w:rPr>
              <w:t>– длительность &lt;7дней</w:t>
            </w:r>
          </w:p>
          <w:p w14:paraId="5628BD29" w14:textId="77777777" w:rsidR="000C7098" w:rsidRPr="00062B4F" w:rsidRDefault="000C7098" w:rsidP="00D038E9">
            <w:pPr>
              <w:ind w:firstLine="0"/>
              <w:jc w:val="left"/>
              <w:rPr>
                <w:sz w:val="4"/>
                <w:lang w:eastAsia="ru-RU"/>
              </w:rPr>
            </w:pPr>
          </w:p>
          <w:p w14:paraId="73EDBF42" w14:textId="6F0A1099" w:rsidR="000C7098" w:rsidRPr="00062B4F" w:rsidRDefault="000C7098" w:rsidP="00351AF0">
            <w:pPr>
              <w:spacing w:beforeAutospacing="1" w:afterAutospacing="1" w:line="240" w:lineRule="auto"/>
              <w:ind w:firstLine="0"/>
              <w:jc w:val="left"/>
              <w:rPr>
                <w:lang w:eastAsia="ru-RU"/>
              </w:rPr>
            </w:pPr>
            <w:r w:rsidRPr="00062B4F">
              <w:rPr>
                <w:lang w:eastAsia="ru-RU"/>
              </w:rPr>
              <w:t>– длительность &gt;7 дней</w:t>
            </w:r>
            <w:r w:rsidRPr="00062B4F">
              <w:rPr>
                <w:lang w:eastAsia="ru-RU"/>
              </w:rPr>
              <w:br/>
              <w:t>или при повторных</w:t>
            </w:r>
            <w:r w:rsidR="00BA6DA3">
              <w:rPr>
                <w:lang w:eastAsia="ru-RU"/>
              </w:rPr>
              <w:t xml:space="preserve"> </w:t>
            </w:r>
            <w:r w:rsidRPr="00062B4F">
              <w:rPr>
                <w:lang w:eastAsia="ru-RU"/>
              </w:rPr>
              <w:t>возникновениях токсичности</w:t>
            </w:r>
          </w:p>
        </w:tc>
        <w:tc>
          <w:tcPr>
            <w:tcW w:w="7485" w:type="dxa"/>
            <w:tcBorders>
              <w:top w:val="single" w:sz="6" w:space="0" w:color="000000"/>
              <w:left w:val="single" w:sz="6" w:space="0" w:color="000000"/>
              <w:bottom w:val="single" w:sz="6" w:space="0" w:color="000000"/>
              <w:right w:val="single" w:sz="6" w:space="0" w:color="000000"/>
            </w:tcBorders>
          </w:tcPr>
          <w:p w14:paraId="02CF405D" w14:textId="77777777" w:rsidR="000C7098" w:rsidRPr="00062B4F" w:rsidRDefault="000C7098" w:rsidP="00D038E9">
            <w:pPr>
              <w:ind w:firstLine="0"/>
              <w:jc w:val="left"/>
              <w:rPr>
                <w:lang w:eastAsia="ru-RU"/>
              </w:rPr>
            </w:pPr>
          </w:p>
          <w:p w14:paraId="63E4ED26" w14:textId="77777777" w:rsidR="000C7098" w:rsidRPr="00062B4F" w:rsidRDefault="000C7098" w:rsidP="00D038E9">
            <w:pPr>
              <w:ind w:firstLine="0"/>
              <w:jc w:val="left"/>
              <w:rPr>
                <w:lang w:eastAsia="ru-RU"/>
              </w:rPr>
            </w:pPr>
            <w:r w:rsidRPr="00062B4F">
              <w:rPr>
                <w:lang w:eastAsia="ru-RU"/>
              </w:rPr>
              <w:t>Перерывов в лечении и снижения дозы не требуется</w:t>
            </w:r>
          </w:p>
          <w:p w14:paraId="606AC1F1" w14:textId="6E306738" w:rsidR="000C7098" w:rsidRPr="00062B4F" w:rsidRDefault="00BA6DA3" w:rsidP="00D038E9">
            <w:pPr>
              <w:spacing w:beforeAutospacing="1" w:afterAutospacing="1" w:line="240" w:lineRule="auto"/>
              <w:ind w:firstLine="0"/>
              <w:jc w:val="left"/>
              <w:rPr>
                <w:lang w:eastAsia="ru-RU"/>
              </w:rPr>
            </w:pPr>
            <w:r>
              <w:rPr>
                <w:szCs w:val="24"/>
                <w:lang w:eastAsia="ru-RU"/>
              </w:rPr>
              <w:t xml:space="preserve">Возможна </w:t>
            </w:r>
            <w:r w:rsidRPr="00062B4F">
              <w:rPr>
                <w:lang w:eastAsia="ru-RU"/>
              </w:rPr>
              <w:t>отмен</w:t>
            </w:r>
            <w:r>
              <w:rPr>
                <w:lang w:eastAsia="ru-RU"/>
              </w:rPr>
              <w:t>а</w:t>
            </w:r>
            <w:r w:rsidRPr="00062B4F">
              <w:rPr>
                <w:lang w:eastAsia="ru-RU"/>
              </w:rPr>
              <w:t xml:space="preserve"> </w:t>
            </w:r>
            <w:proofErr w:type="gramStart"/>
            <w:r w:rsidR="000C7098" w:rsidRPr="00062B4F">
              <w:rPr>
                <w:lang w:eastAsia="ru-RU"/>
              </w:rPr>
              <w:t>лечени</w:t>
            </w:r>
            <w:r>
              <w:rPr>
                <w:lang w:eastAsia="ru-RU"/>
              </w:rPr>
              <w:t xml:space="preserve">я </w:t>
            </w:r>
            <w:r w:rsidR="000C7098" w:rsidRPr="00062B4F">
              <w:rPr>
                <w:lang w:eastAsia="ru-RU"/>
              </w:rPr>
              <w:t>;</w:t>
            </w:r>
            <w:proofErr w:type="gramEnd"/>
            <w:r w:rsidR="000C7098" w:rsidRPr="00062B4F">
              <w:rPr>
                <w:lang w:eastAsia="ru-RU"/>
              </w:rPr>
              <w:t xml:space="preserve"> после разрешения</w:t>
            </w:r>
            <w:r w:rsidR="009D45FE">
              <w:rPr>
                <w:lang w:eastAsia="ru-RU"/>
              </w:rPr>
              <w:t xml:space="preserve"> </w:t>
            </w:r>
            <w:r w:rsidR="000C7098" w:rsidRPr="00062B4F">
              <w:rPr>
                <w:lang w:eastAsia="ru-RU"/>
              </w:rPr>
              <w:t>токсичности менее 2 степени возобновить лечение</w:t>
            </w:r>
          </w:p>
          <w:p w14:paraId="7A9F240C" w14:textId="77777777" w:rsidR="000C7098" w:rsidRPr="00062B4F" w:rsidRDefault="000C7098" w:rsidP="00D038E9">
            <w:pPr>
              <w:spacing w:beforeAutospacing="1" w:afterAutospacing="1" w:line="240" w:lineRule="auto"/>
              <w:ind w:firstLine="0"/>
              <w:jc w:val="left"/>
              <w:rPr>
                <w:lang w:eastAsia="ru-RU"/>
              </w:rPr>
            </w:pPr>
            <w:r w:rsidRPr="00062B4F">
              <w:rPr>
                <w:lang w:eastAsia="ru-RU"/>
              </w:rPr>
              <w:t>При перерыве менее 28 дней возобновить лечение</w:t>
            </w:r>
            <w:r w:rsidRPr="00062B4F">
              <w:rPr>
                <w:lang w:eastAsia="ru-RU"/>
              </w:rPr>
              <w:br/>
              <w:t>в прежней дозе, более 28 дней – снижение дозы</w:t>
            </w:r>
            <w:r w:rsidRPr="00062B4F">
              <w:rPr>
                <w:lang w:eastAsia="ru-RU"/>
              </w:rPr>
              <w:br/>
              <w:t>на один уровень</w:t>
            </w:r>
          </w:p>
          <w:p w14:paraId="4636D6F9" w14:textId="51F4BD0A" w:rsidR="000C7098" w:rsidRPr="00062B4F" w:rsidRDefault="000C7098" w:rsidP="00351AF0">
            <w:pPr>
              <w:spacing w:beforeAutospacing="1" w:afterAutospacing="1" w:line="240" w:lineRule="auto"/>
              <w:ind w:firstLine="0"/>
              <w:jc w:val="left"/>
              <w:rPr>
                <w:lang w:eastAsia="ru-RU"/>
              </w:rPr>
            </w:pPr>
            <w:r w:rsidRPr="00062B4F">
              <w:rPr>
                <w:lang w:eastAsia="ru-RU"/>
              </w:rPr>
              <w:t>Если нет нарастания токсичности на фоне</w:t>
            </w:r>
            <w:r w:rsidRPr="00062B4F">
              <w:rPr>
                <w:lang w:eastAsia="ru-RU"/>
              </w:rPr>
              <w:br/>
              <w:t>сниженной дозы в течение 1 месяца,</w:t>
            </w:r>
            <w:r w:rsidR="001E1458">
              <w:rPr>
                <w:lang w:eastAsia="ru-RU"/>
              </w:rPr>
              <w:t xml:space="preserve"> </w:t>
            </w:r>
            <w:r w:rsidRPr="00062B4F">
              <w:rPr>
                <w:lang w:eastAsia="ru-RU"/>
              </w:rPr>
              <w:t>целесообразен возврат к стандартной дозе</w:t>
            </w:r>
          </w:p>
        </w:tc>
      </w:tr>
      <w:tr w:rsidR="000C7098" w:rsidRPr="00062B4F" w14:paraId="3072FDAA" w14:textId="77777777">
        <w:trPr>
          <w:trHeight w:val="705"/>
          <w:jc w:val="center"/>
        </w:trPr>
        <w:tc>
          <w:tcPr>
            <w:tcW w:w="3720" w:type="dxa"/>
            <w:tcBorders>
              <w:top w:val="single" w:sz="6" w:space="0" w:color="000000"/>
              <w:left w:val="single" w:sz="6" w:space="0" w:color="000000"/>
              <w:bottom w:val="single" w:sz="6" w:space="0" w:color="000000"/>
              <w:right w:val="single" w:sz="6" w:space="0" w:color="000000"/>
            </w:tcBorders>
          </w:tcPr>
          <w:p w14:paraId="32F31BCE"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u w:val="single"/>
                <w:lang w:eastAsia="ru-RU"/>
              </w:rPr>
              <w:t>Степень 3 или 4</w:t>
            </w:r>
          </w:p>
        </w:tc>
        <w:tc>
          <w:tcPr>
            <w:tcW w:w="7485" w:type="dxa"/>
            <w:tcBorders>
              <w:top w:val="single" w:sz="6" w:space="0" w:color="000000"/>
              <w:left w:val="single" w:sz="6" w:space="0" w:color="000000"/>
              <w:bottom w:val="single" w:sz="6" w:space="0" w:color="000000"/>
              <w:right w:val="single" w:sz="6" w:space="0" w:color="000000"/>
            </w:tcBorders>
          </w:tcPr>
          <w:p w14:paraId="337E6E5A"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Отменить лечение; после уменьшения токсичности </w:t>
            </w:r>
            <w:r w:rsidRPr="00062B4F">
              <w:rPr>
                <w:szCs w:val="24"/>
                <w:u w:val="single"/>
                <w:lang w:eastAsia="ru-RU"/>
              </w:rPr>
              <w:t>&lt;</w:t>
            </w:r>
            <w:r w:rsidRPr="00062B4F">
              <w:rPr>
                <w:szCs w:val="24"/>
                <w:lang w:eastAsia="ru-RU"/>
              </w:rPr>
              <w:t>2 степени возобновить лечение в сниженной</w:t>
            </w:r>
            <w:r w:rsidRPr="00062B4F">
              <w:rPr>
                <w:szCs w:val="24"/>
                <w:lang w:eastAsia="ru-RU"/>
              </w:rPr>
              <w:br/>
              <w:t>на один уровень дозе</w:t>
            </w:r>
          </w:p>
          <w:p w14:paraId="145C353C"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При длительности токсичности более 28 дней, повторных эпизодах того же вида токсичности показан перевод</w:t>
            </w:r>
            <w:r w:rsidRPr="00062B4F">
              <w:rPr>
                <w:szCs w:val="24"/>
                <w:lang w:eastAsia="ru-RU"/>
              </w:rPr>
              <w:br/>
              <w:t>на другую терапию</w:t>
            </w:r>
          </w:p>
        </w:tc>
      </w:tr>
    </w:tbl>
    <w:p w14:paraId="467A2572" w14:textId="77777777" w:rsidR="000C7098" w:rsidRPr="00062B4F" w:rsidRDefault="000C7098" w:rsidP="00C10677">
      <w:pPr>
        <w:rPr>
          <w:szCs w:val="24"/>
          <w:lang w:eastAsia="ru-RU"/>
        </w:rPr>
      </w:pPr>
    </w:p>
    <w:p w14:paraId="56FB5337" w14:textId="087BCC43" w:rsidR="000C7098" w:rsidRPr="00062B4F" w:rsidRDefault="000C7098" w:rsidP="00C10677">
      <w:pPr>
        <w:rPr>
          <w:szCs w:val="24"/>
          <w:lang w:eastAsia="ru-RU"/>
        </w:rPr>
      </w:pPr>
      <w:r w:rsidRPr="00062B4F">
        <w:rPr>
          <w:szCs w:val="24"/>
          <w:lang w:eastAsia="ru-RU"/>
        </w:rPr>
        <w:t xml:space="preserve">Следует отметить, что превышение некоторых параметров (таких как уровень холестерина) формально определяемых в пределах I–II степени по критериям CTCAE, при терапии </w:t>
      </w:r>
      <w:proofErr w:type="spellStart"/>
      <w:r w:rsidRPr="00062B4F">
        <w:rPr>
          <w:szCs w:val="24"/>
          <w:lang w:eastAsia="ru-RU"/>
        </w:rPr>
        <w:t>нилотинибом</w:t>
      </w:r>
      <w:proofErr w:type="spellEnd"/>
      <w:r w:rsidR="006851B6" w:rsidRPr="00062B4F">
        <w:rPr>
          <w:szCs w:val="24"/>
          <w:lang w:eastAsia="ru-RU"/>
        </w:rPr>
        <w:t>**</w:t>
      </w:r>
      <w:r w:rsidRPr="00062B4F">
        <w:rPr>
          <w:szCs w:val="24"/>
          <w:lang w:eastAsia="ru-RU"/>
        </w:rPr>
        <w:t xml:space="preserve"> требует особого внимания и коррекции, с учетом повышенной вероятности развития ишемических сосудистых событий при применении этого препарата </w:t>
      </w:r>
      <w:r w:rsidRPr="00062B4F">
        <w:rPr>
          <w:szCs w:val="24"/>
          <w:lang w:eastAsia="ru-RU"/>
        </w:rPr>
        <w:lastRenderedPageBreak/>
        <w:fldChar w:fldCharType="begin" w:fldLock="1"/>
      </w:r>
      <w:r w:rsidR="00EA3217" w:rsidRPr="00062B4F">
        <w:rPr>
          <w:szCs w:val="24"/>
          <w:lang w:eastAsia="ru-RU"/>
        </w:rPr>
        <w:instrText>ADDIN CSL_CITATION {"citationItems":[{"id":"ITEM-1","itemData":{"DOI":"10.1038/leu.2013.69","ISSN":"08876924","abstract":"Peripheral arterial occlusive disease (PAOD) occurs in patients with chronic phase chronic myeloid leukemia (CML-CP) treated with tyrosine kinase inhibitors (TKIs). The risk of developing PAOD on TKI therapy is unknown and causality has not been established. Patients with CML-CP from three randomized phase III studies (IRIS, TOPS and ENESTnd) were divided into three cohorts: no TKI (cohort 1; n=533), nilotinib (cohort 2; n=556) and imatinib (cohort 3; n=1301). Patients with atherosclerotic risk factors were not excluded. Data were queried for terms indicative of PAOD. Overall, 3, 7 and 2 patients in cohorts 1, 2 and 3, respectively, had PAOD; 11/12 patients had baseline PAOD risk factors. Compared with that of cohort 1, exposure-adjusted risks of PAOD for cohorts 2 and 3 were 0.9 (95% CI, 0.2-3.3) and 0.1 (95% CI, 0.0-0.5), respectively. Multivariate logistic regression revealed that nilotinib had no impact on PAOD rates compared with no TKI, whereas imatinib had decreased rates of PAOD compared with no TKI. Nilotinib was associated with higher rates of PAOD versus imatinib. Baseline assessments, preferably within clinical studies, of PAOD and associated risk factors should occur when initiating TKI therapy in CML; patients should receive monitoring and treatment according to the standard of care for these comorbidities. © 2013 Macmillan Publishers Limited.","author":[{"dropping-particle":"","family":"Giles","given":"F. J.","non-dropping-particle":"","parse-names":false,"suffix":""},{"dropping-particle":"","family":"Mauro","given":"M. J.","non-dropping-particle":"","parse-names":false,"suffix":""},{"dropping-particle":"","family":"Hong","given":"F.","non-dropping-particle":"","parse-names":false,"suffix":""},{"dropping-particle":"","family":"Ortmann","given":"C. E.","non-dropping-particle":"","parse-names":false,"suffix":""},{"dropping-particle":"","family":"McNeill","given":"C.","non-dropping-particle":"","parse-names":false,"suffix":""},{"dropping-particle":"","family":"Woodman","given":"R. C.","non-dropping-particle":"","parse-names":false,"suffix":""},{"dropping-particle":"","family":"Hochhaus","given":"A.","non-dropping-particle":"","parse-names":false,"suffix":""},{"dropping-particle":"","family":"Coutre","given":"P. D.","non-dropping-particle":"Le","parse-names":false,"suffix":""},{"dropping-particle":"","family":"Saglio","given":"G.","non-dropping-particle":"","parse-names":false,"suffix":""}],"container-title":"Leukemia","id":"ITEM-1","issue":"6","issued":{"date-parts":[["2013","6"]]},"page":"1310-1315","title":"Rates of peripheral arterial occlusive disease in patients with chronic myeloid leukemia in the chronic phase treated with imatinib, nilotinib, or non-tyrosine kinase therapy: A retrospective cohort analysis","type":"article-journal","volume":"27"},"uris":["http://www.mendeley.com/documents/?uuid=3f9df915-a76e-3570-8de4-04f9f5d07b2f"]},{"id":"ITEM-2","itemData":{"DOI":"10.3109/10428194.2015.1091929","ISSN":"10292403","abstract":"There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Lymphoma","id":"ITEM-2","issue":"6","issued":{"date-parts":[["2016","6","2"]]},"page":"1300-1310","publisher":"Taylor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[31,39]","plainTextFormattedCitation":"[31,39]","previouslyFormattedCitation":"[31,39]"},"properties":{"noteIndex":0},"schema":"https://github.com/citation-style-language/schema/raw/master/csl-citation.json"}</w:instrText>
      </w:r>
      <w:r w:rsidRPr="00062B4F">
        <w:rPr>
          <w:szCs w:val="24"/>
          <w:lang w:eastAsia="ru-RU"/>
        </w:rPr>
        <w:fldChar w:fldCharType="separate"/>
      </w:r>
      <w:r w:rsidR="00EA3217" w:rsidRPr="00062B4F">
        <w:rPr>
          <w:noProof/>
          <w:szCs w:val="24"/>
          <w:lang w:eastAsia="ru-RU"/>
        </w:rPr>
        <w:t>[31,39]</w:t>
      </w:r>
      <w:r w:rsidRPr="00062B4F">
        <w:rPr>
          <w:szCs w:val="24"/>
          <w:lang w:eastAsia="ru-RU"/>
        </w:rPr>
        <w:fldChar w:fldCharType="end"/>
      </w:r>
      <w:r w:rsidRPr="00062B4F">
        <w:rPr>
          <w:szCs w:val="24"/>
          <w:lang w:eastAsia="ru-RU"/>
        </w:rPr>
        <w:t xml:space="preserve">. Плевральные выпоты при терапии </w:t>
      </w:r>
      <w:proofErr w:type="spellStart"/>
      <w:r w:rsidRPr="00062B4F">
        <w:rPr>
          <w:szCs w:val="24"/>
          <w:lang w:eastAsia="ru-RU"/>
        </w:rPr>
        <w:t>дазатинибом</w:t>
      </w:r>
      <w:proofErr w:type="spellEnd"/>
      <w:r w:rsidR="006851B6" w:rsidRPr="00062B4F">
        <w:rPr>
          <w:szCs w:val="24"/>
          <w:lang w:eastAsia="ru-RU"/>
        </w:rPr>
        <w:t>**</w:t>
      </w:r>
      <w:r w:rsidRPr="00062B4F">
        <w:rPr>
          <w:szCs w:val="24"/>
          <w:lang w:eastAsia="ru-RU"/>
        </w:rPr>
        <w:t xml:space="preserve">, несмотря на определяемую по CTCAE низкую степень токсичности, не всегда позволяют продолжить терапию в постоянном режиме из-за рецидивирующего характера </w:t>
      </w:r>
      <w:r w:rsidRPr="00062B4F">
        <w:rPr>
          <w:szCs w:val="24"/>
          <w:lang w:eastAsia="ru-RU"/>
        </w:rPr>
        <w:fldChar w:fldCharType="begin" w:fldLock="1"/>
      </w:r>
      <w:r w:rsidR="00EA3217" w:rsidRPr="00062B4F">
        <w:rPr>
          <w:szCs w:val="24"/>
          <w:lang w:eastAsia="ru-RU"/>
        </w:rPr>
        <w:instrText>ADDIN CSL_CITATION {"citationItems":[{"id":"ITEM-1","itemData":{"DOI":"10.1002/cncr.24734","ISSN":"0008543X","PMID":"19924787","abstract":"BACKGROUND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E.","non-dropping-particle":"","parse-names":false,"suffix":""}],"container-title":"Cancer","id":"ITEM-1","issue":"2","issued":{"date-parts":[["2010","1"]]},"page":"377-386","title":"Dasatinib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07b65b64-905d-3826-b57d-a5d0fd4a56fa","http://www.mendeley.com/documents/?uuid=7b830c0a-6299-4667-9a81-32c583862ea2"]},{"id":"ITEM-2","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Oncology","id":"ITEM-2","issue":"20","issued":{"date-parts":[["2016"]]},"page":"2333-2341","title":"Final 5-Year Study Results of DASISION: The Dasatinib Versus Imatinib Study in Treatment-Naıve Chronic Myeloid Leukemia Patients Trial","type":"article-journal","volume":"34"},"uris":["http://www.mendeley.com/documents/?uuid=24835c3f-9e36-40d5-9e73-ab0133733bec"]}],"mendeley":{"formattedCitation":"[26,29]","plainTextFormattedCitation":"[26,29]","previouslyFormattedCitation":"[26,29]"},"properties":{"noteIndex":0},"schema":"https://github.com/citation-style-language/schema/raw/master/csl-citation.json"}</w:instrText>
      </w:r>
      <w:r w:rsidRPr="00062B4F">
        <w:rPr>
          <w:szCs w:val="24"/>
          <w:lang w:eastAsia="ru-RU"/>
        </w:rPr>
        <w:fldChar w:fldCharType="separate"/>
      </w:r>
      <w:r w:rsidR="00EA3217" w:rsidRPr="00062B4F">
        <w:rPr>
          <w:noProof/>
          <w:szCs w:val="24"/>
          <w:lang w:eastAsia="ru-RU"/>
        </w:rPr>
        <w:t>[26,29]</w:t>
      </w:r>
      <w:r w:rsidRPr="00062B4F">
        <w:rPr>
          <w:szCs w:val="24"/>
          <w:lang w:eastAsia="ru-RU"/>
        </w:rPr>
        <w:fldChar w:fldCharType="end"/>
      </w:r>
      <w:r w:rsidRPr="00062B4F">
        <w:rPr>
          <w:szCs w:val="24"/>
          <w:lang w:eastAsia="ru-RU"/>
        </w:rPr>
        <w:t xml:space="preserve">. Диарея 1–2 степени по CTCAE при терапии </w:t>
      </w:r>
      <w:proofErr w:type="spellStart"/>
      <w:r w:rsidRPr="00062B4F">
        <w:rPr>
          <w:szCs w:val="24"/>
          <w:lang w:eastAsia="ru-RU"/>
        </w:rPr>
        <w:t>бозутинибом</w:t>
      </w:r>
      <w:proofErr w:type="spellEnd"/>
      <w:r w:rsidR="00192F67">
        <w:rPr>
          <w:szCs w:val="24"/>
          <w:lang w:eastAsia="ru-RU"/>
        </w:rPr>
        <w:t>**</w:t>
      </w:r>
      <w:r w:rsidRPr="00062B4F">
        <w:rPr>
          <w:szCs w:val="24"/>
          <w:lang w:eastAsia="ru-RU"/>
        </w:rPr>
        <w:t xml:space="preserve"> может значительно ухудшать качество жизни пациентов, однако хорошо поддается коррекции со снижением степени выраженности и частоты развития в ходе лечения </w:t>
      </w:r>
      <w:r w:rsidRPr="00062B4F">
        <w:rPr>
          <w:szCs w:val="24"/>
          <w:lang w:eastAsia="ru-RU"/>
        </w:rPr>
        <w:fldChar w:fldCharType="begin" w:fldLock="1"/>
      </w:r>
      <w:r w:rsidR="00EA3217" w:rsidRPr="00062B4F">
        <w:rPr>
          <w:szCs w:val="24"/>
          <w:lang w:eastAsia="ru-RU"/>
        </w:rPr>
        <w:instrText>ADDIN CSL_CITATION {"citationItems":[{"id":"ITEM-1","itemData":{"DOI":"10.1002/ajh.24536","ISSN":"0361-8609","PMID":"27531525","abstract":"Bosutinib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Hematology","id":"ITEM-1","issue":"12","issued":{"date-parts":[["2016","12"]]},"page":"1206-1214","title":"Long‐term bosutinib for chronic phase chronic myeloid leukemia after failure of imatinib plus dasatinib and/or nilotinib","type":"article-journal","volume":"91"},"uris":["http://www.mendeley.com/documents/?uuid=cb4ca7e0-91a8-4047-a36e-7c8a2122b009","http://www.mendeley.com/documents/?uuid=5262d5aa-fd04-30bf-b2c5-9dfa16ecd452"]}],"mendeley":{"formattedCitation":"[33]","plainTextFormattedCitation":"[33]","previouslyFormattedCitation":"[33]"},"properties":{"noteIndex":0},"schema":"https://github.com/citation-style-language/schema/raw/master/csl-citation.json"}</w:instrText>
      </w:r>
      <w:r w:rsidRPr="00062B4F">
        <w:rPr>
          <w:szCs w:val="24"/>
          <w:lang w:eastAsia="ru-RU"/>
        </w:rPr>
        <w:fldChar w:fldCharType="separate"/>
      </w:r>
      <w:r w:rsidR="00947941" w:rsidRPr="00062B4F">
        <w:rPr>
          <w:noProof/>
          <w:szCs w:val="24"/>
          <w:lang w:eastAsia="ru-RU"/>
        </w:rPr>
        <w:t>[33]</w:t>
      </w:r>
      <w:r w:rsidRPr="00062B4F">
        <w:rPr>
          <w:szCs w:val="24"/>
          <w:lang w:eastAsia="ru-RU"/>
        </w:rPr>
        <w:fldChar w:fldCharType="end"/>
      </w:r>
      <w:r w:rsidRPr="00062B4F">
        <w:rPr>
          <w:szCs w:val="24"/>
          <w:lang w:eastAsia="ru-RU"/>
        </w:rPr>
        <w:t>.</w:t>
      </w:r>
    </w:p>
    <w:p w14:paraId="02B445CB" w14:textId="08F2D236" w:rsidR="000C7098" w:rsidRDefault="000C7098" w:rsidP="00C10677">
      <w:pPr>
        <w:rPr>
          <w:szCs w:val="24"/>
          <w:lang w:eastAsia="ru-RU"/>
        </w:rPr>
      </w:pPr>
      <w:r w:rsidRPr="00062B4F">
        <w:rPr>
          <w:szCs w:val="24"/>
          <w:lang w:eastAsia="ru-RU"/>
        </w:rPr>
        <w:t xml:space="preserve">Тактика терапии при отдельных видах </w:t>
      </w:r>
      <w:proofErr w:type="spellStart"/>
      <w:r w:rsidRPr="00062B4F">
        <w:rPr>
          <w:szCs w:val="24"/>
          <w:lang w:eastAsia="ru-RU"/>
        </w:rPr>
        <w:t>негематологической</w:t>
      </w:r>
      <w:proofErr w:type="spellEnd"/>
      <w:r w:rsidRPr="00062B4F">
        <w:rPr>
          <w:szCs w:val="24"/>
          <w:lang w:eastAsia="ru-RU"/>
        </w:rPr>
        <w:t xml:space="preserve"> токсичности требует отдельного рассмотрения.</w:t>
      </w:r>
    </w:p>
    <w:p w14:paraId="66772367" w14:textId="77777777" w:rsidR="00682E43" w:rsidRPr="00062B4F" w:rsidRDefault="00682E43" w:rsidP="00C10677">
      <w:pPr>
        <w:rPr>
          <w:szCs w:val="24"/>
          <w:lang w:eastAsia="ru-RU"/>
        </w:rPr>
      </w:pPr>
    </w:p>
    <w:p w14:paraId="58E623EF" w14:textId="77777777" w:rsidR="000C7098" w:rsidRPr="00062B4F" w:rsidRDefault="000C7098" w:rsidP="00C10677">
      <w:pPr>
        <w:rPr>
          <w:szCs w:val="24"/>
          <w:lang w:eastAsia="ru-RU"/>
        </w:rPr>
      </w:pPr>
      <w:r w:rsidRPr="00062B4F">
        <w:rPr>
          <w:b/>
          <w:bCs/>
          <w:szCs w:val="24"/>
          <w:lang w:eastAsia="ru-RU"/>
        </w:rPr>
        <w:t xml:space="preserve">Наиболее частые явления </w:t>
      </w:r>
      <w:proofErr w:type="spellStart"/>
      <w:r w:rsidRPr="00062B4F">
        <w:rPr>
          <w:b/>
          <w:bCs/>
          <w:szCs w:val="24"/>
          <w:lang w:eastAsia="ru-RU"/>
        </w:rPr>
        <w:t>негематологической</w:t>
      </w:r>
      <w:proofErr w:type="spellEnd"/>
      <w:r w:rsidRPr="00062B4F">
        <w:rPr>
          <w:b/>
          <w:bCs/>
          <w:szCs w:val="24"/>
          <w:lang w:eastAsia="ru-RU"/>
        </w:rPr>
        <w:t xml:space="preserve"> токсичности</w:t>
      </w:r>
    </w:p>
    <w:p w14:paraId="0FFD6198" w14:textId="77777777" w:rsidR="000C7098" w:rsidRPr="00062B4F" w:rsidRDefault="000C7098" w:rsidP="00C10677">
      <w:pPr>
        <w:rPr>
          <w:i/>
          <w:szCs w:val="24"/>
          <w:lang w:eastAsia="ru-RU"/>
        </w:rPr>
      </w:pPr>
      <w:proofErr w:type="spellStart"/>
      <w:r w:rsidRPr="00062B4F">
        <w:rPr>
          <w:b/>
          <w:bCs/>
          <w:i/>
          <w:szCs w:val="24"/>
          <w:lang w:eastAsia="ru-RU"/>
        </w:rPr>
        <w:t>Гиперхолестеринемия</w:t>
      </w:r>
      <w:proofErr w:type="spellEnd"/>
      <w:r w:rsidRPr="00062B4F">
        <w:rPr>
          <w:b/>
          <w:bCs/>
          <w:i/>
          <w:szCs w:val="24"/>
          <w:lang w:eastAsia="ru-RU"/>
        </w:rPr>
        <w:t xml:space="preserve"> и риск ишемических сосудистых событий</w:t>
      </w:r>
    </w:p>
    <w:p w14:paraId="0695BF91" w14:textId="77777777" w:rsidR="000C7098" w:rsidRPr="00062B4F" w:rsidRDefault="000C7098" w:rsidP="00C10677">
      <w:pPr>
        <w:rPr>
          <w:szCs w:val="24"/>
          <w:lang w:eastAsia="ru-RU"/>
        </w:rPr>
      </w:pPr>
      <w:r w:rsidRPr="00062B4F">
        <w:rPr>
          <w:szCs w:val="24"/>
          <w:lang w:eastAsia="ru-RU"/>
        </w:rPr>
        <w:t xml:space="preserve">Нарушение метаболизма липидов и </w:t>
      </w:r>
      <w:proofErr w:type="spellStart"/>
      <w:r w:rsidRPr="00062B4F">
        <w:rPr>
          <w:szCs w:val="24"/>
          <w:lang w:eastAsia="ru-RU"/>
        </w:rPr>
        <w:t>гиперхолестеринемия</w:t>
      </w:r>
      <w:proofErr w:type="spellEnd"/>
      <w:r w:rsidRPr="00062B4F">
        <w:rPr>
          <w:szCs w:val="24"/>
          <w:lang w:eastAsia="ru-RU"/>
        </w:rPr>
        <w:t xml:space="preserve"> отмечены у 22 % пациентов при применении </w:t>
      </w:r>
      <w:proofErr w:type="spellStart"/>
      <w:r w:rsidRPr="00062B4F">
        <w:rPr>
          <w:szCs w:val="24"/>
          <w:lang w:eastAsia="ru-RU"/>
        </w:rPr>
        <w:t>нилотиниба</w:t>
      </w:r>
      <w:proofErr w:type="spellEnd"/>
      <w:r w:rsidR="006851B6" w:rsidRPr="00062B4F">
        <w:rPr>
          <w:szCs w:val="24"/>
          <w:lang w:eastAsia="ru-RU"/>
        </w:rPr>
        <w:t>**</w:t>
      </w:r>
      <w:r w:rsidRPr="00062B4F">
        <w:rPr>
          <w:szCs w:val="24"/>
          <w:lang w:eastAsia="ru-RU"/>
        </w:rPr>
        <w:t xml:space="preserve">, тогда как при применении </w:t>
      </w:r>
      <w:proofErr w:type="spellStart"/>
      <w:r w:rsidRPr="00062B4F">
        <w:rPr>
          <w:szCs w:val="24"/>
          <w:lang w:eastAsia="ru-RU"/>
        </w:rPr>
        <w:t>иматиниба</w:t>
      </w:r>
      <w:proofErr w:type="spellEnd"/>
      <w:r w:rsidR="00577329" w:rsidRPr="00062B4F">
        <w:rPr>
          <w:szCs w:val="24"/>
          <w:lang w:eastAsia="ru-RU"/>
        </w:rPr>
        <w:t>**</w:t>
      </w:r>
      <w:r w:rsidRPr="00062B4F">
        <w:rPr>
          <w:szCs w:val="24"/>
          <w:lang w:eastAsia="ru-RU"/>
        </w:rPr>
        <w:t xml:space="preserve"> только у 3 %; это нежелательное явление может быть зарегистрировано уже через 3 месяца приема </w:t>
      </w:r>
      <w:proofErr w:type="spellStart"/>
      <w:r w:rsidRPr="00062B4F">
        <w:rPr>
          <w:szCs w:val="24"/>
          <w:lang w:eastAsia="ru-RU"/>
        </w:rPr>
        <w:t>нилотиниба</w:t>
      </w:r>
      <w:proofErr w:type="spellEnd"/>
      <w:r w:rsidR="006851B6" w:rsidRPr="00062B4F">
        <w:rPr>
          <w:szCs w:val="24"/>
          <w:lang w:eastAsia="ru-RU"/>
        </w:rPr>
        <w:t>**</w:t>
      </w:r>
      <w:r w:rsidRPr="00062B4F">
        <w:rPr>
          <w:szCs w:val="24"/>
          <w:lang w:eastAsia="ru-RU"/>
        </w:rPr>
        <w:t xml:space="preserve"> и было ассоциировано с возникновением ишемических сосудистых событий, в частности окклюзией периферических артерий</w:t>
      </w:r>
      <w:r w:rsidR="00EA3217" w:rsidRPr="00062B4F">
        <w:rPr>
          <w:szCs w:val="24"/>
          <w:lang w:eastAsia="ru-RU"/>
        </w:rPr>
        <w:t xml:space="preserve"> </w:t>
      </w:r>
      <w:r w:rsidR="00EA3217" w:rsidRPr="00062B4F">
        <w:rPr>
          <w:szCs w:val="24"/>
          <w:lang w:eastAsia="ru-RU"/>
        </w:rPr>
        <w:fldChar w:fldCharType="begin" w:fldLock="1"/>
      </w:r>
      <w:r w:rsidR="00EA3217" w:rsidRPr="00062B4F">
        <w:rPr>
          <w:szCs w:val="24"/>
          <w:lang w:eastAsia="ru-RU"/>
        </w:rPr>
        <w:instrText>ADDIN CSL_CITATION {"citationItems":[{"id":"ITEM-1","itemData":{"DOI":"10.1038/leu.2013.69","ISSN":"08876924","abstract":"Peripheral arterial occlusive disease (PAOD) occurs in patients with chronic phase chronic myeloid leukemia (CML-CP) treated with tyrosine kinase inhibitors (TKIs). The risk of developing PAOD on TKI therapy is unknown and causality has not been established. Patients with CML-CP from three randomized phase III studies (IRIS, TOPS and ENESTnd) were divided into three cohorts: no TKI (cohort 1; n=533), nilotinib (cohort 2; n=556) and imatinib (cohort 3; n=1301). Patients with atherosclerotic risk factors were not excluded. Data were queried for terms indicative of PAOD. Overall, 3, 7 and 2 patients in cohorts 1, 2 and 3, respectively, had PAOD; 11/12 patients had baseline PAOD risk factors. Compared with that of cohort 1, exposure-adjusted risks of PAOD for cohorts 2 and 3 were 0.9 (95% CI, 0.2-3.3) and 0.1 (95% CI, 0.0-0.5), respectively. Multivariate logistic regression revealed that nilotinib had no impact on PAOD rates compared with no TKI, whereas imatinib had decreased rates of PAOD compared with no TKI. Nilotinib was associated with higher rates of PAOD versus imatinib. Baseline assessments, preferably within clinical studies, of PAOD and associated risk factors should occur when initiating TKI therapy in CML; patients should receive monitoring and treatment according to the standard of care for these comorbidities. © 2013 Macmillan Publishers Limited.","author":[{"dropping-particle":"","family":"Giles","given":"F. J.","non-dropping-particle":"","parse-names":false,"suffix":""},{"dropping-particle":"","family":"Mauro","given":"M. J.","non-dropping-particle":"","parse-names":false,"suffix":""},{"dropping-particle":"","family":"Hong","given":"F.","non-dropping-particle":"","parse-names":false,"suffix":""},{"dropping-particle":"","family":"Ortmann","given":"C. E.","non-dropping-particle":"","parse-names":false,"suffix":""},{"dropping-particle":"","family":"McNeill","given":"C.","non-dropping-particle":"","parse-names":false,"suffix":""},{"dropping-particle":"","family":"Woodman","given":"R. C.","non-dropping-particle":"","parse-names":false,"suffix":""},{"dropping-particle":"","family":"Hochhaus","given":"A.","non-dropping-particle":"","parse-names":false,"suffix":""},{"dropping-particle":"","family":"Coutre","given":"P. D.","non-dropping-particle":"Le","parse-names":false,"suffix":""},{"dropping-particle":"","family":"Saglio","given":"G.","non-dropping-particle":"","parse-names":false,"suffix":""}],"container-title":"Leukemia","id":"ITEM-1","issue":"6","issued":{"date-parts":[["2013","6"]]},"page":"1310-1315","title":"Rates of peripheral arterial occlusive disease in patients with chronic myeloid leukemia in the chronic phase treated with imatinib, nilotinib, or non-tyrosine kinase therapy: A retrospective cohort analysis","type":"article-journal","volume":"27"},"uris":["http://www.mendeley.com/documents/?uuid=3f9df915-a76e-3570-8de4-04f9f5d07b2f"]},{"id":"ITEM-2","itemData":{"DOI":"10.3109/10428194.2015.1091929","ISSN":"10292403","abstract":"There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Lymphoma","id":"ITEM-2","issue":"6","issued":{"date-parts":[["2016","6","2"]]},"page":"1300-1310","publisher":"Taylor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[31,39]","plainTextFormattedCitation":"[31,39]","previouslyFormattedCitation":"[31,39]"},"properties":{"noteIndex":0},"schema":"https://github.com/citation-style-language/schema/raw/master/csl-citation.json"}</w:instrText>
      </w:r>
      <w:r w:rsidR="00EA3217" w:rsidRPr="00062B4F">
        <w:rPr>
          <w:szCs w:val="24"/>
          <w:lang w:eastAsia="ru-RU"/>
        </w:rPr>
        <w:fldChar w:fldCharType="separate"/>
      </w:r>
      <w:r w:rsidR="00EA3217" w:rsidRPr="00062B4F">
        <w:rPr>
          <w:noProof/>
          <w:szCs w:val="24"/>
          <w:lang w:eastAsia="ru-RU"/>
        </w:rPr>
        <w:t>[31,39]</w:t>
      </w:r>
      <w:r w:rsidR="00EA3217" w:rsidRPr="00062B4F">
        <w:rPr>
          <w:szCs w:val="24"/>
          <w:lang w:eastAsia="ru-RU"/>
        </w:rPr>
        <w:fldChar w:fldCharType="end"/>
      </w:r>
      <w:r w:rsidR="00EA3217" w:rsidRPr="00062B4F">
        <w:rPr>
          <w:szCs w:val="24"/>
          <w:lang w:eastAsia="ru-RU"/>
        </w:rPr>
        <w:t>.</w:t>
      </w:r>
      <w:r w:rsidRPr="00062B4F">
        <w:rPr>
          <w:szCs w:val="24"/>
          <w:lang w:eastAsia="ru-RU"/>
        </w:rPr>
        <w:t xml:space="preserve"> Уровень холестерина более 240 мг/</w:t>
      </w:r>
      <w:proofErr w:type="spellStart"/>
      <w:r w:rsidRPr="00062B4F">
        <w:rPr>
          <w:szCs w:val="24"/>
          <w:lang w:eastAsia="ru-RU"/>
        </w:rPr>
        <w:t>дл</w:t>
      </w:r>
      <w:proofErr w:type="spellEnd"/>
      <w:r w:rsidRPr="00062B4F">
        <w:rPr>
          <w:szCs w:val="24"/>
          <w:lang w:eastAsia="ru-RU"/>
        </w:rPr>
        <w:t xml:space="preserve"> (6,2 </w:t>
      </w:r>
      <w:proofErr w:type="spellStart"/>
      <w:r w:rsidRPr="00062B4F">
        <w:rPr>
          <w:szCs w:val="24"/>
          <w:lang w:eastAsia="ru-RU"/>
        </w:rPr>
        <w:t>ммоль</w:t>
      </w:r>
      <w:proofErr w:type="spellEnd"/>
      <w:r w:rsidRPr="00062B4F">
        <w:rPr>
          <w:szCs w:val="24"/>
          <w:lang w:eastAsia="ru-RU"/>
        </w:rPr>
        <w:t xml:space="preserve">/л) признан показателем высокого риска. В соответствии с руководством Американской ассоциации клинических эндокринологов (AACE) </w:t>
      </w:r>
      <w:proofErr w:type="spellStart"/>
      <w:r w:rsidRPr="00062B4F">
        <w:rPr>
          <w:szCs w:val="24"/>
          <w:lang w:eastAsia="ru-RU"/>
        </w:rPr>
        <w:t>гиперхолестеринемия</w:t>
      </w:r>
      <w:proofErr w:type="spellEnd"/>
      <w:r w:rsidRPr="00062B4F">
        <w:rPr>
          <w:szCs w:val="24"/>
          <w:lang w:eastAsia="ru-RU"/>
        </w:rPr>
        <w:t xml:space="preserve"> также является одним из факторов, включенных в шкалу риска смерти от сосудистых событий SCORE </w:t>
      </w:r>
      <w:r w:rsidRPr="00062B4F">
        <w:rPr>
          <w:szCs w:val="24"/>
          <w:lang w:eastAsia="ru-RU"/>
        </w:rPr>
        <w:fldChar w:fldCharType="begin" w:fldLock="1"/>
      </w:r>
      <w:r w:rsidR="00EA3217" w:rsidRPr="00062B4F">
        <w:rPr>
          <w:szCs w:val="24"/>
          <w:lang w:eastAsia="ru-RU"/>
        </w:rPr>
        <w:instrText>ADDIN CSL_CITATION {"citationItems":[{"id":"ITEM-1","itemData":{"DOI":"10.4158/EP171764.APPGL","abstract":"American Association of Clinical Endocrinologists Medical Guidelines for Clinical Practice are systematically developed statements to assist health care professionals in medical decision-making for specific clinical conditions but are in no way a substitute for a medical professional's independent judgment and should not be considered medical advice. Most of the content herein is based on literature reviews. In areas of uncertainty, professional judgment was applied. These guidelines are a working document that reflects the state of the field at the time of publication. Because rapid changes in this area are expected, periodic revisions are inevitable. Medical professionals are encouraged to use this information in conjunction with, and not as a replacement for, their best clinical judgment. The presented recommendations may not be appropriate in all situations. Any decision by practitioners to apply these guidelines must be made in light of local resources and individual circumstances. Abbreviations: 4S = Scandinavian Simvastatin Survival Study; A1C = glycated hemoglobin; AACE = American Association of Clinical Endocrinologists; AAP = American Academy of Pediatrics; ACC = American College of Cardiology; ACE = American College of Endocrinology; ACS = acute coronary syndrome; ADMIT = Arterial Disease Multiple Intervention Trial; ADVENT = Assessment of Diabetes Control and Evaluation of the Efficacy of Niaspan Trial; AFCAPS/TexCAPS = Air Force/Texas Coronary Atherosclerosis Prevention Study; AHA = American Heart Association; AHRQ = Agency for Healthcare Research and Quality; AIM-HIGH = Atherothrombosis Intervention in Metabolic Syndrome With Low HDL/High Triglycerides trial; ASCVD = atherosclerotic cardiovascular disease; ATP = Adult Treatment Panel; apo = apolipoprotein; BEL = best evidence level; BIP = Bezafibrate Infarction Prevention trial; BMI = body mass index; CABG = coronary artery bypass graft; CAC = coronary artery calcifica-tion; CARDS = Collaborative Atorvastatin Diabetes Study; CDP = Coronary Drug Project trial; CI = confidence interval; CIMT = carotid intimal media thickness ; CKD = chronic kidney disease; CPG(s) = clinical practice guideline(s); CRP = C-reactive protein; CTT = Cholesterol Treatment Trialists; CV = cerebrovascu-lar; CVA = cerebrovascular accident; EL = evidence level; FH = familial hypercholesterolemia; FIELD = Secondary Endpoints from the Fenofibrate Intervention and Event Lowering in Diabetes trial; FOURIER = Further Cardi…","author":[{"dropping-particle":"","family":"Jellinger","given":"Paul S","non-dropping-particle":"","parse-names":false,"suffix":""},{"dropping-particle":"","family":"Handelsman","given":"Yehuda","non-dropping-particle":"","parse-names":false,"suffix":""},{"dropping-particle":"","family":"Rosenblit","given":"Paul D","non-dropping-particle":"","parse-names":false,"suffix":""},{"dropping-particle":"","family":"Bloomgarden","given":"Zachary T","non-dropping-particle":"","parse-names":false,"suffix":""},{"dropping-particle":"","family":"Fonseca","given":"Vivian A","non-dropping-particle":"","parse-names":false,"suffix":""},{"dropping-particle":"","family":"Garber","given":"Alan J","non-dropping-particle":"","parse-names":false,"suffix":""},{"dropping-particle":"","family":"Grunberger","given":"George","non-dropping-particle":"","parse-names":false,"suffix":""},{"dropping-particle":"","family":"Guerin","given":"Chris K","non-dropping-particle":"","parse-names":false,"suffix":""},{"dropping-particle":"","family":"H Bell","given":"David S","non-dropping-particle":"","parse-names":false,"suffix":""},{"dropping-particle":"","family":"Mechanick","given":"Jeffrey I","non-dropping-particle":"","parse-names":false,"suffix":""},{"dropping-particle":"","family":"Pessah-Pollack","given":"Rachel","non-dropping-particle":"","parse-names":false,"suffix":""},{"dropping-particle":"","family":"Wyne","given":"Kathleen","non-dropping-particle":"","parse-names":false,"suffix":""},{"dropping-particle":"","family":"Smith","given":"Donald","non-dropping-particle":"","parse-names":false,"suffix":""},{"dropping-particle":"","family":"Brinton","given":"Eliot A","non-dropping-particle":"","parse-names":false,"suffix":""},{"dropping-particle":"","family":"Fazio","given":"Sergio","non-dropping-particle":"","parse-names":false,"suffix":""},{"dropping-particle":"","family":"Davidson","given":"Michael","non-dropping-particle":"","parse-names":false,"suffix":""},{"dropping-particle":"","family":"Zachary Bloomgarden","given":"Face T","non-dropping-particle":"","parse-names":false,"suffix":""},{"dropping-particle":"","family":"Eliot Brinton","given":"Mace A","non-dropping-particle":"","parse-names":false,"suffix":""},{"dropping-particle":"","family":"Michael Davidson","given":"Fnla H","non-dropping-particle":"","parse-names":false,"suffix":""},{"dropping-particle":"","family":"Sergio Fazio","given":"Fnla","non-dropping-particle":"","parse-names":false,"suffix":""},{"dropping-particle":"","family":"Alan Garber","given":"Face J","non-dropping-particle":"","parse-names":false,"suffix":""},{"dropping-particle":"","family":"George Grunberger","given":"Face","non-dropping-particle":"","parse-names":false,"suffix":""},{"dropping-particle":"","family":"Chris Guerin","given":"Face K","non-dropping-particle":"","parse-names":false,"suffix":""},{"dropping-particle":"","family":"Jeffrey Mechanick","given":"Face I","non-dropping-particle":"","parse-names":false,"suffix":""},{"dropping-particle":"","family":"Rachel Pessah-Pollack","given":"Ecnu","non-dropping-particle":"","parse-names":false,"suffix":""},{"dropping-particle":"","family":"Paul Rosenblit","given":"Face D","non-dropping-particle":"","parse-names":false,"suffix":""},{"dropping-particle":"","family":"Donald Smith","given":"Face A","non-dropping-particle":"","parse-names":false,"suffix":""},{"dropping-particle":"","family":"Kathleen Wyne","given":"Face","non-dropping-particle":"","parse-names":false,"suffix":""},{"dropping-particle":"","family":"Reviewers Michael Bush","given":"Face","non-dropping-particle":"","parse-names":false,"suffix":""},{"dropping-particle":"","family":"Zangeneh","given":"Farhad","non-dropping-particle":"","parse-names":false,"suffix":""},{"dropping-particle":"","family":"Paul Jellinger","given":"Face S","non-dropping-particle":"","parse-names":false,"suffix":""},{"dropping-particle":"","family":"Paul Rosenblit","given":"Mace D","non-dropping-particle":"","parse-names":false,"suffix":""},{"dropping-particle":"","family":"Special Advisor Michael Davidson","given":"Face H","non-dropping-particle":"","parse-names":false,"suffix":""}],"container-title":"ENDOCRINE PRACTICE","id":"ITEM-1","issue":"2","issued":{"date-parts":[["2017"]]},"title":"AMERICAN ASSOCIATION OF CLINICAL ENDOCRINOLOGISTS AND AMERICAN COLLEGE OF ENDOCRINOLOGY GUIDELINES FOR MANAGEMENT OF DYSLIPIDEMIA AND PREVENTION OF CARDIOVASCULAR DISEASE","type":"article-journal","volume":"23"},"uris":["http://www.mendeley.com/documents/?uuid=465f67b5-bfa7-339b-a23a-e96de8983c45","http://www.mendeley.com/documents/?uuid=bd043d6f-ad34-4285-a95d-66f75f60f2a9"]}],"mendeley":{"formattedCitation":"[81]","plainTextFormattedCitation":"[81]","previouslyFormattedCitation":"[81]"},"properties":{"noteIndex":0},"schema":"https://github.com/citation-style-language/schema/raw/master/csl-citation.json"}</w:instrText>
      </w:r>
      <w:r w:rsidRPr="00062B4F">
        <w:rPr>
          <w:szCs w:val="24"/>
          <w:lang w:eastAsia="ru-RU"/>
        </w:rPr>
        <w:fldChar w:fldCharType="separate"/>
      </w:r>
      <w:r w:rsidR="00EA3217" w:rsidRPr="00062B4F">
        <w:rPr>
          <w:noProof/>
          <w:szCs w:val="24"/>
          <w:lang w:eastAsia="ru-RU"/>
        </w:rPr>
        <w:t>[81]</w:t>
      </w:r>
      <w:r w:rsidRPr="00062B4F">
        <w:rPr>
          <w:szCs w:val="24"/>
          <w:lang w:eastAsia="ru-RU"/>
        </w:rPr>
        <w:fldChar w:fldCharType="end"/>
      </w:r>
      <w:r w:rsidRPr="00062B4F">
        <w:rPr>
          <w:szCs w:val="24"/>
          <w:lang w:eastAsia="ru-RU"/>
        </w:rPr>
        <w:t>.</w:t>
      </w:r>
    </w:p>
    <w:p w14:paraId="39E2CBC2" w14:textId="77777777" w:rsidR="000C7098" w:rsidRPr="00062B4F" w:rsidRDefault="000C7098" w:rsidP="00C10677">
      <w:pPr>
        <w:rPr>
          <w:szCs w:val="24"/>
          <w:lang w:eastAsia="ru-RU"/>
        </w:rPr>
      </w:pPr>
      <w:proofErr w:type="spellStart"/>
      <w:r w:rsidRPr="00062B4F">
        <w:rPr>
          <w:szCs w:val="24"/>
          <w:lang w:eastAsia="ru-RU"/>
        </w:rPr>
        <w:t>Гиперхолестеринемия</w:t>
      </w:r>
      <w:proofErr w:type="spellEnd"/>
      <w:r w:rsidRPr="00062B4F">
        <w:rPr>
          <w:szCs w:val="24"/>
          <w:lang w:eastAsia="ru-RU"/>
        </w:rPr>
        <w:t xml:space="preserve"> может быть снижена при комплексном применении немедикаментозных методов: диета, физическая нагрузка, а также успешно поддается медикаментозной коррекции при применении различных </w:t>
      </w:r>
      <w:proofErr w:type="spellStart"/>
      <w:r w:rsidRPr="00062B4F">
        <w:rPr>
          <w:szCs w:val="24"/>
          <w:lang w:eastAsia="ru-RU"/>
        </w:rPr>
        <w:t>гиполипидемических</w:t>
      </w:r>
      <w:proofErr w:type="spellEnd"/>
      <w:r w:rsidRPr="00062B4F">
        <w:rPr>
          <w:szCs w:val="24"/>
          <w:lang w:eastAsia="ru-RU"/>
        </w:rPr>
        <w:t xml:space="preserve"> препаратов, к примеру,</w:t>
      </w:r>
      <w:r w:rsidR="002E32FD" w:rsidRPr="00062B4F">
        <w:rPr>
          <w:szCs w:val="24"/>
          <w:lang w:eastAsia="ru-RU"/>
        </w:rPr>
        <w:t xml:space="preserve"> ингибиторов ГМГ-</w:t>
      </w:r>
      <w:proofErr w:type="spellStart"/>
      <w:r w:rsidR="002E32FD" w:rsidRPr="00062B4F">
        <w:rPr>
          <w:szCs w:val="24"/>
          <w:lang w:eastAsia="ru-RU"/>
        </w:rPr>
        <w:t>КоА</w:t>
      </w:r>
      <w:proofErr w:type="spellEnd"/>
      <w:r w:rsidR="002E32FD" w:rsidRPr="00062B4F">
        <w:rPr>
          <w:szCs w:val="24"/>
          <w:lang w:eastAsia="ru-RU"/>
        </w:rPr>
        <w:t xml:space="preserve"> </w:t>
      </w:r>
      <w:proofErr w:type="spellStart"/>
      <w:r w:rsidR="002E32FD" w:rsidRPr="00062B4F">
        <w:rPr>
          <w:szCs w:val="24"/>
          <w:lang w:eastAsia="ru-RU"/>
        </w:rPr>
        <w:t>редуктазы</w:t>
      </w:r>
      <w:proofErr w:type="spellEnd"/>
      <w:r w:rsidRPr="00062B4F">
        <w:rPr>
          <w:szCs w:val="24"/>
          <w:lang w:eastAsia="ru-RU"/>
        </w:rPr>
        <w:t xml:space="preserve"> </w:t>
      </w:r>
      <w:r w:rsidR="002E32FD" w:rsidRPr="00062B4F">
        <w:rPr>
          <w:szCs w:val="24"/>
          <w:lang w:eastAsia="ru-RU"/>
        </w:rPr>
        <w:t>(</w:t>
      </w:r>
      <w:proofErr w:type="spellStart"/>
      <w:r w:rsidRPr="00062B4F">
        <w:rPr>
          <w:szCs w:val="24"/>
          <w:lang w:eastAsia="ru-RU"/>
        </w:rPr>
        <w:t>статинов</w:t>
      </w:r>
      <w:proofErr w:type="spellEnd"/>
      <w:r w:rsidR="002E32FD" w:rsidRPr="00062B4F">
        <w:rPr>
          <w:szCs w:val="24"/>
          <w:lang w:eastAsia="ru-RU"/>
        </w:rPr>
        <w:t>)</w:t>
      </w:r>
      <w:r w:rsidRPr="00062B4F">
        <w:rPr>
          <w:szCs w:val="24"/>
          <w:lang w:eastAsia="ru-RU"/>
        </w:rPr>
        <w:t>. Следовательно, действия, направленные на снижение уровня холестерина, являются целесообразными для снижения риска сосудистых ишемических событий у</w:t>
      </w:r>
      <w:r w:rsidRPr="00062B4F">
        <w:rPr>
          <w:iCs/>
          <w:szCs w:val="24"/>
          <w:lang w:eastAsia="ru-RU"/>
        </w:rPr>
        <w:t xml:space="preserve"> пациентов</w:t>
      </w:r>
      <w:r w:rsidRPr="00062B4F">
        <w:rPr>
          <w:i/>
          <w:szCs w:val="24"/>
          <w:lang w:eastAsia="ru-RU"/>
        </w:rPr>
        <w:t xml:space="preserve"> </w:t>
      </w:r>
      <w:r w:rsidRPr="00062B4F">
        <w:rPr>
          <w:szCs w:val="24"/>
          <w:lang w:eastAsia="ru-RU"/>
        </w:rPr>
        <w:t>с</w:t>
      </w:r>
      <w:r w:rsidRPr="00062B4F">
        <w:rPr>
          <w:i/>
          <w:szCs w:val="24"/>
          <w:lang w:eastAsia="ru-RU"/>
        </w:rPr>
        <w:t xml:space="preserve"> </w:t>
      </w:r>
      <w:r w:rsidRPr="00062B4F">
        <w:rPr>
          <w:szCs w:val="24"/>
          <w:lang w:eastAsia="ru-RU"/>
        </w:rPr>
        <w:t xml:space="preserve">ХМЛ. Целевые уровни холестерина и его атерогенных фракций (ЛПНП) подробно освещены в Российских рекомендациях по диагностике и коррекции нарушений липидного обмена с целью профилактики и лечения атеросклероза </w:t>
      </w:r>
      <w:r w:rsidRPr="00062B4F">
        <w:rPr>
          <w:szCs w:val="24"/>
          <w:lang w:eastAsia="ru-RU"/>
        </w:rPr>
        <w:fldChar w:fldCharType="begin" w:fldLock="1"/>
      </w:r>
      <w:r w:rsidR="00EA3217" w:rsidRPr="00062B4F">
        <w:rPr>
          <w:szCs w:val="24"/>
          <w:lang w:eastAsia="ru-RU"/>
        </w:rPr>
        <w:instrText>ADDIN CSL_CITATION {"citationItems":[{"id":"ITEM-1","itemData":{"author":[{"dropping-particle":"","family":"Бойцов","given":"С.А.","non-dropping-particle":"","parse-names":false,"suffix":""},{"dropping-particle":"","family":"Погосова","given":"Н.В.","non-dropping-particle":"","parse-names":false,"suffix":""},{"dropping-particle":"","family":"Бубнова","given":"М.Г.","non-dropping-particle":"","parse-names":false,"suffix":""},{"dropping-particle":"","family":"Драпкина","given":"О.М.","non-dropping-particle":"","parse-names":false,"suffix":""},{"dropping-particle":"","family":"Гаврилова","given":"Н.Е.","non-dropping-particle":"","parse-names":false,"suffix":""},{"dropping-particle":"","family":"Еганян","given":"Р.А.","non-dropping-particle":"","parse-names":false,"suffix":""},{"dropping-particle":"","family":"Калинина","given":"А.М.","non-dropping-particle":"","parse-names":false,"suffix":""},{"dropping-particle":"","family":"Карамнова","given":"Н.С.","non-dropping-particle":"","parse-names":false,"suffix":""},{"dropping-particle":"","family":"Кобалава","given":"Ж.Д.","non-dropping-particle":"","parse-names":false,"suffix":""},{"dropping-particle":"","family":"Концевая","given":"А.В.","non-dropping-particle":"","parse-names":false,"suffix":""},{"dropping-particle":"","family":"Кухарчук","given":"В.В.","non-dropping-particle":"","parse-names":false,"suffix":""},{"dropping-particle":"","family":"Лукьянов","given":"М.М.","non-dropping-particle":"","parse-names":false,"suffix":""},{"dropping-particle":"","family":"Масленникова","given":"Г.Я.","non-dropping-particle":"","parse-names":false,"suffix":""},{"dropping-particle":"","family":"Марцевич","given":"С.Ю.","non-dropping-particle":"","parse-names":false,"suffix":""},{"dropping-particle":"","family":"Метельска","given":"В.А.","non-dropping-particle":"","parse-names":false,"suffix":""},{"dropping-particle":"","family":"Попович","given":"М.В.","non-dropping-particle":"","parse-names":false,"suffix":""},{"dropping-particle":"","family":"Соколова","given":"О.Ю.","non-dropping-particle":"","parse-names":false,"suffix":""},{"dropping-particle":"","family":"Сухарева","given":"О.Ю.","non-dropping-particle":"","parse-names":false,"suffix":""},{"dropping-particle":"","family":"Ткачева","given":"О.Н.","non-dropping-particle":"","parse-names":false,"suffix":""},{"dropping-particle":"","family":"Шальнова","given":"С.А.","non-dropping-particle":"","parse-names":false,"suffix":""},{"dropping-particle":"","family":"Шестакова","given":"М.В.","non-dropping-particle":"","parse-names":false,"suffix":""},{"dropping-particle":"","family":"Юферева","given":"Ю.М.","non-dropping-particle":"","parse-names":false,"suffix":""},{"dropping-particle":"","family":"Явелов","given":"И.С.","non-dropping-particle":"","parse-names":false,"suffix":""}],"container-title":"Российский кардиологический журнал","id":"ITEM-1","issued":{"date-parts":[["2018"]]},"page":"1-118","title":"Кардиоваскулярная профилактика 2017. Российские национальные рекомендации","type":"article-journal","volume":"6"},"uris":["http://www.mendeley.com/documents/?uuid=55866080-e3cd-4fea-b8a5-df94048ded72","http://www.mendeley.com/documents/?uuid=042f05c9-6b66-4e35-b3aa-52285b725195"]}],"mendeley":{"formattedCitation":"[82]","plainTextFormattedCitation":"[82]","previouslyFormattedCitation":"[82]"},"properties":{"noteIndex":0},"schema":"https://github.com/citation-style-language/schema/raw/master/csl-citation.json"}</w:instrText>
      </w:r>
      <w:r w:rsidRPr="00062B4F">
        <w:rPr>
          <w:szCs w:val="24"/>
          <w:lang w:eastAsia="ru-RU"/>
        </w:rPr>
        <w:fldChar w:fldCharType="separate"/>
      </w:r>
      <w:r w:rsidR="00EA3217" w:rsidRPr="00062B4F">
        <w:rPr>
          <w:noProof/>
          <w:szCs w:val="24"/>
          <w:lang w:eastAsia="ru-RU"/>
        </w:rPr>
        <w:t>[82]</w:t>
      </w:r>
      <w:r w:rsidRPr="00062B4F">
        <w:rPr>
          <w:szCs w:val="24"/>
          <w:lang w:eastAsia="ru-RU"/>
        </w:rPr>
        <w:fldChar w:fldCharType="end"/>
      </w:r>
      <w:r w:rsidRPr="00062B4F">
        <w:rPr>
          <w:szCs w:val="24"/>
          <w:lang w:eastAsia="ru-RU"/>
        </w:rPr>
        <w:t xml:space="preserve">. Решение о проведении </w:t>
      </w:r>
      <w:proofErr w:type="spellStart"/>
      <w:r w:rsidRPr="00062B4F">
        <w:rPr>
          <w:szCs w:val="24"/>
          <w:lang w:eastAsia="ru-RU"/>
        </w:rPr>
        <w:t>гиполипидемической</w:t>
      </w:r>
      <w:proofErr w:type="spellEnd"/>
      <w:r w:rsidRPr="00062B4F">
        <w:rPr>
          <w:szCs w:val="24"/>
          <w:lang w:eastAsia="ru-RU"/>
        </w:rPr>
        <w:t xml:space="preserve"> терапии должно проводиться после консультации кардиолога.</w:t>
      </w:r>
    </w:p>
    <w:p w14:paraId="17C9F1DC" w14:textId="77777777" w:rsidR="000C7098" w:rsidRPr="00062B4F" w:rsidRDefault="000C7098" w:rsidP="00C10677">
      <w:pPr>
        <w:rPr>
          <w:szCs w:val="24"/>
          <w:lang w:eastAsia="ru-RU"/>
        </w:rPr>
      </w:pPr>
      <w:r w:rsidRPr="00062B4F">
        <w:rPr>
          <w:szCs w:val="24"/>
          <w:lang w:eastAsia="ru-RU"/>
        </w:rPr>
        <w:t xml:space="preserve">При проведении терапии </w:t>
      </w:r>
      <w:proofErr w:type="spellStart"/>
      <w:r w:rsidRPr="00062B4F">
        <w:rPr>
          <w:szCs w:val="24"/>
          <w:lang w:eastAsia="ru-RU"/>
        </w:rPr>
        <w:t>нилотинибом</w:t>
      </w:r>
      <w:proofErr w:type="spellEnd"/>
      <w:r w:rsidRPr="00062B4F">
        <w:rPr>
          <w:szCs w:val="24"/>
          <w:lang w:eastAsia="ru-RU"/>
        </w:rPr>
        <w:t xml:space="preserve">** по жизненным показаниям должна быть обеспечена соответствующая коррекция неблагоприятных факторов риска. При необходимости показано постоянное наблюдение врачей-специалистов (кардиолог, эндокринолог), которые устанавливают окончательный объем обследования и дополнительные методы оценки в каждом конкретном случае: определение </w:t>
      </w:r>
      <w:proofErr w:type="spellStart"/>
      <w:r w:rsidRPr="00062B4F">
        <w:rPr>
          <w:szCs w:val="24"/>
          <w:lang w:eastAsia="ru-RU"/>
        </w:rPr>
        <w:t>лодыжечно</w:t>
      </w:r>
      <w:proofErr w:type="spellEnd"/>
      <w:r w:rsidRPr="00062B4F">
        <w:rPr>
          <w:szCs w:val="24"/>
          <w:lang w:eastAsia="ru-RU"/>
        </w:rPr>
        <w:t>-</w:t>
      </w:r>
      <w:r w:rsidRPr="00062B4F">
        <w:rPr>
          <w:szCs w:val="24"/>
          <w:lang w:eastAsia="ru-RU"/>
        </w:rPr>
        <w:lastRenderedPageBreak/>
        <w:t xml:space="preserve">плечевого индекса, выявление атеросклеротических бляшек при дуплексном </w:t>
      </w:r>
      <w:proofErr w:type="spellStart"/>
      <w:r w:rsidRPr="00062B4F">
        <w:rPr>
          <w:szCs w:val="24"/>
          <w:lang w:eastAsia="ru-RU"/>
        </w:rPr>
        <w:t>ангиосканировании</w:t>
      </w:r>
      <w:proofErr w:type="spellEnd"/>
      <w:r w:rsidRPr="00062B4F">
        <w:rPr>
          <w:szCs w:val="24"/>
          <w:lang w:eastAsia="ru-RU"/>
        </w:rPr>
        <w:t>, выполнение КТ и пр.</w:t>
      </w:r>
    </w:p>
    <w:p w14:paraId="3950534C" w14:textId="13964FB0" w:rsidR="000C7098" w:rsidRPr="00062B4F" w:rsidRDefault="000C7098" w:rsidP="00C10677">
      <w:pPr>
        <w:rPr>
          <w:szCs w:val="24"/>
          <w:lang w:eastAsia="ru-RU"/>
        </w:rPr>
      </w:pPr>
      <w:r w:rsidRPr="00062B4F">
        <w:rPr>
          <w:szCs w:val="24"/>
          <w:lang w:eastAsia="ru-RU"/>
        </w:rPr>
        <w:t xml:space="preserve">В случае высокого риска развития ССЗ предпочтительней терапия </w:t>
      </w:r>
      <w:proofErr w:type="spellStart"/>
      <w:r w:rsidRPr="00062B4F">
        <w:rPr>
          <w:szCs w:val="24"/>
          <w:lang w:eastAsia="ru-RU"/>
        </w:rPr>
        <w:t>иматинибом</w:t>
      </w:r>
      <w:proofErr w:type="spellEnd"/>
      <w:r w:rsidRPr="00062B4F">
        <w:rPr>
          <w:szCs w:val="24"/>
          <w:lang w:eastAsia="ru-RU"/>
        </w:rPr>
        <w:t xml:space="preserve">**, </w:t>
      </w:r>
      <w:proofErr w:type="spellStart"/>
      <w:r w:rsidRPr="00062B4F">
        <w:rPr>
          <w:szCs w:val="24"/>
          <w:lang w:eastAsia="ru-RU"/>
        </w:rPr>
        <w:t>дазатинибом</w:t>
      </w:r>
      <w:proofErr w:type="spellEnd"/>
      <w:r w:rsidRPr="00062B4F">
        <w:rPr>
          <w:szCs w:val="24"/>
          <w:lang w:eastAsia="ru-RU"/>
        </w:rPr>
        <w:t xml:space="preserve">**, </w:t>
      </w:r>
      <w:proofErr w:type="spellStart"/>
      <w:r w:rsidRPr="00062B4F">
        <w:rPr>
          <w:szCs w:val="24"/>
          <w:lang w:eastAsia="ru-RU"/>
        </w:rPr>
        <w:t>бозутинибом</w:t>
      </w:r>
      <w:proofErr w:type="spellEnd"/>
      <w:r w:rsidR="00192F67">
        <w:rPr>
          <w:szCs w:val="24"/>
          <w:lang w:eastAsia="ru-RU"/>
        </w:rPr>
        <w:t>**</w:t>
      </w:r>
      <w:r w:rsidR="007562CB" w:rsidRPr="00062B4F">
        <w:rPr>
          <w:szCs w:val="24"/>
          <w:lang w:eastAsia="ru-RU"/>
        </w:rPr>
        <w:t xml:space="preserve"> </w:t>
      </w:r>
      <w:r w:rsidR="007562CB" w:rsidRPr="00062B4F">
        <w:rPr>
          <w:szCs w:val="24"/>
          <w:lang w:eastAsia="ru-RU"/>
        </w:rPr>
        <w:fldChar w:fldCharType="begin" w:fldLock="1"/>
      </w:r>
      <w:r w:rsidR="007562CB" w:rsidRPr="00062B4F">
        <w:rPr>
          <w:szCs w:val="24"/>
          <w:lang w:eastAsia="ru-RU"/>
        </w:rPr>
        <w:instrText>ADDIN CSL_CITATION {"citationItems":[{"id":"ITEM-1","itemData":{"DOI":"10.3109/10428194.2015.1091929","ISSN":"10292403","abstract":"There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Lymphoma","id":"ITEM-1","issue":"6","issued":{"date-parts":[["2016","6","2"]]},"page":"1300-1310","publisher":"Taylor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[39]","plainTextFormattedCitation":"[39]","previouslyFormattedCitation":"[39]"},"properties":{"noteIndex":0},"schema":"https://github.com/citation-style-language/schema/raw/master/csl-citation.json"}</w:instrText>
      </w:r>
      <w:r w:rsidR="007562CB" w:rsidRPr="00062B4F">
        <w:rPr>
          <w:szCs w:val="24"/>
          <w:lang w:eastAsia="ru-RU"/>
        </w:rPr>
        <w:fldChar w:fldCharType="separate"/>
      </w:r>
      <w:r w:rsidR="007562CB" w:rsidRPr="00062B4F">
        <w:rPr>
          <w:noProof/>
          <w:szCs w:val="24"/>
          <w:lang w:eastAsia="ru-RU"/>
        </w:rPr>
        <w:t>[39]</w:t>
      </w:r>
      <w:r w:rsidR="007562CB" w:rsidRPr="00062B4F">
        <w:rPr>
          <w:szCs w:val="24"/>
          <w:lang w:eastAsia="ru-RU"/>
        </w:rPr>
        <w:fldChar w:fldCharType="end"/>
      </w:r>
      <w:r w:rsidRPr="00062B4F">
        <w:rPr>
          <w:szCs w:val="24"/>
          <w:lang w:eastAsia="ru-RU"/>
        </w:rPr>
        <w:t>.</w:t>
      </w:r>
    </w:p>
    <w:p w14:paraId="5998644C" w14:textId="77777777" w:rsidR="000C7098" w:rsidRPr="00062B4F" w:rsidRDefault="000C7098" w:rsidP="00C10677">
      <w:pPr>
        <w:rPr>
          <w:szCs w:val="24"/>
          <w:lang w:eastAsia="ru-RU"/>
        </w:rPr>
      </w:pPr>
      <w:r w:rsidRPr="00062B4F">
        <w:rPr>
          <w:b/>
          <w:bCs/>
          <w:szCs w:val="24"/>
          <w:lang w:eastAsia="ru-RU"/>
        </w:rPr>
        <w:t>Плевральный выпот и накопление жидкости в серозных полостях (наиболее часто – плевральная полость, реже – перикардиальная, брюшная)</w:t>
      </w:r>
    </w:p>
    <w:p w14:paraId="464CA1B5" w14:textId="4608FBC8" w:rsidR="000C7098" w:rsidRPr="00062B4F" w:rsidRDefault="000C7098" w:rsidP="00C10677">
      <w:pPr>
        <w:rPr>
          <w:szCs w:val="24"/>
          <w:lang w:eastAsia="ru-RU"/>
        </w:rPr>
      </w:pPr>
      <w:r w:rsidRPr="00062B4F">
        <w:rPr>
          <w:szCs w:val="24"/>
          <w:lang w:eastAsia="ru-RU"/>
        </w:rPr>
        <w:t xml:space="preserve">Данное нежелательное явление </w:t>
      </w:r>
      <w:r w:rsidR="0086029E">
        <w:rPr>
          <w:szCs w:val="24"/>
          <w:lang w:eastAsia="ru-RU"/>
        </w:rPr>
        <w:t>наиболее характерно</w:t>
      </w:r>
      <w:r w:rsidR="0086029E" w:rsidRPr="00062B4F">
        <w:rPr>
          <w:szCs w:val="24"/>
          <w:lang w:eastAsia="ru-RU"/>
        </w:rPr>
        <w:t xml:space="preserve"> </w:t>
      </w:r>
      <w:r w:rsidRPr="00062B4F">
        <w:rPr>
          <w:szCs w:val="24"/>
          <w:lang w:eastAsia="ru-RU"/>
        </w:rPr>
        <w:t xml:space="preserve">для терапии </w:t>
      </w:r>
      <w:proofErr w:type="spellStart"/>
      <w:r w:rsidRPr="00062B4F">
        <w:rPr>
          <w:szCs w:val="24"/>
          <w:lang w:eastAsia="ru-RU"/>
        </w:rPr>
        <w:t>дазатинибом</w:t>
      </w:r>
      <w:proofErr w:type="spellEnd"/>
      <w:r w:rsidRPr="00062B4F">
        <w:rPr>
          <w:szCs w:val="24"/>
          <w:lang w:eastAsia="ru-RU"/>
        </w:rPr>
        <w:t>**, чаще встречается при применении дозы 140 мг в сутки по сравнению с более низкими дозировками</w:t>
      </w:r>
      <w:r w:rsidR="0086029E">
        <w:rPr>
          <w:szCs w:val="24"/>
          <w:lang w:eastAsia="ru-RU"/>
        </w:rPr>
        <w:t>, реже может встречаться у пациентов, получающих терапию другими ИТК</w:t>
      </w:r>
      <w:r w:rsidRPr="00062B4F">
        <w:rPr>
          <w:szCs w:val="24"/>
          <w:lang w:eastAsia="ru-RU"/>
        </w:rPr>
        <w:t xml:space="preserve">. </w:t>
      </w:r>
      <w:r w:rsidR="0086029E">
        <w:rPr>
          <w:szCs w:val="24"/>
          <w:lang w:eastAsia="ru-RU"/>
        </w:rPr>
        <w:t xml:space="preserve">При терапии </w:t>
      </w:r>
      <w:proofErr w:type="spellStart"/>
      <w:r w:rsidR="0086029E">
        <w:rPr>
          <w:szCs w:val="24"/>
          <w:lang w:eastAsia="ru-RU"/>
        </w:rPr>
        <w:t>дазатинибом</w:t>
      </w:r>
      <w:proofErr w:type="spellEnd"/>
      <w:r w:rsidR="0086029E">
        <w:rPr>
          <w:szCs w:val="24"/>
          <w:lang w:eastAsia="ru-RU"/>
        </w:rPr>
        <w:t xml:space="preserve"> в</w:t>
      </w:r>
      <w:r w:rsidRPr="00062B4F">
        <w:rPr>
          <w:szCs w:val="24"/>
          <w:lang w:eastAsia="ru-RU"/>
        </w:rPr>
        <w:t xml:space="preserve">ероятность развития составляет от 14 % до </w:t>
      </w:r>
      <w:r w:rsidR="00AA259B">
        <w:rPr>
          <w:szCs w:val="24"/>
          <w:lang w:eastAsia="ru-RU"/>
        </w:rPr>
        <w:t>37</w:t>
      </w:r>
      <w:r w:rsidRPr="00062B4F">
        <w:rPr>
          <w:szCs w:val="24"/>
          <w:lang w:eastAsia="ru-RU"/>
        </w:rPr>
        <w:t xml:space="preserve"> % по данным различных исследований </w:t>
      </w:r>
      <w:r w:rsidRPr="00062B4F">
        <w:rPr>
          <w:szCs w:val="24"/>
          <w:lang w:eastAsia="ru-RU"/>
        </w:rPr>
        <w:fldChar w:fldCharType="begin" w:fldLock="1"/>
      </w:r>
      <w:r w:rsidR="007562CB" w:rsidRPr="00062B4F">
        <w:rPr>
          <w:szCs w:val="24"/>
          <w:lang w:eastAsia="ru-RU"/>
        </w:rPr>
        <w:instrText>ADDIN CSL_CITATION {"citationItems":[{"id":"ITEM-1","itemData":{"DOI":"10.1002/cncr.24734","ISSN":"0008543X","PMID":"19924787","abstract":"BACKGROUND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E.","non-dropping-particle":"","parse-names":false,"suffix":""}],"container-title":"Cancer","id":"ITEM-1","issue":"2","issued":{"date-parts":[["2010","1"]]},"page":"377-386","title":"Dasatinib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http://www.mendeley.com/documents/?uuid=07b65b64-905d-3826-b57d-a5d0fd4a56fa"]}],"mendeley":{"formattedCitation":"[29]","plainTextFormattedCitation":"[29]","previouslyFormattedCitation":"[29]"},"properties":{"noteIndex":0},"schema":"https://github.com/citation-style-language/schema/raw/master/csl-citation.json"}</w:instrText>
      </w:r>
      <w:r w:rsidRPr="00062B4F">
        <w:rPr>
          <w:szCs w:val="24"/>
          <w:lang w:eastAsia="ru-RU"/>
        </w:rPr>
        <w:fldChar w:fldCharType="separate"/>
      </w:r>
      <w:r w:rsidR="00151215" w:rsidRPr="00062B4F">
        <w:rPr>
          <w:noProof/>
          <w:szCs w:val="24"/>
          <w:lang w:eastAsia="ru-RU"/>
        </w:rPr>
        <w:t>[29</w:t>
      </w:r>
      <w:r w:rsidR="00771698" w:rsidRPr="00451837">
        <w:rPr>
          <w:noProof/>
          <w:szCs w:val="24"/>
          <w:lang w:eastAsia="ru-RU"/>
        </w:rPr>
        <w:t>, 26</w:t>
      </w:r>
      <w:r w:rsidR="00151215" w:rsidRPr="00062B4F">
        <w:rPr>
          <w:noProof/>
          <w:szCs w:val="24"/>
          <w:lang w:eastAsia="ru-RU"/>
        </w:rPr>
        <w:t>]</w:t>
      </w:r>
      <w:r w:rsidRPr="00062B4F">
        <w:rPr>
          <w:szCs w:val="24"/>
          <w:lang w:eastAsia="ru-RU"/>
        </w:rPr>
        <w:fldChar w:fldCharType="end"/>
      </w:r>
      <w:r w:rsidRPr="00062B4F">
        <w:rPr>
          <w:szCs w:val="24"/>
          <w:lang w:eastAsia="ru-RU"/>
        </w:rPr>
        <w:t xml:space="preserve">. Пациенты должны быть предупреждены о том, что в случае появления у них симптомов плеврального выпота (одышка, кашель, тахикардия), необходим срочный осмотр врача и дополнительная диагностика: </w:t>
      </w:r>
      <w:proofErr w:type="spellStart"/>
      <w:r w:rsidRPr="00062B4F">
        <w:rPr>
          <w:szCs w:val="24"/>
          <w:lang w:eastAsia="ru-RU"/>
        </w:rPr>
        <w:t>перкуторное</w:t>
      </w:r>
      <w:proofErr w:type="spellEnd"/>
      <w:r w:rsidRPr="00062B4F">
        <w:rPr>
          <w:szCs w:val="24"/>
          <w:lang w:eastAsia="ru-RU"/>
        </w:rPr>
        <w:t xml:space="preserve"> определение границ легких, аускультация легких, рентгенологическое исследование органов грудной клетки, УЗИ плевральных полостей с целью оценки объема плеврального выпота. Данное нежелательное явление может развиться в различные отдаленные сроки терапии (через 2,5–5,5 лет лечения), в том числе у пациентов с ранее хорошей переносимостью </w:t>
      </w:r>
      <w:proofErr w:type="spellStart"/>
      <w:r w:rsidRPr="00062B4F">
        <w:rPr>
          <w:szCs w:val="24"/>
          <w:lang w:eastAsia="ru-RU"/>
        </w:rPr>
        <w:t>дазатиниба</w:t>
      </w:r>
      <w:proofErr w:type="spellEnd"/>
      <w:r w:rsidR="006851B6" w:rsidRPr="00062B4F">
        <w:rPr>
          <w:szCs w:val="24"/>
          <w:lang w:eastAsia="ru-RU"/>
        </w:rPr>
        <w:t>**</w:t>
      </w:r>
      <w:r w:rsidRPr="00062B4F">
        <w:rPr>
          <w:szCs w:val="24"/>
          <w:lang w:eastAsia="ru-RU"/>
        </w:rPr>
        <w:t xml:space="preserve"> </w:t>
      </w:r>
      <w:r w:rsidRPr="00062B4F">
        <w:rPr>
          <w:szCs w:val="24"/>
          <w:lang w:eastAsia="ru-RU"/>
        </w:rPr>
        <w:fldChar w:fldCharType="begin" w:fldLock="1"/>
      </w:r>
      <w:r w:rsidR="00947941" w:rsidRPr="00062B4F">
        <w:rPr>
          <w:szCs w:val="24"/>
          <w:lang w:eastAsia="ru-RU"/>
        </w:rPr>
        <w:instrText>ADDIN CSL_CITATION {"citationItems":[{"id":"ITEM-1","itemData":{"DOI":"10.1002/cncr.24734","ISSN":"0008543X","PMID":"19924787","abstract":"BACKGROUND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E.","non-dropping-particle":"","parse-names":false,"suffix":""}],"container-title":"Cancer","id":"ITEM-1","issue":"2","issued":{"date-parts":[["2010","1"]]},"page":"377-386","title":"Dasatinib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http://www.mendeley.com/documents/?uuid=07b65b64-905d-3826-b57d-a5d0fd4a56fa"]}],"mendeley":{"formattedCitation":"[29]","plainTextFormattedCitation":"[29]","previouslyFormattedCitation":"[29]"},"properties":{"noteIndex":0},"schema":"https://github.com/citation-style-language/schema/raw/master/csl-citation.json"}</w:instrText>
      </w:r>
      <w:r w:rsidRPr="00062B4F">
        <w:rPr>
          <w:szCs w:val="24"/>
          <w:lang w:eastAsia="ru-RU"/>
        </w:rPr>
        <w:fldChar w:fldCharType="separate"/>
      </w:r>
      <w:r w:rsidR="00151215" w:rsidRPr="00062B4F">
        <w:rPr>
          <w:noProof/>
          <w:szCs w:val="24"/>
          <w:lang w:eastAsia="ru-RU"/>
        </w:rPr>
        <w:t>[29]</w:t>
      </w:r>
      <w:r w:rsidRPr="00062B4F">
        <w:rPr>
          <w:szCs w:val="24"/>
          <w:lang w:eastAsia="ru-RU"/>
        </w:rPr>
        <w:fldChar w:fldCharType="end"/>
      </w:r>
      <w:r w:rsidRPr="00062B4F">
        <w:rPr>
          <w:szCs w:val="24"/>
          <w:lang w:eastAsia="ru-RU"/>
        </w:rPr>
        <w:t>. Объем выпота может быть оценен по рентгенологическим критериям и по данным ультразвуковой диагностики в зависимости от занимаемого объема плевральной полости (табл. 11).</w:t>
      </w:r>
    </w:p>
    <w:p w14:paraId="04E47E64" w14:textId="77777777" w:rsidR="000C7098" w:rsidRPr="00062B4F" w:rsidRDefault="000C7098" w:rsidP="001629EF">
      <w:pPr>
        <w:spacing w:before="120" w:after="120"/>
        <w:jc w:val="left"/>
        <w:rPr>
          <w:szCs w:val="24"/>
          <w:lang w:eastAsia="ru-RU"/>
        </w:rPr>
      </w:pPr>
      <w:r w:rsidRPr="00062B4F">
        <w:rPr>
          <w:b/>
          <w:bCs/>
          <w:szCs w:val="24"/>
          <w:lang w:eastAsia="ru-RU"/>
        </w:rPr>
        <w:t>Таблица 11. </w:t>
      </w:r>
      <w:r w:rsidRPr="00062B4F">
        <w:rPr>
          <w:szCs w:val="24"/>
          <w:lang w:eastAsia="ru-RU"/>
        </w:rPr>
        <w:t>Классификация степеней плеврального выпота</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79"/>
        <w:gridCol w:w="4874"/>
        <w:gridCol w:w="3186"/>
      </w:tblGrid>
      <w:tr w:rsidR="000C7098" w:rsidRPr="00062B4F" w14:paraId="1AE7C72B" w14:textId="77777777">
        <w:trPr>
          <w:trHeight w:val="495"/>
          <w:jc w:val="center"/>
        </w:trPr>
        <w:tc>
          <w:tcPr>
            <w:tcW w:w="1425" w:type="dxa"/>
            <w:tcBorders>
              <w:top w:val="single" w:sz="6" w:space="0" w:color="000000"/>
              <w:left w:val="single" w:sz="6" w:space="0" w:color="000000"/>
              <w:bottom w:val="single" w:sz="6" w:space="0" w:color="000000"/>
              <w:right w:val="single" w:sz="6" w:space="0" w:color="000000"/>
            </w:tcBorders>
          </w:tcPr>
          <w:p w14:paraId="4CD16971"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Степень</w:t>
            </w:r>
          </w:p>
        </w:tc>
        <w:tc>
          <w:tcPr>
            <w:tcW w:w="6000" w:type="dxa"/>
            <w:tcBorders>
              <w:top w:val="single" w:sz="6" w:space="0" w:color="000000"/>
              <w:left w:val="single" w:sz="6" w:space="0" w:color="000000"/>
              <w:bottom w:val="single" w:sz="6" w:space="0" w:color="000000"/>
              <w:right w:val="single" w:sz="6" w:space="0" w:color="000000"/>
            </w:tcBorders>
          </w:tcPr>
          <w:p w14:paraId="18C6E6D9"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Клинические симптомы и применяемая терапия</w:t>
            </w:r>
          </w:p>
        </w:tc>
        <w:tc>
          <w:tcPr>
            <w:tcW w:w="3825" w:type="dxa"/>
            <w:tcBorders>
              <w:top w:val="single" w:sz="6" w:space="0" w:color="000000"/>
              <w:left w:val="single" w:sz="6" w:space="0" w:color="000000"/>
              <w:bottom w:val="single" w:sz="6" w:space="0" w:color="000000"/>
              <w:right w:val="single" w:sz="6" w:space="0" w:color="000000"/>
            </w:tcBorders>
          </w:tcPr>
          <w:p w14:paraId="2192E1A9" w14:textId="77777777" w:rsidR="000C7098" w:rsidRPr="00062B4F" w:rsidRDefault="000C7098" w:rsidP="00B5715D">
            <w:pPr>
              <w:spacing w:beforeAutospacing="1" w:afterAutospacing="1" w:line="240" w:lineRule="auto"/>
              <w:ind w:firstLine="0"/>
              <w:jc w:val="center"/>
              <w:rPr>
                <w:b/>
                <w:szCs w:val="24"/>
                <w:lang w:eastAsia="ru-RU"/>
              </w:rPr>
            </w:pPr>
            <w:r w:rsidRPr="00062B4F">
              <w:rPr>
                <w:b/>
                <w:szCs w:val="24"/>
                <w:lang w:eastAsia="ru-RU"/>
              </w:rPr>
              <w:t>Объем жидкости в плевральной полости</w:t>
            </w:r>
          </w:p>
        </w:tc>
      </w:tr>
      <w:tr w:rsidR="000C7098" w:rsidRPr="00062B4F" w14:paraId="4E5EF4FE" w14:textId="77777777">
        <w:trPr>
          <w:trHeight w:val="345"/>
          <w:jc w:val="center"/>
        </w:trPr>
        <w:tc>
          <w:tcPr>
            <w:tcW w:w="1425" w:type="dxa"/>
            <w:tcBorders>
              <w:top w:val="single" w:sz="6" w:space="0" w:color="000000"/>
              <w:left w:val="single" w:sz="6" w:space="0" w:color="000000"/>
              <w:bottom w:val="single" w:sz="6" w:space="0" w:color="000000"/>
              <w:right w:val="single" w:sz="6" w:space="0" w:color="000000"/>
            </w:tcBorders>
          </w:tcPr>
          <w:p w14:paraId="48D08DFE"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0</w:t>
            </w:r>
          </w:p>
        </w:tc>
        <w:tc>
          <w:tcPr>
            <w:tcW w:w="6000" w:type="dxa"/>
            <w:tcBorders>
              <w:top w:val="single" w:sz="6" w:space="0" w:color="000000"/>
              <w:left w:val="single" w:sz="6" w:space="0" w:color="000000"/>
              <w:bottom w:val="single" w:sz="6" w:space="0" w:color="000000"/>
              <w:right w:val="single" w:sz="6" w:space="0" w:color="000000"/>
            </w:tcBorders>
          </w:tcPr>
          <w:p w14:paraId="03E42D28"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Отсутствует</w:t>
            </w:r>
          </w:p>
        </w:tc>
        <w:tc>
          <w:tcPr>
            <w:tcW w:w="3825" w:type="dxa"/>
            <w:tcBorders>
              <w:top w:val="single" w:sz="6" w:space="0" w:color="000000"/>
              <w:left w:val="single" w:sz="6" w:space="0" w:color="000000"/>
              <w:bottom w:val="single" w:sz="6" w:space="0" w:color="000000"/>
              <w:right w:val="single" w:sz="6" w:space="0" w:color="000000"/>
            </w:tcBorders>
          </w:tcPr>
          <w:p w14:paraId="63A50FE0"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val="en-US" w:eastAsia="ru-RU"/>
              </w:rPr>
              <w:t>–</w:t>
            </w:r>
          </w:p>
        </w:tc>
      </w:tr>
      <w:tr w:rsidR="000C7098" w:rsidRPr="00062B4F" w14:paraId="308F9AC7" w14:textId="77777777">
        <w:trPr>
          <w:trHeight w:val="330"/>
          <w:jc w:val="center"/>
        </w:trPr>
        <w:tc>
          <w:tcPr>
            <w:tcW w:w="1425" w:type="dxa"/>
            <w:tcBorders>
              <w:top w:val="single" w:sz="6" w:space="0" w:color="000000"/>
              <w:left w:val="single" w:sz="6" w:space="0" w:color="000000"/>
              <w:bottom w:val="single" w:sz="6" w:space="0" w:color="000000"/>
              <w:right w:val="single" w:sz="6" w:space="0" w:color="000000"/>
            </w:tcBorders>
          </w:tcPr>
          <w:p w14:paraId="2BE98E57"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1</w:t>
            </w:r>
          </w:p>
        </w:tc>
        <w:tc>
          <w:tcPr>
            <w:tcW w:w="6000" w:type="dxa"/>
            <w:tcBorders>
              <w:top w:val="single" w:sz="6" w:space="0" w:color="000000"/>
              <w:left w:val="single" w:sz="6" w:space="0" w:color="000000"/>
              <w:bottom w:val="single" w:sz="6" w:space="0" w:color="000000"/>
              <w:right w:val="single" w:sz="6" w:space="0" w:color="000000"/>
            </w:tcBorders>
          </w:tcPr>
          <w:p w14:paraId="3A065FD2" w14:textId="77777777" w:rsidR="000C7098" w:rsidRPr="00062B4F" w:rsidRDefault="000C7098" w:rsidP="009D2E3F">
            <w:pPr>
              <w:spacing w:beforeAutospacing="1" w:afterAutospacing="1" w:line="240" w:lineRule="auto"/>
              <w:ind w:firstLine="0"/>
              <w:jc w:val="left"/>
              <w:rPr>
                <w:szCs w:val="24"/>
                <w:lang w:eastAsia="ru-RU"/>
              </w:rPr>
            </w:pPr>
            <w:proofErr w:type="spellStart"/>
            <w:r w:rsidRPr="00062B4F">
              <w:rPr>
                <w:szCs w:val="24"/>
                <w:lang w:eastAsia="ru-RU"/>
              </w:rPr>
              <w:t>Асимптоматический</w:t>
            </w:r>
            <w:proofErr w:type="spellEnd"/>
            <w:r w:rsidRPr="00062B4F">
              <w:rPr>
                <w:szCs w:val="24"/>
                <w:lang w:eastAsia="ru-RU"/>
              </w:rPr>
              <w:t xml:space="preserve"> и не требующий лечения</w:t>
            </w:r>
          </w:p>
        </w:tc>
        <w:tc>
          <w:tcPr>
            <w:tcW w:w="3825" w:type="dxa"/>
            <w:tcBorders>
              <w:top w:val="single" w:sz="6" w:space="0" w:color="000000"/>
              <w:left w:val="single" w:sz="6" w:space="0" w:color="000000"/>
              <w:bottom w:val="single" w:sz="6" w:space="0" w:color="000000"/>
              <w:right w:val="single" w:sz="6" w:space="0" w:color="000000"/>
            </w:tcBorders>
          </w:tcPr>
          <w:p w14:paraId="2196C851"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&lt;10% объема плевральной полости</w:t>
            </w:r>
          </w:p>
        </w:tc>
      </w:tr>
      <w:tr w:rsidR="000C7098" w:rsidRPr="00062B4F" w14:paraId="1BA2CF8E" w14:textId="77777777">
        <w:trPr>
          <w:trHeight w:val="525"/>
          <w:jc w:val="center"/>
        </w:trPr>
        <w:tc>
          <w:tcPr>
            <w:tcW w:w="1425" w:type="dxa"/>
            <w:tcBorders>
              <w:top w:val="single" w:sz="6" w:space="0" w:color="000000"/>
              <w:left w:val="single" w:sz="6" w:space="0" w:color="000000"/>
              <w:bottom w:val="single" w:sz="6" w:space="0" w:color="000000"/>
              <w:right w:val="single" w:sz="6" w:space="0" w:color="000000"/>
            </w:tcBorders>
          </w:tcPr>
          <w:p w14:paraId="1031857C"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2</w:t>
            </w:r>
          </w:p>
        </w:tc>
        <w:tc>
          <w:tcPr>
            <w:tcW w:w="6000" w:type="dxa"/>
            <w:tcBorders>
              <w:top w:val="single" w:sz="6" w:space="0" w:color="000000"/>
              <w:left w:val="single" w:sz="6" w:space="0" w:color="000000"/>
              <w:bottom w:val="single" w:sz="6" w:space="0" w:color="000000"/>
              <w:right w:val="single" w:sz="6" w:space="0" w:color="000000"/>
            </w:tcBorders>
          </w:tcPr>
          <w:p w14:paraId="56DA9A92"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Клинически выраженный, требующий применения мочегонных средств или не более двух плевральных пункций</w:t>
            </w:r>
          </w:p>
        </w:tc>
        <w:tc>
          <w:tcPr>
            <w:tcW w:w="3825" w:type="dxa"/>
            <w:tcBorders>
              <w:top w:val="single" w:sz="6" w:space="0" w:color="000000"/>
              <w:left w:val="single" w:sz="6" w:space="0" w:color="000000"/>
              <w:bottom w:val="single" w:sz="6" w:space="0" w:color="000000"/>
              <w:right w:val="single" w:sz="6" w:space="0" w:color="000000"/>
            </w:tcBorders>
          </w:tcPr>
          <w:p w14:paraId="1B68B98B"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11-25% объема плевральной полости</w:t>
            </w:r>
          </w:p>
        </w:tc>
      </w:tr>
      <w:tr w:rsidR="000C7098" w:rsidRPr="00062B4F" w14:paraId="09A9687F" w14:textId="77777777">
        <w:trPr>
          <w:trHeight w:val="420"/>
          <w:jc w:val="center"/>
        </w:trPr>
        <w:tc>
          <w:tcPr>
            <w:tcW w:w="1425" w:type="dxa"/>
            <w:tcBorders>
              <w:top w:val="single" w:sz="6" w:space="0" w:color="000000"/>
              <w:left w:val="single" w:sz="6" w:space="0" w:color="000000"/>
              <w:bottom w:val="single" w:sz="6" w:space="0" w:color="000000"/>
              <w:right w:val="single" w:sz="6" w:space="0" w:color="000000"/>
            </w:tcBorders>
          </w:tcPr>
          <w:p w14:paraId="50014E0E"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3</w:t>
            </w:r>
          </w:p>
        </w:tc>
        <w:tc>
          <w:tcPr>
            <w:tcW w:w="6000" w:type="dxa"/>
            <w:tcBorders>
              <w:top w:val="single" w:sz="6" w:space="0" w:color="000000"/>
              <w:left w:val="single" w:sz="6" w:space="0" w:color="000000"/>
              <w:bottom w:val="single" w:sz="6" w:space="0" w:color="000000"/>
              <w:right w:val="single" w:sz="6" w:space="0" w:color="000000"/>
            </w:tcBorders>
          </w:tcPr>
          <w:p w14:paraId="5D1C5643"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Клинически выраженный, требующий ингаляции кислорода, более двух плевральных пункций и/или установления плеврального дренажа, </w:t>
            </w:r>
            <w:proofErr w:type="spellStart"/>
            <w:r w:rsidRPr="00062B4F">
              <w:rPr>
                <w:szCs w:val="24"/>
                <w:lang w:eastAsia="ru-RU"/>
              </w:rPr>
              <w:t>плевродеза</w:t>
            </w:r>
            <w:proofErr w:type="spellEnd"/>
          </w:p>
        </w:tc>
        <w:tc>
          <w:tcPr>
            <w:tcW w:w="3825" w:type="dxa"/>
            <w:tcBorders>
              <w:top w:val="single" w:sz="6" w:space="0" w:color="000000"/>
              <w:left w:val="single" w:sz="6" w:space="0" w:color="000000"/>
              <w:bottom w:val="single" w:sz="6" w:space="0" w:color="000000"/>
              <w:right w:val="single" w:sz="6" w:space="0" w:color="000000"/>
            </w:tcBorders>
          </w:tcPr>
          <w:p w14:paraId="232626C0"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26-50% объема плевральной полости</w:t>
            </w:r>
          </w:p>
        </w:tc>
      </w:tr>
      <w:tr w:rsidR="000C7098" w:rsidRPr="00062B4F" w14:paraId="126552E3" w14:textId="77777777">
        <w:trPr>
          <w:trHeight w:val="270"/>
          <w:jc w:val="center"/>
        </w:trPr>
        <w:tc>
          <w:tcPr>
            <w:tcW w:w="1425" w:type="dxa"/>
            <w:tcBorders>
              <w:top w:val="single" w:sz="6" w:space="0" w:color="000000"/>
              <w:left w:val="single" w:sz="6" w:space="0" w:color="000000"/>
              <w:bottom w:val="single" w:sz="6" w:space="0" w:color="000000"/>
              <w:right w:val="single" w:sz="6" w:space="0" w:color="000000"/>
            </w:tcBorders>
          </w:tcPr>
          <w:p w14:paraId="431A9452"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4</w:t>
            </w:r>
          </w:p>
        </w:tc>
        <w:tc>
          <w:tcPr>
            <w:tcW w:w="6000" w:type="dxa"/>
            <w:tcBorders>
              <w:top w:val="single" w:sz="6" w:space="0" w:color="000000"/>
              <w:left w:val="single" w:sz="6" w:space="0" w:color="000000"/>
              <w:bottom w:val="single" w:sz="6" w:space="0" w:color="000000"/>
              <w:right w:val="single" w:sz="6" w:space="0" w:color="000000"/>
            </w:tcBorders>
          </w:tcPr>
          <w:p w14:paraId="6DB8F2DD"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Угрожающий жизни, сопровождающийся нарушением гемодинамики или требующий искусственной вентиляции легких</w:t>
            </w:r>
          </w:p>
        </w:tc>
        <w:tc>
          <w:tcPr>
            <w:tcW w:w="3825" w:type="dxa"/>
            <w:tcBorders>
              <w:top w:val="single" w:sz="6" w:space="0" w:color="000000"/>
              <w:left w:val="single" w:sz="6" w:space="0" w:color="000000"/>
              <w:bottom w:val="single" w:sz="6" w:space="0" w:color="000000"/>
              <w:right w:val="single" w:sz="6" w:space="0" w:color="000000"/>
            </w:tcBorders>
          </w:tcPr>
          <w:p w14:paraId="6B4A09C2"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51-75% объема плевральной полости</w:t>
            </w:r>
          </w:p>
        </w:tc>
      </w:tr>
    </w:tbl>
    <w:p w14:paraId="5429883C" w14:textId="77777777" w:rsidR="000C7098" w:rsidRPr="00062B4F" w:rsidRDefault="000C7098" w:rsidP="00C10677">
      <w:pPr>
        <w:rPr>
          <w:szCs w:val="24"/>
          <w:lang w:eastAsia="ru-RU"/>
        </w:rPr>
      </w:pPr>
      <w:r w:rsidRPr="00062B4F">
        <w:rPr>
          <w:szCs w:val="24"/>
          <w:lang w:eastAsia="ru-RU"/>
        </w:rPr>
        <w:t>Наличие симптомов и объем накопленной жидкости часто могут не совпадать. Для определения лечебной тактики большее значение имеет наличие клинических симптомов и степень выраженности дыхательной недостаточности.</w:t>
      </w:r>
    </w:p>
    <w:p w14:paraId="585C415C" w14:textId="77777777" w:rsidR="000C7098" w:rsidRPr="00062B4F" w:rsidRDefault="000C7098" w:rsidP="00C10677">
      <w:pPr>
        <w:rPr>
          <w:szCs w:val="24"/>
          <w:lang w:eastAsia="ru-RU"/>
        </w:rPr>
      </w:pPr>
      <w:r w:rsidRPr="00062B4F">
        <w:rPr>
          <w:szCs w:val="24"/>
          <w:lang w:eastAsia="ru-RU"/>
        </w:rPr>
        <w:lastRenderedPageBreak/>
        <w:t xml:space="preserve">Тактика терапии плеврального выпота, вызванного применением </w:t>
      </w:r>
      <w:proofErr w:type="spellStart"/>
      <w:r w:rsidRPr="00062B4F">
        <w:rPr>
          <w:szCs w:val="24"/>
          <w:lang w:eastAsia="ru-RU"/>
        </w:rPr>
        <w:t>дазатиниба</w:t>
      </w:r>
      <w:proofErr w:type="spellEnd"/>
      <w:r w:rsidRPr="00062B4F">
        <w:rPr>
          <w:szCs w:val="24"/>
          <w:lang w:eastAsia="ru-RU"/>
        </w:rPr>
        <w:t>**, следующая:</w:t>
      </w:r>
    </w:p>
    <w:p w14:paraId="66443EE9" w14:textId="77777777" w:rsidR="000C7098" w:rsidRPr="00062B4F" w:rsidRDefault="000C7098" w:rsidP="00505FD7">
      <w:pPr>
        <w:numPr>
          <w:ilvl w:val="0"/>
          <w:numId w:val="12"/>
        </w:numPr>
        <w:ind w:left="714" w:firstLine="420"/>
        <w:rPr>
          <w:szCs w:val="24"/>
          <w:lang w:eastAsia="ru-RU"/>
        </w:rPr>
      </w:pPr>
      <w:r w:rsidRPr="00062B4F">
        <w:rPr>
          <w:szCs w:val="24"/>
          <w:lang w:eastAsia="ru-RU"/>
        </w:rPr>
        <w:t>перерыв в терапии, в дальнейшем возможно возобновление приема препарата в сниженной дозе;</w:t>
      </w:r>
    </w:p>
    <w:p w14:paraId="632E5E56" w14:textId="17B49529" w:rsidR="000C7098" w:rsidRPr="00062B4F" w:rsidRDefault="000C7098" w:rsidP="00505FD7">
      <w:pPr>
        <w:numPr>
          <w:ilvl w:val="0"/>
          <w:numId w:val="12"/>
        </w:numPr>
        <w:ind w:left="714" w:firstLine="420"/>
        <w:rPr>
          <w:szCs w:val="24"/>
          <w:lang w:eastAsia="ru-RU"/>
        </w:rPr>
      </w:pPr>
      <w:r w:rsidRPr="00062B4F">
        <w:rPr>
          <w:szCs w:val="24"/>
          <w:lang w:eastAsia="ru-RU"/>
        </w:rPr>
        <w:t>назначение диуретиков (фуросемид** 10–20 мг/</w:t>
      </w:r>
      <w:proofErr w:type="spellStart"/>
      <w:r w:rsidRPr="00062B4F">
        <w:rPr>
          <w:szCs w:val="24"/>
          <w:lang w:eastAsia="ru-RU"/>
        </w:rPr>
        <w:t>сут</w:t>
      </w:r>
      <w:proofErr w:type="spellEnd"/>
      <w:r w:rsidRPr="00062B4F">
        <w:rPr>
          <w:szCs w:val="24"/>
          <w:lang w:eastAsia="ru-RU"/>
        </w:rPr>
        <w:t xml:space="preserve">, </w:t>
      </w:r>
      <w:proofErr w:type="spellStart"/>
      <w:r w:rsidRPr="00062B4F">
        <w:rPr>
          <w:szCs w:val="24"/>
          <w:lang w:eastAsia="ru-RU"/>
        </w:rPr>
        <w:t>торасемид</w:t>
      </w:r>
      <w:proofErr w:type="spellEnd"/>
      <w:r w:rsidRPr="00062B4F">
        <w:rPr>
          <w:szCs w:val="24"/>
          <w:lang w:eastAsia="ru-RU"/>
        </w:rPr>
        <w:t xml:space="preserve"> 5–10 мг/</w:t>
      </w:r>
      <w:proofErr w:type="spellStart"/>
      <w:r w:rsidRPr="00062B4F">
        <w:rPr>
          <w:szCs w:val="24"/>
          <w:lang w:eastAsia="ru-RU"/>
        </w:rPr>
        <w:t>сут</w:t>
      </w:r>
      <w:proofErr w:type="spellEnd"/>
      <w:r w:rsidRPr="00062B4F">
        <w:rPr>
          <w:szCs w:val="24"/>
          <w:lang w:eastAsia="ru-RU"/>
        </w:rPr>
        <w:t>) с контролем уровня электролитов крови</w:t>
      </w:r>
    </w:p>
    <w:p w14:paraId="04E60674" w14:textId="77777777" w:rsidR="000C7098" w:rsidRPr="00062B4F" w:rsidRDefault="000C7098" w:rsidP="00505FD7">
      <w:pPr>
        <w:numPr>
          <w:ilvl w:val="0"/>
          <w:numId w:val="12"/>
        </w:numPr>
        <w:ind w:left="714" w:firstLine="420"/>
        <w:jc w:val="left"/>
        <w:rPr>
          <w:szCs w:val="24"/>
          <w:lang w:eastAsia="ru-RU"/>
        </w:rPr>
      </w:pPr>
      <w:r w:rsidRPr="00062B4F">
        <w:rPr>
          <w:szCs w:val="24"/>
          <w:lang w:eastAsia="ru-RU"/>
        </w:rPr>
        <w:t>при необходимости – ингаляции кислорода;</w:t>
      </w:r>
    </w:p>
    <w:p w14:paraId="07923143" w14:textId="77777777" w:rsidR="000C7098" w:rsidRPr="00062B4F" w:rsidRDefault="000C7098" w:rsidP="00505FD7">
      <w:pPr>
        <w:numPr>
          <w:ilvl w:val="0"/>
          <w:numId w:val="12"/>
        </w:numPr>
        <w:ind w:left="714" w:firstLine="420"/>
        <w:rPr>
          <w:szCs w:val="24"/>
          <w:lang w:eastAsia="ru-RU"/>
        </w:rPr>
      </w:pPr>
      <w:r w:rsidRPr="00062B4F">
        <w:rPr>
          <w:szCs w:val="24"/>
          <w:lang w:eastAsia="ru-RU"/>
        </w:rPr>
        <w:t xml:space="preserve">при тяжелых формах плеврального выпота (3–4 степени, наблюдающиеся у 4% </w:t>
      </w:r>
      <w:r w:rsidRPr="00062B4F">
        <w:rPr>
          <w:iCs/>
          <w:szCs w:val="24"/>
          <w:lang w:eastAsia="ru-RU"/>
        </w:rPr>
        <w:t>пациентов</w:t>
      </w:r>
      <w:r w:rsidRPr="00062B4F">
        <w:rPr>
          <w:szCs w:val="24"/>
          <w:lang w:eastAsia="ru-RU"/>
        </w:rPr>
        <w:t xml:space="preserve">) с дыхательной недостаточностью II–III степеней – </w:t>
      </w:r>
      <w:proofErr w:type="spellStart"/>
      <w:r w:rsidRPr="00062B4F">
        <w:rPr>
          <w:szCs w:val="24"/>
          <w:lang w:eastAsia="ru-RU"/>
        </w:rPr>
        <w:t>торакоцентез</w:t>
      </w:r>
      <w:proofErr w:type="spellEnd"/>
      <w:r w:rsidRPr="00062B4F">
        <w:rPr>
          <w:szCs w:val="24"/>
          <w:lang w:eastAsia="ru-RU"/>
        </w:rPr>
        <w:t xml:space="preserve"> с эвакуацией жидкости.</w:t>
      </w:r>
    </w:p>
    <w:p w14:paraId="0E7895C2" w14:textId="77777777" w:rsidR="000C7098" w:rsidRPr="00062B4F" w:rsidRDefault="000C7098" w:rsidP="00C10677">
      <w:pPr>
        <w:rPr>
          <w:szCs w:val="24"/>
          <w:lang w:eastAsia="ru-RU"/>
        </w:rPr>
      </w:pPr>
      <w:r w:rsidRPr="00062B4F">
        <w:rPr>
          <w:szCs w:val="24"/>
          <w:lang w:eastAsia="ru-RU"/>
        </w:rPr>
        <w:t>Проведение плевральной пункции показано при угрожающих жизни состояниях (смещение средостения, выраженная одышка в покое) или с диагностической целью, когда причина плеврального выпота неясна.</w:t>
      </w:r>
    </w:p>
    <w:p w14:paraId="4315F2B7" w14:textId="77777777" w:rsidR="000C7098" w:rsidRPr="00062B4F" w:rsidRDefault="000C7098" w:rsidP="00C10677">
      <w:pPr>
        <w:rPr>
          <w:szCs w:val="24"/>
          <w:lang w:eastAsia="ru-RU"/>
        </w:rPr>
      </w:pPr>
      <w:r w:rsidRPr="00062B4F">
        <w:rPr>
          <w:szCs w:val="24"/>
          <w:lang w:eastAsia="ru-RU"/>
        </w:rPr>
        <w:t>Сам по себе факт появления плеврального выпота не ухудшает прогноз. При оптимальном ответе на терапию возможно снизить дозу препарата. Если же ответ на лечение недостаточный, показан перевод пациента на альтернативный ИТК. Учитывая, что плевральный выпот нередко носит рецидивирующий характер, в таких случаях целесообразен перевод на другой ИТК.</w:t>
      </w:r>
    </w:p>
    <w:p w14:paraId="3C0D3C02" w14:textId="77777777" w:rsidR="000C7098" w:rsidRPr="00062B4F" w:rsidRDefault="000C7098" w:rsidP="00C10677">
      <w:pPr>
        <w:rPr>
          <w:szCs w:val="24"/>
          <w:lang w:eastAsia="ru-RU"/>
        </w:rPr>
      </w:pPr>
      <w:r w:rsidRPr="00062B4F">
        <w:rPr>
          <w:b/>
          <w:bCs/>
          <w:szCs w:val="24"/>
          <w:lang w:eastAsia="ru-RU"/>
        </w:rPr>
        <w:t>Легочная артериальная гипертензия (ЛАГ)</w:t>
      </w:r>
    </w:p>
    <w:p w14:paraId="62C3F749" w14:textId="77777777" w:rsidR="000C7098" w:rsidRPr="00062B4F" w:rsidRDefault="000C7098" w:rsidP="00C10677">
      <w:pPr>
        <w:rPr>
          <w:szCs w:val="24"/>
          <w:lang w:eastAsia="ru-RU"/>
        </w:rPr>
      </w:pPr>
      <w:r w:rsidRPr="00062B4F">
        <w:rPr>
          <w:szCs w:val="24"/>
          <w:lang w:eastAsia="ru-RU"/>
        </w:rPr>
        <w:t xml:space="preserve">Крайне редкое (0,45 % случаев), но при этом тяжелое осложнение, которое встречается при применении </w:t>
      </w:r>
      <w:proofErr w:type="spellStart"/>
      <w:r w:rsidRPr="00062B4F">
        <w:rPr>
          <w:szCs w:val="24"/>
          <w:lang w:eastAsia="ru-RU"/>
        </w:rPr>
        <w:t>дазатиниба</w:t>
      </w:r>
      <w:proofErr w:type="spellEnd"/>
      <w:r w:rsidRPr="00062B4F">
        <w:rPr>
          <w:szCs w:val="24"/>
          <w:lang w:eastAsia="ru-RU"/>
        </w:rPr>
        <w:t xml:space="preserve">**. На момент установления этого диагноза у большинства пациентов отмечались значительные нарушения гемодинамики, а также сердечная недостаточность, требовавшая наблюдения в отделении интенсивной терапии. Медиана срока развития ЛАГ составляет 34 мес. (8–48 мес.) терапии </w:t>
      </w:r>
      <w:proofErr w:type="spellStart"/>
      <w:r w:rsidRPr="00062B4F">
        <w:rPr>
          <w:szCs w:val="24"/>
          <w:lang w:eastAsia="ru-RU"/>
        </w:rPr>
        <w:t>дазатинибом</w:t>
      </w:r>
      <w:proofErr w:type="spellEnd"/>
      <w:r w:rsidRPr="00062B4F">
        <w:rPr>
          <w:szCs w:val="24"/>
          <w:lang w:eastAsia="ru-RU"/>
        </w:rPr>
        <w:t xml:space="preserve">** </w:t>
      </w:r>
      <w:r w:rsidRPr="00062B4F">
        <w:rPr>
          <w:szCs w:val="24"/>
          <w:lang w:val="en-US" w:eastAsia="ru-RU"/>
        </w:rPr>
        <w:fldChar w:fldCharType="begin" w:fldLock="1"/>
      </w:r>
      <w:r w:rsidR="007562CB" w:rsidRPr="00062B4F">
        <w:rPr>
          <w:szCs w:val="24"/>
          <w:lang w:val="en-US" w:eastAsia="ru-RU"/>
        </w:rPr>
        <w:instrText>ADDIN CSL_CITATION {"citationItems":[{"id":"ITEM-1","itemData":{"DOI":"10.1161/CIRCULATIONAHA.111.079921","ISSN":"0009-7322","PMID":"22451584","abstract":"BACKGROUND The French pulmonary hypertension (PH) registry allows the survey of epidemiological trends. Isolated cases of precapillary PH have been reported in patients who have chronic myelogenous leukemia treated with the tyrosine kinase inhibitor dasatinib. METHODS AND RESULTS This study was designed to describe incident cases of dasatinib-associated PH reported in the French PH registry. From the approval of dasatinib (November 2006) to September 30, 2010, 9 incident cases treated by dasatinib at the time of PH diagnosis were identified. At diagnosis, patients had moderate to severe precapillary PH with functional and hemodynamic impairment. No other incident PH cases were exposed to other tyrosine kinase inhibitors at the time of PH diagnosis. Clinical, functional, or hemodynamic improvements were observed within 4 months of dasatinib discontinuation in all but 1 patient. Three patients required PH treatment with endothelin receptor antagonist (n=2) or calcium channel blocker (n=1). After a median follow-up of 9 months (min-max 3-36), the majority of patients did not demonstrate complete clinical and hemodynamic recovery, and no patients reached a normal value of mean pulmonary artery pressure (≤20 mm Hg). Two patients (22%) died at follow-up (1 of unexplained sudden death and 1 of cardiac failure in the context of septicemia, respectively, 8 and 12 months after dasatinib withdrawal). The lowest estimate of incident PH occurring in patients exposed to dasatinib in France was 0.45%. CONCLUSIONS Dasatinib may induce severe precapillary PH fulfilling the criteria of pulmonary arterial hypertension, thus suggesting a direct and specific effect of dasatinib on pulmonary vessels. Improvement is usually observed after withdrawal of dasatinib.","author":[{"dropping-particle":"","family":"Montani","given":"David","non-dropping-particle":"","parse-names":false,"suffix":""},{"dropping-particle":"","family":"Bergot","given":"Emmanuel","non-dropping-particle":"","parse-names":false,"suffix":""},{"dropping-particle":"","family":"Günther","given":"Sven","non-dropping-particle":"","parse-names":false,"suffix":""},{"dropping-particle":"","family":"Savale","given":"Laurent","non-dropping-particle":"","parse-names":false,"suffix":""},{"dropping-particle":"","family":"Bergeron","given":"Anne","non-dropping-particle":"","parse-names":false,"suffix":""},{"dropping-particle":"","family":"Bourdin","given":"Arnaud","non-dropping-particle":"","parse-names":false,"suffix":""},{"dropping-particle":"","family":"Bouvaist","given":"Helene","non-dropping-particle":"","parse-names":false,"suffix":""},{"dropping-particle":"","family":"Canuet","given":"Matthieu","non-dropping-particle":"","parse-names":false,"suffix":""},{"dropping-particle":"","family":"Pison","given":"Christophe","non-dropping-particle":"","parse-names":false,"suffix":""},{"dropping-particle":"","family":"Macro","given":"Margareth","non-dropping-particle":"","parse-names":false,"suffix":""},{"dropping-particle":"","family":"Poubeau","given":"Patrice","non-dropping-particle":"","parse-names":false,"suffix":""},{"dropping-particle":"","family":"Girerd","given":"Barbara","non-dropping-particle":"","parse-names":false,"suffix":""},{"dropping-particle":"","family":"Natali","given":"Delphine","non-dropping-particle":"","parse-names":false,"suffix":""},{"dropping-particle":"","family":"Guignabert","given":"Christophe","non-dropping-particle":"","parse-names":false,"suffix":""},{"dropping-particle":"","family":"Perros","given":"Frédéric","non-dropping-particle":"","parse-names":false,"suffix":""},{"dropping-particle":"","family":"O'Callaghan","given":"Dermot S.","non-dropping-particle":"","parse-names":false,"suffix":""},{"dropping-particle":"","family":"Jaïs","given":"Xavier","non-dropping-particle":"","parse-names":false,"suffix":""},{"dropping-particle":"","family":"Tubert-Bitter","given":"Pascale","non-dropping-particle":"","parse-names":false,"suffix":""},{"dropping-particle":"","family":"Zalcman","given":"Gérard","non-dropping-particle":"","parse-names":false,"suffix":""},{"dropping-particle":"","family":"Sitbon","given":"Olivier","non-dropping-particle":"","parse-names":false,"suffix":""},{"dropping-particle":"","family":"Simonneau","given":"Gérald","non-dropping-particle":"","parse-names":false,"suffix":""},{"dropping-particle":"","family":"Humbert","given":"Marc","non-dropping-particle":"","parse-names":false,"suffix":""}],"container-title":"Circulation","id":"ITEM-1","issue":"17","issued":{"date-parts":[</w:instrText>
      </w:r>
      <w:r w:rsidR="007562CB" w:rsidRPr="00062B4F">
        <w:rPr>
          <w:szCs w:val="24"/>
          <w:lang w:eastAsia="ru-RU"/>
        </w:rPr>
        <w:instrText>["2012","5"]]},"</w:instrText>
      </w:r>
      <w:r w:rsidR="007562CB" w:rsidRPr="00062B4F">
        <w:rPr>
          <w:szCs w:val="24"/>
          <w:lang w:val="en-US" w:eastAsia="ru-RU"/>
        </w:rPr>
        <w:instrText>page</w:instrText>
      </w:r>
      <w:r w:rsidR="007562CB" w:rsidRPr="00062B4F">
        <w:rPr>
          <w:szCs w:val="24"/>
          <w:lang w:eastAsia="ru-RU"/>
        </w:rPr>
        <w:instrText>":"2128-2137","</w:instrText>
      </w:r>
      <w:r w:rsidR="007562CB" w:rsidRPr="00062B4F">
        <w:rPr>
          <w:szCs w:val="24"/>
          <w:lang w:val="en-US" w:eastAsia="ru-RU"/>
        </w:rPr>
        <w:instrText>title</w:instrText>
      </w:r>
      <w:r w:rsidR="007562CB" w:rsidRPr="00062B4F">
        <w:rPr>
          <w:szCs w:val="24"/>
          <w:lang w:eastAsia="ru-RU"/>
        </w:rPr>
        <w:instrText>":"</w:instrText>
      </w:r>
      <w:r w:rsidR="007562CB" w:rsidRPr="00062B4F">
        <w:rPr>
          <w:szCs w:val="24"/>
          <w:lang w:val="en-US" w:eastAsia="ru-RU"/>
        </w:rPr>
        <w:instrText>Pulmonary</w:instrText>
      </w:r>
      <w:r w:rsidR="007562CB" w:rsidRPr="00062B4F">
        <w:rPr>
          <w:szCs w:val="24"/>
          <w:lang w:eastAsia="ru-RU"/>
        </w:rPr>
        <w:instrText xml:space="preserve"> </w:instrText>
      </w:r>
      <w:r w:rsidR="007562CB" w:rsidRPr="00062B4F">
        <w:rPr>
          <w:szCs w:val="24"/>
          <w:lang w:val="en-US" w:eastAsia="ru-RU"/>
        </w:rPr>
        <w:instrText>Arterial</w:instrText>
      </w:r>
      <w:r w:rsidR="007562CB" w:rsidRPr="00062B4F">
        <w:rPr>
          <w:szCs w:val="24"/>
          <w:lang w:eastAsia="ru-RU"/>
        </w:rPr>
        <w:instrText xml:space="preserve"> </w:instrText>
      </w:r>
      <w:r w:rsidR="007562CB" w:rsidRPr="00062B4F">
        <w:rPr>
          <w:szCs w:val="24"/>
          <w:lang w:val="en-US" w:eastAsia="ru-RU"/>
        </w:rPr>
        <w:instrText>Hypertension</w:instrText>
      </w:r>
      <w:r w:rsidR="007562CB" w:rsidRPr="00062B4F">
        <w:rPr>
          <w:szCs w:val="24"/>
          <w:lang w:eastAsia="ru-RU"/>
        </w:rPr>
        <w:instrText xml:space="preserve"> </w:instrText>
      </w:r>
      <w:r w:rsidR="007562CB" w:rsidRPr="00062B4F">
        <w:rPr>
          <w:szCs w:val="24"/>
          <w:lang w:val="en-US" w:eastAsia="ru-RU"/>
        </w:rPr>
        <w:instrText>in</w:instrText>
      </w:r>
      <w:r w:rsidR="007562CB" w:rsidRPr="00062B4F">
        <w:rPr>
          <w:szCs w:val="24"/>
          <w:lang w:eastAsia="ru-RU"/>
        </w:rPr>
        <w:instrText xml:space="preserve"> </w:instrText>
      </w:r>
      <w:r w:rsidR="007562CB" w:rsidRPr="00062B4F">
        <w:rPr>
          <w:szCs w:val="24"/>
          <w:lang w:val="en-US" w:eastAsia="ru-RU"/>
        </w:rPr>
        <w:instrText>Patients</w:instrText>
      </w:r>
      <w:r w:rsidR="007562CB" w:rsidRPr="00062B4F">
        <w:rPr>
          <w:szCs w:val="24"/>
          <w:lang w:eastAsia="ru-RU"/>
        </w:rPr>
        <w:instrText xml:space="preserve"> </w:instrText>
      </w:r>
      <w:r w:rsidR="007562CB" w:rsidRPr="00062B4F">
        <w:rPr>
          <w:szCs w:val="24"/>
          <w:lang w:val="en-US" w:eastAsia="ru-RU"/>
        </w:rPr>
        <w:instrText>Treated</w:instrText>
      </w:r>
      <w:r w:rsidR="007562CB" w:rsidRPr="00062B4F">
        <w:rPr>
          <w:szCs w:val="24"/>
          <w:lang w:eastAsia="ru-RU"/>
        </w:rPr>
        <w:instrText xml:space="preserve"> </w:instrText>
      </w:r>
      <w:r w:rsidR="007562CB" w:rsidRPr="00062B4F">
        <w:rPr>
          <w:szCs w:val="24"/>
          <w:lang w:val="en-US" w:eastAsia="ru-RU"/>
        </w:rPr>
        <w:instrText>by</w:instrText>
      </w:r>
      <w:r w:rsidR="007562CB" w:rsidRPr="00062B4F">
        <w:rPr>
          <w:szCs w:val="24"/>
          <w:lang w:eastAsia="ru-RU"/>
        </w:rPr>
        <w:instrText xml:space="preserve"> </w:instrText>
      </w:r>
      <w:r w:rsidR="007562CB" w:rsidRPr="00062B4F">
        <w:rPr>
          <w:szCs w:val="24"/>
          <w:lang w:val="en-US" w:eastAsia="ru-RU"/>
        </w:rPr>
        <w:instrText>Dasatinib</w:instrText>
      </w:r>
      <w:r w:rsidR="007562CB" w:rsidRPr="00062B4F">
        <w:rPr>
          <w:szCs w:val="24"/>
          <w:lang w:eastAsia="ru-RU"/>
        </w:rPr>
        <w:instrText>","</w:instrText>
      </w:r>
      <w:r w:rsidR="007562CB" w:rsidRPr="00062B4F">
        <w:rPr>
          <w:szCs w:val="24"/>
          <w:lang w:val="en-US" w:eastAsia="ru-RU"/>
        </w:rPr>
        <w:instrText>type</w:instrText>
      </w:r>
      <w:r w:rsidR="007562CB" w:rsidRPr="00062B4F">
        <w:rPr>
          <w:szCs w:val="24"/>
          <w:lang w:eastAsia="ru-RU"/>
        </w:rPr>
        <w:instrText>":"</w:instrText>
      </w:r>
      <w:r w:rsidR="007562CB" w:rsidRPr="00062B4F">
        <w:rPr>
          <w:szCs w:val="24"/>
          <w:lang w:val="en-US" w:eastAsia="ru-RU"/>
        </w:rPr>
        <w:instrText>article</w:instrText>
      </w:r>
      <w:r w:rsidR="007562CB" w:rsidRPr="00062B4F">
        <w:rPr>
          <w:szCs w:val="24"/>
          <w:lang w:eastAsia="ru-RU"/>
        </w:rPr>
        <w:instrText>-</w:instrText>
      </w:r>
      <w:r w:rsidR="007562CB" w:rsidRPr="00062B4F">
        <w:rPr>
          <w:szCs w:val="24"/>
          <w:lang w:val="en-US" w:eastAsia="ru-RU"/>
        </w:rPr>
        <w:instrText>journal</w:instrText>
      </w:r>
      <w:r w:rsidR="007562CB" w:rsidRPr="00062B4F">
        <w:rPr>
          <w:szCs w:val="24"/>
          <w:lang w:eastAsia="ru-RU"/>
        </w:rPr>
        <w:instrText>","</w:instrText>
      </w:r>
      <w:r w:rsidR="007562CB" w:rsidRPr="00062B4F">
        <w:rPr>
          <w:szCs w:val="24"/>
          <w:lang w:val="en-US" w:eastAsia="ru-RU"/>
        </w:rPr>
        <w:instrText>volume</w:instrText>
      </w:r>
      <w:r w:rsidR="007562CB" w:rsidRPr="00062B4F">
        <w:rPr>
          <w:szCs w:val="24"/>
          <w:lang w:eastAsia="ru-RU"/>
        </w:rPr>
        <w:instrText>":"125"},"</w:instrText>
      </w:r>
      <w:r w:rsidR="007562CB" w:rsidRPr="00062B4F">
        <w:rPr>
          <w:szCs w:val="24"/>
          <w:lang w:val="en-US" w:eastAsia="ru-RU"/>
        </w:rPr>
        <w:instrText>uris</w:instrText>
      </w:r>
      <w:r w:rsidR="007562CB" w:rsidRPr="00062B4F">
        <w:rPr>
          <w:szCs w:val="24"/>
          <w:lang w:eastAsia="ru-RU"/>
        </w:rPr>
        <w:instrText>":["</w:instrText>
      </w:r>
      <w:r w:rsidR="007562CB" w:rsidRPr="00062B4F">
        <w:rPr>
          <w:szCs w:val="24"/>
          <w:lang w:val="en-US" w:eastAsia="ru-RU"/>
        </w:rPr>
        <w:instrText>http</w:instrText>
      </w:r>
      <w:r w:rsidR="007562CB" w:rsidRPr="00062B4F">
        <w:rPr>
          <w:szCs w:val="24"/>
          <w:lang w:eastAsia="ru-RU"/>
        </w:rPr>
        <w:instrText>://</w:instrText>
      </w:r>
      <w:r w:rsidR="007562CB" w:rsidRPr="00062B4F">
        <w:rPr>
          <w:szCs w:val="24"/>
          <w:lang w:val="en-US" w:eastAsia="ru-RU"/>
        </w:rPr>
        <w:instrText>www</w:instrText>
      </w:r>
      <w:r w:rsidR="007562CB" w:rsidRPr="00062B4F">
        <w:rPr>
          <w:szCs w:val="24"/>
          <w:lang w:eastAsia="ru-RU"/>
        </w:rPr>
        <w:instrText>.</w:instrText>
      </w:r>
      <w:r w:rsidR="007562CB" w:rsidRPr="00062B4F">
        <w:rPr>
          <w:szCs w:val="24"/>
          <w:lang w:val="en-US" w:eastAsia="ru-RU"/>
        </w:rPr>
        <w:instrText>mendeley</w:instrText>
      </w:r>
      <w:r w:rsidR="007562CB" w:rsidRPr="00062B4F">
        <w:rPr>
          <w:szCs w:val="24"/>
          <w:lang w:eastAsia="ru-RU"/>
        </w:rPr>
        <w:instrText>.</w:instrText>
      </w:r>
      <w:r w:rsidR="007562CB" w:rsidRPr="00062B4F">
        <w:rPr>
          <w:szCs w:val="24"/>
          <w:lang w:val="en-US" w:eastAsia="ru-RU"/>
        </w:rPr>
        <w:instrText>com</w:instrText>
      </w:r>
      <w:r w:rsidR="007562CB" w:rsidRPr="00062B4F">
        <w:rPr>
          <w:szCs w:val="24"/>
          <w:lang w:eastAsia="ru-RU"/>
        </w:rPr>
        <w:instrText>/</w:instrText>
      </w:r>
      <w:r w:rsidR="007562CB" w:rsidRPr="00062B4F">
        <w:rPr>
          <w:szCs w:val="24"/>
          <w:lang w:val="en-US" w:eastAsia="ru-RU"/>
        </w:rPr>
        <w:instrText>documents</w:instrText>
      </w:r>
      <w:r w:rsidR="007562CB" w:rsidRPr="00062B4F">
        <w:rPr>
          <w:szCs w:val="24"/>
          <w:lang w:eastAsia="ru-RU"/>
        </w:rPr>
        <w:instrText>/?</w:instrText>
      </w:r>
      <w:r w:rsidR="007562CB" w:rsidRPr="00062B4F">
        <w:rPr>
          <w:szCs w:val="24"/>
          <w:lang w:val="en-US" w:eastAsia="ru-RU"/>
        </w:rPr>
        <w:instrText>uuid</w:instrText>
      </w:r>
      <w:r w:rsidR="007562CB" w:rsidRPr="00062B4F">
        <w:rPr>
          <w:szCs w:val="24"/>
          <w:lang w:eastAsia="ru-RU"/>
        </w:rPr>
        <w:instrText>=01830</w:instrText>
      </w:r>
      <w:r w:rsidR="007562CB" w:rsidRPr="00062B4F">
        <w:rPr>
          <w:szCs w:val="24"/>
          <w:lang w:val="en-US" w:eastAsia="ru-RU"/>
        </w:rPr>
        <w:instrText>abe</w:instrText>
      </w:r>
      <w:r w:rsidR="007562CB" w:rsidRPr="00062B4F">
        <w:rPr>
          <w:szCs w:val="24"/>
          <w:lang w:eastAsia="ru-RU"/>
        </w:rPr>
        <w:instrText>-</w:instrText>
      </w:r>
      <w:r w:rsidR="007562CB" w:rsidRPr="00062B4F">
        <w:rPr>
          <w:szCs w:val="24"/>
          <w:lang w:val="en-US" w:eastAsia="ru-RU"/>
        </w:rPr>
        <w:instrText>f</w:instrText>
      </w:r>
      <w:r w:rsidR="007562CB" w:rsidRPr="00062B4F">
        <w:rPr>
          <w:szCs w:val="24"/>
          <w:lang w:eastAsia="ru-RU"/>
        </w:rPr>
        <w:instrText>742-33</w:instrText>
      </w:r>
      <w:r w:rsidR="007562CB" w:rsidRPr="00062B4F">
        <w:rPr>
          <w:szCs w:val="24"/>
          <w:lang w:val="en-US" w:eastAsia="ru-RU"/>
        </w:rPr>
        <w:instrText>cb</w:instrText>
      </w:r>
      <w:r w:rsidR="007562CB" w:rsidRPr="00062B4F">
        <w:rPr>
          <w:szCs w:val="24"/>
          <w:lang w:eastAsia="ru-RU"/>
        </w:rPr>
        <w:instrText>-9</w:instrText>
      </w:r>
      <w:r w:rsidR="007562CB" w:rsidRPr="00062B4F">
        <w:rPr>
          <w:szCs w:val="24"/>
          <w:lang w:val="en-US" w:eastAsia="ru-RU"/>
        </w:rPr>
        <w:instrText>dcd</w:instrText>
      </w:r>
      <w:r w:rsidR="007562CB" w:rsidRPr="00062B4F">
        <w:rPr>
          <w:szCs w:val="24"/>
          <w:lang w:eastAsia="ru-RU"/>
        </w:rPr>
        <w:instrText>-317234</w:instrText>
      </w:r>
      <w:r w:rsidR="007562CB" w:rsidRPr="00062B4F">
        <w:rPr>
          <w:szCs w:val="24"/>
          <w:lang w:val="en-US" w:eastAsia="ru-RU"/>
        </w:rPr>
        <w:instrText>b</w:instrText>
      </w:r>
      <w:r w:rsidR="007562CB" w:rsidRPr="00062B4F">
        <w:rPr>
          <w:szCs w:val="24"/>
          <w:lang w:eastAsia="ru-RU"/>
        </w:rPr>
        <w:instrText>85</w:instrText>
      </w:r>
      <w:r w:rsidR="007562CB" w:rsidRPr="00062B4F">
        <w:rPr>
          <w:szCs w:val="24"/>
          <w:lang w:val="en-US" w:eastAsia="ru-RU"/>
        </w:rPr>
        <w:instrText>b</w:instrText>
      </w:r>
      <w:r w:rsidR="007562CB" w:rsidRPr="00062B4F">
        <w:rPr>
          <w:szCs w:val="24"/>
          <w:lang w:eastAsia="ru-RU"/>
        </w:rPr>
        <w:instrText>59","</w:instrText>
      </w:r>
      <w:r w:rsidR="007562CB" w:rsidRPr="00062B4F">
        <w:rPr>
          <w:szCs w:val="24"/>
          <w:lang w:val="en-US" w:eastAsia="ru-RU"/>
        </w:rPr>
        <w:instrText>http</w:instrText>
      </w:r>
      <w:r w:rsidR="007562CB" w:rsidRPr="00062B4F">
        <w:rPr>
          <w:szCs w:val="24"/>
          <w:lang w:eastAsia="ru-RU"/>
        </w:rPr>
        <w:instrText>://</w:instrText>
      </w:r>
      <w:r w:rsidR="007562CB" w:rsidRPr="00062B4F">
        <w:rPr>
          <w:szCs w:val="24"/>
          <w:lang w:val="en-US" w:eastAsia="ru-RU"/>
        </w:rPr>
        <w:instrText>www</w:instrText>
      </w:r>
      <w:r w:rsidR="007562CB" w:rsidRPr="00062B4F">
        <w:rPr>
          <w:szCs w:val="24"/>
          <w:lang w:eastAsia="ru-RU"/>
        </w:rPr>
        <w:instrText>.</w:instrText>
      </w:r>
      <w:r w:rsidR="007562CB" w:rsidRPr="00062B4F">
        <w:rPr>
          <w:szCs w:val="24"/>
          <w:lang w:val="en-US" w:eastAsia="ru-RU"/>
        </w:rPr>
        <w:instrText>mendeley</w:instrText>
      </w:r>
      <w:r w:rsidR="007562CB" w:rsidRPr="00062B4F">
        <w:rPr>
          <w:szCs w:val="24"/>
          <w:lang w:eastAsia="ru-RU"/>
        </w:rPr>
        <w:instrText>.</w:instrText>
      </w:r>
      <w:r w:rsidR="007562CB" w:rsidRPr="00062B4F">
        <w:rPr>
          <w:szCs w:val="24"/>
          <w:lang w:val="en-US" w:eastAsia="ru-RU"/>
        </w:rPr>
        <w:instrText>com</w:instrText>
      </w:r>
      <w:r w:rsidR="007562CB" w:rsidRPr="00062B4F">
        <w:rPr>
          <w:szCs w:val="24"/>
          <w:lang w:eastAsia="ru-RU"/>
        </w:rPr>
        <w:instrText>/</w:instrText>
      </w:r>
      <w:r w:rsidR="007562CB" w:rsidRPr="00062B4F">
        <w:rPr>
          <w:szCs w:val="24"/>
          <w:lang w:val="en-US" w:eastAsia="ru-RU"/>
        </w:rPr>
        <w:instrText>documents</w:instrText>
      </w:r>
      <w:r w:rsidR="007562CB" w:rsidRPr="00062B4F">
        <w:rPr>
          <w:szCs w:val="24"/>
          <w:lang w:eastAsia="ru-RU"/>
        </w:rPr>
        <w:instrText>/?</w:instrText>
      </w:r>
      <w:r w:rsidR="007562CB" w:rsidRPr="00062B4F">
        <w:rPr>
          <w:szCs w:val="24"/>
          <w:lang w:val="en-US" w:eastAsia="ru-RU"/>
        </w:rPr>
        <w:instrText>uuid</w:instrText>
      </w:r>
      <w:r w:rsidR="007562CB" w:rsidRPr="00062B4F">
        <w:rPr>
          <w:szCs w:val="24"/>
          <w:lang w:eastAsia="ru-RU"/>
        </w:rPr>
        <w:instrText>=3</w:instrText>
      </w:r>
      <w:r w:rsidR="007562CB" w:rsidRPr="00062B4F">
        <w:rPr>
          <w:szCs w:val="24"/>
          <w:lang w:val="en-US" w:eastAsia="ru-RU"/>
        </w:rPr>
        <w:instrText>c</w:instrText>
      </w:r>
      <w:r w:rsidR="007562CB" w:rsidRPr="00062B4F">
        <w:rPr>
          <w:szCs w:val="24"/>
          <w:lang w:eastAsia="ru-RU"/>
        </w:rPr>
        <w:instrText>78713</w:instrText>
      </w:r>
      <w:r w:rsidR="007562CB" w:rsidRPr="00062B4F">
        <w:rPr>
          <w:szCs w:val="24"/>
          <w:lang w:val="en-US" w:eastAsia="ru-RU"/>
        </w:rPr>
        <w:instrText>f</w:instrText>
      </w:r>
      <w:r w:rsidR="007562CB" w:rsidRPr="00062B4F">
        <w:rPr>
          <w:szCs w:val="24"/>
          <w:lang w:eastAsia="ru-RU"/>
        </w:rPr>
        <w:instrText>-9</w:instrText>
      </w:r>
      <w:r w:rsidR="007562CB" w:rsidRPr="00062B4F">
        <w:rPr>
          <w:szCs w:val="24"/>
          <w:lang w:val="en-US" w:eastAsia="ru-RU"/>
        </w:rPr>
        <w:instrText>e</w:instrText>
      </w:r>
      <w:r w:rsidR="007562CB" w:rsidRPr="00062B4F">
        <w:rPr>
          <w:szCs w:val="24"/>
          <w:lang w:eastAsia="ru-RU"/>
        </w:rPr>
        <w:instrText>87-4</w:instrText>
      </w:r>
      <w:r w:rsidR="007562CB" w:rsidRPr="00062B4F">
        <w:rPr>
          <w:szCs w:val="24"/>
          <w:lang w:val="en-US" w:eastAsia="ru-RU"/>
        </w:rPr>
        <w:instrText>edf</w:instrText>
      </w:r>
      <w:r w:rsidR="007562CB" w:rsidRPr="00062B4F">
        <w:rPr>
          <w:szCs w:val="24"/>
          <w:lang w:eastAsia="ru-RU"/>
        </w:rPr>
        <w:instrText>-8</w:instrText>
      </w:r>
      <w:r w:rsidR="007562CB" w:rsidRPr="00062B4F">
        <w:rPr>
          <w:szCs w:val="24"/>
          <w:lang w:val="en-US" w:eastAsia="ru-RU"/>
        </w:rPr>
        <w:instrText>e</w:instrText>
      </w:r>
      <w:r w:rsidR="007562CB" w:rsidRPr="00062B4F">
        <w:rPr>
          <w:szCs w:val="24"/>
          <w:lang w:eastAsia="ru-RU"/>
        </w:rPr>
        <w:instrText>68-17789</w:instrText>
      </w:r>
      <w:r w:rsidR="007562CB" w:rsidRPr="00062B4F">
        <w:rPr>
          <w:szCs w:val="24"/>
          <w:lang w:val="en-US" w:eastAsia="ru-RU"/>
        </w:rPr>
        <w:instrText>c</w:instrText>
      </w:r>
      <w:r w:rsidR="007562CB" w:rsidRPr="00062B4F">
        <w:rPr>
          <w:szCs w:val="24"/>
          <w:lang w:eastAsia="ru-RU"/>
        </w:rPr>
        <w:instrText>58</w:instrText>
      </w:r>
      <w:r w:rsidR="007562CB" w:rsidRPr="00062B4F">
        <w:rPr>
          <w:szCs w:val="24"/>
          <w:lang w:val="en-US" w:eastAsia="ru-RU"/>
        </w:rPr>
        <w:instrText>fca</w:instrText>
      </w:r>
      <w:r w:rsidR="007562CB" w:rsidRPr="00062B4F">
        <w:rPr>
          <w:szCs w:val="24"/>
          <w:lang w:eastAsia="ru-RU"/>
        </w:rPr>
        <w:instrText>9"]},{"</w:instrText>
      </w:r>
      <w:r w:rsidR="007562CB" w:rsidRPr="00062B4F">
        <w:rPr>
          <w:szCs w:val="24"/>
          <w:lang w:val="en-US" w:eastAsia="ru-RU"/>
        </w:rPr>
        <w:instrText>id</w:instrText>
      </w:r>
      <w:r w:rsidR="007562CB" w:rsidRPr="00062B4F">
        <w:rPr>
          <w:szCs w:val="24"/>
          <w:lang w:eastAsia="ru-RU"/>
        </w:rPr>
        <w:instrText>":"</w:instrText>
      </w:r>
      <w:r w:rsidR="007562CB" w:rsidRPr="00062B4F">
        <w:rPr>
          <w:szCs w:val="24"/>
          <w:lang w:val="en-US" w:eastAsia="ru-RU"/>
        </w:rPr>
        <w:instrText>ITEM</w:instrText>
      </w:r>
      <w:r w:rsidR="007562CB" w:rsidRPr="00062B4F">
        <w:rPr>
          <w:szCs w:val="24"/>
          <w:lang w:eastAsia="ru-RU"/>
        </w:rPr>
        <w:instrText>-2","</w:instrText>
      </w:r>
      <w:r w:rsidR="007562CB" w:rsidRPr="00062B4F">
        <w:rPr>
          <w:szCs w:val="24"/>
          <w:lang w:val="en-US" w:eastAsia="ru-RU"/>
        </w:rPr>
        <w:instrText>itemData</w:instrText>
      </w:r>
      <w:r w:rsidR="007562CB" w:rsidRPr="00062B4F">
        <w:rPr>
          <w:szCs w:val="24"/>
          <w:lang w:eastAsia="ru-RU"/>
        </w:rPr>
        <w:instrText>":{"</w:instrText>
      </w:r>
      <w:r w:rsidR="007562CB" w:rsidRPr="00062B4F">
        <w:rPr>
          <w:szCs w:val="24"/>
          <w:lang w:val="en-US" w:eastAsia="ru-RU"/>
        </w:rPr>
        <w:instrText>DOI</w:instrText>
      </w:r>
      <w:r w:rsidR="007562CB" w:rsidRPr="00062B4F">
        <w:rPr>
          <w:szCs w:val="24"/>
          <w:lang w:eastAsia="ru-RU"/>
        </w:rPr>
        <w:instrText>":"10.1016/</w:instrText>
      </w:r>
      <w:r w:rsidR="007562CB" w:rsidRPr="00062B4F">
        <w:rPr>
          <w:szCs w:val="24"/>
          <w:lang w:val="en-US" w:eastAsia="ru-RU"/>
        </w:rPr>
        <w:instrText>j</w:instrText>
      </w:r>
      <w:r w:rsidR="007562CB" w:rsidRPr="00062B4F">
        <w:rPr>
          <w:szCs w:val="24"/>
          <w:lang w:eastAsia="ru-RU"/>
        </w:rPr>
        <w:instrText>.</w:instrText>
      </w:r>
      <w:r w:rsidR="007562CB" w:rsidRPr="00062B4F">
        <w:rPr>
          <w:szCs w:val="24"/>
          <w:lang w:val="en-US" w:eastAsia="ru-RU"/>
        </w:rPr>
        <w:instrText>leukres</w:instrText>
      </w:r>
      <w:r w:rsidR="007562CB" w:rsidRPr="00062B4F">
        <w:rPr>
          <w:szCs w:val="24"/>
          <w:lang w:eastAsia="ru-RU"/>
        </w:rPr>
        <w:instrText>.2011.08.007","</w:instrText>
      </w:r>
      <w:r w:rsidR="007562CB" w:rsidRPr="00062B4F">
        <w:rPr>
          <w:szCs w:val="24"/>
          <w:lang w:val="en-US" w:eastAsia="ru-RU"/>
        </w:rPr>
        <w:instrText>ISSN</w:instrText>
      </w:r>
      <w:r w:rsidR="007562CB" w:rsidRPr="00062B4F">
        <w:rPr>
          <w:szCs w:val="24"/>
          <w:lang w:eastAsia="ru-RU"/>
        </w:rPr>
        <w:instrText>":"01452126","</w:instrText>
      </w:r>
      <w:r w:rsidR="007562CB" w:rsidRPr="00062B4F">
        <w:rPr>
          <w:szCs w:val="24"/>
          <w:lang w:val="en-US" w:eastAsia="ru-RU"/>
        </w:rPr>
        <w:instrText>author</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family</w:instrText>
      </w:r>
      <w:r w:rsidR="007562CB" w:rsidRPr="00062B4F">
        <w:rPr>
          <w:szCs w:val="24"/>
          <w:lang w:eastAsia="ru-RU"/>
        </w:rPr>
        <w:instrText>":"</w:instrText>
      </w:r>
      <w:r w:rsidR="007562CB" w:rsidRPr="00062B4F">
        <w:rPr>
          <w:szCs w:val="24"/>
          <w:lang w:val="en-US" w:eastAsia="ru-RU"/>
        </w:rPr>
        <w:instrText>Orlandi</w:instrText>
      </w:r>
      <w:r w:rsidR="007562CB" w:rsidRPr="00062B4F">
        <w:rPr>
          <w:szCs w:val="24"/>
          <w:lang w:eastAsia="ru-RU"/>
        </w:rPr>
        <w:instrText>","</w:instrText>
      </w:r>
      <w:r w:rsidR="007562CB" w:rsidRPr="00062B4F">
        <w:rPr>
          <w:szCs w:val="24"/>
          <w:lang w:val="en-US" w:eastAsia="ru-RU"/>
        </w:rPr>
        <w:instrText>given</w:instrText>
      </w:r>
      <w:r w:rsidR="007562CB" w:rsidRPr="00062B4F">
        <w:rPr>
          <w:szCs w:val="24"/>
          <w:lang w:eastAsia="ru-RU"/>
        </w:rPr>
        <w:instrText>":"</w:instrText>
      </w:r>
      <w:r w:rsidR="007562CB" w:rsidRPr="00062B4F">
        <w:rPr>
          <w:szCs w:val="24"/>
          <w:lang w:val="en-US" w:eastAsia="ru-RU"/>
        </w:rPr>
        <w:instrText>Ester</w:instrText>
      </w:r>
      <w:r w:rsidR="007562CB" w:rsidRPr="00062B4F">
        <w:rPr>
          <w:szCs w:val="24"/>
          <w:lang w:eastAsia="ru-RU"/>
        </w:rPr>
        <w:instrText xml:space="preserve"> </w:instrText>
      </w:r>
      <w:r w:rsidR="007562CB" w:rsidRPr="00062B4F">
        <w:rPr>
          <w:szCs w:val="24"/>
          <w:lang w:val="en-US" w:eastAsia="ru-RU"/>
        </w:rPr>
        <w:instrText>M</w:instrText>
      </w:r>
      <w:r w:rsidR="007562CB" w:rsidRPr="00062B4F">
        <w:rPr>
          <w:szCs w:val="24"/>
          <w:lang w:eastAsia="ru-RU"/>
        </w:rPr>
        <w:instrText>.","</w:instrText>
      </w:r>
      <w:r w:rsidR="007562CB" w:rsidRPr="00062B4F">
        <w:rPr>
          <w:szCs w:val="24"/>
          <w:lang w:val="en-US" w:eastAsia="ru-RU"/>
        </w:rPr>
        <w:instrText>non</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parse</w:instrText>
      </w:r>
      <w:r w:rsidR="007562CB" w:rsidRPr="00062B4F">
        <w:rPr>
          <w:szCs w:val="24"/>
          <w:lang w:eastAsia="ru-RU"/>
        </w:rPr>
        <w:instrText>-</w:instrText>
      </w:r>
      <w:r w:rsidR="007562CB" w:rsidRPr="00062B4F">
        <w:rPr>
          <w:szCs w:val="24"/>
          <w:lang w:val="en-US" w:eastAsia="ru-RU"/>
        </w:rPr>
        <w:instrText>names</w:instrText>
      </w:r>
      <w:r w:rsidR="007562CB" w:rsidRPr="00062B4F">
        <w:rPr>
          <w:szCs w:val="24"/>
          <w:lang w:eastAsia="ru-RU"/>
        </w:rPr>
        <w:instrText>":</w:instrText>
      </w:r>
      <w:r w:rsidR="007562CB" w:rsidRPr="00062B4F">
        <w:rPr>
          <w:szCs w:val="24"/>
          <w:lang w:val="en-US" w:eastAsia="ru-RU"/>
        </w:rPr>
        <w:instrText>false</w:instrText>
      </w:r>
      <w:r w:rsidR="007562CB" w:rsidRPr="00062B4F">
        <w:rPr>
          <w:szCs w:val="24"/>
          <w:lang w:eastAsia="ru-RU"/>
        </w:rPr>
        <w:instrText>,"</w:instrText>
      </w:r>
      <w:r w:rsidR="007562CB" w:rsidRPr="00062B4F">
        <w:rPr>
          <w:szCs w:val="24"/>
          <w:lang w:val="en-US" w:eastAsia="ru-RU"/>
        </w:rPr>
        <w:instrText>suffix</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family</w:instrText>
      </w:r>
      <w:r w:rsidR="007562CB" w:rsidRPr="00062B4F">
        <w:rPr>
          <w:szCs w:val="24"/>
          <w:lang w:eastAsia="ru-RU"/>
        </w:rPr>
        <w:instrText>":"</w:instrText>
      </w:r>
      <w:r w:rsidR="007562CB" w:rsidRPr="00062B4F">
        <w:rPr>
          <w:szCs w:val="24"/>
          <w:lang w:val="en-US" w:eastAsia="ru-RU"/>
        </w:rPr>
        <w:instrText>Rocca</w:instrText>
      </w:r>
      <w:r w:rsidR="007562CB" w:rsidRPr="00062B4F">
        <w:rPr>
          <w:szCs w:val="24"/>
          <w:lang w:eastAsia="ru-RU"/>
        </w:rPr>
        <w:instrText>","</w:instrText>
      </w:r>
      <w:r w:rsidR="007562CB" w:rsidRPr="00062B4F">
        <w:rPr>
          <w:szCs w:val="24"/>
          <w:lang w:val="en-US" w:eastAsia="ru-RU"/>
        </w:rPr>
        <w:instrText>given</w:instrText>
      </w:r>
      <w:r w:rsidR="007562CB" w:rsidRPr="00062B4F">
        <w:rPr>
          <w:szCs w:val="24"/>
          <w:lang w:eastAsia="ru-RU"/>
        </w:rPr>
        <w:instrText>":"</w:instrText>
      </w:r>
      <w:r w:rsidR="007562CB" w:rsidRPr="00062B4F">
        <w:rPr>
          <w:szCs w:val="24"/>
          <w:lang w:val="en-US" w:eastAsia="ru-RU"/>
        </w:rPr>
        <w:instrText>Barbara</w:instrText>
      </w:r>
      <w:r w:rsidR="007562CB" w:rsidRPr="00062B4F">
        <w:rPr>
          <w:szCs w:val="24"/>
          <w:lang w:eastAsia="ru-RU"/>
        </w:rPr>
        <w:instrText>","</w:instrText>
      </w:r>
      <w:r w:rsidR="007562CB" w:rsidRPr="00062B4F">
        <w:rPr>
          <w:szCs w:val="24"/>
          <w:lang w:val="en-US" w:eastAsia="ru-RU"/>
        </w:rPr>
        <w:instrText>non</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parse</w:instrText>
      </w:r>
      <w:r w:rsidR="007562CB" w:rsidRPr="00062B4F">
        <w:rPr>
          <w:szCs w:val="24"/>
          <w:lang w:eastAsia="ru-RU"/>
        </w:rPr>
        <w:instrText>-</w:instrText>
      </w:r>
      <w:r w:rsidR="007562CB" w:rsidRPr="00062B4F">
        <w:rPr>
          <w:szCs w:val="24"/>
          <w:lang w:val="en-US" w:eastAsia="ru-RU"/>
        </w:rPr>
        <w:instrText>names</w:instrText>
      </w:r>
      <w:r w:rsidR="007562CB" w:rsidRPr="00062B4F">
        <w:rPr>
          <w:szCs w:val="24"/>
          <w:lang w:eastAsia="ru-RU"/>
        </w:rPr>
        <w:instrText>":</w:instrText>
      </w:r>
      <w:r w:rsidR="007562CB" w:rsidRPr="00062B4F">
        <w:rPr>
          <w:szCs w:val="24"/>
          <w:lang w:val="en-US" w:eastAsia="ru-RU"/>
        </w:rPr>
        <w:instrText>false</w:instrText>
      </w:r>
      <w:r w:rsidR="007562CB" w:rsidRPr="00062B4F">
        <w:rPr>
          <w:szCs w:val="24"/>
          <w:lang w:eastAsia="ru-RU"/>
        </w:rPr>
        <w:instrText>,"</w:instrText>
      </w:r>
      <w:r w:rsidR="007562CB" w:rsidRPr="00062B4F">
        <w:rPr>
          <w:szCs w:val="24"/>
          <w:lang w:val="en-US" w:eastAsia="ru-RU"/>
        </w:rPr>
        <w:instrText>suffix</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family</w:instrText>
      </w:r>
      <w:r w:rsidR="007562CB" w:rsidRPr="00062B4F">
        <w:rPr>
          <w:szCs w:val="24"/>
          <w:lang w:eastAsia="ru-RU"/>
        </w:rPr>
        <w:instrText>":"</w:instrText>
      </w:r>
      <w:r w:rsidR="007562CB" w:rsidRPr="00062B4F">
        <w:rPr>
          <w:szCs w:val="24"/>
          <w:lang w:val="en-US" w:eastAsia="ru-RU"/>
        </w:rPr>
        <w:instrText>Pazzano</w:instrText>
      </w:r>
      <w:r w:rsidR="007562CB" w:rsidRPr="00062B4F">
        <w:rPr>
          <w:szCs w:val="24"/>
          <w:lang w:eastAsia="ru-RU"/>
        </w:rPr>
        <w:instrText>","</w:instrText>
      </w:r>
      <w:r w:rsidR="007562CB" w:rsidRPr="00062B4F">
        <w:rPr>
          <w:szCs w:val="24"/>
          <w:lang w:val="en-US" w:eastAsia="ru-RU"/>
        </w:rPr>
        <w:instrText>given</w:instrText>
      </w:r>
      <w:r w:rsidR="007562CB" w:rsidRPr="00062B4F">
        <w:rPr>
          <w:szCs w:val="24"/>
          <w:lang w:eastAsia="ru-RU"/>
        </w:rPr>
        <w:instrText>":"</w:instrText>
      </w:r>
      <w:r w:rsidR="007562CB" w:rsidRPr="00062B4F">
        <w:rPr>
          <w:szCs w:val="24"/>
          <w:lang w:val="en-US" w:eastAsia="ru-RU"/>
        </w:rPr>
        <w:instrText>Anna</w:instrText>
      </w:r>
      <w:r w:rsidR="007562CB" w:rsidRPr="00062B4F">
        <w:rPr>
          <w:szCs w:val="24"/>
          <w:lang w:eastAsia="ru-RU"/>
        </w:rPr>
        <w:instrText xml:space="preserve"> </w:instrText>
      </w:r>
      <w:r w:rsidR="007562CB" w:rsidRPr="00062B4F">
        <w:rPr>
          <w:szCs w:val="24"/>
          <w:lang w:val="en-US" w:eastAsia="ru-RU"/>
        </w:rPr>
        <w:instrText>S</w:instrText>
      </w:r>
      <w:r w:rsidR="007562CB" w:rsidRPr="00062B4F">
        <w:rPr>
          <w:szCs w:val="24"/>
          <w:lang w:eastAsia="ru-RU"/>
        </w:rPr>
        <w:instrText>.","</w:instrText>
      </w:r>
      <w:r w:rsidR="007562CB" w:rsidRPr="00062B4F">
        <w:rPr>
          <w:szCs w:val="24"/>
          <w:lang w:val="en-US" w:eastAsia="ru-RU"/>
        </w:rPr>
        <w:instrText>non</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parse</w:instrText>
      </w:r>
      <w:r w:rsidR="007562CB" w:rsidRPr="00062B4F">
        <w:rPr>
          <w:szCs w:val="24"/>
          <w:lang w:eastAsia="ru-RU"/>
        </w:rPr>
        <w:instrText>-</w:instrText>
      </w:r>
      <w:r w:rsidR="007562CB" w:rsidRPr="00062B4F">
        <w:rPr>
          <w:szCs w:val="24"/>
          <w:lang w:val="en-US" w:eastAsia="ru-RU"/>
        </w:rPr>
        <w:instrText>names</w:instrText>
      </w:r>
      <w:r w:rsidR="007562CB" w:rsidRPr="00062B4F">
        <w:rPr>
          <w:szCs w:val="24"/>
          <w:lang w:eastAsia="ru-RU"/>
        </w:rPr>
        <w:instrText>":</w:instrText>
      </w:r>
      <w:r w:rsidR="007562CB" w:rsidRPr="00062B4F">
        <w:rPr>
          <w:szCs w:val="24"/>
          <w:lang w:val="en-US" w:eastAsia="ru-RU"/>
        </w:rPr>
        <w:instrText>false</w:instrText>
      </w:r>
      <w:r w:rsidR="007562CB" w:rsidRPr="00062B4F">
        <w:rPr>
          <w:szCs w:val="24"/>
          <w:lang w:eastAsia="ru-RU"/>
        </w:rPr>
        <w:instrText>,"</w:instrText>
      </w:r>
      <w:r w:rsidR="007562CB" w:rsidRPr="00062B4F">
        <w:rPr>
          <w:szCs w:val="24"/>
          <w:lang w:val="en-US" w:eastAsia="ru-RU"/>
        </w:rPr>
        <w:instrText>suffix</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family</w:instrText>
      </w:r>
      <w:r w:rsidR="007562CB" w:rsidRPr="00062B4F">
        <w:rPr>
          <w:szCs w:val="24"/>
          <w:lang w:eastAsia="ru-RU"/>
        </w:rPr>
        <w:instrText>":"</w:instrText>
      </w:r>
      <w:r w:rsidR="007562CB" w:rsidRPr="00062B4F">
        <w:rPr>
          <w:szCs w:val="24"/>
          <w:lang w:val="en-US" w:eastAsia="ru-RU"/>
        </w:rPr>
        <w:instrText>Ghio</w:instrText>
      </w:r>
      <w:r w:rsidR="007562CB" w:rsidRPr="00062B4F">
        <w:rPr>
          <w:szCs w:val="24"/>
          <w:lang w:eastAsia="ru-RU"/>
        </w:rPr>
        <w:instrText>","</w:instrText>
      </w:r>
      <w:r w:rsidR="007562CB" w:rsidRPr="00062B4F">
        <w:rPr>
          <w:szCs w:val="24"/>
          <w:lang w:val="en-US" w:eastAsia="ru-RU"/>
        </w:rPr>
        <w:instrText>given</w:instrText>
      </w:r>
      <w:r w:rsidR="007562CB" w:rsidRPr="00062B4F">
        <w:rPr>
          <w:szCs w:val="24"/>
          <w:lang w:eastAsia="ru-RU"/>
        </w:rPr>
        <w:instrText>":"</w:instrText>
      </w:r>
      <w:r w:rsidR="007562CB" w:rsidRPr="00062B4F">
        <w:rPr>
          <w:szCs w:val="24"/>
          <w:lang w:val="en-US" w:eastAsia="ru-RU"/>
        </w:rPr>
        <w:instrText>Stefano</w:instrText>
      </w:r>
      <w:r w:rsidR="007562CB" w:rsidRPr="00062B4F">
        <w:rPr>
          <w:szCs w:val="24"/>
          <w:lang w:eastAsia="ru-RU"/>
        </w:rPr>
        <w:instrText>","</w:instrText>
      </w:r>
      <w:r w:rsidR="007562CB" w:rsidRPr="00062B4F">
        <w:rPr>
          <w:szCs w:val="24"/>
          <w:lang w:val="en-US" w:eastAsia="ru-RU"/>
        </w:rPr>
        <w:instrText>non</w:instrText>
      </w:r>
      <w:r w:rsidR="007562CB" w:rsidRPr="00062B4F">
        <w:rPr>
          <w:szCs w:val="24"/>
          <w:lang w:eastAsia="ru-RU"/>
        </w:rPr>
        <w:instrText>-</w:instrText>
      </w:r>
      <w:r w:rsidR="007562CB" w:rsidRPr="00062B4F">
        <w:rPr>
          <w:szCs w:val="24"/>
          <w:lang w:val="en-US" w:eastAsia="ru-RU"/>
        </w:rPr>
        <w:instrText>dropping</w:instrText>
      </w:r>
      <w:r w:rsidR="007562CB" w:rsidRPr="00062B4F">
        <w:rPr>
          <w:szCs w:val="24"/>
          <w:lang w:eastAsia="ru-RU"/>
        </w:rPr>
        <w:instrText>-</w:instrText>
      </w:r>
      <w:r w:rsidR="007562CB" w:rsidRPr="00062B4F">
        <w:rPr>
          <w:szCs w:val="24"/>
          <w:lang w:val="en-US" w:eastAsia="ru-RU"/>
        </w:rPr>
        <w:instrText>particle</w:instrText>
      </w:r>
      <w:r w:rsidR="007562CB" w:rsidRPr="00062B4F">
        <w:rPr>
          <w:szCs w:val="24"/>
          <w:lang w:eastAsia="ru-RU"/>
        </w:rPr>
        <w:instrText>":"","</w:instrText>
      </w:r>
      <w:r w:rsidR="007562CB" w:rsidRPr="00062B4F">
        <w:rPr>
          <w:szCs w:val="24"/>
          <w:lang w:val="en-US" w:eastAsia="ru-RU"/>
        </w:rPr>
        <w:instrText>parse</w:instrText>
      </w:r>
      <w:r w:rsidR="007562CB" w:rsidRPr="00062B4F">
        <w:rPr>
          <w:szCs w:val="24"/>
          <w:lang w:eastAsia="ru-RU"/>
        </w:rPr>
        <w:instrText>-</w:instrText>
      </w:r>
      <w:r w:rsidR="007562CB" w:rsidRPr="00062B4F">
        <w:rPr>
          <w:szCs w:val="24"/>
          <w:lang w:val="en-US" w:eastAsia="ru-RU"/>
        </w:rPr>
        <w:instrText>names</w:instrText>
      </w:r>
      <w:r w:rsidR="007562CB" w:rsidRPr="00062B4F">
        <w:rPr>
          <w:szCs w:val="24"/>
          <w:lang w:eastAsia="ru-RU"/>
        </w:rPr>
        <w:instrText>":</w:instrText>
      </w:r>
      <w:r w:rsidR="007562CB" w:rsidRPr="00062B4F">
        <w:rPr>
          <w:szCs w:val="24"/>
          <w:lang w:val="en-US" w:eastAsia="ru-RU"/>
        </w:rPr>
        <w:instrText>false</w:instrText>
      </w:r>
      <w:r w:rsidR="007562CB" w:rsidRPr="00062B4F">
        <w:rPr>
          <w:szCs w:val="24"/>
          <w:lang w:eastAsia="ru-RU"/>
        </w:rPr>
        <w:instrText>,"</w:instrText>
      </w:r>
      <w:r w:rsidR="007562CB" w:rsidRPr="00062B4F">
        <w:rPr>
          <w:szCs w:val="24"/>
          <w:lang w:val="en-US" w:eastAsia="ru-RU"/>
        </w:rPr>
        <w:instrText>suffix</w:instrText>
      </w:r>
      <w:r w:rsidR="007562CB" w:rsidRPr="00062B4F">
        <w:rPr>
          <w:szCs w:val="24"/>
          <w:lang w:eastAsia="ru-RU"/>
        </w:rPr>
        <w:instrText>":""}],"</w:instrText>
      </w:r>
      <w:r w:rsidR="007562CB" w:rsidRPr="00062B4F">
        <w:rPr>
          <w:szCs w:val="24"/>
          <w:lang w:val="en-US" w:eastAsia="ru-RU"/>
        </w:rPr>
        <w:instrText>container</w:instrText>
      </w:r>
      <w:r w:rsidR="007562CB" w:rsidRPr="00062B4F">
        <w:rPr>
          <w:szCs w:val="24"/>
          <w:lang w:eastAsia="ru-RU"/>
        </w:rPr>
        <w:instrText>-</w:instrText>
      </w:r>
      <w:r w:rsidR="007562CB" w:rsidRPr="00062B4F">
        <w:rPr>
          <w:szCs w:val="24"/>
          <w:lang w:val="en-US" w:eastAsia="ru-RU"/>
        </w:rPr>
        <w:instrText>title</w:instrText>
      </w:r>
      <w:r w:rsidR="007562CB" w:rsidRPr="00062B4F">
        <w:rPr>
          <w:szCs w:val="24"/>
          <w:lang w:eastAsia="ru-RU"/>
        </w:rPr>
        <w:instrText>":"</w:instrText>
      </w:r>
      <w:r w:rsidR="007562CB" w:rsidRPr="00062B4F">
        <w:rPr>
          <w:szCs w:val="24"/>
          <w:lang w:val="en-US" w:eastAsia="ru-RU"/>
        </w:rPr>
        <w:instrText>Leukemia</w:instrText>
      </w:r>
      <w:r w:rsidR="007562CB" w:rsidRPr="00062B4F">
        <w:rPr>
          <w:szCs w:val="24"/>
          <w:lang w:eastAsia="ru-RU"/>
        </w:rPr>
        <w:instrText xml:space="preserve"> </w:instrText>
      </w:r>
      <w:r w:rsidR="007562CB" w:rsidRPr="00062B4F">
        <w:rPr>
          <w:szCs w:val="24"/>
          <w:lang w:val="en-US" w:eastAsia="ru-RU"/>
        </w:rPr>
        <w:instrText>Research</w:instrText>
      </w:r>
      <w:r w:rsidR="007562CB" w:rsidRPr="00062B4F">
        <w:rPr>
          <w:szCs w:val="24"/>
          <w:lang w:eastAsia="ru-RU"/>
        </w:rPr>
        <w:instrText>","</w:instrText>
      </w:r>
      <w:r w:rsidR="007562CB" w:rsidRPr="00062B4F">
        <w:rPr>
          <w:szCs w:val="24"/>
          <w:lang w:val="en-US" w:eastAsia="ru-RU"/>
        </w:rPr>
        <w:instrText>id</w:instrText>
      </w:r>
      <w:r w:rsidR="007562CB" w:rsidRPr="00062B4F">
        <w:rPr>
          <w:szCs w:val="24"/>
          <w:lang w:eastAsia="ru-RU"/>
        </w:rPr>
        <w:instrText>":"</w:instrText>
      </w:r>
      <w:r w:rsidR="007562CB" w:rsidRPr="00062B4F">
        <w:rPr>
          <w:szCs w:val="24"/>
          <w:lang w:val="en-US" w:eastAsia="ru-RU"/>
        </w:rPr>
        <w:instrText>ITEM</w:instrText>
      </w:r>
      <w:r w:rsidR="007562CB" w:rsidRPr="00062B4F">
        <w:rPr>
          <w:szCs w:val="24"/>
          <w:lang w:eastAsia="ru-RU"/>
        </w:rPr>
        <w:instrText>-2","</w:instrText>
      </w:r>
      <w:r w:rsidR="007562CB" w:rsidRPr="00062B4F">
        <w:rPr>
          <w:szCs w:val="24"/>
          <w:lang w:val="en-US" w:eastAsia="ru-RU"/>
        </w:rPr>
        <w:instrText>issue</w:instrText>
      </w:r>
      <w:r w:rsidR="007562CB" w:rsidRPr="00062B4F">
        <w:rPr>
          <w:szCs w:val="24"/>
          <w:lang w:eastAsia="ru-RU"/>
        </w:rPr>
        <w:instrText>":"1","</w:instrText>
      </w:r>
      <w:r w:rsidR="007562CB" w:rsidRPr="00062B4F">
        <w:rPr>
          <w:szCs w:val="24"/>
          <w:lang w:val="en-US" w:eastAsia="ru-RU"/>
        </w:rPr>
        <w:instrText>issued</w:instrText>
      </w:r>
      <w:r w:rsidR="007562CB" w:rsidRPr="00062B4F">
        <w:rPr>
          <w:szCs w:val="24"/>
          <w:lang w:eastAsia="ru-RU"/>
        </w:rPr>
        <w:instrText>":{"</w:instrText>
      </w:r>
      <w:r w:rsidR="007562CB" w:rsidRPr="00062B4F">
        <w:rPr>
          <w:szCs w:val="24"/>
          <w:lang w:val="en-US" w:eastAsia="ru-RU"/>
        </w:rPr>
        <w:instrText>date</w:instrText>
      </w:r>
      <w:r w:rsidR="007562CB" w:rsidRPr="00062B4F">
        <w:rPr>
          <w:szCs w:val="24"/>
          <w:lang w:eastAsia="ru-RU"/>
        </w:rPr>
        <w:instrText>-</w:instrText>
      </w:r>
      <w:r w:rsidR="007562CB" w:rsidRPr="00062B4F">
        <w:rPr>
          <w:szCs w:val="24"/>
          <w:lang w:val="en-US" w:eastAsia="ru-RU"/>
        </w:rPr>
        <w:instrText>parts</w:instrText>
      </w:r>
      <w:r w:rsidR="007562CB" w:rsidRPr="00062B4F">
        <w:rPr>
          <w:szCs w:val="24"/>
          <w:lang w:eastAsia="ru-RU"/>
        </w:rPr>
        <w:instrText>":[["2012","1"]]},"</w:instrText>
      </w:r>
      <w:r w:rsidR="007562CB" w:rsidRPr="00062B4F">
        <w:rPr>
          <w:szCs w:val="24"/>
          <w:lang w:val="en-US" w:eastAsia="ru-RU"/>
        </w:rPr>
        <w:instrText>title</w:instrText>
      </w:r>
      <w:r w:rsidR="007562CB" w:rsidRPr="00062B4F">
        <w:rPr>
          <w:szCs w:val="24"/>
          <w:lang w:eastAsia="ru-RU"/>
        </w:rPr>
        <w:instrText>":"</w:instrText>
      </w:r>
      <w:r w:rsidR="007562CB" w:rsidRPr="00062B4F">
        <w:rPr>
          <w:szCs w:val="24"/>
          <w:lang w:val="en-US" w:eastAsia="ru-RU"/>
        </w:rPr>
        <w:instrText>Reversible</w:instrText>
      </w:r>
      <w:r w:rsidR="007562CB" w:rsidRPr="00062B4F">
        <w:rPr>
          <w:szCs w:val="24"/>
          <w:lang w:eastAsia="ru-RU"/>
        </w:rPr>
        <w:instrText xml:space="preserve"> </w:instrText>
      </w:r>
      <w:r w:rsidR="007562CB" w:rsidRPr="00062B4F">
        <w:rPr>
          <w:szCs w:val="24"/>
          <w:lang w:val="en-US" w:eastAsia="ru-RU"/>
        </w:rPr>
        <w:instrText>pulmonary</w:instrText>
      </w:r>
      <w:r w:rsidR="007562CB" w:rsidRPr="00062B4F">
        <w:rPr>
          <w:szCs w:val="24"/>
          <w:lang w:eastAsia="ru-RU"/>
        </w:rPr>
        <w:instrText xml:space="preserve"> </w:instrText>
      </w:r>
      <w:r w:rsidR="007562CB" w:rsidRPr="00062B4F">
        <w:rPr>
          <w:szCs w:val="24"/>
          <w:lang w:val="en-US" w:eastAsia="ru-RU"/>
        </w:rPr>
        <w:instrText>arterial</w:instrText>
      </w:r>
      <w:r w:rsidR="007562CB" w:rsidRPr="00062B4F">
        <w:rPr>
          <w:szCs w:val="24"/>
          <w:lang w:eastAsia="ru-RU"/>
        </w:rPr>
        <w:instrText xml:space="preserve"> </w:instrText>
      </w:r>
      <w:r w:rsidR="007562CB" w:rsidRPr="00062B4F">
        <w:rPr>
          <w:szCs w:val="24"/>
          <w:lang w:val="en-US" w:eastAsia="ru-RU"/>
        </w:rPr>
        <w:instrText>hypertension</w:instrText>
      </w:r>
      <w:r w:rsidR="007562CB" w:rsidRPr="00062B4F">
        <w:rPr>
          <w:szCs w:val="24"/>
          <w:lang w:eastAsia="ru-RU"/>
        </w:rPr>
        <w:instrText xml:space="preserve"> </w:instrText>
      </w:r>
      <w:r w:rsidR="007562CB" w:rsidRPr="00062B4F">
        <w:rPr>
          <w:szCs w:val="24"/>
          <w:lang w:val="en-US" w:eastAsia="ru-RU"/>
        </w:rPr>
        <w:instrText>likely</w:instrText>
      </w:r>
      <w:r w:rsidR="007562CB" w:rsidRPr="00062B4F">
        <w:rPr>
          <w:szCs w:val="24"/>
          <w:lang w:eastAsia="ru-RU"/>
        </w:rPr>
        <w:instrText xml:space="preserve"> </w:instrText>
      </w:r>
      <w:r w:rsidR="007562CB" w:rsidRPr="00062B4F">
        <w:rPr>
          <w:szCs w:val="24"/>
          <w:lang w:val="en-US" w:eastAsia="ru-RU"/>
        </w:rPr>
        <w:instrText>related</w:instrText>
      </w:r>
      <w:r w:rsidR="007562CB" w:rsidRPr="00062B4F">
        <w:rPr>
          <w:szCs w:val="24"/>
          <w:lang w:eastAsia="ru-RU"/>
        </w:rPr>
        <w:instrText xml:space="preserve"> </w:instrText>
      </w:r>
      <w:r w:rsidR="007562CB" w:rsidRPr="00062B4F">
        <w:rPr>
          <w:szCs w:val="24"/>
          <w:lang w:val="en-US" w:eastAsia="ru-RU"/>
        </w:rPr>
        <w:instrText>to</w:instrText>
      </w:r>
      <w:r w:rsidR="007562CB" w:rsidRPr="00062B4F">
        <w:rPr>
          <w:szCs w:val="24"/>
          <w:lang w:eastAsia="ru-RU"/>
        </w:rPr>
        <w:instrText xml:space="preserve"> </w:instrText>
      </w:r>
      <w:r w:rsidR="007562CB" w:rsidRPr="00062B4F">
        <w:rPr>
          <w:szCs w:val="24"/>
          <w:lang w:val="en-US" w:eastAsia="ru-RU"/>
        </w:rPr>
        <w:instrText>long</w:instrText>
      </w:r>
      <w:r w:rsidR="007562CB" w:rsidRPr="00062B4F">
        <w:rPr>
          <w:szCs w:val="24"/>
          <w:lang w:eastAsia="ru-RU"/>
        </w:rPr>
        <w:instrText>-</w:instrText>
      </w:r>
      <w:r w:rsidR="007562CB" w:rsidRPr="00062B4F">
        <w:rPr>
          <w:szCs w:val="24"/>
          <w:lang w:val="en-US" w:eastAsia="ru-RU"/>
        </w:rPr>
        <w:instrText>term</w:instrText>
      </w:r>
      <w:r w:rsidR="007562CB" w:rsidRPr="00062B4F">
        <w:rPr>
          <w:szCs w:val="24"/>
          <w:lang w:eastAsia="ru-RU"/>
        </w:rPr>
        <w:instrText xml:space="preserve">, </w:instrText>
      </w:r>
      <w:r w:rsidR="007562CB" w:rsidRPr="00062B4F">
        <w:rPr>
          <w:szCs w:val="24"/>
          <w:lang w:val="en-US" w:eastAsia="ru-RU"/>
        </w:rPr>
        <w:instrText>low</w:instrText>
      </w:r>
      <w:r w:rsidR="007562CB" w:rsidRPr="00062B4F">
        <w:rPr>
          <w:szCs w:val="24"/>
          <w:lang w:eastAsia="ru-RU"/>
        </w:rPr>
        <w:instrText>-</w:instrText>
      </w:r>
      <w:r w:rsidR="007562CB" w:rsidRPr="00062B4F">
        <w:rPr>
          <w:szCs w:val="24"/>
          <w:lang w:val="en-US" w:eastAsia="ru-RU"/>
        </w:rPr>
        <w:instrText>dose</w:instrText>
      </w:r>
      <w:r w:rsidR="007562CB" w:rsidRPr="00062B4F">
        <w:rPr>
          <w:szCs w:val="24"/>
          <w:lang w:eastAsia="ru-RU"/>
        </w:rPr>
        <w:instrText xml:space="preserve"> </w:instrText>
      </w:r>
      <w:r w:rsidR="007562CB" w:rsidRPr="00062B4F">
        <w:rPr>
          <w:szCs w:val="24"/>
          <w:lang w:val="en-US" w:eastAsia="ru-RU"/>
        </w:rPr>
        <w:instrText>dasatinib</w:instrText>
      </w:r>
      <w:r w:rsidR="007562CB" w:rsidRPr="00062B4F">
        <w:rPr>
          <w:szCs w:val="24"/>
          <w:lang w:eastAsia="ru-RU"/>
        </w:rPr>
        <w:instrText xml:space="preserve"> </w:instrText>
      </w:r>
      <w:r w:rsidR="007562CB" w:rsidRPr="00062B4F">
        <w:rPr>
          <w:szCs w:val="24"/>
          <w:lang w:val="en-US" w:eastAsia="ru-RU"/>
        </w:rPr>
        <w:instrText>treatment</w:instrText>
      </w:r>
      <w:r w:rsidR="007562CB" w:rsidRPr="00062B4F">
        <w:rPr>
          <w:szCs w:val="24"/>
          <w:lang w:eastAsia="ru-RU"/>
        </w:rPr>
        <w:instrText xml:space="preserve"> </w:instrText>
      </w:r>
      <w:r w:rsidR="007562CB" w:rsidRPr="00062B4F">
        <w:rPr>
          <w:szCs w:val="24"/>
          <w:lang w:val="en-US" w:eastAsia="ru-RU"/>
        </w:rPr>
        <w:instrText>for</w:instrText>
      </w:r>
      <w:r w:rsidR="007562CB" w:rsidRPr="00062B4F">
        <w:rPr>
          <w:szCs w:val="24"/>
          <w:lang w:eastAsia="ru-RU"/>
        </w:rPr>
        <w:instrText xml:space="preserve"> </w:instrText>
      </w:r>
      <w:r w:rsidR="007562CB" w:rsidRPr="00062B4F">
        <w:rPr>
          <w:szCs w:val="24"/>
          <w:lang w:val="en-US" w:eastAsia="ru-RU"/>
        </w:rPr>
        <w:instrText>chronic</w:instrText>
      </w:r>
      <w:r w:rsidR="007562CB" w:rsidRPr="00062B4F">
        <w:rPr>
          <w:szCs w:val="24"/>
          <w:lang w:eastAsia="ru-RU"/>
        </w:rPr>
        <w:instrText xml:space="preserve"> </w:instrText>
      </w:r>
      <w:r w:rsidR="007562CB" w:rsidRPr="00062B4F">
        <w:rPr>
          <w:szCs w:val="24"/>
          <w:lang w:val="en-US" w:eastAsia="ru-RU"/>
        </w:rPr>
        <w:instrText>myeloid</w:instrText>
      </w:r>
      <w:r w:rsidR="007562CB" w:rsidRPr="00062B4F">
        <w:rPr>
          <w:szCs w:val="24"/>
          <w:lang w:eastAsia="ru-RU"/>
        </w:rPr>
        <w:instrText xml:space="preserve"> </w:instrText>
      </w:r>
      <w:r w:rsidR="007562CB" w:rsidRPr="00062B4F">
        <w:rPr>
          <w:szCs w:val="24"/>
          <w:lang w:val="en-US" w:eastAsia="ru-RU"/>
        </w:rPr>
        <w:instrText>leukaemia</w:instrText>
      </w:r>
      <w:r w:rsidR="007562CB" w:rsidRPr="00062B4F">
        <w:rPr>
          <w:szCs w:val="24"/>
          <w:lang w:eastAsia="ru-RU"/>
        </w:rPr>
        <w:instrText>","</w:instrText>
      </w:r>
      <w:r w:rsidR="007562CB" w:rsidRPr="00062B4F">
        <w:rPr>
          <w:szCs w:val="24"/>
          <w:lang w:val="en-US" w:eastAsia="ru-RU"/>
        </w:rPr>
        <w:instrText>type</w:instrText>
      </w:r>
      <w:r w:rsidR="007562CB" w:rsidRPr="00062B4F">
        <w:rPr>
          <w:szCs w:val="24"/>
          <w:lang w:eastAsia="ru-RU"/>
        </w:rPr>
        <w:instrText>":"</w:instrText>
      </w:r>
      <w:r w:rsidR="007562CB" w:rsidRPr="00062B4F">
        <w:rPr>
          <w:szCs w:val="24"/>
          <w:lang w:val="en-US" w:eastAsia="ru-RU"/>
        </w:rPr>
        <w:instrText>article</w:instrText>
      </w:r>
      <w:r w:rsidR="007562CB" w:rsidRPr="00062B4F">
        <w:rPr>
          <w:szCs w:val="24"/>
          <w:lang w:eastAsia="ru-RU"/>
        </w:rPr>
        <w:instrText>","</w:instrText>
      </w:r>
      <w:r w:rsidR="007562CB" w:rsidRPr="00062B4F">
        <w:rPr>
          <w:szCs w:val="24"/>
          <w:lang w:val="en-US" w:eastAsia="ru-RU"/>
        </w:rPr>
        <w:instrText>volume</w:instrText>
      </w:r>
      <w:r w:rsidR="007562CB" w:rsidRPr="00062B4F">
        <w:rPr>
          <w:szCs w:val="24"/>
          <w:lang w:eastAsia="ru-RU"/>
        </w:rPr>
        <w:instrText>":"36"},"</w:instrText>
      </w:r>
      <w:r w:rsidR="007562CB" w:rsidRPr="00062B4F">
        <w:rPr>
          <w:szCs w:val="24"/>
          <w:lang w:val="en-US" w:eastAsia="ru-RU"/>
        </w:rPr>
        <w:instrText>uris</w:instrText>
      </w:r>
      <w:r w:rsidR="007562CB" w:rsidRPr="00062B4F">
        <w:rPr>
          <w:szCs w:val="24"/>
          <w:lang w:eastAsia="ru-RU"/>
        </w:rPr>
        <w:instrText>":["</w:instrText>
      </w:r>
      <w:r w:rsidR="007562CB" w:rsidRPr="00062B4F">
        <w:rPr>
          <w:szCs w:val="24"/>
          <w:lang w:val="en-US" w:eastAsia="ru-RU"/>
        </w:rPr>
        <w:instrText>http</w:instrText>
      </w:r>
      <w:r w:rsidR="007562CB" w:rsidRPr="00062B4F">
        <w:rPr>
          <w:szCs w:val="24"/>
          <w:lang w:eastAsia="ru-RU"/>
        </w:rPr>
        <w:instrText>://</w:instrText>
      </w:r>
      <w:r w:rsidR="007562CB" w:rsidRPr="00062B4F">
        <w:rPr>
          <w:szCs w:val="24"/>
          <w:lang w:val="en-US" w:eastAsia="ru-RU"/>
        </w:rPr>
        <w:instrText>www</w:instrText>
      </w:r>
      <w:r w:rsidR="007562CB" w:rsidRPr="00062B4F">
        <w:rPr>
          <w:szCs w:val="24"/>
          <w:lang w:eastAsia="ru-RU"/>
        </w:rPr>
        <w:instrText>.</w:instrText>
      </w:r>
      <w:r w:rsidR="007562CB" w:rsidRPr="00062B4F">
        <w:rPr>
          <w:szCs w:val="24"/>
          <w:lang w:val="en-US" w:eastAsia="ru-RU"/>
        </w:rPr>
        <w:instrText>mendeley</w:instrText>
      </w:r>
      <w:r w:rsidR="007562CB" w:rsidRPr="00062B4F">
        <w:rPr>
          <w:szCs w:val="24"/>
          <w:lang w:eastAsia="ru-RU"/>
        </w:rPr>
        <w:instrText>.</w:instrText>
      </w:r>
      <w:r w:rsidR="007562CB" w:rsidRPr="00062B4F">
        <w:rPr>
          <w:szCs w:val="24"/>
          <w:lang w:val="en-US" w:eastAsia="ru-RU"/>
        </w:rPr>
        <w:instrText>com</w:instrText>
      </w:r>
      <w:r w:rsidR="007562CB" w:rsidRPr="00062B4F">
        <w:rPr>
          <w:szCs w:val="24"/>
          <w:lang w:eastAsia="ru-RU"/>
        </w:rPr>
        <w:instrText>/</w:instrText>
      </w:r>
      <w:r w:rsidR="007562CB" w:rsidRPr="00062B4F">
        <w:rPr>
          <w:szCs w:val="24"/>
          <w:lang w:val="en-US" w:eastAsia="ru-RU"/>
        </w:rPr>
        <w:instrText>documents</w:instrText>
      </w:r>
      <w:r w:rsidR="007562CB" w:rsidRPr="00062B4F">
        <w:rPr>
          <w:szCs w:val="24"/>
          <w:lang w:eastAsia="ru-RU"/>
        </w:rPr>
        <w:instrText>/?</w:instrText>
      </w:r>
      <w:r w:rsidR="007562CB" w:rsidRPr="00062B4F">
        <w:rPr>
          <w:szCs w:val="24"/>
          <w:lang w:val="en-US" w:eastAsia="ru-RU"/>
        </w:rPr>
        <w:instrText>uuid</w:instrText>
      </w:r>
      <w:r w:rsidR="007562CB" w:rsidRPr="00062B4F">
        <w:rPr>
          <w:szCs w:val="24"/>
          <w:lang w:eastAsia="ru-RU"/>
        </w:rPr>
        <w:instrText>=306496</w:instrText>
      </w:r>
      <w:r w:rsidR="007562CB" w:rsidRPr="00062B4F">
        <w:rPr>
          <w:szCs w:val="24"/>
          <w:lang w:val="en-US" w:eastAsia="ru-RU"/>
        </w:rPr>
        <w:instrText>b</w:instrText>
      </w:r>
      <w:r w:rsidR="007562CB" w:rsidRPr="00062B4F">
        <w:rPr>
          <w:szCs w:val="24"/>
          <w:lang w:eastAsia="ru-RU"/>
        </w:rPr>
        <w:instrText>8-7103-33</w:instrText>
      </w:r>
      <w:r w:rsidR="007562CB" w:rsidRPr="00062B4F">
        <w:rPr>
          <w:szCs w:val="24"/>
          <w:lang w:val="en-US" w:eastAsia="ru-RU"/>
        </w:rPr>
        <w:instrText>ed</w:instrText>
      </w:r>
      <w:r w:rsidR="007562CB" w:rsidRPr="00062B4F">
        <w:rPr>
          <w:szCs w:val="24"/>
          <w:lang w:eastAsia="ru-RU"/>
        </w:rPr>
        <w:instrText>-</w:instrText>
      </w:r>
      <w:r w:rsidR="007562CB" w:rsidRPr="00062B4F">
        <w:rPr>
          <w:szCs w:val="24"/>
          <w:lang w:val="en-US" w:eastAsia="ru-RU"/>
        </w:rPr>
        <w:instrText>a</w:instrText>
      </w:r>
      <w:r w:rsidR="007562CB" w:rsidRPr="00062B4F">
        <w:rPr>
          <w:szCs w:val="24"/>
          <w:lang w:eastAsia="ru-RU"/>
        </w:rPr>
        <w:instrText>813-89</w:instrText>
      </w:r>
      <w:r w:rsidR="007562CB" w:rsidRPr="00062B4F">
        <w:rPr>
          <w:szCs w:val="24"/>
          <w:lang w:val="en-US" w:eastAsia="ru-RU"/>
        </w:rPr>
        <w:instrText>bbdfcb</w:instrText>
      </w:r>
      <w:r w:rsidR="007562CB" w:rsidRPr="00062B4F">
        <w:rPr>
          <w:szCs w:val="24"/>
          <w:lang w:eastAsia="ru-RU"/>
        </w:rPr>
        <w:instrText>0</w:instrText>
      </w:r>
      <w:r w:rsidR="007562CB" w:rsidRPr="00062B4F">
        <w:rPr>
          <w:szCs w:val="24"/>
          <w:lang w:val="en-US" w:eastAsia="ru-RU"/>
        </w:rPr>
        <w:instrText>e</w:instrText>
      </w:r>
      <w:r w:rsidR="007562CB" w:rsidRPr="00062B4F">
        <w:rPr>
          <w:szCs w:val="24"/>
          <w:lang w:eastAsia="ru-RU"/>
        </w:rPr>
        <w:instrText>5</w:instrText>
      </w:r>
      <w:r w:rsidR="007562CB" w:rsidRPr="00062B4F">
        <w:rPr>
          <w:szCs w:val="24"/>
          <w:lang w:val="en-US" w:eastAsia="ru-RU"/>
        </w:rPr>
        <w:instrText>b</w:instrText>
      </w:r>
      <w:r w:rsidR="007562CB" w:rsidRPr="00062B4F">
        <w:rPr>
          <w:szCs w:val="24"/>
          <w:lang w:eastAsia="ru-RU"/>
        </w:rPr>
        <w:instrText>"]}],"</w:instrText>
      </w:r>
      <w:r w:rsidR="007562CB" w:rsidRPr="00062B4F">
        <w:rPr>
          <w:szCs w:val="24"/>
          <w:lang w:val="en-US" w:eastAsia="ru-RU"/>
        </w:rPr>
        <w:instrText>mendeley</w:instrText>
      </w:r>
      <w:r w:rsidR="007562CB" w:rsidRPr="00062B4F">
        <w:rPr>
          <w:szCs w:val="24"/>
          <w:lang w:eastAsia="ru-RU"/>
        </w:rPr>
        <w:instrText>":{"</w:instrText>
      </w:r>
      <w:r w:rsidR="007562CB" w:rsidRPr="00062B4F">
        <w:rPr>
          <w:szCs w:val="24"/>
          <w:lang w:val="en-US" w:eastAsia="ru-RU"/>
        </w:rPr>
        <w:instrText>formattedCitation</w:instrText>
      </w:r>
      <w:r w:rsidR="007562CB" w:rsidRPr="00062B4F">
        <w:rPr>
          <w:szCs w:val="24"/>
          <w:lang w:eastAsia="ru-RU"/>
        </w:rPr>
        <w:instrText>":"[30,40]","</w:instrText>
      </w:r>
      <w:r w:rsidR="007562CB" w:rsidRPr="00062B4F">
        <w:rPr>
          <w:szCs w:val="24"/>
          <w:lang w:val="en-US" w:eastAsia="ru-RU"/>
        </w:rPr>
        <w:instrText>plainTextFormattedCitation</w:instrText>
      </w:r>
      <w:r w:rsidR="007562CB" w:rsidRPr="00062B4F">
        <w:rPr>
          <w:szCs w:val="24"/>
          <w:lang w:eastAsia="ru-RU"/>
        </w:rPr>
        <w:instrText>":"[30,40]","</w:instrText>
      </w:r>
      <w:r w:rsidR="007562CB" w:rsidRPr="00062B4F">
        <w:rPr>
          <w:szCs w:val="24"/>
          <w:lang w:val="en-US" w:eastAsia="ru-RU"/>
        </w:rPr>
        <w:instrText>previouslyFormattedCitation</w:instrText>
      </w:r>
      <w:r w:rsidR="007562CB" w:rsidRPr="00062B4F">
        <w:rPr>
          <w:szCs w:val="24"/>
          <w:lang w:eastAsia="ru-RU"/>
        </w:rPr>
        <w:instrText>":"[30,40]"},"</w:instrText>
      </w:r>
      <w:r w:rsidR="007562CB" w:rsidRPr="00062B4F">
        <w:rPr>
          <w:szCs w:val="24"/>
          <w:lang w:val="en-US" w:eastAsia="ru-RU"/>
        </w:rPr>
        <w:instrText>properties</w:instrText>
      </w:r>
      <w:r w:rsidR="007562CB" w:rsidRPr="00062B4F">
        <w:rPr>
          <w:szCs w:val="24"/>
          <w:lang w:eastAsia="ru-RU"/>
        </w:rPr>
        <w:instrText>":{"</w:instrText>
      </w:r>
      <w:r w:rsidR="007562CB" w:rsidRPr="00062B4F">
        <w:rPr>
          <w:szCs w:val="24"/>
          <w:lang w:val="en-US" w:eastAsia="ru-RU"/>
        </w:rPr>
        <w:instrText>noteIndex</w:instrText>
      </w:r>
      <w:r w:rsidR="007562CB" w:rsidRPr="00062B4F">
        <w:rPr>
          <w:szCs w:val="24"/>
          <w:lang w:eastAsia="ru-RU"/>
        </w:rPr>
        <w:instrText>":0},"</w:instrText>
      </w:r>
      <w:r w:rsidR="007562CB" w:rsidRPr="00062B4F">
        <w:rPr>
          <w:szCs w:val="24"/>
          <w:lang w:val="en-US" w:eastAsia="ru-RU"/>
        </w:rPr>
        <w:instrText>schema</w:instrText>
      </w:r>
      <w:r w:rsidR="007562CB" w:rsidRPr="00062B4F">
        <w:rPr>
          <w:szCs w:val="24"/>
          <w:lang w:eastAsia="ru-RU"/>
        </w:rPr>
        <w:instrText>":"</w:instrText>
      </w:r>
      <w:r w:rsidR="007562CB" w:rsidRPr="00062B4F">
        <w:rPr>
          <w:szCs w:val="24"/>
          <w:lang w:val="en-US" w:eastAsia="ru-RU"/>
        </w:rPr>
        <w:instrText>https</w:instrText>
      </w:r>
      <w:r w:rsidR="007562CB" w:rsidRPr="00062B4F">
        <w:rPr>
          <w:szCs w:val="24"/>
          <w:lang w:eastAsia="ru-RU"/>
        </w:rPr>
        <w:instrText>://</w:instrText>
      </w:r>
      <w:r w:rsidR="007562CB" w:rsidRPr="00062B4F">
        <w:rPr>
          <w:szCs w:val="24"/>
          <w:lang w:val="en-US" w:eastAsia="ru-RU"/>
        </w:rPr>
        <w:instrText>github</w:instrText>
      </w:r>
      <w:r w:rsidR="007562CB" w:rsidRPr="00062B4F">
        <w:rPr>
          <w:szCs w:val="24"/>
          <w:lang w:eastAsia="ru-RU"/>
        </w:rPr>
        <w:instrText>.</w:instrText>
      </w:r>
      <w:r w:rsidR="007562CB" w:rsidRPr="00062B4F">
        <w:rPr>
          <w:szCs w:val="24"/>
          <w:lang w:val="en-US" w:eastAsia="ru-RU"/>
        </w:rPr>
        <w:instrText>com</w:instrText>
      </w:r>
      <w:r w:rsidR="007562CB" w:rsidRPr="00062B4F">
        <w:rPr>
          <w:szCs w:val="24"/>
          <w:lang w:eastAsia="ru-RU"/>
        </w:rPr>
        <w:instrText>/</w:instrText>
      </w:r>
      <w:r w:rsidR="007562CB" w:rsidRPr="00062B4F">
        <w:rPr>
          <w:szCs w:val="24"/>
          <w:lang w:val="en-US" w:eastAsia="ru-RU"/>
        </w:rPr>
        <w:instrText>citation</w:instrText>
      </w:r>
      <w:r w:rsidR="007562CB" w:rsidRPr="00062B4F">
        <w:rPr>
          <w:szCs w:val="24"/>
          <w:lang w:eastAsia="ru-RU"/>
        </w:rPr>
        <w:instrText>-</w:instrText>
      </w:r>
      <w:r w:rsidR="007562CB" w:rsidRPr="00062B4F">
        <w:rPr>
          <w:szCs w:val="24"/>
          <w:lang w:val="en-US" w:eastAsia="ru-RU"/>
        </w:rPr>
        <w:instrText>style</w:instrText>
      </w:r>
      <w:r w:rsidR="007562CB" w:rsidRPr="00062B4F">
        <w:rPr>
          <w:szCs w:val="24"/>
          <w:lang w:eastAsia="ru-RU"/>
        </w:rPr>
        <w:instrText>-</w:instrText>
      </w:r>
      <w:r w:rsidR="007562CB" w:rsidRPr="00062B4F">
        <w:rPr>
          <w:szCs w:val="24"/>
          <w:lang w:val="en-US" w:eastAsia="ru-RU"/>
        </w:rPr>
        <w:instrText>language</w:instrText>
      </w:r>
      <w:r w:rsidR="007562CB" w:rsidRPr="00062B4F">
        <w:rPr>
          <w:szCs w:val="24"/>
          <w:lang w:eastAsia="ru-RU"/>
        </w:rPr>
        <w:instrText>/</w:instrText>
      </w:r>
      <w:r w:rsidR="007562CB" w:rsidRPr="00062B4F">
        <w:rPr>
          <w:szCs w:val="24"/>
          <w:lang w:val="en-US" w:eastAsia="ru-RU"/>
        </w:rPr>
        <w:instrText>schema</w:instrText>
      </w:r>
      <w:r w:rsidR="007562CB" w:rsidRPr="00062B4F">
        <w:rPr>
          <w:szCs w:val="24"/>
          <w:lang w:eastAsia="ru-RU"/>
        </w:rPr>
        <w:instrText>/</w:instrText>
      </w:r>
      <w:r w:rsidR="007562CB" w:rsidRPr="00062B4F">
        <w:rPr>
          <w:szCs w:val="24"/>
          <w:lang w:val="en-US" w:eastAsia="ru-RU"/>
        </w:rPr>
        <w:instrText>raw</w:instrText>
      </w:r>
      <w:r w:rsidR="007562CB" w:rsidRPr="00062B4F">
        <w:rPr>
          <w:szCs w:val="24"/>
          <w:lang w:eastAsia="ru-RU"/>
        </w:rPr>
        <w:instrText>/</w:instrText>
      </w:r>
      <w:r w:rsidR="007562CB" w:rsidRPr="00062B4F">
        <w:rPr>
          <w:szCs w:val="24"/>
          <w:lang w:val="en-US" w:eastAsia="ru-RU"/>
        </w:rPr>
        <w:instrText>master</w:instrText>
      </w:r>
      <w:r w:rsidR="007562CB" w:rsidRPr="00062B4F">
        <w:rPr>
          <w:szCs w:val="24"/>
          <w:lang w:eastAsia="ru-RU"/>
        </w:rPr>
        <w:instrText>/</w:instrText>
      </w:r>
      <w:r w:rsidR="007562CB" w:rsidRPr="00062B4F">
        <w:rPr>
          <w:szCs w:val="24"/>
          <w:lang w:val="en-US" w:eastAsia="ru-RU"/>
        </w:rPr>
        <w:instrText>csl</w:instrText>
      </w:r>
      <w:r w:rsidR="007562CB" w:rsidRPr="00062B4F">
        <w:rPr>
          <w:szCs w:val="24"/>
          <w:lang w:eastAsia="ru-RU"/>
        </w:rPr>
        <w:instrText>-</w:instrText>
      </w:r>
      <w:r w:rsidR="007562CB" w:rsidRPr="00062B4F">
        <w:rPr>
          <w:szCs w:val="24"/>
          <w:lang w:val="en-US" w:eastAsia="ru-RU"/>
        </w:rPr>
        <w:instrText>citation</w:instrText>
      </w:r>
      <w:r w:rsidR="007562CB" w:rsidRPr="00062B4F">
        <w:rPr>
          <w:szCs w:val="24"/>
          <w:lang w:eastAsia="ru-RU"/>
        </w:rPr>
        <w:instrText>.</w:instrText>
      </w:r>
      <w:r w:rsidR="007562CB" w:rsidRPr="00062B4F">
        <w:rPr>
          <w:szCs w:val="24"/>
          <w:lang w:val="en-US" w:eastAsia="ru-RU"/>
        </w:rPr>
        <w:instrText>json</w:instrText>
      </w:r>
      <w:r w:rsidR="007562CB" w:rsidRPr="00062B4F">
        <w:rPr>
          <w:szCs w:val="24"/>
          <w:lang w:eastAsia="ru-RU"/>
        </w:rPr>
        <w:instrText>"}</w:instrText>
      </w:r>
      <w:r w:rsidRPr="00062B4F">
        <w:rPr>
          <w:szCs w:val="24"/>
          <w:lang w:val="en-US" w:eastAsia="ru-RU"/>
        </w:rPr>
        <w:fldChar w:fldCharType="separate"/>
      </w:r>
      <w:r w:rsidR="007562CB" w:rsidRPr="00062B4F">
        <w:rPr>
          <w:noProof/>
          <w:szCs w:val="24"/>
          <w:lang w:eastAsia="ru-RU"/>
        </w:rPr>
        <w:t>[30,40]</w:t>
      </w:r>
      <w:r w:rsidRPr="00062B4F">
        <w:rPr>
          <w:szCs w:val="24"/>
          <w:lang w:val="en-US" w:eastAsia="ru-RU"/>
        </w:rPr>
        <w:fldChar w:fldCharType="end"/>
      </w:r>
      <w:r w:rsidRPr="00062B4F">
        <w:rPr>
          <w:szCs w:val="24"/>
          <w:lang w:eastAsia="ru-RU"/>
        </w:rPr>
        <w:t xml:space="preserve">. Может выявляться как у пациентов с плевральным выпотом (68 % случаев), так и без него. Одышка и обмороки являются ведущими в клинической картине, также могут присутствовать слабость, утомляемость, боли в области сердца, не </w:t>
      </w:r>
      <w:proofErr w:type="spellStart"/>
      <w:r w:rsidRPr="00062B4F">
        <w:rPr>
          <w:szCs w:val="24"/>
          <w:lang w:eastAsia="ru-RU"/>
        </w:rPr>
        <w:t>купирующиеся</w:t>
      </w:r>
      <w:proofErr w:type="spellEnd"/>
      <w:r w:rsidRPr="00062B4F">
        <w:rPr>
          <w:szCs w:val="24"/>
          <w:lang w:eastAsia="ru-RU"/>
        </w:rPr>
        <w:t xml:space="preserve"> приемом</w:t>
      </w:r>
      <w:r w:rsidR="002E32FD" w:rsidRPr="00062B4F">
        <w:rPr>
          <w:szCs w:val="24"/>
          <w:lang w:eastAsia="ru-RU"/>
        </w:rPr>
        <w:t xml:space="preserve"> органических</w:t>
      </w:r>
      <w:r w:rsidRPr="00062B4F">
        <w:rPr>
          <w:szCs w:val="24"/>
          <w:lang w:eastAsia="ru-RU"/>
        </w:rPr>
        <w:t xml:space="preserve"> нитратов. На ЭКГ могут выявляться признаки гипертрофии и перегрузки правых отделов сердца Диагностические методы для подтверждения ЛАГ: </w:t>
      </w:r>
      <w:proofErr w:type="spellStart"/>
      <w:r w:rsidRPr="00062B4F">
        <w:rPr>
          <w:szCs w:val="24"/>
          <w:lang w:eastAsia="ru-RU"/>
        </w:rPr>
        <w:t>трансторакальная</w:t>
      </w:r>
      <w:proofErr w:type="spellEnd"/>
      <w:r w:rsidRPr="00062B4F">
        <w:rPr>
          <w:szCs w:val="24"/>
          <w:lang w:eastAsia="ru-RU"/>
        </w:rPr>
        <w:t xml:space="preserve"> эхокардиография, катетеризация правых отделов сердца.</w:t>
      </w:r>
    </w:p>
    <w:p w14:paraId="12F28E34" w14:textId="77777777" w:rsidR="000C7098" w:rsidRPr="00062B4F" w:rsidRDefault="000C7098" w:rsidP="00C10677">
      <w:pPr>
        <w:rPr>
          <w:szCs w:val="24"/>
          <w:lang w:eastAsia="ru-RU"/>
        </w:rPr>
      </w:pPr>
      <w:r w:rsidRPr="00062B4F">
        <w:rPr>
          <w:szCs w:val="24"/>
          <w:lang w:eastAsia="ru-RU"/>
        </w:rPr>
        <w:t xml:space="preserve">Установлено, что данное явление может быть обратимо при отмене </w:t>
      </w:r>
      <w:proofErr w:type="spellStart"/>
      <w:r w:rsidRPr="00062B4F">
        <w:rPr>
          <w:szCs w:val="24"/>
          <w:lang w:eastAsia="ru-RU"/>
        </w:rPr>
        <w:t>дазатиниба</w:t>
      </w:r>
      <w:proofErr w:type="spellEnd"/>
      <w:r w:rsidRPr="00062B4F">
        <w:rPr>
          <w:szCs w:val="24"/>
          <w:lang w:eastAsia="ru-RU"/>
        </w:rPr>
        <w:t xml:space="preserve">**. При развитии ЛАГ показано прекращение терапии </w:t>
      </w:r>
      <w:proofErr w:type="spellStart"/>
      <w:r w:rsidRPr="00062B4F">
        <w:rPr>
          <w:szCs w:val="24"/>
          <w:lang w:eastAsia="ru-RU"/>
        </w:rPr>
        <w:t>дазатинибом</w:t>
      </w:r>
      <w:proofErr w:type="spellEnd"/>
      <w:r w:rsidRPr="00062B4F">
        <w:rPr>
          <w:szCs w:val="24"/>
          <w:lang w:eastAsia="ru-RU"/>
        </w:rPr>
        <w:t>** и назначение других ИТК.</w:t>
      </w:r>
    </w:p>
    <w:p w14:paraId="7E461CD4" w14:textId="77777777" w:rsidR="000C7098" w:rsidRPr="00062B4F" w:rsidRDefault="000C7098" w:rsidP="00C10677">
      <w:pPr>
        <w:rPr>
          <w:szCs w:val="24"/>
          <w:lang w:eastAsia="ru-RU"/>
        </w:rPr>
      </w:pPr>
      <w:proofErr w:type="spellStart"/>
      <w:r w:rsidRPr="00062B4F">
        <w:rPr>
          <w:b/>
          <w:bCs/>
          <w:szCs w:val="24"/>
          <w:lang w:eastAsia="ru-RU"/>
        </w:rPr>
        <w:t>Пневмонит</w:t>
      </w:r>
      <w:proofErr w:type="spellEnd"/>
    </w:p>
    <w:p w14:paraId="62CCFD34" w14:textId="77777777" w:rsidR="000C7098" w:rsidRPr="00062B4F" w:rsidRDefault="000C7098" w:rsidP="00C10677">
      <w:pPr>
        <w:rPr>
          <w:szCs w:val="24"/>
          <w:lang w:eastAsia="ru-RU"/>
        </w:rPr>
      </w:pPr>
      <w:r w:rsidRPr="00062B4F">
        <w:rPr>
          <w:szCs w:val="24"/>
          <w:lang w:eastAsia="ru-RU"/>
        </w:rPr>
        <w:lastRenderedPageBreak/>
        <w:t xml:space="preserve">Является крайне редким осложнением, требующим дифференциального диагноза. В большинстве случаев описан при применении </w:t>
      </w:r>
      <w:proofErr w:type="spellStart"/>
      <w:r w:rsidRPr="00062B4F">
        <w:rPr>
          <w:szCs w:val="24"/>
          <w:lang w:eastAsia="ru-RU"/>
        </w:rPr>
        <w:t>иматиниба</w:t>
      </w:r>
      <w:proofErr w:type="spellEnd"/>
      <w:r w:rsidRPr="00062B4F">
        <w:rPr>
          <w:szCs w:val="24"/>
          <w:lang w:eastAsia="ru-RU"/>
        </w:rPr>
        <w:t xml:space="preserve">**, а также чаще встречается в странах Азии; может быть обратимым или необратимым </w:t>
      </w:r>
      <w:r w:rsidRPr="00062B4F">
        <w:rPr>
          <w:szCs w:val="24"/>
          <w:lang w:eastAsia="ru-RU"/>
        </w:rPr>
        <w:fldChar w:fldCharType="begin" w:fldLock="1"/>
      </w:r>
      <w:r w:rsidR="000B2DB1" w:rsidRPr="00062B4F">
        <w:rPr>
          <w:szCs w:val="24"/>
          <w:lang w:eastAsia="ru-RU"/>
        </w:rPr>
        <w:instrText>ADDIN CSL_CITATION {"citationItems":[{"id":"ITEM-1","itemData":{"DOI":"10.3904/KJIM.2015.30.4.550","PMID":"26161025","author":[{"dropping-particle":"","family":"Lee","given":"Na-Ri","non-dropping-particle":"","parse-names":false,"suffix":""},{"dropping-particle":"","family":"Jang","given":"Ji Won","non-dropping-particle":"","parse-names":false,"suffix":""},{"dropping-particle":"","family":"Kim","given":"Hee Sun","non-dropping-particle":"","parse-names":false,"suffix":""},{"dropping-particle":"","family":"Yhim","given":"Ho-Young","non-dropping-particle":"","parse-names":false,"suffix":""}],"container-title":"The Korean Journal of Internal Medicine","id":"ITEM-1","issue":"4","issued":{"date-parts":[["2015"]]},"page":"550","publisher":"Korean Association of Internal Medicine","title":"Imatinib mesylate-induced interstitial lung disease in a patient with prior history of Mycobacterium tuberculosis infection","type":"article-journal","volume":"30"},"uris":["http://www.mendeley.com/documents/?uuid=cd9ec7de-77e8-3174-a009-8b7fb43d25b5","http://www.mendeley.com/documents/?uuid=c4baa911-374f-43ac-b0b5-2a12bbbd1422"]},{"id":"ITEM-2","itemData":{"author":[{"dropping-particle":"","family":"Бойцов","given":"С.А.","non-dropping-particle":"","parse-names":false,"suffix":""},{"dropping-particle":"","family":"Погосова","given":"Н.В.","non-dropping-particle":"","parse-names":false,"suffix":""},{"dropping-particle":"","family":"Бубнова","given":"М.Г.","non-dropping-particle":"","parse-names":false,"suffix":""},{"dropping-particle":"","family":"Драпкина","given":"О.М.","non-dropping-particle":"","parse-names":false,"suffix":""},{"dropping-particle":"","family":"Гаврилова","given":"Н.Е.","non-dropping-particle":"","parse-names":false,"suffix":""},{"dropping-particle":"","family":"Еганян","given":"Р.А.","non-dropping-particle":"","parse-names":false,"suffix":""},{"dropping-particle":"","family":"Калинина","given":"А.М.","non-dropping-particle":"","parse-names":false,"suffix":""},{"dropping-particle":"","family":"Карамнова","given":"Н.С.","non-dropping-particle":"","parse-names":false,"suffix":""},{"dropping-particle":"","family":"Кобалава","given":"Ж.Д.","non-dropping-particle":"","parse-names":false,"suffix":""},{"dropping-particle":"","family":"Концевая","given":"А.В.","non-dropping-particle":"","parse-names":false,"suffix":""},{"dropping-particle":"","family":"Кухарчук","given":"В.В.","non-dropping-particle":"","parse-names":false,"suffix":""},{"dropping-particle":"","family":"Лукьянов","given":"М.М.","non-dropping-particle":"","parse-names":false,"suffix":""},{"dropping-particle":"","family":"Масленникова","given":"Г.Я.","non-dropping-particle":"","parse-names":false,"suffix":""},{"dropping-particle":"","family":"Марцевич","given":"С.Ю.","non-dropping-particle":"","parse-names":false,"suffix":""},{"dropping-particle":"","family":"Метельска","given":"В.А.","non-dropping-particle":"","parse-names":false,"suffix":""},{"dropping-particle":"","family":"Попович","given":"М.В.","non-dropping-particle":"","parse-names":false,"suffix":""},{"dropping-particle":"","family":"Соколова","given":"О.Ю.","non-dropping-particle":"","parse-names":false,"suffix":""},{"dropping-particle":"","family":"Сухарева","given":"О.Ю.","non-dropping-particle":"","parse-names":false,"suffix":""},{"dropping-particle":"","family":"Ткачева","given":"О.Н.","non-dropping-particle":"","parse-names":false,"suffix":""},{"dropping-particle":"","family":"Шальнова","given":"С.А.","non-dropping-particle":"","parse-names":false,"suffix":""},{"dropping-particle":"","family":"Шестакова","given":"М.В.","non-dropping-particle":"","parse-names":false,"suffix":""},{"dropping-particle":"","family":"Юферева","given":"Ю.М.","non-dropping-particle":"","parse-names":false,"suffix":""},{"dropping-particle":"","family":"Явелов","given":"И.С.","non-dropping-particle":"","parse-names":false,"suffix":""}],"container-title":"Российский кардиологический журнал","id":"ITEM-2","issued":{"date-parts":[["2018"]]},"page":"1-118","title":"Кардиоваскулярная профилактика 2017. Российские национальные рекомендации","type":"article-journal","volume":"6"},"uris":["http://www.mendeley.com/documents/?uuid=042f05c9-6b66-4e35-b3aa-52285b725195"]},{"id":"ITEM-3","itemData":{"DOI":"10.1002/ajh.20319","ISSN":"03618609","author":[{"dropping-particle":"","family":"Rajda","given":"Jay","non-dropping-particle":"","parse-names":false,"suffix":""},{"dropping-particle":"","family":"Phatak","given":"Pradyumna D.","non-dropping-particle":"","parse-names":false,"suffix":""}],"container-title":"American Journal of Hematology","id":"ITEM-3","issue":"1","issued":{"date-parts":[["2005","5"]]},"page":"80-81","title":"Reversible drug-induced interstitial pneumonitis following imatinib mesylate therapy","type":"article","volume":"79"},"uris":["http://www.mendeley.com/documents/?uuid=0e1f7fcf-6a1e-3252-a553-54cbcba37b4e"]}],"mendeley":{"formattedCitation":"[82–84]","plainTextFormattedCitation":"[82–84]","previouslyFormattedCitation":"[82–84]"},"properties":{"noteIndex":0},"schema":"https://github.com/citation-style-language/schema/raw/master/csl-citation.json"}</w:instrText>
      </w:r>
      <w:r w:rsidRPr="00062B4F">
        <w:rPr>
          <w:szCs w:val="24"/>
          <w:lang w:eastAsia="ru-RU"/>
        </w:rPr>
        <w:fldChar w:fldCharType="separate"/>
      </w:r>
      <w:r w:rsidR="007562CB" w:rsidRPr="00062B4F">
        <w:rPr>
          <w:noProof/>
          <w:szCs w:val="24"/>
          <w:lang w:eastAsia="ru-RU"/>
        </w:rPr>
        <w:t>[82–84]</w:t>
      </w:r>
      <w:r w:rsidRPr="00062B4F">
        <w:rPr>
          <w:szCs w:val="24"/>
          <w:lang w:eastAsia="ru-RU"/>
        </w:rPr>
        <w:fldChar w:fldCharType="end"/>
      </w:r>
      <w:r w:rsidRPr="00062B4F">
        <w:rPr>
          <w:szCs w:val="24"/>
          <w:lang w:eastAsia="ru-RU"/>
        </w:rPr>
        <w:t>.</w:t>
      </w:r>
    </w:p>
    <w:p w14:paraId="6D1AAE65" w14:textId="77777777" w:rsidR="000C7098" w:rsidRPr="00062B4F" w:rsidRDefault="000C7098" w:rsidP="00C10677">
      <w:pPr>
        <w:rPr>
          <w:b/>
          <w:bCs/>
          <w:szCs w:val="24"/>
          <w:lang w:eastAsia="ru-RU"/>
        </w:rPr>
      </w:pPr>
      <w:r w:rsidRPr="00062B4F">
        <w:rPr>
          <w:szCs w:val="24"/>
          <w:lang w:eastAsia="ru-RU"/>
        </w:rPr>
        <w:t xml:space="preserve">При применении </w:t>
      </w:r>
      <w:proofErr w:type="spellStart"/>
      <w:r w:rsidRPr="00062B4F">
        <w:rPr>
          <w:szCs w:val="24"/>
          <w:lang w:eastAsia="ru-RU"/>
        </w:rPr>
        <w:t>дазатиниба</w:t>
      </w:r>
      <w:proofErr w:type="spellEnd"/>
      <w:r w:rsidRPr="00062B4F">
        <w:rPr>
          <w:szCs w:val="24"/>
          <w:lang w:eastAsia="ru-RU"/>
        </w:rPr>
        <w:t xml:space="preserve">** во 2 линии в дозе 70 мг 2 раза в день у 17 % пациентов описаны изменения легочной паренхимы, по типу «матового стекла» либо утолщение </w:t>
      </w:r>
      <w:proofErr w:type="spellStart"/>
      <w:r w:rsidRPr="00062B4F">
        <w:rPr>
          <w:szCs w:val="24"/>
          <w:lang w:eastAsia="ru-RU"/>
        </w:rPr>
        <w:t>септальных</w:t>
      </w:r>
      <w:proofErr w:type="spellEnd"/>
      <w:r w:rsidRPr="00062B4F">
        <w:rPr>
          <w:szCs w:val="24"/>
          <w:lang w:eastAsia="ru-RU"/>
        </w:rPr>
        <w:t xml:space="preserve"> перегородок. Целесообразен перевод на другие ИТК.</w:t>
      </w:r>
    </w:p>
    <w:p w14:paraId="33A15838" w14:textId="77777777" w:rsidR="000C7098" w:rsidRPr="00062B4F" w:rsidRDefault="000C7098" w:rsidP="00C10677">
      <w:pPr>
        <w:rPr>
          <w:szCs w:val="24"/>
          <w:lang w:eastAsia="ru-RU"/>
        </w:rPr>
      </w:pPr>
      <w:r w:rsidRPr="00062B4F">
        <w:rPr>
          <w:b/>
          <w:bCs/>
          <w:szCs w:val="24"/>
          <w:lang w:eastAsia="ru-RU"/>
        </w:rPr>
        <w:t>Тошнота</w:t>
      </w:r>
    </w:p>
    <w:p w14:paraId="4FC23C2D" w14:textId="1057D818" w:rsidR="000C7098" w:rsidRPr="00062B4F" w:rsidRDefault="000C7098" w:rsidP="00C10677">
      <w:pPr>
        <w:rPr>
          <w:szCs w:val="24"/>
          <w:lang w:eastAsia="ru-RU"/>
        </w:rPr>
      </w:pPr>
      <w:r w:rsidRPr="00062B4F">
        <w:rPr>
          <w:szCs w:val="24"/>
          <w:lang w:eastAsia="ru-RU"/>
        </w:rPr>
        <w:t xml:space="preserve">Развитие тошноты наиболее характерно при применении </w:t>
      </w:r>
      <w:proofErr w:type="spellStart"/>
      <w:r w:rsidRPr="00062B4F">
        <w:rPr>
          <w:szCs w:val="24"/>
          <w:lang w:eastAsia="ru-RU"/>
        </w:rPr>
        <w:t>иматиниба</w:t>
      </w:r>
      <w:proofErr w:type="spellEnd"/>
      <w:r w:rsidR="00577329" w:rsidRPr="00062B4F">
        <w:rPr>
          <w:szCs w:val="24"/>
          <w:lang w:eastAsia="ru-RU"/>
        </w:rPr>
        <w:t>**</w:t>
      </w:r>
      <w:r w:rsidRPr="00062B4F">
        <w:rPr>
          <w:szCs w:val="24"/>
          <w:lang w:eastAsia="ru-RU"/>
        </w:rPr>
        <w:t xml:space="preserve"> или </w:t>
      </w:r>
      <w:proofErr w:type="spellStart"/>
      <w:r w:rsidRPr="00062B4F">
        <w:rPr>
          <w:szCs w:val="24"/>
          <w:lang w:eastAsia="ru-RU"/>
        </w:rPr>
        <w:t>бозутиниба</w:t>
      </w:r>
      <w:proofErr w:type="spellEnd"/>
      <w:r w:rsidR="00192F67">
        <w:rPr>
          <w:szCs w:val="24"/>
          <w:lang w:eastAsia="ru-RU"/>
        </w:rPr>
        <w:t>**</w:t>
      </w:r>
      <w:r w:rsidRPr="00062B4F">
        <w:rPr>
          <w:szCs w:val="24"/>
          <w:lang w:eastAsia="ru-RU"/>
        </w:rPr>
        <w:t xml:space="preserve">. </w:t>
      </w:r>
      <w:proofErr w:type="spellStart"/>
      <w:r w:rsidRPr="00062B4F">
        <w:rPr>
          <w:szCs w:val="24"/>
          <w:lang w:eastAsia="ru-RU"/>
        </w:rPr>
        <w:t>Нилотиниб</w:t>
      </w:r>
      <w:proofErr w:type="spellEnd"/>
      <w:r w:rsidRPr="00062B4F">
        <w:rPr>
          <w:szCs w:val="24"/>
          <w:lang w:eastAsia="ru-RU"/>
        </w:rPr>
        <w:t xml:space="preserve">** и </w:t>
      </w:r>
      <w:proofErr w:type="spellStart"/>
      <w:r w:rsidRPr="00062B4F">
        <w:rPr>
          <w:szCs w:val="24"/>
          <w:lang w:eastAsia="ru-RU"/>
        </w:rPr>
        <w:t>дазатиниб</w:t>
      </w:r>
      <w:proofErr w:type="spellEnd"/>
      <w:r w:rsidRPr="00062B4F">
        <w:rPr>
          <w:szCs w:val="24"/>
          <w:lang w:eastAsia="ru-RU"/>
        </w:rPr>
        <w:t xml:space="preserve">** вызывают тошноту редко. При тошноте следует исключить прием </w:t>
      </w:r>
      <w:proofErr w:type="spellStart"/>
      <w:r w:rsidRPr="00062B4F">
        <w:rPr>
          <w:szCs w:val="24"/>
          <w:lang w:eastAsia="ru-RU"/>
        </w:rPr>
        <w:t>иматиниба</w:t>
      </w:r>
      <w:proofErr w:type="spellEnd"/>
      <w:r w:rsidR="00577329" w:rsidRPr="00062B4F">
        <w:rPr>
          <w:szCs w:val="24"/>
          <w:lang w:eastAsia="ru-RU"/>
        </w:rPr>
        <w:t>**</w:t>
      </w:r>
      <w:r w:rsidRPr="00062B4F">
        <w:rPr>
          <w:szCs w:val="24"/>
          <w:lang w:eastAsia="ru-RU"/>
        </w:rPr>
        <w:t xml:space="preserve"> натощак, рекомендовать принимать препарат с приемом пищи, запивать большим количеством воды. Последний прием </w:t>
      </w:r>
      <w:proofErr w:type="spellStart"/>
      <w:r w:rsidRPr="00062B4F">
        <w:rPr>
          <w:szCs w:val="24"/>
          <w:lang w:eastAsia="ru-RU"/>
        </w:rPr>
        <w:t>иматиниба</w:t>
      </w:r>
      <w:proofErr w:type="spellEnd"/>
      <w:r w:rsidRPr="00062B4F">
        <w:rPr>
          <w:szCs w:val="24"/>
          <w:lang w:eastAsia="ru-RU"/>
        </w:rPr>
        <w:t xml:space="preserve">** должен быть не позднее чем за 2 часа до сна, особенно у пациентов с эзофагитом в анамнезе. Если токсичность, несмотря на все предпринятые мероприятия, составляет ≥2 степени, целесообразно назначение </w:t>
      </w:r>
      <w:proofErr w:type="spellStart"/>
      <w:r w:rsidRPr="00062B4F">
        <w:rPr>
          <w:szCs w:val="24"/>
          <w:lang w:eastAsia="ru-RU"/>
        </w:rPr>
        <w:t>антиэметических</w:t>
      </w:r>
      <w:proofErr w:type="spellEnd"/>
      <w:r w:rsidRPr="00062B4F">
        <w:rPr>
          <w:szCs w:val="24"/>
          <w:lang w:eastAsia="ru-RU"/>
        </w:rPr>
        <w:t xml:space="preserve"> препаратов: метоклопрамид**, </w:t>
      </w:r>
      <w:proofErr w:type="spellStart"/>
      <w:r w:rsidRPr="00062B4F">
        <w:rPr>
          <w:szCs w:val="24"/>
          <w:lang w:eastAsia="ru-RU"/>
        </w:rPr>
        <w:t>ондансетрон</w:t>
      </w:r>
      <w:proofErr w:type="spellEnd"/>
      <w:r w:rsidRPr="00062B4F">
        <w:rPr>
          <w:szCs w:val="24"/>
          <w:lang w:eastAsia="ru-RU"/>
        </w:rPr>
        <w:t>**, другие. Однако следует учитывать, что противорвотные средства могут удлинять интервал </w:t>
      </w:r>
      <w:r w:rsidRPr="00062B4F">
        <w:rPr>
          <w:i/>
          <w:szCs w:val="24"/>
          <w:lang w:eastAsia="ru-RU"/>
        </w:rPr>
        <w:t>QT</w:t>
      </w:r>
      <w:r w:rsidRPr="00062B4F">
        <w:rPr>
          <w:szCs w:val="24"/>
          <w:lang w:eastAsia="ru-RU"/>
        </w:rPr>
        <w:t>. Антацид</w:t>
      </w:r>
      <w:r w:rsidR="000B5D56" w:rsidRPr="00062B4F">
        <w:rPr>
          <w:szCs w:val="24"/>
          <w:lang w:eastAsia="ru-RU"/>
        </w:rPr>
        <w:t>ы</w:t>
      </w:r>
      <w:r w:rsidRPr="00062B4F">
        <w:rPr>
          <w:szCs w:val="24"/>
          <w:lang w:eastAsia="ru-RU"/>
        </w:rPr>
        <w:t xml:space="preserve"> снижают эффективность ИТК.</w:t>
      </w:r>
    </w:p>
    <w:p w14:paraId="698B7066" w14:textId="77777777" w:rsidR="000C7098" w:rsidRPr="00062B4F" w:rsidRDefault="000C7098" w:rsidP="00C10677">
      <w:pPr>
        <w:rPr>
          <w:szCs w:val="24"/>
          <w:lang w:eastAsia="ru-RU"/>
        </w:rPr>
      </w:pPr>
      <w:r w:rsidRPr="00062B4F">
        <w:rPr>
          <w:b/>
          <w:bCs/>
          <w:szCs w:val="24"/>
          <w:lang w:eastAsia="ru-RU"/>
        </w:rPr>
        <w:t>Задержка жидкости с развитием отеков</w:t>
      </w:r>
    </w:p>
    <w:p w14:paraId="2563E208" w14:textId="77777777" w:rsidR="000C7098" w:rsidRPr="00062B4F" w:rsidRDefault="000C7098" w:rsidP="00C10677">
      <w:pPr>
        <w:rPr>
          <w:szCs w:val="24"/>
          <w:lang w:eastAsia="ru-RU"/>
        </w:rPr>
      </w:pPr>
      <w:r w:rsidRPr="00062B4F">
        <w:rPr>
          <w:szCs w:val="24"/>
          <w:lang w:eastAsia="ru-RU"/>
        </w:rPr>
        <w:t>Следует ограничить прием соли в рационе, уменьшить объем употребляемой жидкости. В более тяжелых случаях назначают диуретики, препараты подбирают индивидуально.</w:t>
      </w:r>
    </w:p>
    <w:p w14:paraId="03E312BE" w14:textId="77777777" w:rsidR="000C7098" w:rsidRPr="00062B4F" w:rsidRDefault="000C7098" w:rsidP="00C10677">
      <w:pPr>
        <w:rPr>
          <w:szCs w:val="24"/>
          <w:lang w:eastAsia="ru-RU"/>
        </w:rPr>
      </w:pPr>
      <w:r w:rsidRPr="00062B4F">
        <w:rPr>
          <w:b/>
          <w:bCs/>
          <w:szCs w:val="24"/>
          <w:lang w:eastAsia="ru-RU"/>
        </w:rPr>
        <w:t>Мышечные спазмы</w:t>
      </w:r>
    </w:p>
    <w:p w14:paraId="3952C197" w14:textId="77777777" w:rsidR="000C7098" w:rsidRPr="00062B4F" w:rsidRDefault="000C7098" w:rsidP="00C10677">
      <w:pPr>
        <w:rPr>
          <w:szCs w:val="24"/>
          <w:lang w:eastAsia="ru-RU"/>
        </w:rPr>
      </w:pPr>
      <w:r w:rsidRPr="00062B4F">
        <w:rPr>
          <w:szCs w:val="24"/>
          <w:lang w:eastAsia="ru-RU"/>
        </w:rPr>
        <w:t xml:space="preserve">Симптом, характерный для лечения </w:t>
      </w:r>
      <w:proofErr w:type="spellStart"/>
      <w:r w:rsidRPr="00062B4F">
        <w:rPr>
          <w:szCs w:val="24"/>
          <w:lang w:eastAsia="ru-RU"/>
        </w:rPr>
        <w:t>иматинибом</w:t>
      </w:r>
      <w:proofErr w:type="spellEnd"/>
      <w:r w:rsidRPr="00062B4F">
        <w:rPr>
          <w:szCs w:val="24"/>
          <w:lang w:eastAsia="ru-RU"/>
        </w:rPr>
        <w:t>**. Чаще встречается в начале терапии, но может быть и очень длительным. Спазмы (чаще икроножных мышц, мышц стопы) возникают, как правило, в ночное время, после физической нагрузки. Для их устранения необходимо восполнение дефицита минералов (калий, кальций, магний, фосфор). При выраженных проявлениях токсичности (3–4 степени) возможен перерыв приема ИТК (3–5 дней), который часто уменьшает клинические проявления, временное снижение дозы препарата на 1 уровень.</w:t>
      </w:r>
    </w:p>
    <w:p w14:paraId="36D98B08" w14:textId="77777777" w:rsidR="000C7098" w:rsidRPr="00062B4F" w:rsidRDefault="000C7098" w:rsidP="00C10677">
      <w:pPr>
        <w:rPr>
          <w:szCs w:val="24"/>
          <w:lang w:eastAsia="ru-RU"/>
        </w:rPr>
      </w:pPr>
      <w:r w:rsidRPr="00062B4F">
        <w:rPr>
          <w:b/>
          <w:bCs/>
          <w:szCs w:val="24"/>
          <w:lang w:eastAsia="ru-RU"/>
        </w:rPr>
        <w:t>Боли в костях и суставах</w:t>
      </w:r>
    </w:p>
    <w:p w14:paraId="52B78F31" w14:textId="61AB2407" w:rsidR="000C7098" w:rsidRPr="00062B4F" w:rsidRDefault="000C7098" w:rsidP="00C10677">
      <w:pPr>
        <w:rPr>
          <w:szCs w:val="24"/>
          <w:lang w:eastAsia="ru-RU"/>
        </w:rPr>
      </w:pPr>
      <w:r w:rsidRPr="00062B4F">
        <w:rPr>
          <w:szCs w:val="24"/>
          <w:lang w:eastAsia="ru-RU"/>
        </w:rPr>
        <w:t>Обычно возникают в начале лечения, частота их уменьшается через 1–2 месяца терапии. Кратковременный (на 3–5 дней) перерыв в приеме препарата и короткий курс нестероидных противовоспалительных</w:t>
      </w:r>
      <w:r w:rsidR="000B5D56" w:rsidRPr="00062B4F">
        <w:rPr>
          <w:szCs w:val="24"/>
          <w:lang w:eastAsia="ru-RU"/>
        </w:rPr>
        <w:t xml:space="preserve"> </w:t>
      </w:r>
      <w:r w:rsidRPr="00062B4F">
        <w:rPr>
          <w:szCs w:val="24"/>
          <w:lang w:eastAsia="ru-RU"/>
        </w:rPr>
        <w:t>препаратов могут купировать эти явления.</w:t>
      </w:r>
    </w:p>
    <w:p w14:paraId="66FD2A1C" w14:textId="77777777" w:rsidR="000C7098" w:rsidRPr="00062B4F" w:rsidRDefault="000C7098" w:rsidP="00C10677">
      <w:pPr>
        <w:rPr>
          <w:szCs w:val="24"/>
          <w:lang w:eastAsia="ru-RU"/>
        </w:rPr>
      </w:pPr>
      <w:r w:rsidRPr="00062B4F">
        <w:rPr>
          <w:b/>
          <w:bCs/>
          <w:szCs w:val="24"/>
          <w:lang w:eastAsia="ru-RU"/>
        </w:rPr>
        <w:t>Кожные высыпания</w:t>
      </w:r>
    </w:p>
    <w:p w14:paraId="19454FD0" w14:textId="77777777" w:rsidR="000C7098" w:rsidRPr="00062B4F" w:rsidRDefault="000C7098" w:rsidP="00C10677">
      <w:pPr>
        <w:rPr>
          <w:szCs w:val="24"/>
          <w:lang w:eastAsia="ru-RU"/>
        </w:rPr>
      </w:pPr>
      <w:r w:rsidRPr="00062B4F">
        <w:rPr>
          <w:szCs w:val="24"/>
          <w:lang w:eastAsia="ru-RU"/>
        </w:rPr>
        <w:t xml:space="preserve">Обычно купируются при назначении антигистаминных препаратов, хлорида кальция и/или при местной обработке кортикостероидными мазями. При более выраженном </w:t>
      </w:r>
      <w:r w:rsidRPr="00062B4F">
        <w:rPr>
          <w:szCs w:val="24"/>
          <w:lang w:eastAsia="ru-RU"/>
        </w:rPr>
        <w:lastRenderedPageBreak/>
        <w:t xml:space="preserve">дерматите возникает необходимость прерывать прием ИТК и назначать системные кортикостероиды в дозе 1 мг/кг </w:t>
      </w:r>
      <w:proofErr w:type="spellStart"/>
      <w:r w:rsidRPr="00062B4F">
        <w:rPr>
          <w:szCs w:val="24"/>
          <w:lang w:eastAsia="ru-RU"/>
        </w:rPr>
        <w:t>per</w:t>
      </w:r>
      <w:proofErr w:type="spellEnd"/>
      <w:r w:rsidRPr="00062B4F">
        <w:rPr>
          <w:szCs w:val="24"/>
          <w:lang w:eastAsia="ru-RU"/>
        </w:rPr>
        <w:t xml:space="preserve"> </w:t>
      </w:r>
      <w:proofErr w:type="spellStart"/>
      <w:r w:rsidRPr="00062B4F">
        <w:rPr>
          <w:szCs w:val="24"/>
          <w:lang w:eastAsia="ru-RU"/>
        </w:rPr>
        <w:t>os</w:t>
      </w:r>
      <w:proofErr w:type="spellEnd"/>
      <w:r w:rsidRPr="00062B4F">
        <w:rPr>
          <w:szCs w:val="24"/>
          <w:lang w:eastAsia="ru-RU"/>
        </w:rPr>
        <w:t xml:space="preserve"> с постепенной редукцией дозы до 20 мг/день. У пациентов с большим количеством базофилов (&gt;30 %) в крови причиной появления </w:t>
      </w:r>
      <w:proofErr w:type="spellStart"/>
      <w:r w:rsidRPr="00062B4F">
        <w:rPr>
          <w:szCs w:val="24"/>
          <w:lang w:eastAsia="ru-RU"/>
        </w:rPr>
        <w:t>уртикарных</w:t>
      </w:r>
      <w:proofErr w:type="spellEnd"/>
      <w:r w:rsidRPr="00062B4F">
        <w:rPr>
          <w:szCs w:val="24"/>
          <w:lang w:eastAsia="ru-RU"/>
        </w:rPr>
        <w:t xml:space="preserve"> высыпаний может быть высвобождение </w:t>
      </w:r>
      <w:proofErr w:type="spellStart"/>
      <w:r w:rsidRPr="00062B4F">
        <w:rPr>
          <w:szCs w:val="24"/>
          <w:lang w:eastAsia="ru-RU"/>
        </w:rPr>
        <w:t>гистаминоподобных</w:t>
      </w:r>
      <w:proofErr w:type="spellEnd"/>
      <w:r w:rsidRPr="00062B4F">
        <w:rPr>
          <w:szCs w:val="24"/>
          <w:lang w:eastAsia="ru-RU"/>
        </w:rPr>
        <w:t xml:space="preserve"> субстанций из </w:t>
      </w:r>
      <w:proofErr w:type="spellStart"/>
      <w:r w:rsidRPr="00062B4F">
        <w:rPr>
          <w:szCs w:val="24"/>
          <w:lang w:eastAsia="ru-RU"/>
        </w:rPr>
        <w:t>базофильных</w:t>
      </w:r>
      <w:proofErr w:type="spellEnd"/>
      <w:r w:rsidRPr="00062B4F">
        <w:rPr>
          <w:szCs w:val="24"/>
          <w:lang w:eastAsia="ru-RU"/>
        </w:rPr>
        <w:t xml:space="preserve"> гранул, по мере снижения количества базофилов интенсивность сыпи уменьшается.</w:t>
      </w:r>
    </w:p>
    <w:p w14:paraId="131397A9" w14:textId="77777777" w:rsidR="000C7098" w:rsidRPr="00062B4F" w:rsidRDefault="000C7098" w:rsidP="00C10677">
      <w:pPr>
        <w:rPr>
          <w:szCs w:val="24"/>
          <w:lang w:eastAsia="ru-RU"/>
        </w:rPr>
      </w:pPr>
      <w:r w:rsidRPr="00062B4F">
        <w:rPr>
          <w:szCs w:val="24"/>
          <w:lang w:eastAsia="ru-RU"/>
        </w:rPr>
        <w:t xml:space="preserve">Умеренные кожные высыпания при терапии </w:t>
      </w:r>
      <w:proofErr w:type="spellStart"/>
      <w:r w:rsidRPr="00062B4F">
        <w:rPr>
          <w:szCs w:val="24"/>
          <w:lang w:eastAsia="ru-RU"/>
        </w:rPr>
        <w:t>нилотинибом</w:t>
      </w:r>
      <w:proofErr w:type="spellEnd"/>
      <w:r w:rsidRPr="00062B4F">
        <w:rPr>
          <w:szCs w:val="24"/>
          <w:lang w:eastAsia="ru-RU"/>
        </w:rPr>
        <w:t>** – частое нежелательное явление, которое не сопровождается зудом, дискомфортом и редко требует коррекции дозы препарата.</w:t>
      </w:r>
    </w:p>
    <w:p w14:paraId="71ADF19A" w14:textId="77777777" w:rsidR="000C7098" w:rsidRPr="00062B4F" w:rsidRDefault="000C7098" w:rsidP="00C10677">
      <w:pPr>
        <w:rPr>
          <w:szCs w:val="24"/>
          <w:lang w:eastAsia="ru-RU"/>
        </w:rPr>
      </w:pPr>
      <w:r w:rsidRPr="00062B4F">
        <w:rPr>
          <w:b/>
          <w:bCs/>
          <w:szCs w:val="24"/>
          <w:lang w:eastAsia="ru-RU"/>
        </w:rPr>
        <w:t>Кровотечения и кровоизлияния</w:t>
      </w:r>
    </w:p>
    <w:p w14:paraId="391A9E87" w14:textId="77777777" w:rsidR="000C7098" w:rsidRPr="00062B4F" w:rsidRDefault="000C7098" w:rsidP="00C10677">
      <w:pPr>
        <w:rPr>
          <w:szCs w:val="24"/>
          <w:lang w:eastAsia="ru-RU"/>
        </w:rPr>
      </w:pPr>
      <w:r w:rsidRPr="00062B4F">
        <w:rPr>
          <w:szCs w:val="24"/>
          <w:lang w:eastAsia="ru-RU"/>
        </w:rPr>
        <w:t xml:space="preserve">Наиболее часто наблюдаются кровотечения – из желудочно-кишечного тракта (у 4 % пациентов), реже – кровоизлияния в головной мозг (тяжелые – менее чем у 1 % пациентов). Наблюдаются преимущественно при лечении </w:t>
      </w:r>
      <w:proofErr w:type="spellStart"/>
      <w:r w:rsidRPr="00062B4F">
        <w:rPr>
          <w:szCs w:val="24"/>
          <w:lang w:eastAsia="ru-RU"/>
        </w:rPr>
        <w:t>дазатинибом</w:t>
      </w:r>
      <w:proofErr w:type="spellEnd"/>
      <w:r w:rsidRPr="00062B4F">
        <w:rPr>
          <w:szCs w:val="24"/>
          <w:lang w:eastAsia="ru-RU"/>
        </w:rPr>
        <w:t xml:space="preserve">**. Как правило, они возникают при выраженной тромбоцитопении. В большинстве случаев, с кровотечением удается справиться с помощью приостановки приема препарата и применения трансфузий компонентов крови, в первую очередь </w:t>
      </w:r>
      <w:proofErr w:type="spellStart"/>
      <w:r w:rsidRPr="00062B4F">
        <w:rPr>
          <w:szCs w:val="24"/>
          <w:lang w:eastAsia="ru-RU"/>
        </w:rPr>
        <w:t>тромбоконцентрата</w:t>
      </w:r>
      <w:proofErr w:type="spellEnd"/>
      <w:r w:rsidRPr="00062B4F">
        <w:rPr>
          <w:szCs w:val="24"/>
          <w:lang w:eastAsia="ru-RU"/>
        </w:rPr>
        <w:t>.</w:t>
      </w:r>
    </w:p>
    <w:p w14:paraId="4D406501" w14:textId="77777777" w:rsidR="000C7098" w:rsidRPr="00062B4F" w:rsidRDefault="000C7098" w:rsidP="00C10677">
      <w:pPr>
        <w:rPr>
          <w:szCs w:val="24"/>
          <w:lang w:eastAsia="ru-RU"/>
        </w:rPr>
      </w:pPr>
      <w:r w:rsidRPr="00062B4F">
        <w:rPr>
          <w:szCs w:val="24"/>
          <w:lang w:eastAsia="ru-RU"/>
        </w:rPr>
        <w:t xml:space="preserve">При терапии </w:t>
      </w:r>
      <w:proofErr w:type="spellStart"/>
      <w:r w:rsidRPr="00062B4F">
        <w:rPr>
          <w:szCs w:val="24"/>
          <w:lang w:eastAsia="ru-RU"/>
        </w:rPr>
        <w:t>иматинибом</w:t>
      </w:r>
      <w:proofErr w:type="spellEnd"/>
      <w:r w:rsidR="009F5813" w:rsidRPr="00062B4F">
        <w:rPr>
          <w:szCs w:val="24"/>
          <w:lang w:eastAsia="ru-RU"/>
        </w:rPr>
        <w:t>**</w:t>
      </w:r>
      <w:r w:rsidRPr="00062B4F">
        <w:rPr>
          <w:szCs w:val="24"/>
          <w:lang w:eastAsia="ru-RU"/>
        </w:rPr>
        <w:t xml:space="preserve"> в 11 % случаев могут отмечаться кровоизлияния в склеру, как правило, проходящие после короткого перерыва в лечении или снижения доз.</w:t>
      </w:r>
    </w:p>
    <w:p w14:paraId="3A6FA78A" w14:textId="77777777" w:rsidR="000C7098" w:rsidRPr="00062B4F" w:rsidRDefault="000C7098" w:rsidP="00C10677">
      <w:pPr>
        <w:rPr>
          <w:szCs w:val="24"/>
          <w:lang w:eastAsia="ru-RU"/>
        </w:rPr>
      </w:pPr>
      <w:r w:rsidRPr="00062B4F">
        <w:rPr>
          <w:b/>
          <w:bCs/>
          <w:szCs w:val="24"/>
          <w:lang w:eastAsia="ru-RU"/>
        </w:rPr>
        <w:t>Диарея</w:t>
      </w:r>
    </w:p>
    <w:p w14:paraId="687B1A3E" w14:textId="25533066" w:rsidR="000C7098" w:rsidRPr="00062B4F" w:rsidRDefault="000C7098" w:rsidP="00C10677">
      <w:pPr>
        <w:rPr>
          <w:szCs w:val="24"/>
          <w:lang w:eastAsia="ru-RU"/>
        </w:rPr>
      </w:pPr>
      <w:r w:rsidRPr="00062B4F">
        <w:rPr>
          <w:szCs w:val="24"/>
          <w:lang w:eastAsia="ru-RU"/>
        </w:rPr>
        <w:t>Купируется диетой с исключением продуктов, усиливающих моторику кишечника, назначением симптоматических</w:t>
      </w:r>
      <w:r w:rsidR="000B5D56" w:rsidRPr="00062B4F">
        <w:rPr>
          <w:szCs w:val="24"/>
          <w:lang w:eastAsia="ru-RU"/>
        </w:rPr>
        <w:t xml:space="preserve"> </w:t>
      </w:r>
      <w:proofErr w:type="spellStart"/>
      <w:r w:rsidR="000B5D56" w:rsidRPr="00062B4F">
        <w:rPr>
          <w:szCs w:val="24"/>
          <w:lang w:eastAsia="ru-RU"/>
        </w:rPr>
        <w:t>противодиарейных</w:t>
      </w:r>
      <w:proofErr w:type="spellEnd"/>
      <w:r w:rsidRPr="00062B4F">
        <w:rPr>
          <w:szCs w:val="24"/>
          <w:lang w:eastAsia="ru-RU"/>
        </w:rPr>
        <w:t xml:space="preserve"> </w:t>
      </w:r>
      <w:r w:rsidR="000B5D56" w:rsidRPr="00062B4F">
        <w:rPr>
          <w:szCs w:val="24"/>
          <w:lang w:eastAsia="ru-RU"/>
        </w:rPr>
        <w:t>препаратов</w:t>
      </w:r>
      <w:r w:rsidRPr="00062B4F">
        <w:rPr>
          <w:szCs w:val="24"/>
          <w:lang w:eastAsia="ru-RU"/>
        </w:rPr>
        <w:t xml:space="preserve"> (</w:t>
      </w:r>
      <w:r w:rsidR="000B5D56" w:rsidRPr="00062B4F">
        <w:rPr>
          <w:szCs w:val="24"/>
          <w:lang w:eastAsia="ru-RU"/>
        </w:rPr>
        <w:t xml:space="preserve">кишечные </w:t>
      </w:r>
      <w:r w:rsidRPr="00062B4F">
        <w:rPr>
          <w:szCs w:val="24"/>
          <w:lang w:eastAsia="ru-RU"/>
        </w:rPr>
        <w:t xml:space="preserve">абсорбенты, </w:t>
      </w:r>
      <w:proofErr w:type="spellStart"/>
      <w:r w:rsidRPr="00062B4F">
        <w:rPr>
          <w:szCs w:val="24"/>
          <w:lang w:eastAsia="ru-RU"/>
        </w:rPr>
        <w:t>лоперамид</w:t>
      </w:r>
      <w:proofErr w:type="spellEnd"/>
      <w:r w:rsidRPr="00062B4F">
        <w:rPr>
          <w:szCs w:val="24"/>
          <w:lang w:eastAsia="ru-RU"/>
        </w:rPr>
        <w:t xml:space="preserve">**). При терапии </w:t>
      </w:r>
      <w:proofErr w:type="spellStart"/>
      <w:r w:rsidRPr="00062B4F">
        <w:rPr>
          <w:szCs w:val="24"/>
          <w:lang w:eastAsia="ru-RU"/>
        </w:rPr>
        <w:t>бозутинибом</w:t>
      </w:r>
      <w:proofErr w:type="spellEnd"/>
      <w:r w:rsidR="00192F67">
        <w:rPr>
          <w:szCs w:val="24"/>
          <w:lang w:eastAsia="ru-RU"/>
        </w:rPr>
        <w:t>**</w:t>
      </w:r>
      <w:r w:rsidRPr="00062B4F">
        <w:rPr>
          <w:szCs w:val="24"/>
          <w:lang w:eastAsia="ru-RU"/>
        </w:rPr>
        <w:t xml:space="preserve"> эффективно купируется применением </w:t>
      </w:r>
      <w:proofErr w:type="spellStart"/>
      <w:r w:rsidRPr="00062B4F">
        <w:rPr>
          <w:szCs w:val="24"/>
          <w:lang w:eastAsia="ru-RU"/>
        </w:rPr>
        <w:t>лоперамида</w:t>
      </w:r>
      <w:proofErr w:type="spellEnd"/>
      <w:r w:rsidR="009F5813" w:rsidRPr="00062B4F">
        <w:rPr>
          <w:szCs w:val="24"/>
          <w:lang w:eastAsia="ru-RU"/>
        </w:rPr>
        <w:t>**</w:t>
      </w:r>
      <w:r w:rsidR="007D35AE">
        <w:rPr>
          <w:szCs w:val="24"/>
          <w:lang w:eastAsia="ru-RU"/>
        </w:rPr>
        <w:t>, временным снижением дозы препарата</w:t>
      </w:r>
      <w:r w:rsidRPr="00062B4F">
        <w:rPr>
          <w:szCs w:val="24"/>
          <w:lang w:eastAsia="ru-RU"/>
        </w:rPr>
        <w:t>.</w:t>
      </w:r>
    </w:p>
    <w:p w14:paraId="55AAB6CE" w14:textId="77777777" w:rsidR="000C7098" w:rsidRPr="00062B4F" w:rsidRDefault="000C7098" w:rsidP="00C10677">
      <w:pPr>
        <w:rPr>
          <w:szCs w:val="24"/>
          <w:lang w:eastAsia="ru-RU"/>
        </w:rPr>
      </w:pPr>
      <w:proofErr w:type="spellStart"/>
      <w:r w:rsidRPr="00062B4F">
        <w:rPr>
          <w:b/>
          <w:bCs/>
          <w:szCs w:val="24"/>
          <w:lang w:eastAsia="ru-RU"/>
        </w:rPr>
        <w:t>Гепатотоксичность</w:t>
      </w:r>
      <w:proofErr w:type="spellEnd"/>
    </w:p>
    <w:p w14:paraId="1133E776" w14:textId="77777777" w:rsidR="000C7098" w:rsidRPr="00062B4F" w:rsidRDefault="000C7098" w:rsidP="00C10677">
      <w:pPr>
        <w:rPr>
          <w:szCs w:val="24"/>
          <w:lang w:eastAsia="ru-RU"/>
        </w:rPr>
      </w:pPr>
      <w:r w:rsidRPr="00062B4F">
        <w:rPr>
          <w:szCs w:val="24"/>
          <w:lang w:eastAsia="ru-RU"/>
        </w:rPr>
        <w:t xml:space="preserve">Повышение уровня «печеночных» </w:t>
      </w:r>
      <w:proofErr w:type="spellStart"/>
      <w:r w:rsidRPr="00062B4F">
        <w:rPr>
          <w:szCs w:val="24"/>
          <w:lang w:eastAsia="ru-RU"/>
        </w:rPr>
        <w:t>трансаминаз</w:t>
      </w:r>
      <w:proofErr w:type="spellEnd"/>
      <w:r w:rsidRPr="00062B4F">
        <w:rPr>
          <w:szCs w:val="24"/>
          <w:lang w:eastAsia="ru-RU"/>
        </w:rPr>
        <w:t xml:space="preserve"> может наступить в различные сроки лечения ИТК. В некоторых случаях описано тяжелое повреждение печени при применении </w:t>
      </w:r>
      <w:proofErr w:type="spellStart"/>
      <w:r w:rsidRPr="00062B4F">
        <w:rPr>
          <w:szCs w:val="24"/>
          <w:lang w:eastAsia="ru-RU"/>
        </w:rPr>
        <w:t>иматиниба</w:t>
      </w:r>
      <w:proofErr w:type="spellEnd"/>
      <w:r w:rsidRPr="00062B4F">
        <w:rPr>
          <w:szCs w:val="24"/>
          <w:lang w:eastAsia="ru-RU"/>
        </w:rPr>
        <w:t>** и парацетамол</w:t>
      </w:r>
      <w:r w:rsidR="009F5813" w:rsidRPr="00062B4F">
        <w:rPr>
          <w:szCs w:val="24"/>
          <w:lang w:eastAsia="ru-RU"/>
        </w:rPr>
        <w:t>а</w:t>
      </w:r>
      <w:r w:rsidRPr="00062B4F">
        <w:rPr>
          <w:szCs w:val="24"/>
          <w:lang w:eastAsia="ru-RU"/>
        </w:rPr>
        <w:t xml:space="preserve">**, а также при вирусном гепатите В. Поэтому показано исключить наличие вирусного гепатита, отменить потенциальные </w:t>
      </w:r>
      <w:proofErr w:type="spellStart"/>
      <w:r w:rsidRPr="00062B4F">
        <w:rPr>
          <w:szCs w:val="24"/>
          <w:lang w:eastAsia="ru-RU"/>
        </w:rPr>
        <w:t>гепатотоксины</w:t>
      </w:r>
      <w:proofErr w:type="spellEnd"/>
      <w:r w:rsidRPr="00062B4F">
        <w:rPr>
          <w:szCs w:val="24"/>
          <w:lang w:eastAsia="ru-RU"/>
        </w:rPr>
        <w:t xml:space="preserve"> (алкоголь, консервы, лекарственные препараты с </w:t>
      </w:r>
      <w:proofErr w:type="spellStart"/>
      <w:r w:rsidRPr="00062B4F">
        <w:rPr>
          <w:szCs w:val="24"/>
          <w:lang w:eastAsia="ru-RU"/>
        </w:rPr>
        <w:t>гепатотоксичным</w:t>
      </w:r>
      <w:proofErr w:type="spellEnd"/>
      <w:r w:rsidRPr="00062B4F">
        <w:rPr>
          <w:szCs w:val="24"/>
          <w:lang w:eastAsia="ru-RU"/>
        </w:rPr>
        <w:t xml:space="preserve"> действием). Также применяют </w:t>
      </w:r>
      <w:proofErr w:type="spellStart"/>
      <w:r w:rsidRPr="00062B4F">
        <w:rPr>
          <w:szCs w:val="24"/>
          <w:lang w:eastAsia="ru-RU"/>
        </w:rPr>
        <w:t>гепатопротекторы</w:t>
      </w:r>
      <w:proofErr w:type="spellEnd"/>
      <w:r w:rsidRPr="00062B4F">
        <w:rPr>
          <w:szCs w:val="24"/>
          <w:lang w:eastAsia="ru-RU"/>
        </w:rPr>
        <w:t xml:space="preserve"> (</w:t>
      </w:r>
      <w:proofErr w:type="spellStart"/>
      <w:r w:rsidRPr="00062B4F">
        <w:rPr>
          <w:szCs w:val="24"/>
          <w:lang w:eastAsia="ru-RU"/>
        </w:rPr>
        <w:t>адеметионин</w:t>
      </w:r>
      <w:proofErr w:type="spellEnd"/>
      <w:r w:rsidRPr="00062B4F">
        <w:rPr>
          <w:szCs w:val="24"/>
          <w:lang w:eastAsia="ru-RU"/>
        </w:rPr>
        <w:t xml:space="preserve">**, </w:t>
      </w:r>
      <w:proofErr w:type="spellStart"/>
      <w:r w:rsidRPr="00062B4F">
        <w:rPr>
          <w:szCs w:val="24"/>
          <w:lang w:eastAsia="ru-RU"/>
        </w:rPr>
        <w:t>урсодезоксихолевая</w:t>
      </w:r>
      <w:proofErr w:type="spellEnd"/>
      <w:r w:rsidRPr="00062B4F">
        <w:rPr>
          <w:szCs w:val="24"/>
          <w:lang w:eastAsia="ru-RU"/>
        </w:rPr>
        <w:t xml:space="preserve"> кислоты**) внутрь, в тяжелых случаях – внутривенно в сочетании с мероприятиями </w:t>
      </w:r>
      <w:proofErr w:type="spellStart"/>
      <w:r w:rsidRPr="00062B4F">
        <w:rPr>
          <w:szCs w:val="24"/>
          <w:lang w:eastAsia="ru-RU"/>
        </w:rPr>
        <w:t>дезинтоксикации</w:t>
      </w:r>
      <w:proofErr w:type="spellEnd"/>
      <w:r w:rsidRPr="00062B4F">
        <w:rPr>
          <w:szCs w:val="24"/>
          <w:lang w:eastAsia="ru-RU"/>
        </w:rPr>
        <w:t xml:space="preserve">. При сохраняющейся </w:t>
      </w:r>
      <w:proofErr w:type="spellStart"/>
      <w:r w:rsidRPr="00062B4F">
        <w:rPr>
          <w:szCs w:val="24"/>
          <w:lang w:eastAsia="ru-RU"/>
        </w:rPr>
        <w:t>гепатотоксичности</w:t>
      </w:r>
      <w:proofErr w:type="spellEnd"/>
      <w:r w:rsidRPr="00062B4F">
        <w:rPr>
          <w:szCs w:val="24"/>
          <w:lang w:eastAsia="ru-RU"/>
        </w:rPr>
        <w:t xml:space="preserve"> 2 степени после ее разрешения дозу препарата целесообразно временно снизить. При повторном развитии печеночной токсичности необходимо провести более тщательное исследование функции печени; показано </w:t>
      </w:r>
      <w:r w:rsidRPr="00062B4F">
        <w:rPr>
          <w:szCs w:val="24"/>
          <w:lang w:eastAsia="ru-RU"/>
        </w:rPr>
        <w:lastRenderedPageBreak/>
        <w:t xml:space="preserve">обсуждение вопроса о переходе на терапию другими ИТК, с учетом отсутствия перекрестной </w:t>
      </w:r>
      <w:proofErr w:type="spellStart"/>
      <w:r w:rsidRPr="00062B4F">
        <w:rPr>
          <w:szCs w:val="24"/>
          <w:lang w:eastAsia="ru-RU"/>
        </w:rPr>
        <w:t>гепатотоксичности</w:t>
      </w:r>
      <w:proofErr w:type="spellEnd"/>
      <w:r w:rsidRPr="00062B4F">
        <w:rPr>
          <w:szCs w:val="24"/>
          <w:lang w:eastAsia="ru-RU"/>
        </w:rPr>
        <w:t>.</w:t>
      </w:r>
    </w:p>
    <w:p w14:paraId="0F435F8E" w14:textId="77777777" w:rsidR="000C7098" w:rsidRPr="00062B4F" w:rsidRDefault="000C7098" w:rsidP="00C10677">
      <w:pPr>
        <w:rPr>
          <w:szCs w:val="24"/>
          <w:lang w:eastAsia="ru-RU"/>
        </w:rPr>
      </w:pPr>
      <w:r w:rsidRPr="00062B4F">
        <w:rPr>
          <w:b/>
          <w:bCs/>
          <w:szCs w:val="24"/>
          <w:lang w:eastAsia="ru-RU"/>
        </w:rPr>
        <w:t>Увеличение массы тела</w:t>
      </w:r>
    </w:p>
    <w:p w14:paraId="26B57B37" w14:textId="77777777" w:rsidR="000C7098" w:rsidRPr="00062B4F" w:rsidRDefault="000C7098" w:rsidP="00C10677">
      <w:pPr>
        <w:rPr>
          <w:szCs w:val="24"/>
          <w:lang w:eastAsia="ru-RU"/>
        </w:rPr>
      </w:pPr>
      <w:r w:rsidRPr="00062B4F">
        <w:rPr>
          <w:szCs w:val="24"/>
          <w:lang w:eastAsia="ru-RU"/>
        </w:rPr>
        <w:t>Небольшое увеличение веса может быть обусловлено задержкой жидкости, в части случаев – улучшением общего самочувствия на фоне регрессии симптомов интоксикации и нормализации аппетита. Пациентов с избыточным весом необходимо предупреждать о возможности его увеличения при приеме ИТК и рекомендовать ограничение употребления соли, низкокалорийную диету и увеличение уровня физических нагрузок.</w:t>
      </w:r>
    </w:p>
    <w:p w14:paraId="1B44C267" w14:textId="77777777" w:rsidR="000C7098" w:rsidRPr="00062B4F" w:rsidRDefault="000C7098" w:rsidP="00C10677">
      <w:pPr>
        <w:rPr>
          <w:szCs w:val="24"/>
          <w:lang w:eastAsia="ru-RU"/>
        </w:rPr>
      </w:pPr>
      <w:r w:rsidRPr="00062B4F">
        <w:rPr>
          <w:b/>
          <w:bCs/>
          <w:szCs w:val="24"/>
          <w:lang w:eastAsia="ru-RU"/>
        </w:rPr>
        <w:t xml:space="preserve">Удлинение интервала </w:t>
      </w:r>
      <w:proofErr w:type="spellStart"/>
      <w:r w:rsidRPr="00062B4F">
        <w:rPr>
          <w:b/>
          <w:bCs/>
          <w:i/>
          <w:szCs w:val="24"/>
          <w:lang w:eastAsia="ru-RU"/>
        </w:rPr>
        <w:t>QTcF</w:t>
      </w:r>
      <w:proofErr w:type="spellEnd"/>
    </w:p>
    <w:p w14:paraId="37E29F98" w14:textId="77777777" w:rsidR="000C7098" w:rsidRPr="00062B4F" w:rsidRDefault="000C7098" w:rsidP="00C10677">
      <w:pPr>
        <w:rPr>
          <w:b/>
          <w:bCs/>
        </w:rPr>
      </w:pPr>
      <w:r w:rsidRPr="00062B4F">
        <w:rPr>
          <w:szCs w:val="24"/>
          <w:lang w:eastAsia="ru-RU"/>
        </w:rPr>
        <w:t xml:space="preserve">Все ИТК являются препаратами, способными удлинять длительность интервала </w:t>
      </w:r>
      <w:r w:rsidRPr="00062B4F">
        <w:rPr>
          <w:i/>
          <w:szCs w:val="24"/>
          <w:lang w:eastAsia="ru-RU"/>
        </w:rPr>
        <w:t>QT</w:t>
      </w:r>
      <w:r w:rsidRPr="00062B4F">
        <w:rPr>
          <w:szCs w:val="24"/>
          <w:lang w:eastAsia="ru-RU"/>
        </w:rPr>
        <w:t xml:space="preserve">. При значительном удлинении </w:t>
      </w:r>
      <w:r w:rsidRPr="00062B4F">
        <w:rPr>
          <w:i/>
          <w:szCs w:val="24"/>
          <w:lang w:eastAsia="ru-RU"/>
        </w:rPr>
        <w:t>QT</w:t>
      </w:r>
      <w:r w:rsidRPr="00062B4F">
        <w:rPr>
          <w:szCs w:val="24"/>
          <w:lang w:eastAsia="ru-RU"/>
        </w:rPr>
        <w:t xml:space="preserve"> (более 480 </w:t>
      </w:r>
      <w:proofErr w:type="spellStart"/>
      <w:r w:rsidRPr="00062B4F">
        <w:rPr>
          <w:szCs w:val="24"/>
          <w:lang w:eastAsia="ru-RU"/>
        </w:rPr>
        <w:t>мс</w:t>
      </w:r>
      <w:proofErr w:type="spellEnd"/>
      <w:r w:rsidRPr="00062B4F">
        <w:rPr>
          <w:szCs w:val="24"/>
          <w:lang w:eastAsia="ru-RU"/>
        </w:rPr>
        <w:t xml:space="preserve">) существует риск развития </w:t>
      </w:r>
      <w:proofErr w:type="spellStart"/>
      <w:r w:rsidRPr="00062B4F">
        <w:rPr>
          <w:szCs w:val="24"/>
          <w:lang w:eastAsia="ru-RU"/>
        </w:rPr>
        <w:t>жизнеугрожающей</w:t>
      </w:r>
      <w:proofErr w:type="spellEnd"/>
      <w:r w:rsidRPr="00062B4F">
        <w:rPr>
          <w:szCs w:val="24"/>
          <w:lang w:eastAsia="ru-RU"/>
        </w:rPr>
        <w:t xml:space="preserve"> аритмии – тахикардии по типу «пируэт». При оценке интервала </w:t>
      </w:r>
      <w:r w:rsidRPr="00062B4F">
        <w:rPr>
          <w:i/>
          <w:szCs w:val="24"/>
          <w:lang w:eastAsia="ru-RU"/>
        </w:rPr>
        <w:t>QT</w:t>
      </w:r>
      <w:r w:rsidRPr="00062B4F">
        <w:rPr>
          <w:szCs w:val="24"/>
          <w:lang w:eastAsia="ru-RU"/>
        </w:rPr>
        <w:t xml:space="preserve"> следует обязательно использовать скорректированные (с учетом ЧСС) значения, например, </w:t>
      </w:r>
      <w:proofErr w:type="spellStart"/>
      <w:r w:rsidRPr="00062B4F">
        <w:rPr>
          <w:i/>
          <w:szCs w:val="24"/>
          <w:lang w:eastAsia="ru-RU"/>
        </w:rPr>
        <w:t>QTcF</w:t>
      </w:r>
      <w:proofErr w:type="spellEnd"/>
      <w:r w:rsidRPr="00062B4F">
        <w:rPr>
          <w:szCs w:val="24"/>
          <w:lang w:eastAsia="ru-RU"/>
        </w:rPr>
        <w:t xml:space="preserve"> (</w:t>
      </w:r>
      <w:r w:rsidRPr="00062B4F">
        <w:rPr>
          <w:i/>
          <w:szCs w:val="24"/>
          <w:lang w:eastAsia="ru-RU"/>
        </w:rPr>
        <w:t>QT</w:t>
      </w:r>
      <w:r w:rsidRPr="00062B4F">
        <w:rPr>
          <w:szCs w:val="24"/>
          <w:lang w:eastAsia="ru-RU"/>
        </w:rPr>
        <w:t>, корригированный по методу Фредерика (</w:t>
      </w:r>
      <w:proofErr w:type="spellStart"/>
      <w:r w:rsidRPr="00062B4F">
        <w:rPr>
          <w:szCs w:val="24"/>
          <w:lang w:eastAsia="ru-RU"/>
        </w:rPr>
        <w:t>Fr</w:t>
      </w:r>
      <w:proofErr w:type="spellEnd"/>
      <w:r w:rsidRPr="00062B4F">
        <w:rPr>
          <w:szCs w:val="24"/>
          <w:lang w:val="en-US" w:eastAsia="ru-RU"/>
        </w:rPr>
        <w:t>e</w:t>
      </w:r>
      <w:proofErr w:type="spellStart"/>
      <w:r w:rsidRPr="00062B4F">
        <w:rPr>
          <w:szCs w:val="24"/>
          <w:lang w:eastAsia="ru-RU"/>
        </w:rPr>
        <w:t>deric</w:t>
      </w:r>
      <w:proofErr w:type="spellEnd"/>
      <w:r w:rsidRPr="00062B4F">
        <w:rPr>
          <w:szCs w:val="24"/>
          <w:lang w:eastAsia="ru-RU"/>
        </w:rPr>
        <w:t xml:space="preserve">)). Случаи удлинения </w:t>
      </w:r>
      <w:proofErr w:type="spellStart"/>
      <w:r w:rsidRPr="00062B4F">
        <w:rPr>
          <w:i/>
          <w:szCs w:val="24"/>
          <w:lang w:eastAsia="ru-RU"/>
        </w:rPr>
        <w:t>QTcF</w:t>
      </w:r>
      <w:proofErr w:type="spellEnd"/>
      <w:r w:rsidRPr="00062B4F">
        <w:rPr>
          <w:szCs w:val="24"/>
          <w:lang w:eastAsia="ru-RU"/>
        </w:rPr>
        <w:t xml:space="preserve"> встречаются крайне редко – менее чем у 1 % пациентов. Пациенты с изначальным удлинением </w:t>
      </w:r>
      <w:proofErr w:type="spellStart"/>
      <w:r w:rsidRPr="00062B4F">
        <w:rPr>
          <w:i/>
          <w:szCs w:val="24"/>
          <w:lang w:eastAsia="ru-RU"/>
        </w:rPr>
        <w:t>QTcF</w:t>
      </w:r>
      <w:proofErr w:type="spellEnd"/>
      <w:r w:rsidRPr="00062B4F">
        <w:rPr>
          <w:szCs w:val="24"/>
          <w:lang w:eastAsia="ru-RU"/>
        </w:rPr>
        <w:t xml:space="preserve">, а также с сопутствующей кардиальной патологией должны оставаться в зоне внимания с точки зрения мониторинга изменений на ЭКГ. До начала лечения ИТК следует по возможности исключить факторы, также влияющие на удлинения данного интервала. В частности, должны быть нормализованы уровни калия и магния; при приеме препаратов, также удлиняющих </w:t>
      </w:r>
      <w:r w:rsidRPr="00062B4F">
        <w:rPr>
          <w:i/>
          <w:szCs w:val="24"/>
          <w:lang w:eastAsia="ru-RU"/>
        </w:rPr>
        <w:t>QT</w:t>
      </w:r>
      <w:r w:rsidRPr="00062B4F">
        <w:rPr>
          <w:szCs w:val="24"/>
          <w:lang w:eastAsia="ru-RU"/>
        </w:rPr>
        <w:t xml:space="preserve"> по поводу сопутствующих заболеваний, должна быть рассмотрена возможность замены последних. Следует помнить о существовании врожденного удлинения </w:t>
      </w:r>
      <w:r w:rsidRPr="00062B4F">
        <w:rPr>
          <w:i/>
          <w:szCs w:val="24"/>
          <w:lang w:eastAsia="ru-RU"/>
        </w:rPr>
        <w:t>QT</w:t>
      </w:r>
      <w:r w:rsidRPr="00062B4F">
        <w:rPr>
          <w:szCs w:val="24"/>
          <w:lang w:eastAsia="ru-RU"/>
        </w:rPr>
        <w:t xml:space="preserve">, что требует особого внимания к таким пациентам при лечении ИТК. Алгоритм ведения пациентов с удлинением </w:t>
      </w:r>
      <w:proofErr w:type="spellStart"/>
      <w:r w:rsidRPr="00062B4F">
        <w:rPr>
          <w:i/>
          <w:szCs w:val="24"/>
          <w:lang w:eastAsia="ru-RU"/>
        </w:rPr>
        <w:t>QTcF</w:t>
      </w:r>
      <w:proofErr w:type="spellEnd"/>
      <w:r w:rsidRPr="00062B4F">
        <w:rPr>
          <w:szCs w:val="24"/>
          <w:lang w:eastAsia="ru-RU"/>
        </w:rPr>
        <w:t xml:space="preserve"> приведен в табл. 12.</w:t>
      </w:r>
    </w:p>
    <w:p w14:paraId="0C114A36" w14:textId="77777777" w:rsidR="000C7098" w:rsidRPr="00062B4F" w:rsidRDefault="000C7098" w:rsidP="004004A0">
      <w:pPr>
        <w:spacing w:before="120" w:after="120"/>
        <w:ind w:firstLine="851"/>
        <w:rPr>
          <w:szCs w:val="24"/>
          <w:lang w:eastAsia="ru-RU"/>
        </w:rPr>
      </w:pPr>
      <w:r w:rsidRPr="00062B4F">
        <w:rPr>
          <w:b/>
          <w:bCs/>
          <w:szCs w:val="24"/>
          <w:lang w:eastAsia="ru-RU"/>
        </w:rPr>
        <w:t>Таблица 12. </w:t>
      </w:r>
      <w:r w:rsidRPr="00062B4F">
        <w:rPr>
          <w:szCs w:val="24"/>
          <w:lang w:eastAsia="ru-RU"/>
        </w:rPr>
        <w:t xml:space="preserve">Тактика ведения пациентов при удлинении интервала </w:t>
      </w:r>
      <w:proofErr w:type="spellStart"/>
      <w:r w:rsidRPr="00062B4F">
        <w:rPr>
          <w:i/>
          <w:szCs w:val="24"/>
          <w:lang w:eastAsia="ru-RU"/>
        </w:rPr>
        <w:t>QTcF</w:t>
      </w:r>
      <w:proofErr w:type="spellEnd"/>
      <w:r w:rsidRPr="00062B4F">
        <w:rPr>
          <w:i/>
          <w:szCs w:val="24"/>
          <w:lang w:eastAsia="ru-RU"/>
        </w:rPr>
        <w:t xml:space="preserve"> </w:t>
      </w:r>
      <w:r w:rsidRPr="00062B4F">
        <w:rPr>
          <w:szCs w:val="24"/>
          <w:lang w:eastAsia="ru-RU"/>
        </w:rPr>
        <w:t>на фоне</w:t>
      </w:r>
      <w:r w:rsidRPr="00062B4F">
        <w:rPr>
          <w:szCs w:val="24"/>
          <w:lang w:eastAsia="ru-RU"/>
        </w:rPr>
        <w:br/>
        <w:t>терапии ИТК</w:t>
      </w:r>
    </w:p>
    <w:tbl>
      <w:tblPr>
        <w:tblW w:w="5000" w:type="pct"/>
        <w:jc w:val="center"/>
        <w:tblCellMar>
          <w:top w:w="15" w:type="dxa"/>
          <w:left w:w="15" w:type="dxa"/>
          <w:bottom w:w="15" w:type="dxa"/>
          <w:right w:w="15" w:type="dxa"/>
        </w:tblCellMar>
        <w:tblLook w:val="00A0" w:firstRow="1" w:lastRow="0" w:firstColumn="1" w:lastColumn="0" w:noHBand="0" w:noVBand="0"/>
      </w:tblPr>
      <w:tblGrid>
        <w:gridCol w:w="1404"/>
        <w:gridCol w:w="7935"/>
      </w:tblGrid>
      <w:tr w:rsidR="000C7098" w:rsidRPr="00062B4F" w14:paraId="6334D1F0" w14:textId="77777777">
        <w:trPr>
          <w:trHeight w:val="86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E58B1BE"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 xml:space="preserve">Удлинение </w:t>
            </w:r>
            <w:proofErr w:type="spellStart"/>
            <w:r w:rsidRPr="00062B4F">
              <w:rPr>
                <w:b/>
                <w:i/>
                <w:szCs w:val="24"/>
                <w:lang w:eastAsia="ru-RU"/>
              </w:rPr>
              <w:t>QTcF</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7BA77B5E"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Тактика терапии</w:t>
            </w:r>
          </w:p>
        </w:tc>
      </w:tr>
      <w:tr w:rsidR="000C7098" w:rsidRPr="00062B4F" w14:paraId="33279749" w14:textId="77777777">
        <w:trPr>
          <w:trHeight w:val="7722"/>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C66C9B6"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lastRenderedPageBreak/>
              <w:t xml:space="preserve">&gt;480 </w:t>
            </w:r>
            <w:proofErr w:type="spellStart"/>
            <w:r w:rsidRPr="00062B4F">
              <w:rPr>
                <w:szCs w:val="24"/>
                <w:lang w:eastAsia="ru-RU"/>
              </w:rPr>
              <w:t>мс</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0E55500B"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временно прекратить прием ИТК</w:t>
            </w:r>
          </w:p>
          <w:p w14:paraId="79EC7276"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определить содержание K</w:t>
            </w:r>
            <w:r w:rsidRPr="00062B4F">
              <w:rPr>
                <w:szCs w:val="24"/>
                <w:vertAlign w:val="superscript"/>
                <w:lang w:eastAsia="ru-RU"/>
              </w:rPr>
              <w:t>+</w:t>
            </w:r>
            <w:r w:rsidRPr="00062B4F">
              <w:rPr>
                <w:szCs w:val="24"/>
                <w:lang w:eastAsia="ru-RU"/>
              </w:rPr>
              <w:t xml:space="preserve"> и </w:t>
            </w:r>
            <w:proofErr w:type="spellStart"/>
            <w:r w:rsidRPr="00062B4F">
              <w:rPr>
                <w:szCs w:val="24"/>
                <w:lang w:eastAsia="ru-RU"/>
              </w:rPr>
              <w:t>Mg</w:t>
            </w:r>
            <w:proofErr w:type="spellEnd"/>
            <w:r w:rsidRPr="00062B4F">
              <w:rPr>
                <w:szCs w:val="24"/>
                <w:vertAlign w:val="superscript"/>
                <w:lang w:eastAsia="ru-RU"/>
              </w:rPr>
              <w:t>++</w:t>
            </w:r>
            <w:r w:rsidRPr="00062B4F">
              <w:rPr>
                <w:szCs w:val="24"/>
                <w:lang w:eastAsia="ru-RU"/>
              </w:rPr>
              <w:t xml:space="preserve"> в сыворотке крови. При дефиците восполнить их уровень до нормы.</w:t>
            </w:r>
          </w:p>
          <w:p w14:paraId="7EF0091B"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проанализировать принимаемые пациентом сопутствующие препараты</w:t>
            </w:r>
            <w:r w:rsidRPr="00062B4F">
              <w:rPr>
                <w:szCs w:val="24"/>
                <w:lang w:eastAsia="ru-RU"/>
              </w:rPr>
              <w:br/>
              <w:t xml:space="preserve">и исключить средства, удлиняющие интервал </w:t>
            </w:r>
            <w:r w:rsidRPr="00062B4F">
              <w:rPr>
                <w:i/>
                <w:szCs w:val="24"/>
                <w:lang w:eastAsia="ru-RU"/>
              </w:rPr>
              <w:t>QT</w:t>
            </w:r>
          </w:p>
          <w:p w14:paraId="599A54E8"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 если интервал </w:t>
            </w:r>
            <w:proofErr w:type="spellStart"/>
            <w:r w:rsidRPr="00062B4F">
              <w:rPr>
                <w:i/>
                <w:szCs w:val="24"/>
                <w:lang w:eastAsia="ru-RU"/>
              </w:rPr>
              <w:t>QTcF</w:t>
            </w:r>
            <w:proofErr w:type="spellEnd"/>
            <w:r w:rsidRPr="00062B4F">
              <w:rPr>
                <w:szCs w:val="24"/>
                <w:lang w:eastAsia="ru-RU"/>
              </w:rPr>
              <w:t xml:space="preserve"> остается &gt;480 </w:t>
            </w:r>
            <w:proofErr w:type="spellStart"/>
            <w:r w:rsidRPr="00062B4F">
              <w:rPr>
                <w:szCs w:val="24"/>
                <w:lang w:eastAsia="ru-RU"/>
              </w:rPr>
              <w:t>мс</w:t>
            </w:r>
            <w:proofErr w:type="spellEnd"/>
            <w:r w:rsidRPr="00062B4F">
              <w:rPr>
                <w:szCs w:val="24"/>
                <w:lang w:eastAsia="ru-RU"/>
              </w:rPr>
              <w:t xml:space="preserve">, повторять ЭКГ по клиническим показаниям, как минимум 1 раз в сутки, пока </w:t>
            </w:r>
            <w:proofErr w:type="spellStart"/>
            <w:r w:rsidRPr="00062B4F">
              <w:rPr>
                <w:i/>
                <w:szCs w:val="24"/>
                <w:lang w:eastAsia="ru-RU"/>
              </w:rPr>
              <w:t>QTcF</w:t>
            </w:r>
            <w:proofErr w:type="spellEnd"/>
            <w:r w:rsidRPr="00062B4F">
              <w:rPr>
                <w:szCs w:val="24"/>
                <w:lang w:eastAsia="ru-RU"/>
              </w:rPr>
              <w:t xml:space="preserve"> не будет &lt;480 </w:t>
            </w:r>
            <w:proofErr w:type="spellStart"/>
            <w:r w:rsidRPr="00062B4F">
              <w:rPr>
                <w:szCs w:val="24"/>
                <w:lang w:eastAsia="ru-RU"/>
              </w:rPr>
              <w:t>мс</w:t>
            </w:r>
            <w:proofErr w:type="spellEnd"/>
          </w:p>
          <w:p w14:paraId="10B82B1D"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 терапия ИТК может быть возобновлена в той же дозе, если причина увеличения </w:t>
            </w:r>
            <w:r w:rsidRPr="00062B4F">
              <w:rPr>
                <w:i/>
                <w:szCs w:val="24"/>
                <w:lang w:eastAsia="ru-RU"/>
              </w:rPr>
              <w:t>QT</w:t>
            </w:r>
            <w:r w:rsidRPr="00062B4F">
              <w:rPr>
                <w:szCs w:val="24"/>
                <w:lang w:eastAsia="ru-RU"/>
              </w:rPr>
              <w:t xml:space="preserve"> установлена и устранена, и </w:t>
            </w:r>
            <w:proofErr w:type="spellStart"/>
            <w:r w:rsidRPr="00062B4F">
              <w:rPr>
                <w:i/>
                <w:szCs w:val="24"/>
                <w:lang w:eastAsia="ru-RU"/>
              </w:rPr>
              <w:t>QTcF</w:t>
            </w:r>
            <w:proofErr w:type="spellEnd"/>
            <w:r w:rsidRPr="00062B4F">
              <w:rPr>
                <w:szCs w:val="24"/>
                <w:lang w:eastAsia="ru-RU"/>
              </w:rPr>
              <w:t xml:space="preserve"> в течение 2 недель возвратился до значения &lt;450 </w:t>
            </w:r>
            <w:proofErr w:type="spellStart"/>
            <w:r w:rsidRPr="00062B4F">
              <w:rPr>
                <w:szCs w:val="24"/>
                <w:lang w:eastAsia="ru-RU"/>
              </w:rPr>
              <w:t>мс</w:t>
            </w:r>
            <w:proofErr w:type="spellEnd"/>
            <w:r w:rsidRPr="00062B4F">
              <w:rPr>
                <w:szCs w:val="24"/>
                <w:lang w:eastAsia="ru-RU"/>
              </w:rPr>
              <w:t xml:space="preserve"> и находится в пределах 20 </w:t>
            </w:r>
            <w:proofErr w:type="spellStart"/>
            <w:r w:rsidRPr="00062B4F">
              <w:rPr>
                <w:szCs w:val="24"/>
                <w:lang w:eastAsia="ru-RU"/>
              </w:rPr>
              <w:t>мс</w:t>
            </w:r>
            <w:proofErr w:type="spellEnd"/>
            <w:r w:rsidRPr="00062B4F">
              <w:rPr>
                <w:szCs w:val="24"/>
                <w:lang w:eastAsia="ru-RU"/>
              </w:rPr>
              <w:t xml:space="preserve"> от значения на исходном уровне</w:t>
            </w:r>
          </w:p>
          <w:p w14:paraId="045AC16B"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 если при повторном определении значение </w:t>
            </w:r>
            <w:proofErr w:type="spellStart"/>
            <w:r w:rsidRPr="00062B4F">
              <w:rPr>
                <w:i/>
                <w:szCs w:val="24"/>
                <w:lang w:eastAsia="ru-RU"/>
              </w:rPr>
              <w:t>QTcF</w:t>
            </w:r>
            <w:proofErr w:type="spellEnd"/>
            <w:r w:rsidRPr="00062B4F">
              <w:rPr>
                <w:szCs w:val="24"/>
                <w:lang w:eastAsia="ru-RU"/>
              </w:rPr>
              <w:t xml:space="preserve"> выходит за пределы</w:t>
            </w:r>
            <w:r w:rsidRPr="00062B4F">
              <w:rPr>
                <w:szCs w:val="24"/>
                <w:lang w:eastAsia="ru-RU"/>
              </w:rPr>
              <w:br/>
              <w:t xml:space="preserve">20 </w:t>
            </w:r>
            <w:proofErr w:type="spellStart"/>
            <w:r w:rsidRPr="00062B4F">
              <w:rPr>
                <w:szCs w:val="24"/>
                <w:lang w:eastAsia="ru-RU"/>
              </w:rPr>
              <w:t>мс</w:t>
            </w:r>
            <w:proofErr w:type="spellEnd"/>
            <w:r w:rsidRPr="00062B4F">
              <w:rPr>
                <w:szCs w:val="24"/>
                <w:lang w:eastAsia="ru-RU"/>
              </w:rPr>
              <w:t xml:space="preserve"> от значения на исходном уровне или оказывается между 450 и ≤480 </w:t>
            </w:r>
            <w:proofErr w:type="spellStart"/>
            <w:r w:rsidRPr="00062B4F">
              <w:rPr>
                <w:szCs w:val="24"/>
                <w:lang w:eastAsia="ru-RU"/>
              </w:rPr>
              <w:t>мс</w:t>
            </w:r>
            <w:proofErr w:type="spellEnd"/>
            <w:r w:rsidRPr="00062B4F">
              <w:rPr>
                <w:szCs w:val="24"/>
                <w:lang w:eastAsia="ru-RU"/>
              </w:rPr>
              <w:t>, доза ИТК должна быть снижена на 1 уровень</w:t>
            </w:r>
          </w:p>
          <w:p w14:paraId="28BADD18"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 при возобновлении лечения ИТК в той же или уменьшенной дозе после временного прекращения лечения по причине увеличения </w:t>
            </w:r>
            <w:proofErr w:type="spellStart"/>
            <w:r w:rsidRPr="00062B4F">
              <w:rPr>
                <w:i/>
                <w:szCs w:val="24"/>
                <w:lang w:eastAsia="ru-RU"/>
              </w:rPr>
              <w:t>QTcF</w:t>
            </w:r>
            <w:proofErr w:type="spellEnd"/>
            <w:r w:rsidRPr="00062B4F">
              <w:rPr>
                <w:szCs w:val="24"/>
                <w:lang w:eastAsia="ru-RU"/>
              </w:rPr>
              <w:t xml:space="preserve"> до &gt;480 </w:t>
            </w:r>
            <w:proofErr w:type="spellStart"/>
            <w:r w:rsidRPr="00062B4F">
              <w:rPr>
                <w:szCs w:val="24"/>
                <w:lang w:eastAsia="ru-RU"/>
              </w:rPr>
              <w:t>мс</w:t>
            </w:r>
            <w:proofErr w:type="spellEnd"/>
            <w:r w:rsidRPr="00062B4F">
              <w:rPr>
                <w:szCs w:val="24"/>
                <w:lang w:eastAsia="ru-RU"/>
              </w:rPr>
              <w:t>, необходимо провести ЭКГ на 2-й, 3-й и на 8-й день после возобновления лечения</w:t>
            </w:r>
          </w:p>
          <w:p w14:paraId="23C0B68A" w14:textId="77777777" w:rsidR="000C7098" w:rsidRPr="00062B4F" w:rsidRDefault="000C7098" w:rsidP="009D2E3F">
            <w:pPr>
              <w:spacing w:beforeAutospacing="1" w:afterAutospacing="1" w:line="240" w:lineRule="auto"/>
              <w:ind w:firstLine="0"/>
              <w:jc w:val="left"/>
              <w:rPr>
                <w:szCs w:val="24"/>
                <w:lang w:eastAsia="ru-RU"/>
              </w:rPr>
            </w:pPr>
            <w:r w:rsidRPr="00062B4F">
              <w:rPr>
                <w:szCs w:val="24"/>
                <w:lang w:eastAsia="ru-RU"/>
              </w:rPr>
              <w:t xml:space="preserve">– в случае повторного увеличения </w:t>
            </w:r>
            <w:proofErr w:type="spellStart"/>
            <w:r w:rsidRPr="00062B4F">
              <w:rPr>
                <w:i/>
                <w:szCs w:val="24"/>
                <w:lang w:eastAsia="ru-RU"/>
              </w:rPr>
              <w:t>QTcF</w:t>
            </w:r>
            <w:proofErr w:type="spellEnd"/>
            <w:r w:rsidRPr="00062B4F">
              <w:rPr>
                <w:szCs w:val="24"/>
                <w:lang w:eastAsia="ru-RU"/>
              </w:rPr>
              <w:t xml:space="preserve"> до &gt;480 </w:t>
            </w:r>
            <w:proofErr w:type="spellStart"/>
            <w:r w:rsidRPr="00062B4F">
              <w:rPr>
                <w:szCs w:val="24"/>
                <w:lang w:eastAsia="ru-RU"/>
              </w:rPr>
              <w:t>мс</w:t>
            </w:r>
            <w:proofErr w:type="spellEnd"/>
            <w:r w:rsidRPr="00062B4F">
              <w:rPr>
                <w:szCs w:val="24"/>
                <w:lang w:eastAsia="ru-RU"/>
              </w:rPr>
              <w:t xml:space="preserve"> прекратить прием препарата, требуется смена терапии</w:t>
            </w:r>
          </w:p>
        </w:tc>
      </w:tr>
    </w:tbl>
    <w:p w14:paraId="10E3AC7B" w14:textId="77777777" w:rsidR="000C7098" w:rsidRPr="00062B4F" w:rsidRDefault="000C7098" w:rsidP="004004A0">
      <w:pPr>
        <w:ind w:firstLine="0"/>
        <w:rPr>
          <w:b/>
          <w:bCs/>
          <w:szCs w:val="24"/>
          <w:lang w:eastAsia="ru-RU"/>
        </w:rPr>
      </w:pPr>
    </w:p>
    <w:p w14:paraId="095C9FD0" w14:textId="77777777" w:rsidR="000C7098" w:rsidRPr="00062B4F" w:rsidRDefault="000C7098" w:rsidP="00C10677">
      <w:pPr>
        <w:rPr>
          <w:szCs w:val="24"/>
          <w:lang w:eastAsia="ru-RU"/>
        </w:rPr>
      </w:pPr>
      <w:proofErr w:type="spellStart"/>
      <w:r w:rsidRPr="00062B4F">
        <w:rPr>
          <w:b/>
          <w:bCs/>
          <w:szCs w:val="24"/>
          <w:lang w:eastAsia="ru-RU"/>
        </w:rPr>
        <w:t>Гипербилирубинемия</w:t>
      </w:r>
      <w:proofErr w:type="spellEnd"/>
    </w:p>
    <w:p w14:paraId="416B99B9" w14:textId="77777777" w:rsidR="000C7098" w:rsidRPr="00062B4F" w:rsidRDefault="000C7098" w:rsidP="00C10677">
      <w:pPr>
        <w:rPr>
          <w:szCs w:val="24"/>
          <w:lang w:eastAsia="ru-RU"/>
        </w:rPr>
      </w:pPr>
      <w:r w:rsidRPr="00062B4F">
        <w:rPr>
          <w:szCs w:val="24"/>
          <w:lang w:eastAsia="ru-RU"/>
        </w:rPr>
        <w:t xml:space="preserve">Наиболее частое лабораторное отклонение, встречающееся при лечении </w:t>
      </w:r>
      <w:proofErr w:type="spellStart"/>
      <w:r w:rsidRPr="00062B4F">
        <w:rPr>
          <w:szCs w:val="24"/>
          <w:lang w:eastAsia="ru-RU"/>
        </w:rPr>
        <w:t>нилотинибом</w:t>
      </w:r>
      <w:proofErr w:type="spellEnd"/>
      <w:r w:rsidR="006851B6" w:rsidRPr="00062B4F">
        <w:rPr>
          <w:szCs w:val="24"/>
          <w:lang w:eastAsia="ru-RU"/>
        </w:rPr>
        <w:t>**</w:t>
      </w:r>
      <w:r w:rsidRPr="00062B4F">
        <w:rPr>
          <w:szCs w:val="24"/>
          <w:lang w:eastAsia="ru-RU"/>
        </w:rPr>
        <w:t xml:space="preserve"> (69 % – любой степени, 7 % – 3–4 степени). Данное явление связано с нарушением конъюгации непрямого билирубина, поэтому повышение происходит преимущественно за счет этой фракции. Чаще встречается у пациентов с полиморфизмом </w:t>
      </w:r>
      <w:proofErr w:type="spellStart"/>
      <w:r w:rsidRPr="00062B4F">
        <w:rPr>
          <w:szCs w:val="24"/>
          <w:lang w:eastAsia="ru-RU"/>
        </w:rPr>
        <w:t>промоторной</w:t>
      </w:r>
      <w:proofErr w:type="spellEnd"/>
      <w:r w:rsidRPr="00062B4F">
        <w:rPr>
          <w:szCs w:val="24"/>
          <w:lang w:eastAsia="ru-RU"/>
        </w:rPr>
        <w:t xml:space="preserve"> области гена </w:t>
      </w:r>
      <w:r w:rsidRPr="00062B4F">
        <w:rPr>
          <w:i/>
          <w:szCs w:val="24"/>
          <w:lang w:eastAsia="ru-RU"/>
        </w:rPr>
        <w:t>UGT1A1</w:t>
      </w:r>
      <w:r w:rsidRPr="00062B4F">
        <w:rPr>
          <w:szCs w:val="24"/>
          <w:lang w:eastAsia="ru-RU"/>
        </w:rPr>
        <w:t xml:space="preserve"> (фенотипы (ТА)7/(ТА)7; (ТА)7/(ТА)6 и др.)), характерным для доброкачественных </w:t>
      </w:r>
      <w:proofErr w:type="spellStart"/>
      <w:r w:rsidRPr="00062B4F">
        <w:rPr>
          <w:szCs w:val="24"/>
          <w:lang w:eastAsia="ru-RU"/>
        </w:rPr>
        <w:t>гипербилирубинемий</w:t>
      </w:r>
      <w:proofErr w:type="spellEnd"/>
      <w:r w:rsidRPr="00062B4F">
        <w:rPr>
          <w:szCs w:val="24"/>
          <w:lang w:eastAsia="ru-RU"/>
        </w:rPr>
        <w:t xml:space="preserve"> (</w:t>
      </w:r>
      <w:proofErr w:type="spellStart"/>
      <w:r w:rsidRPr="00062B4F">
        <w:rPr>
          <w:szCs w:val="24"/>
          <w:lang w:eastAsia="ru-RU"/>
        </w:rPr>
        <w:t>Жильбера</w:t>
      </w:r>
      <w:proofErr w:type="spellEnd"/>
      <w:r w:rsidRPr="00062B4F">
        <w:rPr>
          <w:szCs w:val="24"/>
          <w:lang w:eastAsia="ru-RU"/>
        </w:rPr>
        <w:t xml:space="preserve">, Ротора, </w:t>
      </w:r>
      <w:proofErr w:type="spellStart"/>
      <w:r w:rsidRPr="00062B4F">
        <w:rPr>
          <w:szCs w:val="24"/>
          <w:lang w:eastAsia="ru-RU"/>
        </w:rPr>
        <w:t>Дабина</w:t>
      </w:r>
      <w:proofErr w:type="spellEnd"/>
      <w:r w:rsidRPr="00062B4F">
        <w:rPr>
          <w:szCs w:val="24"/>
          <w:lang w:eastAsia="ru-RU"/>
        </w:rPr>
        <w:t xml:space="preserve">-Джонсона). Если гемолиз исключен, активность амилазы и липазы не повышена, а степень билирубинемии составляет 1–2, лечение </w:t>
      </w:r>
      <w:proofErr w:type="spellStart"/>
      <w:r w:rsidRPr="00062B4F">
        <w:rPr>
          <w:szCs w:val="24"/>
          <w:lang w:eastAsia="ru-RU"/>
        </w:rPr>
        <w:t>нилотинибом</w:t>
      </w:r>
      <w:proofErr w:type="spellEnd"/>
      <w:r w:rsidRPr="00062B4F">
        <w:rPr>
          <w:szCs w:val="24"/>
          <w:lang w:eastAsia="ru-RU"/>
        </w:rPr>
        <w:t xml:space="preserve">** следует продолжить в прежней дозе. По мнению большинства исследователей, даже токсичность 3 степени не является поводом к прекращению терапии и снижению дозы. При длительной </w:t>
      </w:r>
      <w:proofErr w:type="spellStart"/>
      <w:r w:rsidRPr="00062B4F">
        <w:rPr>
          <w:szCs w:val="24"/>
          <w:lang w:eastAsia="ru-RU"/>
        </w:rPr>
        <w:t>гипербилирубинемии</w:t>
      </w:r>
      <w:proofErr w:type="spellEnd"/>
      <w:r w:rsidRPr="00062B4F">
        <w:rPr>
          <w:szCs w:val="24"/>
          <w:lang w:eastAsia="ru-RU"/>
        </w:rPr>
        <w:t xml:space="preserve"> целесообразно назначение</w:t>
      </w:r>
      <w:r w:rsidR="000B5D56" w:rsidRPr="00062B4F">
        <w:rPr>
          <w:szCs w:val="24"/>
          <w:lang w:eastAsia="ru-RU"/>
        </w:rPr>
        <w:t xml:space="preserve"> препаратов для лечения заболеваний желчного пузыря</w:t>
      </w:r>
      <w:r w:rsidRPr="00062B4F">
        <w:rPr>
          <w:szCs w:val="24"/>
          <w:lang w:eastAsia="ru-RU"/>
        </w:rPr>
        <w:t>.</w:t>
      </w:r>
    </w:p>
    <w:p w14:paraId="57F519A9" w14:textId="77777777" w:rsidR="000C7098" w:rsidRPr="00062B4F" w:rsidRDefault="000C7098" w:rsidP="00C10677">
      <w:pPr>
        <w:rPr>
          <w:szCs w:val="24"/>
          <w:lang w:eastAsia="ru-RU"/>
        </w:rPr>
      </w:pPr>
      <w:r w:rsidRPr="00062B4F">
        <w:rPr>
          <w:b/>
          <w:bCs/>
          <w:szCs w:val="24"/>
          <w:lang w:eastAsia="ru-RU"/>
        </w:rPr>
        <w:t>Бессимптомное повышении амилазы и/или липазы</w:t>
      </w:r>
    </w:p>
    <w:p w14:paraId="70E63EDC" w14:textId="77777777" w:rsidR="000C7098" w:rsidRPr="00062B4F" w:rsidRDefault="000C7098" w:rsidP="00C10677">
      <w:pPr>
        <w:rPr>
          <w:szCs w:val="24"/>
          <w:lang w:eastAsia="ru-RU"/>
        </w:rPr>
      </w:pPr>
      <w:r w:rsidRPr="00062B4F">
        <w:rPr>
          <w:szCs w:val="24"/>
          <w:lang w:eastAsia="ru-RU"/>
        </w:rPr>
        <w:t xml:space="preserve">Могут часто наблюдаться при лечении </w:t>
      </w:r>
      <w:proofErr w:type="spellStart"/>
      <w:r w:rsidRPr="00062B4F">
        <w:rPr>
          <w:szCs w:val="24"/>
          <w:lang w:eastAsia="ru-RU"/>
        </w:rPr>
        <w:t>нилотинибом</w:t>
      </w:r>
      <w:proofErr w:type="spellEnd"/>
      <w:r w:rsidRPr="00062B4F">
        <w:rPr>
          <w:szCs w:val="24"/>
          <w:lang w:eastAsia="ru-RU"/>
        </w:rPr>
        <w:t xml:space="preserve">**. Явления панкреатита (абдоминальные симптомы в сочетании с лабораторными изменениями) наблюдались </w:t>
      </w:r>
      <w:r w:rsidRPr="00062B4F">
        <w:rPr>
          <w:szCs w:val="24"/>
          <w:lang w:eastAsia="ru-RU"/>
        </w:rPr>
        <w:lastRenderedPageBreak/>
        <w:t xml:space="preserve">менее чем у 1 % пациентов во </w:t>
      </w:r>
      <w:r w:rsidRPr="00062B4F">
        <w:rPr>
          <w:szCs w:val="24"/>
          <w:lang w:val="en-US" w:eastAsia="ru-RU"/>
        </w:rPr>
        <w:t>II</w:t>
      </w:r>
      <w:r w:rsidRPr="00062B4F">
        <w:rPr>
          <w:szCs w:val="24"/>
          <w:lang w:eastAsia="ru-RU"/>
        </w:rPr>
        <w:t xml:space="preserve"> фазе клинических исследований. При 1–2 степени выраженности данных явлений необходимо наблюдение в динамике (повторные биохимические тесты, оценка клинической картины). При развитии 3–4 степени токсичности следует прекратить терапию, провести КТ брюшной полости с контрастированием для исключения патологии поджелудочной железы; при выявлении признаков панкреатита – его лечение. При нормальной КТ</w:t>
      </w:r>
      <w:r w:rsidRPr="00062B4F">
        <w:rPr>
          <w:szCs w:val="24"/>
          <w:lang w:eastAsia="ru-RU"/>
        </w:rPr>
        <w:noBreakHyphen/>
        <w:t xml:space="preserve">картине после уменьшения симптомов до ≤1 степени следует возобновить лечение </w:t>
      </w:r>
      <w:proofErr w:type="spellStart"/>
      <w:r w:rsidRPr="00062B4F">
        <w:rPr>
          <w:szCs w:val="24"/>
          <w:lang w:eastAsia="ru-RU"/>
        </w:rPr>
        <w:t>нилотинибом</w:t>
      </w:r>
      <w:proofErr w:type="spellEnd"/>
      <w:r w:rsidRPr="00062B4F">
        <w:rPr>
          <w:szCs w:val="24"/>
          <w:lang w:eastAsia="ru-RU"/>
        </w:rPr>
        <w:t>** в сниженной дозе (400 мг/</w:t>
      </w:r>
      <w:proofErr w:type="spellStart"/>
      <w:r w:rsidRPr="00062B4F">
        <w:rPr>
          <w:szCs w:val="24"/>
          <w:lang w:eastAsia="ru-RU"/>
        </w:rPr>
        <w:t>сут</w:t>
      </w:r>
      <w:proofErr w:type="spellEnd"/>
      <w:r w:rsidRPr="00062B4F">
        <w:rPr>
          <w:szCs w:val="24"/>
          <w:lang w:eastAsia="ru-RU"/>
        </w:rPr>
        <w:t xml:space="preserve">). При повторном бессимптомном повышении амилазы и липазы до 3-4 степени лечение </w:t>
      </w:r>
      <w:proofErr w:type="spellStart"/>
      <w:r w:rsidRPr="00062B4F">
        <w:rPr>
          <w:szCs w:val="24"/>
          <w:lang w:eastAsia="ru-RU"/>
        </w:rPr>
        <w:t>нилотинибом</w:t>
      </w:r>
      <w:proofErr w:type="spellEnd"/>
      <w:r w:rsidRPr="00062B4F">
        <w:rPr>
          <w:szCs w:val="24"/>
          <w:lang w:eastAsia="ru-RU"/>
        </w:rPr>
        <w:t>** может быть отменено или продолжено по решению врача.</w:t>
      </w:r>
    </w:p>
    <w:p w14:paraId="4C066F4A" w14:textId="77777777" w:rsidR="000C7098" w:rsidRPr="00062B4F" w:rsidRDefault="000C7098" w:rsidP="00C10677">
      <w:pPr>
        <w:rPr>
          <w:szCs w:val="24"/>
          <w:lang w:eastAsia="ru-RU"/>
        </w:rPr>
      </w:pPr>
      <w:r w:rsidRPr="00062B4F">
        <w:rPr>
          <w:b/>
          <w:bCs/>
          <w:szCs w:val="24"/>
          <w:lang w:eastAsia="ru-RU"/>
        </w:rPr>
        <w:t>Гипергликемия</w:t>
      </w:r>
    </w:p>
    <w:p w14:paraId="2DE83CFB" w14:textId="77777777" w:rsidR="000C7098" w:rsidRPr="00062B4F" w:rsidRDefault="000C7098" w:rsidP="00C10677">
      <w:pPr>
        <w:rPr>
          <w:b/>
          <w:bCs/>
          <w:szCs w:val="24"/>
          <w:lang w:eastAsia="ru-RU"/>
        </w:rPr>
      </w:pPr>
      <w:r w:rsidRPr="00062B4F">
        <w:rPr>
          <w:szCs w:val="24"/>
          <w:lang w:eastAsia="ru-RU"/>
        </w:rPr>
        <w:t xml:space="preserve">Также встречается только при лечении </w:t>
      </w:r>
      <w:proofErr w:type="spellStart"/>
      <w:r w:rsidRPr="00062B4F">
        <w:rPr>
          <w:szCs w:val="24"/>
          <w:lang w:eastAsia="ru-RU"/>
        </w:rPr>
        <w:t>нилотинибом</w:t>
      </w:r>
      <w:proofErr w:type="spellEnd"/>
      <w:r w:rsidR="006851B6" w:rsidRPr="00062B4F">
        <w:rPr>
          <w:szCs w:val="24"/>
          <w:lang w:eastAsia="ru-RU"/>
        </w:rPr>
        <w:t>**</w:t>
      </w:r>
      <w:r w:rsidRPr="00062B4F">
        <w:rPr>
          <w:szCs w:val="24"/>
          <w:lang w:eastAsia="ru-RU"/>
        </w:rPr>
        <w:t>. При любой степени данного побочного явления коррекция должна начинаться сразу при его выявлении (гипогликемическая диета). При отсутствии нормализации уровня глюкозы на фоне диеты показана консультация эндокринолога для исключения сахарного диабета.</w:t>
      </w:r>
    </w:p>
    <w:p w14:paraId="41782D85" w14:textId="77777777" w:rsidR="000C7098" w:rsidRPr="00062B4F" w:rsidRDefault="000C7098" w:rsidP="00C10677">
      <w:pPr>
        <w:rPr>
          <w:szCs w:val="24"/>
          <w:lang w:eastAsia="ru-RU"/>
        </w:rPr>
      </w:pPr>
      <w:proofErr w:type="spellStart"/>
      <w:r w:rsidRPr="00062B4F">
        <w:rPr>
          <w:b/>
          <w:bCs/>
          <w:szCs w:val="24"/>
          <w:lang w:eastAsia="ru-RU"/>
        </w:rPr>
        <w:t>Гипофосфатемия</w:t>
      </w:r>
      <w:proofErr w:type="spellEnd"/>
    </w:p>
    <w:p w14:paraId="3A7713F8" w14:textId="77777777" w:rsidR="000C7098" w:rsidRPr="00062B4F" w:rsidRDefault="000C7098" w:rsidP="00C10677">
      <w:pPr>
        <w:rPr>
          <w:szCs w:val="24"/>
          <w:lang w:eastAsia="ru-RU"/>
        </w:rPr>
      </w:pPr>
      <w:r w:rsidRPr="00062B4F">
        <w:rPr>
          <w:szCs w:val="24"/>
          <w:lang w:eastAsia="ru-RU"/>
        </w:rPr>
        <w:t>Встречается при терапии всеми ИТК, как правило, клинически незначима (низкая степень, быстрая нормализация). Рекомендованы диета с увеличением в рационе богатых фосфором молочных и рыбных продуктов, сокращением глюкозы; назначение внутрь препаратов, содержащих фосфаты (витамины, пищевые добавки).</w:t>
      </w:r>
    </w:p>
    <w:p w14:paraId="0545E3F8" w14:textId="77777777" w:rsidR="000C7098" w:rsidRPr="00062B4F" w:rsidRDefault="000C7098" w:rsidP="00C10677">
      <w:pPr>
        <w:rPr>
          <w:szCs w:val="24"/>
          <w:lang w:eastAsia="ru-RU"/>
        </w:rPr>
      </w:pPr>
      <w:proofErr w:type="spellStart"/>
      <w:r w:rsidRPr="00062B4F">
        <w:rPr>
          <w:b/>
          <w:bCs/>
          <w:szCs w:val="24"/>
          <w:lang w:eastAsia="ru-RU"/>
        </w:rPr>
        <w:t>Гипокальциемия</w:t>
      </w:r>
      <w:proofErr w:type="spellEnd"/>
    </w:p>
    <w:p w14:paraId="65475085" w14:textId="77777777" w:rsidR="000C7098" w:rsidRPr="00062B4F" w:rsidRDefault="000C7098" w:rsidP="00C10677">
      <w:pPr>
        <w:rPr>
          <w:szCs w:val="24"/>
          <w:lang w:eastAsia="ru-RU"/>
        </w:rPr>
      </w:pPr>
      <w:r w:rsidRPr="00062B4F">
        <w:rPr>
          <w:szCs w:val="24"/>
          <w:lang w:eastAsia="ru-RU"/>
        </w:rPr>
        <w:t>Рекомендована диета с включением продуктов с повышенным содержанием кальция (молочные продукты), уменьшение потребления углеводов. При необходимости – назначение препаратов кальция внутрь.</w:t>
      </w:r>
    </w:p>
    <w:p w14:paraId="7BE8FDB1" w14:textId="77777777" w:rsidR="000C7098" w:rsidRPr="00062B4F" w:rsidRDefault="000C7098" w:rsidP="00C10677">
      <w:pPr>
        <w:rPr>
          <w:szCs w:val="24"/>
          <w:lang w:eastAsia="ru-RU"/>
        </w:rPr>
      </w:pPr>
      <w:proofErr w:type="spellStart"/>
      <w:r w:rsidRPr="00062B4F">
        <w:rPr>
          <w:b/>
          <w:bCs/>
          <w:szCs w:val="24"/>
          <w:lang w:eastAsia="ru-RU"/>
        </w:rPr>
        <w:t>Гипомагниемия</w:t>
      </w:r>
      <w:proofErr w:type="spellEnd"/>
      <w:r w:rsidRPr="00062B4F">
        <w:rPr>
          <w:b/>
          <w:bCs/>
          <w:szCs w:val="24"/>
          <w:lang w:eastAsia="ru-RU"/>
        </w:rPr>
        <w:t xml:space="preserve">, </w:t>
      </w:r>
      <w:proofErr w:type="spellStart"/>
      <w:r w:rsidRPr="00062B4F">
        <w:rPr>
          <w:b/>
          <w:bCs/>
          <w:szCs w:val="24"/>
          <w:lang w:eastAsia="ru-RU"/>
        </w:rPr>
        <w:t>гипокалиемия</w:t>
      </w:r>
      <w:proofErr w:type="spellEnd"/>
    </w:p>
    <w:p w14:paraId="34596769" w14:textId="77777777" w:rsidR="000C7098" w:rsidRPr="00062B4F" w:rsidRDefault="000C7098" w:rsidP="00C10677">
      <w:pPr>
        <w:rPr>
          <w:szCs w:val="24"/>
          <w:lang w:eastAsia="ru-RU"/>
        </w:rPr>
      </w:pPr>
      <w:r w:rsidRPr="00062B4F">
        <w:rPr>
          <w:szCs w:val="24"/>
          <w:lang w:eastAsia="ru-RU"/>
        </w:rPr>
        <w:t xml:space="preserve">Учитывая опасность удлинения интервала </w:t>
      </w:r>
      <w:r w:rsidRPr="00062B4F">
        <w:rPr>
          <w:i/>
          <w:szCs w:val="24"/>
          <w:lang w:eastAsia="ru-RU"/>
        </w:rPr>
        <w:t>QT</w:t>
      </w:r>
      <w:r w:rsidRPr="00062B4F">
        <w:rPr>
          <w:szCs w:val="24"/>
          <w:lang w:eastAsia="ru-RU"/>
        </w:rPr>
        <w:t xml:space="preserve"> при дефиците этих электролитов, требуется коррекция в виде назначения комбинированных препаратов калия и магния (калия </w:t>
      </w:r>
      <w:proofErr w:type="spellStart"/>
      <w:r w:rsidRPr="00062B4F">
        <w:rPr>
          <w:szCs w:val="24"/>
          <w:lang w:eastAsia="ru-RU"/>
        </w:rPr>
        <w:t>аспарагинат</w:t>
      </w:r>
      <w:proofErr w:type="spellEnd"/>
      <w:r w:rsidRPr="00062B4F">
        <w:rPr>
          <w:szCs w:val="24"/>
          <w:lang w:eastAsia="ru-RU"/>
        </w:rPr>
        <w:t xml:space="preserve"> + магния </w:t>
      </w:r>
      <w:proofErr w:type="spellStart"/>
      <w:r w:rsidRPr="00062B4F">
        <w:rPr>
          <w:szCs w:val="24"/>
          <w:lang w:eastAsia="ru-RU"/>
        </w:rPr>
        <w:t>аспарагинат</w:t>
      </w:r>
      <w:proofErr w:type="spellEnd"/>
      <w:r w:rsidRPr="00062B4F">
        <w:rPr>
          <w:szCs w:val="24"/>
          <w:lang w:eastAsia="ru-RU"/>
        </w:rPr>
        <w:t xml:space="preserve">**) внутрь; при изолированной </w:t>
      </w:r>
      <w:proofErr w:type="spellStart"/>
      <w:r w:rsidRPr="00062B4F">
        <w:rPr>
          <w:szCs w:val="24"/>
          <w:lang w:eastAsia="ru-RU"/>
        </w:rPr>
        <w:t>гипомагниемии</w:t>
      </w:r>
      <w:proofErr w:type="spellEnd"/>
      <w:r w:rsidRPr="00062B4F">
        <w:rPr>
          <w:szCs w:val="24"/>
          <w:lang w:eastAsia="ru-RU"/>
        </w:rPr>
        <w:t xml:space="preserve"> – препараты магния – магния внутрь.</w:t>
      </w:r>
    </w:p>
    <w:p w14:paraId="64E10793" w14:textId="77777777" w:rsidR="000C7098" w:rsidRPr="00062B4F" w:rsidRDefault="000C7098" w:rsidP="00C10677">
      <w:pPr>
        <w:rPr>
          <w:szCs w:val="24"/>
          <w:lang w:eastAsia="ru-RU"/>
        </w:rPr>
      </w:pPr>
      <w:r w:rsidRPr="00062B4F">
        <w:rPr>
          <w:b/>
          <w:bCs/>
          <w:szCs w:val="24"/>
          <w:lang w:eastAsia="ru-RU"/>
        </w:rPr>
        <w:t>Лекарственные взаимодействия при терапии ИТК</w:t>
      </w:r>
    </w:p>
    <w:p w14:paraId="27EC89D7" w14:textId="77777777" w:rsidR="000C7098" w:rsidRPr="00062B4F" w:rsidRDefault="000C7098" w:rsidP="00C10677">
      <w:pPr>
        <w:rPr>
          <w:szCs w:val="24"/>
          <w:lang w:eastAsia="ru-RU"/>
        </w:rPr>
      </w:pPr>
      <w:r w:rsidRPr="00062B4F">
        <w:rPr>
          <w:szCs w:val="24"/>
          <w:lang w:eastAsia="ru-RU"/>
        </w:rPr>
        <w:t xml:space="preserve">Метаболизм всех ИТК осуществляется преимущественно в печени с участием ферментов, относящихся к системе </w:t>
      </w:r>
      <w:proofErr w:type="spellStart"/>
      <w:r w:rsidRPr="00062B4F">
        <w:rPr>
          <w:szCs w:val="24"/>
          <w:lang w:eastAsia="ru-RU"/>
        </w:rPr>
        <w:t>цитохрома</w:t>
      </w:r>
      <w:proofErr w:type="spellEnd"/>
      <w:r w:rsidRPr="00062B4F">
        <w:rPr>
          <w:szCs w:val="24"/>
          <w:lang w:eastAsia="ru-RU"/>
        </w:rPr>
        <w:t xml:space="preserve"> P450; в основном через CYP3A4, в меньшей степени - другими его </w:t>
      </w:r>
      <w:proofErr w:type="spellStart"/>
      <w:r w:rsidRPr="00062B4F">
        <w:rPr>
          <w:szCs w:val="24"/>
          <w:lang w:eastAsia="ru-RU"/>
        </w:rPr>
        <w:t>изоформами</w:t>
      </w:r>
      <w:proofErr w:type="spellEnd"/>
      <w:r w:rsidRPr="00062B4F">
        <w:rPr>
          <w:szCs w:val="24"/>
          <w:lang w:eastAsia="ru-RU"/>
        </w:rPr>
        <w:t xml:space="preserve">, такими, как CYP1A2, CYP2D6, CYP2C9 </w:t>
      </w:r>
      <w:r w:rsidRPr="00062B4F">
        <w:rPr>
          <w:szCs w:val="24"/>
          <w:lang w:eastAsia="ru-RU"/>
        </w:rPr>
        <w:fldChar w:fldCharType="begin" w:fldLock="1"/>
      </w:r>
      <w:r w:rsidR="000B2DB1" w:rsidRPr="00062B4F">
        <w:rPr>
          <w:szCs w:val="24"/>
          <w:lang w:eastAsia="ru-RU"/>
        </w:rPr>
        <w:instrText>ADDIN CSL_CITATION {"citationItems":[{"id":"ITEM-1","itemData":{"DOI":"10.1182/blood-2010-07-294330","ISSN":"0006-4971","PMID":"20810928","abstract":"Several cancer treatments are shifting from traditional, time-limited, nonspecific cytotoxic chemotherapy cycles to continuous oral treatment with specific protein-targeted therapies. In this line, imatinib mesylate, a selective tyrosine kinases inhibitor (TKI), has excellent efficacy in the treatment of chronic myeloid leukemia. It has opened the way to the development of additional TKIs against chronic myeloid leukemia, including nilotinib and dasatinib. TKIs are prescribed for prolonged periods, often in patients with comorbidities. Therefore, they are regularly co-administered along with treatments at risk of drug-drug interactions. This aspect has been partially addressed so far, calling for a comprehensive review of the published data. We review here the available evidence and pharmacologic mechanisms of interactions between imatinib, dasatinib, and nilotinib and widely prescribed co-medications, including known inhibitors or inducers of cytochromes P450 or drug transporters. Information is mostly available for imatinib mesylate, well introduced in clinical practice. Several pharmacokinetic aspects yet remain insufficiently investigated for these drugs. Regular updates will be mandatory and so is the prospective reporting of unexpected clinical observations.","author":[{"dropping-particle":"","family":"Haouala","given":"A.","non-dropping-particle":"","parse-names":false,"suffix":""},{"dropping-particle":"","family":"Widmer","given":"N.","non-dropping-particle":"","parse-names":false,"suffix":""},{"dropping-particle":"","family":"Duchosal","given":"M. A.","non-dropping-particle":"","parse-names":false,"suffix":""},{"dropping-particle":"","family":"Montemurro","given":"M.","non-dropping-particle":"","parse-names":false,"suffix":""},{"dropping-particle":"","family":"Buclin","given":"T.","non-dropping-particle":"","parse-names":false,"suffix":""},{"dropping-particle":"","family":"Decosterd","given":"L. A.","non-dropping-particle":"","parse-names":false,"suffix":""}],"container-title":"Blood","id":"ITEM-1","issue":"8","issued":{"date-parts":[["2011","2"]]},"page":"e75-e87","title":"Drug interactions with the tyrosine kinase inhibitors imatinib, dasatinib, and nilotinib","type":"article-journal","volume":"117"},"uris":["http://www.mendeley.com/documents/?uuid=03c78eaa-d74a-4686-96cf-98f88f76ff3d","http://www.mendeley.com/documents/?uuid=dca35426-2385-3104-a0c3-8de422a4ed51"]}],"mendeley":{"formattedCitation":"[43]","plainTextFormattedCitation":"[43]","previouslyFormattedCitation":"[43]"},"properties":{"noteIndex":0},"schema":"https://github.com/citation-style-language/schema/raw/master/csl-citation.json"}</w:instrText>
      </w:r>
      <w:r w:rsidRPr="00062B4F">
        <w:rPr>
          <w:szCs w:val="24"/>
          <w:lang w:eastAsia="ru-RU"/>
        </w:rPr>
        <w:fldChar w:fldCharType="separate"/>
      </w:r>
      <w:r w:rsidR="00CE7A32" w:rsidRPr="00062B4F">
        <w:rPr>
          <w:noProof/>
          <w:szCs w:val="24"/>
          <w:lang w:eastAsia="ru-RU"/>
        </w:rPr>
        <w:t>[43]</w:t>
      </w:r>
      <w:r w:rsidRPr="00062B4F">
        <w:rPr>
          <w:szCs w:val="24"/>
          <w:lang w:eastAsia="ru-RU"/>
        </w:rPr>
        <w:fldChar w:fldCharType="end"/>
      </w:r>
      <w:r w:rsidRPr="00062B4F">
        <w:rPr>
          <w:szCs w:val="24"/>
          <w:lang w:eastAsia="ru-RU"/>
        </w:rPr>
        <w:t>.</w:t>
      </w:r>
    </w:p>
    <w:p w14:paraId="3870C51D" w14:textId="77777777" w:rsidR="000C7098" w:rsidRPr="00062B4F" w:rsidRDefault="000C7098" w:rsidP="00C10677">
      <w:pPr>
        <w:rPr>
          <w:szCs w:val="24"/>
          <w:lang w:eastAsia="ru-RU"/>
        </w:rPr>
      </w:pPr>
      <w:r w:rsidRPr="00062B4F">
        <w:rPr>
          <w:szCs w:val="24"/>
          <w:lang w:eastAsia="ru-RU"/>
        </w:rPr>
        <w:t xml:space="preserve">Одновременный прием препаратов, активирующих или подавляющих активность </w:t>
      </w:r>
      <w:proofErr w:type="spellStart"/>
      <w:r w:rsidRPr="00062B4F">
        <w:rPr>
          <w:szCs w:val="24"/>
          <w:lang w:eastAsia="ru-RU"/>
        </w:rPr>
        <w:t>цитохрома</w:t>
      </w:r>
      <w:proofErr w:type="spellEnd"/>
      <w:r w:rsidRPr="00062B4F">
        <w:rPr>
          <w:szCs w:val="24"/>
          <w:lang w:eastAsia="ru-RU"/>
        </w:rPr>
        <w:t xml:space="preserve"> Р450, может приводить к изменению концентрации как ИТК, так и принимаемого совместно лекарства, что следует учитывать в клинической практике. В </w:t>
      </w:r>
      <w:r w:rsidRPr="00062B4F">
        <w:rPr>
          <w:szCs w:val="24"/>
          <w:lang w:eastAsia="ru-RU"/>
        </w:rPr>
        <w:lastRenderedPageBreak/>
        <w:t xml:space="preserve">случае, если пациент с ХМЛ принимает одновременно несколько препаратов в качестве сопутствующей терапии, и при этом наблюдается неэффективность лечения либо тяжелая токсичность терапии, можно заподозрить наличие лекарственных взаимодействий, влияющих на уровень ИТК в крови. Поэтому с целью максимальной эффективности терапии при возникновении или утяжелении токсичности, важно исключить или свести к минимуму одновременный прием препаратов, активирующих или подавляющих активность </w:t>
      </w:r>
      <w:proofErr w:type="spellStart"/>
      <w:r w:rsidRPr="00062B4F">
        <w:rPr>
          <w:szCs w:val="24"/>
          <w:lang w:eastAsia="ru-RU"/>
        </w:rPr>
        <w:t>цитохрома</w:t>
      </w:r>
      <w:proofErr w:type="spellEnd"/>
      <w:r w:rsidRPr="00062B4F">
        <w:rPr>
          <w:szCs w:val="24"/>
          <w:lang w:eastAsia="ru-RU"/>
        </w:rPr>
        <w:t xml:space="preserve"> Р450, отдавать предпочтение аналогам с другими путями метаболизма.</w:t>
      </w:r>
    </w:p>
    <w:p w14:paraId="5946B25D" w14:textId="77777777" w:rsidR="000C7098" w:rsidRPr="00062B4F" w:rsidRDefault="000C7098" w:rsidP="00C10677">
      <w:pPr>
        <w:spacing w:line="372" w:lineRule="auto"/>
        <w:rPr>
          <w:szCs w:val="24"/>
          <w:lang w:eastAsia="ru-RU"/>
        </w:rPr>
      </w:pPr>
      <w:r w:rsidRPr="00062B4F">
        <w:rPr>
          <w:szCs w:val="24"/>
          <w:lang w:eastAsia="ru-RU"/>
        </w:rPr>
        <w:t>При одновременном приеме препаратов, повышающих активность CYP3A4 p450, может наблюдаться снижение концентрации ИТК в плазме крови, что уменьшает эффективность ИТК. Соответственно, ингибиторы фермента CYP3A4 p450 могут приводить к повышению концентрации ИТК в плазме, что выражается клинически в усилении проявлений токсичности терапии.</w:t>
      </w:r>
    </w:p>
    <w:p w14:paraId="78A6EE72" w14:textId="30B35F8A" w:rsidR="000C7098" w:rsidRPr="00062B4F" w:rsidRDefault="000C7098" w:rsidP="00C10677">
      <w:pPr>
        <w:rPr>
          <w:szCs w:val="24"/>
          <w:lang w:eastAsia="ru-RU"/>
        </w:rPr>
      </w:pPr>
      <w:r w:rsidRPr="00062B4F">
        <w:rPr>
          <w:szCs w:val="24"/>
          <w:lang w:eastAsia="ru-RU"/>
        </w:rPr>
        <w:t>Кроме того, как отмечено выше, ИТК потенциально могут удлинять интервал QT. В связи с этим не рекомендовано их применение одновременно с другими препаратами, влияющими на удлинение интервала QT.</w:t>
      </w:r>
    </w:p>
    <w:p w14:paraId="37167750" w14:textId="24B89C38" w:rsidR="000C7098" w:rsidRPr="00062B4F" w:rsidRDefault="00CE5B5F" w:rsidP="00C10677">
      <w:pPr>
        <w:rPr>
          <w:b/>
          <w:bCs/>
          <w:szCs w:val="24"/>
          <w:lang w:eastAsia="ru-RU"/>
        </w:rPr>
      </w:pPr>
      <w:r>
        <w:rPr>
          <w:b/>
          <w:bCs/>
          <w:szCs w:val="24"/>
          <w:lang w:eastAsia="ru-RU"/>
        </w:rPr>
        <w:t>Репродуктивная функция</w:t>
      </w:r>
      <w:r w:rsidR="000C7098" w:rsidRPr="00062B4F">
        <w:rPr>
          <w:b/>
          <w:bCs/>
          <w:szCs w:val="24"/>
          <w:lang w:eastAsia="ru-RU"/>
        </w:rPr>
        <w:t xml:space="preserve"> при хроническом </w:t>
      </w:r>
      <w:proofErr w:type="spellStart"/>
      <w:r w:rsidR="000C7098" w:rsidRPr="00062B4F">
        <w:rPr>
          <w:b/>
          <w:bCs/>
          <w:szCs w:val="24"/>
          <w:lang w:eastAsia="ru-RU"/>
        </w:rPr>
        <w:t>миелолейкозе</w:t>
      </w:r>
      <w:proofErr w:type="spellEnd"/>
      <w:r w:rsidR="000C7098" w:rsidRPr="00062B4F">
        <w:rPr>
          <w:b/>
          <w:bCs/>
          <w:szCs w:val="24"/>
          <w:lang w:eastAsia="ru-RU"/>
        </w:rPr>
        <w:t xml:space="preserve"> </w:t>
      </w:r>
    </w:p>
    <w:p w14:paraId="73EC011D" w14:textId="77777777" w:rsidR="000C7098" w:rsidRPr="00062B4F" w:rsidRDefault="000C7098" w:rsidP="00C10677">
      <w:pPr>
        <w:rPr>
          <w:szCs w:val="24"/>
          <w:lang w:eastAsia="ru-RU"/>
        </w:rPr>
      </w:pPr>
      <w:r w:rsidRPr="00062B4F">
        <w:rPr>
          <w:szCs w:val="24"/>
          <w:lang w:eastAsia="ru-RU"/>
        </w:rPr>
        <w:t xml:space="preserve">С пациентами детородного возраста рекомендовано обсудить вопросы планирования семьи при подробной беседе. </w:t>
      </w:r>
    </w:p>
    <w:p w14:paraId="3FF3B98F" w14:textId="77777777" w:rsidR="000C7098" w:rsidRPr="00062B4F" w:rsidRDefault="000C7098" w:rsidP="00C10677">
      <w:pPr>
        <w:rPr>
          <w:b/>
          <w:bCs/>
          <w:szCs w:val="24"/>
          <w:lang w:eastAsia="ru-RU"/>
        </w:rPr>
      </w:pPr>
      <w:r w:rsidRPr="00062B4F">
        <w:rPr>
          <w:b/>
          <w:bCs/>
          <w:szCs w:val="24"/>
          <w:lang w:eastAsia="ru-RU"/>
        </w:rPr>
        <w:t>Отцовство при ХМЛ</w:t>
      </w:r>
    </w:p>
    <w:p w14:paraId="04227EE4" w14:textId="77777777" w:rsidR="000C7098" w:rsidRPr="00062B4F" w:rsidRDefault="000C7098" w:rsidP="00C10677">
      <w:pPr>
        <w:rPr>
          <w:szCs w:val="24"/>
          <w:lang w:eastAsia="ru-RU"/>
        </w:rPr>
      </w:pPr>
      <w:r w:rsidRPr="00062B4F">
        <w:rPr>
          <w:szCs w:val="24"/>
          <w:lang w:eastAsia="ru-RU"/>
        </w:rPr>
        <w:t xml:space="preserve">Зарегистрированные к применению при ХМЛ препараты ИТК не имеют </w:t>
      </w:r>
      <w:proofErr w:type="spellStart"/>
      <w:r w:rsidRPr="00062B4F">
        <w:rPr>
          <w:szCs w:val="24"/>
          <w:lang w:eastAsia="ru-RU"/>
        </w:rPr>
        <w:t>генотоксического</w:t>
      </w:r>
      <w:proofErr w:type="spellEnd"/>
      <w:r w:rsidRPr="00062B4F">
        <w:rPr>
          <w:szCs w:val="24"/>
          <w:lang w:eastAsia="ru-RU"/>
        </w:rPr>
        <w:t xml:space="preserve"> действия. В некоторых случаях описаны изменения </w:t>
      </w:r>
      <w:proofErr w:type="spellStart"/>
      <w:r w:rsidRPr="00062B4F">
        <w:rPr>
          <w:szCs w:val="24"/>
          <w:lang w:eastAsia="ru-RU"/>
        </w:rPr>
        <w:t>спермограммы</w:t>
      </w:r>
      <w:proofErr w:type="spellEnd"/>
      <w:r w:rsidRPr="00062B4F">
        <w:rPr>
          <w:szCs w:val="24"/>
          <w:lang w:eastAsia="ru-RU"/>
        </w:rPr>
        <w:t xml:space="preserve"> при терапии </w:t>
      </w:r>
      <w:proofErr w:type="spellStart"/>
      <w:r w:rsidRPr="00062B4F">
        <w:rPr>
          <w:szCs w:val="24"/>
          <w:lang w:eastAsia="ru-RU"/>
        </w:rPr>
        <w:t>иматинибом</w:t>
      </w:r>
      <w:proofErr w:type="spellEnd"/>
      <w:r w:rsidRPr="00062B4F">
        <w:rPr>
          <w:szCs w:val="24"/>
          <w:lang w:eastAsia="ru-RU"/>
        </w:rPr>
        <w:t>**, однако снижения фертильности не отмечено. Увеличения числа врожденных аномалий у детей партнерш, получавших терапию ИТК, не отмечено</w:t>
      </w:r>
      <w:r w:rsidR="000B2DB1" w:rsidRPr="00062B4F">
        <w:rPr>
          <w:szCs w:val="24"/>
          <w:lang w:eastAsia="ru-RU"/>
        </w:rPr>
        <w:t xml:space="preserve"> </w:t>
      </w:r>
      <w:r w:rsidR="000B2DB1" w:rsidRPr="00062B4F">
        <w:rPr>
          <w:szCs w:val="24"/>
          <w:lang w:eastAsia="ru-RU"/>
        </w:rPr>
        <w:fldChar w:fldCharType="begin" w:fldLock="1"/>
      </w:r>
      <w:r w:rsidR="000B2DB1" w:rsidRPr="00062B4F">
        <w:rPr>
          <w:szCs w:val="24"/>
          <w:lang w:eastAsia="ru-RU"/>
        </w:rPr>
        <w:instrText>ADDIN CSL_CITATION {"citationItems":[{"id":"ITEM-1","itemData":{"DOI":"10.1007/s00404-016-4262-z","ISSN":"14320711","author":[{"dropping-particle":"","family":"Carlier","given":"Patrick","non-dropping-particle":"","parse-names":false,"suffix":""},{"dropping-particle":"","family":"Bernard","given":"Nathalie","non-dropping-particle":"","parse-names":false,"suffix":""},{"dropping-particle":"","family":"Lagarce","given":"Laurence","non-dropping-particle":"","parse-names":false,"suffix":""},{"dropping-particle":"","family":"Dautriche","given":"Anne","non-dropping-particle":"","parse-names":false,"suffix":""},{"dropping-particle":"","family":"Béné","given":"Johana","non-dropping-particle":"","parse-names":false,"suffix":""},{"dropping-particle":"","family":"Fouilhé Sam-Lai","given":"Nathalie","non-dropping-particle":"","parse-names":false,"suffix":""},{"dropping-particle":"","family":"Eftekhari","given":"Pirayeh","non-dropping-particle":"","parse-names":false,"suffix":""}],"container-title":"Archives of gynecology and obstetrics","id":"ITEM-1","issue":"2","issued":{"date-parts":[["2017","2","1"]]},"page":"269-271","publisher":"NLM (Medline)","title":"Pregnancy outcome among partners of male patients receiving imatinib, dasatinib or nilotinib in chronic myeloid leukemia: reports collected by the French network pharmacovigilance centers","type":"article","volume":"295"},"uris":["http://www.mendeley.com/documents/?uuid=cb521d8c-397e-398d-b9e9-984874b3a4cd"]},{"id":"ITEM-2","itemData":{"DOI":"10.1002/ajh.24186","ISSN":"10968652","abstract":"Prolonged survival in patients with chronic myeloid leukemia treated with BCR-ABL1-targeted tyrosine kinase inhibitors allows consideration of parenthood for patients on chronic therapy, but there are limited data about the effects of dasatinib on pregnancy. Pregnancy-related outcomes in dasatinib-treated patients or their partners reported to Bristol-Myers Squibb from clinical trials or healthcare providers through December 2013 were reviewed. Outcomes were available in 46/78 dasatinib-treated women (59%) and 33/69 partners of dasatinib-treated men (48%). Fifteen women (33%) delivered a normal infant; 18 (39%) and 8 (17%) had an elective or spontaneous abortion; and 5 (11%) had an abnormal pregnancy. There were 7 reports of fetal/infant abnormalities (encephalocele, renal tract abnormalities, and hydrops fetalis). Thirty of 33 (91%) infants fathered by dasatinib-treated men were reported normal at birth. Also, animal studies evaluated the impact of dasatinib on fertility, embryo-fetal toxicity, and development, suggesting that dasatinib may be a selective developmental toxicant. The outcomes of most pregnancies conceived by men treated with dasatinib were normal, but due to the small number of cases, further monitoring is required. Significant effects on pregnancy outcomes in women treated with dasatinib were found, supporting current recommendations that women avoid becoming pregnant during dasatinib treatment and be informed of fetal risks.","author":[{"dropping-particle":"","family":"Cortes","given":"Jorge E.","non-dropping-particle":"","parse-names":false,"suffix":""},{"dropping-particle":"","family":"Abruzzese","given":"Elisabetta","non-dropping-particle":"","parse-names":false,"suffix":""},{"dropping-particle":"","family":"Chelysheva","given":"Ekaterina","non-dropping-particle":"","parse-names":false,"suffix":""},{"dropping-particle":"","family":"Guha","given":"Mausumee","non-dropping-particle":"","parse-names":false,"suffix":""},{"dropping-particle":"","family":"Wallis","given":"Nicola","non-dropping-particle":"","parse-names":false,"suffix":""},{"dropping-particle":"","family":"Apperley","given":"Jane F.","non-dropping-particle":"","parse-names":false,"suffix":""}],"container-title":"American Journal of Hematology","id":"ITEM-2","issue":"12","issued":{"date-parts":[["2015","12","1"]]},"page":"1111-1115","publisher":"Wiley-Liss Inc.","title":"The impact of dasatinib on pregnancy outcomes","type":"article-journal","volume":"90"},"uris":["http://www.mendeley.com/documents/?uuid=ed42f8a1-4ef8-3562-a992-6ce8269b1366"]}],"mendeley":{"formattedCitation":"[85,86]","plainTextFormattedCitation":"[85,86]","previouslyFormattedCitation":"[85,86]"},"properties":{"noteIndex":0},"schema":"https://github.com/citation-style-language/schema/raw/master/csl-citation.json"}</w:instrText>
      </w:r>
      <w:r w:rsidR="000B2DB1" w:rsidRPr="00062B4F">
        <w:rPr>
          <w:szCs w:val="24"/>
          <w:lang w:eastAsia="ru-RU"/>
        </w:rPr>
        <w:fldChar w:fldCharType="separate"/>
      </w:r>
      <w:r w:rsidR="000B2DB1" w:rsidRPr="00062B4F">
        <w:rPr>
          <w:noProof/>
          <w:szCs w:val="24"/>
          <w:lang w:eastAsia="ru-RU"/>
        </w:rPr>
        <w:t>[85,86]</w:t>
      </w:r>
      <w:r w:rsidR="000B2DB1" w:rsidRPr="00062B4F">
        <w:rPr>
          <w:szCs w:val="24"/>
          <w:lang w:eastAsia="ru-RU"/>
        </w:rPr>
        <w:fldChar w:fldCharType="end"/>
      </w:r>
      <w:r w:rsidRPr="00062B4F">
        <w:rPr>
          <w:szCs w:val="24"/>
          <w:lang w:eastAsia="ru-RU"/>
        </w:rPr>
        <w:t xml:space="preserve">. </w:t>
      </w:r>
    </w:p>
    <w:p w14:paraId="3A6A9F6F" w14:textId="77777777" w:rsidR="000C7098" w:rsidRPr="00062B4F" w:rsidRDefault="000C7098" w:rsidP="00C10677">
      <w:pPr>
        <w:rPr>
          <w:szCs w:val="24"/>
          <w:lang w:eastAsia="ru-RU"/>
        </w:rPr>
      </w:pPr>
      <w:r w:rsidRPr="00062B4F">
        <w:rPr>
          <w:szCs w:val="24"/>
          <w:lang w:eastAsia="ru-RU"/>
        </w:rPr>
        <w:t xml:space="preserve">Прерывание приема ИТК у мужчин с ХМЛ для зачатия не требуется. В случае если беременность не наступает, показано </w:t>
      </w:r>
      <w:proofErr w:type="spellStart"/>
      <w:r w:rsidRPr="00062B4F">
        <w:rPr>
          <w:szCs w:val="24"/>
          <w:lang w:eastAsia="ru-RU"/>
        </w:rPr>
        <w:t>дообследование</w:t>
      </w:r>
      <w:proofErr w:type="spellEnd"/>
      <w:r w:rsidRPr="00062B4F">
        <w:rPr>
          <w:szCs w:val="24"/>
          <w:lang w:eastAsia="ru-RU"/>
        </w:rPr>
        <w:t xml:space="preserve"> с целью поиска известных факторов, приводящих к бесплодию. </w:t>
      </w:r>
    </w:p>
    <w:p w14:paraId="27733E6A" w14:textId="77777777" w:rsidR="000C7098" w:rsidRPr="00062B4F" w:rsidRDefault="000C7098" w:rsidP="00C10677">
      <w:pPr>
        <w:ind w:firstLine="567"/>
        <w:rPr>
          <w:b/>
        </w:rPr>
      </w:pPr>
      <w:r w:rsidRPr="00062B4F">
        <w:rPr>
          <w:b/>
        </w:rPr>
        <w:t>Беременность у женщин с ХМЛ</w:t>
      </w:r>
    </w:p>
    <w:p w14:paraId="0B2E413A" w14:textId="77777777" w:rsidR="000C7098" w:rsidRPr="00062B4F" w:rsidRDefault="000C7098" w:rsidP="00C10677">
      <w:pPr>
        <w:ind w:firstLine="567"/>
      </w:pPr>
      <w:r w:rsidRPr="00062B4F">
        <w:t xml:space="preserve">По результатам доклинических исследований, у всех ИТК, кроме </w:t>
      </w:r>
      <w:proofErr w:type="spellStart"/>
      <w:r w:rsidRPr="00062B4F">
        <w:t>нилотиниба</w:t>
      </w:r>
      <w:proofErr w:type="spellEnd"/>
      <w:r w:rsidR="006851B6" w:rsidRPr="00062B4F">
        <w:t>**</w:t>
      </w:r>
      <w:r w:rsidRPr="00062B4F">
        <w:t xml:space="preserve">, отмечена возможность развития врожденных аномалий плода. Наибольший риск применения ИТК наблюдается в </w:t>
      </w:r>
      <w:r w:rsidRPr="00062B4F">
        <w:rPr>
          <w:lang w:val="en-US"/>
        </w:rPr>
        <w:t>I</w:t>
      </w:r>
      <w:r w:rsidRPr="00062B4F">
        <w:t xml:space="preserve"> триместре в период основного органогенеза (6–12 неделя беременности), для </w:t>
      </w:r>
      <w:proofErr w:type="spellStart"/>
      <w:r w:rsidRPr="00062B4F">
        <w:t>дазатиниба</w:t>
      </w:r>
      <w:proofErr w:type="spellEnd"/>
      <w:r w:rsidRPr="00062B4F">
        <w:t>** риск существует на любом сроке беременности</w:t>
      </w:r>
      <w:r w:rsidR="000B2DB1" w:rsidRPr="00062B4F">
        <w:t xml:space="preserve"> </w:t>
      </w:r>
      <w:r w:rsidR="000B2DB1" w:rsidRPr="00062B4F">
        <w:fldChar w:fldCharType="begin" w:fldLock="1"/>
      </w:r>
      <w:r w:rsidR="00D611E6" w:rsidRPr="00062B4F">
        <w:instrText>ADDIN CSL_CITATION {"citationItems":[{"id":"ITEM-1","itemData":{"DOI":"10.1002/ajh.24186","ISSN":"10968652","abstract":"Prolonged survival in patients with chronic myeloid leukemia treated with BCR-ABL1-targeted tyrosine kinase inhibitors allows consideration of parenthood for patients on chronic therapy, but there are limited data about the effects of dasatinib on pregnancy. Pregnancy-related outcomes in dasatinib-treated patients or their partners reported to Bristol-Myers Squibb from clinical trials or healthcare providers through December 2013 were reviewed. Outcomes were available in 46/78 dasatinib-treated women (59%) and 33/69 partners of dasatinib-treated men (48%). Fifteen women (33%) delivered a normal infant; 18 (39%) and 8 (17%) had an elective or spontaneous abortion; and 5 (11%) had an abnormal pregnancy. There were 7 reports of fetal/infant abnormalities (encephalocele, renal tract abnormalities, and hydrops fetalis). Thirty of 33 (91%) infants fathered by dasatinib-treated men were reported normal at birth. Also, animal studies evaluated the impact of dasatinib on fertility, embryo-fetal toxicity, and development, suggesting that dasatinib may be a selective developmental toxicant. The outcomes of most pregnancies conceived by men treated with dasatinib were normal, but due to the small number of cases, further monitoring is required. Significant effects on pregnancy outcomes in women treated with dasatinib were found, supporting current recommendations that women avoid becoming pregnant during dasatinib treatment and be informed of fetal risks.","author":[{"dropping-particle":"","family":"Cortes","given":"Jorge E.","non-dropping-particle":"","parse-names":false,"suffix":""},{"dropping-particle":"","family":"Abruzzese","given":"Elisabetta","non-dropping-particle":"","parse-names":false,"suffix":""},{"dropping-particle":"","family":"Chelysheva","given":"Ekaterina","non-dropping-particle":"","parse-names":false,"suffix":""},{"dropping-particle":"","family":"Guha","given":"Mausumee","non-dropping-particle":"","parse-names":false,"suffix":""},{"dropping-particle":"","family":"Wallis","given":"Nicola","non-dropping-particle":"","parse-names":false,"suffix":""},{"dropping-particle":"","family":"Apperley","given":"Jane F.","non-dropping-particle":"","parse-names":false,"suffix":""}],"container-title":"American Journal of Hematology","id":"ITEM-1","issue":"12","issued":{"date-parts":[["2015","12","1"]]},"page":"1111-1115","publisher":"Wiley-Liss Inc.","title":"The impact of dasatinib on pregnancy outcomes","type":"article-journal","volume":"90"},"uris":["http://www.mendeley.com/documents/?uuid=ed42f8a1-4ef8-3562-a992-6ce8269b1366"]},{"id":"ITEM-2","itemData":{"DOI":"10.1111/ejh.13192","ISSN":"16000609","author":[{"dropping-particle":"","family":"Abruzzese","given":"Elisabetta","non-dropping-particle":"","parse-names":false,"suffix":""},{"dropping-particle":"","family":"Fabritiis","given":"Paolo","non-dropping-particle":"de","parse-names":false,"suffix":""},{"dropping-particle":"","family":"Trawinska","given":"Malgorzata M.","non-dropping-particle":"","parse-names":false,"suffix":""},{"dropping-particle":"","family":"Niscola","given":"Pasquale","non-dropping-particle":"","parse-names":false,"suffix":""},{"dropping-particle":"","family":"Apperley","given":"Jane F.","non-dropping-particle":"","parse-names":false,"suffix":""},{"dropping-particle":"","family":"Mauro","given":"Michael J.","non-dropping-particle":"","parse-names":false,"suffix":""}],"container-title":"European Journal of Haematology","id":"ITEM-2","issue":"2","issued":{"date-parts":[["2019","2","1"]]},"page":"197-199","publisher":"Blackwell Publishing Ltd","title":"Back to the future: Treatment-free remission and pregnancy in chronic myeloid leukemia","type":"article","volume":"102"},"uris":["http://www.mendeley.com/documents/?uuid=f695bdc0-fc11-37d6-a24d-43d08c29ddad"]}],"mendeley":{"formattedCitation":"[86,87]","plainTextFormattedCitation":"[86,87]","previouslyFormattedCitation":"[86,87]"},"properties":{"noteIndex":0},"schema":"https://github.com/citation-style-language/schema/raw/master/csl-citation.json"}</w:instrText>
      </w:r>
      <w:r w:rsidR="000B2DB1" w:rsidRPr="00062B4F">
        <w:fldChar w:fldCharType="separate"/>
      </w:r>
      <w:r w:rsidR="000B2DB1" w:rsidRPr="00062B4F">
        <w:rPr>
          <w:noProof/>
        </w:rPr>
        <w:t>[86,87]</w:t>
      </w:r>
      <w:r w:rsidR="000B2DB1" w:rsidRPr="00062B4F">
        <w:fldChar w:fldCharType="end"/>
      </w:r>
      <w:r w:rsidRPr="00062B4F">
        <w:t xml:space="preserve">. При этом в инструкциях по применению всех ИТК имеются противопоказания для приема во время беременности. С другой стороны, отмена ИТК на период беременности может привести к увеличению объема опухолевого клона и развитию рецидива ХМЛ. </w:t>
      </w:r>
    </w:p>
    <w:p w14:paraId="088903F3" w14:textId="77777777" w:rsidR="000C7098" w:rsidRPr="00062B4F" w:rsidRDefault="000C7098" w:rsidP="00C10677">
      <w:pPr>
        <w:ind w:firstLine="567"/>
        <w:rPr>
          <w:b/>
        </w:rPr>
      </w:pPr>
      <w:r w:rsidRPr="00062B4F">
        <w:rPr>
          <w:b/>
        </w:rPr>
        <w:lastRenderedPageBreak/>
        <w:t xml:space="preserve">Планирование беременности </w:t>
      </w:r>
    </w:p>
    <w:p w14:paraId="0B692565" w14:textId="77777777" w:rsidR="000C7098" w:rsidRPr="00062B4F" w:rsidRDefault="000C7098" w:rsidP="00C10677">
      <w:pPr>
        <w:ind w:firstLine="567"/>
      </w:pPr>
      <w:r w:rsidRPr="00062B4F">
        <w:t>Планирование беременности</w:t>
      </w:r>
      <w:r w:rsidRPr="00062B4F">
        <w:rPr>
          <w:b/>
        </w:rPr>
        <w:t xml:space="preserve"> </w:t>
      </w:r>
      <w:r w:rsidRPr="00062B4F">
        <w:t>и отмена ИТК наиболее безопасны при сохранении глубокого МО (МО4,5) в течение 2 лет. Учитывая, что беременность может не наступить сразу, отмена ИТК для зачатия является предметом дискуссии. В 50–70 % случаев беременность диагностируется на фоне терапии ИТК</w:t>
      </w:r>
      <w:r w:rsidR="00D611E6" w:rsidRPr="00062B4F">
        <w:t xml:space="preserve"> </w:t>
      </w:r>
      <w:r w:rsidR="00D611E6" w:rsidRPr="00062B4F">
        <w:fldChar w:fldCharType="begin" w:fldLock="1"/>
      </w:r>
      <w:r w:rsidR="00D611E6" w:rsidRPr="00062B4F">
        <w:instrText>ADDIN CSL_CITATION {"citationItems":[{"id":"ITEM-1","itemData":{"author":[{"dropping-particle":"","family":"Abruzzese","given":"Elisabetta","non-dropping-particle":"","parse-names":false,"suffix":""},{"dropping-particle":"","family":"Fabritiis","given":"Paolo","non-dropping-particle":"De","parse-names":false,"suffix":""},{"dropping-particle":"","family":"Trawinska","given":"Malgorzata M.","non-dropping-particle":"","parse-names":false,"suffix":""}],"container-title":"60th Congress of the American Society of Hematology","id":"ITEM-1","issued":{"date-parts":[["2018"]]},"page":"Abstract 43","title":"GIMEMA Registry of conception/pregnancy in adult Italian patients diagnosed with chronic myeloid leukemia (CML): report on 166 outcomes","type":"paper-conference"},"uris":["http://www.mendeley.com/documents/?uuid=bb0c09f1-723c-47ad-8771-f1fa3400e5f0"]}],"mendeley":{"formattedCitation":"[88]","plainTextFormattedCitation":"[88]","previouslyFormattedCitation":"[88]"},"properties":{"noteIndex":0},"schema":"https://github.com/citation-style-language/schema/raw/master/csl-citation.json"}</w:instrText>
      </w:r>
      <w:r w:rsidR="00D611E6" w:rsidRPr="00062B4F">
        <w:fldChar w:fldCharType="separate"/>
      </w:r>
      <w:r w:rsidR="00D611E6" w:rsidRPr="00062B4F">
        <w:rPr>
          <w:noProof/>
        </w:rPr>
        <w:t>[88]</w:t>
      </w:r>
      <w:r w:rsidR="00D611E6" w:rsidRPr="00062B4F">
        <w:fldChar w:fldCharType="end"/>
      </w:r>
      <w:r w:rsidRPr="00062B4F">
        <w:t xml:space="preserve">, при отмене ИТК сразу после подтверждения беременности отмечается ее нормальное течение и рождение здоровых детей. В связи с этим допустимо зачатие на фоне терапии ИТК с немедленной отменой ИТК сразу после подтверждения беременности на ранних сроках (ХГЧ, УЗ-исследование). </w:t>
      </w:r>
    </w:p>
    <w:p w14:paraId="5BCC5C4C" w14:textId="12D3F343" w:rsidR="000C7098" w:rsidRPr="00062B4F" w:rsidRDefault="000C7098" w:rsidP="00C10677">
      <w:pPr>
        <w:ind w:firstLine="567"/>
      </w:pPr>
      <w:r w:rsidRPr="00062B4F">
        <w:t xml:space="preserve">Вплоть до 15 недели беременности (до установления гемато-плацентарного барьера), рекомендовано наблюдение без терапии ИТК. </w:t>
      </w:r>
      <w:r w:rsidR="003209F5" w:rsidRPr="003209F5">
        <w:t xml:space="preserve">При наличии показаний к </w:t>
      </w:r>
      <w:proofErr w:type="gramStart"/>
      <w:r w:rsidR="003209F5" w:rsidRPr="003209F5">
        <w:t>проведению  терапии</w:t>
      </w:r>
      <w:proofErr w:type="gramEnd"/>
      <w:r w:rsidR="003209F5" w:rsidRPr="003209F5">
        <w:t xml:space="preserve"> во II-III триместре беременности возможно рассматривать применение #</w:t>
      </w:r>
      <w:proofErr w:type="spellStart"/>
      <w:r w:rsidR="003209F5" w:rsidRPr="003209F5">
        <w:t>иматиниба</w:t>
      </w:r>
      <w:proofErr w:type="spellEnd"/>
      <w:r w:rsidR="003209F5" w:rsidRPr="003209F5">
        <w:t>** в дозе 400 мг и #</w:t>
      </w:r>
      <w:proofErr w:type="spellStart"/>
      <w:r w:rsidR="003209F5" w:rsidRPr="003209F5">
        <w:t>нилотиниба</w:t>
      </w:r>
      <w:proofErr w:type="spellEnd"/>
      <w:r w:rsidR="003209F5" w:rsidRPr="003209F5">
        <w:t>** в дозе 400 мг в том же режиме, что и у небеременных пациенток [88,89</w:t>
      </w:r>
      <w:r w:rsidR="00180B69">
        <w:t>,102</w:t>
      </w:r>
      <w:r w:rsidR="003209F5" w:rsidRPr="003209F5">
        <w:t>], учитывая ограниченное проникновение этих ИТК через плаценту</w:t>
      </w:r>
      <w:r w:rsidRPr="00062B4F">
        <w:t xml:space="preserve">. </w:t>
      </w:r>
      <w:proofErr w:type="spellStart"/>
      <w:r w:rsidRPr="00062B4F">
        <w:t>Дазатиниб</w:t>
      </w:r>
      <w:proofErr w:type="spellEnd"/>
      <w:r w:rsidR="006851B6" w:rsidRPr="00062B4F">
        <w:t>**</w:t>
      </w:r>
      <w:r w:rsidRPr="00062B4F">
        <w:t xml:space="preserve"> и любые другие ИТК противопоказаны на любом сроке беременности.</w:t>
      </w:r>
      <w:r w:rsidR="003209F5">
        <w:rPr>
          <w:rStyle w:val="ww7qxh8"/>
          <w:rFonts w:ascii="Calibri" w:hAnsi="Calibri"/>
          <w:sz w:val="23"/>
          <w:szCs w:val="23"/>
        </w:rPr>
        <w:t xml:space="preserve">  </w:t>
      </w:r>
    </w:p>
    <w:p w14:paraId="49FDA9D3" w14:textId="77777777" w:rsidR="000C7098" w:rsidRPr="00062B4F" w:rsidRDefault="000C7098" w:rsidP="00C10677">
      <w:pPr>
        <w:ind w:firstLine="567"/>
      </w:pPr>
      <w:r w:rsidRPr="00062B4F">
        <w:t>Альтернативной терапией во время беременности может быть применение</w:t>
      </w:r>
      <w:r w:rsidR="00EF70CC" w:rsidRPr="00062B4F">
        <w:t xml:space="preserve"> #ИФ-α** </w:t>
      </w:r>
      <w:r w:rsidRPr="00062B4F">
        <w:t xml:space="preserve"> в дозе 3–6 МЕ ежедневно</w:t>
      </w:r>
      <w:r w:rsidR="004E6FC7" w:rsidRPr="00062B4F">
        <w:t xml:space="preserve"> </w:t>
      </w:r>
      <w:r w:rsidR="004E6FC7" w:rsidRPr="00062B4F">
        <w:fldChar w:fldCharType="begin" w:fldLock="1"/>
      </w:r>
      <w:r w:rsidR="00D611E6" w:rsidRPr="00062B4F">
        <w:instrText>ADDIN CSL_CITATION {"citationItems":[{"id":"ITEM-1","itemData":{"DOI":"10.1002/ajh.9876","ISSN":"03618609","abstract":"Three patients with Chronic Myeloid Leukemia (CML) in chronic phase received Interferon-α during pregnancy, starting from the 1st trimester. No maternal complications were reported. The 3 patients delivered normal looking babies apart from one baby who was found to have transient mild thrombocytopenia. Subsequently these children were followed for 30, 12, and 4 months and all had normal growth and development. © 2002 Wiley-Liss, Inc.","author":[{"dropping-particle":"","family":"Mubarak","given":"A. A.S.","non-dropping-particle":"","parse-names":false,"suffix":""},{"dropping-particle":"","family":"Kakil","given":"I. R.","non-dropping-particle":"","parse-names":false,"suffix":""},{"dropping-particle":"","family":"Awidi","given":"A.","non-dropping-particle":"","parse-names":false,"suffix":""},{"dropping-particle":"","family":"Al-Homsi","given":"U.","non-dropping-particle":"","parse-names":false,"suffix":""},{"dropping-particle":"","family":"Fawzi","given":"Z.","non-dropping-particle":"","parse-names":false,"suffix":""},{"dropping-particle":"","family":"Kelta","given":"M.","non-dropping-particle":"","parse-names":false,"suffix":""},{"dropping-particle":"","family":"Al-Hassan","given":"A.","non-dropping-particle":"","parse-names":false,"suffix":""}],"container-title":"American Journal of Hematology","id":"ITEM-1","issue":"2","issued":{"date-parts":[["2002"]]},"page":"115-118","publisher":"Wiley-Liss Inc.","title":"Normal outcome of pregnancy in chronic myeloid leukemia treated with interferon-α in 1st trimester: Report of 3 cases and review of the literature","type":"article-journal","volume":"69"},"uris":["http://www.mendeley.com/documents/?uuid=5bc84051-e1b4-327a-9ff5-d9a2decc95bd"]}],"mendeley":{"formattedCitation":"[90]","plainTextFormattedCitation":"[90]","previouslyFormattedCitation":"[90]"},"properties":{"noteIndex":0},"schema":"https://github.com/citation-style-language/schema/raw/master/csl-citation.json"}</w:instrText>
      </w:r>
      <w:r w:rsidR="004E6FC7" w:rsidRPr="00062B4F">
        <w:fldChar w:fldCharType="separate"/>
      </w:r>
      <w:r w:rsidR="00D611E6" w:rsidRPr="00062B4F">
        <w:rPr>
          <w:noProof/>
        </w:rPr>
        <w:t>[90]</w:t>
      </w:r>
      <w:r w:rsidR="004E6FC7" w:rsidRPr="00062B4F">
        <w:fldChar w:fldCharType="end"/>
      </w:r>
      <w:r w:rsidRPr="00062B4F">
        <w:t xml:space="preserve">. Данный подход наиболее эффективен при небольшой опухолевой массе. С </w:t>
      </w:r>
      <w:proofErr w:type="spellStart"/>
      <w:r w:rsidRPr="00062B4F">
        <w:t>циторедуктивной</w:t>
      </w:r>
      <w:proofErr w:type="spellEnd"/>
      <w:r w:rsidRPr="00062B4F">
        <w:t xml:space="preserve"> целью при уровне лейкоцитов более 100 тыс. возможно применение </w:t>
      </w:r>
      <w:proofErr w:type="spellStart"/>
      <w:r w:rsidRPr="00062B4F">
        <w:t>лейкафереза</w:t>
      </w:r>
      <w:proofErr w:type="spellEnd"/>
      <w:r w:rsidRPr="00062B4F">
        <w:t xml:space="preserve"> (симптоматический эффект). </w:t>
      </w:r>
    </w:p>
    <w:p w14:paraId="2368D1CE" w14:textId="77777777" w:rsidR="000C7098" w:rsidRPr="00062B4F" w:rsidRDefault="000C7098" w:rsidP="00C10677">
      <w:pPr>
        <w:rPr>
          <w:b/>
          <w:bCs/>
          <w:szCs w:val="24"/>
          <w:lang w:eastAsia="ru-RU"/>
        </w:rPr>
      </w:pPr>
      <w:r w:rsidRPr="00062B4F">
        <w:rPr>
          <w:b/>
          <w:bCs/>
          <w:szCs w:val="24"/>
          <w:lang w:eastAsia="ru-RU"/>
        </w:rPr>
        <w:t>Ведение беременности при отсутствии стабильного глубокого МО</w:t>
      </w:r>
    </w:p>
    <w:p w14:paraId="074590A0" w14:textId="638EFF21" w:rsidR="000C7098" w:rsidRPr="00062B4F" w:rsidRDefault="000C7098" w:rsidP="00C10677">
      <w:r w:rsidRPr="00062B4F">
        <w:t xml:space="preserve">Глубокий МО сроком менее 2 лет и БМО могут быть приемлемыми клиническими ситуациями для наблюдения без терапии либо применения интерферона альфа. При отсутствии БМО перерывы в терапии ИТК является </w:t>
      </w:r>
      <w:proofErr w:type="spellStart"/>
      <w:r w:rsidRPr="00062B4F">
        <w:t>прогностически</w:t>
      </w:r>
      <w:proofErr w:type="spellEnd"/>
      <w:r w:rsidRPr="00062B4F">
        <w:t xml:space="preserve"> неблагоприятным для последующего ответа на терапию. При потере МО2 и росте уровня BCR</w:t>
      </w:r>
      <w:r w:rsidRPr="00062B4F">
        <w:noBreakHyphen/>
        <w:t xml:space="preserve">ABL &gt;1 % во время беременности целесообразно рассмотреть применение </w:t>
      </w:r>
      <w:r w:rsidR="00304DD9" w:rsidRPr="00062B4F">
        <w:t>#</w:t>
      </w:r>
      <w:proofErr w:type="spellStart"/>
      <w:r w:rsidRPr="00062B4F">
        <w:t>иматиниба</w:t>
      </w:r>
      <w:proofErr w:type="spellEnd"/>
      <w:r w:rsidR="00577329" w:rsidRPr="00062B4F">
        <w:t>**</w:t>
      </w:r>
      <w:r w:rsidRPr="00062B4F">
        <w:t xml:space="preserve"> или </w:t>
      </w:r>
      <w:r w:rsidR="00304DD9" w:rsidRPr="00062B4F">
        <w:t>#</w:t>
      </w:r>
      <w:proofErr w:type="spellStart"/>
      <w:r w:rsidRPr="00062B4F">
        <w:t>нилотиниба</w:t>
      </w:r>
      <w:proofErr w:type="spellEnd"/>
      <w:r w:rsidR="006851B6" w:rsidRPr="00062B4F">
        <w:t>**</w:t>
      </w:r>
      <w:r w:rsidRPr="00062B4F">
        <w:t xml:space="preserve"> после 15 недель беременности</w:t>
      </w:r>
      <w:r w:rsidR="00304DD9" w:rsidRPr="00062B4F">
        <w:t xml:space="preserve"> </w:t>
      </w:r>
      <w:r w:rsidR="00D611E6" w:rsidRPr="00062B4F">
        <w:fldChar w:fldCharType="begin" w:fldLock="1"/>
      </w:r>
      <w:r w:rsidR="00D611E6" w:rsidRPr="00062B4F">
        <w:instrText>ADDIN CSL_CITATION {"citationItems":[{"id":"ITEM-1","itemData":{"author":[{"dropping-particle":"","family":"Abruzzese","given":"Elisabetta","non-dropping-particle":"","parse-names":false,"suffix":""},{"dropping-particle":"","family":"Fabritiis","given":"Paolo","non-dropping-particle":"De","parse-names":false,"suffix":""},{"dropping-particle":"","family":"Trawinska","given":"Malgorzata M.","non-dropping-particle":"","parse-names":false,"suffix":""}],"container-title":"60th Congress of the American Society of Hematology","id":"ITEM-1","issued":{"date-parts":[["2018"]]},"page":"Abstract 43","title":"GIMEMA Registry of conception/pregnancy in adult Italian patients diagnosed with chronic myeloid leukemia (CML): report on 166 outcomes","type":"paper-conference"},"uris":["http://www.mendeley.com/documents/?uuid=bb0c09f1-723c-47ad-8771-f1fa3400e5f0"]},{"id":"ITEM-2","itemData":{"DOI":"10.1111/ejh.13215","ISSN":"16000609","author":[{"dropping-particle":"","family":"Chelysheva","given":"Ekaterina","non-dropping-particle":"","parse-names":false,"suffix":""},{"dropping-particle":"","family":"Turkina","given":"Anna","non-dropping-particle":"","parse-names":false,"suffix":""}],"container-title":"European Journal of Haematology","id":"ITEM-2","issue":"4","issued":{"date-parts":[["2019","4","1"]]},"page":"378-379","publisher":"Blackwell Publishing Ltd","title":"Risks and challenges of CML management during pregnancy: Looking for a balanced decision","type":"article","volume":"102"},"uris":["http://www.mendeley.com/documents/?uuid=9b0937cc-61ac-37a8-8f2a-4af7940d0860"]}],"mendeley":{"formattedCitation":"[88,89]","plainTextFormattedCitation":"[88,89]","previouslyFormattedCitation":"[88,89]"},"properties":{"noteIndex":0},"schema":"https://github.com/citation-style-language/schema/raw/master/csl-citation.json"}</w:instrText>
      </w:r>
      <w:r w:rsidR="00D611E6" w:rsidRPr="00062B4F">
        <w:fldChar w:fldCharType="separate"/>
      </w:r>
      <w:r w:rsidR="00D611E6" w:rsidRPr="00062B4F">
        <w:rPr>
          <w:noProof/>
        </w:rPr>
        <w:t>[88,89</w:t>
      </w:r>
      <w:r w:rsidR="00180B69">
        <w:rPr>
          <w:noProof/>
        </w:rPr>
        <w:t>,102</w:t>
      </w:r>
      <w:r w:rsidR="00D611E6" w:rsidRPr="00062B4F">
        <w:rPr>
          <w:noProof/>
        </w:rPr>
        <w:t>]</w:t>
      </w:r>
      <w:r w:rsidR="00D611E6" w:rsidRPr="00062B4F">
        <w:fldChar w:fldCharType="end"/>
      </w:r>
      <w:r w:rsidRPr="00062B4F">
        <w:t>.</w:t>
      </w:r>
    </w:p>
    <w:p w14:paraId="12C9F3DD" w14:textId="77777777" w:rsidR="000C7098" w:rsidRPr="00062B4F" w:rsidRDefault="000C7098" w:rsidP="00C10677">
      <w:pPr>
        <w:rPr>
          <w:b/>
        </w:rPr>
      </w:pPr>
      <w:r w:rsidRPr="00062B4F">
        <w:rPr>
          <w:b/>
        </w:rPr>
        <w:t>ХМЛ, выявленный впервые во время беременности</w:t>
      </w:r>
    </w:p>
    <w:p w14:paraId="689D1F6D" w14:textId="09649494" w:rsidR="000C7098" w:rsidRPr="00062B4F" w:rsidRDefault="000C7098" w:rsidP="00C10677">
      <w:r w:rsidRPr="00062B4F">
        <w:t xml:space="preserve">При диагностировании ХМЛ в </w:t>
      </w:r>
      <w:r w:rsidRPr="00062B4F">
        <w:rPr>
          <w:lang w:val="en-US"/>
        </w:rPr>
        <w:t>I</w:t>
      </w:r>
      <w:r w:rsidRPr="00062B4F">
        <w:t xml:space="preserve"> триместре беременности необходимо обсудить с пациенткой прерывание или сохранение беременности с учетом ее индивидуальных особенностей (возраст, социальные особенности, сопутствующие состояния) и фазы заболевания. При ХФ ХМЛ возможно сохранение беременности. При ФА и БК ХМЛ показано прерывание. На ранних сроках беременности возможно наблюдение без терапии или терапия </w:t>
      </w:r>
      <w:r w:rsidR="003F4A64" w:rsidRPr="00062B4F">
        <w:t>#ИФ-α** в дозе 3–6 МЕ ежедневно</w:t>
      </w:r>
      <w:r w:rsidR="003F4A64" w:rsidRPr="00062B4F" w:rsidDel="003F4A64">
        <w:t xml:space="preserve"> </w:t>
      </w:r>
      <w:r w:rsidR="003F4A64" w:rsidRPr="00062B4F">
        <w:fldChar w:fldCharType="begin" w:fldLock="1"/>
      </w:r>
      <w:r w:rsidR="0074219A" w:rsidRPr="00062B4F">
        <w:instrText>ADDIN CSL_CITATION {"citationItems":[{"id":"ITEM-1","itemData":{"DOI":"10.1002/ajh.9876","ISSN":"03618609","abstract":"Three patients with Chronic Myeloid Leukemia (CML) in chronic phase received Interferon-α during pregnancy, starting from the 1st trimester. No maternal complications were reported. The 3 patients delivered normal looking babies apart from one baby who was found to have transient mild thrombocytopenia. Subsequently these children were followed for 30, 12, and 4 months and all had normal growth and development. © 2002 Wiley-Liss, Inc.","author":[{"dropping-particle":"","family":"Mubarak","given":"A. A.S.","non-dropping-particle":"","parse-names":false,"suffix":""},{"dropping-particle":"","family":"Kakil","given":"I. R.","non-dropping-particle":"","parse-names":false,"suffix":""},{"dropping-particle":"","family":"Awidi","given":"A.","non-dropping-particle":"","parse-names":false,"suffix":""},{"dropping-particle":"","family":"Al-Homsi","given":"U.","non-dropping-particle":"","parse-names":false,"suffix":""},{"dropping-particle":"","family":"Fawzi","given":"Z.","non-dropping-particle":"","parse-names":false,"suffix":""},{"dropping-particle":"","family":"Kelta","given":"M.","non-dropping-particle":"","parse-names":false,"suffix":""},{"dropping-particle":"","family":"Al-Hassan","given":"A.","non-dropping-particle":"","parse-names":false,"suffix":""}],"container-title":"American Journal of Hematology","id":"ITEM-1","issue":"2","issued":{"date-parts":[["2002"]]},"page":"115-118","publisher":"Wiley-Liss Inc.","title":"Normal outcome of pregnancy in chronic myeloid leukemia treated with interferon-α in 1st trimester: Report of 3 cases and review of the literature","type":"article-journal","volume":"69"},"uris":["http://www.mendeley.com/documents/?uuid=5bc84051-e1b4-327a-9ff5-d9a2decc95bd"]}],"mendeley":{"formattedCitation":"[90]","plainTextFormattedCitation":"[90]","previouslyFormattedCitation":"[90]"},"properties":{"noteIndex":0},"schema":"https://github.com/citation-style-language/schema/raw/master/csl-citation.json"}</w:instrText>
      </w:r>
      <w:r w:rsidR="003F4A64" w:rsidRPr="00062B4F">
        <w:fldChar w:fldCharType="separate"/>
      </w:r>
      <w:r w:rsidR="00D611E6" w:rsidRPr="00062B4F">
        <w:rPr>
          <w:noProof/>
        </w:rPr>
        <w:t>[90]</w:t>
      </w:r>
      <w:r w:rsidR="003F4A64" w:rsidRPr="00062B4F">
        <w:fldChar w:fldCharType="end"/>
      </w:r>
      <w:r w:rsidRPr="00062B4F">
        <w:t xml:space="preserve">, после 15 недели беременности рекомендовано начать терапию </w:t>
      </w:r>
      <w:r w:rsidR="003F4A64" w:rsidRPr="00062B4F">
        <w:t>#</w:t>
      </w:r>
      <w:proofErr w:type="spellStart"/>
      <w:r w:rsidRPr="00062B4F">
        <w:t>иматинибом</w:t>
      </w:r>
      <w:proofErr w:type="spellEnd"/>
      <w:r w:rsidR="003F4A64" w:rsidRPr="00062B4F">
        <w:t>** в том же режиме, что и у небеременных пациенток</w:t>
      </w:r>
      <w:r w:rsidR="0074219A" w:rsidRPr="00062B4F">
        <w:t xml:space="preserve"> </w:t>
      </w:r>
      <w:r w:rsidR="0074219A" w:rsidRPr="00062B4F">
        <w:fldChar w:fldCharType="begin" w:fldLock="1"/>
      </w:r>
      <w:r w:rsidR="0074219A" w:rsidRPr="00062B4F">
        <w:instrText>ADDIN CSL_CITATION {"citationItems":[{"id":"ITEM-1","itemData":{"author":[{"dropping-particle":"","family":"Abruzzese","given":"Elisabetta","non-dropping-particle":"","parse-names":false,"suffix":""},{"dropping-particle":"","family":"Fabritiis","given":"Paolo","non-dropping-particle":"De","parse-names":false,"suffix":""},{"dropping-particle":"","family":"Trawinska","given":"Malgorzata M.","non-dropping-particle":"","parse-names":false,"suffix":""}],"container-title":"60th Congress of the American Society of Hematology","id":"ITEM-1","issued":{"date-parts":[["2018"]]},"page":"Abstract 43","title":"GIMEMA Registry of conception/pregnancy in adult Italian patients diagnosed with chronic myeloid leukemia (CML): report on 166 outcomes","type":"paper-conference"},"uris":["http://www.mendeley.com/documents/?uuid=bb0c09f1-723c-47ad-8771-f1fa3400e5f0"]},{"id":"ITEM-2","itemData":{"DOI":"10.1111/ejh.13215","ISSN":"16000609","author":[{"dropping-particle":"","family":"Chelysheva","given":"Ekaterina","non-dropping-particle":"","parse-names":false,"suffix":""},{"dropping-particle":"","family":"Turkina","given":"Anna","non-dropping-particle":"","parse-names":false,"suffix":""}],"container-title":"European Journal of Haematology","id":"ITEM-2","issue":"4","issued":{"date-parts":[["2019","4","1"]]},"page":"378-379","publisher":"Blackwell Publishing Ltd","title":"Risks and challenges of CML management during pregnancy: Looking for a balanced decision","type":"article","volume":"102"},"uris":["http://www.mendeley.com/documents/?uuid=9b0937cc-61ac-37a8-8f2a-4af7940d0860"]}],"mendeley":{"formattedCitation":"[88,89]","plainTextFormattedCitation":"[88,89]","previouslyFormattedCitation":"[88,89]"},"properties":{"noteIndex":0},"schema":"https://github.com/citation-style-language/schema/raw/master/csl-citation.json"}</w:instrText>
      </w:r>
      <w:r w:rsidR="0074219A" w:rsidRPr="00062B4F">
        <w:fldChar w:fldCharType="separate"/>
      </w:r>
      <w:r w:rsidR="0074219A" w:rsidRPr="00062B4F">
        <w:rPr>
          <w:noProof/>
        </w:rPr>
        <w:t>[88,89</w:t>
      </w:r>
      <w:r w:rsidR="00180B69">
        <w:rPr>
          <w:noProof/>
        </w:rPr>
        <w:t>,102</w:t>
      </w:r>
      <w:r w:rsidR="0074219A" w:rsidRPr="00062B4F">
        <w:rPr>
          <w:noProof/>
        </w:rPr>
        <w:t>]</w:t>
      </w:r>
      <w:r w:rsidR="0074219A" w:rsidRPr="00062B4F">
        <w:fldChar w:fldCharType="end"/>
      </w:r>
      <w:r w:rsidRPr="00062B4F">
        <w:t xml:space="preserve">. При выявлении ХМЛ во </w:t>
      </w:r>
      <w:r w:rsidRPr="00062B4F">
        <w:rPr>
          <w:lang w:val="en-US"/>
        </w:rPr>
        <w:t>II</w:t>
      </w:r>
      <w:r w:rsidRPr="00062B4F">
        <w:t>–</w:t>
      </w:r>
      <w:r w:rsidRPr="00062B4F">
        <w:rPr>
          <w:lang w:val="en-US"/>
        </w:rPr>
        <w:t>III</w:t>
      </w:r>
      <w:r w:rsidRPr="00062B4F">
        <w:t xml:space="preserve"> триместре беременности </w:t>
      </w:r>
      <w:r w:rsidRPr="00062B4F">
        <w:lastRenderedPageBreak/>
        <w:t xml:space="preserve">рекомендовано сохранение беременности и проведение терапии </w:t>
      </w:r>
      <w:r w:rsidR="003F4A64" w:rsidRPr="00062B4F">
        <w:t>#</w:t>
      </w:r>
      <w:proofErr w:type="spellStart"/>
      <w:r w:rsidR="003F4A64" w:rsidRPr="00062B4F">
        <w:t>иматинибом</w:t>
      </w:r>
      <w:proofErr w:type="spellEnd"/>
      <w:r w:rsidR="003F4A64" w:rsidRPr="00062B4F">
        <w:t>** в том же режиме, что и у небеременных пациенток</w:t>
      </w:r>
      <w:r w:rsidRPr="00062B4F">
        <w:t xml:space="preserve">. При выявлении ХМЛ в </w:t>
      </w:r>
      <w:r w:rsidRPr="00062B4F">
        <w:rPr>
          <w:lang w:val="en-US"/>
        </w:rPr>
        <w:t>III</w:t>
      </w:r>
      <w:r w:rsidRPr="00062B4F">
        <w:t xml:space="preserve"> триместре, относительно небольшом лейкоцитозе и ожидаемому сроку родов в течение 1–2 месяцев, возможно отложить начало терапии до родов. При тромбоцитозе возможно назначение </w:t>
      </w:r>
      <w:proofErr w:type="spellStart"/>
      <w:r w:rsidRPr="00062B4F">
        <w:t>антиагрегантов</w:t>
      </w:r>
      <w:proofErr w:type="spellEnd"/>
      <w:r w:rsidRPr="00062B4F">
        <w:t xml:space="preserve">. </w:t>
      </w:r>
    </w:p>
    <w:p w14:paraId="6ECB9700" w14:textId="77777777" w:rsidR="000C7098" w:rsidRPr="00062B4F" w:rsidRDefault="000C7098" w:rsidP="00C10677">
      <w:pPr>
        <w:rPr>
          <w:b/>
        </w:rPr>
      </w:pPr>
      <w:r w:rsidRPr="00062B4F">
        <w:rPr>
          <w:b/>
        </w:rPr>
        <w:t>Роды и кормление</w:t>
      </w:r>
    </w:p>
    <w:p w14:paraId="136CC540" w14:textId="77777777" w:rsidR="000C7098" w:rsidRPr="00062B4F" w:rsidRDefault="000C7098" w:rsidP="00C10677">
      <w:r w:rsidRPr="00062B4F">
        <w:t xml:space="preserve">Сроки и способ </w:t>
      </w:r>
      <w:proofErr w:type="spellStart"/>
      <w:r w:rsidRPr="00062B4F">
        <w:t>родоразрешения</w:t>
      </w:r>
      <w:proofErr w:type="spellEnd"/>
      <w:r w:rsidRPr="00062B4F">
        <w:t xml:space="preserve"> выбирают с учетом акушерских показаний. Если достаточный контроль клинических проявлений ХМЛ сохраняется, показаний к проведению </w:t>
      </w:r>
      <w:proofErr w:type="spellStart"/>
      <w:r w:rsidRPr="00062B4F">
        <w:t>родоразрешения</w:t>
      </w:r>
      <w:proofErr w:type="spellEnd"/>
      <w:r w:rsidRPr="00062B4F">
        <w:t xml:space="preserve"> раньше срока нет. При прогрессировании ХМЛ следует решить вопрос о досрочном </w:t>
      </w:r>
      <w:proofErr w:type="spellStart"/>
      <w:r w:rsidRPr="00062B4F">
        <w:t>родоразрешении</w:t>
      </w:r>
      <w:proofErr w:type="spellEnd"/>
      <w:r w:rsidRPr="00062B4F">
        <w:t>. Возобновление терапии ИТК после родов при отсутствии или потере БМО рекомендуется безотлагательно.</w:t>
      </w:r>
    </w:p>
    <w:p w14:paraId="4ED7F19B" w14:textId="5DE524E1" w:rsidR="000C7098" w:rsidRPr="00062B4F" w:rsidRDefault="000C7098" w:rsidP="00C10677">
      <w:pPr>
        <w:ind w:firstLine="426"/>
      </w:pPr>
      <w:r w:rsidRPr="00062B4F">
        <w:t xml:space="preserve">ИТК проникают в грудное молоко. Установлено, что дозы ИТК </w:t>
      </w:r>
      <w:proofErr w:type="spellStart"/>
      <w:r w:rsidRPr="00062B4F">
        <w:t>иматиниба</w:t>
      </w:r>
      <w:proofErr w:type="spellEnd"/>
      <w:r w:rsidR="009F4B27" w:rsidRPr="00351AF0">
        <w:t>**</w:t>
      </w:r>
      <w:r w:rsidRPr="00062B4F">
        <w:t xml:space="preserve"> и </w:t>
      </w:r>
      <w:proofErr w:type="spellStart"/>
      <w:r w:rsidRPr="00062B4F">
        <w:t>нилотиниба</w:t>
      </w:r>
      <w:proofErr w:type="spellEnd"/>
      <w:r w:rsidR="006851B6" w:rsidRPr="00062B4F">
        <w:t>**</w:t>
      </w:r>
      <w:r w:rsidRPr="00062B4F">
        <w:t>, которые может получить ребенок при грудном кормлении, значительно ниже терапевтических</w:t>
      </w:r>
      <w:r w:rsidR="0074219A" w:rsidRPr="00062B4F">
        <w:t xml:space="preserve"> </w:t>
      </w:r>
      <w:r w:rsidR="0074219A" w:rsidRPr="00062B4F">
        <w:fldChar w:fldCharType="begin" w:fldLock="1"/>
      </w:r>
      <w:r w:rsidR="0074219A" w:rsidRPr="00062B4F">
        <w:instrText>ADDIN CSL_CITATION {"citationItems":[{"id":"ITEM-1","itemData":{"DOI":"10.4084/MJHID.2018.027","ISSN":"20353006","abstract":"Breastfeeding in patients with chronic myeloid leukaemia (CML) during tyrosine kinase inhibitors (TKIs) therapy is not recommended but interruption of TKI treatment may cause the loss of remission. We studied the 3 cases of pregnancy and breastfeeding in women with CML and observed that stopping treatment without major molecular response may end in haematological relapse. The concentrations of nilotinib and imatinib in maternal milk were measured and nilotinib distribution in human breast milk was demonstrated for the first time. The estimated maximal doses of imatinib and nilotinib which an infant may ingest with the maternal milk were less than the therapeutical doses. However, the unknown impact of the low dose chronic exposure to these TKIs in infants imposes the limitations on their use during breastfeeding. Breastfeeding without TKI treatment may be safe with molecular monitoring, but preferably in those patients with CML who have durable deep molecular response.","author":[{"dropping-particle":"","family":"Chelysheva","given":"Ekaterina","non-dropping-particle":"","parse-names":false,"suffix":""},{"dropping-particle":"","family":"Aleshin","given":"Sergey","non-dropping-particle":"","parse-names":false,"suffix":""},{"dropping-particle":"","family":"Polushkina","given":"Evgenia","non-dropping-particle":"","parse-names":false,"suffix":""},{"dropping-particle":"","family":"Shmakov","given":"Roman","non-dropping-particle":"","parse-names":false,"suffix":""},{"dropping-particle":"","family":"Shokhin","given":"Igor","non-dropping-particle":"","parse-names":false,"suffix":""},{"dropping-particle":"","family":"Chilov","given":"Ghermes","non-dropping-particle":"","parse-names":false,"suffix":""},{"dropping-particle":"","family":"Turkina","given":"Anna","non-dropping-particle":"","parse-names":false,"suffix":""}],"container-title":"Mediterranean Journal of Hematology and Infectious Diseases","id":"ITEM-1","issue":"1","issued":{"date-parts":[["2018"]]},"publisher":"Universita Cattolica del Sacro Cuore","title":"Breastfeeding in patients with chronic myeloid leukaemia: Case series with measurements of drug concentrations in maternal milk and literature review","type":"article-journal","volume":"10"},"uris":["http://www.mendeley.com/documents/?uuid=1abd0c9d-e4f6-3220-ab5c-1f499c608463"]}],"mendeley":{"formattedCitation":"[91]","plainTextFormattedCitation":"[91]","previouslyFormattedCitation":"[91]"},"properties":{"noteIndex":0},"schema":"https://github.com/citation-style-language/schema/raw/master/csl-citation.json"}</w:instrText>
      </w:r>
      <w:r w:rsidR="0074219A" w:rsidRPr="00062B4F">
        <w:fldChar w:fldCharType="separate"/>
      </w:r>
      <w:r w:rsidR="0074219A" w:rsidRPr="00062B4F">
        <w:rPr>
          <w:noProof/>
        </w:rPr>
        <w:t>[91]</w:t>
      </w:r>
      <w:r w:rsidR="0074219A" w:rsidRPr="00062B4F">
        <w:fldChar w:fldCharType="end"/>
      </w:r>
      <w:r w:rsidRPr="00062B4F">
        <w:rPr>
          <w:bCs/>
        </w:rPr>
        <w:t xml:space="preserve">, однако </w:t>
      </w:r>
      <w:r w:rsidRPr="00062B4F">
        <w:t>эффекты воздействия даже малых доз ИТК на детей первого года жизни неизвестны. При необходимости проведения терапии сразу после родов рекомендовано подавлять лактацию.</w:t>
      </w:r>
    </w:p>
    <w:p w14:paraId="4D5C9A7A" w14:textId="77777777" w:rsidR="000C7098" w:rsidRPr="00062B4F" w:rsidRDefault="000C7098" w:rsidP="00C10677">
      <w:pPr>
        <w:ind w:firstLine="426"/>
      </w:pPr>
      <w:r w:rsidRPr="00062B4F">
        <w:t>Если к моменту родов сохраняется глубокий МО, возможно продление перерыва в терапии и грудное вскармливание при молекулярном мониторинге 1 раз в 4–6 недель и готовности пациентки завершить кормление при возобновлении терапии ИТК.</w:t>
      </w:r>
    </w:p>
    <w:p w14:paraId="749F2BFC" w14:textId="77777777" w:rsidR="000C7098" w:rsidRPr="00062B4F" w:rsidRDefault="000C7098" w:rsidP="00C10677">
      <w:pPr>
        <w:rPr>
          <w:b/>
          <w:bCs/>
        </w:rPr>
      </w:pPr>
      <w:r w:rsidRPr="00062B4F">
        <w:rPr>
          <w:b/>
          <w:bCs/>
        </w:rPr>
        <w:t>Возможность отмены терапии ИТК у пациентов с глубоким молекулярным ответом</w:t>
      </w:r>
    </w:p>
    <w:p w14:paraId="19675172" w14:textId="2B3C0492" w:rsidR="000C7098" w:rsidRPr="00F4400D" w:rsidRDefault="000C7098" w:rsidP="00C10677">
      <w:pPr>
        <w:ind w:firstLine="425"/>
      </w:pPr>
      <w:r w:rsidRPr="00062B4F">
        <w:t>Исследования относительно возможности сохранения молекулярной ремиссии после отмены терапии ИТК показывают, что около 40–60 % больных ХМЛ, с достигнутым стабильным глубоким МО, могут безопасно прекратить терапию ИТК без возникновения рецидива. При возникновении молекулярного рецидива, своевременный возврат к терапии ИТК позволяет вновь достичь глубокого МО у подавляющего большинства пациентов</w:t>
      </w:r>
      <w:r w:rsidR="0074219A" w:rsidRPr="00062B4F">
        <w:t xml:space="preserve"> </w:t>
      </w:r>
      <w:r w:rsidR="0074219A" w:rsidRPr="00062B4F">
        <w:fldChar w:fldCharType="begin" w:fldLock="1"/>
      </w:r>
      <w:r w:rsidR="0074219A" w:rsidRPr="00062B4F">
        <w:instrText>ADDIN CSL_CITATION {"citationItems":[{"id":"ITEM-1","itemData":{"DOI":"10.1016/j.ejca.2017.02.028","ISSN":"18790852","abstract":"Purpose Tyrosine kinase inhibitors (TKIs) are the cornerstones of treatment for patients with chronic myeloid leukaemia (CML). In recent years, several studies were conducted to evaluate the safety of TKIs discontinuation. We performed a systematic review of the literature to determine the incidence of CML relapse, to identify possible factors relapse rates and to evaluate the long-term safety in CML patients with stable undetectable BCR-ABL transcript level who discontinued TKIs. Design Studies evaluating TKIs discontinuation in CML patients with undetectable BCR-ABL transcript level were identified by electronic search of MEDLINE and EMBASE database until May 2015. Weighted mean proportion and 95% confidence intervals (CIs) of CML relapse was calculated using a fixed-effects and a random-effects model. Statistical heterogeneity was evaluated using the I2 statistic. Results Fifteen cohort studies, for a total of 509 patients, were included. Nine studies were at low-risk of bias. All 15 studies included only patients on imatinib. Overall weighted mean molecular relapse rate of CML was 51% (95% CI 44–58%; I2 = 55). Weighted mean molecular relapse rate at 6-month follow-up was 41% (95% CI 32–51%; I2 = 78). Eighty percent of molecular relapses occurred in the first 6 months. All 509 patients were alive at 2-year follow-up and only one patient (0.8%, 95% CI 0.2–1.8%; I2 = 0) has progressed to a blastic crisis. Conclusions Our findings suggest that imatinib discontinuation is feasible for the majority of CML patients with stable undetectable BCR-ABL transcript level. Approximately 50% of patients remain therapy-free after imatinib discontinuation. Restarting TKIs therapy was followed by a very high rate of molecular response, with no deaths 2 years after discontinuation.","author":[{"dropping-particle":"","family":"Campiotti","given":"Leonardo","non-dropping-particle":"","parse-names":false,"suffix":""},{"dropping-particle":"","family":"Suter","given":"Matteo Basilio","non-dropping-particle":"","parse-names":false,"suffix":""},{"dropping-particle":"","family":"Guasti","given":"Luigina","non-dropping-particle":"","parse-names":false,"suffix":""},{"dropping-particle":"","family":"Piazza","given":"Rocco","non-dropping-particle":"","parse-names":false,"suffix":""},{"dropping-particle":"","family":"Gambacorti-Passerini","given":"Carlo","non-dropping-particle":"","parse-names":false,"suffix":""},{"dropping-particle":"","family":"Grandi","given":"Anna Maria","non-dropping-particle":"","parse-names":false,"suffix":""},{"dropping-particle":"","family":"Squizzato","given":"Alessandro","non-dropping-particle":"","parse-names":false,"suffix":""}],"container-title":"European Journal of Cancer","id":"ITEM-1","issued":{"date-parts":[["2017","5","1"]]},"page":"48-56","publisher":"Elsevier Ltd","title":"Imatinib discontinuation in chronic myeloid leukaemia patients with undetectable BCR-ABL transcript level: A systematic review and a meta-analysis","type":"article","volume":"77"},"uris":["http://www.mendeley.com/documents/?uuid=dcb5a678-f7b7-3889-a3b4-7d263b882240"]},{"id":"ITEM-2","itemData":{"DOI":"10.1016/S1470-2045(10)70233-3","ISSN":"14702045","abstract":"Background: Imatinib treatment significantly improves survival in patients with chronic myeloid leukaemia (CML), but little is known about whether treatment can safely be discontinued in the long term. We aimed to assess whether imatinib can be discontinued without occurrence of molecular relapse in patients in complete molecular remission (CMR) while on imatinib. Methods: In our prospective, multicentre, non-randomised Stop Imatinib (STIM) study, imatinib treatment (of &gt;2 years duration) was discontinued in patients with CML who were aged 18 years and older and in CMR (&gt;5-log reduction in BCR-ABL and ABL levels and undetectable transcripts on quantitative RT-PCR). Patients who had undergone immunomodulatory treatment (apart from interferon α), treatment for other malignancies, or allogeneic haemopoietic stem-cell transplantation were not included. Patients were enrolled at 19 participating institutions in France. In this interim analysis, rate of relapse was assessed by use of RT-PCR for patients with at least 12 months of follow-up. Imatinib was reintroduced in patients who had molecular relapse. This study is registered with ClinicalTrials.gov, number NCT00478985. Findings: 100 patients were enrolled between July 9, 2007, and Dec 17, 2009. Median follow-up was 17 months (range 1-30), and 69 patients had at least 12 months follow-up (median 24 months, range 13-30). 42 (61%) of these 69 patients relapsed (40 before 6 months, one patient at month 7, and one at month 19). At 12 months, the probability of persistent CMR for these 69 patients was 41% (95% CI 29-52). All patients who relapsed responded to reintroduction of imatinib: 16 of the 42 patients who relapsed showed decreases in their BCR-ABL levels, and 26 achieved CMR that was sustained after imatinib rechallenge. Interpretation: Imatinib can be safely discontinued in patients with a CMR of at least 2 years duration. Imatinib discontinuation in this setting yields promising results for molecular relapse-free survival, raising the possibility that, at least in some patients, CML might be cured with tyrosine kinase inhibitors. Funding: French Ministry of Health (Programme Hospitalier de Recherche 2006 grants), Institut National du Cancer (INCA). © 2010 Elsevier Ltd.","author":[{"dropping-particle":"","family":"Mahon","given":"François Xavier","non-dropping-particle":"","parse-names":false,"suffix":""},{"dropping-particle":"","family":"Réa","given":"Delphine","non-dropping-particle":"","parse-names":false,"suffix":""},{"dropping-particle":"","family":"Guilhot","given":"Joëlle","non-dropping-particle":"","parse-names":false,"suffix":""},{"dropping-particle":"","family":"Guilhot","given":"François","non-dropping-particle":"","parse-names":false,"suffix":""},{"dropping-particle":"","family":"Huguet","given":"Françoise","non-dropping-particle":"","parse-names":false,"suffix":""},{"dropping-particle":"","family":"Nicolini","given":"Franck","non-dropping-particle":"","parse-names":false,"suffix":""},{"dropping-particle":"","family":"Legros","given":"Laurence","non-dropping-particle":"","parse-names":false,"suffix":""},{"dropping-particle":"","family":"Charbonnier","given":"Aude","non-dropping-particle":"","parse-names":false,"suffix":""},{"dropping-particle":"","family":"Guerci","given":"Agnès","non-dropping-particle":"","parse-names":false,"suffix":""},{"dropping-particle":"","family":"Varet","given":"Bruno","non-dropping-particle":"","parse-names":false,"suffix":""},{"dropping-particle":"","family":"Etienne","given":"Gabriel","non-dropping-particle":"","parse-names":false,"suffix":""},{"dropping-particle":"","family":"Reiffers","given":"Josy","non-dropping-particle":"","parse-names":false,"suffix":""},{"dropping-particle":"","family":"Rousselot","given":"Philippe","non-dropping-particle":"","parse-names":false,"suffix":""}],"container-title":"The Lancet Oncology","id":"ITEM-2","issue":"11","issued":{"date-parts":[["2010"]]},"page":"1029-1035","publisher":"Lancet Publishing Group","title":"Discontinuation of imatinib in patients with chronic myeloid leukaemia who have maintained complete molecular remission for at least 2 years: the prospective, multicentre Stop Imatinib (STIM) trial","type":"article-journal","volume":"11"},"uris":["http://www.mendeley.com/documents/?uuid=e1a4fa98-8254-3340-957d-699ae1d1e971"]},{"id":"ITEM-3","itemData":{"DOI":"10.1016/S1470-2045(18)30192-X","ISSN":"14745488","abstract":"Background: Tyrosine kinase inhibitors (TKIs) have improved the survival of patients with chronic myeloid leukaemia. Many patients have deep molecular responses, a prerequisite for TKI therapy discontinuation. We aimed to define precise conditions for stopping treatment. Methods: In this prospective, non-randomised trial, we enrolled patients with chronic myeloid leukaemia at 61 European centres in 11 countries. Eligible patients had chronic-phase chronic myeloid leukaemia, had received any TKI for at least 3 years (without treatment failure according to European LeukemiaNet [ELN] recommendations), and had a confirmed deep molecular response for at least 1 year. The primary endpoint was molecular relapse-free survival, defined by loss of major molecular response (MMR; &gt;0·1% BCR-ABL1 on the International Scale) and assessed in all patients with at least one molecular result. Secondary endpoints were a prognostic analysis of factors affecting maintenance of MMR at 6 months in learning and validation samples and the cost impact of stopping TKI therapy. We considered loss of haematological response, progress to accelerated-phase chronic myeloid leukaemia, or blast crisis as serious adverse events. This study presents the results of the prespecified interim analysis, which was done after the 6-month molecular relapse-free survival status was known for 200 patients. The study is ongoing and is registered with ClinicalTrials.gov, number NCT01596114. Findings: Between May 30, 2012, and Dec 3, 2014, we assessed 868 patients with chronic myeloid leukaemia for eligibility, of whom 758 were enrolled. Median follow-up of the 755 patients evaluable for molecular response was 27 months (IQR 21–34). Molecular relapse-free survival for these patients was 61% (95% CI 57–64) at 6 months and 50% (46–54) at 24 months. Of these 755 patients, 371 (49%) lost MMR after TKI discontinuation, four (1%) died while in MMR for reasons unrelated to chronic myeloid leukaemia (myocardial infarction, lung cancer, renal cancer, and heart failure), and 13 (2%) restarted TKI therapy while in MMR. A further six (1%) patients died in chronic-phase chronic myeloid leukaemia after loss of MMR and re-initiation of TKI therapy for reasons unrelated to chronic myeloid leukaemia, and two (&lt;1%) patients lost MMR despite restarting TKI therapy. In the prognostic analysis in 405 patients who received imatinib as first-line treatment (learning sample), longer treatment duration (odds ratio [OR] per yea…","author":[{"dropping-particle":"","family":"Saussele","given":"Susanne","non-dropping-particle":"","parse-names":false,"suffix":""},{"dropping-particle":"","family":"Richter","given":"Johan","non-dropping-particle":"","parse-names":false,"suffix":""},{"dropping-particle":"","family":"Guilhot","given":"Joelle","non-dropping-particle":"","parse-names":false,"suffix":""},{"dropping-particle":"","family":"Gruber","given":"Franz X.","non-dropping-particle":"","parse-names":false,"suffix":""},{"dropping-particle":"","family":"Hjorth-Hansen","given":"Henrik","non-dropping-particle":"","parse-names":false,"suffix":""},{"dropping-particle":"","family":"Almeida","given":"Antonio","non-dropping-particle":"","parse-names":false,"suffix":""},{"dropping-particle":"","family":"Janssen","given":"Jeroen J.W.M.","non-dropping-particle":"","parse-names":false,"suffix":""},{"dropping-particle":"","family":"Mayer","given":"Jiri","non-dropping-particle":"","parse-names":false,"suffix":""},{"dropping-particle":"","family":"Koskenvesa","given":"Perttu","non-dropping-particle":"","parse-names":false,"suffix":""},{"dropping-particle":"","family":"Panayiotidis","given":"Panayiotis","non-dropping-particle":"","parse-names":false,"suffix":""},{"dropping-particle":"","family":"Olsson-Strömberg","given":"Ulla","non-dropping-particle":"","parse-names":false,"suffix":""},{"dropping-particle":"","family":"Martinez-Lopez","given":"Joaquin","non-dropping-particle":"","parse-names":false,"suffix":""},{"dropping-particle":"","family":"Rousselot","given":"Philippe","non-dropping-particle":"","parse-names":false,"suffix":""},{"dropping-particle":"","family":"Vestergaard","given":"Hanne","non-dropping-particle":"","parse-names":false,"suffix":""},{"dropping-particle":"","family":"Ehrencrona","given":"Hans","non-dropping-particle":"","parse-names":false,"suffix":""},{"dropping-particle":"","family":"Kairisto","given":"Veli","non-dropping-particle":"","parse-names":false,"suffix":""},{"dropping-particle":"","family":"Machová Poláková","given":"Katerina","non-dropping-particle":"","parse-names":false,"suffix":""},{"dropping-particle":"","family":"Müller","given":"Martin C.","non-dropping-particle":"","parse-names":false,"suffix":""},{"dropping-particle":"","family":"Mustjoki","given":"Satu","non-dropping-particle":"","parse-names":false,"suffix":""},{"dropping-particle":"","family":"Berger","given":"Marc G.","non-dropping-particle":"","parse-names":false,"suffix":""},{"dropping-particle":"","family":"Fabarius","given":"Alice","non-dropping-particle":"","parse-names":false,"suffix":""},{"dropping-particle":"","family":"Hofmann","given":"Wolf Karsten","non-dropping-particle":"","parse-names":false,"suffix":""},{"dropping-particle":"","family":"Hochhaus","given":"Andreas","non-dropping-particle":"","parse-names":false,"suffix":""},{"dropping-particle":"","family":"Pfirrmann","given":"Markus","non-dropping-particle":"","parse-names":false,"suffix":""},{"dropping-particle":"","family":"Mahon","given":"Francois Xavier","non-dropping-particle":"","parse-names":false,"suffix":""},{"dropping-particle":"","family":"Ossenkoppele","given":"Gert","non-dropping-particle":"","parse-names":false,"suffix":""},{"dropping-particle":"","family":"Pagoni","given":"Maria N.","non-dropping-particle":"","parse-names":false,"suffix":""},{"dropping-particle":"","family":"Söderlund","given":"Stina","non-dropping-particle":"","parse-names":false,"suffix":""},{"dropping-particle":"","family":"Escoffre-Barbe","given":"Martine","non-dropping-particle":"","parse-names":false,"suffix":""},{"dropping-particle":"","family":"Etienne","given":"Gabriel","non-dropping-particle":"","parse-names":false,"suffix":""},{"dropping-particle":"","family":"Dengler","given":"Jolanta","non-dropping-particle":"","parse-names":false,"suffix":""},{"dropping-particle":"","family":"Huguet","given":"Francoise","non-dropping-particle":"","parse-names":false,"suffix":""},{"dropping-particle":"","family":"Bubnoff","given":"Nikolas","non-dropping-particle":"von","parse-names":false,"suffix":""},{"dropping-particle":"","family":"Klamova","given":"Hana","non-dropping-particle":"","parse-names":false,"suffix":""},{"dropping-particle":"","family":"Faber","given":"Edgar","non-dropping-particle":"","parse-names":false,"suffix":""},{"dropping-particle":"","family":"Guilhot","given":"Francois","non-dropping-particle":"","parse-names":false,"suffix":""},{"dropping-particle":"","family":"Lotfi","given":"Kourosh","non-dropping-particle":"","parse-names":false,"suffix":""},{"dropping-particle":"","family":"Rea","given":"Delphine","non-dropping-particle":"","parse-names":false,"suffix":""},{"dropping-particle":"","family":"Brümmendorf","given":"Tim H.","non-dropping-particle":"","parse-names":false,"suffix":""},{"dropping-particle":"","family":"Greef","given":"Gorgine E.","non-dropping-particle":"de","parse-names":false,"suffix":""},{"dropping-particle":"","family":"Stenke","given":"Leif","non-dropping-particle":"","parse-names":false,"suffix":""},{"dropping-particle":"","family":"Nicolini","given":"Franck E.","non-dropping-particle":"","parse-names":false,"suffix":""},{"dropping-particle":"","family":"Legros","given":"Laurence","non-dropping-particle":"","parse-names":false,"suffix":""},{"dropping-particle":"","family":"Burchert","given":"Andreas","non-dropping-particle":"","parse-names":false,"suffix":""},{"dropping-particle":"","family":"Voglova","given":"Jaroslava","non-dropping-particle":"","parse-names":false,"suffix":""},{"dropping-particle":"","family":"Charbonnier","given":"Aude","non-dropping-particle":"","parse-names":false,"suffix":""},{"dropping-particle":"","family":"Gyan","given":"Emmanuel","non-dropping-particle":"","parse-names":false,"suffix":""},{"dropping-particle":"","family":"Kunzmann","given":"Volker","non-dropping-particle":"","parse-names":false,"suffix":""},{"dropping-particle":"","family":"Westerweel","given":"Peter E.","non-dropping-particle":"","parse-names":false,"suffix":""}],"container-title":"The Lancet Oncology","id":"ITEM-3","issue":"6","issued":{"date-parts":[["2018","6","1"]]},"page":"747-757","publisher":"Lancet Publishing Group","title":"Discontinuation of tyrosine kinase inhibitor therapy in chronic myeloid leukaemia (EURO-SKI): a prespecified interim analysis of a prospective, multicentre, non-randomised, trial","type":"article-journal","volume":"19"},"uris":["http://www.mendeley.com/documents/?uuid=cfba0929-dd10-346e-916d-104a83d494fc"]}],"mendeley":{"formattedCitation":"[92–94]","plainTextFormattedCitation":"[92–94]","previouslyFormattedCitation":"[92–94]"},"properties":{"noteIndex":0},"schema":"https://github.com/citation-style-language/schema/raw/master/csl-citation.json"}</w:instrText>
      </w:r>
      <w:r w:rsidR="0074219A" w:rsidRPr="00062B4F">
        <w:fldChar w:fldCharType="separate"/>
      </w:r>
      <w:r w:rsidR="0074219A" w:rsidRPr="00062B4F">
        <w:rPr>
          <w:noProof/>
        </w:rPr>
        <w:t>[92–94]</w:t>
      </w:r>
      <w:r w:rsidR="0074219A" w:rsidRPr="00062B4F">
        <w:fldChar w:fldCharType="end"/>
      </w:r>
      <w:r w:rsidRPr="00062B4F">
        <w:t xml:space="preserve">. Молекулярным рецидивом </w:t>
      </w:r>
      <w:r w:rsidRPr="00F4400D">
        <w:t xml:space="preserve">после прекращения терапии считается однократное повышение относительной экспрессии </w:t>
      </w:r>
      <w:proofErr w:type="gramStart"/>
      <w:r w:rsidR="006369C6" w:rsidRPr="00F4400D">
        <w:rPr>
          <w:i/>
          <w:szCs w:val="24"/>
          <w:lang w:eastAsia="ru-RU"/>
        </w:rPr>
        <w:t>BCR::</w:t>
      </w:r>
      <w:proofErr w:type="gramEnd"/>
      <w:r w:rsidR="006369C6" w:rsidRPr="00F4400D">
        <w:rPr>
          <w:i/>
          <w:szCs w:val="24"/>
          <w:lang w:eastAsia="ru-RU"/>
        </w:rPr>
        <w:t>ABL</w:t>
      </w:r>
      <w:r w:rsidR="006369C6" w:rsidRPr="00F4400D">
        <w:rPr>
          <w:i/>
          <w:iCs/>
          <w:szCs w:val="24"/>
          <w:lang w:eastAsia="ru-RU"/>
        </w:rPr>
        <w:t xml:space="preserve">1 </w:t>
      </w:r>
      <w:r w:rsidRPr="00F4400D">
        <w:t xml:space="preserve">более 0,1 % по </w:t>
      </w:r>
      <w:r w:rsidRPr="00F4400D">
        <w:rPr>
          <w:lang w:val="en-US"/>
        </w:rPr>
        <w:t>IS</w:t>
      </w:r>
      <w:r w:rsidRPr="00F4400D">
        <w:t xml:space="preserve"> (потеря БМО). Основываясь на накопленной информации о ремиссии без лечения (РБЛ), в современных рекомендациях предлагается изменить тактику ведения тех больных ХМЛ, у которых был получен стабильный глубокий МО на фоне длительной терапии ИТК. </w:t>
      </w:r>
    </w:p>
    <w:p w14:paraId="2BAC2F4C" w14:textId="51C94DCB" w:rsidR="000C7098" w:rsidRPr="00F4400D" w:rsidRDefault="000C7098" w:rsidP="00C10677">
      <w:pPr>
        <w:rPr>
          <w:b/>
          <w:szCs w:val="24"/>
          <w:lang w:eastAsia="ru-RU"/>
        </w:rPr>
      </w:pPr>
      <w:r w:rsidRPr="00F4400D">
        <w:rPr>
          <w:b/>
          <w:szCs w:val="24"/>
          <w:lang w:eastAsia="ru-RU"/>
        </w:rPr>
        <w:t>Необходимые</w:t>
      </w:r>
      <w:r w:rsidR="00000816" w:rsidRPr="00F4400D">
        <w:rPr>
          <w:b/>
          <w:szCs w:val="24"/>
          <w:lang w:eastAsia="ru-RU"/>
        </w:rPr>
        <w:t xml:space="preserve"> обязательные</w:t>
      </w:r>
      <w:r w:rsidRPr="00F4400D">
        <w:rPr>
          <w:b/>
          <w:szCs w:val="24"/>
          <w:lang w:eastAsia="ru-RU"/>
        </w:rPr>
        <w:t xml:space="preserve"> критерии и условия для наблюдения пациентов с ХМЛ в молекулярной ремиссии без терапии ИТК в условиях клинической практики:</w:t>
      </w:r>
    </w:p>
    <w:p w14:paraId="079F48E2" w14:textId="77777777" w:rsidR="000C7098" w:rsidRPr="00F4400D" w:rsidRDefault="000C7098" w:rsidP="00505FD7">
      <w:pPr>
        <w:numPr>
          <w:ilvl w:val="0"/>
          <w:numId w:val="23"/>
        </w:numPr>
        <w:rPr>
          <w:szCs w:val="24"/>
          <w:lang w:eastAsia="ru-RU"/>
        </w:rPr>
      </w:pPr>
      <w:r w:rsidRPr="00F4400D">
        <w:rPr>
          <w:szCs w:val="24"/>
          <w:lang w:eastAsia="ru-RU"/>
        </w:rPr>
        <w:t>Возраст старше 18 лет</w:t>
      </w:r>
    </w:p>
    <w:p w14:paraId="04BBCA84" w14:textId="77777777" w:rsidR="000C7098" w:rsidRPr="00F4400D" w:rsidRDefault="000C7098" w:rsidP="00505FD7">
      <w:pPr>
        <w:numPr>
          <w:ilvl w:val="0"/>
          <w:numId w:val="23"/>
        </w:numPr>
        <w:rPr>
          <w:szCs w:val="24"/>
          <w:lang w:eastAsia="ru-RU"/>
        </w:rPr>
      </w:pPr>
      <w:r w:rsidRPr="00F4400D">
        <w:rPr>
          <w:szCs w:val="24"/>
          <w:lang w:eastAsia="ru-RU"/>
        </w:rPr>
        <w:t>Наличие хронической фазы ХМЛ</w:t>
      </w:r>
    </w:p>
    <w:p w14:paraId="3354D736" w14:textId="019ED549" w:rsidR="000C7098" w:rsidRPr="00F4400D" w:rsidRDefault="00FC2643" w:rsidP="00505FD7">
      <w:pPr>
        <w:numPr>
          <w:ilvl w:val="0"/>
          <w:numId w:val="23"/>
        </w:numPr>
        <w:rPr>
          <w:szCs w:val="24"/>
          <w:lang w:eastAsia="ru-RU"/>
        </w:rPr>
      </w:pPr>
      <w:r w:rsidRPr="00F4400D">
        <w:rPr>
          <w:szCs w:val="24"/>
          <w:lang w:eastAsia="ru-RU"/>
        </w:rPr>
        <w:lastRenderedPageBreak/>
        <w:t xml:space="preserve">Общая длительность терапии у пациентов, получавших </w:t>
      </w:r>
      <w:proofErr w:type="spellStart"/>
      <w:r w:rsidRPr="00F4400D">
        <w:rPr>
          <w:szCs w:val="24"/>
          <w:lang w:eastAsia="ru-RU"/>
        </w:rPr>
        <w:t>иматиниб</w:t>
      </w:r>
      <w:proofErr w:type="spellEnd"/>
      <w:r w:rsidR="009F4B27" w:rsidRPr="00F4400D">
        <w:rPr>
          <w:szCs w:val="24"/>
          <w:lang w:eastAsia="ru-RU"/>
        </w:rPr>
        <w:t>**</w:t>
      </w:r>
      <w:r w:rsidRPr="00F4400D">
        <w:rPr>
          <w:szCs w:val="24"/>
          <w:lang w:eastAsia="ru-RU"/>
        </w:rPr>
        <w:t xml:space="preserve"> в качестве первой линии </w:t>
      </w:r>
      <w:r w:rsidR="007A16BB" w:rsidRPr="00F4400D">
        <w:rPr>
          <w:szCs w:val="24"/>
          <w:lang w:eastAsia="ru-RU"/>
        </w:rPr>
        <w:t>&gt;</w:t>
      </w:r>
      <w:r w:rsidR="00656ED7" w:rsidRPr="00F4400D">
        <w:rPr>
          <w:szCs w:val="24"/>
          <w:lang w:eastAsia="ru-RU"/>
        </w:rPr>
        <w:t>5 лет</w:t>
      </w:r>
      <w:r w:rsidR="00F13AFB" w:rsidRPr="00F4400D">
        <w:rPr>
          <w:szCs w:val="24"/>
          <w:lang w:eastAsia="ru-RU"/>
        </w:rPr>
        <w:t>,</w:t>
      </w:r>
      <w:r w:rsidR="00656ED7" w:rsidRPr="00F4400D">
        <w:rPr>
          <w:szCs w:val="24"/>
          <w:lang w:eastAsia="ru-RU"/>
        </w:rPr>
        <w:t xml:space="preserve"> ИТК2 в первой линии </w:t>
      </w:r>
      <w:r w:rsidR="007A16BB" w:rsidRPr="00F4400D">
        <w:rPr>
          <w:szCs w:val="24"/>
          <w:lang w:eastAsia="ru-RU"/>
        </w:rPr>
        <w:t>&gt;</w:t>
      </w:r>
      <w:r w:rsidR="00656ED7" w:rsidRPr="00F4400D">
        <w:rPr>
          <w:szCs w:val="24"/>
          <w:lang w:eastAsia="ru-RU"/>
        </w:rPr>
        <w:t>4 лет.</w:t>
      </w:r>
    </w:p>
    <w:p w14:paraId="58D1015E" w14:textId="68BB25EE" w:rsidR="000C7098" w:rsidRPr="00F4400D" w:rsidRDefault="000C7098" w:rsidP="00505FD7">
      <w:pPr>
        <w:numPr>
          <w:ilvl w:val="0"/>
          <w:numId w:val="23"/>
        </w:numPr>
        <w:rPr>
          <w:szCs w:val="24"/>
          <w:lang w:eastAsia="ru-RU"/>
        </w:rPr>
      </w:pPr>
      <w:r w:rsidRPr="00F4400D">
        <w:rPr>
          <w:szCs w:val="24"/>
          <w:lang w:eastAsia="ru-RU"/>
        </w:rPr>
        <w:t>Наличие в анамнезе подтвержденного количественн</w:t>
      </w:r>
      <w:r w:rsidR="009A5834" w:rsidRPr="00F4400D">
        <w:rPr>
          <w:szCs w:val="24"/>
          <w:lang w:eastAsia="ru-RU"/>
        </w:rPr>
        <w:t>ой</w:t>
      </w:r>
      <w:r w:rsidRPr="00F4400D">
        <w:rPr>
          <w:szCs w:val="24"/>
          <w:lang w:eastAsia="ru-RU"/>
        </w:rPr>
        <w:t xml:space="preserve"> ПЦР</w:t>
      </w:r>
      <w:r w:rsidR="009A5834" w:rsidRPr="00F4400D">
        <w:rPr>
          <w:szCs w:val="24"/>
          <w:lang w:eastAsia="ru-RU"/>
        </w:rPr>
        <w:t>-РВ</w:t>
      </w:r>
      <w:r w:rsidRPr="00F4400D">
        <w:rPr>
          <w:szCs w:val="24"/>
          <w:lang w:eastAsia="ru-RU"/>
        </w:rPr>
        <w:t xml:space="preserve"> типичного </w:t>
      </w:r>
      <w:proofErr w:type="spellStart"/>
      <w:r w:rsidRPr="00F4400D">
        <w:rPr>
          <w:szCs w:val="24"/>
          <w:lang w:eastAsia="ru-RU"/>
        </w:rPr>
        <w:t>транскрипта</w:t>
      </w:r>
      <w:proofErr w:type="spellEnd"/>
      <w:r w:rsidRPr="00F4400D">
        <w:rPr>
          <w:szCs w:val="24"/>
          <w:lang w:eastAsia="ru-RU"/>
        </w:rPr>
        <w:t xml:space="preserve"> p210 (b3a2</w:t>
      </w:r>
      <w:r w:rsidR="009A5834" w:rsidRPr="00F4400D">
        <w:rPr>
          <w:szCs w:val="24"/>
          <w:lang w:eastAsia="ru-RU"/>
        </w:rPr>
        <w:t>(14</w:t>
      </w:r>
      <w:r w:rsidR="009A5834" w:rsidRPr="00F4400D">
        <w:rPr>
          <w:szCs w:val="24"/>
          <w:lang w:val="en-US" w:eastAsia="ru-RU"/>
        </w:rPr>
        <w:t>a</w:t>
      </w:r>
      <w:r w:rsidR="009A5834" w:rsidRPr="00F4400D">
        <w:rPr>
          <w:szCs w:val="24"/>
          <w:lang w:eastAsia="ru-RU"/>
        </w:rPr>
        <w:t xml:space="preserve">2) или </w:t>
      </w:r>
      <w:r w:rsidRPr="00F4400D">
        <w:rPr>
          <w:szCs w:val="24"/>
          <w:lang w:eastAsia="ru-RU"/>
        </w:rPr>
        <w:t>b2a2</w:t>
      </w:r>
      <w:r w:rsidR="009A5834" w:rsidRPr="00F4400D">
        <w:rPr>
          <w:szCs w:val="24"/>
          <w:lang w:eastAsia="ru-RU"/>
        </w:rPr>
        <w:t>(</w:t>
      </w:r>
      <w:r w:rsidR="009A5834" w:rsidRPr="00F4400D">
        <w:rPr>
          <w:szCs w:val="24"/>
          <w:lang w:val="en-US" w:eastAsia="ru-RU"/>
        </w:rPr>
        <w:t>e</w:t>
      </w:r>
      <w:r w:rsidR="009A5834" w:rsidRPr="00F4400D">
        <w:rPr>
          <w:szCs w:val="24"/>
          <w:lang w:eastAsia="ru-RU"/>
        </w:rPr>
        <w:t>13</w:t>
      </w:r>
      <w:r w:rsidR="009A5834" w:rsidRPr="00F4400D">
        <w:rPr>
          <w:szCs w:val="24"/>
          <w:lang w:val="en-US" w:eastAsia="ru-RU"/>
        </w:rPr>
        <w:t>a</w:t>
      </w:r>
      <w:r w:rsidR="009A5834" w:rsidRPr="00F4400D">
        <w:rPr>
          <w:szCs w:val="24"/>
          <w:lang w:eastAsia="ru-RU"/>
        </w:rPr>
        <w:t>2)</w:t>
      </w:r>
      <w:r w:rsidRPr="00F4400D">
        <w:rPr>
          <w:szCs w:val="24"/>
          <w:lang w:eastAsia="ru-RU"/>
        </w:rPr>
        <w:t>).</w:t>
      </w:r>
    </w:p>
    <w:p w14:paraId="26697537" w14:textId="51512CD3" w:rsidR="0004501E" w:rsidRPr="00F4400D" w:rsidRDefault="000C7098" w:rsidP="00505FD7">
      <w:pPr>
        <w:numPr>
          <w:ilvl w:val="0"/>
          <w:numId w:val="23"/>
        </w:numPr>
        <w:rPr>
          <w:szCs w:val="24"/>
          <w:lang w:eastAsia="ru-RU"/>
        </w:rPr>
      </w:pPr>
      <w:r w:rsidRPr="00F4400D">
        <w:rPr>
          <w:spacing w:val="-4"/>
          <w:szCs w:val="24"/>
          <w:lang w:eastAsia="ru-RU"/>
        </w:rPr>
        <w:t>Стабильный глубокий молекулярный ответ</w:t>
      </w:r>
      <w:r w:rsidRPr="00F4400D">
        <w:rPr>
          <w:spacing w:val="-2"/>
          <w:szCs w:val="24"/>
          <w:lang w:eastAsia="ru-RU"/>
        </w:rPr>
        <w:t xml:space="preserve"> </w:t>
      </w:r>
      <w:r w:rsidRPr="00F4400D">
        <w:rPr>
          <w:spacing w:val="-4"/>
          <w:szCs w:val="24"/>
          <w:lang w:eastAsia="ru-RU"/>
        </w:rPr>
        <w:t xml:space="preserve">(не менее МО4; </w:t>
      </w:r>
      <w:proofErr w:type="gramStart"/>
      <w:r w:rsidR="009A5834" w:rsidRPr="00F4400D">
        <w:rPr>
          <w:i/>
          <w:szCs w:val="24"/>
          <w:lang w:eastAsia="ru-RU"/>
        </w:rPr>
        <w:t>BCR::</w:t>
      </w:r>
      <w:proofErr w:type="gramEnd"/>
      <w:r w:rsidR="009A5834" w:rsidRPr="00F4400D">
        <w:rPr>
          <w:i/>
          <w:szCs w:val="24"/>
          <w:lang w:eastAsia="ru-RU"/>
        </w:rPr>
        <w:t>ABL</w:t>
      </w:r>
      <w:r w:rsidR="009A5834" w:rsidRPr="00F4400D">
        <w:rPr>
          <w:i/>
          <w:iCs/>
          <w:szCs w:val="24"/>
          <w:lang w:eastAsia="ru-RU"/>
        </w:rPr>
        <w:t>1</w:t>
      </w:r>
      <w:r w:rsidRPr="00F4400D">
        <w:rPr>
          <w:spacing w:val="-4"/>
          <w:szCs w:val="24"/>
          <w:lang w:eastAsia="ru-RU"/>
        </w:rPr>
        <w:t>≤0,</w:t>
      </w:r>
      <w:r w:rsidR="00B821D7" w:rsidRPr="00F4400D">
        <w:rPr>
          <w:spacing w:val="-4"/>
          <w:szCs w:val="24"/>
          <w:lang w:eastAsia="ru-RU"/>
        </w:rPr>
        <w:t>0</w:t>
      </w:r>
      <w:r w:rsidR="007A16BB" w:rsidRPr="00F4400D">
        <w:rPr>
          <w:spacing w:val="-4"/>
          <w:szCs w:val="24"/>
          <w:lang w:eastAsia="ru-RU"/>
        </w:rPr>
        <w:t>1</w:t>
      </w:r>
      <w:r w:rsidR="00B821D7" w:rsidRPr="00F4400D">
        <w:rPr>
          <w:spacing w:val="-4"/>
          <w:szCs w:val="24"/>
          <w:lang w:eastAsia="ru-RU"/>
        </w:rPr>
        <w:t> </w:t>
      </w:r>
      <w:r w:rsidRPr="00F4400D">
        <w:rPr>
          <w:spacing w:val="-4"/>
          <w:szCs w:val="24"/>
          <w:lang w:eastAsia="ru-RU"/>
        </w:rPr>
        <w:t>% по IS)</w:t>
      </w:r>
      <w:r w:rsidRPr="00F4400D">
        <w:rPr>
          <w:szCs w:val="24"/>
          <w:lang w:eastAsia="ru-RU"/>
        </w:rPr>
        <w:t xml:space="preserve"> на протяжении как минимум 2 лет</w:t>
      </w:r>
      <w:r w:rsidR="0004501E" w:rsidRPr="00F4400D">
        <w:rPr>
          <w:szCs w:val="24"/>
          <w:lang w:eastAsia="ru-RU"/>
        </w:rPr>
        <w:t>.</w:t>
      </w:r>
    </w:p>
    <w:p w14:paraId="652E4950" w14:textId="476CD933" w:rsidR="000C7098" w:rsidRPr="00062B4F" w:rsidRDefault="0004501E" w:rsidP="00505FD7">
      <w:pPr>
        <w:numPr>
          <w:ilvl w:val="0"/>
          <w:numId w:val="23"/>
        </w:numPr>
        <w:rPr>
          <w:szCs w:val="24"/>
          <w:lang w:eastAsia="ru-RU"/>
        </w:rPr>
      </w:pPr>
      <w:r w:rsidRPr="00F4400D">
        <w:rPr>
          <w:szCs w:val="24"/>
          <w:lang w:eastAsia="ru-RU"/>
        </w:rPr>
        <w:t xml:space="preserve"> П</w:t>
      </w:r>
      <w:r w:rsidR="000C7098" w:rsidRPr="00F4400D">
        <w:rPr>
          <w:szCs w:val="24"/>
          <w:lang w:eastAsia="ru-RU"/>
        </w:rPr>
        <w:t>одтвержденный</w:t>
      </w:r>
      <w:r w:rsidR="00B578BE" w:rsidRPr="00F4400D">
        <w:rPr>
          <w:szCs w:val="24"/>
          <w:lang w:eastAsia="ru-RU"/>
        </w:rPr>
        <w:t xml:space="preserve"> МО4,5</w:t>
      </w:r>
      <w:r w:rsidR="00B578BE" w:rsidRPr="00F4400D">
        <w:rPr>
          <w:spacing w:val="-4"/>
          <w:szCs w:val="24"/>
          <w:lang w:eastAsia="ru-RU"/>
        </w:rPr>
        <w:t xml:space="preserve"> (</w:t>
      </w:r>
      <w:proofErr w:type="gramStart"/>
      <w:r w:rsidR="009A5834" w:rsidRPr="00F4400D">
        <w:rPr>
          <w:i/>
          <w:szCs w:val="24"/>
          <w:lang w:eastAsia="ru-RU"/>
        </w:rPr>
        <w:t>BCR::</w:t>
      </w:r>
      <w:proofErr w:type="gramEnd"/>
      <w:r w:rsidR="009A5834" w:rsidRPr="00F4400D">
        <w:rPr>
          <w:i/>
          <w:szCs w:val="24"/>
          <w:lang w:eastAsia="ru-RU"/>
        </w:rPr>
        <w:t>ABL</w:t>
      </w:r>
      <w:r w:rsidR="009A5834" w:rsidRPr="00F4400D">
        <w:rPr>
          <w:i/>
          <w:iCs/>
          <w:szCs w:val="24"/>
          <w:lang w:eastAsia="ru-RU"/>
        </w:rPr>
        <w:t>1</w:t>
      </w:r>
      <w:r w:rsidR="00B578BE" w:rsidRPr="00F4400D">
        <w:rPr>
          <w:spacing w:val="-4"/>
          <w:szCs w:val="24"/>
          <w:lang w:eastAsia="ru-RU"/>
        </w:rPr>
        <w:t>≤0,0032</w:t>
      </w:r>
      <w:r w:rsidR="00B578BE" w:rsidRPr="00062B4F">
        <w:rPr>
          <w:spacing w:val="-4"/>
          <w:szCs w:val="24"/>
          <w:lang w:eastAsia="ru-RU"/>
        </w:rPr>
        <w:t> % по IS</w:t>
      </w:r>
      <w:r w:rsidR="00B578BE">
        <w:rPr>
          <w:spacing w:val="-4"/>
          <w:szCs w:val="24"/>
          <w:lang w:eastAsia="ru-RU"/>
        </w:rPr>
        <w:t>)</w:t>
      </w:r>
      <w:r w:rsidR="000C7098" w:rsidRPr="00062B4F">
        <w:rPr>
          <w:szCs w:val="24"/>
          <w:lang w:eastAsia="ru-RU"/>
        </w:rPr>
        <w:t xml:space="preserve"> как минимум в </w:t>
      </w:r>
      <w:r w:rsidR="00B578BE">
        <w:rPr>
          <w:szCs w:val="24"/>
          <w:lang w:eastAsia="ru-RU"/>
        </w:rPr>
        <w:t>2</w:t>
      </w:r>
      <w:r w:rsidR="00B578BE" w:rsidRPr="00062B4F">
        <w:rPr>
          <w:szCs w:val="24"/>
          <w:lang w:eastAsia="ru-RU"/>
        </w:rPr>
        <w:t xml:space="preserve"> </w:t>
      </w:r>
      <w:r w:rsidR="000C7098" w:rsidRPr="00062B4F">
        <w:rPr>
          <w:szCs w:val="24"/>
          <w:lang w:eastAsia="ru-RU"/>
        </w:rPr>
        <w:t>анализах</w:t>
      </w:r>
      <w:r>
        <w:rPr>
          <w:szCs w:val="24"/>
          <w:lang w:eastAsia="ru-RU"/>
        </w:rPr>
        <w:t xml:space="preserve"> на протяжении года до отмены</w:t>
      </w:r>
      <w:r w:rsidR="000C7098" w:rsidRPr="00062B4F">
        <w:rPr>
          <w:szCs w:val="24"/>
          <w:lang w:eastAsia="ru-RU"/>
        </w:rPr>
        <w:t>, в том числе обязательно в лаборатории, стандартизированной по IS с чувствительностью не менее МО4,5.</w:t>
      </w:r>
    </w:p>
    <w:p w14:paraId="3BBF7DEB" w14:textId="77777777" w:rsidR="000C7098" w:rsidRPr="00062B4F" w:rsidRDefault="000C7098" w:rsidP="00505FD7">
      <w:pPr>
        <w:numPr>
          <w:ilvl w:val="0"/>
          <w:numId w:val="23"/>
        </w:numPr>
        <w:rPr>
          <w:szCs w:val="24"/>
          <w:lang w:eastAsia="ru-RU"/>
        </w:rPr>
      </w:pPr>
      <w:r w:rsidRPr="00062B4F">
        <w:rPr>
          <w:szCs w:val="24"/>
          <w:lang w:eastAsia="ru-RU"/>
        </w:rPr>
        <w:t xml:space="preserve">Возможность проведения молекулярного мониторинга после прекращения терапии в лаборатории, стандартизированной по IS (чувствительность не менее МО4,5), с кратностью ежемесячно в первые 6 месяцев наблюдения, каждые 2 месяца в период от 6 месяцев до года и далее каждые 3 месяца в период после года отмены ИТК. </w:t>
      </w:r>
    </w:p>
    <w:p w14:paraId="3C4E83E0" w14:textId="560DEFBE" w:rsidR="000C7098" w:rsidRPr="00062B4F" w:rsidRDefault="000C7098" w:rsidP="00505FD7">
      <w:pPr>
        <w:numPr>
          <w:ilvl w:val="0"/>
          <w:numId w:val="23"/>
        </w:numPr>
        <w:ind w:hanging="357"/>
        <w:rPr>
          <w:szCs w:val="24"/>
          <w:lang w:eastAsia="ru-RU"/>
        </w:rPr>
      </w:pPr>
      <w:r w:rsidRPr="00062B4F">
        <w:rPr>
          <w:szCs w:val="24"/>
          <w:lang w:eastAsia="ru-RU"/>
        </w:rPr>
        <w:t>Наличие возможности возобновления терапии в течение месяца в случае молекулярного рецидива (однократная потеря БМО</w:t>
      </w:r>
      <w:r w:rsidRPr="00B56684">
        <w:rPr>
          <w:szCs w:val="24"/>
          <w:lang w:eastAsia="ru-RU"/>
        </w:rPr>
        <w:t xml:space="preserve">/ </w:t>
      </w:r>
      <w:proofErr w:type="gramStart"/>
      <w:r w:rsidR="009A5834" w:rsidRPr="00B56684">
        <w:rPr>
          <w:i/>
          <w:szCs w:val="24"/>
          <w:lang w:eastAsia="ru-RU"/>
        </w:rPr>
        <w:t>BCR::</w:t>
      </w:r>
      <w:proofErr w:type="gramEnd"/>
      <w:r w:rsidR="009A5834" w:rsidRPr="00B56684">
        <w:rPr>
          <w:i/>
          <w:szCs w:val="24"/>
          <w:lang w:eastAsia="ru-RU"/>
        </w:rPr>
        <w:t>ABL</w:t>
      </w:r>
      <w:r w:rsidR="009A5834" w:rsidRPr="00B56684">
        <w:rPr>
          <w:i/>
          <w:iCs/>
          <w:szCs w:val="24"/>
          <w:lang w:eastAsia="ru-RU"/>
        </w:rPr>
        <w:t>1</w:t>
      </w:r>
      <w:r w:rsidRPr="00062B4F">
        <w:rPr>
          <w:szCs w:val="24"/>
          <w:lang w:eastAsia="ru-RU"/>
        </w:rPr>
        <w:t>≥0,1% по IS, не требует повторного анализа для подтверждения) после отмены терапии и продолжения молекулярного мониторинга каждые три месяца до восстановления глубокого МО после возобновления лечения.</w:t>
      </w:r>
    </w:p>
    <w:p w14:paraId="2B260A9C" w14:textId="5DBEA965" w:rsidR="000C7098" w:rsidRPr="00062B4F" w:rsidRDefault="000C7098" w:rsidP="00C10677">
      <w:pPr>
        <w:rPr>
          <w:b/>
          <w:szCs w:val="24"/>
          <w:lang w:eastAsia="ru-RU"/>
        </w:rPr>
      </w:pPr>
      <w:r w:rsidRPr="00062B4F">
        <w:rPr>
          <w:b/>
          <w:szCs w:val="24"/>
          <w:lang w:eastAsia="ru-RU"/>
        </w:rPr>
        <w:t>Наблюдени</w:t>
      </w:r>
      <w:r w:rsidR="004306C9">
        <w:rPr>
          <w:b/>
          <w:szCs w:val="24"/>
          <w:lang w:eastAsia="ru-RU"/>
        </w:rPr>
        <w:t>е</w:t>
      </w:r>
      <w:r w:rsidRPr="00062B4F">
        <w:rPr>
          <w:b/>
          <w:szCs w:val="24"/>
          <w:lang w:eastAsia="ru-RU"/>
        </w:rPr>
        <w:t xml:space="preserve"> пациентов с ХМЛ в молекулярной ремиссии без терапии ИТК в условиях клинической практики не показано:</w:t>
      </w:r>
    </w:p>
    <w:p w14:paraId="6D71BB2A" w14:textId="77777777" w:rsidR="000C7098" w:rsidRPr="00062B4F" w:rsidRDefault="000C7098" w:rsidP="00505FD7">
      <w:pPr>
        <w:numPr>
          <w:ilvl w:val="0"/>
          <w:numId w:val="24"/>
        </w:numPr>
        <w:jc w:val="left"/>
        <w:rPr>
          <w:szCs w:val="24"/>
          <w:lang w:eastAsia="ru-RU"/>
        </w:rPr>
      </w:pPr>
      <w:r w:rsidRPr="00062B4F">
        <w:rPr>
          <w:szCs w:val="24"/>
          <w:lang w:eastAsia="ru-RU"/>
        </w:rPr>
        <w:t>Пациентам моложе 18 лет</w:t>
      </w:r>
    </w:p>
    <w:p w14:paraId="3F2638D0" w14:textId="77777777" w:rsidR="000C7098" w:rsidRPr="00062B4F" w:rsidRDefault="000C7098" w:rsidP="00505FD7">
      <w:pPr>
        <w:numPr>
          <w:ilvl w:val="0"/>
          <w:numId w:val="24"/>
        </w:numPr>
        <w:jc w:val="left"/>
        <w:rPr>
          <w:szCs w:val="24"/>
          <w:lang w:eastAsia="ru-RU"/>
        </w:rPr>
      </w:pPr>
      <w:r w:rsidRPr="00062B4F">
        <w:rPr>
          <w:szCs w:val="24"/>
          <w:lang w:eastAsia="ru-RU"/>
        </w:rPr>
        <w:t>Пациентам с ФА или БК в анамнезе</w:t>
      </w:r>
    </w:p>
    <w:p w14:paraId="385E5576" w14:textId="5CD7F5C5" w:rsidR="000C7098" w:rsidRPr="00062B4F" w:rsidRDefault="000C7098" w:rsidP="00505FD7">
      <w:pPr>
        <w:numPr>
          <w:ilvl w:val="0"/>
          <w:numId w:val="24"/>
        </w:numPr>
        <w:jc w:val="left"/>
        <w:rPr>
          <w:szCs w:val="24"/>
          <w:lang w:eastAsia="ru-RU"/>
        </w:rPr>
      </w:pPr>
      <w:r w:rsidRPr="00062B4F">
        <w:rPr>
          <w:szCs w:val="24"/>
          <w:lang w:eastAsia="ru-RU"/>
        </w:rPr>
        <w:t xml:space="preserve">При общей длительности терапии менее </w:t>
      </w:r>
      <w:r w:rsidR="00656ED7">
        <w:rPr>
          <w:szCs w:val="24"/>
          <w:lang w:eastAsia="ru-RU"/>
        </w:rPr>
        <w:t>5</w:t>
      </w:r>
      <w:r w:rsidR="00656ED7" w:rsidRPr="00062B4F">
        <w:rPr>
          <w:szCs w:val="24"/>
          <w:lang w:eastAsia="ru-RU"/>
        </w:rPr>
        <w:t xml:space="preserve"> </w:t>
      </w:r>
      <w:r w:rsidRPr="00062B4F">
        <w:rPr>
          <w:szCs w:val="24"/>
          <w:lang w:eastAsia="ru-RU"/>
        </w:rPr>
        <w:t>лет</w:t>
      </w:r>
    </w:p>
    <w:p w14:paraId="160157CD" w14:textId="77777777" w:rsidR="000C7098" w:rsidRPr="00062B4F" w:rsidRDefault="000C7098" w:rsidP="00505FD7">
      <w:pPr>
        <w:numPr>
          <w:ilvl w:val="0"/>
          <w:numId w:val="24"/>
        </w:numPr>
        <w:jc w:val="left"/>
        <w:rPr>
          <w:szCs w:val="24"/>
          <w:lang w:eastAsia="ru-RU"/>
        </w:rPr>
      </w:pPr>
      <w:r w:rsidRPr="00062B4F">
        <w:rPr>
          <w:szCs w:val="24"/>
          <w:lang w:eastAsia="ru-RU"/>
        </w:rPr>
        <w:t>При общей длительности глубокого МО менее 2 лет</w:t>
      </w:r>
    </w:p>
    <w:p w14:paraId="4C921556" w14:textId="11B30AF9" w:rsidR="000C7098" w:rsidRPr="00062B4F" w:rsidRDefault="004306C9" w:rsidP="00505FD7">
      <w:pPr>
        <w:numPr>
          <w:ilvl w:val="0"/>
          <w:numId w:val="24"/>
        </w:numPr>
        <w:jc w:val="left"/>
        <w:rPr>
          <w:szCs w:val="24"/>
          <w:lang w:eastAsia="ru-RU"/>
        </w:rPr>
      </w:pPr>
      <w:r>
        <w:rPr>
          <w:szCs w:val="24"/>
          <w:lang w:eastAsia="ru-RU"/>
        </w:rPr>
        <w:t>При отсутствии</w:t>
      </w:r>
      <w:r w:rsidR="000C7098" w:rsidRPr="00062B4F">
        <w:rPr>
          <w:szCs w:val="24"/>
          <w:lang w:eastAsia="ru-RU"/>
        </w:rPr>
        <w:t xml:space="preserve"> подтвержденного количественным ПЦР типичного </w:t>
      </w:r>
      <w:proofErr w:type="spellStart"/>
      <w:r w:rsidR="000C7098" w:rsidRPr="00062B4F">
        <w:rPr>
          <w:szCs w:val="24"/>
          <w:lang w:eastAsia="ru-RU"/>
        </w:rPr>
        <w:t>транскрипта</w:t>
      </w:r>
      <w:proofErr w:type="spellEnd"/>
      <w:r w:rsidR="000C7098" w:rsidRPr="00062B4F">
        <w:rPr>
          <w:szCs w:val="24"/>
          <w:lang w:eastAsia="ru-RU"/>
        </w:rPr>
        <w:t xml:space="preserve"> </w:t>
      </w:r>
      <w:proofErr w:type="gramStart"/>
      <w:r w:rsidR="008605B3" w:rsidRPr="00B56684">
        <w:rPr>
          <w:i/>
          <w:szCs w:val="24"/>
          <w:lang w:val="en-US" w:eastAsia="ru-RU"/>
        </w:rPr>
        <w:t>BCR</w:t>
      </w:r>
      <w:r w:rsidR="008605B3" w:rsidRPr="00B56684">
        <w:rPr>
          <w:i/>
          <w:szCs w:val="24"/>
          <w:lang w:eastAsia="ru-RU"/>
        </w:rPr>
        <w:t>::</w:t>
      </w:r>
      <w:proofErr w:type="gramEnd"/>
      <w:r w:rsidR="008605B3" w:rsidRPr="00B56684">
        <w:rPr>
          <w:i/>
          <w:szCs w:val="24"/>
          <w:lang w:val="en-US" w:eastAsia="ru-RU"/>
        </w:rPr>
        <w:t>ABL</w:t>
      </w:r>
      <w:r w:rsidR="008605B3" w:rsidRPr="00B56684">
        <w:rPr>
          <w:i/>
          <w:szCs w:val="24"/>
          <w:lang w:eastAsia="ru-RU"/>
        </w:rPr>
        <w:t>1</w:t>
      </w:r>
      <w:r w:rsidR="008605B3" w:rsidRPr="00B56684">
        <w:rPr>
          <w:szCs w:val="24"/>
          <w:lang w:eastAsia="ru-RU"/>
        </w:rPr>
        <w:t xml:space="preserve"> p210 (b3a2(14</w:t>
      </w:r>
      <w:r w:rsidR="008605B3" w:rsidRPr="00B56684">
        <w:rPr>
          <w:szCs w:val="24"/>
          <w:lang w:val="en-US" w:eastAsia="ru-RU"/>
        </w:rPr>
        <w:t>a</w:t>
      </w:r>
      <w:r w:rsidR="008605B3" w:rsidRPr="00B56684">
        <w:rPr>
          <w:szCs w:val="24"/>
          <w:lang w:eastAsia="ru-RU"/>
        </w:rPr>
        <w:t>2) или b2a2(</w:t>
      </w:r>
      <w:r w:rsidR="008605B3" w:rsidRPr="00B56684">
        <w:rPr>
          <w:szCs w:val="24"/>
          <w:lang w:val="en-US" w:eastAsia="ru-RU"/>
        </w:rPr>
        <w:t>e</w:t>
      </w:r>
      <w:r w:rsidR="008605B3" w:rsidRPr="00B56684">
        <w:rPr>
          <w:szCs w:val="24"/>
          <w:lang w:eastAsia="ru-RU"/>
        </w:rPr>
        <w:t>13</w:t>
      </w:r>
      <w:r w:rsidR="008605B3" w:rsidRPr="00B56684">
        <w:rPr>
          <w:szCs w:val="24"/>
          <w:lang w:val="en-US" w:eastAsia="ru-RU"/>
        </w:rPr>
        <w:t>a</w:t>
      </w:r>
      <w:r w:rsidR="008605B3" w:rsidRPr="00B56684">
        <w:rPr>
          <w:szCs w:val="24"/>
          <w:lang w:eastAsia="ru-RU"/>
        </w:rPr>
        <w:t>2))</w:t>
      </w:r>
      <w:r w:rsidR="000C7098" w:rsidRPr="00B56684">
        <w:rPr>
          <w:szCs w:val="24"/>
          <w:lang w:eastAsia="ru-RU"/>
        </w:rPr>
        <w:t xml:space="preserve">или </w:t>
      </w:r>
      <w:r w:rsidR="003B1006">
        <w:rPr>
          <w:szCs w:val="24"/>
          <w:lang w:eastAsia="ru-RU"/>
        </w:rPr>
        <w:t xml:space="preserve">при </w:t>
      </w:r>
      <w:r w:rsidR="000C7098" w:rsidRPr="00B56684">
        <w:rPr>
          <w:szCs w:val="24"/>
          <w:lang w:eastAsia="ru-RU"/>
        </w:rPr>
        <w:t>наличи</w:t>
      </w:r>
      <w:r w:rsidR="003B1006">
        <w:rPr>
          <w:szCs w:val="24"/>
          <w:lang w:eastAsia="ru-RU"/>
        </w:rPr>
        <w:t>и</w:t>
      </w:r>
      <w:r w:rsidR="000C7098" w:rsidRPr="00B56684">
        <w:rPr>
          <w:szCs w:val="24"/>
          <w:lang w:eastAsia="ru-RU"/>
        </w:rPr>
        <w:t xml:space="preserve"> атипичных </w:t>
      </w:r>
      <w:r w:rsidR="008605B3" w:rsidRPr="00B56684">
        <w:rPr>
          <w:i/>
          <w:szCs w:val="24"/>
          <w:lang w:val="en-US" w:eastAsia="ru-RU"/>
        </w:rPr>
        <w:t>BCR</w:t>
      </w:r>
      <w:r w:rsidR="008605B3" w:rsidRPr="00B56684">
        <w:rPr>
          <w:i/>
          <w:szCs w:val="24"/>
          <w:lang w:eastAsia="ru-RU"/>
        </w:rPr>
        <w:t>::</w:t>
      </w:r>
      <w:r w:rsidR="008605B3" w:rsidRPr="00B56684">
        <w:rPr>
          <w:i/>
          <w:szCs w:val="24"/>
          <w:lang w:val="en-US" w:eastAsia="ru-RU"/>
        </w:rPr>
        <w:t>ABL</w:t>
      </w:r>
      <w:r w:rsidR="008605B3" w:rsidRPr="00B56684">
        <w:rPr>
          <w:i/>
          <w:szCs w:val="24"/>
          <w:lang w:eastAsia="ru-RU"/>
        </w:rPr>
        <w:t>1</w:t>
      </w:r>
      <w:r w:rsidR="008605B3" w:rsidRPr="00B56684">
        <w:rPr>
          <w:szCs w:val="24"/>
          <w:lang w:eastAsia="ru-RU"/>
        </w:rPr>
        <w:t xml:space="preserve">  </w:t>
      </w:r>
      <w:proofErr w:type="spellStart"/>
      <w:r w:rsidR="000C7098" w:rsidRPr="00B56684">
        <w:rPr>
          <w:szCs w:val="24"/>
          <w:lang w:eastAsia="ru-RU"/>
        </w:rPr>
        <w:t>транскриптов</w:t>
      </w:r>
      <w:proofErr w:type="spellEnd"/>
      <w:r w:rsidR="000C7098" w:rsidRPr="00B56684">
        <w:rPr>
          <w:szCs w:val="24"/>
          <w:lang w:eastAsia="ru-RU"/>
        </w:rPr>
        <w:t xml:space="preserve"> p190 (e1a2)</w:t>
      </w:r>
      <w:r w:rsidR="008605B3" w:rsidRPr="00B56684">
        <w:rPr>
          <w:szCs w:val="24"/>
          <w:lang w:eastAsia="ru-RU"/>
        </w:rPr>
        <w:t>,</w:t>
      </w:r>
      <w:r w:rsidR="000C7098" w:rsidRPr="00B56684">
        <w:rPr>
          <w:szCs w:val="24"/>
          <w:lang w:eastAsia="ru-RU"/>
        </w:rPr>
        <w:t xml:space="preserve"> </w:t>
      </w:r>
      <w:r w:rsidR="000C7098" w:rsidRPr="00B56684">
        <w:rPr>
          <w:szCs w:val="24"/>
          <w:lang w:val="en-US" w:eastAsia="ru-RU"/>
        </w:rPr>
        <w:t>p</w:t>
      </w:r>
      <w:r w:rsidR="000C7098" w:rsidRPr="00B56684">
        <w:rPr>
          <w:szCs w:val="24"/>
          <w:lang w:eastAsia="ru-RU"/>
        </w:rPr>
        <w:t>230 (</w:t>
      </w:r>
      <w:r w:rsidR="008605B3" w:rsidRPr="00B56684">
        <w:rPr>
          <w:szCs w:val="24"/>
          <w:lang w:val="en-US" w:eastAsia="ru-RU"/>
        </w:rPr>
        <w:t>e</w:t>
      </w:r>
      <w:r w:rsidR="008605B3" w:rsidRPr="00B56684">
        <w:rPr>
          <w:szCs w:val="24"/>
          <w:lang w:eastAsia="ru-RU"/>
        </w:rPr>
        <w:t>19</w:t>
      </w:r>
      <w:r w:rsidR="000C7098" w:rsidRPr="00B56684">
        <w:rPr>
          <w:szCs w:val="24"/>
          <w:lang w:eastAsia="ru-RU"/>
        </w:rPr>
        <w:t>a2).</w:t>
      </w:r>
    </w:p>
    <w:p w14:paraId="1B49511F" w14:textId="256A26BD" w:rsidR="000C7098" w:rsidRPr="00062B4F" w:rsidRDefault="003B1006" w:rsidP="00505FD7">
      <w:pPr>
        <w:numPr>
          <w:ilvl w:val="0"/>
          <w:numId w:val="24"/>
        </w:numPr>
        <w:ind w:hanging="357"/>
        <w:jc w:val="left"/>
        <w:rPr>
          <w:szCs w:val="24"/>
          <w:lang w:eastAsia="ru-RU"/>
        </w:rPr>
      </w:pPr>
      <w:r>
        <w:rPr>
          <w:szCs w:val="24"/>
          <w:lang w:eastAsia="ru-RU"/>
        </w:rPr>
        <w:t>При о</w:t>
      </w:r>
      <w:r w:rsidR="000C7098" w:rsidRPr="00062B4F">
        <w:rPr>
          <w:szCs w:val="24"/>
          <w:lang w:eastAsia="ru-RU"/>
        </w:rPr>
        <w:t>тсутствие возможности проведения регулярного молекулярного мониторинга после прекращения терапии в лаборатории, стандартизированной по IS (чувствительность не менее МО4,5).</w:t>
      </w:r>
    </w:p>
    <w:p w14:paraId="66B9D3AC" w14:textId="77777777" w:rsidR="000C7098" w:rsidRPr="00062B4F" w:rsidRDefault="000C7098" w:rsidP="00C10677">
      <w:pPr>
        <w:rPr>
          <w:b/>
          <w:szCs w:val="24"/>
          <w:lang w:eastAsia="ru-RU"/>
        </w:rPr>
      </w:pPr>
      <w:r w:rsidRPr="00062B4F">
        <w:rPr>
          <w:b/>
          <w:szCs w:val="24"/>
          <w:lang w:eastAsia="ru-RU"/>
        </w:rPr>
        <w:t>Факторы сохранения ремиссии и селекция пациентов для прекращения терапии ИТК</w:t>
      </w:r>
    </w:p>
    <w:p w14:paraId="01FA5D48" w14:textId="7989E5FE" w:rsidR="000C7098" w:rsidRPr="00062B4F" w:rsidRDefault="000C7098" w:rsidP="00C10677">
      <w:r w:rsidRPr="00062B4F">
        <w:lastRenderedPageBreak/>
        <w:t>Благоприятные факторы, свидетельствующие о возможности поддержания РБЛ</w:t>
      </w:r>
      <w:r w:rsidR="00926ED4">
        <w:t>,</w:t>
      </w:r>
      <w:r w:rsidRPr="00062B4F">
        <w:t xml:space="preserve"> в настоящее время являются предметом для обсуждения. В большинстве исследований показано, что</w:t>
      </w:r>
      <w:r w:rsidR="00D75929">
        <w:t xml:space="preserve"> уровень молекулярного ответа МО4,5 и глубже, а также</w:t>
      </w:r>
      <w:r w:rsidRPr="00062B4F">
        <w:t xml:space="preserve"> более длительный срок лечения и/или </w:t>
      </w:r>
      <w:r w:rsidR="006B6AC6">
        <w:t xml:space="preserve">длительность </w:t>
      </w:r>
      <w:r w:rsidRPr="00062B4F">
        <w:t>глубокого МО ассоциирован с большей вероятностью поддержания РБЛ</w:t>
      </w:r>
      <w:r w:rsidR="0074219A" w:rsidRPr="00062B4F">
        <w:t xml:space="preserve"> </w:t>
      </w:r>
      <w:r w:rsidR="0074219A" w:rsidRPr="00062B4F">
        <w:fldChar w:fldCharType="begin" w:fldLock="1"/>
      </w:r>
      <w:r w:rsidR="00F97FA1" w:rsidRPr="00062B4F">
        <w:instrText>ADDIN CSL_CITATION {"citationItems":[{"id":"ITEM-1","itemData":{"DOI":"10.1016/j.ejca.2017.02.028","ISSN":"18790852","abstract":"Purpose Tyrosine kinase inhibitors (TKIs) are the cornerstones of treatment for patients with chronic myeloid leukaemia (CML). In recent years, several studies were conducted to evaluate the safety of TKIs discontinuation. We performed a systematic review of the literature to determine the incidence of CML relapse, to identify possible factors relapse rates and to evaluate the long-term safety in CML patients with stable undetectable BCR-ABL transcript level who discontinued TKIs. Design Studies evaluating TKIs discontinuation in CML patients with undetectable BCR-ABL transcript level were identified by electronic search of MEDLINE and EMBASE database until May 2015. Weighted mean proportion and 95% confidence intervals (CIs) of CML relapse was calculated using a fixed-effects and a random-effects model. Statistical heterogeneity was evaluated using the I2 statistic. Results Fifteen cohort studies, for a total of 509 patients, were included. Nine studies were at low-risk of bias. All 15 studies included only patients on imatinib. Overall weighted mean molecular relapse rate of CML was 51% (95% CI 44–58%; I2 = 55). Weighted mean molecular relapse rate at 6-month follow-up was 41% (95% CI 32–51%; I2 = 78). Eighty percent of molecular relapses occurred in the first 6 months. All 509 patients were alive at 2-year follow-up and only one patient (0.8%, 95% CI 0.2–1.8%; I2 = 0) has progressed to a blastic crisis. Conclusions Our findings suggest that imatinib discontinuation is feasible for the majority of CML patients with stable undetectable BCR-ABL transcript level. Approximately 50% of patients remain therapy-free after imatinib discontinuation. Restarting TKIs therapy was followed by a very high rate of molecular response, with no deaths 2 years after discontinuation.","author":[{"dropping-particle":"","family":"Campiotti","given":"Leonardo","non-dropping-particle":"","parse-names":false,"suffix":""},{"dropping-particle":"","family":"Suter","given":"Matteo Basilio","non-dropping-particle":"","parse-names":false,"suffix":""},{"dropping-particle":"","family":"Guasti","given":"Luigina","non-dropping-particle":"","parse-names":false,"suffix":""},{"dropping-particle":"","family":"Piazza","given":"Rocco","non-dropping-particle":"","parse-names":false,"suffix":""},{"dropping-particle":"","family":"Gambacorti-Passerini","given":"Carlo","non-dropping-particle":"","parse-names":false,"suffix":""},{"dropping-particle":"","family":"Grandi","given":"Anna Maria","non-dropping-particle":"","parse-names":false,"suffix":""},{"dropping-particle":"","family":"Squizzato","given":"Alessandro","non-dropping-particle":"","parse-names":false,"suffix":""}],"container-title":"European Journal of Cancer","id":"ITEM-1","issued":{"date-parts":[["2017","5","1"]]},"page":"48-56","publisher":"Elsevier Ltd","title":"Imatinib discontinuation in chronic myeloid leukaemia patients with undetectable BCR-ABL transcript level: A systematic review and a meta-analysis","type":"article","volume":"77"},"uris":["http://www.mendeley.com/documents/?uuid=dcb5a678-f7b7-3889-a3b4-7d263b882240"]},{"id":"ITEM-2","itemData":{"DOI":"10.1016/S1470-2045(18)30192-X","ISSN":"14745488","abstract":"Background: Tyrosine kinase inhibitors (TKIs) have improved the survival of patients with chronic myeloid leukaemia. Many patients have deep molecular responses, a prerequisite for TKI therapy discontinuation. We aimed to define precise conditions for stopping treatment. Methods: In this prospective, non-randomised trial, we enrolled patients with chronic myeloid leukaemia at 61 European centres in 11 countries. Eligible patients had chronic-phase chronic myeloid leukaemia, had received any TKI for at least 3 years (without treatment failure according to European LeukemiaNet [ELN] recommendations), and had a confirmed deep molecular response for at least 1 year. The primary endpoint was molecular relapse-free survival, defined by loss of major molecular response (MMR; &gt;0·1% BCR-ABL1 on the International Scale) and assessed in all patients with at least one molecular result. Secondary endpoints were a prognostic analysis of factors affecting maintenance of MMR at 6 months in learning and validation samples and the cost impact of stopping TKI therapy. We considered loss of haematological response, progress to accelerated-phase chronic myeloid leukaemia, or blast crisis as serious adverse events. This study presents the results of the prespecified interim analysis, which was done after the 6-month molecular relapse-free survival status was known for 200 patients. The study is ongoing and is registered with ClinicalTrials.gov, number NCT01596114. Findings: Between May 30, 2012, and Dec 3, 2014, we assessed 868 patients with chronic myeloid leukaemia for eligibility, of whom 758 were enrolled. Median follow-up of the 755 patients evaluable for molecular response was 27 months (IQR 21–34). Molecular relapse-free survival for these patients was 61% (95% CI 57–64) at 6 months and 50% (46–54) at 24 months. Of these 755 patients, 371 (49%) lost MMR after TKI discontinuation, four (1%) died while in MMR for reasons unrelated to chronic myeloid leukaemia (myocardial infarction, lung cancer, renal cancer, and heart failure), and 13 (2%) restarted TKI therapy while in MMR. A further six (1%) patients died in chronic-phase chronic myeloid leukaemia after loss of MMR and re-initiation of TKI therapy for reasons unrelated to chronic myeloid leukaemia, and two (&lt;1%) patients lost MMR despite restarting TKI therapy. In the prognostic analysis in 405 patients who received imatinib as first-line treatment (learning sample), longer treatment duration (odds ratio [OR] per yea…","author":[{"dropping-particle":"","family":"Saussele","given":"Susanne","non-dropping-particle":"","parse-names":false,"suffix":""},{"dropping-particle":"","family":"Richter","given":"Johan","non-dropping-particle":"","parse-names":false,"suffix":""},{"dropping-particle":"","family":"Guilhot","given":"Joelle","non-dropping-particle":"","parse-names":false,"suffix":""},{"dropping-particle":"","family":"Gruber","given":"Franz X.","non-dropping-particle":"","parse-names":false,"suffix":""},{"dropping-particle":"","family":"Hjorth-Hansen","given":"Henrik","non-dropping-particle":"","parse-names":false,"suffix":""},{"dropping-particle":"","family":"Almeida","given":"Antonio","non-dropping-particle":"","parse-names":false,"suffix":""},{"dropping-particle":"","family":"Janssen","given":"Jeroen J.W.M.","non-dropping-particle":"","parse-names":false,"suffix":""},{"dropping-particle":"","family":"Mayer","given":"Jiri","non-dropping-particle":"","parse-names":false,"suffix":""},{"dropping-particle":"","family":"Koskenvesa","given":"Perttu","non-dropping-particle":"","parse-names":false,"suffix":""},{"dropping-particle":"","family":"Panayiotidis","given":"Panayiotis","non-dropping-particle":"","parse-names":false,"suffix":""},{"dropping-particle":"","family":"Olsson-Strömberg","given":"Ulla","non-dropping-particle":"","parse-names":false,"suffix":""},{"dropping-particle":"","family":"Martinez-Lopez","given":"Joaquin","non-dropping-particle":"","parse-names":false,"suffix":""},{"dropping-particle":"","family":"Rousselot","given":"Philippe","non-dropping-particle":"","parse-names":false,"suffix":""},{"dropping-particle":"","family":"Vestergaard","given":"Hanne","non-dropping-particle":"","parse-names":false,"suffix":""},{"dropping-particle":"","family":"Ehrencrona","given":"Hans","non-dropping-particle":"","parse-names":false,"suffix":""},{"dropping-particle":"","family":"Kairisto","given":"Veli","non-dropping-particle":"","parse-names":false,"suffix":""},{"dropping-particle":"","family":"Machová Poláková","given":"Katerina","non-dropping-particle":"","parse-names":false,"suffix":""},{"dropping-particle":"","family":"Müller","given":"Martin C.","non-dropping-particle":"","parse-names":false,"suffix":""},{"dropping-particle":"","family":"Mustjoki","given":"Satu","non-dropping-particle":"","parse-names":false,"suffix":""},{"dropping-particle":"","family":"Berger","given":"Marc G.","non-dropping-particle":"","parse-names":false,"suffix":""},{"dropping-particle":"","family":"Fabarius","given":"Alice","non-dropping-particle":"","parse-names":false,"suffix":""},{"dropping-particle":"","family":"Hofmann","given":"Wolf Karsten","non-dropping-particle":"","parse-names":false,"suffix":""},{"dropping-particle":"","family":"Hochhaus","given":"Andreas","non-dropping-particle":"","parse-names":false,"suffix":""},{"dropping-particle":"","family":"Pfirrmann","given":"Markus","non-dropping-particle":"","parse-names":false,"suffix":""},{"dropping-particle":"","family":"Mahon","given":"Francois Xavier","non-dropping-particle":"","parse-names":false,"suffix":""},{"dropping-particle":"","family":"Ossenkoppele","given":"Gert","non-dropping-particle":"","parse-names":false,"suffix":""},{"dropping-particle":"","family":"Pagoni","given":"Maria N.","non-dropping-particle":"","parse-names":false,"suffix":""},{"dropping-particle":"","family":"Söderlund","given":"Stina","non-dropping-particle":"","parse-names":false,"suffix":""},{"dropping-particle":"","family":"Escoffre-Barbe","given":"Martine","non-dropping-particle":"","parse-names":false,"suffix":""},{"dropping-particle":"","family":"Etienne","given":"Gabriel","non-dropping-particle":"","parse-names":false,"suffix":""},{"dropping-particle":"","family":"Dengler","given":"Jolanta","non-dropping-particle":"","parse-names":false,"suffix":""},{"dropping-particle":"","family":"Huguet","given":"Francoise","non-dropping-particle":"","parse-names":false,"suffix":""},{"dropping-particle":"","family":"Bubnoff","given":"Nikolas","non-dropping-particle":"von","parse-names":false,"suffix":""},{"dropping-particle":"","family":"Klamova","given":"Hana","non-dropping-particle":"","parse-names":false,"suffix":""},{"dropping-particle":"","family":"Faber","given":"Edgar","non-dropping-particle":"","parse-names":false,"suffix":""},{"dropping-particle":"","family":"Guilhot","given":"Francois","non-dropping-particle":"","parse-names":false,"suffix":""},{"dropping-particle":"","family":"Lotfi","given":"Kourosh","non-dropping-particle":"","parse-names":false,"suffix":""},{"dropping-particle":"","family":"Rea","given":"Delphine","non-dropping-particle":"","parse-names":false,"suffix":""},{"dropping-particle":"","family":"Brümmendorf","given":"Tim H.","non-dropping-particle":"","parse-names":false,"suffix":""},{"dropping-particle":"","family":"Greef","given":"Gorgine E.","non-dropping-particle":"de","parse-names":false,"suffix":""},{"dropping-particle":"","family":"Stenke","given":"Leif","non-dropping-particle":"","parse-names":false,"suffix":""},{"dropping-particle":"","family":"Nicolini","given":"Franck E.","non-dropping-particle":"","parse-names":false,"suffix":""},{"dropping-particle":"","family":"Legros","given":"Laurence","non-dropping-particle":"","parse-names":false,"suffix":""},{"dropping-particle":"","family":"Burchert","given":"Andreas","non-dropping-particle":"","parse-names":false,"suffix":""},{"dropping-particle":"","family":"Voglova","given":"Jaroslava","non-dropping-particle":"","parse-names":false,"suffix":""},{"dropping-particle":"","family":"Charbonnier","given":"Aude","non-dropping-particle":"","parse-names":false,"suffix":""},{"dropping-particle":"","family":"Gyan","given":"Emmanuel","non-dropping-particle":"","parse-names":false,"suffix":""},{"dropping-particle":"","family":"Kunzmann","given":"Volker","non-dropping-particle":"","parse-names":false,"suffix":""},{"dropping-particle":"","family":"Westerweel","given":"Peter E.","non-dropping-particle":"","parse-names":false,"suffix":""}],"container-title":"The Lancet Oncology","id":"ITEM-2","issue":"6","issued":{"date-parts":[["2018","6","1"]]},"page":"747-757","publisher":"Lancet Publishing Group","title":"Discontinuation of tyrosine kinase inhibitor therapy in chronic myeloid leukaemia (EURO-SKI): a prespecified interim analysis of a prospective, multicentre, non-randomised, trial","type":"article-journal","volume":"19"},"uris":["http://www.mendeley.com/documents/?uuid=cfba0929-dd10-346e-916d-104a83d494fc"]}],"mendeley":{"formattedCitation":"[92,94]","plainTextFormattedCitation":"[92,94]","previouslyFormattedCitation":"[92,94]"},"properties":{"noteIndex":0},"schema":"https://github.com/citation-style-language/schema/raw/master/csl-citation.json"}</w:instrText>
      </w:r>
      <w:r w:rsidR="0074219A" w:rsidRPr="00062B4F">
        <w:fldChar w:fldCharType="separate"/>
      </w:r>
      <w:r w:rsidR="0074219A" w:rsidRPr="00062B4F">
        <w:rPr>
          <w:noProof/>
        </w:rPr>
        <w:t>[92,94]</w:t>
      </w:r>
      <w:r w:rsidR="0074219A" w:rsidRPr="00062B4F">
        <w:fldChar w:fldCharType="end"/>
      </w:r>
      <w:r w:rsidRPr="00062B4F">
        <w:t xml:space="preserve">. Противоречивые данные получены в отношении таких факторов, как: резистентность к предшествующей терапии ИТК, высокая группа риска по </w:t>
      </w:r>
      <w:proofErr w:type="spellStart"/>
      <w:r w:rsidRPr="00062B4F">
        <w:t>Sokal</w:t>
      </w:r>
      <w:proofErr w:type="spellEnd"/>
      <w:r w:rsidRPr="00062B4F">
        <w:t>, возраст, глубина молекулярного ответа перед отменой ИТК, а также поколение ИТК в первой линии терапии</w:t>
      </w:r>
      <w:r w:rsidR="00F97FA1" w:rsidRPr="00062B4F">
        <w:t xml:space="preserve"> </w:t>
      </w:r>
      <w:r w:rsidR="00F97FA1" w:rsidRPr="00062B4F">
        <w:fldChar w:fldCharType="begin" w:fldLock="1"/>
      </w:r>
      <w:r w:rsidR="00F97FA1" w:rsidRPr="00062B4F">
        <w:instrText>ADDIN CSL_CITATION {"citationItems":[{"id":"ITEM-1","itemData":{"DOI":"10.1016/j.ejca.2017.02.028","ISSN":"18790852","abstract":"Purpose Tyrosine kinase inhibitors (TKIs) are the cornerstones of treatment for patients with chronic myeloid leukaemia (CML). In recent years, several studies were conducted to evaluate the safety of TKIs discontinuation. We performed a systematic review of the literature to determine the incidence of CML relapse, to identify possible factors relapse rates and to evaluate the long-term safety in CML patients with stable undetectable BCR-ABL transcript level who discontinued TKIs. Design Studies evaluating TKIs discontinuation in CML patients with undetectable BCR-ABL transcript level were identified by electronic search of MEDLINE and EMBASE database until May 2015. Weighted mean proportion and 95% confidence intervals (CIs) of CML relapse was calculated using a fixed-effects and a random-effects model. Statistical heterogeneity was evaluated using the I2 statistic. Results Fifteen cohort studies, for a total of 509 patients, were included. Nine studies were at low-risk of bias. All 15 studies included only patients on imatinib. Overall weighted mean molecular relapse rate of CML was 51% (95% CI 44–58%; I2 = 55). Weighted mean molecular relapse rate at 6-month follow-up was 41% (95% CI 32–51%; I2 = 78). Eighty percent of molecular relapses occurred in the first 6 months. All 509 patients were alive at 2-year follow-up and only one patient (0.8%, 95% CI 0.2–1.8%; I2 = 0) has progressed to a blastic crisis. Conclusions Our findings suggest that imatinib discontinuation is feasible for the majority of CML patients with stable undetectable BCR-ABL transcript level. Approximately 50% of patients remain therapy-free after imatinib discontinuation. Restarting TKIs therapy was followed by a very high rate of molecular response, with no deaths 2 years after discontinuation.","author":[{"dropping-particle":"","family":"Campiotti","given":"Leonardo","non-dropping-particle":"","parse-names":false,"suffix":""},{"dropping-particle":"","family":"Suter","given":"Matteo Basilio","non-dropping-particle":"","parse-names":false,"suffix":""},{"dropping-particle":"","family":"Guasti","given":"Luigina","non-dropping-particle":"","parse-names":false,"suffix":""},{"dropping-particle":"","family":"Piazza","given":"Rocco","non-dropping-particle":"","parse-names":false,"suffix":""},{"dropping-particle":"","family":"Gambacorti-Passerini","given":"Carlo","non-dropping-particle":"","parse-names":false,"suffix":""},{"dropping-particle":"","family":"Grandi","given":"Anna Maria","non-dropping-particle":"","parse-names":false,"suffix":""},{"dropping-particle":"","family":"Squizzato","given":"Alessandro","non-dropping-particle":"","parse-names":false,"suffix":""}],"container-title":"European Journal of Cancer","id":"ITEM-1","issued":{"date-parts":[["2017","5","1"]]},"page":"48-56","publisher":"Elsevier Ltd","title":"Imatinib discontinuation in chronic myeloid leukaemia patients with undetectable BCR-ABL transcript level: A systematic review and a meta-analysis","type":"article","volume":"77"},"uris":["http://www.mendeley.com/documents/?uuid=dcb5a678-f7b7-3889-a3b4-7d263b882240"]},{"id":"ITEM-2","itemData":{"DOI":"10.1016/S1470-2045(18)30192-X","ISSN":"14745488","abstract":"Background: Tyrosine kinase inhibitors (TKIs) have improved the survival of patients with chronic myeloid leukaemia. Many patients have deep molecular responses, a prerequisite for TKI therapy discontinuation. We aimed to define precise conditions for stopping treatment. Methods: In this prospective, non-randomised trial, we enrolled patients with chronic myeloid leukaemia at 61 European centres in 11 countries. Eligible patients had chronic-phase chronic myeloid leukaemia, had received any TKI for at least 3 years (without treatment failure according to European LeukemiaNet [ELN] recommendations), and had a confirmed deep molecular response for at least 1 year. The primary endpoint was molecular relapse-free survival, defined by loss of major molecular response (MMR; &gt;0·1% BCR-ABL1 on the International Scale) and assessed in all patients with at least one molecular result. Secondary endpoints were a prognostic analysis of factors affecting maintenance of MMR at 6 months in learning and validation samples and the cost impact of stopping TKI therapy. We considered loss of haematological response, progress to accelerated-phase chronic myeloid leukaemia, or blast crisis as serious adverse events. This study presents the results of the prespecified interim analysis, which was done after the 6-month molecular relapse-free survival status was known for 200 patients. The study is ongoing and is registered with ClinicalTrials.gov, number NCT01596114. Findings: Between May 30, 2012, and Dec 3, 2014, we assessed 868 patients with chronic myeloid leukaemia for eligibility, of whom 758 were enrolled. Median follow-up of the 755 patients evaluable for molecular response was 27 months (IQR 21–34). Molecular relapse-free survival for these patients was 61% (95% CI 57–64) at 6 months and 50% (46–54) at 24 months. Of these 755 patients, 371 (49%) lost MMR after TKI discontinuation, four (1%) died while in MMR for reasons unrelated to chronic myeloid leukaemia (myocardial infarction, lung cancer, renal cancer, and heart failure), and 13 (2%) restarted TKI therapy while in MMR. A further six (1%) patients died in chronic-phase chronic myeloid leukaemia after loss of MMR and re-initiation of TKI therapy for reasons unrelated to chronic myeloid leukaemia, and two (&lt;1%) patients lost MMR despite restarting TKI therapy. In the prognostic analysis in 405 patients who received imatinib as first-line treatment (learning sample), longer treatment duration (odds ratio [OR] per yea…","author":[{"dropping-particle":"","family":"Saussele","given":"Susanne","non-dropping-particle":"","parse-names":false,"suffix":""},{"dropping-particle":"","family":"Richter","given":"Johan","non-dropping-particle":"","parse-names":false,"suffix":""},{"dropping-particle":"","family":"Guilhot","given":"Joelle","non-dropping-particle":"","parse-names":false,"suffix":""},{"dropping-particle":"","family":"Gruber","given":"Franz X.","non-dropping-particle":"","parse-names":false,"suffix":""},{"dropping-particle":"","family":"Hjorth-Hansen","given":"Henrik","non-dropping-particle":"","parse-names":false,"suffix":""},{"dropping-particle":"","family":"Almeida","given":"Antonio","non-dropping-particle":"","parse-names":false,"suffix":""},{"dropping-particle":"","family":"Janssen","given":"Jeroen J.W.M.","non-dropping-particle":"","parse-names":false,"suffix":""},{"dropping-particle":"","family":"Mayer","given":"Jiri","non-dropping-particle":"","parse-names":false,"suffix":""},{"dropping-particle":"","family":"Koskenvesa","given":"Perttu","non-dropping-particle":"","parse-names":false,"suffix":""},{"dropping-particle":"","family":"Panayiotidis","given":"Panayiotis","non-dropping-particle":"","parse-names":false,"suffix":""},{"dropping-particle":"","family":"Olsson-Strömberg","given":"Ulla","non-dropping-particle":"","parse-names":false,"suffix":""},{"dropping-particle":"","family":"Martinez-Lopez","given":"Joaquin","non-dropping-particle":"","parse-names":false,"suffix":""},{"dropping-particle":"","family":"Rousselot","given":"Philippe","non-dropping-particle":"","parse-names":false,"suffix":""},{"dropping-particle":"","family":"Vestergaard","given":"Hanne","non-dropping-particle":"","parse-names":false,"suffix":""},{"dropping-particle":"","family":"Ehrencrona","given":"Hans","non-dropping-particle":"","parse-names":false,"suffix":""},{"dropping-particle":"","family":"Kairisto","given":"Veli","non-dropping-particle":"","parse-names":false,"suffix":""},{"dropping-particle":"","family":"Machová Poláková","given":"Katerina","non-dropping-particle":"","parse-names":false,"suffix":""},{"dropping-particle":"","family":"Müller","given":"Martin C.","non-dropping-particle":"","parse-names":false,"suffix":""},{"dropping-particle":"","family":"Mustjoki","given":"Satu","non-dropping-particle":"","parse-names":false,"suffix":""},{"dropping-particle":"","family":"Berger","given":"Marc G.","non-dropping-particle":"","parse-names":false,"suffix":""},{"dropping-particle":"","family":"Fabarius","given":"Alice","non-dropping-particle":"","parse-names":false,"suffix":""},{"dropping-particle":"","family":"Hofmann","given":"Wolf Karsten","non-dropping-particle":"","parse-names":false,"suffix":""},{"dropping-particle":"","family":"Hochhaus","given":"Andreas","non-dropping-particle":"","parse-names":false,"suffix":""},{"dropping-particle":"","family":"Pfirrmann","given":"Markus","non-dropping-particle":"","parse-names":false,"suffix":""},{"dropping-particle":"","family":"Mahon","given":"Francois Xavier","non-dropping-particle":"","parse-names":false,"suffix":""},{"dropping-particle":"","family":"Ossenkoppele","given":"Gert","non-dropping-particle":"","parse-names":false,"suffix":""},{"dropping-particle":"","family":"Pagoni","given":"Maria N.","non-dropping-particle":"","parse-names":false,"suffix":""},{"dropping-particle":"","family":"Söderlund","given":"Stina","non-dropping-particle":"","parse-names":false,"suffix":""},{"dropping-particle":"","family":"Escoffre-Barbe","given":"Martine","non-dropping-particle":"","parse-names":false,"suffix":""},{"dropping-particle":"","family":"Etienne","given":"Gabriel","non-dropping-particle":"","parse-names":false,"suffix":""},{"dropping-particle":"","family":"Dengler","given":"Jolanta","non-dropping-particle":"","parse-names":false,"suffix":""},{"dropping-particle":"","family":"Huguet","given":"Francoise","non-dropping-particle":"","parse-names":false,"suffix":""},{"dropping-particle":"","family":"Bubnoff","given":"Nikolas","non-dropping-particle":"von","parse-names":false,"suffix":""},{"dropping-particle":"","family":"Klamova","given":"Hana","non-dropping-particle":"","parse-names":false,"suffix":""},{"dropping-particle":"","family":"Faber","given":"Edgar","non-dropping-particle":"","parse-names":false,"suffix":""},{"dropping-particle":"","family":"Guilhot","given":"Francois","non-dropping-particle":"","parse-names":false,"suffix":""},{"dropping-particle":"","family":"Lotfi","given":"Kourosh","non-dropping-particle":"","parse-names":false,"suffix":""},{"dropping-particle":"","family":"Rea","given":"Delphine","non-dropping-particle":"","parse-names":false,"suffix":""},{"dropping-particle":"","family":"Brümmendorf","given":"Tim H.","non-dropping-particle":"","parse-names":false,"suffix":""},{"dropping-particle":"","family":"Greef","given":"Gorgine E.","non-dropping-particle":"de","parse-names":false,"suffix":""},{"dropping-particle":"","family":"Stenke","given":"Leif","non-dropping-particle":"","parse-names":false,"suffix":""},{"dropping-particle":"","family":"Nicolini","given":"Franck E.","non-dropping-particle":"","parse-names":false,"suffix":""},{"dropping-particle":"","family":"Legros","given":"Laurence","non-dropping-particle":"","parse-names":false,"suffix":""},{"dropping-particle":"","family":"Burchert","given":"Andreas","non-dropping-particle":"","parse-names":false,"suffix":""},{"dropping-particle":"","family":"Voglova","given":"Jaroslava","non-dropping-particle":"","parse-names":false,"suffix":""},{"dropping-particle":"","family":"Charbonnier","given":"Aude","non-dropping-particle":"","parse-names":false,"suffix":""},{"dropping-particle":"","family":"Gyan","given":"Emmanuel","non-dropping-particle":"","parse-names":false,"suffix":""},{"dropping-particle":"","family":"Kunzmann","given":"Volker","non-dropping-particle":"","parse-names":false,"suffix":""},{"dropping-particle":"","family":"Westerweel","given":"Peter E.","non-dropping-particle":"","parse-names":false,"suffix":""}],"container-title":"The Lancet Oncology","id":"ITEM-2","issue":"6","issued":{"date-parts":[["2018","6","1"]]},"page":"747-757","publisher":"Lancet Publishing Group","title":"Discontinuation of tyrosine kinase inhibitor therapy in chronic myeloid leukaemia (EURO-SKI): a prespecified interim analysis of a prospective, multicentre, non-randomised, trial","type":"article-journal","volume":"19"},"uris":["http://www.mendeley.com/documents/?uuid=cfba0929-dd10-346e-916d-104a83d494fc"]},{"id":"ITEM-3","itemData":{"DOI":"10.1182/blood-2016-09-742205","ISSN":"15280020","abstract":"STOP second generation (2G)-tyrosine kinase inhibitor (TKI) is a multicenter observational study designed to evaluate 2G-TKI discontinuation in chronic myeloid leukemia (CML). Patients receiving first-line or subsequent dasatinib or nilotinib who stopped therapy after at least 3 years of TKI treatment and in molecular response 4.5 (MR4.5) with undetectable BCR-ABL1 transcripts for the 2 preceding years at least were eligible for inclusion. This interim analysis reports outcomes of 60 patients with a minimum follow-up of 12 months (median 47, range: 12-65). Twenty-six patients (43.3%) experienced a molecular relapse defined as the loss of a major molecular response (MMR). Relapses occurred after a median time of 4 months (range: 1-38). Cumulative incidences of molecular relapse by 12 and 48 months were 35% (95% confidence interval [CI], 24.79% to 49.41%) and 44.76% (95% CI, 33.35% to 59.91%), respectively. Treatment-free remission (TFR) rates at 12 and 48 months were 63.33% (95% CI, 51.14% to 75.53%) and 53.57% (95% CI, 40.49% to 66.65%), respectively. In univariate analysis, prior suboptimal response or TKI resistance was the only baseline factor associated with significantly worse outcome. A landmark analysis demonstrated that loss of MR4.5 3 months after stopping TKI was predictive of failure to maintain MMR later on. During the treatment-free phase, no progression toward advanced phase CML occurred, and all relapsing patients regained MMR and MR4.5 after restarting therapy. In conclusion, discontinuation of first-line or subsequent 2G-TKI yields promising TFR rates without safety concerns. Further research is encouraged to better define conditions that will offer patients the highest chance to remain free from 2G-TKI therapy.","author":[{"dropping-particle":"","family":"Rea","given":"Delphine","non-dropping-particle":"","parse-names":false,"suffix":""},{"dropping-particle":"","family":"Nicolini","given":"Franck E.","non-dropping-particle":"","parse-names":false,"suffix":""},{"dropping-particle":"","family":"Tulliez","given":"Michel","non-dropping-particle":"","parse-names":false,"suffix":""},{"dropping-particle":"","family":"Guilhot","given":"François","non-dropping-particle":"","parse-names":false,"suffix":""},{"dropping-particle":"","family":"Guilhot","given":"Joelle","non-dropping-particle":"","parse-names":false,"suffix":""},{"dropping-particle":"","family":"Guerci-Bresler","given":"Agnès","non-dropping-particle":"","parse-names":false,"suffix":""},{"dropping-particle":"","family":"Gardembas","given":"Martine","non-dropping-particle":"","parse-names":false,"suffix":""},{"dropping-particle":"","family":"Coiteux","given":"Valérie","non-dropping-particle":"","parse-names":false,"suffix":""},{"dropping-particle":"","family":"Guillerm","given":"Gaelle","non-dropping-particle":"","parse-names":false,"suffix":""},{"dropping-particle":"","family":"Legros","given":"Laurence","non-dropping-particle":"","parse-names":false,"suffix":""},{"dropping-particle":"","family":"Etienne","given":"Gabriel","non-dropping-particle":"","parse-names":false,"suffix":""},{"dropping-particle":"","family":"Pignon","given":"Jean Michel","non-dropping-particle":"","parse-names":false,"suffix":""},{"dropping-particle":"","family":"Villemagne","given":"Bruno","non-dropping-particle":"","parse-names":false,"suffix":""},{"dropping-particle":"","family":"Escoffre-Barbe","given":"Martine","non-dropping-particle":"","parse-names":false,"suffix":""},{"dropping-particle":"","family":"Ianotto","given":"Jean Christophe","non-dropping-particle":"","parse-names":false,"suffix":""},{"dropping-particle":"","family":"Charbonnier","given":"Aude","non-dropping-particle":"","parse-names":false,"suffix":""},{"dropping-particle":"","family":"Johnson-Ansah","given":"Hyacinthe","non-dropping-particle":"","parse-names":false,"suffix":""},{"dropping-particle":"","family":"Noel","given":"Marie Pierre","non-dropping-particle":"","parse-names":false,"suffix":""},{"dropping-particle":"","family":"Rousselot","given":"Philippe","non-dropping-particle":"","parse-names":false,"suffix":""},{"dropping-particle":"","family":"Mahon","given":"François Xavier","non-dropping-particle":"","parse-names":false,"suffix":""}],"container-title":"Blood","id":"ITEM-3","issue":"7","issued":{"date-parts":[["2017","2","16"]]},"page":"846-854","publisher":"American Society of Hematology","title":"Discontinuation of dasatinib or nilotinib in chronic myeloid leukemia: Interim analysis of the STOP 2G-TKI study","type":"article-journal","volume":"129"},"uris":["http://www.mendeley.com/documents/?uuid=d2575060-bc6c-3207-a7d7-d575bf2955c9"]},{"id":"ITEM-4","itemData":{"DOI":"10.1038/leu.2017.63","ISSN":"14765551","abstract":"The single-arm, phase 2 ENESTfreedom trial assessed the potential for treatment-free remission (TFR; i.e., the ability to maintain a molecular response after stopping therapy) following frontline nilotinib treatment. Patients with Philadelphia chromosome-positive chronic myeloid leukemia in chronic phase with MR4.5 (BCR-ABL1 &lt;0.0032% on the International Scale (BCR-ABL1IS)) and ≥ 2 years of frontline nilotinib therapy were enrolled. Patients with sustained deep molecular response during the 1-year nilotinib consolidation phase were eligible to stop treatment and enter the TFR phase. Patients with loss of major molecular response (MMR; BCR-ABL1IS ≤0.1%) during the TFR phase reinitiated nilotinib. In total, 215 patients entered the consolidation phase, of whom 190 entered the TFR phase. The median duration of nilotinib before stopping treatment was 43.5 months. At 48 weeks after stopping nilotinib, 98 patients (51.6%; 95% confidence interval, 44.2-58.9%) remained in MMR or better (primary end point). Of the 86 patients who restarted nilotinib in the treatment reinitiation phase after loss of MMR, 98.8% and 88.4%, respectively, regained MMR and MR 4.5 by the data cutoff date. Consistent with prior reports of imatinib-treated patients, musculoskeletal pain-related events were reported in 24.7% of patients in the TFR phase (consolidation phase, 16.3%).","author":[{"dropping-particle":"","family":"Hochhaus","given":"A.","non-dropping-particle":"","parse-names":false,"suffix":""},{"dropping-particle":"","family":"Masszi","given":"T.","non-dropping-particle":"","parse-names":false,"suffix":""},{"dropping-particle":"","family":"Giles","given":"F. J.","non-dropping-particle":"","parse-names":false,"suffix":""},{"dropping-particle":"","family":"Radich","given":"J. P.","non-dropping-particle":"","parse-names":false,"suffix":""},{"dropping-particle":"","family":"Ross","given":"D. M.","non-dropping-particle":"","parse-names":false,"suffix":""},{"dropping-particle":"","family":"Gómez Casares","given":"M. T.","non-dropping-particle":"","parse-names":false,"suffix":""},{"dropping-particle":"","family":"Hellmann","given":"A.","non-dropping-particle":"","parse-names":false,"suffix":""},{"dropping-particle":"","family":"Stentoft","given":"J.","non-dropping-particle":"","parse-names":false,"suffix":""},{"dropping-particle":"","family":"Conneally","given":"E.","non-dropping-particle":"","parse-names":false,"suffix":""},{"dropping-particle":"","family":"García-Gutiérrez","given":"V.","non-dropping-particle":"","parse-names":false,"suffix":""},{"dropping-particle":"","family":"Gattermann","given":"N.","non-dropping-particle":"","parse-names":false,"suffix":""},{"dropping-particle":"","family":"Wiktor-Jedrzejczak","given":"W.","non-dropping-particle":"","parse-names":false,"suffix":""},{"dropping-particle":"","family":"Coutre","given":"P. D.","non-dropping-particle":"Le","parse-names":false,"suffix":""},{"dropping-particle":"","family":"Martino","given":"B.","non-dropping-particle":"","parse-names":false,"suffix":""},{"dropping-particle":"","family":"Saussele","given":"S.","non-dropping-particle":"","parse-names":false,"suffix":""},{"dropping-particle":"","family":"Menssen","given":"H. D.","non-dropping-particle":"","parse-names":false,"suffix":""},{"dropping-particle":"","family":"Deng","given":"W.","non-dropping-particle":"","parse-names":false,"suffix":""},{"dropping-particle":"","family":"Krunic","given":"N.","non-dropping-particle":"","parse-names":false,"suffix":""},{"dropping-particle":"","family":"Bedoucha","given":"V.","non-dropping-particle":"","parse-names":false,"suffix":""},{"dropping-particle":"","family":"Saglio","given":"G.","non-dropping-particle":"","parse-names":false,"suffix":""}],"container-title":"Leukemia","id":"ITEM-4","issue":"7","issued":{"date-parts":[["2017","7","1"]]},"page":"1525-1531","publisher":"Nature Publishing Group","title":"Treatment-free remission following frontline nilotinib in patients with chronic myeloid leukemia in chronic phase: Results from the ENESTfreedom study","type":"article-journal","volume":"31"},"uris":["http://www.mendeley.com/documents/?uuid=b0703596-4643-3d78-91fa-4a94db0a2647"]},{"id":"ITEM-5","itemData":{"DOI":"10.1182/asheducation-2017.1.102","ISSN":"15204383","abstract":"Chronic myeloid leukemia (CML) is the best example of successful targeted therapy. Today, the overall survival of patients with CML treated by using tyrosine kinase inhibitors (TKIs) is very close to that of the healthy population. The current question is: How can we further ameliorate the clinical outcome of patients with CML? Clinical trials have shown that some patients with CML in the chronic phase who achieve sustained deep molecular responses on TKI therapy can safely suspend therapy with no evidence of relapse. The long follow-up studies and the number of eligible patients have now validated the concept of treatment-free remission (ie, the ability to maintain a molecular response after stopping therapy). It should be considered as the future criterion to evaluate the success of clinical trials, especially if we want to take into account the quality of life of patients in addition to the economic aspect. Because post-TKI discontinuation follow-ups have been increasing over time with no evidence of relapse in some patients, the next step for the coming decade will be to address the topic of CML cure.","author":[{"dropping-particle":"","family":"Mahon","given":"Francois Xavier","non-dropping-particle":"","parse-names":false,"suffix":""}],"container-title":"Hematology","id":"ITEM-5","issue":"1","issued":{"date-parts":[["2017","12","8"]]},"page":"102-109","publisher":"American Society of Hematology","title":"Treatment-free remission in CML: Who, how, and why?","type":"article-journal","volume":"2017"},"uris":["http://www.mendeley.com/documents/?uuid=bf632304-aa39-3fc6-b6c0-17946f12c8f5"]}],"mendeley":{"formattedCitation":"[92,94–97]","plainTextFormattedCitation":"[92,94–97]","previouslyFormattedCitation":"[92,94–97]"},"properties":{"noteIndex":0},"schema":"https://github.com/citation-style-language/schema/raw/master/csl-citation.json"}</w:instrText>
      </w:r>
      <w:r w:rsidR="00F97FA1" w:rsidRPr="00062B4F">
        <w:fldChar w:fldCharType="separate"/>
      </w:r>
      <w:r w:rsidR="00F97FA1" w:rsidRPr="00062B4F">
        <w:rPr>
          <w:noProof/>
        </w:rPr>
        <w:t>[92,94–97]</w:t>
      </w:r>
      <w:r w:rsidR="00F97FA1" w:rsidRPr="00062B4F">
        <w:fldChar w:fldCharType="end"/>
      </w:r>
      <w:r w:rsidRPr="00062B4F">
        <w:t xml:space="preserve">. Следует избегать обобщения прогностической ценности какого-либо одного фактора и в каждом случае оценивать риск и пользу прекращения терапии у конкретного пациента по совокупности всех данных. </w:t>
      </w:r>
    </w:p>
    <w:p w14:paraId="7CD946EE" w14:textId="77777777" w:rsidR="000C7098" w:rsidRPr="00062B4F" w:rsidRDefault="000C7098" w:rsidP="009D2E3F">
      <w:pPr>
        <w:spacing w:before="100" w:beforeAutospacing="1" w:after="100" w:afterAutospacing="1"/>
        <w:rPr>
          <w:szCs w:val="24"/>
          <w:lang w:eastAsia="ru-RU"/>
        </w:rPr>
        <w:sectPr w:rsidR="000C7098" w:rsidRPr="00062B4F" w:rsidSect="00FF06D2">
          <w:footerReference w:type="default" r:id="rId8"/>
          <w:pgSz w:w="11906" w:h="16838"/>
          <w:pgMar w:top="1134" w:right="850" w:bottom="1134" w:left="1701" w:header="708" w:footer="708" w:gutter="0"/>
          <w:cols w:space="720"/>
          <w:formProt w:val="0"/>
          <w:titlePg/>
          <w:docGrid w:linePitch="360" w:charSpace="-6145"/>
        </w:sectPr>
      </w:pPr>
    </w:p>
    <w:p w14:paraId="36830602" w14:textId="77777777" w:rsidR="000C7098" w:rsidRPr="00062B4F" w:rsidRDefault="000C7098" w:rsidP="00C10677">
      <w:pPr>
        <w:rPr>
          <w:b/>
          <w:bCs/>
        </w:rPr>
      </w:pPr>
      <w:r w:rsidRPr="00062B4F">
        <w:rPr>
          <w:b/>
          <w:bCs/>
        </w:rPr>
        <w:lastRenderedPageBreak/>
        <w:t>Критерии оценки качества медицинской помощи</w:t>
      </w:r>
    </w:p>
    <w:tbl>
      <w:tblPr>
        <w:tblW w:w="9498" w:type="dxa"/>
        <w:tblInd w:w="2" w:type="dxa"/>
        <w:tblLayout w:type="fixed"/>
        <w:tblCellMar>
          <w:top w:w="15" w:type="dxa"/>
          <w:left w:w="15" w:type="dxa"/>
          <w:bottom w:w="15" w:type="dxa"/>
          <w:right w:w="15" w:type="dxa"/>
        </w:tblCellMar>
        <w:tblLook w:val="00A0" w:firstRow="1" w:lastRow="0" w:firstColumn="1" w:lastColumn="0" w:noHBand="0" w:noVBand="0"/>
      </w:tblPr>
      <w:tblGrid>
        <w:gridCol w:w="709"/>
        <w:gridCol w:w="6085"/>
        <w:gridCol w:w="1418"/>
        <w:gridCol w:w="1286"/>
      </w:tblGrid>
      <w:tr w:rsidR="000C7098" w:rsidRPr="00062B4F" w14:paraId="166EAC56" w14:textId="77777777" w:rsidTr="00D91DD6">
        <w:trPr>
          <w:trHeight w:val="981"/>
        </w:trPr>
        <w:tc>
          <w:tcPr>
            <w:tcW w:w="709" w:type="dxa"/>
            <w:tcBorders>
              <w:top w:val="single" w:sz="6" w:space="0" w:color="000000"/>
              <w:left w:val="single" w:sz="6" w:space="0" w:color="000000"/>
              <w:bottom w:val="single" w:sz="6" w:space="0" w:color="000000"/>
              <w:right w:val="single" w:sz="6" w:space="0" w:color="000000"/>
            </w:tcBorders>
            <w:vAlign w:val="center"/>
          </w:tcPr>
          <w:p w14:paraId="5B8A5AB5"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w:t>
            </w:r>
          </w:p>
        </w:tc>
        <w:tc>
          <w:tcPr>
            <w:tcW w:w="6085" w:type="dxa"/>
            <w:tcBorders>
              <w:top w:val="single" w:sz="6" w:space="0" w:color="000000"/>
              <w:left w:val="single" w:sz="6" w:space="0" w:color="000000"/>
              <w:bottom w:val="single" w:sz="6" w:space="0" w:color="000000"/>
              <w:right w:val="single" w:sz="6" w:space="0" w:color="000000"/>
            </w:tcBorders>
            <w:vAlign w:val="center"/>
          </w:tcPr>
          <w:p w14:paraId="65C6C5BE"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Критерии качества</w:t>
            </w:r>
          </w:p>
        </w:tc>
        <w:tc>
          <w:tcPr>
            <w:tcW w:w="1418" w:type="dxa"/>
            <w:tcBorders>
              <w:top w:val="single" w:sz="6" w:space="0" w:color="000000"/>
              <w:left w:val="single" w:sz="6" w:space="0" w:color="000000"/>
              <w:bottom w:val="single" w:sz="6" w:space="0" w:color="000000"/>
              <w:right w:val="single" w:sz="6" w:space="0" w:color="000000"/>
            </w:tcBorders>
            <w:vAlign w:val="center"/>
          </w:tcPr>
          <w:p w14:paraId="159CEAC2" w14:textId="77777777" w:rsidR="000C7098" w:rsidRPr="001C5F7A" w:rsidRDefault="000C7098" w:rsidP="00A64A90">
            <w:pPr>
              <w:spacing w:before="100" w:beforeAutospacing="1" w:after="100" w:afterAutospacing="1" w:line="216" w:lineRule="auto"/>
              <w:ind w:firstLine="0"/>
              <w:jc w:val="center"/>
              <w:rPr>
                <w:sz w:val="22"/>
                <w:lang w:eastAsia="ru-RU"/>
              </w:rPr>
            </w:pPr>
            <w:r w:rsidRPr="001C5F7A">
              <w:rPr>
                <w:b/>
                <w:bCs/>
                <w:sz w:val="22"/>
                <w:lang w:eastAsia="ru-RU"/>
              </w:rPr>
              <w:t xml:space="preserve">Уровень </w:t>
            </w:r>
            <w:proofErr w:type="spellStart"/>
            <w:proofErr w:type="gramStart"/>
            <w:r w:rsidRPr="001C5F7A">
              <w:rPr>
                <w:b/>
                <w:bCs/>
                <w:sz w:val="22"/>
                <w:lang w:eastAsia="ru-RU"/>
              </w:rPr>
              <w:t>убедитель-ности</w:t>
            </w:r>
            <w:proofErr w:type="spellEnd"/>
            <w:proofErr w:type="gramEnd"/>
            <w:r w:rsidRPr="001C5F7A">
              <w:rPr>
                <w:b/>
                <w:bCs/>
                <w:sz w:val="22"/>
                <w:lang w:eastAsia="ru-RU"/>
              </w:rPr>
              <w:t xml:space="preserve"> </w:t>
            </w:r>
            <w:proofErr w:type="spellStart"/>
            <w:r w:rsidRPr="001C5F7A">
              <w:rPr>
                <w:b/>
                <w:bCs/>
                <w:sz w:val="22"/>
                <w:lang w:eastAsia="ru-RU"/>
              </w:rPr>
              <w:t>реко-мендаций</w:t>
            </w:r>
            <w:proofErr w:type="spellEnd"/>
          </w:p>
        </w:tc>
        <w:tc>
          <w:tcPr>
            <w:tcW w:w="1286" w:type="dxa"/>
            <w:tcBorders>
              <w:top w:val="single" w:sz="6" w:space="0" w:color="000000"/>
              <w:left w:val="single" w:sz="6" w:space="0" w:color="000000"/>
              <w:bottom w:val="single" w:sz="6" w:space="0" w:color="000000"/>
              <w:right w:val="single" w:sz="6" w:space="0" w:color="000000"/>
            </w:tcBorders>
            <w:vAlign w:val="center"/>
          </w:tcPr>
          <w:p w14:paraId="3FE6DB0F" w14:textId="77777777" w:rsidR="000C7098" w:rsidRPr="001C5F7A" w:rsidRDefault="000C7098" w:rsidP="00A64A90">
            <w:pPr>
              <w:spacing w:before="100" w:beforeAutospacing="1" w:after="100" w:afterAutospacing="1" w:line="216" w:lineRule="auto"/>
              <w:ind w:firstLine="0"/>
              <w:jc w:val="center"/>
              <w:rPr>
                <w:sz w:val="22"/>
                <w:lang w:eastAsia="ru-RU"/>
              </w:rPr>
            </w:pPr>
            <w:r w:rsidRPr="001C5F7A">
              <w:rPr>
                <w:b/>
                <w:bCs/>
                <w:sz w:val="22"/>
                <w:lang w:eastAsia="ru-RU"/>
              </w:rPr>
              <w:t xml:space="preserve">Уровень </w:t>
            </w:r>
            <w:proofErr w:type="gramStart"/>
            <w:r w:rsidRPr="001C5F7A">
              <w:rPr>
                <w:b/>
                <w:bCs/>
                <w:sz w:val="22"/>
                <w:lang w:eastAsia="ru-RU"/>
              </w:rPr>
              <w:t>достоверно-</w:t>
            </w:r>
            <w:proofErr w:type="spellStart"/>
            <w:r w:rsidRPr="001C5F7A">
              <w:rPr>
                <w:b/>
                <w:bCs/>
                <w:sz w:val="22"/>
                <w:lang w:eastAsia="ru-RU"/>
              </w:rPr>
              <w:t>сти</w:t>
            </w:r>
            <w:proofErr w:type="spellEnd"/>
            <w:proofErr w:type="gramEnd"/>
            <w:r w:rsidRPr="001C5F7A">
              <w:rPr>
                <w:b/>
                <w:bCs/>
                <w:sz w:val="22"/>
                <w:lang w:eastAsia="ru-RU"/>
              </w:rPr>
              <w:t xml:space="preserve"> </w:t>
            </w:r>
            <w:proofErr w:type="spellStart"/>
            <w:r w:rsidRPr="001C5F7A">
              <w:rPr>
                <w:b/>
                <w:bCs/>
                <w:sz w:val="22"/>
                <w:lang w:eastAsia="ru-RU"/>
              </w:rPr>
              <w:t>доказа-тельств</w:t>
            </w:r>
            <w:proofErr w:type="spellEnd"/>
          </w:p>
        </w:tc>
      </w:tr>
      <w:tr w:rsidR="000C7098" w:rsidRPr="004F2CFC" w14:paraId="57423676" w14:textId="77777777" w:rsidTr="00D91DD6">
        <w:trPr>
          <w:trHeight w:val="915"/>
        </w:trPr>
        <w:tc>
          <w:tcPr>
            <w:tcW w:w="709" w:type="dxa"/>
            <w:tcBorders>
              <w:top w:val="single" w:sz="6" w:space="0" w:color="000000"/>
              <w:left w:val="single" w:sz="6" w:space="0" w:color="000000"/>
              <w:bottom w:val="single" w:sz="6" w:space="0" w:color="000000"/>
              <w:right w:val="single" w:sz="6" w:space="0" w:color="000000"/>
            </w:tcBorders>
            <w:vAlign w:val="center"/>
          </w:tcPr>
          <w:p w14:paraId="2ED62993"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6905A712" w14:textId="321AFF6B" w:rsidR="000C7098" w:rsidRPr="004F2CFC" w:rsidRDefault="000C7098" w:rsidP="009D2E3F">
            <w:pPr>
              <w:spacing w:beforeAutospacing="1" w:afterAutospacing="1" w:line="240" w:lineRule="auto"/>
              <w:ind w:firstLine="0"/>
              <w:jc w:val="left"/>
              <w:rPr>
                <w:szCs w:val="24"/>
                <w:lang w:eastAsia="ru-RU"/>
              </w:rPr>
            </w:pPr>
            <w:r w:rsidRPr="004F2CFC">
              <w:rPr>
                <w:szCs w:val="24"/>
                <w:lang w:eastAsia="ru-RU"/>
              </w:rPr>
              <w:t xml:space="preserve">Выполнено подтверждение диагноза стандартным цитогенетическим исследованием костного мозга и/или исследованием костного мозга методом FISH для выявления химерного гена </w:t>
            </w:r>
            <w:proofErr w:type="gramStart"/>
            <w:r w:rsidR="009A5834" w:rsidRPr="004F2CFC">
              <w:rPr>
                <w:i/>
                <w:szCs w:val="24"/>
                <w:lang w:eastAsia="ru-RU"/>
              </w:rPr>
              <w:t>BCR::</w:t>
            </w:r>
            <w:proofErr w:type="gramEnd"/>
            <w:r w:rsidR="009A5834" w:rsidRPr="004F2CFC">
              <w:rPr>
                <w:i/>
                <w:szCs w:val="24"/>
                <w:lang w:eastAsia="ru-RU"/>
              </w:rPr>
              <w:t>ABL</w:t>
            </w:r>
            <w:r w:rsidR="009A5834" w:rsidRPr="004F2CFC">
              <w:rPr>
                <w:i/>
                <w:iCs/>
                <w:szCs w:val="24"/>
                <w:lang w:eastAsia="ru-RU"/>
              </w:rPr>
              <w:t>1</w:t>
            </w:r>
          </w:p>
        </w:tc>
        <w:tc>
          <w:tcPr>
            <w:tcW w:w="1418" w:type="dxa"/>
            <w:tcBorders>
              <w:top w:val="single" w:sz="6" w:space="0" w:color="000000"/>
              <w:left w:val="single" w:sz="6" w:space="0" w:color="000000"/>
              <w:bottom w:val="single" w:sz="6" w:space="0" w:color="000000"/>
              <w:right w:val="single" w:sz="6" w:space="0" w:color="000000"/>
            </w:tcBorders>
          </w:tcPr>
          <w:p w14:paraId="18E73FFF"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С</w:t>
            </w:r>
          </w:p>
        </w:tc>
        <w:tc>
          <w:tcPr>
            <w:tcW w:w="1286" w:type="dxa"/>
            <w:tcBorders>
              <w:top w:val="single" w:sz="6" w:space="0" w:color="000000"/>
              <w:left w:val="single" w:sz="6" w:space="0" w:color="000000"/>
              <w:bottom w:val="single" w:sz="6" w:space="0" w:color="000000"/>
              <w:right w:val="single" w:sz="6" w:space="0" w:color="000000"/>
            </w:tcBorders>
          </w:tcPr>
          <w:p w14:paraId="7A8EE709"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4</w:t>
            </w:r>
          </w:p>
        </w:tc>
      </w:tr>
      <w:tr w:rsidR="000C7098" w:rsidRPr="004F2CFC" w14:paraId="30895586" w14:textId="77777777" w:rsidTr="00D91DD6">
        <w:trPr>
          <w:trHeight w:val="720"/>
        </w:trPr>
        <w:tc>
          <w:tcPr>
            <w:tcW w:w="709" w:type="dxa"/>
            <w:tcBorders>
              <w:top w:val="single" w:sz="6" w:space="0" w:color="000000"/>
              <w:left w:val="single" w:sz="6" w:space="0" w:color="000000"/>
              <w:bottom w:val="single" w:sz="6" w:space="0" w:color="000000"/>
              <w:right w:val="single" w:sz="6" w:space="0" w:color="000000"/>
            </w:tcBorders>
            <w:vAlign w:val="center"/>
          </w:tcPr>
          <w:p w14:paraId="22301FD1"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2B414B53" w14:textId="42FDFBEE" w:rsidR="000C7098" w:rsidRPr="004F2CFC" w:rsidRDefault="000C7098" w:rsidP="009D2E3F">
            <w:pPr>
              <w:spacing w:beforeAutospacing="1" w:afterAutospacing="1" w:line="240" w:lineRule="auto"/>
              <w:ind w:firstLine="0"/>
              <w:jc w:val="left"/>
              <w:rPr>
                <w:szCs w:val="24"/>
                <w:lang w:eastAsia="ru-RU"/>
              </w:rPr>
            </w:pPr>
            <w:r w:rsidRPr="004F2CFC">
              <w:rPr>
                <w:szCs w:val="24"/>
                <w:lang w:eastAsia="ru-RU"/>
              </w:rPr>
              <w:t xml:space="preserve">Выполнено подтверждение диагноза данными молекулярно-генетического исследования с определением типа </w:t>
            </w:r>
            <w:proofErr w:type="spellStart"/>
            <w:r w:rsidRPr="004F2CFC">
              <w:rPr>
                <w:szCs w:val="24"/>
                <w:lang w:eastAsia="ru-RU"/>
              </w:rPr>
              <w:t>транскрипта</w:t>
            </w:r>
            <w:proofErr w:type="spellEnd"/>
            <w:r w:rsidRPr="004F2CFC">
              <w:rPr>
                <w:szCs w:val="24"/>
                <w:lang w:eastAsia="ru-RU"/>
              </w:rPr>
              <w:t xml:space="preserve"> </w:t>
            </w:r>
            <w:proofErr w:type="gramStart"/>
            <w:r w:rsidR="009A5834" w:rsidRPr="004F2CFC">
              <w:rPr>
                <w:i/>
                <w:szCs w:val="24"/>
                <w:lang w:eastAsia="ru-RU"/>
              </w:rPr>
              <w:t>BCR::</w:t>
            </w:r>
            <w:proofErr w:type="gramEnd"/>
            <w:r w:rsidR="009A5834" w:rsidRPr="004F2CFC">
              <w:rPr>
                <w:i/>
                <w:szCs w:val="24"/>
                <w:lang w:eastAsia="ru-RU"/>
              </w:rPr>
              <w:t>ABL</w:t>
            </w:r>
            <w:r w:rsidR="009A5834" w:rsidRPr="004F2CFC">
              <w:rPr>
                <w:i/>
                <w:iCs/>
                <w:szCs w:val="24"/>
                <w:lang w:eastAsia="ru-RU"/>
              </w:rPr>
              <w:t>1</w:t>
            </w:r>
          </w:p>
        </w:tc>
        <w:tc>
          <w:tcPr>
            <w:tcW w:w="1418" w:type="dxa"/>
            <w:tcBorders>
              <w:top w:val="single" w:sz="6" w:space="0" w:color="000000"/>
              <w:left w:val="single" w:sz="6" w:space="0" w:color="000000"/>
              <w:bottom w:val="single" w:sz="6" w:space="0" w:color="000000"/>
              <w:right w:val="single" w:sz="6" w:space="0" w:color="000000"/>
            </w:tcBorders>
          </w:tcPr>
          <w:p w14:paraId="02F3840D"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В</w:t>
            </w:r>
          </w:p>
        </w:tc>
        <w:tc>
          <w:tcPr>
            <w:tcW w:w="1286" w:type="dxa"/>
            <w:tcBorders>
              <w:top w:val="single" w:sz="6" w:space="0" w:color="000000"/>
              <w:left w:val="single" w:sz="6" w:space="0" w:color="000000"/>
              <w:bottom w:val="single" w:sz="6" w:space="0" w:color="000000"/>
              <w:right w:val="single" w:sz="6" w:space="0" w:color="000000"/>
            </w:tcBorders>
          </w:tcPr>
          <w:p w14:paraId="531D927B"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3</w:t>
            </w:r>
          </w:p>
        </w:tc>
      </w:tr>
      <w:tr w:rsidR="000C7098" w:rsidRPr="004F2CFC" w14:paraId="05087D9A" w14:textId="77777777" w:rsidTr="00D91DD6">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1FA2C22F"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42004A02" w14:textId="77777777" w:rsidR="000C7098" w:rsidRPr="004F2CFC" w:rsidRDefault="000C7098" w:rsidP="002F1D6A">
            <w:pPr>
              <w:spacing w:beforeAutospacing="1" w:afterAutospacing="1" w:line="240" w:lineRule="auto"/>
              <w:ind w:firstLine="0"/>
              <w:jc w:val="left"/>
              <w:rPr>
                <w:szCs w:val="24"/>
                <w:lang w:eastAsia="ru-RU"/>
              </w:rPr>
            </w:pPr>
            <w:r w:rsidRPr="004F2CFC">
              <w:rPr>
                <w:szCs w:val="24"/>
                <w:lang w:eastAsia="ru-RU"/>
              </w:rPr>
              <w:t xml:space="preserve">Проведена </w:t>
            </w:r>
            <w:proofErr w:type="spellStart"/>
            <w:r w:rsidRPr="004F2CFC">
              <w:rPr>
                <w:szCs w:val="24"/>
                <w:lang w:eastAsia="ru-RU"/>
              </w:rPr>
              <w:t>таргетная</w:t>
            </w:r>
            <w:proofErr w:type="spellEnd"/>
            <w:r w:rsidRPr="004F2CFC">
              <w:rPr>
                <w:szCs w:val="24"/>
                <w:lang w:eastAsia="ru-RU"/>
              </w:rPr>
              <w:t xml:space="preserve"> терапия ингибиторами </w:t>
            </w:r>
            <w:proofErr w:type="spellStart"/>
            <w:r w:rsidRPr="004F2CFC">
              <w:rPr>
                <w:szCs w:val="24"/>
                <w:lang w:eastAsia="ru-RU"/>
              </w:rPr>
              <w:t>тирозинкиназ</w:t>
            </w:r>
            <w:proofErr w:type="spellEnd"/>
            <w:r w:rsidRPr="004F2CFC">
              <w:rPr>
                <w:szCs w:val="24"/>
                <w:lang w:eastAsia="ru-RU"/>
              </w:rPr>
              <w:t xml:space="preserve"> 1-й линии</w:t>
            </w:r>
          </w:p>
        </w:tc>
        <w:tc>
          <w:tcPr>
            <w:tcW w:w="1418" w:type="dxa"/>
            <w:tcBorders>
              <w:top w:val="single" w:sz="6" w:space="0" w:color="000000"/>
              <w:left w:val="single" w:sz="6" w:space="0" w:color="000000"/>
              <w:bottom w:val="single" w:sz="6" w:space="0" w:color="000000"/>
              <w:right w:val="single" w:sz="6" w:space="0" w:color="000000"/>
            </w:tcBorders>
          </w:tcPr>
          <w:p w14:paraId="20240CC4"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А</w:t>
            </w:r>
          </w:p>
        </w:tc>
        <w:tc>
          <w:tcPr>
            <w:tcW w:w="1286" w:type="dxa"/>
            <w:tcBorders>
              <w:top w:val="single" w:sz="6" w:space="0" w:color="000000"/>
              <w:left w:val="single" w:sz="6" w:space="0" w:color="000000"/>
              <w:bottom w:val="single" w:sz="6" w:space="0" w:color="000000"/>
              <w:right w:val="single" w:sz="6" w:space="0" w:color="000000"/>
            </w:tcBorders>
          </w:tcPr>
          <w:p w14:paraId="220A6D1C"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1</w:t>
            </w:r>
          </w:p>
        </w:tc>
      </w:tr>
      <w:tr w:rsidR="000C7098" w:rsidRPr="004F2CFC" w14:paraId="087773FF" w14:textId="77777777" w:rsidTr="00D91DD6">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31C739CA"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4300C0BE" w14:textId="02D47F6A" w:rsidR="000C7098" w:rsidRPr="004F2CFC" w:rsidDel="00067456" w:rsidRDefault="000C7098" w:rsidP="00C724B0">
            <w:pPr>
              <w:spacing w:beforeAutospacing="1" w:afterAutospacing="1" w:line="240" w:lineRule="auto"/>
              <w:ind w:firstLine="0"/>
              <w:jc w:val="left"/>
              <w:rPr>
                <w:szCs w:val="24"/>
                <w:lang w:eastAsia="ru-RU"/>
              </w:rPr>
            </w:pPr>
            <w:r w:rsidRPr="004F2CFC">
              <w:rPr>
                <w:szCs w:val="24"/>
                <w:lang w:eastAsia="ru-RU"/>
              </w:rPr>
              <w:t xml:space="preserve">Проведена оценка эффективности терапии </w:t>
            </w:r>
            <w:r w:rsidR="00C724B0" w:rsidRPr="004F2CFC">
              <w:rPr>
                <w:szCs w:val="24"/>
                <w:lang w:eastAsia="ru-RU"/>
              </w:rPr>
              <w:t>ИТК 1ой линии</w:t>
            </w:r>
            <w:r w:rsidRPr="004F2CFC">
              <w:rPr>
                <w:szCs w:val="24"/>
                <w:lang w:eastAsia="ru-RU"/>
              </w:rPr>
              <w:t xml:space="preserve"> методом</w:t>
            </w:r>
            <w:r w:rsidR="00CE1B10" w:rsidRPr="004F2CFC">
              <w:rPr>
                <w:szCs w:val="24"/>
                <w:lang w:eastAsia="ru-RU"/>
              </w:rPr>
              <w:t xml:space="preserve"> стандартного цитогенетического исследования </w:t>
            </w:r>
            <w:r w:rsidR="004E3723" w:rsidRPr="004F2CFC">
              <w:rPr>
                <w:szCs w:val="24"/>
                <w:lang w:eastAsia="ru-RU"/>
              </w:rPr>
              <w:t>и/</w:t>
            </w:r>
            <w:r w:rsidR="00CE1B10" w:rsidRPr="004F2CFC">
              <w:rPr>
                <w:szCs w:val="24"/>
                <w:lang w:eastAsia="ru-RU"/>
              </w:rPr>
              <w:t>или методом</w:t>
            </w:r>
            <w:r w:rsidRPr="004F2CFC">
              <w:rPr>
                <w:szCs w:val="24"/>
                <w:lang w:eastAsia="ru-RU"/>
              </w:rPr>
              <w:t xml:space="preserve"> молекулярно-генетического исследования с количественным определением относительной экспрессии </w:t>
            </w:r>
            <w:proofErr w:type="spellStart"/>
            <w:r w:rsidRPr="004F2CFC">
              <w:rPr>
                <w:szCs w:val="24"/>
                <w:lang w:eastAsia="ru-RU"/>
              </w:rPr>
              <w:t>транскрипта</w:t>
            </w:r>
            <w:proofErr w:type="spellEnd"/>
            <w:r w:rsidRPr="004F2CFC">
              <w:rPr>
                <w:szCs w:val="24"/>
                <w:lang w:eastAsia="ru-RU"/>
              </w:rPr>
              <w:t xml:space="preserve"> </w:t>
            </w:r>
            <w:proofErr w:type="gramStart"/>
            <w:r w:rsidR="009A5834" w:rsidRPr="004F2CFC">
              <w:rPr>
                <w:i/>
                <w:szCs w:val="24"/>
                <w:lang w:eastAsia="ru-RU"/>
              </w:rPr>
              <w:t>BCR::</w:t>
            </w:r>
            <w:proofErr w:type="gramEnd"/>
            <w:r w:rsidR="009A5834" w:rsidRPr="004F2CFC">
              <w:rPr>
                <w:i/>
                <w:szCs w:val="24"/>
                <w:lang w:eastAsia="ru-RU"/>
              </w:rPr>
              <w:t>ABL</w:t>
            </w:r>
            <w:r w:rsidR="009A5834" w:rsidRPr="004F2CFC">
              <w:rPr>
                <w:i/>
                <w:iCs/>
                <w:szCs w:val="24"/>
                <w:lang w:eastAsia="ru-RU"/>
              </w:rPr>
              <w:t xml:space="preserve">1 </w:t>
            </w:r>
            <w:r w:rsidR="009A4479" w:rsidRPr="004F2CFC">
              <w:rPr>
                <w:iCs/>
                <w:szCs w:val="24"/>
                <w:lang w:eastAsia="ru-RU"/>
              </w:rPr>
              <w:t xml:space="preserve">каждые 3 </w:t>
            </w:r>
            <w:proofErr w:type="spellStart"/>
            <w:r w:rsidR="009A4479" w:rsidRPr="004F2CFC">
              <w:rPr>
                <w:iCs/>
                <w:szCs w:val="24"/>
                <w:lang w:eastAsia="ru-RU"/>
              </w:rPr>
              <w:t>мес</w:t>
            </w:r>
            <w:proofErr w:type="spellEnd"/>
            <w:r w:rsidR="009A4479" w:rsidRPr="004F2CFC">
              <w:rPr>
                <w:iCs/>
                <w:szCs w:val="24"/>
                <w:lang w:eastAsia="ru-RU"/>
              </w:rPr>
              <w:t xml:space="preserve"> до достижения БМО, затем постоянно не реже 1 раза в 6 месяцев </w:t>
            </w:r>
            <w:r w:rsidRPr="004F2CFC">
              <w:rPr>
                <w:iCs/>
                <w:szCs w:val="24"/>
                <w:lang w:eastAsia="ru-RU"/>
              </w:rPr>
              <w:t>согласно схеме мониторинга эффективности</w:t>
            </w:r>
            <w:r w:rsidR="009A4479" w:rsidRPr="004F2CFC">
              <w:rPr>
                <w:iCs/>
                <w:szCs w:val="24"/>
                <w:lang w:eastAsia="ru-RU"/>
              </w:rPr>
              <w:t xml:space="preserve"> </w:t>
            </w:r>
            <w:r w:rsidRPr="004F2CFC">
              <w:rPr>
                <w:iCs/>
                <w:szCs w:val="24"/>
                <w:lang w:eastAsia="ru-RU"/>
              </w:rPr>
              <w:t>терапии</w:t>
            </w:r>
            <w:r w:rsidR="00E72BEC" w:rsidRPr="004F2CFC">
              <w:rPr>
                <w:iCs/>
                <w:szCs w:val="24"/>
                <w:lang w:eastAsia="ru-RU"/>
              </w:rPr>
              <w:t xml:space="preserve"> ИТК</w:t>
            </w:r>
          </w:p>
        </w:tc>
        <w:tc>
          <w:tcPr>
            <w:tcW w:w="1418" w:type="dxa"/>
            <w:tcBorders>
              <w:top w:val="single" w:sz="6" w:space="0" w:color="000000"/>
              <w:left w:val="single" w:sz="6" w:space="0" w:color="000000"/>
              <w:bottom w:val="single" w:sz="6" w:space="0" w:color="000000"/>
              <w:right w:val="single" w:sz="6" w:space="0" w:color="000000"/>
            </w:tcBorders>
          </w:tcPr>
          <w:p w14:paraId="0EEF0202"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В</w:t>
            </w:r>
          </w:p>
        </w:tc>
        <w:tc>
          <w:tcPr>
            <w:tcW w:w="1286" w:type="dxa"/>
            <w:tcBorders>
              <w:top w:val="single" w:sz="6" w:space="0" w:color="000000"/>
              <w:left w:val="single" w:sz="6" w:space="0" w:color="000000"/>
              <w:bottom w:val="single" w:sz="6" w:space="0" w:color="000000"/>
              <w:right w:val="single" w:sz="6" w:space="0" w:color="000000"/>
            </w:tcBorders>
          </w:tcPr>
          <w:p w14:paraId="022CB70F"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3</w:t>
            </w:r>
          </w:p>
        </w:tc>
      </w:tr>
      <w:tr w:rsidR="000C7098" w:rsidRPr="004F2CFC" w14:paraId="2FD82D5A" w14:textId="77777777" w:rsidTr="00D91DD6">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69A9C44B"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30DC6D18" w14:textId="0D227AAD" w:rsidR="000C7098" w:rsidRPr="004F2CFC" w:rsidRDefault="000C7098" w:rsidP="004E3723">
            <w:pPr>
              <w:spacing w:beforeAutospacing="1" w:afterAutospacing="1" w:line="240" w:lineRule="auto"/>
              <w:ind w:firstLine="0"/>
              <w:jc w:val="left"/>
              <w:rPr>
                <w:szCs w:val="24"/>
                <w:lang w:eastAsia="ru-RU"/>
              </w:rPr>
            </w:pPr>
            <w:r w:rsidRPr="004F2CFC">
              <w:rPr>
                <w:szCs w:val="24"/>
                <w:lang w:eastAsia="ru-RU"/>
              </w:rPr>
              <w:t xml:space="preserve">Проведена смена терапии 1 линии </w:t>
            </w:r>
            <w:r w:rsidR="004E3723" w:rsidRPr="004F2CFC">
              <w:rPr>
                <w:szCs w:val="24"/>
                <w:lang w:eastAsia="ru-RU"/>
              </w:rPr>
              <w:t>ИТК</w:t>
            </w:r>
            <w:r w:rsidRPr="004F2CFC">
              <w:rPr>
                <w:szCs w:val="24"/>
                <w:lang w:eastAsia="ru-RU"/>
              </w:rPr>
              <w:t xml:space="preserve"> на препараты 2 линии при выявлении неудачи терапии на любом сроке лечения согласно схеме мониторинга эффективности и критериев ответа, на терапию ИТК </w:t>
            </w:r>
          </w:p>
        </w:tc>
        <w:tc>
          <w:tcPr>
            <w:tcW w:w="1418" w:type="dxa"/>
            <w:tcBorders>
              <w:top w:val="single" w:sz="6" w:space="0" w:color="000000"/>
              <w:left w:val="single" w:sz="6" w:space="0" w:color="000000"/>
              <w:bottom w:val="single" w:sz="6" w:space="0" w:color="000000"/>
              <w:right w:val="single" w:sz="6" w:space="0" w:color="000000"/>
            </w:tcBorders>
          </w:tcPr>
          <w:p w14:paraId="135205F1"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А</w:t>
            </w:r>
          </w:p>
        </w:tc>
        <w:tc>
          <w:tcPr>
            <w:tcW w:w="1286" w:type="dxa"/>
            <w:tcBorders>
              <w:top w:val="single" w:sz="6" w:space="0" w:color="000000"/>
              <w:left w:val="single" w:sz="6" w:space="0" w:color="000000"/>
              <w:bottom w:val="single" w:sz="6" w:space="0" w:color="000000"/>
              <w:right w:val="single" w:sz="6" w:space="0" w:color="000000"/>
            </w:tcBorders>
          </w:tcPr>
          <w:p w14:paraId="4CBAA852"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2</w:t>
            </w:r>
          </w:p>
        </w:tc>
      </w:tr>
      <w:tr w:rsidR="000C7098" w:rsidRPr="004F2CFC" w14:paraId="7224980D" w14:textId="77777777" w:rsidTr="00D91DD6">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1350AE30"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19372EC6" w14:textId="523D663B" w:rsidR="000C7098" w:rsidRPr="004F2CFC" w:rsidRDefault="000C7098" w:rsidP="005818E4">
            <w:pPr>
              <w:spacing w:beforeAutospacing="1" w:afterAutospacing="1" w:line="240" w:lineRule="auto"/>
              <w:ind w:firstLine="0"/>
              <w:jc w:val="left"/>
              <w:rPr>
                <w:szCs w:val="24"/>
                <w:lang w:eastAsia="ru-RU"/>
              </w:rPr>
            </w:pPr>
            <w:r w:rsidRPr="004F2CFC">
              <w:rPr>
                <w:szCs w:val="24"/>
                <w:lang w:eastAsia="ru-RU"/>
              </w:rPr>
              <w:t xml:space="preserve">Проведена оценка эффективности терапии ингибиторами </w:t>
            </w:r>
            <w:proofErr w:type="spellStart"/>
            <w:r w:rsidRPr="004F2CFC">
              <w:rPr>
                <w:szCs w:val="24"/>
                <w:lang w:eastAsia="ru-RU"/>
              </w:rPr>
              <w:t>тирозинкиназ</w:t>
            </w:r>
            <w:proofErr w:type="spellEnd"/>
            <w:r w:rsidRPr="004F2CFC">
              <w:rPr>
                <w:szCs w:val="24"/>
                <w:lang w:eastAsia="ru-RU"/>
              </w:rPr>
              <w:t xml:space="preserve"> 2</w:t>
            </w:r>
            <w:r w:rsidRPr="004F2CFC">
              <w:rPr>
                <w:szCs w:val="24"/>
                <w:lang w:eastAsia="ru-RU"/>
              </w:rPr>
              <w:noBreakHyphen/>
              <w:t xml:space="preserve">й линии </w:t>
            </w:r>
            <w:r w:rsidR="00B25A4D" w:rsidRPr="004F2CFC">
              <w:rPr>
                <w:szCs w:val="24"/>
                <w:lang w:eastAsia="ru-RU"/>
              </w:rPr>
              <w:t xml:space="preserve">методом стандартного цитогенетического исследования </w:t>
            </w:r>
            <w:r w:rsidR="004E3723" w:rsidRPr="004F2CFC">
              <w:rPr>
                <w:szCs w:val="24"/>
                <w:lang w:eastAsia="ru-RU"/>
              </w:rPr>
              <w:t>и/</w:t>
            </w:r>
            <w:r w:rsidR="00B25A4D" w:rsidRPr="004F2CFC">
              <w:rPr>
                <w:szCs w:val="24"/>
                <w:lang w:eastAsia="ru-RU"/>
              </w:rPr>
              <w:t xml:space="preserve">или </w:t>
            </w:r>
            <w:r w:rsidRPr="004F2CFC">
              <w:rPr>
                <w:szCs w:val="24"/>
                <w:lang w:eastAsia="ru-RU"/>
              </w:rPr>
              <w:t xml:space="preserve">методом молекулярно-генетического исследования с количественным определением относительной экспрессии </w:t>
            </w:r>
            <w:proofErr w:type="spellStart"/>
            <w:r w:rsidRPr="004F2CFC">
              <w:rPr>
                <w:szCs w:val="24"/>
                <w:lang w:eastAsia="ru-RU"/>
              </w:rPr>
              <w:t>транскрипта</w:t>
            </w:r>
            <w:proofErr w:type="spellEnd"/>
            <w:r w:rsidRPr="004F2CFC">
              <w:rPr>
                <w:szCs w:val="24"/>
                <w:lang w:eastAsia="ru-RU"/>
              </w:rPr>
              <w:t xml:space="preserve"> </w:t>
            </w:r>
            <w:proofErr w:type="gramStart"/>
            <w:r w:rsidR="009A5834" w:rsidRPr="004F2CFC">
              <w:rPr>
                <w:i/>
                <w:szCs w:val="24"/>
                <w:lang w:eastAsia="ru-RU"/>
              </w:rPr>
              <w:t>BCR::</w:t>
            </w:r>
            <w:proofErr w:type="gramEnd"/>
            <w:r w:rsidR="00CE1B10" w:rsidRPr="004F2CFC">
              <w:rPr>
                <w:i/>
                <w:szCs w:val="24"/>
                <w:lang w:eastAsia="ru-RU"/>
              </w:rPr>
              <w:t xml:space="preserve"> ABL</w:t>
            </w:r>
            <w:r w:rsidR="00CE1B10" w:rsidRPr="004F2CFC">
              <w:rPr>
                <w:i/>
                <w:iCs/>
                <w:szCs w:val="24"/>
                <w:lang w:eastAsia="ru-RU"/>
              </w:rPr>
              <w:t>1</w:t>
            </w:r>
            <w:r w:rsidR="009A4479" w:rsidRPr="004F2CFC">
              <w:rPr>
                <w:iCs/>
                <w:szCs w:val="24"/>
                <w:lang w:eastAsia="ru-RU"/>
              </w:rPr>
              <w:t xml:space="preserve"> каждые 3 </w:t>
            </w:r>
            <w:proofErr w:type="spellStart"/>
            <w:r w:rsidR="009A4479" w:rsidRPr="004F2CFC">
              <w:rPr>
                <w:iCs/>
                <w:szCs w:val="24"/>
                <w:lang w:eastAsia="ru-RU"/>
              </w:rPr>
              <w:t>мес</w:t>
            </w:r>
            <w:proofErr w:type="spellEnd"/>
            <w:r w:rsidR="009A4479" w:rsidRPr="004F2CFC">
              <w:rPr>
                <w:iCs/>
                <w:szCs w:val="24"/>
                <w:lang w:eastAsia="ru-RU"/>
              </w:rPr>
              <w:t xml:space="preserve"> до достижения БМО, затем постоянно не реже 1 раза в 6 месяцев </w:t>
            </w:r>
            <w:r w:rsidRPr="004F2CFC">
              <w:rPr>
                <w:iCs/>
                <w:szCs w:val="24"/>
                <w:lang w:eastAsia="ru-RU"/>
              </w:rPr>
              <w:t>согласно схеме мониторинга эффективности терапии</w:t>
            </w:r>
            <w:r w:rsidR="005818E4" w:rsidRPr="004F2CFC">
              <w:rPr>
                <w:iCs/>
                <w:szCs w:val="24"/>
                <w:lang w:eastAsia="ru-RU"/>
              </w:rPr>
              <w:t xml:space="preserve"> ИТК</w:t>
            </w:r>
          </w:p>
        </w:tc>
        <w:tc>
          <w:tcPr>
            <w:tcW w:w="1418" w:type="dxa"/>
            <w:tcBorders>
              <w:top w:val="single" w:sz="6" w:space="0" w:color="000000"/>
              <w:left w:val="single" w:sz="6" w:space="0" w:color="000000"/>
              <w:bottom w:val="single" w:sz="6" w:space="0" w:color="000000"/>
              <w:right w:val="single" w:sz="6" w:space="0" w:color="000000"/>
            </w:tcBorders>
          </w:tcPr>
          <w:p w14:paraId="750A1268"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В</w:t>
            </w:r>
          </w:p>
        </w:tc>
        <w:tc>
          <w:tcPr>
            <w:tcW w:w="1286" w:type="dxa"/>
            <w:tcBorders>
              <w:top w:val="single" w:sz="6" w:space="0" w:color="000000"/>
              <w:left w:val="single" w:sz="6" w:space="0" w:color="000000"/>
              <w:bottom w:val="single" w:sz="6" w:space="0" w:color="000000"/>
              <w:right w:val="single" w:sz="6" w:space="0" w:color="000000"/>
            </w:tcBorders>
          </w:tcPr>
          <w:p w14:paraId="1E710DA1"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3</w:t>
            </w:r>
          </w:p>
        </w:tc>
      </w:tr>
      <w:tr w:rsidR="000C7098" w:rsidRPr="004F2CFC" w14:paraId="4B0A646B" w14:textId="77777777" w:rsidTr="00D91DD6">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00EA1E44"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3097CDC7" w14:textId="2A5D09CB" w:rsidR="000C7098" w:rsidRPr="004F2CFC" w:rsidRDefault="000C7098" w:rsidP="00E72BEC">
            <w:pPr>
              <w:spacing w:beforeAutospacing="1" w:afterAutospacing="1" w:line="240" w:lineRule="auto"/>
              <w:ind w:firstLine="0"/>
              <w:jc w:val="left"/>
              <w:rPr>
                <w:szCs w:val="24"/>
                <w:lang w:eastAsia="ru-RU"/>
              </w:rPr>
            </w:pPr>
            <w:r w:rsidRPr="004F2CFC">
              <w:rPr>
                <w:szCs w:val="24"/>
                <w:lang w:eastAsia="ru-RU"/>
              </w:rPr>
              <w:t xml:space="preserve">Проведена смена терапии 2-й линии ингибиторами </w:t>
            </w:r>
            <w:proofErr w:type="spellStart"/>
            <w:r w:rsidRPr="004F2CFC">
              <w:rPr>
                <w:szCs w:val="24"/>
                <w:lang w:eastAsia="ru-RU"/>
              </w:rPr>
              <w:t>тирозинкиназ</w:t>
            </w:r>
            <w:proofErr w:type="spellEnd"/>
            <w:r w:rsidRPr="004F2CFC">
              <w:rPr>
                <w:szCs w:val="24"/>
                <w:lang w:eastAsia="ru-RU"/>
              </w:rPr>
              <w:t xml:space="preserve"> на препараты 3-й линии при выявлении неудачи терапии на любом сроке лечения согласно схеме мониторинга эффективности и критериев ответа на терапию ИТК </w:t>
            </w:r>
          </w:p>
        </w:tc>
        <w:tc>
          <w:tcPr>
            <w:tcW w:w="1418" w:type="dxa"/>
            <w:tcBorders>
              <w:top w:val="single" w:sz="6" w:space="0" w:color="000000"/>
              <w:left w:val="single" w:sz="6" w:space="0" w:color="000000"/>
              <w:bottom w:val="single" w:sz="6" w:space="0" w:color="000000"/>
              <w:right w:val="single" w:sz="6" w:space="0" w:color="000000"/>
            </w:tcBorders>
          </w:tcPr>
          <w:p w14:paraId="4ABE122D"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А</w:t>
            </w:r>
          </w:p>
        </w:tc>
        <w:tc>
          <w:tcPr>
            <w:tcW w:w="1286" w:type="dxa"/>
            <w:tcBorders>
              <w:top w:val="single" w:sz="6" w:space="0" w:color="000000"/>
              <w:left w:val="single" w:sz="6" w:space="0" w:color="000000"/>
              <w:bottom w:val="single" w:sz="6" w:space="0" w:color="000000"/>
              <w:right w:val="single" w:sz="6" w:space="0" w:color="000000"/>
            </w:tcBorders>
          </w:tcPr>
          <w:p w14:paraId="78CC273E"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1</w:t>
            </w:r>
          </w:p>
        </w:tc>
      </w:tr>
      <w:tr w:rsidR="000C7098" w:rsidRPr="004F2CFC" w14:paraId="6EA80AAE" w14:textId="77777777" w:rsidTr="00D91DD6">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68BB301D"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7031C12B" w14:textId="267AE213" w:rsidR="000C7098" w:rsidRPr="004F2CFC" w:rsidRDefault="000C7098" w:rsidP="00670CB4">
            <w:pPr>
              <w:spacing w:beforeAutospacing="1" w:afterAutospacing="1" w:line="240" w:lineRule="auto"/>
              <w:ind w:firstLine="0"/>
              <w:jc w:val="left"/>
              <w:rPr>
                <w:szCs w:val="24"/>
                <w:lang w:eastAsia="ru-RU"/>
              </w:rPr>
            </w:pPr>
            <w:r w:rsidRPr="004F2CFC">
              <w:rPr>
                <w:szCs w:val="24"/>
                <w:lang w:eastAsia="ru-RU"/>
              </w:rPr>
              <w:t xml:space="preserve">Выполнено молекулярно-генетическое исследование точечных мутаций гена </w:t>
            </w:r>
            <w:proofErr w:type="gramStart"/>
            <w:r w:rsidR="009A5834" w:rsidRPr="004F2CFC">
              <w:rPr>
                <w:i/>
                <w:szCs w:val="24"/>
                <w:lang w:eastAsia="ru-RU"/>
              </w:rPr>
              <w:t>BCR::</w:t>
            </w:r>
            <w:proofErr w:type="gramEnd"/>
            <w:r w:rsidR="009A5834" w:rsidRPr="004F2CFC">
              <w:rPr>
                <w:i/>
                <w:szCs w:val="24"/>
                <w:lang w:eastAsia="ru-RU"/>
              </w:rPr>
              <w:t>ABL</w:t>
            </w:r>
            <w:r w:rsidR="009A5834" w:rsidRPr="004F2CFC">
              <w:rPr>
                <w:i/>
                <w:iCs/>
                <w:szCs w:val="24"/>
                <w:lang w:eastAsia="ru-RU"/>
              </w:rPr>
              <w:t>1</w:t>
            </w:r>
            <w:r w:rsidRPr="004F2CFC">
              <w:rPr>
                <w:szCs w:val="24"/>
                <w:lang w:eastAsia="ru-RU"/>
              </w:rPr>
              <w:t xml:space="preserve">в случае выявления неудачи терапии 1 или 2 линии на любом сроке лечения согласно схеме мониторинга эффективности и критериев ответа на терапию ИТК </w:t>
            </w:r>
          </w:p>
        </w:tc>
        <w:tc>
          <w:tcPr>
            <w:tcW w:w="1418" w:type="dxa"/>
            <w:tcBorders>
              <w:top w:val="single" w:sz="6" w:space="0" w:color="000000"/>
              <w:left w:val="single" w:sz="6" w:space="0" w:color="000000"/>
              <w:bottom w:val="single" w:sz="6" w:space="0" w:color="000000"/>
              <w:right w:val="single" w:sz="6" w:space="0" w:color="000000"/>
            </w:tcBorders>
          </w:tcPr>
          <w:p w14:paraId="3FCC7965"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А</w:t>
            </w:r>
          </w:p>
        </w:tc>
        <w:tc>
          <w:tcPr>
            <w:tcW w:w="1286" w:type="dxa"/>
            <w:tcBorders>
              <w:top w:val="single" w:sz="6" w:space="0" w:color="000000"/>
              <w:left w:val="single" w:sz="6" w:space="0" w:color="000000"/>
              <w:bottom w:val="single" w:sz="6" w:space="0" w:color="000000"/>
              <w:right w:val="single" w:sz="6" w:space="0" w:color="000000"/>
            </w:tcBorders>
          </w:tcPr>
          <w:p w14:paraId="2259EB63"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1</w:t>
            </w:r>
          </w:p>
        </w:tc>
      </w:tr>
      <w:tr w:rsidR="00D91DD6" w:rsidRPr="004F2CFC" w14:paraId="42FC882A" w14:textId="77777777" w:rsidTr="00D91DD6">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77AFF4DE" w14:textId="77777777" w:rsidR="00D91DD6" w:rsidRPr="004F2CFC" w:rsidRDefault="00D91DD6" w:rsidP="00D91DD6">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3451D392" w14:textId="67BAA0AD" w:rsidR="00D91DD6" w:rsidRPr="004F2CFC" w:rsidRDefault="00D91DD6" w:rsidP="004F2CFC">
            <w:pPr>
              <w:spacing w:before="100" w:beforeAutospacing="1" w:after="100" w:afterAutospacing="1" w:line="216" w:lineRule="auto"/>
              <w:ind w:firstLine="0"/>
              <w:jc w:val="left"/>
              <w:rPr>
                <w:szCs w:val="24"/>
                <w:lang w:eastAsia="ru-RU"/>
              </w:rPr>
            </w:pPr>
            <w:r w:rsidRPr="004F2CFC">
              <w:rPr>
                <w:szCs w:val="24"/>
                <w:lang w:eastAsia="ru-RU"/>
              </w:rPr>
              <w:t xml:space="preserve">Проведен консилиум с определением целесообразности консультации в центре, проводящем лечение методом аллогенной трансплантации гемопоэтических стволовых клеток при отсутствии ответа на две линии </w:t>
            </w:r>
            <w:proofErr w:type="spellStart"/>
            <w:r w:rsidRPr="004F2CFC">
              <w:rPr>
                <w:szCs w:val="24"/>
                <w:lang w:eastAsia="ru-RU"/>
              </w:rPr>
              <w:t>таргетной</w:t>
            </w:r>
            <w:proofErr w:type="spellEnd"/>
            <w:r w:rsidRPr="004F2CFC">
              <w:rPr>
                <w:szCs w:val="24"/>
                <w:lang w:eastAsia="ru-RU"/>
              </w:rPr>
              <w:t xml:space="preserve"> терапии</w:t>
            </w:r>
          </w:p>
        </w:tc>
        <w:tc>
          <w:tcPr>
            <w:tcW w:w="1418" w:type="dxa"/>
            <w:tcBorders>
              <w:top w:val="single" w:sz="6" w:space="0" w:color="000000"/>
              <w:left w:val="single" w:sz="6" w:space="0" w:color="000000"/>
              <w:bottom w:val="single" w:sz="6" w:space="0" w:color="000000"/>
              <w:right w:val="single" w:sz="6" w:space="0" w:color="000000"/>
            </w:tcBorders>
          </w:tcPr>
          <w:p w14:paraId="422E69AC" w14:textId="7DB2FD63" w:rsidR="00D91DD6" w:rsidRPr="004F2CFC" w:rsidRDefault="00D91DD6" w:rsidP="00D91DD6">
            <w:pPr>
              <w:spacing w:beforeAutospacing="1" w:afterAutospacing="1" w:line="240" w:lineRule="auto"/>
              <w:ind w:firstLine="0"/>
              <w:jc w:val="center"/>
              <w:rPr>
                <w:szCs w:val="24"/>
                <w:lang w:eastAsia="ru-RU"/>
              </w:rPr>
            </w:pPr>
            <w:r w:rsidRPr="004F2CFC">
              <w:rPr>
                <w:szCs w:val="24"/>
                <w:lang w:eastAsia="ru-RU"/>
              </w:rPr>
              <w:t>В</w:t>
            </w:r>
          </w:p>
        </w:tc>
        <w:tc>
          <w:tcPr>
            <w:tcW w:w="1286" w:type="dxa"/>
            <w:tcBorders>
              <w:top w:val="single" w:sz="6" w:space="0" w:color="000000"/>
              <w:left w:val="single" w:sz="6" w:space="0" w:color="000000"/>
              <w:bottom w:val="single" w:sz="6" w:space="0" w:color="000000"/>
              <w:right w:val="single" w:sz="6" w:space="0" w:color="000000"/>
            </w:tcBorders>
          </w:tcPr>
          <w:p w14:paraId="0998B8F7" w14:textId="56AFB86C" w:rsidR="00D91DD6" w:rsidRPr="004F2CFC" w:rsidRDefault="00D91DD6" w:rsidP="00D91DD6">
            <w:pPr>
              <w:spacing w:beforeAutospacing="1" w:afterAutospacing="1" w:line="240" w:lineRule="auto"/>
              <w:ind w:firstLine="0"/>
              <w:jc w:val="center"/>
              <w:rPr>
                <w:szCs w:val="24"/>
                <w:lang w:eastAsia="ru-RU"/>
              </w:rPr>
            </w:pPr>
            <w:r w:rsidRPr="004F2CFC">
              <w:rPr>
                <w:szCs w:val="24"/>
                <w:lang w:eastAsia="ru-RU"/>
              </w:rPr>
              <w:t>1</w:t>
            </w:r>
          </w:p>
        </w:tc>
      </w:tr>
    </w:tbl>
    <w:p w14:paraId="3FAEAD9F" w14:textId="77777777" w:rsidR="000C7098" w:rsidRPr="00062B4F" w:rsidRDefault="000C7098" w:rsidP="009D2E3F">
      <w:pPr>
        <w:ind w:firstLine="0"/>
        <w:jc w:val="left"/>
        <w:sectPr w:rsidR="000C7098" w:rsidRPr="00062B4F" w:rsidSect="008A408B">
          <w:pgSz w:w="11906" w:h="16838"/>
          <w:pgMar w:top="1134" w:right="850" w:bottom="1134" w:left="1701" w:header="708" w:footer="708" w:gutter="0"/>
          <w:cols w:space="720"/>
          <w:formProt w:val="0"/>
          <w:titlePg/>
          <w:docGrid w:linePitch="360" w:charSpace="-6145"/>
        </w:sectPr>
      </w:pPr>
    </w:p>
    <w:p w14:paraId="2B4782B5" w14:textId="77777777" w:rsidR="000C7098" w:rsidRPr="00062B4F" w:rsidRDefault="000C7098" w:rsidP="00F855D7">
      <w:pPr>
        <w:pageBreakBefore/>
        <w:suppressAutoHyphens/>
        <w:spacing w:before="120" w:after="240"/>
        <w:ind w:firstLine="0"/>
        <w:jc w:val="center"/>
        <w:outlineLvl w:val="0"/>
        <w:rPr>
          <w:b/>
          <w:sz w:val="28"/>
          <w:szCs w:val="28"/>
        </w:rPr>
      </w:pPr>
      <w:bookmarkStart w:id="54" w:name="_Toc86133420"/>
      <w:bookmarkStart w:id="55" w:name="_Ref12286958"/>
      <w:r w:rsidRPr="00062B4F">
        <w:rPr>
          <w:b/>
          <w:sz w:val="28"/>
          <w:szCs w:val="28"/>
        </w:rPr>
        <w:lastRenderedPageBreak/>
        <w:t>Список литературы</w:t>
      </w:r>
      <w:bookmarkEnd w:id="54"/>
    </w:p>
    <w:p w14:paraId="716E1A57" w14:textId="77777777" w:rsidR="00DC464A" w:rsidRPr="00351AF0" w:rsidRDefault="00D611E6" w:rsidP="00DC464A">
      <w:pPr>
        <w:widowControl w:val="0"/>
        <w:autoSpaceDE w:val="0"/>
        <w:autoSpaceDN w:val="0"/>
        <w:adjustRightInd w:val="0"/>
        <w:ind w:left="640" w:hanging="640"/>
        <w:rPr>
          <w:noProof/>
        </w:rPr>
      </w:pPr>
      <w:r w:rsidRPr="00351AF0">
        <w:rPr>
          <w:noProof/>
          <w:lang w:val="en-US"/>
        </w:rPr>
        <w:fldChar w:fldCharType="begin" w:fldLock="1"/>
      </w:r>
      <w:r w:rsidRPr="00062B4F">
        <w:rPr>
          <w:noProof/>
          <w:lang w:val="en-US"/>
        </w:rPr>
        <w:instrText xml:space="preserve">ADDIN Mendeley Bibliography CSL_BIBLIOGRAPHY </w:instrText>
      </w:r>
      <w:r w:rsidRPr="00351AF0">
        <w:rPr>
          <w:noProof/>
          <w:lang w:val="en-US"/>
        </w:rPr>
        <w:fldChar w:fldCharType="separate"/>
      </w:r>
      <w:r w:rsidR="00DC464A" w:rsidRPr="00062B4F">
        <w:rPr>
          <w:noProof/>
          <w:lang w:val="en-US"/>
        </w:rPr>
        <w:t>1.</w:t>
      </w:r>
      <w:r w:rsidR="00DC464A" w:rsidRPr="00062B4F">
        <w:rPr>
          <w:noProof/>
          <w:lang w:val="en-US"/>
        </w:rPr>
        <w:tab/>
        <w:t xml:space="preserve">Hehlmann R., Hochhaus A., Baccarani M. Chronic myeloid leukaemia // Lancet. </w:t>
      </w:r>
      <w:r w:rsidR="00DC464A" w:rsidRPr="00351AF0">
        <w:rPr>
          <w:noProof/>
        </w:rPr>
        <w:t xml:space="preserve">2007. </w:t>
      </w:r>
      <w:r w:rsidR="00DC464A" w:rsidRPr="00351AF0">
        <w:rPr>
          <w:noProof/>
          <w:lang w:val="en-US"/>
        </w:rPr>
        <w:t>Vol</w:t>
      </w:r>
      <w:r w:rsidR="00DC464A" w:rsidRPr="00351AF0">
        <w:rPr>
          <w:noProof/>
        </w:rPr>
        <w:t xml:space="preserve">. 370, № 9584. </w:t>
      </w:r>
      <w:r w:rsidR="00DC464A" w:rsidRPr="00351AF0">
        <w:rPr>
          <w:noProof/>
          <w:lang w:val="en-US"/>
        </w:rPr>
        <w:t>P</w:t>
      </w:r>
      <w:r w:rsidR="00DC464A" w:rsidRPr="00351AF0">
        <w:rPr>
          <w:noProof/>
        </w:rPr>
        <w:t>. 342–350.</w:t>
      </w:r>
    </w:p>
    <w:p w14:paraId="27F56B7A" w14:textId="3F6637D9" w:rsidR="00DC464A" w:rsidRPr="00351AF0" w:rsidRDefault="00DC464A" w:rsidP="00DC464A">
      <w:pPr>
        <w:widowControl w:val="0"/>
        <w:autoSpaceDE w:val="0"/>
        <w:autoSpaceDN w:val="0"/>
        <w:adjustRightInd w:val="0"/>
        <w:ind w:left="640" w:hanging="640"/>
        <w:rPr>
          <w:noProof/>
        </w:rPr>
      </w:pPr>
      <w:r w:rsidRPr="00351AF0">
        <w:rPr>
          <w:noProof/>
        </w:rPr>
        <w:t>2.</w:t>
      </w:r>
      <w:r w:rsidRPr="00351AF0">
        <w:rPr>
          <w:noProof/>
        </w:rPr>
        <w:tab/>
        <w:t xml:space="preserve">Куликов С.М. </w:t>
      </w:r>
      <w:r w:rsidRPr="00351AF0">
        <w:rPr>
          <w:noProof/>
          <w:lang w:val="en-US"/>
        </w:rPr>
        <w:t>et</w:t>
      </w:r>
      <w:r w:rsidRPr="00351AF0">
        <w:rPr>
          <w:noProof/>
        </w:rPr>
        <w:t xml:space="preserve"> </w:t>
      </w:r>
      <w:r w:rsidRPr="00351AF0">
        <w:rPr>
          <w:noProof/>
          <w:lang w:val="en-US"/>
        </w:rPr>
        <w:t>al</w:t>
      </w:r>
      <w:r w:rsidRPr="00351AF0">
        <w:rPr>
          <w:noProof/>
        </w:rPr>
        <w:t xml:space="preserve">. Заболеваемость хроническим миелолейкозом в 6 регионах России по данным популяционного исследования 2009-2012 гг. // Терапевтический архив. 2014. </w:t>
      </w:r>
      <w:r w:rsidRPr="00351AF0">
        <w:rPr>
          <w:noProof/>
          <w:lang w:val="en-US"/>
        </w:rPr>
        <w:t>Vol</w:t>
      </w:r>
      <w:r w:rsidRPr="00351AF0">
        <w:rPr>
          <w:noProof/>
        </w:rPr>
        <w:t xml:space="preserve">. 86, № 7. </w:t>
      </w:r>
      <w:r w:rsidRPr="00351AF0">
        <w:rPr>
          <w:noProof/>
          <w:lang w:val="en-US"/>
        </w:rPr>
        <w:t>P</w:t>
      </w:r>
      <w:r w:rsidRPr="00351AF0">
        <w:rPr>
          <w:noProof/>
        </w:rPr>
        <w:t>. 24–30.</w:t>
      </w:r>
    </w:p>
    <w:p w14:paraId="0D28E224" w14:textId="77777777" w:rsidR="00DC464A" w:rsidRPr="00062B4F" w:rsidRDefault="00DC464A" w:rsidP="00DC464A">
      <w:pPr>
        <w:widowControl w:val="0"/>
        <w:autoSpaceDE w:val="0"/>
        <w:autoSpaceDN w:val="0"/>
        <w:adjustRightInd w:val="0"/>
        <w:ind w:left="640" w:hanging="640"/>
        <w:rPr>
          <w:noProof/>
          <w:lang w:val="en-US"/>
        </w:rPr>
      </w:pPr>
      <w:r w:rsidRPr="00351AF0">
        <w:rPr>
          <w:noProof/>
        </w:rPr>
        <w:t>3.</w:t>
      </w:r>
      <w:r w:rsidRPr="00351AF0">
        <w:rPr>
          <w:noProof/>
        </w:rPr>
        <w:tab/>
        <w:t xml:space="preserve">Туркина А.Г., Новицкая Н.В. Г.А.К. и др. Регистр больных хроническим миелолейкозом в Российской Федерации: от наблюдательного исследования к оценке эффективности терапии в клинической практике // Клиническая онкогематология. </w:t>
      </w:r>
      <w:r w:rsidRPr="00062B4F">
        <w:rPr>
          <w:noProof/>
          <w:lang w:val="en-US"/>
        </w:rPr>
        <w:t>2017. Vol. 10, № 3. P. 390–401.</w:t>
      </w:r>
    </w:p>
    <w:p w14:paraId="7478491B"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w:t>
      </w:r>
      <w:r w:rsidRPr="00062B4F">
        <w:rPr>
          <w:noProof/>
          <w:lang w:val="en-US"/>
        </w:rPr>
        <w:tab/>
        <w:t>Hoffmann V.S. et al. Treatment and outcome of 2904 CML patients from the EUTOS population-based registry // Leukemia. Nature Publishing Group, 2017. Vol. 31, № 3. P. 593–601.</w:t>
      </w:r>
    </w:p>
    <w:p w14:paraId="45997C55"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w:t>
      </w:r>
      <w:r w:rsidRPr="00062B4F">
        <w:rPr>
          <w:noProof/>
          <w:lang w:val="en-US"/>
        </w:rPr>
        <w:tab/>
        <w:t>Fabarius A. et al. Impact of additional cytogenetic aberrations at diagnosis on prognosis of CML: Long-term observation of 1151 patients from the randomized CML Study IV // Blood. 2011. Vol. 118, № 26. P. 6760–6768.</w:t>
      </w:r>
    </w:p>
    <w:p w14:paraId="2C439588"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w:t>
      </w:r>
      <w:r w:rsidRPr="00062B4F">
        <w:rPr>
          <w:noProof/>
          <w:lang w:val="en-US"/>
        </w:rPr>
        <w:tab/>
        <w:t>Sokal J.E. et al. Prognostic discrimination in “good-risk” chronic granulocytic leukemia // Blood. 1984. Vol. 63, № 4. P. 789–799.</w:t>
      </w:r>
    </w:p>
    <w:p w14:paraId="37CC5547" w14:textId="77777777" w:rsidR="00DC464A" w:rsidRPr="00351AF0" w:rsidRDefault="00DC464A" w:rsidP="00DC464A">
      <w:pPr>
        <w:widowControl w:val="0"/>
        <w:autoSpaceDE w:val="0"/>
        <w:autoSpaceDN w:val="0"/>
        <w:adjustRightInd w:val="0"/>
        <w:ind w:left="640" w:hanging="640"/>
        <w:rPr>
          <w:noProof/>
          <w:lang w:val="en-US"/>
        </w:rPr>
      </w:pPr>
      <w:r w:rsidRPr="00062B4F">
        <w:rPr>
          <w:noProof/>
          <w:lang w:val="en-US"/>
        </w:rPr>
        <w:t>7.</w:t>
      </w:r>
      <w:r w:rsidRPr="00062B4F">
        <w:rPr>
          <w:noProof/>
          <w:lang w:val="en-US"/>
        </w:rPr>
        <w:tab/>
      </w:r>
      <w:r w:rsidRPr="00351AF0">
        <w:rPr>
          <w:noProof/>
          <w:lang w:val="en-US"/>
        </w:rPr>
        <w:t>Hasford J. et al. Predicting complete cytogenetic response and subsequent progression-free survival in 2060 patients with CML on imatinib treatment: The EUTOS score // Blood. 2011. Vol. 118, № 3. P. 686–692.</w:t>
      </w:r>
    </w:p>
    <w:p w14:paraId="34F05A96" w14:textId="77777777" w:rsidR="00DC464A" w:rsidRPr="00062B4F" w:rsidRDefault="00DC464A" w:rsidP="00DC464A">
      <w:pPr>
        <w:widowControl w:val="0"/>
        <w:autoSpaceDE w:val="0"/>
        <w:autoSpaceDN w:val="0"/>
        <w:adjustRightInd w:val="0"/>
        <w:ind w:left="640" w:hanging="640"/>
        <w:rPr>
          <w:noProof/>
          <w:lang w:val="en-US"/>
        </w:rPr>
      </w:pPr>
      <w:r w:rsidRPr="00351AF0">
        <w:rPr>
          <w:noProof/>
          <w:lang w:val="en-US"/>
        </w:rPr>
        <w:t>8.</w:t>
      </w:r>
      <w:r w:rsidRPr="00351AF0">
        <w:rPr>
          <w:noProof/>
          <w:lang w:val="en-US"/>
        </w:rPr>
        <w:tab/>
        <w:t>Marin D., Ibrahim A.R., Goldman J.M. European Treatment and Outcome Study (EUTOS) score for chronic myeloid leukemia still requires more confirmation // Journal of Clinical Oncology. 2011. Vol. 29, № 29. P. 3944–3945.</w:t>
      </w:r>
    </w:p>
    <w:p w14:paraId="03D00583" w14:textId="77777777" w:rsidR="00DC464A" w:rsidRPr="00351AF0" w:rsidRDefault="00DC464A" w:rsidP="00DC464A">
      <w:pPr>
        <w:widowControl w:val="0"/>
        <w:autoSpaceDE w:val="0"/>
        <w:autoSpaceDN w:val="0"/>
        <w:adjustRightInd w:val="0"/>
        <w:ind w:left="640" w:hanging="640"/>
        <w:rPr>
          <w:noProof/>
        </w:rPr>
      </w:pPr>
      <w:r w:rsidRPr="00062B4F">
        <w:rPr>
          <w:noProof/>
          <w:lang w:val="en-US"/>
        </w:rPr>
        <w:t>9.</w:t>
      </w:r>
      <w:r w:rsidRPr="00062B4F">
        <w:rPr>
          <w:noProof/>
          <w:lang w:val="en-US"/>
        </w:rPr>
        <w:tab/>
        <w:t xml:space="preserve">Pfirrmann M. et al. Prognosis of long-term survival considering disease-specific death in patients with chronic myeloid leukemia // Leukemia. </w:t>
      </w:r>
      <w:r w:rsidRPr="00351AF0">
        <w:rPr>
          <w:noProof/>
        </w:rPr>
        <w:t xml:space="preserve">2016. </w:t>
      </w:r>
      <w:r w:rsidRPr="00351AF0">
        <w:rPr>
          <w:noProof/>
          <w:lang w:val="en-US"/>
        </w:rPr>
        <w:t>Vol</w:t>
      </w:r>
      <w:r w:rsidRPr="00351AF0">
        <w:rPr>
          <w:noProof/>
        </w:rPr>
        <w:t xml:space="preserve">. 30, № 1. </w:t>
      </w:r>
      <w:r w:rsidRPr="00351AF0">
        <w:rPr>
          <w:noProof/>
          <w:lang w:val="en-US"/>
        </w:rPr>
        <w:t>P</w:t>
      </w:r>
      <w:r w:rsidRPr="00351AF0">
        <w:rPr>
          <w:noProof/>
        </w:rPr>
        <w:t>. 48–56.</w:t>
      </w:r>
    </w:p>
    <w:p w14:paraId="5E701DF9" w14:textId="77777777" w:rsidR="00DC464A" w:rsidRPr="00062B4F" w:rsidRDefault="00DC464A" w:rsidP="00DC464A">
      <w:pPr>
        <w:widowControl w:val="0"/>
        <w:autoSpaceDE w:val="0"/>
        <w:autoSpaceDN w:val="0"/>
        <w:adjustRightInd w:val="0"/>
        <w:ind w:left="640" w:hanging="640"/>
        <w:rPr>
          <w:noProof/>
          <w:lang w:val="en-US"/>
        </w:rPr>
      </w:pPr>
      <w:r w:rsidRPr="00351AF0">
        <w:rPr>
          <w:noProof/>
        </w:rPr>
        <w:t>10.</w:t>
      </w:r>
      <w:r w:rsidRPr="00351AF0">
        <w:rPr>
          <w:noProof/>
        </w:rPr>
        <w:tab/>
        <w:t xml:space="preserve">Туркина А.Г. </w:t>
      </w:r>
      <w:r w:rsidRPr="00351AF0">
        <w:rPr>
          <w:noProof/>
          <w:lang w:val="en-US"/>
        </w:rPr>
        <w:t>et</w:t>
      </w:r>
      <w:r w:rsidRPr="00351AF0">
        <w:rPr>
          <w:noProof/>
        </w:rPr>
        <w:t xml:space="preserve"> </w:t>
      </w:r>
      <w:r w:rsidRPr="00351AF0">
        <w:rPr>
          <w:noProof/>
          <w:lang w:val="en-US"/>
        </w:rPr>
        <w:t>al</w:t>
      </w:r>
      <w:r w:rsidRPr="00351AF0">
        <w:rPr>
          <w:noProof/>
        </w:rPr>
        <w:t xml:space="preserve">. Клинические рекомендации по диагностике и лечению хронического миелолейкоза // Клиническая онкогематология. </w:t>
      </w:r>
      <w:r w:rsidRPr="00036EB4">
        <w:rPr>
          <w:noProof/>
          <w:lang w:val="en-US"/>
        </w:rPr>
        <w:t xml:space="preserve">2017. </w:t>
      </w:r>
      <w:r w:rsidRPr="00062B4F">
        <w:rPr>
          <w:noProof/>
          <w:lang w:val="en-US"/>
        </w:rPr>
        <w:t>Vol. 10, № 3. P. 294–316.</w:t>
      </w:r>
    </w:p>
    <w:p w14:paraId="0E3AB9D1"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11.</w:t>
      </w:r>
      <w:r w:rsidRPr="00062B4F">
        <w:rPr>
          <w:noProof/>
          <w:lang w:val="en-US"/>
        </w:rPr>
        <w:tab/>
        <w:t>Baccarani M. et al. European LeukemiaNet recommendations for the management of chronic myeloid leukemia: 2013 // Blood. 2013. Vol. 122, № 6. P. 872–884.</w:t>
      </w:r>
    </w:p>
    <w:p w14:paraId="7DF75107"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12.</w:t>
      </w:r>
      <w:r w:rsidRPr="00062B4F">
        <w:rPr>
          <w:noProof/>
          <w:lang w:val="en-US"/>
        </w:rPr>
        <w:tab/>
        <w:t>Dewald G.W. et al. Highly sensitive fluorescence in situ hybridization method to detect double BCR/ABL fusion and monitor response to therapy in chronic myeloid leukemia // Blood. American Society of Hematology, 1998. Vol. 91, № 9. P. 3357–3365.</w:t>
      </w:r>
    </w:p>
    <w:p w14:paraId="13EC6C0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lastRenderedPageBreak/>
        <w:t>13.</w:t>
      </w:r>
      <w:r w:rsidRPr="00062B4F">
        <w:rPr>
          <w:noProof/>
          <w:lang w:val="en-US"/>
        </w:rPr>
        <w:tab/>
        <w:t>Lima L. et al. Peripheral blood monitoring of chronic myeloid leukemia during treatment with imatinib, second-line agents, and beyond // Cancer. 2011. Vol. 117, № 6. P. 1245–1252.</w:t>
      </w:r>
    </w:p>
    <w:p w14:paraId="6FF95DB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14.</w:t>
      </w:r>
      <w:r w:rsidRPr="00062B4F">
        <w:rPr>
          <w:noProof/>
          <w:lang w:val="en-US"/>
        </w:rPr>
        <w:tab/>
        <w:t>Kantarjian H.M. et al. Quantitative polymerase chain reaction monitoring of BCR-ABL during therapy with imatinib mesylate (STI571; gleevec) in chronic-phase chronic myelogenous leukemia. // Clin. Cancer Res. 2003. Vol. 9, № 1. P. 160–166.</w:t>
      </w:r>
    </w:p>
    <w:p w14:paraId="4C8D74D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15.</w:t>
      </w:r>
      <w:r w:rsidRPr="00062B4F">
        <w:rPr>
          <w:noProof/>
          <w:lang w:val="en-US"/>
        </w:rPr>
        <w:tab/>
        <w:t>Hughes T. et al. Monitoring CML patients responding to treatment with tyrosine kinase inhibitors: review and recommendations for harmonizing current methodology for detecting BCR-ABL transcripts and kinase domain mutations and for expressing results // Blood. 2006. Vol. 108, № 1. P. 28–37.</w:t>
      </w:r>
    </w:p>
    <w:p w14:paraId="69C87F5F"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16.</w:t>
      </w:r>
      <w:r w:rsidRPr="00062B4F">
        <w:rPr>
          <w:noProof/>
          <w:lang w:val="en-US"/>
        </w:rPr>
        <w:tab/>
        <w:t>Branford S., Hughes T.P., Rudzki Z. Monitoring chronic myeloid leukaemia therapy by real-time quantitative PCR in blood is a reliable alternative to bone marrow cytogenetics // Br. J. Haematol. Blackwell Publishing Ltd., 1999. Vol. 107, № 3. P. 587–599.</w:t>
      </w:r>
    </w:p>
    <w:p w14:paraId="4BCB57D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17.</w:t>
      </w:r>
      <w:r w:rsidRPr="00062B4F">
        <w:rPr>
          <w:noProof/>
          <w:lang w:val="en-US"/>
        </w:rPr>
        <w:tab/>
        <w:t>Wang L. et al. Serial monitoring of BCR-ABL by peripheral blood real-time polymerase chain reaction predicts the marrow cytogenetic response to imatinib mesylate in chronic myeloid leukaemia // Br. J. Haematol. 2002. Vol. 118, № 3. P. 771–777.</w:t>
      </w:r>
    </w:p>
    <w:p w14:paraId="52F5EEBB"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18.</w:t>
      </w:r>
      <w:r w:rsidRPr="00062B4F">
        <w:rPr>
          <w:noProof/>
          <w:lang w:val="en-US"/>
        </w:rPr>
        <w:tab/>
        <w:t>Hoffmann V.S. et al. Systematic review and meta-analysis of standard-dose imatinib vs. high-dose imatinib and second generation tyrosine kinase inhibitors for chronic myeloid leukemia // J. Cancer Res. Clin. Oncol. Springer Verlag, 2017. Vol. 143, № 7. P. 1311–1318.</w:t>
      </w:r>
    </w:p>
    <w:p w14:paraId="3FD4600A"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19.</w:t>
      </w:r>
      <w:r w:rsidRPr="00062B4F">
        <w:rPr>
          <w:noProof/>
          <w:lang w:val="en-US"/>
        </w:rPr>
        <w:tab/>
        <w:t>Hochhaus A. et al. Long-Term Outcomes of Imatinib Treatment for Chronic Myeloid Leukemia // N. Engl. J. Med. 2017. Vol. 376, № 10. P. 917–927.</w:t>
      </w:r>
    </w:p>
    <w:p w14:paraId="51752CE2"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20.</w:t>
      </w:r>
      <w:r w:rsidRPr="00062B4F">
        <w:rPr>
          <w:noProof/>
          <w:lang w:val="en-US"/>
        </w:rPr>
        <w:tab/>
        <w:t>Talpaz M. et al. Imatinib induces durable hematologic and cytogenetic responses in patients with accelerated phase chronic myeloid leukemia: Results of a phase 2 study // Blood. 2002. Vol. 99, № 6. P. 1928–1937.</w:t>
      </w:r>
    </w:p>
    <w:p w14:paraId="1747BE5C"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21.</w:t>
      </w:r>
      <w:r w:rsidRPr="00062B4F">
        <w:rPr>
          <w:noProof/>
          <w:lang w:val="en-US"/>
        </w:rPr>
        <w:tab/>
        <w:t>Kantarjian H.M. et al. Imatinib mesylate (STI571) therapy for Philadelphia chromosome-positive chronic myelogenous leukemia in blast phase. // Blood. 2002. Vol. 99, № 10. P. 3547–3553.</w:t>
      </w:r>
    </w:p>
    <w:p w14:paraId="365E843F"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22.</w:t>
      </w:r>
      <w:r w:rsidRPr="00062B4F">
        <w:rPr>
          <w:noProof/>
          <w:lang w:val="en-US"/>
        </w:rPr>
        <w:tab/>
        <w:t>Sawyers C.L. et al. Imatinib induces hematologic and cytogenetic responses in patients with chronic myelogenous leukemia in myeloid blast crisis: results of a phase II study. // Blood. 2002. Vol. 99, № 10. P. 3530–3539.</w:t>
      </w:r>
    </w:p>
    <w:p w14:paraId="630440E6"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23.</w:t>
      </w:r>
      <w:r w:rsidRPr="00062B4F">
        <w:rPr>
          <w:noProof/>
          <w:lang w:val="en-US"/>
        </w:rPr>
        <w:tab/>
        <w:t>Palandri F. et al. The long-term durability of cytogenetic responses in patients with accelerated phase chronic myeloid leukemia treated with imatinib 600 mg: The GIMEMA CML Working Party experience after a 7-year follow-up // Haematologica. 2009. Vol. 94, № 2. P. 205–212.</w:t>
      </w:r>
    </w:p>
    <w:p w14:paraId="353A937E"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lastRenderedPageBreak/>
        <w:t>24.</w:t>
      </w:r>
      <w:r w:rsidRPr="00062B4F">
        <w:rPr>
          <w:noProof/>
          <w:lang w:val="en-US"/>
        </w:rPr>
        <w:tab/>
        <w:t>O’Brien S.G. et al. Imatinib compared with interferon and low-dose cytarabine for newly diagnosed chronic-phase chronic myeloid leukemia // N. Engl. J. Med. 2003. Vol. 348, № 11. P. 994–1004.</w:t>
      </w:r>
    </w:p>
    <w:p w14:paraId="23391DBF"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25.</w:t>
      </w:r>
      <w:r w:rsidRPr="00062B4F">
        <w:rPr>
          <w:noProof/>
          <w:lang w:val="en-US"/>
        </w:rPr>
        <w:tab/>
        <w:t>Hochhaus A. et al. Long-term benefits and risks of frontline nilotinib vs imatinib for chronic myeloid leukemia in chronic phase: 5-year update of the randomized ENESTnd trial // Leukemia. Nature Publishing Group, 2016. Vol. 30, № 5. P. 1044–1054.</w:t>
      </w:r>
    </w:p>
    <w:p w14:paraId="6136DB1D"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26.</w:t>
      </w:r>
      <w:r w:rsidRPr="00062B4F">
        <w:rPr>
          <w:noProof/>
          <w:lang w:val="en-US"/>
        </w:rPr>
        <w:tab/>
        <w:t>Cortes J. et al. Final 5-Year Study Results of DASISION: The Dasatinib Versus Imatinib Study in Treatment-Naıve Chronic Myeloid Leukemia Patients Trial // J. Clin. Oncol. 2016. Vol. 34, № 20. P. 2333–2341.</w:t>
      </w:r>
    </w:p>
    <w:p w14:paraId="1080C041"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27.</w:t>
      </w:r>
      <w:r w:rsidRPr="00062B4F">
        <w:rPr>
          <w:noProof/>
          <w:lang w:val="en-US"/>
        </w:rPr>
        <w:tab/>
        <w:t>Kantarjian H. et al. Phase 3 study of dasatinib 140 mg once daily versus 70 mg twice daily in patients with chronic myeloid leukemia in accelerated phase resistant or intolerant to imatinib: 15-month median follow-up // Blood. 2009. Vol. 113, № 25. P. 6322–6329.</w:t>
      </w:r>
    </w:p>
    <w:p w14:paraId="365C337D"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28.</w:t>
      </w:r>
      <w:r w:rsidRPr="00062B4F">
        <w:rPr>
          <w:noProof/>
          <w:lang w:val="en-US"/>
        </w:rPr>
        <w:tab/>
        <w:t>Cortes J. et al. Dasatinib induces complete hematologic and cytogenetic responses in patients with imatinib-resistant or -intolerant chronic myeloid leukemia in blast crisis // Blood. 2007. Vol. 109, № 8. P. 3207–3213.</w:t>
      </w:r>
    </w:p>
    <w:p w14:paraId="0A300CE4"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29.</w:t>
      </w:r>
      <w:r w:rsidRPr="00062B4F">
        <w:rPr>
          <w:noProof/>
          <w:lang w:val="en-US"/>
        </w:rPr>
        <w:tab/>
        <w:t>Porkka K. et al. Dasatinib 100 mg once daily minimizes the occurrence of pleural effusion in patients with chronic myeloid leukemia in chronic phase and efficacy is unaffected in patients who develop pleural effusion // Cancer. 2010. Vol. 116, № 2. P. 377–386.</w:t>
      </w:r>
    </w:p>
    <w:p w14:paraId="706B4F6E"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30.</w:t>
      </w:r>
      <w:r w:rsidRPr="00062B4F">
        <w:rPr>
          <w:noProof/>
          <w:lang w:val="en-US"/>
        </w:rPr>
        <w:tab/>
        <w:t>Orlandi E.M. et al. Reversible pulmonary arterial hypertension likely related to long-term, low-dose dasatinib treatment for chronic myeloid leukaemia // Leukemia Research. 2012. Vol. 36, № 1.</w:t>
      </w:r>
    </w:p>
    <w:p w14:paraId="5FD32F8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31.</w:t>
      </w:r>
      <w:r w:rsidRPr="00062B4F">
        <w:rPr>
          <w:noProof/>
          <w:lang w:val="en-US"/>
        </w:rPr>
        <w:tab/>
        <w:t>Giles F.J. et al. Rates of peripheral arterial occlusive disease in patients with chronic myeloid leukemia in the chronic phase treated with imatinib, nilotinib, or non-tyrosine kinase therapy: A retrospective cohort analysis // Leukemia. 2013. Vol. 27, № 6. P. 1310–1315.</w:t>
      </w:r>
    </w:p>
    <w:p w14:paraId="43D38F48"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32.</w:t>
      </w:r>
      <w:r w:rsidRPr="00062B4F">
        <w:rPr>
          <w:noProof/>
          <w:lang w:val="en-US"/>
        </w:rPr>
        <w:tab/>
        <w:t>Shah N.P. et al. Dasatinib in imatinib-resistant or -intolerant chronic-phase, chronic myeloid leukemia patients: 7-year follow-up of study CA180-034 // Am. J. Hematol. 2016. Vol. 91, № 9. P. 869–874.</w:t>
      </w:r>
    </w:p>
    <w:p w14:paraId="262CA84E"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33.</w:t>
      </w:r>
      <w:r w:rsidRPr="00062B4F">
        <w:rPr>
          <w:noProof/>
          <w:lang w:val="en-US"/>
        </w:rPr>
        <w:tab/>
        <w:t>Cortes J.E. et al. Long‐term bosutinib for chronic phase chronic myeloid leukemia after failure of imatinib plus dasatinib and/or nilotinib // Am. J. Hematol. 2016. Vol. 91, № 12. P. 1206–1214.</w:t>
      </w:r>
    </w:p>
    <w:p w14:paraId="1A418870"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34.</w:t>
      </w:r>
      <w:r w:rsidRPr="00062B4F">
        <w:rPr>
          <w:noProof/>
          <w:lang w:val="en-US"/>
        </w:rPr>
        <w:tab/>
        <w:t>Giles F.J. et al. Nilotinib in imatinib-resistant or imatinib-intolerant patients with chronic myeloid leukemia in chronic phase: 48-month follow-up results of a phase II study // Leukemia. 2013. Vol. 27, № 1. P. 107–112.</w:t>
      </w:r>
    </w:p>
    <w:p w14:paraId="5F1BEAD5"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35.</w:t>
      </w:r>
      <w:r w:rsidRPr="00062B4F">
        <w:rPr>
          <w:noProof/>
          <w:lang w:val="en-US"/>
        </w:rPr>
        <w:tab/>
        <w:t xml:space="preserve">Saglio G. et al. Dasatinib in imatinib-resistant or imatinib-intolerant chronic myeloid </w:t>
      </w:r>
      <w:r w:rsidRPr="00062B4F">
        <w:rPr>
          <w:noProof/>
          <w:lang w:val="en-US"/>
        </w:rPr>
        <w:lastRenderedPageBreak/>
        <w:t>leukemia in blast phase after 2 years of follow-up in a phase 3 study // Cancer. 2010. Vol. 116, № 16. P. 3852–3861.</w:t>
      </w:r>
    </w:p>
    <w:p w14:paraId="4D0CC56B"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36.</w:t>
      </w:r>
      <w:r w:rsidRPr="00062B4F">
        <w:rPr>
          <w:noProof/>
          <w:lang w:val="en-US"/>
        </w:rPr>
        <w:tab/>
        <w:t>Gambacorti-Passerini C. et al. Long-term efficacy and safety of bosutinib in patients with advanced leukemia following resistance/intolerance to imatinib and other tyrosine kinase inhibitors // Am. J. Hematol. Wiley-Liss Inc., 2015. Vol. 90, № 9. P. 755–768.</w:t>
      </w:r>
    </w:p>
    <w:p w14:paraId="7DFE841E"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37.</w:t>
      </w:r>
      <w:r w:rsidRPr="00062B4F">
        <w:rPr>
          <w:noProof/>
          <w:lang w:val="en-US"/>
        </w:rPr>
        <w:tab/>
        <w:t>Gambacorti-Passerini C. et al. Bosutinib efficacy and safety in chronic phase chronic myeloid leukemia after imatinib resistance or intolerance: Minimum 24-month follow-up // Am. J. Hematol. 2014. Vol. 89, № 7. P. 732–742.</w:t>
      </w:r>
    </w:p>
    <w:p w14:paraId="281F6278"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38.</w:t>
      </w:r>
      <w:r w:rsidRPr="00062B4F">
        <w:rPr>
          <w:noProof/>
          <w:lang w:val="en-US"/>
        </w:rPr>
        <w:tab/>
        <w:t>Steegmann J.L. et al. European LeukemiaNet recommendations for the management and avoidance of adverse events of treatment in chronic myeloid leukaemia // Leukemia. 2016. Vol. 30, № 8. P. 1648–1671.</w:t>
      </w:r>
    </w:p>
    <w:p w14:paraId="57115AE7"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39.</w:t>
      </w:r>
      <w:r w:rsidRPr="00062B4F">
        <w:rPr>
          <w:noProof/>
          <w:lang w:val="en-US"/>
        </w:rPr>
        <w:tab/>
        <w:t>Chai-Adisaksopha C., Lam W., Hillis C. Major arterial events in patients with chronic myeloid leukemia treated with tyrosine kinase inhibitors: A meta-analysis // Leuk. Lymphoma. Taylor and Francis Ltd, 2016. Vol. 57, № 6. P. 1300–1310.</w:t>
      </w:r>
    </w:p>
    <w:p w14:paraId="4FD92A6E"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40.</w:t>
      </w:r>
      <w:r w:rsidRPr="00062B4F">
        <w:rPr>
          <w:noProof/>
          <w:lang w:val="en-US"/>
        </w:rPr>
        <w:tab/>
        <w:t>Montani D. et al. Pulmonary Arterial Hypertension in Patients Treated by Dasatinib // Circulation. 2012. Vol. 125, № 17. P. 2128–2137.</w:t>
      </w:r>
    </w:p>
    <w:p w14:paraId="593DA7FC"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41.</w:t>
      </w:r>
      <w:r w:rsidRPr="00062B4F">
        <w:rPr>
          <w:noProof/>
          <w:lang w:val="en-US"/>
        </w:rPr>
        <w:tab/>
        <w:t>Quintas-Cardama A. et al. Tyrosine kinase inhibitor-induced platelet dysfunction in patients with chronic myeloid leukemia // Blood. 2009. Vol. 114, № 2. P. 261–263.</w:t>
      </w:r>
    </w:p>
    <w:p w14:paraId="2D624936"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42.</w:t>
      </w:r>
      <w:r w:rsidRPr="00062B4F">
        <w:rPr>
          <w:noProof/>
          <w:lang w:val="en-US"/>
        </w:rPr>
        <w:tab/>
        <w:t>Cortes J.E. et al. Bosutinib Versus Imatinib for Newly Diagnosed Chronic Myeloid Leukemia: Results From the Randomized BFORE Trial // J. Clin. Oncol. 2018. Vol. 36, № 3. P. 231–237.</w:t>
      </w:r>
    </w:p>
    <w:p w14:paraId="2E9F6E37"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43.</w:t>
      </w:r>
      <w:r w:rsidRPr="00062B4F">
        <w:rPr>
          <w:noProof/>
          <w:lang w:val="en-US"/>
        </w:rPr>
        <w:tab/>
        <w:t>Haouala A. et al. Drug interactions with the tyrosine kinase inhibitors imatinib, dasatinib, and nilotinib // Blood. 2011. Vol. 117, № 8. P. e75–e87.</w:t>
      </w:r>
    </w:p>
    <w:p w14:paraId="35540667"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44.</w:t>
      </w:r>
      <w:r w:rsidRPr="00062B4F">
        <w:rPr>
          <w:noProof/>
          <w:lang w:val="en-US"/>
        </w:rPr>
        <w:tab/>
        <w:t>Ursan I.D. et al. Emergence of BCR-ABL Kinase Domain Mutations Associated with Newly Diagnosed Chronic Myeloid Leukemia: A Meta-Analysis of Clinical Trials of Tyrosine Kinase Inhibitors // J. Manag. Care Spec. Pharm. 2015. Vol. 21, № 2. P. 114–122.</w:t>
      </w:r>
    </w:p>
    <w:p w14:paraId="73866FC3"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45.</w:t>
      </w:r>
      <w:r w:rsidRPr="00062B4F">
        <w:rPr>
          <w:noProof/>
          <w:lang w:val="en-US"/>
        </w:rPr>
        <w:tab/>
        <w:t>Branford S. et al. Detection of BCR-ABL mutations in patients with CML treated with imatinib is virtually always accompanied by clinical resistance, and mutations in the ATP phosphate-binding loop (P-loop) are associated with a poor prognosis // Blood. American Society of Hematology, 2003. Vol. 102, № 1. P. 276–283.</w:t>
      </w:r>
    </w:p>
    <w:p w14:paraId="077A7D96"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46.</w:t>
      </w:r>
      <w:r w:rsidRPr="00062B4F">
        <w:rPr>
          <w:noProof/>
          <w:lang w:val="en-US"/>
        </w:rPr>
        <w:tab/>
        <w:t>Soverini S. et al. ABL mutations in late chronic phase chronic myeloid leukemia patients with up-front cytogenetic resistance to imatinib are associated with a greater likelihood of progression to blast crisis and shorter survival: a study by the GIMEMA Working Party on Chronic Myeloid Leukemia. // J. Clin. Oncol. 2005. Vol. 23, № 18. P. 4100–4109.</w:t>
      </w:r>
    </w:p>
    <w:p w14:paraId="01308CC8"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47.</w:t>
      </w:r>
      <w:r w:rsidRPr="00062B4F">
        <w:rPr>
          <w:noProof/>
          <w:lang w:val="en-US"/>
        </w:rPr>
        <w:tab/>
        <w:t xml:space="preserve">Nicolini F.E. et al. Mutation status and clinical outcome of 89 imatinib mesylate-resistant </w:t>
      </w:r>
      <w:r w:rsidRPr="00062B4F">
        <w:rPr>
          <w:noProof/>
          <w:lang w:val="en-US"/>
        </w:rPr>
        <w:lastRenderedPageBreak/>
        <w:t>chronic myelogenous leukemia patients: A retrospective analysis from the French intergroup of CML (Fi(</w:t>
      </w:r>
      <w:r w:rsidRPr="00351AF0">
        <w:rPr>
          <w:noProof/>
          <w:lang w:val="en-US"/>
        </w:rPr>
        <w:t>φ</w:t>
      </w:r>
      <w:r w:rsidRPr="00062B4F">
        <w:rPr>
          <w:noProof/>
          <w:lang w:val="en-US"/>
        </w:rPr>
        <w:t>)-LMC GROUP) // Leukemia. Nature Publishing Group, 2006. Vol. 20, № 6. P. 1061–1066.</w:t>
      </w:r>
    </w:p>
    <w:p w14:paraId="3E958B5B"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48.</w:t>
      </w:r>
      <w:r w:rsidRPr="00062B4F">
        <w:rPr>
          <w:noProof/>
          <w:lang w:val="en-US"/>
        </w:rPr>
        <w:tab/>
        <w:t>Soverini S. et al. Contribution of ABL kinase domain mutations to imatinib resistance in different subsets of Philadelphia-positive patients: By the GIMEMA working party on chronic myeloid leukemia // Clin. Cancer Res. 2006. Vol. 12, № 24. P. 7374–7379.</w:t>
      </w:r>
    </w:p>
    <w:p w14:paraId="0A0FEC78"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49.</w:t>
      </w:r>
      <w:r w:rsidRPr="00062B4F">
        <w:rPr>
          <w:noProof/>
          <w:lang w:val="en-US"/>
        </w:rPr>
        <w:tab/>
        <w:t>Khorashad J.S. et al. Finding of kinase domain mutations in patients with chronic phase chronic myeloid leukemia responding to imatinib may identify those at high risk of disease progression // J. Clin. Oncol. 2008. Vol. 26, № 29. P. 4806–4813.</w:t>
      </w:r>
    </w:p>
    <w:p w14:paraId="1FEF5E55"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50.</w:t>
      </w:r>
      <w:r w:rsidRPr="00062B4F">
        <w:rPr>
          <w:noProof/>
          <w:lang w:val="en-US"/>
        </w:rPr>
        <w:tab/>
        <w:t>Nicolini F.E. et al. Clinical outcome of 27 imatinib mesylate-resistant chronic myelogenous leukemia patients harboring a T315I BCR-ABL mutation. // Haematologica. 2007. Vol. 92, № 9. P. 1238–1241.</w:t>
      </w:r>
    </w:p>
    <w:p w14:paraId="3D02B932"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51.</w:t>
      </w:r>
      <w:r w:rsidRPr="00062B4F">
        <w:rPr>
          <w:noProof/>
          <w:lang w:val="en-US"/>
        </w:rPr>
        <w:tab/>
        <w:t>Jabbour E. et al. Characteristics and outcomes of patients with Chronic myeloid leukemia and T315I mutation following failure of imatinib mesylate therapy // Blood. 2008. Vol. 112, № 1. P. 53–55.</w:t>
      </w:r>
    </w:p>
    <w:p w14:paraId="2C879698"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52.</w:t>
      </w:r>
      <w:r w:rsidRPr="00062B4F">
        <w:rPr>
          <w:noProof/>
          <w:lang w:val="en-US"/>
        </w:rPr>
        <w:tab/>
        <w:t>Velev N. et al. Stem cell transplantation for patients with chronic myeloid leukemia resistant to tyrosine kinase inhibitors with BCR-ABL kinase domain mutation T315I // Cancer. 2010. Vol. 116, № 15. P. 3631–3637.</w:t>
      </w:r>
    </w:p>
    <w:p w14:paraId="68A9207B"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53.</w:t>
      </w:r>
      <w:r w:rsidRPr="00062B4F">
        <w:rPr>
          <w:noProof/>
          <w:lang w:val="en-US"/>
        </w:rPr>
        <w:tab/>
        <w:t>Jabbour E. et al. Results of allogeneic hematopoietic stem cell transplantation for chronic myelogenous leukemia patients who failed tyrosine kinase inhibitors after developing BCR-ABL1 kinase domain mutations // Blood. 2011. Vol. 117, № 13. P. 3641–3647.</w:t>
      </w:r>
    </w:p>
    <w:p w14:paraId="3B4FF1AA"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54.</w:t>
      </w:r>
      <w:r w:rsidRPr="00062B4F">
        <w:rPr>
          <w:noProof/>
          <w:lang w:val="en-US"/>
        </w:rPr>
        <w:tab/>
        <w:t>Nicolini F.E. et al. Allogeneic stem cell transplantation for patients harboring T315I BCR-ABL mutated leukemias // Blood. 2011. Vol. 118, № 20. P. 5697–5700.</w:t>
      </w:r>
    </w:p>
    <w:p w14:paraId="04F6DE94"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55.</w:t>
      </w:r>
      <w:r w:rsidRPr="00062B4F">
        <w:rPr>
          <w:noProof/>
          <w:lang w:val="en-US"/>
        </w:rPr>
        <w:tab/>
        <w:t>Branford S. et al. Rationale for the recommendations for harmonizing current methodology for detecting BCR-ABL transcripts in patients with chronic myeloid leukaemia // Leukemia. Nature Publishing Group, 2006. Vol. 20, № 11. P. 1925–1930.</w:t>
      </w:r>
    </w:p>
    <w:p w14:paraId="0DC582C0"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56.</w:t>
      </w:r>
      <w:r w:rsidRPr="00062B4F">
        <w:rPr>
          <w:noProof/>
          <w:lang w:val="en-US"/>
        </w:rPr>
        <w:tab/>
        <w:t>Guérin A. et al. Association between regular molecular monitoring and tyrosine kinase inhibitor therapy adherence in chronic myelogenous leukemia in the chronic phase // Curr. Med. Res. Opin. Informa Healthcare, 2014. Vol. 30, № 7. P. 1345–1352.</w:t>
      </w:r>
    </w:p>
    <w:p w14:paraId="6D35AEF4"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57.</w:t>
      </w:r>
      <w:r w:rsidRPr="00062B4F">
        <w:rPr>
          <w:noProof/>
          <w:lang w:val="en-US"/>
        </w:rPr>
        <w:tab/>
        <w:t>Yeung D.T. et al. TIDEL-Ii: First-line use of imatinib in CML with early switch to nilotinib for failure to achieve time-dependent molecular targets // Blood. American Society of Hematology, 2015. Vol. 125, № 6. P. 915–923.</w:t>
      </w:r>
    </w:p>
    <w:p w14:paraId="3F85B11D"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58.</w:t>
      </w:r>
      <w:r w:rsidRPr="00062B4F">
        <w:rPr>
          <w:noProof/>
          <w:lang w:val="en-US"/>
        </w:rPr>
        <w:tab/>
        <w:t xml:space="preserve">Cortes J.E. et al. Switching to nilotinib versus imatinib dose escalation in patients with chronic myeloid leukaemia in chronic phase with suboptimal response to imatinib (LASOR): a randomised, open-label trial // Lancet Haematol. Elsevier Ltd, 2016. Vol. 3, № </w:t>
      </w:r>
      <w:r w:rsidRPr="00062B4F">
        <w:rPr>
          <w:noProof/>
          <w:lang w:val="en-US"/>
        </w:rPr>
        <w:lastRenderedPageBreak/>
        <w:t>12. P. e581–e591.</w:t>
      </w:r>
    </w:p>
    <w:p w14:paraId="06E883B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59.</w:t>
      </w:r>
      <w:r w:rsidRPr="00062B4F">
        <w:rPr>
          <w:noProof/>
          <w:lang w:val="en-US"/>
        </w:rPr>
        <w:tab/>
        <w:t>Cervantes F. et al. Early intervention during imatinib therapy in patients with newly diagnosed chronic-phase chronic myeloid leukemia: A study of the Spanish PETHEMA group // Haematologica. 2010. Vol. 95, № 8. P. 1317–1324.</w:t>
      </w:r>
    </w:p>
    <w:p w14:paraId="2112100C"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60.</w:t>
      </w:r>
      <w:r w:rsidRPr="00062B4F">
        <w:rPr>
          <w:noProof/>
          <w:lang w:val="en-US"/>
        </w:rPr>
        <w:tab/>
        <w:t>Cortes J.E. et al. Ponatinib efficacy and safety in Philadelphia chromosome–positive leukemia: final 5-year results of the phase 2 PACE trial // Blood. American Society of Hematology, 2018. Vol. 132, № 4. P. 393–404.</w:t>
      </w:r>
    </w:p>
    <w:p w14:paraId="4CFE6CE8"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61.</w:t>
      </w:r>
      <w:r w:rsidRPr="00062B4F">
        <w:rPr>
          <w:noProof/>
          <w:lang w:val="en-US"/>
        </w:rPr>
        <w:tab/>
        <w:t>Lipton J.H. et al. Comparative Efficacy Among 3rd Line Post-Imatinib Chronic Phase-Chronic Myeloid Leukemia (CP-CML) Patients after Failure of Dasatinib or Nilotinib Tyrosine Kinase Inhibitors // Blood. American Society of Hematology, 2014. Vol. 124, № 21. P. 4551–4551.</w:t>
      </w:r>
    </w:p>
    <w:p w14:paraId="57A4E43C"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62.</w:t>
      </w:r>
      <w:r w:rsidRPr="00062B4F">
        <w:rPr>
          <w:noProof/>
          <w:lang w:val="en-US"/>
        </w:rPr>
        <w:tab/>
        <w:t>Oki Y. et al. Phase II study of low-dose decitabine in combination with imatinib mesylate in patients with accelerated or myeloid blastic phase of chronic myelogenous leukemia // Cancer. 2007. Vol. 109, № 5. P. 899–906.</w:t>
      </w:r>
    </w:p>
    <w:p w14:paraId="6BD4B77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63.</w:t>
      </w:r>
      <w:r w:rsidRPr="00062B4F">
        <w:rPr>
          <w:noProof/>
          <w:lang w:val="en-US"/>
        </w:rPr>
        <w:tab/>
        <w:t>Quintás-Cardama A. et al. A pilot study of imatinib, low-dose cytarabine and idarubicin for patients with chronic myeloid leukemia in myeloid blast phase // Leukemia and Lymphoma. 2007. Vol. 48, № 2. P. 283–289.</w:t>
      </w:r>
    </w:p>
    <w:p w14:paraId="5A8F8974"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64.</w:t>
      </w:r>
      <w:r w:rsidRPr="00062B4F">
        <w:rPr>
          <w:noProof/>
          <w:lang w:val="en-US"/>
        </w:rPr>
        <w:tab/>
        <w:t>Fruehauf S. et al. Imatinib combined with mitoxantrone/etoposide and cytarabine is an effective induction therapy for patients with chronic myeloid leukemia in myeloid blast crisis // Cancer. 2007. Vol. 109, № 8. P. 1543–1549.</w:t>
      </w:r>
    </w:p>
    <w:p w14:paraId="4F990194"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65.</w:t>
      </w:r>
      <w:r w:rsidRPr="00062B4F">
        <w:rPr>
          <w:noProof/>
          <w:lang w:val="en-US"/>
        </w:rPr>
        <w:tab/>
        <w:t>Deau B. et al. The addition of daunorubicin to imatinib mesylate in combination with cytarabine improves the response rate and the survival of patients with myeloid blast crisis chronic myelogenous leukemia (AFR01 study) // Leuk. Res. 2011. Vol. 35, № 6. P. 777–782.</w:t>
      </w:r>
    </w:p>
    <w:p w14:paraId="3BDE6DD2"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66.</w:t>
      </w:r>
      <w:r w:rsidRPr="00062B4F">
        <w:rPr>
          <w:noProof/>
          <w:lang w:val="en-US"/>
        </w:rPr>
        <w:tab/>
        <w:t>Benjamini O. et al. Phase II trial of HyperCVAD and Dasatinib in patients with relapsed Philadelphia chromosome positive acute lymphoblastic leukemia or blast phase chronic myeloid leukemia // Am. J. Hematol. 2014. Vol. 89, № 3. P. 282–287.</w:t>
      </w:r>
    </w:p>
    <w:p w14:paraId="5F27F012"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67.</w:t>
      </w:r>
      <w:r w:rsidRPr="00062B4F">
        <w:rPr>
          <w:noProof/>
          <w:lang w:val="en-US"/>
        </w:rPr>
        <w:tab/>
        <w:t>Burchert A. et al. Interferon alpha 2 maintenance therapy may enable high rates of treatment discontinuation in chronic myeloid leukemia // Leukemia. Nature Publishing Group, 2015. Vol. 29, № 6. P. 1331–1335.</w:t>
      </w:r>
    </w:p>
    <w:p w14:paraId="1A31DA21"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68.</w:t>
      </w:r>
      <w:r w:rsidRPr="00062B4F">
        <w:rPr>
          <w:noProof/>
          <w:lang w:val="en-US"/>
        </w:rPr>
        <w:tab/>
        <w:t>Nair A.P. et al. Allogeneic Hematopoietic Stem Cell Transplantation Is an Effective Salvage Therapy for Patients with Chronic Myeloid Leukemia Presenting with Advanced Disease or Failing Treatment with Tyrosine Kinase Inhibitors // Biol. Blood Marrow Transplant. Elsevier Inc., 2015. Vol. 21, № 8. P. 1437–1444.</w:t>
      </w:r>
    </w:p>
    <w:p w14:paraId="0589D392"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69.</w:t>
      </w:r>
      <w:r w:rsidRPr="00062B4F">
        <w:rPr>
          <w:noProof/>
          <w:lang w:val="en-US"/>
        </w:rPr>
        <w:tab/>
        <w:t xml:space="preserve">Oehler V.G. et al. The effects of imatinib mesylate treatment before allogeneic </w:t>
      </w:r>
      <w:r w:rsidRPr="00062B4F">
        <w:rPr>
          <w:noProof/>
          <w:lang w:val="en-US"/>
        </w:rPr>
        <w:lastRenderedPageBreak/>
        <w:t>transplantation for chronic myeloid leukemia // Blood. 2007. Vol. 109, № 4. P. 1782–1789.</w:t>
      </w:r>
    </w:p>
    <w:p w14:paraId="138648A1"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70.</w:t>
      </w:r>
      <w:r w:rsidRPr="00062B4F">
        <w:rPr>
          <w:noProof/>
          <w:lang w:val="en-US"/>
        </w:rPr>
        <w:tab/>
        <w:t>Jabbour E. et al. Novel tyrosine kinase inhibitor therapy before allogeneic stem cell transplantation in patients with chronic myeloid leukemia: No evidence for increased transplant-related toxicity // Cancer. 2007. Vol. 110, № 2. P. 340–344.</w:t>
      </w:r>
    </w:p>
    <w:p w14:paraId="219D11FF"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71.</w:t>
      </w:r>
      <w:r w:rsidRPr="00062B4F">
        <w:rPr>
          <w:noProof/>
          <w:lang w:val="en-US"/>
        </w:rPr>
        <w:tab/>
        <w:t>Shimoni A. et al. Prior treatment with the tyrosine kinase inhibitors dasatinib and nilotinib allows stem cell transplantation (SCT) in a less advanced disease phase and does not increase SCT toxicity in patients with chronic myelogenous leukemia and Philadelphia positive acute lymphoblastic leukemia // Leukemia. Nature Publishing Group, 2009. Vol. 23, № 1. P. 190–194.</w:t>
      </w:r>
    </w:p>
    <w:p w14:paraId="21C81E62"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72.</w:t>
      </w:r>
      <w:r w:rsidRPr="00062B4F">
        <w:rPr>
          <w:noProof/>
          <w:lang w:val="en-US"/>
        </w:rPr>
        <w:tab/>
        <w:t>Breccia M. et al. Second-generation tyrosine kinase inhibitors before allogeneic stem cell transplantation in patients with chronic myeloid leukemia resistant to imatinib // Leuk. Res. 2010. Vol. 34, № 2. P. 143–147.</w:t>
      </w:r>
    </w:p>
    <w:p w14:paraId="154258AA"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73.</w:t>
      </w:r>
      <w:r w:rsidRPr="00062B4F">
        <w:rPr>
          <w:noProof/>
          <w:lang w:val="en-US"/>
        </w:rPr>
        <w:tab/>
        <w:t>Pavlů J. et al. Optimizing patient selection for myeloablative allogeneic hematopoietic cell transplantation in chronic myeloid leukemia in chronic phase // Blood. 2010. Vol. 115, № 20. P. 4018–4020.</w:t>
      </w:r>
    </w:p>
    <w:p w14:paraId="2D503B0A"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74.</w:t>
      </w:r>
      <w:r w:rsidRPr="00062B4F">
        <w:rPr>
          <w:noProof/>
          <w:lang w:val="en-US"/>
        </w:rPr>
        <w:tab/>
        <w:t>Saussele S. et al. Allogeneic hematopoietic stem cell transplantation (allo SCT) for chronic myeloid leukemia in the imatinib era: Evaluation of its impact within a subgroup of the randomized German CML study IV // Blood. 2010. Vol. 115, № 10. P. 1880–1885.</w:t>
      </w:r>
    </w:p>
    <w:p w14:paraId="79F5BAD5"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75.</w:t>
      </w:r>
      <w:r w:rsidRPr="00062B4F">
        <w:rPr>
          <w:noProof/>
          <w:lang w:val="en-US"/>
        </w:rPr>
        <w:tab/>
        <w:t>Lee S.E. et al. Prognostic factors for outcomes of allogeneic stem cell transplantation in chronic phase chronic myeloid leukemia in the era of tyrosine kinase inhibitors // Hematology. Maney Publishing, 2014. Vol. 19, № 2. P. 63–72.</w:t>
      </w:r>
    </w:p>
    <w:p w14:paraId="630D732A" w14:textId="77777777" w:rsidR="00DC464A" w:rsidRPr="00351AF0" w:rsidRDefault="00DC464A" w:rsidP="00DC464A">
      <w:pPr>
        <w:widowControl w:val="0"/>
        <w:autoSpaceDE w:val="0"/>
        <w:autoSpaceDN w:val="0"/>
        <w:adjustRightInd w:val="0"/>
        <w:ind w:left="640" w:hanging="640"/>
        <w:rPr>
          <w:noProof/>
        </w:rPr>
      </w:pPr>
      <w:r w:rsidRPr="00062B4F">
        <w:rPr>
          <w:noProof/>
          <w:lang w:val="en-US"/>
        </w:rPr>
        <w:t>76.</w:t>
      </w:r>
      <w:r w:rsidRPr="00062B4F">
        <w:rPr>
          <w:noProof/>
          <w:lang w:val="en-US"/>
        </w:rPr>
        <w:tab/>
        <w:t xml:space="preserve">Gratwohl A. et al. Risk assessment for patients with chronic myeloid leukaemia before allogeneic blood or marrow transplantation. Chronic Leukemia Working Party of the European Group for Blood and Marrow Transplantation. // Lancet (London, England). </w:t>
      </w:r>
      <w:r w:rsidRPr="00351AF0">
        <w:rPr>
          <w:noProof/>
        </w:rPr>
        <w:t xml:space="preserve">1998. </w:t>
      </w:r>
      <w:r w:rsidRPr="00351AF0">
        <w:rPr>
          <w:noProof/>
          <w:lang w:val="en-US"/>
        </w:rPr>
        <w:t>Vol</w:t>
      </w:r>
      <w:r w:rsidRPr="00351AF0">
        <w:rPr>
          <w:noProof/>
        </w:rPr>
        <w:t xml:space="preserve">. 352, № 9134. </w:t>
      </w:r>
      <w:r w:rsidRPr="00351AF0">
        <w:rPr>
          <w:noProof/>
          <w:lang w:val="en-US"/>
        </w:rPr>
        <w:t>P</w:t>
      </w:r>
      <w:r w:rsidRPr="00351AF0">
        <w:rPr>
          <w:noProof/>
        </w:rPr>
        <w:t>. 1087–1092.</w:t>
      </w:r>
    </w:p>
    <w:p w14:paraId="160800C8" w14:textId="77777777" w:rsidR="00DC464A" w:rsidRPr="00351AF0" w:rsidRDefault="00DC464A" w:rsidP="00DC464A">
      <w:pPr>
        <w:widowControl w:val="0"/>
        <w:autoSpaceDE w:val="0"/>
        <w:autoSpaceDN w:val="0"/>
        <w:adjustRightInd w:val="0"/>
        <w:ind w:left="640" w:hanging="640"/>
        <w:rPr>
          <w:noProof/>
        </w:rPr>
      </w:pPr>
      <w:r w:rsidRPr="00351AF0">
        <w:rPr>
          <w:noProof/>
        </w:rPr>
        <w:t>77.</w:t>
      </w:r>
      <w:r w:rsidRPr="00351AF0">
        <w:rPr>
          <w:noProof/>
        </w:rPr>
        <w:tab/>
        <w:t xml:space="preserve">Абузарова Г.Р. </w:t>
      </w:r>
      <w:r w:rsidRPr="00351AF0">
        <w:rPr>
          <w:noProof/>
          <w:lang w:val="en-US"/>
        </w:rPr>
        <w:t>et</w:t>
      </w:r>
      <w:r w:rsidRPr="00351AF0">
        <w:rPr>
          <w:noProof/>
        </w:rPr>
        <w:t xml:space="preserve"> </w:t>
      </w:r>
      <w:r w:rsidRPr="00351AF0">
        <w:rPr>
          <w:noProof/>
          <w:lang w:val="en-US"/>
        </w:rPr>
        <w:t>al</w:t>
      </w:r>
      <w:r w:rsidRPr="00351AF0">
        <w:rPr>
          <w:noProof/>
        </w:rPr>
        <w:t xml:space="preserve">. Обезболивание взрослых и детей при оказании медицинской помощи. Методические рекомендации. ФГБОУ ВО РНИМУ им. Н.И. Пирогова Минздрава России., 2016. 94 </w:t>
      </w:r>
      <w:r w:rsidRPr="00351AF0">
        <w:rPr>
          <w:noProof/>
          <w:lang w:val="en-US"/>
        </w:rPr>
        <w:t>p</w:t>
      </w:r>
      <w:r w:rsidRPr="00351AF0">
        <w:rPr>
          <w:noProof/>
        </w:rPr>
        <w:t>.</w:t>
      </w:r>
    </w:p>
    <w:p w14:paraId="4C12A90F" w14:textId="77777777" w:rsidR="00DC464A" w:rsidRPr="00062B4F" w:rsidRDefault="00DC464A" w:rsidP="00DC464A">
      <w:pPr>
        <w:widowControl w:val="0"/>
        <w:autoSpaceDE w:val="0"/>
        <w:autoSpaceDN w:val="0"/>
        <w:adjustRightInd w:val="0"/>
        <w:ind w:left="640" w:hanging="640"/>
        <w:rPr>
          <w:noProof/>
          <w:lang w:val="en-US"/>
        </w:rPr>
      </w:pPr>
      <w:r w:rsidRPr="00351AF0">
        <w:rPr>
          <w:noProof/>
        </w:rPr>
        <w:t>78.</w:t>
      </w:r>
      <w:r w:rsidRPr="00351AF0">
        <w:rPr>
          <w:noProof/>
        </w:rPr>
        <w:tab/>
        <w:t xml:space="preserve">Абузарова Г.Р. Лечение болевого синдрома у онкологических больных // Российские клинические рекомендации по диагностике и лечению злокачественных лимфопролиферативных заболеваний; под ред. </w:t>
      </w:r>
      <w:r w:rsidRPr="00351AF0">
        <w:rPr>
          <w:noProof/>
          <w:lang w:val="en-US"/>
        </w:rPr>
        <w:t>И</w:t>
      </w:r>
      <w:r w:rsidRPr="00062B4F">
        <w:rPr>
          <w:noProof/>
          <w:lang w:val="en-US"/>
        </w:rPr>
        <w:t>.</w:t>
      </w:r>
      <w:r w:rsidRPr="00351AF0">
        <w:rPr>
          <w:noProof/>
          <w:lang w:val="en-US"/>
        </w:rPr>
        <w:t>В</w:t>
      </w:r>
      <w:r w:rsidRPr="00062B4F">
        <w:rPr>
          <w:noProof/>
          <w:lang w:val="en-US"/>
        </w:rPr>
        <w:t xml:space="preserve">. </w:t>
      </w:r>
      <w:r w:rsidRPr="00351AF0">
        <w:rPr>
          <w:noProof/>
          <w:lang w:val="en-US"/>
        </w:rPr>
        <w:t>Поддубной</w:t>
      </w:r>
      <w:r w:rsidRPr="00062B4F">
        <w:rPr>
          <w:noProof/>
          <w:lang w:val="en-US"/>
        </w:rPr>
        <w:t xml:space="preserve">, </w:t>
      </w:r>
      <w:r w:rsidRPr="00351AF0">
        <w:rPr>
          <w:noProof/>
          <w:lang w:val="en-US"/>
        </w:rPr>
        <w:t>В</w:t>
      </w:r>
      <w:r w:rsidRPr="00062B4F">
        <w:rPr>
          <w:noProof/>
          <w:lang w:val="en-US"/>
        </w:rPr>
        <w:t>.</w:t>
      </w:r>
      <w:r w:rsidRPr="00351AF0">
        <w:rPr>
          <w:noProof/>
          <w:lang w:val="en-US"/>
        </w:rPr>
        <w:t>Г</w:t>
      </w:r>
      <w:r w:rsidRPr="00062B4F">
        <w:rPr>
          <w:noProof/>
          <w:lang w:val="en-US"/>
        </w:rPr>
        <w:t xml:space="preserve">. </w:t>
      </w:r>
      <w:r w:rsidRPr="00351AF0">
        <w:rPr>
          <w:noProof/>
          <w:lang w:val="en-US"/>
        </w:rPr>
        <w:t>Савченко</w:t>
      </w:r>
      <w:r w:rsidRPr="00062B4F">
        <w:rPr>
          <w:noProof/>
          <w:lang w:val="en-US"/>
        </w:rPr>
        <w:t>. 2018. P. 278–288.</w:t>
      </w:r>
    </w:p>
    <w:p w14:paraId="02EC8B54"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79.</w:t>
      </w:r>
      <w:r w:rsidRPr="00062B4F">
        <w:rPr>
          <w:noProof/>
          <w:lang w:val="en-US"/>
        </w:rPr>
        <w:tab/>
        <w:t>NCI CTC AE ver 5 [Electronic resource] // November 27, 2017. 2017. P. 155.</w:t>
      </w:r>
    </w:p>
    <w:p w14:paraId="47A9D80D"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80.</w:t>
      </w:r>
      <w:r w:rsidRPr="00062B4F">
        <w:rPr>
          <w:noProof/>
          <w:lang w:val="en-US"/>
        </w:rPr>
        <w:tab/>
        <w:t xml:space="preserve">Quintas-Cardama A. et al. Granulocyte-colony-stimulating factor (filgrastim) may overcome imatinib-induced neutropenia in patients with chronic-phase chronic </w:t>
      </w:r>
      <w:r w:rsidRPr="00062B4F">
        <w:rPr>
          <w:noProof/>
          <w:lang w:val="en-US"/>
        </w:rPr>
        <w:lastRenderedPageBreak/>
        <w:t>myelogenous leukemia // Cancer. 2004. Vol. 100, № 12. P. 2592–2597.</w:t>
      </w:r>
    </w:p>
    <w:p w14:paraId="59D24FF4" w14:textId="018C854D" w:rsidR="00DC464A" w:rsidRPr="00D765A1" w:rsidRDefault="00DC464A" w:rsidP="00DC464A">
      <w:pPr>
        <w:widowControl w:val="0"/>
        <w:autoSpaceDE w:val="0"/>
        <w:autoSpaceDN w:val="0"/>
        <w:adjustRightInd w:val="0"/>
        <w:ind w:left="640" w:hanging="640"/>
        <w:rPr>
          <w:noProof/>
        </w:rPr>
      </w:pPr>
      <w:r w:rsidRPr="00062B4F">
        <w:rPr>
          <w:noProof/>
          <w:lang w:val="en-US"/>
        </w:rPr>
        <w:t>81.</w:t>
      </w:r>
      <w:r w:rsidRPr="00062B4F">
        <w:rPr>
          <w:noProof/>
          <w:lang w:val="en-US"/>
        </w:rPr>
        <w:tab/>
        <w:t xml:space="preserve">Jellinger P.S. et al. </w:t>
      </w:r>
      <w:r w:rsidR="001F45AA" w:rsidRPr="00062B4F">
        <w:rPr>
          <w:noProof/>
          <w:lang w:val="en-US"/>
        </w:rPr>
        <w:t xml:space="preserve">AMERICAN ASSOCIATION OF CLINICAL ENDOCRINOLOGISTS AND AMERICAN COLLEGE OF ENDOCRINOLOGY GUIDELINES FOR MANAGEMENT OF DYSLIPIDEMIA AND PREVENTION OF CARDIOVASCULAR DISEASE </w:t>
      </w:r>
      <w:r w:rsidRPr="00062B4F">
        <w:rPr>
          <w:noProof/>
          <w:lang w:val="en-US"/>
        </w:rPr>
        <w:t xml:space="preserve">// Endocr. </w:t>
      </w:r>
      <w:r w:rsidRPr="00351AF0">
        <w:rPr>
          <w:noProof/>
          <w:lang w:val="en-US"/>
        </w:rPr>
        <w:t>Pract</w:t>
      </w:r>
      <w:r w:rsidRPr="00D765A1">
        <w:rPr>
          <w:noProof/>
        </w:rPr>
        <w:t xml:space="preserve">. 2017. </w:t>
      </w:r>
      <w:r w:rsidRPr="00351AF0">
        <w:rPr>
          <w:noProof/>
          <w:lang w:val="en-US"/>
        </w:rPr>
        <w:t>Vol</w:t>
      </w:r>
      <w:r w:rsidRPr="00D765A1">
        <w:rPr>
          <w:noProof/>
        </w:rPr>
        <w:t>. 23, № 2.</w:t>
      </w:r>
    </w:p>
    <w:p w14:paraId="74521D54" w14:textId="77777777" w:rsidR="00DC464A" w:rsidRPr="00062B4F" w:rsidRDefault="00DC464A" w:rsidP="00DC464A">
      <w:pPr>
        <w:widowControl w:val="0"/>
        <w:autoSpaceDE w:val="0"/>
        <w:autoSpaceDN w:val="0"/>
        <w:adjustRightInd w:val="0"/>
        <w:ind w:left="640" w:hanging="640"/>
        <w:rPr>
          <w:noProof/>
          <w:lang w:val="en-US"/>
        </w:rPr>
      </w:pPr>
      <w:r w:rsidRPr="00D765A1">
        <w:rPr>
          <w:noProof/>
        </w:rPr>
        <w:t>82.</w:t>
      </w:r>
      <w:r w:rsidRPr="00D765A1">
        <w:rPr>
          <w:noProof/>
        </w:rPr>
        <w:tab/>
        <w:t xml:space="preserve">Бойцов С.А. </w:t>
      </w:r>
      <w:r w:rsidRPr="00351AF0">
        <w:rPr>
          <w:noProof/>
          <w:lang w:val="en-US"/>
        </w:rPr>
        <w:t>et</w:t>
      </w:r>
      <w:r w:rsidRPr="00D765A1">
        <w:rPr>
          <w:noProof/>
        </w:rPr>
        <w:t xml:space="preserve"> </w:t>
      </w:r>
      <w:r w:rsidRPr="00351AF0">
        <w:rPr>
          <w:noProof/>
          <w:lang w:val="en-US"/>
        </w:rPr>
        <w:t>al</w:t>
      </w:r>
      <w:r w:rsidRPr="00D765A1">
        <w:rPr>
          <w:noProof/>
        </w:rPr>
        <w:t xml:space="preserve">. Кардиоваскулярная профилактика 2017. </w:t>
      </w:r>
      <w:r w:rsidRPr="00351AF0">
        <w:rPr>
          <w:noProof/>
        </w:rPr>
        <w:t xml:space="preserve">Российские национальные рекомендации // Российский кардиологический журнал. </w:t>
      </w:r>
      <w:r w:rsidRPr="00062B4F">
        <w:rPr>
          <w:noProof/>
          <w:lang w:val="en-US"/>
        </w:rPr>
        <w:t>2018. Vol. 6. P. 1–118.</w:t>
      </w:r>
    </w:p>
    <w:p w14:paraId="0D3C099E"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83.</w:t>
      </w:r>
      <w:r w:rsidRPr="00062B4F">
        <w:rPr>
          <w:noProof/>
          <w:lang w:val="en-US"/>
        </w:rPr>
        <w:tab/>
        <w:t>Lee N.-R. et al. Imatinib mesylate-induced interstitial lung disease in a patient with prior history of Mycobacterium tuberculosis infection // Korean J. Intern. Med. Korean Association of Internal Medicine, 2015. Vol. 30, № 4. P. 550.</w:t>
      </w:r>
    </w:p>
    <w:p w14:paraId="5349ADAA"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84.</w:t>
      </w:r>
      <w:r w:rsidRPr="00062B4F">
        <w:rPr>
          <w:noProof/>
          <w:lang w:val="en-US"/>
        </w:rPr>
        <w:tab/>
        <w:t>Rajda J., Phatak P.D. Reversible drug-induced interstitial pneumonitis following imatinib mesylate therapy // American Journal of Hematology. 2005. Vol. 79, № 1. P. 80–81.</w:t>
      </w:r>
    </w:p>
    <w:p w14:paraId="4C98469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85.</w:t>
      </w:r>
      <w:r w:rsidRPr="00062B4F">
        <w:rPr>
          <w:noProof/>
          <w:lang w:val="en-US"/>
        </w:rPr>
        <w:tab/>
        <w:t>Carlier P. et al. Pregnancy outcome among partners of male patients receiving imatinib, dasatinib or nilotinib in chronic myeloid leukemia: reports collected by the French network pharmacovigilance centers // Archives of gynecology and obstetrics. NLM (Medline), 2017. Vol. 295, № 2. P. 269–271.</w:t>
      </w:r>
    </w:p>
    <w:p w14:paraId="08D92E62"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86.</w:t>
      </w:r>
      <w:r w:rsidRPr="00062B4F">
        <w:rPr>
          <w:noProof/>
          <w:lang w:val="en-US"/>
        </w:rPr>
        <w:tab/>
        <w:t>Cortes J.E. et al. The impact of dasatinib on pregnancy outcomes // Am. J. Hematol. Wiley-Liss Inc., 2015. Vol. 90, № 12. P. 1111–1115.</w:t>
      </w:r>
    </w:p>
    <w:p w14:paraId="0ED50E11"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87.</w:t>
      </w:r>
      <w:r w:rsidRPr="00062B4F">
        <w:rPr>
          <w:noProof/>
          <w:lang w:val="en-US"/>
        </w:rPr>
        <w:tab/>
        <w:t>Abruzzese E. et al. Back to the future: Treatment-free remission and pregnancy in chronic myeloid leukemia // European Journal of Haematology. Blackwell Publishing Ltd, 2019. Vol. 102, № 2. P. 197–199.</w:t>
      </w:r>
    </w:p>
    <w:p w14:paraId="1E8958F3"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88.</w:t>
      </w:r>
      <w:r w:rsidRPr="00062B4F">
        <w:rPr>
          <w:noProof/>
          <w:lang w:val="en-US"/>
        </w:rPr>
        <w:tab/>
        <w:t>Abruzzese E., De Fabritiis P., Trawinska M.M. GIMEMA Registry of conception/pregnancy in adult Italian patients diagnosed with chronic myeloid leukemia (CML): report on 166 outcomes // 60th Congress of the American Society of Hematology. 2018. P. Abstract 43.</w:t>
      </w:r>
    </w:p>
    <w:p w14:paraId="162633A7"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89.</w:t>
      </w:r>
      <w:r w:rsidRPr="00062B4F">
        <w:rPr>
          <w:noProof/>
          <w:lang w:val="en-US"/>
        </w:rPr>
        <w:tab/>
        <w:t>Chelysheva E., Turkina A. Risks and challenges of CML management during pregnancy: Looking for a balanced decision // European Journal of Haematology. Blackwell Publishing Ltd, 2019. Vol. 102, № 4. P. 378–379.</w:t>
      </w:r>
    </w:p>
    <w:p w14:paraId="52984B2F"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90.</w:t>
      </w:r>
      <w:r w:rsidRPr="00062B4F">
        <w:rPr>
          <w:noProof/>
          <w:lang w:val="en-US"/>
        </w:rPr>
        <w:tab/>
        <w:t>Mubarak A.A.S. et al. Normal outcome of pregnancy in chronic myeloid leukemia treated with interferon-</w:t>
      </w:r>
      <w:r w:rsidRPr="00351AF0">
        <w:rPr>
          <w:noProof/>
          <w:lang w:val="en-US"/>
        </w:rPr>
        <w:t>α</w:t>
      </w:r>
      <w:r w:rsidRPr="00062B4F">
        <w:rPr>
          <w:noProof/>
          <w:lang w:val="en-US"/>
        </w:rPr>
        <w:t xml:space="preserve"> in 1st trimester: Report of 3 cases and review of the literature // Am. J. Hematol. Wiley-Liss Inc., 2002. Vol. 69, № 2. P. 115–118.</w:t>
      </w:r>
    </w:p>
    <w:p w14:paraId="378928C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91.</w:t>
      </w:r>
      <w:r w:rsidRPr="00062B4F">
        <w:rPr>
          <w:noProof/>
          <w:lang w:val="en-US"/>
        </w:rPr>
        <w:tab/>
        <w:t>Chelysheva E. et al. Breastfeeding in patients with chronic myeloid leukaemia: Case series with measurements of drug concentrations in maternal milk and literature review // Mediterr. J. Hematol. Infect. Dis. Universita Cattolica del Sacro Cuore, 2018. Vol. 10, № 1.</w:t>
      </w:r>
    </w:p>
    <w:p w14:paraId="23EE7147"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lastRenderedPageBreak/>
        <w:t>92.</w:t>
      </w:r>
      <w:r w:rsidRPr="00062B4F">
        <w:rPr>
          <w:noProof/>
          <w:lang w:val="en-US"/>
        </w:rPr>
        <w:tab/>
        <w:t>Campiotti L. et al. Imatinib discontinuation in chronic myeloid leukaemia patients with undetectable BCR-ABL transcript level: A systematic review and a meta-analysis // European Journal of Cancer. Elsevier Ltd, 2017. Vol. 77. P. 48–56.</w:t>
      </w:r>
    </w:p>
    <w:p w14:paraId="0D7C647F"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93.</w:t>
      </w:r>
      <w:r w:rsidRPr="00062B4F">
        <w:rPr>
          <w:noProof/>
          <w:lang w:val="en-US"/>
        </w:rPr>
        <w:tab/>
        <w:t>Mahon F.X. et al. Discontinuation of imatinib in patients with chronic myeloid leukaemia who have maintained complete molecular remission for at least 2 years: the prospective, multicentre Stop Imatinib (STIM) trial // Lancet Oncol. Lancet Publishing Group, 2010. Vol. 11, № 11. P. 1029–1035.</w:t>
      </w:r>
    </w:p>
    <w:p w14:paraId="78281C5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94.</w:t>
      </w:r>
      <w:r w:rsidRPr="00062B4F">
        <w:rPr>
          <w:noProof/>
          <w:lang w:val="en-US"/>
        </w:rPr>
        <w:tab/>
        <w:t>Saussele S. et al. Discontinuation of tyrosine kinase inhibitor therapy in chronic myeloid leukaemia (EURO-SKI): a prespecified interim analysis of a prospective, multicentre, non-randomised, trial // Lancet Oncol. Lancet Publishing Group, 2018. Vol. 19, № 6. P. 747–757.</w:t>
      </w:r>
    </w:p>
    <w:p w14:paraId="35D475B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95.</w:t>
      </w:r>
      <w:r w:rsidRPr="00062B4F">
        <w:rPr>
          <w:noProof/>
          <w:lang w:val="en-US"/>
        </w:rPr>
        <w:tab/>
        <w:t>Rea D. et al. Discontinuation of dasatinib or nilotinib in chronic myeloid leukemia: Interim analysis of the STOP 2G-TKI study // Blood. American Society of Hematology, 2017. Vol. 129, № 7. P. 846–854.</w:t>
      </w:r>
    </w:p>
    <w:p w14:paraId="32B5098F"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96.</w:t>
      </w:r>
      <w:r w:rsidRPr="00062B4F">
        <w:rPr>
          <w:noProof/>
          <w:lang w:val="en-US"/>
        </w:rPr>
        <w:tab/>
        <w:t>Hochhaus A. et al. Treatment-free remission following frontline nilotinib in patients with chronic myeloid leukemia in chronic phase: Results from the ENESTfreedom study // Leukemia. Nature Publishing Group, 2017. Vol. 31, № 7. P. 1525–1531.</w:t>
      </w:r>
    </w:p>
    <w:p w14:paraId="663C7423"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97.</w:t>
      </w:r>
      <w:r w:rsidRPr="00062B4F">
        <w:rPr>
          <w:noProof/>
          <w:lang w:val="en-US"/>
        </w:rPr>
        <w:tab/>
        <w:t>Mahon F.X. Treatment-free remission in CML: Who, how, and why? // Hematology. American Society of Hematology, 2017. Vol. 2017, № 1. P. 102–109.</w:t>
      </w:r>
    </w:p>
    <w:p w14:paraId="38403D9B"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98.</w:t>
      </w:r>
      <w:r w:rsidRPr="00062B4F">
        <w:rPr>
          <w:noProof/>
          <w:lang w:val="en-US"/>
        </w:rPr>
        <w:tab/>
        <w:t>Oken M.M. et al. Toxicity and response criteria of the Eastern Cooperative Oncology Group // Am. J. Clin. Oncol. 1982. Vol. 5, № 6. P. 649–655.</w:t>
      </w:r>
    </w:p>
    <w:p w14:paraId="13882373" w14:textId="77777777" w:rsidR="00DC464A" w:rsidRDefault="00DC464A" w:rsidP="00DC464A">
      <w:pPr>
        <w:widowControl w:val="0"/>
        <w:autoSpaceDE w:val="0"/>
        <w:autoSpaceDN w:val="0"/>
        <w:adjustRightInd w:val="0"/>
        <w:ind w:left="640" w:hanging="640"/>
        <w:rPr>
          <w:noProof/>
          <w:lang w:val="en-US"/>
        </w:rPr>
      </w:pPr>
      <w:r w:rsidRPr="00062B4F">
        <w:rPr>
          <w:noProof/>
          <w:lang w:val="en-US"/>
        </w:rPr>
        <w:t>99.</w:t>
      </w:r>
      <w:r w:rsidRPr="00062B4F">
        <w:rPr>
          <w:noProof/>
          <w:lang w:val="en-US"/>
        </w:rPr>
        <w:tab/>
        <w:t>Karnofsky D.A., Burchenal J.H. The clinical evaluation of chemotherapeutic agents in cancer. // Evaluation of chemotherapeutic agents. / ed. MacLeod C. New York: Columbia University Press, 1949. P. 191–205.</w:t>
      </w:r>
    </w:p>
    <w:p w14:paraId="75F4D022" w14:textId="765AF3E7" w:rsidR="001F45AA" w:rsidRPr="00351AF0" w:rsidRDefault="00136EFA" w:rsidP="00351AF0">
      <w:pPr>
        <w:spacing w:line="240" w:lineRule="auto"/>
        <w:ind w:left="709" w:hanging="709"/>
        <w:jc w:val="left"/>
        <w:rPr>
          <w:noProof/>
          <w:lang w:val="en-US"/>
        </w:rPr>
      </w:pPr>
      <w:r w:rsidRPr="00351AF0">
        <w:rPr>
          <w:noProof/>
          <w:lang w:val="en-US"/>
        </w:rPr>
        <w:t>100.</w:t>
      </w:r>
      <w:r w:rsidR="00034944">
        <w:rPr>
          <w:noProof/>
          <w:lang w:val="en-US"/>
        </w:rPr>
        <w:tab/>
      </w:r>
      <w:r w:rsidR="00A6606C" w:rsidRPr="00351AF0">
        <w:rPr>
          <w:noProof/>
          <w:lang w:val="en-US"/>
        </w:rPr>
        <w:t xml:space="preserve">Jorge E. Cortes  </w:t>
      </w:r>
      <w:r w:rsidR="00A6606C" w:rsidRPr="00062B4F">
        <w:rPr>
          <w:noProof/>
          <w:lang w:val="en-US"/>
        </w:rPr>
        <w:t>et al</w:t>
      </w:r>
      <w:r w:rsidR="00A6606C" w:rsidRPr="00351AF0">
        <w:rPr>
          <w:noProof/>
          <w:lang w:val="en-US"/>
        </w:rPr>
        <w:t xml:space="preserve">  Bosutinib vs imatinib for newly diagnosed chronic myeloid leukemia in the BFORE trial: 24-month follow-up.Journal of Clinical Oncology 2018 36:15_suppl, 7002-7002</w:t>
      </w:r>
      <w:r w:rsidR="00D611E6" w:rsidRPr="00351AF0">
        <w:rPr>
          <w:noProof/>
          <w:lang w:val="en-US"/>
        </w:rPr>
        <w:fldChar w:fldCharType="end"/>
      </w:r>
    </w:p>
    <w:p w14:paraId="68C4B8D5" w14:textId="4BE1949F" w:rsidR="00D611E6" w:rsidRPr="00351AF0" w:rsidRDefault="00153288" w:rsidP="00351AF0">
      <w:pPr>
        <w:ind w:left="709" w:hanging="709"/>
        <w:jc w:val="left"/>
        <w:rPr>
          <w:noProof/>
          <w:lang w:val="en-US"/>
        </w:rPr>
      </w:pPr>
      <w:r w:rsidRPr="00351AF0">
        <w:rPr>
          <w:noProof/>
          <w:lang w:val="en-US"/>
        </w:rPr>
        <w:t>101</w:t>
      </w:r>
      <w:r w:rsidR="00034944" w:rsidRPr="00351AF0">
        <w:rPr>
          <w:noProof/>
          <w:lang w:val="en-US"/>
        </w:rPr>
        <w:t>.</w:t>
      </w:r>
      <w:r w:rsidR="00034944">
        <w:rPr>
          <w:noProof/>
          <w:lang w:val="en-US"/>
        </w:rPr>
        <w:tab/>
      </w:r>
      <w:r w:rsidRPr="00351AF0">
        <w:rPr>
          <w:noProof/>
          <w:lang w:val="en-US"/>
        </w:rPr>
        <w:t>Hochhaus A. et al. European LeukemiaNet 2020 recommendations for treating chronic myeloid leukemia //Leukemia. – 2020. – Т. 34. – №. 4. – С. 966-984.</w:t>
      </w:r>
    </w:p>
    <w:p w14:paraId="13DC411F" w14:textId="5B53B6DA" w:rsidR="00876678" w:rsidRDefault="001F45AA" w:rsidP="00876678">
      <w:pPr>
        <w:ind w:left="709" w:hanging="709"/>
        <w:jc w:val="left"/>
        <w:rPr>
          <w:noProof/>
          <w:lang w:val="en-US"/>
        </w:rPr>
      </w:pPr>
      <w:r w:rsidRPr="00351AF0">
        <w:rPr>
          <w:noProof/>
          <w:lang w:val="en-US"/>
        </w:rPr>
        <w:t>102.</w:t>
      </w:r>
      <w:r w:rsidRPr="00351AF0">
        <w:rPr>
          <w:noProof/>
          <w:lang w:val="en-US"/>
        </w:rPr>
        <w:tab/>
      </w:r>
      <w:r w:rsidR="00284EB2" w:rsidRPr="00351AF0">
        <w:rPr>
          <w:noProof/>
          <w:lang w:val="en-US"/>
        </w:rPr>
        <w:t>Abruzzese E. et al. Tyrosine kinase inhibitors and pregnancy in chronic myeloid leukemia: opinion, evidence, and recommendations //Therapeutic Advances in Hematology. – 2020. – Т. 11. – С. 2040620720966120.</w:t>
      </w:r>
    </w:p>
    <w:p w14:paraId="2421507C" w14:textId="76055F8B" w:rsidR="00876678" w:rsidRDefault="00876678" w:rsidP="00876678">
      <w:pPr>
        <w:ind w:left="709" w:hanging="709"/>
        <w:jc w:val="left"/>
        <w:rPr>
          <w:noProof/>
          <w:lang w:val="en-US"/>
        </w:rPr>
      </w:pPr>
      <w:r w:rsidRPr="00351AF0">
        <w:rPr>
          <w:noProof/>
          <w:lang w:val="en-US"/>
        </w:rPr>
        <w:t>10</w:t>
      </w:r>
      <w:r>
        <w:rPr>
          <w:noProof/>
          <w:lang w:val="en-US"/>
        </w:rPr>
        <w:t>3</w:t>
      </w:r>
      <w:r w:rsidR="00DE6752">
        <w:rPr>
          <w:noProof/>
          <w:lang w:val="en-US"/>
        </w:rPr>
        <w:t>.</w:t>
      </w:r>
      <w:r w:rsidR="00DE6752">
        <w:rPr>
          <w:noProof/>
          <w:lang w:val="en-US"/>
        </w:rPr>
        <w:tab/>
      </w:r>
      <w:proofErr w:type="spellStart"/>
      <w:r w:rsidR="00DE6752" w:rsidRPr="00DE6752">
        <w:rPr>
          <w:lang w:val="en-US"/>
        </w:rPr>
        <w:t>Bruford</w:t>
      </w:r>
      <w:proofErr w:type="spellEnd"/>
      <w:r w:rsidR="00DE6752" w:rsidRPr="00DE6752">
        <w:rPr>
          <w:lang w:val="en-US"/>
        </w:rPr>
        <w:t xml:space="preserve"> E. A. et al. HUGO Gene Nomenclature Committee (HGNC) recommendations for the designation of gene fusions //Leukemia. – 2021. – </w:t>
      </w:r>
      <w:r w:rsidR="00DE6752">
        <w:t>Т</w:t>
      </w:r>
      <w:r w:rsidR="00DE6752" w:rsidRPr="00DE6752">
        <w:rPr>
          <w:lang w:val="en-US"/>
        </w:rPr>
        <w:t xml:space="preserve">. 35. – №. </w:t>
      </w:r>
      <w:r w:rsidR="00DE6752" w:rsidRPr="00F700E9">
        <w:rPr>
          <w:lang w:val="en-US"/>
        </w:rPr>
        <w:t xml:space="preserve">11. – </w:t>
      </w:r>
      <w:r w:rsidR="00DE6752">
        <w:t>С</w:t>
      </w:r>
      <w:r w:rsidR="00DE6752" w:rsidRPr="00F700E9">
        <w:rPr>
          <w:lang w:val="en-US"/>
        </w:rPr>
        <w:t>. 3040-3043.</w:t>
      </w:r>
    </w:p>
    <w:p w14:paraId="06EABA27" w14:textId="105BC96C" w:rsidR="00876678" w:rsidRDefault="00F700E9" w:rsidP="00F700E9">
      <w:pPr>
        <w:ind w:left="709" w:hanging="709"/>
        <w:jc w:val="left"/>
        <w:rPr>
          <w:noProof/>
          <w:lang w:val="en-US"/>
        </w:rPr>
      </w:pPr>
      <w:r w:rsidRPr="00351AF0">
        <w:rPr>
          <w:noProof/>
          <w:lang w:val="en-US"/>
        </w:rPr>
        <w:lastRenderedPageBreak/>
        <w:t>10</w:t>
      </w:r>
      <w:r>
        <w:rPr>
          <w:noProof/>
          <w:lang w:val="en-US"/>
        </w:rPr>
        <w:t>4.</w:t>
      </w:r>
      <w:r>
        <w:rPr>
          <w:noProof/>
          <w:lang w:val="en-US"/>
        </w:rPr>
        <w:tab/>
      </w:r>
      <w:r w:rsidRPr="00F700E9">
        <w:rPr>
          <w:noProof/>
          <w:lang w:val="en-US"/>
        </w:rPr>
        <w:t>Wang W. et al. Risk stratification of chromosomal abnormalities in chronic myelogenous leukemia in the era of tyrosine kinase inhibitor therapy //Blood, The Journal of the American Society of Hematology. – 2016. – Т. 127. – №. 22. – С. 2742-2750.</w:t>
      </w:r>
    </w:p>
    <w:p w14:paraId="3B8869D1" w14:textId="3FD4E07E" w:rsidR="00092C76" w:rsidRPr="00DF3C70" w:rsidRDefault="00092C76" w:rsidP="00F700E9">
      <w:pPr>
        <w:ind w:left="709" w:hanging="709"/>
        <w:jc w:val="left"/>
        <w:rPr>
          <w:lang w:val="en-US"/>
        </w:rPr>
      </w:pPr>
      <w:r w:rsidRPr="00351AF0">
        <w:rPr>
          <w:noProof/>
          <w:lang w:val="en-US"/>
        </w:rPr>
        <w:t>10</w:t>
      </w:r>
      <w:r>
        <w:rPr>
          <w:noProof/>
          <w:lang w:val="en-US"/>
        </w:rPr>
        <w:t>5.</w:t>
      </w:r>
      <w:r>
        <w:rPr>
          <w:noProof/>
          <w:lang w:val="en-US"/>
        </w:rPr>
        <w:tab/>
      </w:r>
      <w:r w:rsidRPr="00092C76">
        <w:rPr>
          <w:lang w:val="en-US"/>
        </w:rPr>
        <w:t xml:space="preserve">Rack K. A. et al. European recommendations and quality assurance for </w:t>
      </w:r>
      <w:proofErr w:type="spellStart"/>
      <w:r w:rsidRPr="00092C76">
        <w:rPr>
          <w:lang w:val="en-US"/>
        </w:rPr>
        <w:t>cytogenomic</w:t>
      </w:r>
      <w:proofErr w:type="spellEnd"/>
      <w:r w:rsidRPr="00092C76">
        <w:rPr>
          <w:lang w:val="en-US"/>
        </w:rPr>
        <w:t xml:space="preserve"> analysis of </w:t>
      </w:r>
      <w:proofErr w:type="spellStart"/>
      <w:r w:rsidRPr="00092C76">
        <w:rPr>
          <w:lang w:val="en-US"/>
        </w:rPr>
        <w:t>haematological</w:t>
      </w:r>
      <w:proofErr w:type="spellEnd"/>
      <w:r w:rsidRPr="00092C76">
        <w:rPr>
          <w:lang w:val="en-US"/>
        </w:rPr>
        <w:t xml:space="preserve"> neoplasms //Leukemia. – 2019. – </w:t>
      </w:r>
      <w:r>
        <w:t>Т</w:t>
      </w:r>
      <w:r w:rsidRPr="00092C76">
        <w:rPr>
          <w:lang w:val="en-US"/>
        </w:rPr>
        <w:t xml:space="preserve">. 33. – №. </w:t>
      </w:r>
      <w:r w:rsidRPr="00DF3C70">
        <w:rPr>
          <w:lang w:val="en-US"/>
        </w:rPr>
        <w:t xml:space="preserve">8. – </w:t>
      </w:r>
      <w:r>
        <w:t>С</w:t>
      </w:r>
      <w:r w:rsidRPr="00DF3C70">
        <w:rPr>
          <w:lang w:val="en-US"/>
        </w:rPr>
        <w:t>. 1851-1867.</w:t>
      </w:r>
    </w:p>
    <w:p w14:paraId="5178121A" w14:textId="6F1491C2" w:rsidR="0073710A" w:rsidRDefault="0073710A" w:rsidP="00F700E9">
      <w:pPr>
        <w:ind w:left="709" w:hanging="709"/>
        <w:jc w:val="left"/>
        <w:rPr>
          <w:lang w:val="en-US"/>
        </w:rPr>
      </w:pPr>
      <w:r w:rsidRPr="00351AF0">
        <w:rPr>
          <w:noProof/>
          <w:lang w:val="en-US"/>
        </w:rPr>
        <w:t>10</w:t>
      </w:r>
      <w:r>
        <w:rPr>
          <w:noProof/>
          <w:lang w:val="en-US"/>
        </w:rPr>
        <w:t>6.</w:t>
      </w:r>
      <w:r>
        <w:rPr>
          <w:noProof/>
          <w:lang w:val="en-US"/>
        </w:rPr>
        <w:tab/>
      </w:r>
      <w:proofErr w:type="spellStart"/>
      <w:r w:rsidRPr="0073710A">
        <w:rPr>
          <w:lang w:val="en-US"/>
        </w:rPr>
        <w:t>Brümmendorf</w:t>
      </w:r>
      <w:proofErr w:type="spellEnd"/>
      <w:r w:rsidRPr="0073710A">
        <w:rPr>
          <w:lang w:val="en-US"/>
        </w:rPr>
        <w:t xml:space="preserve"> T. H. et al. </w:t>
      </w:r>
      <w:proofErr w:type="spellStart"/>
      <w:r w:rsidRPr="0073710A">
        <w:rPr>
          <w:lang w:val="en-US"/>
        </w:rPr>
        <w:t>Bosutinib</w:t>
      </w:r>
      <w:proofErr w:type="spellEnd"/>
      <w:r w:rsidRPr="0073710A">
        <w:rPr>
          <w:lang w:val="en-US"/>
        </w:rPr>
        <w:t xml:space="preserve"> (BOS) versus </w:t>
      </w:r>
      <w:proofErr w:type="spellStart"/>
      <w:r w:rsidRPr="0073710A">
        <w:rPr>
          <w:lang w:val="en-US"/>
        </w:rPr>
        <w:t>imatinib</w:t>
      </w:r>
      <w:proofErr w:type="spellEnd"/>
      <w:r w:rsidRPr="0073710A">
        <w:rPr>
          <w:lang w:val="en-US"/>
        </w:rPr>
        <w:t xml:space="preserve"> for newly diagnosed chronic phase (CP) chronic myeloid leukemia (CML): final 5-year results from the </w:t>
      </w:r>
      <w:proofErr w:type="spellStart"/>
      <w:r w:rsidRPr="0073710A">
        <w:rPr>
          <w:lang w:val="en-US"/>
        </w:rPr>
        <w:t>bfore</w:t>
      </w:r>
      <w:proofErr w:type="spellEnd"/>
      <w:r w:rsidRPr="0073710A">
        <w:rPr>
          <w:lang w:val="en-US"/>
        </w:rPr>
        <w:t xml:space="preserve"> trial //Blood. – 2020. – </w:t>
      </w:r>
      <w:r>
        <w:t>Т</w:t>
      </w:r>
      <w:r w:rsidRPr="0073710A">
        <w:rPr>
          <w:lang w:val="en-US"/>
        </w:rPr>
        <w:t xml:space="preserve">. 136. – </w:t>
      </w:r>
      <w:proofErr w:type="gramStart"/>
      <w:r>
        <w:t>С</w:t>
      </w:r>
      <w:r w:rsidRPr="0073710A">
        <w:rPr>
          <w:lang w:val="en-US"/>
        </w:rPr>
        <w:t>. 41</w:t>
      </w:r>
      <w:proofErr w:type="gramEnd"/>
      <w:r w:rsidRPr="0073710A">
        <w:rPr>
          <w:lang w:val="en-US"/>
        </w:rPr>
        <w:t>-42</w:t>
      </w:r>
    </w:p>
    <w:p w14:paraId="7EBA3B3B" w14:textId="245F0294" w:rsidR="004B5CF0" w:rsidRPr="00DF3C70" w:rsidRDefault="00664CD3" w:rsidP="00F700E9">
      <w:pPr>
        <w:ind w:left="709" w:hanging="709"/>
        <w:jc w:val="left"/>
        <w:rPr>
          <w:lang w:val="en-US"/>
        </w:rPr>
      </w:pPr>
      <w:r w:rsidRPr="00351AF0">
        <w:rPr>
          <w:noProof/>
          <w:lang w:val="en-US"/>
        </w:rPr>
        <w:t>10</w:t>
      </w:r>
      <w:r>
        <w:rPr>
          <w:noProof/>
          <w:lang w:val="en-US"/>
        </w:rPr>
        <w:t>7.</w:t>
      </w:r>
      <w:r>
        <w:rPr>
          <w:noProof/>
          <w:lang w:val="en-US"/>
        </w:rPr>
        <w:tab/>
      </w:r>
      <w:r w:rsidR="004B5CF0" w:rsidRPr="004B5CF0">
        <w:rPr>
          <w:lang w:val="en-US"/>
        </w:rPr>
        <w:t xml:space="preserve">Cortes J. E. et al. </w:t>
      </w:r>
      <w:proofErr w:type="spellStart"/>
      <w:r w:rsidR="004B5CF0" w:rsidRPr="004B5CF0">
        <w:rPr>
          <w:lang w:val="en-US"/>
        </w:rPr>
        <w:t>Ponatinib</w:t>
      </w:r>
      <w:proofErr w:type="spellEnd"/>
      <w:r w:rsidR="004B5CF0" w:rsidRPr="004B5CF0">
        <w:rPr>
          <w:lang w:val="en-US"/>
        </w:rPr>
        <w:t xml:space="preserve"> efficacy and safety in Philadelphia chromosome–positive leukemia: final 5-year results of the phase 2 PACE trial //Blood, The Journal of the American Society of Hematology. – 2018. – </w:t>
      </w:r>
      <w:r w:rsidR="004B5CF0">
        <w:t>Т</w:t>
      </w:r>
      <w:r w:rsidR="004B5CF0" w:rsidRPr="004B5CF0">
        <w:rPr>
          <w:lang w:val="en-US"/>
        </w:rPr>
        <w:t xml:space="preserve">. 132. – №. </w:t>
      </w:r>
      <w:r w:rsidR="004B5CF0" w:rsidRPr="00DF3C70">
        <w:rPr>
          <w:lang w:val="en-US"/>
        </w:rPr>
        <w:t xml:space="preserve">4. – </w:t>
      </w:r>
      <w:r w:rsidR="004B5CF0">
        <w:t>С</w:t>
      </w:r>
      <w:r w:rsidR="004B5CF0" w:rsidRPr="00DF3C70">
        <w:rPr>
          <w:lang w:val="en-US"/>
        </w:rPr>
        <w:t>. 393-404.</w:t>
      </w:r>
    </w:p>
    <w:p w14:paraId="39C58A8D" w14:textId="122E0090" w:rsidR="002A1F98" w:rsidRPr="00DF3C70" w:rsidRDefault="002A1F98" w:rsidP="002A1F98">
      <w:pPr>
        <w:ind w:left="709" w:hanging="709"/>
        <w:jc w:val="left"/>
        <w:rPr>
          <w:noProof/>
        </w:rPr>
      </w:pPr>
      <w:r w:rsidRPr="00351AF0">
        <w:rPr>
          <w:noProof/>
          <w:lang w:val="en-US"/>
        </w:rPr>
        <w:t>10</w:t>
      </w:r>
      <w:r>
        <w:rPr>
          <w:noProof/>
          <w:lang w:val="en-US"/>
        </w:rPr>
        <w:t>8.</w:t>
      </w:r>
      <w:r>
        <w:rPr>
          <w:noProof/>
          <w:lang w:val="en-US"/>
        </w:rPr>
        <w:tab/>
      </w:r>
      <w:r w:rsidRPr="002A1F98">
        <w:rPr>
          <w:noProof/>
          <w:lang w:val="en-US"/>
        </w:rPr>
        <w:t xml:space="preserve">Cortes J. et al. Ponatinib dose-ranging study in chronic-phase chronic myeloid leukemia: a randomized, open-label phase 2 clinical trial //Blood, The Journal of the American Society of Hematology. – 2021. – Т. 138. – №. </w:t>
      </w:r>
      <w:r w:rsidRPr="00DF3C70">
        <w:rPr>
          <w:noProof/>
        </w:rPr>
        <w:t>21. – С. 2042-2050.</w:t>
      </w:r>
    </w:p>
    <w:p w14:paraId="6BF2ABF3" w14:textId="77777777" w:rsidR="00664CD3" w:rsidRPr="00DF3C70" w:rsidRDefault="00664CD3" w:rsidP="00F700E9">
      <w:pPr>
        <w:ind w:left="709" w:hanging="709"/>
        <w:jc w:val="left"/>
        <w:rPr>
          <w:noProof/>
        </w:rPr>
      </w:pPr>
    </w:p>
    <w:p w14:paraId="5DF3BD36" w14:textId="15AAC959" w:rsidR="000C7098" w:rsidRPr="00062B4F" w:rsidRDefault="000C7098" w:rsidP="009E4A76">
      <w:pPr>
        <w:pageBreakBefore/>
        <w:suppressAutoHyphens/>
        <w:spacing w:before="240" w:after="120"/>
        <w:ind w:firstLine="0"/>
        <w:jc w:val="center"/>
        <w:outlineLvl w:val="0"/>
        <w:rPr>
          <w:b/>
          <w:sz w:val="28"/>
          <w:szCs w:val="28"/>
        </w:rPr>
      </w:pPr>
      <w:bookmarkStart w:id="56" w:name="_Toc86133421"/>
      <w:bookmarkEnd w:id="55"/>
      <w:r w:rsidRPr="00062B4F">
        <w:rPr>
          <w:b/>
          <w:sz w:val="28"/>
          <w:szCs w:val="28"/>
        </w:rPr>
        <w:lastRenderedPageBreak/>
        <w:t>Приложение</w:t>
      </w:r>
      <w:r w:rsidRPr="00351AF0">
        <w:rPr>
          <w:b/>
          <w:sz w:val="28"/>
          <w:szCs w:val="28"/>
        </w:rPr>
        <w:t xml:space="preserve"> </w:t>
      </w:r>
      <w:r w:rsidRPr="00062B4F">
        <w:rPr>
          <w:b/>
          <w:sz w:val="28"/>
          <w:szCs w:val="28"/>
        </w:rPr>
        <w:t>А</w:t>
      </w:r>
      <w:r w:rsidRPr="00351AF0">
        <w:rPr>
          <w:b/>
          <w:sz w:val="28"/>
          <w:szCs w:val="28"/>
        </w:rPr>
        <w:t xml:space="preserve">1. </w:t>
      </w:r>
      <w:r w:rsidRPr="00062B4F">
        <w:rPr>
          <w:b/>
          <w:sz w:val="28"/>
          <w:szCs w:val="28"/>
        </w:rPr>
        <w:t>Состав рабочей группы по разработке и пересмотру клинических рекомендаций</w:t>
      </w:r>
      <w:bookmarkEnd w:id="56"/>
    </w:p>
    <w:p w14:paraId="3434D447" w14:textId="77777777" w:rsidR="000C7098" w:rsidRPr="00062B4F" w:rsidRDefault="000C7098" w:rsidP="00505FD7">
      <w:pPr>
        <w:pStyle w:val="afe"/>
        <w:numPr>
          <w:ilvl w:val="0"/>
          <w:numId w:val="22"/>
        </w:numPr>
        <w:ind w:left="0" w:firstLine="284"/>
        <w:rPr>
          <w:szCs w:val="24"/>
          <w:lang w:eastAsia="ru-RU"/>
        </w:rPr>
      </w:pPr>
      <w:r w:rsidRPr="00062B4F">
        <w:rPr>
          <w:b/>
          <w:szCs w:val="24"/>
          <w:lang w:eastAsia="ru-RU"/>
        </w:rPr>
        <w:t>Аль-Ради Любовь Саттаровна</w:t>
      </w:r>
      <w:r w:rsidRPr="00062B4F">
        <w:rPr>
          <w:szCs w:val="24"/>
          <w:lang w:eastAsia="ru-RU"/>
        </w:rPr>
        <w:t xml:space="preserve">, к.м.н., </w:t>
      </w:r>
      <w:proofErr w:type="spellStart"/>
      <w:r w:rsidRPr="00062B4F">
        <w:rPr>
          <w:szCs w:val="24"/>
          <w:lang w:eastAsia="ru-RU"/>
        </w:rPr>
        <w:t>с.н.с</w:t>
      </w:r>
      <w:proofErr w:type="spellEnd"/>
      <w:r w:rsidRPr="00062B4F">
        <w:rPr>
          <w:szCs w:val="24"/>
          <w:lang w:eastAsia="ru-RU"/>
        </w:rPr>
        <w:t>. научно-</w:t>
      </w:r>
      <w:r w:rsidRPr="00062B4F">
        <w:t xml:space="preserve">консультативного гематологического отделения с дневным стационаром по проведению интенсивной высокодозной химиотерапии ФБГУ «НМИЦ гематологии» Минздрава России, </w:t>
      </w:r>
      <w:r w:rsidRPr="00062B4F">
        <w:rPr>
          <w:szCs w:val="24"/>
          <w:lang w:eastAsia="ru-RU"/>
        </w:rPr>
        <w:t>член Националь</w:t>
      </w:r>
      <w:r w:rsidRPr="00062B4F">
        <w:rPr>
          <w:lang w:eastAsia="ru-RU"/>
        </w:rPr>
        <w:t>ного гематологического общества.</w:t>
      </w:r>
    </w:p>
    <w:p w14:paraId="69C06BFA" w14:textId="77777777" w:rsidR="000C7098" w:rsidRPr="00062B4F" w:rsidRDefault="000C7098" w:rsidP="00505FD7">
      <w:pPr>
        <w:numPr>
          <w:ilvl w:val="0"/>
          <w:numId w:val="22"/>
        </w:numPr>
        <w:ind w:left="0" w:firstLine="284"/>
        <w:rPr>
          <w:szCs w:val="24"/>
          <w:lang w:eastAsia="ru-RU"/>
        </w:rPr>
      </w:pPr>
      <w:r w:rsidRPr="00062B4F">
        <w:rPr>
          <w:b/>
          <w:szCs w:val="24"/>
          <w:lang w:eastAsia="ru-RU"/>
        </w:rPr>
        <w:t>Виноградова Ольга Юрьевна</w:t>
      </w:r>
      <w:r w:rsidRPr="00062B4F">
        <w:rPr>
          <w:szCs w:val="24"/>
          <w:lang w:eastAsia="ru-RU"/>
        </w:rPr>
        <w:t xml:space="preserve">, д.м.н., проф. кафедры гематологии, онкологии и лучевой терапии ГБОУВПО «Российский научно-исследовательский медицинский университет» им. Н.И. Пирогова МЗ России, зав. Московским городским гематологическим центром ГБУЗ ГКБ им. С.П. Боткина, </w:t>
      </w:r>
      <w:proofErr w:type="spellStart"/>
      <w:r w:rsidRPr="00062B4F">
        <w:rPr>
          <w:szCs w:val="24"/>
          <w:lang w:eastAsia="ru-RU"/>
        </w:rPr>
        <w:t>г.н.с</w:t>
      </w:r>
      <w:proofErr w:type="spellEnd"/>
      <w:r w:rsidRPr="00062B4F">
        <w:rPr>
          <w:szCs w:val="24"/>
          <w:lang w:eastAsia="ru-RU"/>
        </w:rPr>
        <w:t>. ФГБУ «Федеральный научно-клинический центр детской гематологии, онкологии и иммунологии им. Д.</w:t>
      </w:r>
      <w:r w:rsidRPr="00062B4F">
        <w:rPr>
          <w:szCs w:val="24"/>
          <w:lang w:val="en-US" w:eastAsia="ru-RU"/>
        </w:rPr>
        <w:t> </w:t>
      </w:r>
      <w:r w:rsidRPr="00062B4F">
        <w:rPr>
          <w:szCs w:val="24"/>
          <w:lang w:eastAsia="ru-RU"/>
        </w:rPr>
        <w:t xml:space="preserve">Рогачева» Минздрава России, член Российского профессионального общества </w:t>
      </w:r>
      <w:proofErr w:type="spellStart"/>
      <w:r w:rsidRPr="00062B4F">
        <w:rPr>
          <w:szCs w:val="24"/>
          <w:lang w:eastAsia="ru-RU"/>
        </w:rPr>
        <w:t>онкогематологов</w:t>
      </w:r>
      <w:proofErr w:type="spellEnd"/>
      <w:r w:rsidRPr="00062B4F">
        <w:rPr>
          <w:szCs w:val="24"/>
          <w:lang w:eastAsia="ru-RU"/>
        </w:rPr>
        <w:t>, Национального гематологического общества (НГО).</w:t>
      </w:r>
    </w:p>
    <w:p w14:paraId="0395C92B" w14:textId="77777777" w:rsidR="000C7098" w:rsidRPr="00062B4F" w:rsidRDefault="000C7098" w:rsidP="00505FD7">
      <w:pPr>
        <w:numPr>
          <w:ilvl w:val="0"/>
          <w:numId w:val="22"/>
        </w:numPr>
        <w:spacing w:line="372" w:lineRule="auto"/>
        <w:ind w:left="0" w:firstLine="284"/>
        <w:rPr>
          <w:spacing w:val="2"/>
          <w:szCs w:val="24"/>
          <w:lang w:eastAsia="ru-RU"/>
        </w:rPr>
      </w:pPr>
      <w:r w:rsidRPr="00062B4F">
        <w:rPr>
          <w:b/>
          <w:spacing w:val="2"/>
          <w:szCs w:val="24"/>
          <w:lang w:eastAsia="ru-RU"/>
        </w:rPr>
        <w:t>Кузьмина Лариса Анатольевна</w:t>
      </w:r>
      <w:r w:rsidRPr="00062B4F">
        <w:rPr>
          <w:spacing w:val="2"/>
          <w:szCs w:val="24"/>
          <w:lang w:eastAsia="ru-RU"/>
        </w:rPr>
        <w:t>, к.м.н., зав. научно-клиническим отделением высокодозной химиотерапии и трансплантации костного мозга ФГБУ «НМИЦ гематологии» Минздрава России, эксперт РАН, член Национального гематологического общества.</w:t>
      </w:r>
    </w:p>
    <w:p w14:paraId="26716806" w14:textId="77777777" w:rsidR="000C7098" w:rsidRPr="00062B4F" w:rsidRDefault="000C7098" w:rsidP="00505FD7">
      <w:pPr>
        <w:numPr>
          <w:ilvl w:val="0"/>
          <w:numId w:val="22"/>
        </w:numPr>
        <w:ind w:left="0" w:firstLine="284"/>
        <w:rPr>
          <w:spacing w:val="-2"/>
          <w:szCs w:val="24"/>
          <w:lang w:eastAsia="ru-RU"/>
        </w:rPr>
      </w:pPr>
      <w:proofErr w:type="spellStart"/>
      <w:r w:rsidRPr="00062B4F">
        <w:rPr>
          <w:b/>
          <w:spacing w:val="-2"/>
          <w:szCs w:val="24"/>
          <w:lang w:eastAsia="ru-RU"/>
        </w:rPr>
        <w:t>Ломаиа</w:t>
      </w:r>
      <w:proofErr w:type="spellEnd"/>
      <w:r w:rsidRPr="00062B4F">
        <w:rPr>
          <w:b/>
          <w:spacing w:val="-2"/>
          <w:szCs w:val="24"/>
          <w:lang w:eastAsia="ru-RU"/>
        </w:rPr>
        <w:t xml:space="preserve"> </w:t>
      </w:r>
      <w:proofErr w:type="spellStart"/>
      <w:r w:rsidRPr="00062B4F">
        <w:rPr>
          <w:b/>
          <w:spacing w:val="-2"/>
          <w:szCs w:val="24"/>
          <w:lang w:eastAsia="ru-RU"/>
        </w:rPr>
        <w:t>Елза</w:t>
      </w:r>
      <w:proofErr w:type="spellEnd"/>
      <w:r w:rsidRPr="00062B4F">
        <w:rPr>
          <w:b/>
          <w:spacing w:val="-2"/>
          <w:szCs w:val="24"/>
          <w:lang w:eastAsia="ru-RU"/>
        </w:rPr>
        <w:t xml:space="preserve"> </w:t>
      </w:r>
      <w:proofErr w:type="spellStart"/>
      <w:r w:rsidRPr="00062B4F">
        <w:rPr>
          <w:b/>
          <w:spacing w:val="-2"/>
          <w:szCs w:val="24"/>
          <w:lang w:eastAsia="ru-RU"/>
        </w:rPr>
        <w:t>Галактионовна</w:t>
      </w:r>
      <w:proofErr w:type="spellEnd"/>
      <w:r w:rsidRPr="00062B4F">
        <w:rPr>
          <w:spacing w:val="-2"/>
          <w:szCs w:val="24"/>
          <w:lang w:eastAsia="ru-RU"/>
        </w:rPr>
        <w:t xml:space="preserve">, к.м.н., </w:t>
      </w:r>
      <w:proofErr w:type="spellStart"/>
      <w:r w:rsidRPr="00062B4F">
        <w:rPr>
          <w:spacing w:val="-2"/>
          <w:szCs w:val="24"/>
          <w:lang w:eastAsia="ru-RU"/>
        </w:rPr>
        <w:t>в.н.с</w:t>
      </w:r>
      <w:proofErr w:type="spellEnd"/>
      <w:r w:rsidRPr="00062B4F">
        <w:rPr>
          <w:spacing w:val="-2"/>
          <w:szCs w:val="24"/>
          <w:lang w:eastAsia="ru-RU"/>
        </w:rPr>
        <w:t xml:space="preserve">. НИЛ </w:t>
      </w:r>
      <w:proofErr w:type="spellStart"/>
      <w:r w:rsidRPr="00062B4F">
        <w:rPr>
          <w:spacing w:val="-2"/>
          <w:szCs w:val="24"/>
          <w:lang w:eastAsia="ru-RU"/>
        </w:rPr>
        <w:t>онкогематологии</w:t>
      </w:r>
      <w:proofErr w:type="spellEnd"/>
      <w:r w:rsidRPr="00062B4F">
        <w:rPr>
          <w:spacing w:val="-2"/>
          <w:szCs w:val="24"/>
          <w:lang w:eastAsia="ru-RU"/>
        </w:rPr>
        <w:t xml:space="preserve"> Института гематологии ФГБУ «СЗФМИЦ им. В.А. </w:t>
      </w:r>
      <w:proofErr w:type="spellStart"/>
      <w:r w:rsidRPr="00062B4F">
        <w:rPr>
          <w:spacing w:val="-2"/>
          <w:szCs w:val="24"/>
          <w:lang w:eastAsia="ru-RU"/>
        </w:rPr>
        <w:t>Алмазова</w:t>
      </w:r>
      <w:proofErr w:type="spellEnd"/>
      <w:r w:rsidRPr="00062B4F">
        <w:rPr>
          <w:spacing w:val="-2"/>
          <w:szCs w:val="24"/>
          <w:lang w:eastAsia="ru-RU"/>
        </w:rPr>
        <w:t>», член Национального гематологического общества (Санкт</w:t>
      </w:r>
      <w:r w:rsidRPr="00062B4F">
        <w:rPr>
          <w:spacing w:val="-2"/>
          <w:szCs w:val="24"/>
          <w:lang w:eastAsia="ru-RU"/>
        </w:rPr>
        <w:noBreakHyphen/>
        <w:t>Петербург, Россия).</w:t>
      </w:r>
    </w:p>
    <w:p w14:paraId="67B0646D" w14:textId="77777777" w:rsidR="000C7098" w:rsidRPr="00062B4F" w:rsidRDefault="000C7098" w:rsidP="00505FD7">
      <w:pPr>
        <w:numPr>
          <w:ilvl w:val="0"/>
          <w:numId w:val="22"/>
        </w:numPr>
        <w:ind w:left="0" w:firstLine="284"/>
        <w:rPr>
          <w:szCs w:val="24"/>
          <w:lang w:eastAsia="ru-RU"/>
        </w:rPr>
      </w:pPr>
      <w:proofErr w:type="spellStart"/>
      <w:r w:rsidRPr="00062B4F">
        <w:rPr>
          <w:b/>
          <w:szCs w:val="24"/>
          <w:lang w:eastAsia="ru-RU"/>
        </w:rPr>
        <w:t>Мартынкевич</w:t>
      </w:r>
      <w:proofErr w:type="spellEnd"/>
      <w:r w:rsidRPr="00062B4F">
        <w:rPr>
          <w:b/>
          <w:szCs w:val="24"/>
          <w:lang w:eastAsia="ru-RU"/>
        </w:rPr>
        <w:t xml:space="preserve"> Ирина Степановна</w:t>
      </w:r>
      <w:r w:rsidRPr="00062B4F">
        <w:rPr>
          <w:szCs w:val="24"/>
          <w:lang w:eastAsia="ru-RU"/>
        </w:rPr>
        <w:t>, д.б.н., руководитель лаборатории молекулярной генетики ФГБУ «Российский научно-исследовательский институт гематологии и трансфузиологии Федерального медико-биологического агентства», член Национального гематологического общества.</w:t>
      </w:r>
    </w:p>
    <w:p w14:paraId="750996EA" w14:textId="5B6FD71D" w:rsidR="000C7098" w:rsidRPr="00B23F3A" w:rsidRDefault="000C7098" w:rsidP="00B23F3A">
      <w:pPr>
        <w:numPr>
          <w:ilvl w:val="0"/>
          <w:numId w:val="22"/>
        </w:numPr>
        <w:ind w:left="0" w:firstLine="284"/>
        <w:rPr>
          <w:szCs w:val="24"/>
          <w:lang w:eastAsia="ru-RU"/>
        </w:rPr>
      </w:pPr>
      <w:r w:rsidRPr="00B23F3A">
        <w:rPr>
          <w:b/>
          <w:szCs w:val="24"/>
          <w:lang w:eastAsia="ru-RU"/>
        </w:rPr>
        <w:t xml:space="preserve">Морозова Елена Владиславовна, </w:t>
      </w:r>
      <w:r w:rsidR="0088726C" w:rsidRPr="00B23F3A">
        <w:rPr>
          <w:szCs w:val="24"/>
          <w:lang w:eastAsia="ru-RU"/>
        </w:rPr>
        <w:t>к.м.н., р</w:t>
      </w:r>
      <w:r w:rsidR="00B23F3A">
        <w:rPr>
          <w:szCs w:val="24"/>
          <w:lang w:eastAsia="ru-RU"/>
        </w:rPr>
        <w:t>уководитель отдела онкологии</w:t>
      </w:r>
      <w:r w:rsidR="0088726C" w:rsidRPr="00B23F3A">
        <w:rPr>
          <w:szCs w:val="24"/>
          <w:lang w:eastAsia="ru-RU"/>
        </w:rPr>
        <w:t>, гематологии и трансплантологии для подростков и</w:t>
      </w:r>
      <w:r w:rsidR="00B23F3A">
        <w:rPr>
          <w:szCs w:val="24"/>
          <w:lang w:eastAsia="ru-RU"/>
        </w:rPr>
        <w:t xml:space="preserve"> взрослых НИИ детской онкологии</w:t>
      </w:r>
      <w:r w:rsidR="0088726C" w:rsidRPr="00B23F3A">
        <w:rPr>
          <w:szCs w:val="24"/>
          <w:lang w:eastAsia="ru-RU"/>
        </w:rPr>
        <w:t xml:space="preserve">, </w:t>
      </w:r>
      <w:r w:rsidR="00B23F3A">
        <w:rPr>
          <w:szCs w:val="24"/>
          <w:lang w:eastAsia="ru-RU"/>
        </w:rPr>
        <w:t>гематологии и трансплантологии</w:t>
      </w:r>
      <w:r w:rsidR="0088726C" w:rsidRPr="00B23F3A">
        <w:rPr>
          <w:szCs w:val="24"/>
          <w:lang w:eastAsia="ru-RU"/>
        </w:rPr>
        <w:t xml:space="preserve"> </w:t>
      </w:r>
      <w:proofErr w:type="spellStart"/>
      <w:r w:rsidR="0088726C" w:rsidRPr="00B23F3A">
        <w:rPr>
          <w:szCs w:val="24"/>
          <w:lang w:eastAsia="ru-RU"/>
        </w:rPr>
        <w:t>им.Р.М.Горбачевой</w:t>
      </w:r>
      <w:proofErr w:type="spellEnd"/>
      <w:r w:rsidR="00B23F3A" w:rsidRPr="00B23F3A">
        <w:rPr>
          <w:szCs w:val="24"/>
          <w:lang w:eastAsia="ru-RU"/>
        </w:rPr>
        <w:t xml:space="preserve">, </w:t>
      </w:r>
      <w:r w:rsidR="00B23F3A">
        <w:rPr>
          <w:szCs w:val="24"/>
          <w:lang w:eastAsia="ru-RU"/>
        </w:rPr>
        <w:t xml:space="preserve">доцент кафедры гематологии, </w:t>
      </w:r>
      <w:r w:rsidR="0088726C" w:rsidRPr="00B23F3A">
        <w:rPr>
          <w:szCs w:val="24"/>
          <w:lang w:eastAsia="ru-RU"/>
        </w:rPr>
        <w:t xml:space="preserve">трансфузиологии и трансплантологии </w:t>
      </w:r>
      <w:proofErr w:type="spellStart"/>
      <w:r w:rsidR="0088726C" w:rsidRPr="00B23F3A">
        <w:rPr>
          <w:szCs w:val="24"/>
          <w:lang w:eastAsia="ru-RU"/>
        </w:rPr>
        <w:t>ПСПбГМУ</w:t>
      </w:r>
      <w:proofErr w:type="spellEnd"/>
      <w:r w:rsidR="0088726C" w:rsidRPr="00B23F3A">
        <w:rPr>
          <w:szCs w:val="24"/>
          <w:lang w:eastAsia="ru-RU"/>
        </w:rPr>
        <w:t xml:space="preserve"> </w:t>
      </w:r>
      <w:proofErr w:type="spellStart"/>
      <w:r w:rsidR="0088726C" w:rsidRPr="00B23F3A">
        <w:rPr>
          <w:szCs w:val="24"/>
          <w:lang w:eastAsia="ru-RU"/>
        </w:rPr>
        <w:t>им.И.П.Павлова</w:t>
      </w:r>
      <w:proofErr w:type="spellEnd"/>
      <w:r w:rsidRPr="00B23F3A">
        <w:rPr>
          <w:szCs w:val="24"/>
          <w:lang w:eastAsia="ru-RU"/>
        </w:rPr>
        <w:t xml:space="preserve">, член </w:t>
      </w:r>
      <w:proofErr w:type="spellStart"/>
      <w:r w:rsidRPr="00B23F3A">
        <w:rPr>
          <w:szCs w:val="24"/>
          <w:lang w:eastAsia="ru-RU"/>
        </w:rPr>
        <w:t>European</w:t>
      </w:r>
      <w:proofErr w:type="spellEnd"/>
      <w:r w:rsidRPr="00B23F3A">
        <w:rPr>
          <w:szCs w:val="24"/>
          <w:lang w:eastAsia="ru-RU"/>
        </w:rPr>
        <w:t xml:space="preserve"> </w:t>
      </w:r>
      <w:proofErr w:type="spellStart"/>
      <w:r w:rsidRPr="00B23F3A">
        <w:rPr>
          <w:szCs w:val="24"/>
          <w:lang w:eastAsia="ru-RU"/>
        </w:rPr>
        <w:t>Leukemia</w:t>
      </w:r>
      <w:proofErr w:type="spellEnd"/>
      <w:r w:rsidRPr="00B23F3A">
        <w:rPr>
          <w:szCs w:val="24"/>
          <w:lang w:eastAsia="ru-RU"/>
        </w:rPr>
        <w:t xml:space="preserve"> </w:t>
      </w:r>
      <w:proofErr w:type="spellStart"/>
      <w:r w:rsidRPr="00B23F3A">
        <w:rPr>
          <w:szCs w:val="24"/>
          <w:lang w:eastAsia="ru-RU"/>
        </w:rPr>
        <w:t>Net</w:t>
      </w:r>
      <w:proofErr w:type="spellEnd"/>
      <w:r w:rsidRPr="00B23F3A">
        <w:rPr>
          <w:szCs w:val="24"/>
          <w:lang w:eastAsia="ru-RU"/>
        </w:rPr>
        <w:t xml:space="preserve"> (ELN) (Санкт</w:t>
      </w:r>
      <w:r w:rsidRPr="00B23F3A">
        <w:rPr>
          <w:szCs w:val="24"/>
          <w:lang w:eastAsia="ru-RU"/>
        </w:rPr>
        <w:noBreakHyphen/>
        <w:t xml:space="preserve">Петербург, Россия). </w:t>
      </w:r>
    </w:p>
    <w:p w14:paraId="72DFF695" w14:textId="145334C6" w:rsidR="007D0158" w:rsidRPr="007D0158" w:rsidRDefault="007D0158" w:rsidP="00505FD7">
      <w:pPr>
        <w:numPr>
          <w:ilvl w:val="0"/>
          <w:numId w:val="22"/>
        </w:numPr>
        <w:ind w:left="0" w:firstLine="284"/>
        <w:rPr>
          <w:szCs w:val="24"/>
          <w:lang w:eastAsia="ru-RU"/>
        </w:rPr>
      </w:pPr>
      <w:r w:rsidRPr="00B23F3A">
        <w:rPr>
          <w:b/>
          <w:szCs w:val="24"/>
          <w:lang w:eastAsia="ru-RU"/>
        </w:rPr>
        <w:t>Обухова Татьяна Никифоровна</w:t>
      </w:r>
      <w:r>
        <w:rPr>
          <w:szCs w:val="24"/>
          <w:lang w:eastAsia="ru-RU"/>
        </w:rPr>
        <w:t xml:space="preserve">, к.м.н., врач – </w:t>
      </w:r>
      <w:r w:rsidRPr="00F4064E">
        <w:rPr>
          <w:szCs w:val="24"/>
          <w:lang w:eastAsia="ru-RU"/>
        </w:rPr>
        <w:t>лабораторный генетик, заведующий лабораторией кариологии ФГБУ «НМИЦ гематологии» Минздрава</w:t>
      </w:r>
      <w:r>
        <w:rPr>
          <w:szCs w:val="24"/>
          <w:lang w:eastAsia="ru-RU"/>
        </w:rPr>
        <w:t xml:space="preserve"> России, член Национального гематологического общества, Российского общества </w:t>
      </w:r>
      <w:proofErr w:type="spellStart"/>
      <w:r>
        <w:rPr>
          <w:szCs w:val="24"/>
          <w:lang w:eastAsia="ru-RU"/>
        </w:rPr>
        <w:t>онкогематологов</w:t>
      </w:r>
      <w:proofErr w:type="spellEnd"/>
      <w:r>
        <w:rPr>
          <w:szCs w:val="24"/>
          <w:lang w:eastAsia="ru-RU"/>
        </w:rPr>
        <w:t xml:space="preserve">, Европейского общества </w:t>
      </w:r>
      <w:proofErr w:type="spellStart"/>
      <w:r>
        <w:rPr>
          <w:szCs w:val="24"/>
          <w:lang w:eastAsia="ru-RU"/>
        </w:rPr>
        <w:t>цитогенетиков</w:t>
      </w:r>
      <w:proofErr w:type="spellEnd"/>
    </w:p>
    <w:p w14:paraId="0069FB8A" w14:textId="1503B6E8" w:rsidR="000C7098" w:rsidRPr="00062B4F" w:rsidRDefault="000C7098" w:rsidP="00505FD7">
      <w:pPr>
        <w:numPr>
          <w:ilvl w:val="0"/>
          <w:numId w:val="22"/>
        </w:numPr>
        <w:ind w:left="0" w:firstLine="284"/>
        <w:rPr>
          <w:szCs w:val="24"/>
          <w:lang w:eastAsia="ru-RU"/>
        </w:rPr>
      </w:pPr>
      <w:r w:rsidRPr="00062B4F">
        <w:rPr>
          <w:b/>
          <w:szCs w:val="24"/>
          <w:lang w:eastAsia="ru-RU"/>
        </w:rPr>
        <w:lastRenderedPageBreak/>
        <w:t>Поспелова Татьяна Ивановна</w:t>
      </w:r>
      <w:r w:rsidRPr="00062B4F">
        <w:rPr>
          <w:szCs w:val="24"/>
          <w:lang w:eastAsia="ru-RU"/>
        </w:rPr>
        <w:t xml:space="preserve">, д.м.н., проф., заслуженный врач России, проректор по научной работе ФГБОУ ВО «Новосибирский государственный медицинский университет» Минздрава России, зав. кафедрой терапии, гематологии и трансфузиологии ФПК и ППВ ФГБОУ ВО НГМУ Минздрава России, руководитель Городского гематологического центра г. Новосибирска, главный гематолог Сибирского Федерального Округа и Новосибирской области, председатель МОО «Ассоциация врачей-гематологов» (Новосибирск, Россия). </w:t>
      </w:r>
    </w:p>
    <w:p w14:paraId="7CE3813F" w14:textId="77777777" w:rsidR="000C7098" w:rsidRPr="00062B4F" w:rsidRDefault="000C7098" w:rsidP="00505FD7">
      <w:pPr>
        <w:numPr>
          <w:ilvl w:val="0"/>
          <w:numId w:val="22"/>
        </w:numPr>
        <w:ind w:left="0" w:firstLine="284"/>
        <w:rPr>
          <w:szCs w:val="24"/>
          <w:lang w:eastAsia="ru-RU"/>
        </w:rPr>
      </w:pPr>
      <w:r w:rsidRPr="00062B4F">
        <w:rPr>
          <w:b/>
          <w:szCs w:val="24"/>
          <w:lang w:eastAsia="ru-RU"/>
        </w:rPr>
        <w:t>Судариков Андрей Борисович</w:t>
      </w:r>
      <w:r w:rsidRPr="00062B4F">
        <w:rPr>
          <w:szCs w:val="24"/>
          <w:lang w:eastAsia="ru-RU"/>
        </w:rPr>
        <w:t>, д.б.н., зав. лабораторией молекулярной онкологии ФГБУ «НМИЦ гематологии» Минздрава России, эксперт РФФИ, РНФ, ФСВОК.</w:t>
      </w:r>
    </w:p>
    <w:p w14:paraId="5C85659F" w14:textId="77777777" w:rsidR="007D0158" w:rsidRDefault="000C7098" w:rsidP="007D0158">
      <w:pPr>
        <w:numPr>
          <w:ilvl w:val="0"/>
          <w:numId w:val="22"/>
        </w:numPr>
        <w:ind w:left="0" w:firstLine="284"/>
        <w:rPr>
          <w:szCs w:val="24"/>
          <w:lang w:eastAsia="ru-RU"/>
        </w:rPr>
      </w:pPr>
      <w:r w:rsidRPr="00062B4F">
        <w:rPr>
          <w:b/>
          <w:szCs w:val="24"/>
          <w:lang w:eastAsia="ru-RU"/>
        </w:rPr>
        <w:t>Туркина Анна Григорьевна</w:t>
      </w:r>
      <w:r w:rsidRPr="00062B4F">
        <w:rPr>
          <w:szCs w:val="24"/>
          <w:lang w:eastAsia="ru-RU"/>
        </w:rPr>
        <w:t xml:space="preserve">, д.м.н., проф., зав. научно-консультативным отделением химиотерапии </w:t>
      </w:r>
      <w:proofErr w:type="spellStart"/>
      <w:r w:rsidRPr="00062B4F">
        <w:rPr>
          <w:szCs w:val="24"/>
          <w:lang w:eastAsia="ru-RU"/>
        </w:rPr>
        <w:t>миелопролиферативных</w:t>
      </w:r>
      <w:proofErr w:type="spellEnd"/>
      <w:r w:rsidRPr="00062B4F">
        <w:rPr>
          <w:szCs w:val="24"/>
          <w:lang w:eastAsia="ru-RU"/>
        </w:rPr>
        <w:t xml:space="preserve"> заболеваний ФБГУ ГНЦ Минздрава РФ, председатель рабочей исследовательской группы по хроническому </w:t>
      </w:r>
      <w:proofErr w:type="spellStart"/>
      <w:r w:rsidRPr="00062B4F">
        <w:rPr>
          <w:szCs w:val="24"/>
          <w:lang w:eastAsia="ru-RU"/>
        </w:rPr>
        <w:t>миелолейкозу</w:t>
      </w:r>
      <w:proofErr w:type="spellEnd"/>
      <w:r w:rsidRPr="00062B4F">
        <w:rPr>
          <w:szCs w:val="24"/>
          <w:lang w:eastAsia="ru-RU"/>
        </w:rPr>
        <w:t xml:space="preserve"> Национального Гематологического Общества (НГО), руководитель Российской группы и член экспертного совета EL</w:t>
      </w:r>
      <w:r w:rsidRPr="00062B4F">
        <w:rPr>
          <w:szCs w:val="24"/>
          <w:lang w:val="en-US" w:eastAsia="ru-RU"/>
        </w:rPr>
        <w:t>N</w:t>
      </w:r>
      <w:r w:rsidRPr="00062B4F">
        <w:rPr>
          <w:szCs w:val="24"/>
          <w:lang w:eastAsia="ru-RU"/>
        </w:rPr>
        <w:t xml:space="preserve">, Европейского гематологического общества по изучению лейкозов, член-представитель России в международном комитете по изучению лейкозов и ассоциированных с ним заболеваний, IACRLRD </w:t>
      </w:r>
      <w:proofErr w:type="spellStart"/>
      <w:r w:rsidRPr="00062B4F">
        <w:rPr>
          <w:szCs w:val="24"/>
          <w:lang w:eastAsia="ru-RU"/>
        </w:rPr>
        <w:t>World</w:t>
      </w:r>
      <w:proofErr w:type="spellEnd"/>
      <w:r w:rsidRPr="00062B4F">
        <w:rPr>
          <w:szCs w:val="24"/>
          <w:lang w:eastAsia="ru-RU"/>
        </w:rPr>
        <w:t xml:space="preserve"> </w:t>
      </w:r>
      <w:proofErr w:type="spellStart"/>
      <w:r w:rsidRPr="00062B4F">
        <w:rPr>
          <w:szCs w:val="24"/>
          <w:lang w:eastAsia="ru-RU"/>
        </w:rPr>
        <w:t>Committee</w:t>
      </w:r>
      <w:proofErr w:type="spellEnd"/>
      <w:r w:rsidRPr="00062B4F">
        <w:rPr>
          <w:szCs w:val="24"/>
          <w:lang w:eastAsia="ru-RU"/>
        </w:rPr>
        <w:t xml:space="preserve">, член Европейской исследовательской группы по изучению хронического </w:t>
      </w:r>
      <w:proofErr w:type="spellStart"/>
      <w:r w:rsidRPr="00062B4F">
        <w:rPr>
          <w:szCs w:val="24"/>
          <w:lang w:eastAsia="ru-RU"/>
        </w:rPr>
        <w:t>миелолейкоза</w:t>
      </w:r>
      <w:proofErr w:type="spellEnd"/>
      <w:r w:rsidRPr="00062B4F">
        <w:rPr>
          <w:szCs w:val="24"/>
          <w:lang w:eastAsia="ru-RU"/>
        </w:rPr>
        <w:t xml:space="preserve"> (EICML), американской ассоциации гематологов ASH (</w:t>
      </w:r>
      <w:proofErr w:type="spellStart"/>
      <w:r w:rsidRPr="00062B4F">
        <w:rPr>
          <w:szCs w:val="24"/>
          <w:lang w:eastAsia="ru-RU"/>
        </w:rPr>
        <w:t>American</w:t>
      </w:r>
      <w:proofErr w:type="spellEnd"/>
      <w:r w:rsidRPr="00062B4F">
        <w:rPr>
          <w:szCs w:val="24"/>
          <w:lang w:eastAsia="ru-RU"/>
        </w:rPr>
        <w:t xml:space="preserve"> </w:t>
      </w:r>
      <w:proofErr w:type="spellStart"/>
      <w:r w:rsidRPr="00062B4F">
        <w:rPr>
          <w:szCs w:val="24"/>
          <w:lang w:eastAsia="ru-RU"/>
        </w:rPr>
        <w:t>society</w:t>
      </w:r>
      <w:proofErr w:type="spellEnd"/>
      <w:r w:rsidRPr="00062B4F">
        <w:rPr>
          <w:szCs w:val="24"/>
          <w:lang w:eastAsia="ru-RU"/>
        </w:rPr>
        <w:t xml:space="preserve"> </w:t>
      </w:r>
      <w:proofErr w:type="spellStart"/>
      <w:r w:rsidRPr="00062B4F">
        <w:rPr>
          <w:szCs w:val="24"/>
          <w:lang w:eastAsia="ru-RU"/>
        </w:rPr>
        <w:t>of</w:t>
      </w:r>
      <w:proofErr w:type="spellEnd"/>
      <w:r w:rsidRPr="00062B4F">
        <w:rPr>
          <w:szCs w:val="24"/>
          <w:lang w:eastAsia="ru-RU"/>
        </w:rPr>
        <w:t xml:space="preserve"> </w:t>
      </w:r>
      <w:proofErr w:type="spellStart"/>
      <w:r w:rsidRPr="00062B4F">
        <w:rPr>
          <w:szCs w:val="24"/>
          <w:lang w:eastAsia="ru-RU"/>
        </w:rPr>
        <w:t>hematology</w:t>
      </w:r>
      <w:proofErr w:type="spellEnd"/>
      <w:r w:rsidRPr="00062B4F">
        <w:rPr>
          <w:szCs w:val="24"/>
          <w:lang w:eastAsia="ru-RU"/>
        </w:rPr>
        <w:t>), Сибирского общества гематологов.</w:t>
      </w:r>
    </w:p>
    <w:p w14:paraId="0845863D" w14:textId="6E384123" w:rsidR="000C7098" w:rsidRPr="007D0158" w:rsidRDefault="000C7098" w:rsidP="007D0158">
      <w:pPr>
        <w:numPr>
          <w:ilvl w:val="0"/>
          <w:numId w:val="22"/>
        </w:numPr>
        <w:ind w:left="0" w:firstLine="284"/>
        <w:rPr>
          <w:szCs w:val="24"/>
          <w:lang w:eastAsia="ru-RU"/>
        </w:rPr>
      </w:pPr>
      <w:proofErr w:type="spellStart"/>
      <w:r w:rsidRPr="007D0158">
        <w:rPr>
          <w:b/>
          <w:szCs w:val="24"/>
          <w:lang w:eastAsia="ru-RU"/>
        </w:rPr>
        <w:t>Цаур</w:t>
      </w:r>
      <w:proofErr w:type="spellEnd"/>
      <w:r w:rsidRPr="007D0158">
        <w:rPr>
          <w:b/>
          <w:szCs w:val="24"/>
          <w:lang w:eastAsia="ru-RU"/>
        </w:rPr>
        <w:t xml:space="preserve"> Григорий Анатольевич</w:t>
      </w:r>
      <w:r w:rsidRPr="007D0158">
        <w:rPr>
          <w:szCs w:val="24"/>
          <w:lang w:eastAsia="ru-RU"/>
        </w:rPr>
        <w:t xml:space="preserve">, д.м.н., зав. лабораторией молекулярной биологии, </w:t>
      </w:r>
      <w:proofErr w:type="spellStart"/>
      <w:r w:rsidRPr="007D0158">
        <w:rPr>
          <w:szCs w:val="24"/>
          <w:lang w:eastAsia="ru-RU"/>
        </w:rPr>
        <w:t>иммунофенотипирования</w:t>
      </w:r>
      <w:proofErr w:type="spellEnd"/>
      <w:r w:rsidRPr="007D0158">
        <w:rPr>
          <w:szCs w:val="24"/>
          <w:lang w:eastAsia="ru-RU"/>
        </w:rPr>
        <w:t xml:space="preserve"> и </w:t>
      </w:r>
      <w:proofErr w:type="spellStart"/>
      <w:r w:rsidRPr="00F4064E">
        <w:rPr>
          <w:szCs w:val="24"/>
          <w:lang w:eastAsia="ru-RU"/>
        </w:rPr>
        <w:t>патоморфологии</w:t>
      </w:r>
      <w:proofErr w:type="spellEnd"/>
      <w:r w:rsidRPr="00F4064E">
        <w:rPr>
          <w:szCs w:val="24"/>
          <w:lang w:eastAsia="ru-RU"/>
        </w:rPr>
        <w:t xml:space="preserve"> Г</w:t>
      </w:r>
      <w:r w:rsidR="009A5834" w:rsidRPr="00F4064E">
        <w:rPr>
          <w:szCs w:val="24"/>
          <w:lang w:eastAsia="ru-RU"/>
        </w:rPr>
        <w:t>А</w:t>
      </w:r>
      <w:r w:rsidRPr="00F4064E">
        <w:rPr>
          <w:szCs w:val="24"/>
          <w:lang w:eastAsia="ru-RU"/>
        </w:rPr>
        <w:t>УЗ СО «Областная детская клиническая больница», г. Екатеринбург, врач клинической лабораторной диагностики ГАУЗ СО «Институт медицинских клеточных технологий», г. Екатеринбург, член Национального общества детских гематологов и онкологов, член ELN</w:t>
      </w:r>
      <w:r w:rsidR="00F4064E" w:rsidRPr="00F4064E">
        <w:rPr>
          <w:szCs w:val="24"/>
          <w:lang w:eastAsia="ru-RU"/>
        </w:rPr>
        <w:t>.</w:t>
      </w:r>
    </w:p>
    <w:p w14:paraId="7B15804F" w14:textId="2B2A23C2" w:rsidR="000C7098" w:rsidRPr="00062B4F" w:rsidRDefault="000C7098" w:rsidP="00505FD7">
      <w:pPr>
        <w:numPr>
          <w:ilvl w:val="0"/>
          <w:numId w:val="22"/>
        </w:numPr>
        <w:ind w:left="0" w:firstLine="284"/>
        <w:rPr>
          <w:szCs w:val="24"/>
          <w:lang w:eastAsia="ru-RU"/>
        </w:rPr>
      </w:pPr>
      <w:proofErr w:type="spellStart"/>
      <w:r w:rsidRPr="00062B4F">
        <w:rPr>
          <w:b/>
          <w:szCs w:val="24"/>
          <w:lang w:eastAsia="ru-RU"/>
        </w:rPr>
        <w:t>Челышева</w:t>
      </w:r>
      <w:proofErr w:type="spellEnd"/>
      <w:r w:rsidRPr="00062B4F">
        <w:rPr>
          <w:b/>
          <w:szCs w:val="24"/>
          <w:lang w:eastAsia="ru-RU"/>
        </w:rPr>
        <w:t xml:space="preserve"> Екатерина Юрьевна</w:t>
      </w:r>
      <w:r w:rsidRPr="00062B4F">
        <w:rPr>
          <w:szCs w:val="24"/>
          <w:lang w:eastAsia="ru-RU"/>
        </w:rPr>
        <w:t xml:space="preserve">, </w:t>
      </w:r>
      <w:r w:rsidR="00FB0A35">
        <w:rPr>
          <w:szCs w:val="24"/>
          <w:lang w:eastAsia="ru-RU"/>
        </w:rPr>
        <w:t>д</w:t>
      </w:r>
      <w:r w:rsidRPr="00062B4F">
        <w:rPr>
          <w:szCs w:val="24"/>
          <w:lang w:eastAsia="ru-RU"/>
        </w:rPr>
        <w:t xml:space="preserve">.м.н., </w:t>
      </w:r>
      <w:proofErr w:type="spellStart"/>
      <w:r w:rsidR="00D24D82">
        <w:rPr>
          <w:szCs w:val="24"/>
          <w:lang w:eastAsia="ru-RU"/>
        </w:rPr>
        <w:t>в</w:t>
      </w:r>
      <w:r w:rsidRPr="00062B4F">
        <w:rPr>
          <w:szCs w:val="24"/>
          <w:lang w:eastAsia="ru-RU"/>
        </w:rPr>
        <w:t>.н.с</w:t>
      </w:r>
      <w:proofErr w:type="spellEnd"/>
      <w:r w:rsidRPr="00062B4F">
        <w:rPr>
          <w:szCs w:val="24"/>
          <w:lang w:eastAsia="ru-RU"/>
        </w:rPr>
        <w:t xml:space="preserve">. научно-консультативного отделения химиотерапии </w:t>
      </w:r>
      <w:proofErr w:type="spellStart"/>
      <w:r w:rsidRPr="00062B4F">
        <w:rPr>
          <w:szCs w:val="24"/>
          <w:lang w:eastAsia="ru-RU"/>
        </w:rPr>
        <w:t>миелопролиферативных</w:t>
      </w:r>
      <w:proofErr w:type="spellEnd"/>
      <w:r w:rsidRPr="00062B4F">
        <w:rPr>
          <w:szCs w:val="24"/>
          <w:lang w:eastAsia="ru-RU"/>
        </w:rPr>
        <w:t xml:space="preserve"> заболеваний ФГБУ «НМИЦ гематологии» Минздрава России, член Национального гематологического общества, ELN.</w:t>
      </w:r>
    </w:p>
    <w:p w14:paraId="02E848D2" w14:textId="0AAAA38B" w:rsidR="000C7098" w:rsidRPr="00062B4F" w:rsidRDefault="000C7098" w:rsidP="00505FD7">
      <w:pPr>
        <w:numPr>
          <w:ilvl w:val="0"/>
          <w:numId w:val="22"/>
        </w:numPr>
        <w:ind w:left="0" w:firstLine="284"/>
        <w:rPr>
          <w:szCs w:val="24"/>
          <w:lang w:eastAsia="ru-RU"/>
        </w:rPr>
      </w:pPr>
      <w:r w:rsidRPr="00062B4F">
        <w:rPr>
          <w:b/>
          <w:szCs w:val="24"/>
          <w:lang w:eastAsia="ru-RU"/>
        </w:rPr>
        <w:t>Шуваев Василий Анатольевич</w:t>
      </w:r>
      <w:r w:rsidRPr="00062B4F">
        <w:rPr>
          <w:szCs w:val="24"/>
          <w:lang w:eastAsia="ru-RU"/>
        </w:rPr>
        <w:t xml:space="preserve">, </w:t>
      </w:r>
      <w:r w:rsidR="00B938A6">
        <w:rPr>
          <w:szCs w:val="24"/>
          <w:lang w:eastAsia="ru-RU"/>
        </w:rPr>
        <w:t>д</w:t>
      </w:r>
      <w:r w:rsidRPr="00062B4F">
        <w:rPr>
          <w:szCs w:val="24"/>
          <w:lang w:eastAsia="ru-RU"/>
        </w:rPr>
        <w:t xml:space="preserve">.м.н., </w:t>
      </w:r>
      <w:r w:rsidR="00D24D82">
        <w:rPr>
          <w:szCs w:val="24"/>
          <w:lang w:eastAsia="ru-RU"/>
        </w:rPr>
        <w:t xml:space="preserve">зав. отделением гематологии ГКБ им. Вересаева, г. Москва, </w:t>
      </w:r>
      <w:proofErr w:type="spellStart"/>
      <w:r w:rsidRPr="00062B4F">
        <w:rPr>
          <w:szCs w:val="24"/>
          <w:lang w:eastAsia="ru-RU"/>
        </w:rPr>
        <w:t>с.н.с</w:t>
      </w:r>
      <w:proofErr w:type="spellEnd"/>
      <w:r w:rsidRPr="00062B4F">
        <w:rPr>
          <w:szCs w:val="24"/>
          <w:lang w:eastAsia="ru-RU"/>
        </w:rPr>
        <w:t>. ФГБУ «Российский научно-исследовательский институт гематологии и трансфузиологии Федерального медико-биологического агентства», член Национального гематологического общества.</w:t>
      </w:r>
    </w:p>
    <w:p w14:paraId="243E45FB" w14:textId="4F50CBB6" w:rsidR="000C7098" w:rsidRPr="00351AF0" w:rsidRDefault="000C7098" w:rsidP="00505FD7">
      <w:pPr>
        <w:numPr>
          <w:ilvl w:val="0"/>
          <w:numId w:val="22"/>
        </w:numPr>
        <w:ind w:left="0" w:firstLine="284"/>
        <w:rPr>
          <w:szCs w:val="24"/>
          <w:lang w:eastAsia="ru-RU"/>
        </w:rPr>
      </w:pPr>
      <w:r w:rsidRPr="00351AF0">
        <w:rPr>
          <w:b/>
          <w:szCs w:val="24"/>
          <w:lang w:eastAsia="ru-RU"/>
        </w:rPr>
        <w:t>Шухов Олег Александрович</w:t>
      </w:r>
      <w:r w:rsidRPr="00351AF0">
        <w:rPr>
          <w:szCs w:val="24"/>
          <w:lang w:eastAsia="ru-RU"/>
        </w:rPr>
        <w:t>, к.м.н.,</w:t>
      </w:r>
      <w:r w:rsidR="00B938A6" w:rsidRPr="00351AF0">
        <w:rPr>
          <w:szCs w:val="24"/>
          <w:lang w:eastAsia="ru-RU"/>
        </w:rPr>
        <w:t xml:space="preserve"> начальник отдела анализа обеспечения лекарственными препаратами и регулирования обращения медицинских изделий</w:t>
      </w:r>
      <w:r w:rsidR="00D24D82">
        <w:rPr>
          <w:szCs w:val="24"/>
          <w:lang w:eastAsia="ru-RU"/>
        </w:rPr>
        <w:t xml:space="preserve"> в субъектах РФ, </w:t>
      </w:r>
      <w:proofErr w:type="spellStart"/>
      <w:r w:rsidR="000D2F44" w:rsidRPr="00351AF0">
        <w:rPr>
          <w:szCs w:val="24"/>
          <w:lang w:eastAsia="ru-RU"/>
        </w:rPr>
        <w:t>ст.</w:t>
      </w:r>
      <w:r w:rsidRPr="00351AF0">
        <w:rPr>
          <w:szCs w:val="24"/>
          <w:lang w:eastAsia="ru-RU"/>
        </w:rPr>
        <w:t>н.с</w:t>
      </w:r>
      <w:proofErr w:type="spellEnd"/>
      <w:r w:rsidRPr="00351AF0">
        <w:rPr>
          <w:szCs w:val="24"/>
          <w:lang w:eastAsia="ru-RU"/>
        </w:rPr>
        <w:t xml:space="preserve">. научно-консультативного отделения химиотерапии </w:t>
      </w:r>
      <w:proofErr w:type="spellStart"/>
      <w:r w:rsidRPr="00351AF0">
        <w:rPr>
          <w:szCs w:val="24"/>
          <w:lang w:eastAsia="ru-RU"/>
        </w:rPr>
        <w:lastRenderedPageBreak/>
        <w:t>миелопролиферативных</w:t>
      </w:r>
      <w:proofErr w:type="spellEnd"/>
      <w:r w:rsidRPr="00351AF0">
        <w:rPr>
          <w:szCs w:val="24"/>
          <w:lang w:eastAsia="ru-RU"/>
        </w:rPr>
        <w:t xml:space="preserve"> заболеваний ФГБУ «НМИЦ гематологии</w:t>
      </w:r>
      <w:proofErr w:type="gramStart"/>
      <w:r w:rsidRPr="00351AF0">
        <w:rPr>
          <w:szCs w:val="24"/>
          <w:lang w:eastAsia="ru-RU"/>
        </w:rPr>
        <w:t>»</w:t>
      </w:r>
      <w:r w:rsidR="00B938A6" w:rsidRPr="00351AF0">
        <w:rPr>
          <w:szCs w:val="24"/>
          <w:lang w:eastAsia="ru-RU"/>
        </w:rPr>
        <w:t xml:space="preserve">, </w:t>
      </w:r>
      <w:r w:rsidRPr="00351AF0">
        <w:rPr>
          <w:szCs w:val="24"/>
          <w:lang w:eastAsia="ru-RU"/>
        </w:rPr>
        <w:t xml:space="preserve"> Минздрава</w:t>
      </w:r>
      <w:proofErr w:type="gramEnd"/>
      <w:r w:rsidRPr="00351AF0">
        <w:rPr>
          <w:szCs w:val="24"/>
          <w:lang w:eastAsia="ru-RU"/>
        </w:rPr>
        <w:t xml:space="preserve"> России, член Национального гематологического общества, член ЕНА, ELN.</w:t>
      </w:r>
    </w:p>
    <w:p w14:paraId="040F6FAD" w14:textId="77777777" w:rsidR="000C7098" w:rsidRPr="00062B4F" w:rsidRDefault="000C7098" w:rsidP="00422C69">
      <w:pPr>
        <w:autoSpaceDE w:val="0"/>
        <w:autoSpaceDN w:val="0"/>
        <w:adjustRightInd w:val="0"/>
        <w:rPr>
          <w:b/>
          <w:color w:val="000000"/>
          <w:szCs w:val="24"/>
        </w:rPr>
      </w:pPr>
    </w:p>
    <w:p w14:paraId="4453FE7A" w14:textId="77777777" w:rsidR="000C7098" w:rsidRPr="00062B4F" w:rsidRDefault="000C7098" w:rsidP="00422C69">
      <w:pPr>
        <w:rPr>
          <w:szCs w:val="24"/>
          <w:lang w:eastAsia="ru-RU"/>
        </w:rPr>
      </w:pPr>
      <w:r w:rsidRPr="00062B4F">
        <w:rPr>
          <w:b/>
          <w:szCs w:val="24"/>
          <w:lang w:eastAsia="ru-RU"/>
        </w:rPr>
        <w:t>Конфликт интересов:</w:t>
      </w:r>
      <w:r w:rsidRPr="00062B4F">
        <w:rPr>
          <w:szCs w:val="24"/>
          <w:lang w:eastAsia="ru-RU"/>
        </w:rPr>
        <w:t xml:space="preserve"> отсутствует у всех членов рабочей группы.</w:t>
      </w:r>
    </w:p>
    <w:p w14:paraId="65566E4D" w14:textId="77777777" w:rsidR="000C7098" w:rsidRPr="00062B4F" w:rsidRDefault="000C7098" w:rsidP="00B4518B">
      <w:pPr>
        <w:pageBreakBefore/>
        <w:suppressAutoHyphens/>
        <w:spacing w:before="240" w:after="120"/>
        <w:ind w:firstLine="0"/>
        <w:jc w:val="center"/>
        <w:outlineLvl w:val="0"/>
        <w:rPr>
          <w:b/>
          <w:sz w:val="28"/>
          <w:szCs w:val="28"/>
        </w:rPr>
      </w:pPr>
      <w:bookmarkStart w:id="57" w:name="_Toc86133422"/>
      <w:r w:rsidRPr="00062B4F">
        <w:rPr>
          <w:b/>
          <w:sz w:val="28"/>
          <w:szCs w:val="28"/>
        </w:rPr>
        <w:lastRenderedPageBreak/>
        <w:t>Приложение А2. Методология разработки клинических рекомендаций</w:t>
      </w:r>
      <w:bookmarkEnd w:id="57"/>
    </w:p>
    <w:p w14:paraId="3FD273F6" w14:textId="77777777" w:rsidR="000C7098" w:rsidRPr="00062B4F" w:rsidRDefault="000C7098" w:rsidP="00422C69">
      <w:pPr>
        <w:rPr>
          <w:b/>
          <w:bCs/>
          <w:szCs w:val="24"/>
          <w:lang w:eastAsia="ru-RU"/>
        </w:rPr>
      </w:pPr>
      <w:r w:rsidRPr="00062B4F">
        <w:rPr>
          <w:b/>
          <w:bCs/>
          <w:szCs w:val="24"/>
          <w:lang w:eastAsia="ru-RU"/>
        </w:rPr>
        <w:t>Целевая аудитория клинических рекомендаций:</w:t>
      </w:r>
      <w:r w:rsidRPr="00062B4F">
        <w:t xml:space="preserve"> </w:t>
      </w:r>
      <w:r w:rsidRPr="00062B4F">
        <w:rPr>
          <w:bCs/>
          <w:szCs w:val="24"/>
          <w:lang w:eastAsia="ru-RU"/>
        </w:rPr>
        <w:t>специалисты, имеющие высшее медицинское образование по следующим специальностям:</w:t>
      </w:r>
    </w:p>
    <w:p w14:paraId="07B7851A" w14:textId="77777777" w:rsidR="000C7098" w:rsidRPr="00062B4F" w:rsidRDefault="000C7098" w:rsidP="00505FD7">
      <w:pPr>
        <w:numPr>
          <w:ilvl w:val="0"/>
          <w:numId w:val="13"/>
        </w:numPr>
        <w:tabs>
          <w:tab w:val="clear" w:pos="720"/>
          <w:tab w:val="num" w:pos="1418"/>
        </w:tabs>
        <w:ind w:left="851" w:firstLine="709"/>
        <w:jc w:val="left"/>
        <w:rPr>
          <w:szCs w:val="24"/>
          <w:lang w:eastAsia="ru-RU"/>
        </w:rPr>
      </w:pPr>
      <w:r w:rsidRPr="00062B4F">
        <w:rPr>
          <w:szCs w:val="24"/>
          <w:lang w:eastAsia="ru-RU"/>
        </w:rPr>
        <w:t>Врачи-гематологи.</w:t>
      </w:r>
    </w:p>
    <w:p w14:paraId="2679FD08" w14:textId="77777777" w:rsidR="000C7098" w:rsidRPr="00062B4F" w:rsidRDefault="000C7098" w:rsidP="00505FD7">
      <w:pPr>
        <w:numPr>
          <w:ilvl w:val="0"/>
          <w:numId w:val="13"/>
        </w:numPr>
        <w:tabs>
          <w:tab w:val="clear" w:pos="720"/>
          <w:tab w:val="num" w:pos="1418"/>
        </w:tabs>
        <w:ind w:left="851" w:firstLine="709"/>
        <w:jc w:val="left"/>
        <w:rPr>
          <w:szCs w:val="24"/>
          <w:lang w:eastAsia="ru-RU"/>
        </w:rPr>
      </w:pPr>
      <w:r w:rsidRPr="00062B4F">
        <w:rPr>
          <w:szCs w:val="24"/>
          <w:lang w:eastAsia="ru-RU"/>
        </w:rPr>
        <w:t>Врачи-онкологи.</w:t>
      </w:r>
    </w:p>
    <w:p w14:paraId="30ECD36E" w14:textId="77777777" w:rsidR="000C7098" w:rsidRPr="00062B4F" w:rsidRDefault="000C7098" w:rsidP="00505FD7">
      <w:pPr>
        <w:numPr>
          <w:ilvl w:val="0"/>
          <w:numId w:val="13"/>
        </w:numPr>
        <w:tabs>
          <w:tab w:val="clear" w:pos="720"/>
          <w:tab w:val="num" w:pos="1418"/>
        </w:tabs>
        <w:ind w:left="851" w:firstLine="709"/>
        <w:jc w:val="left"/>
        <w:rPr>
          <w:szCs w:val="24"/>
          <w:lang w:eastAsia="ru-RU"/>
        </w:rPr>
      </w:pPr>
      <w:r w:rsidRPr="00062B4F">
        <w:rPr>
          <w:szCs w:val="24"/>
          <w:lang w:eastAsia="ru-RU"/>
        </w:rPr>
        <w:t>Врачи-терапевты.</w:t>
      </w:r>
    </w:p>
    <w:p w14:paraId="0877ED4B" w14:textId="77777777" w:rsidR="000C7098" w:rsidRPr="00062B4F" w:rsidRDefault="000C7098" w:rsidP="00505FD7">
      <w:pPr>
        <w:numPr>
          <w:ilvl w:val="0"/>
          <w:numId w:val="13"/>
        </w:numPr>
        <w:tabs>
          <w:tab w:val="clear" w:pos="720"/>
          <w:tab w:val="num" w:pos="1418"/>
        </w:tabs>
        <w:ind w:left="851" w:firstLine="709"/>
        <w:jc w:val="left"/>
        <w:rPr>
          <w:szCs w:val="24"/>
          <w:lang w:eastAsia="ru-RU"/>
        </w:rPr>
      </w:pPr>
      <w:r w:rsidRPr="00062B4F">
        <w:rPr>
          <w:szCs w:val="24"/>
          <w:lang w:eastAsia="ru-RU"/>
        </w:rPr>
        <w:t>Врачи – акушеры-гинекологи.</w:t>
      </w:r>
    </w:p>
    <w:p w14:paraId="7BD710E9" w14:textId="77777777" w:rsidR="000C7098" w:rsidRPr="00062B4F" w:rsidRDefault="000C7098" w:rsidP="00505FD7">
      <w:pPr>
        <w:numPr>
          <w:ilvl w:val="0"/>
          <w:numId w:val="13"/>
        </w:numPr>
        <w:tabs>
          <w:tab w:val="clear" w:pos="720"/>
          <w:tab w:val="num" w:pos="1418"/>
        </w:tabs>
        <w:ind w:left="851" w:firstLine="709"/>
        <w:jc w:val="left"/>
        <w:rPr>
          <w:szCs w:val="24"/>
          <w:lang w:eastAsia="ru-RU"/>
        </w:rPr>
      </w:pPr>
      <w:r w:rsidRPr="00062B4F">
        <w:rPr>
          <w:szCs w:val="24"/>
          <w:lang w:eastAsia="ru-RU"/>
        </w:rPr>
        <w:t>Врачи общей практики.</w:t>
      </w:r>
    </w:p>
    <w:p w14:paraId="04B0C378" w14:textId="77777777" w:rsidR="000C7098" w:rsidRPr="00062B4F" w:rsidRDefault="000C7098" w:rsidP="00505FD7">
      <w:pPr>
        <w:numPr>
          <w:ilvl w:val="0"/>
          <w:numId w:val="13"/>
        </w:numPr>
        <w:tabs>
          <w:tab w:val="clear" w:pos="720"/>
          <w:tab w:val="num" w:pos="1418"/>
        </w:tabs>
        <w:spacing w:line="372" w:lineRule="auto"/>
        <w:ind w:left="851" w:firstLine="709"/>
        <w:jc w:val="left"/>
      </w:pPr>
      <w:r w:rsidRPr="00062B4F">
        <w:t>Врачи – клинические фармакологи.</w:t>
      </w:r>
    </w:p>
    <w:p w14:paraId="0C4779C9" w14:textId="77777777" w:rsidR="000C7098" w:rsidRPr="00062B4F" w:rsidRDefault="000C7098" w:rsidP="00505FD7">
      <w:pPr>
        <w:pStyle w:val="afe"/>
        <w:numPr>
          <w:ilvl w:val="0"/>
          <w:numId w:val="13"/>
        </w:numPr>
        <w:tabs>
          <w:tab w:val="clear" w:pos="720"/>
          <w:tab w:val="num" w:pos="1418"/>
        </w:tabs>
        <w:ind w:left="851" w:firstLine="709"/>
      </w:pPr>
      <w:r w:rsidRPr="00062B4F">
        <w:t>Студенты медицинских вузов, ординаторы и аспиранты.</w:t>
      </w:r>
    </w:p>
    <w:p w14:paraId="2D17C76C" w14:textId="77777777" w:rsidR="000C7098" w:rsidRPr="00062B4F" w:rsidRDefault="000C7098" w:rsidP="00422C69">
      <w:pPr>
        <w:rPr>
          <w:szCs w:val="24"/>
          <w:lang w:eastAsia="ru-RU"/>
        </w:rPr>
      </w:pPr>
      <w:r w:rsidRPr="00062B4F">
        <w:t>В данных клинических рекомендациях все сведения ранжированы по уровню достоверности (доказательности) в зависимости от количества и качества исследований по данной проблеме.</w:t>
      </w:r>
    </w:p>
    <w:p w14:paraId="044A44F1" w14:textId="77777777" w:rsidR="000C7098" w:rsidRPr="00062B4F" w:rsidRDefault="000C7098" w:rsidP="00422C69">
      <w:pPr>
        <w:spacing w:line="372" w:lineRule="auto"/>
        <w:rPr>
          <w:b/>
          <w:color w:val="000000"/>
          <w:szCs w:val="24"/>
        </w:rPr>
      </w:pPr>
      <w:r w:rsidRPr="00062B4F">
        <w:rPr>
          <w:b/>
          <w:color w:val="000000"/>
          <w:szCs w:val="24"/>
        </w:rPr>
        <w:t>Методы, использованные для сбора/селекции доказательств:</w:t>
      </w:r>
    </w:p>
    <w:p w14:paraId="304388B3" w14:textId="77777777" w:rsidR="000C7098" w:rsidRPr="00062B4F" w:rsidRDefault="000C7098" w:rsidP="00422C69">
      <w:pPr>
        <w:spacing w:line="372" w:lineRule="auto"/>
        <w:rPr>
          <w:color w:val="000000"/>
          <w:szCs w:val="24"/>
        </w:rPr>
      </w:pPr>
      <w:r w:rsidRPr="00062B4F">
        <w:rPr>
          <w:color w:val="000000"/>
          <w:szCs w:val="24"/>
        </w:rPr>
        <w:t>- поиск в электронных базах данных;</w:t>
      </w:r>
    </w:p>
    <w:p w14:paraId="29E008E1" w14:textId="77777777" w:rsidR="000C7098" w:rsidRPr="00062B4F" w:rsidRDefault="000C7098" w:rsidP="00422C69">
      <w:pPr>
        <w:spacing w:line="372" w:lineRule="auto"/>
        <w:rPr>
          <w:color w:val="000000"/>
          <w:szCs w:val="24"/>
        </w:rPr>
      </w:pPr>
      <w:r w:rsidRPr="00062B4F">
        <w:rPr>
          <w:color w:val="000000"/>
          <w:szCs w:val="24"/>
        </w:rPr>
        <w:t>- анализ современных научных разработок по проблеме рака пищевода в РФ и за рубежом;</w:t>
      </w:r>
    </w:p>
    <w:p w14:paraId="12C16F04" w14:textId="77777777" w:rsidR="000C7098" w:rsidRPr="00062B4F" w:rsidRDefault="000C7098" w:rsidP="00422C69">
      <w:pPr>
        <w:spacing w:line="372" w:lineRule="auto"/>
        <w:rPr>
          <w:color w:val="000000"/>
          <w:szCs w:val="24"/>
        </w:rPr>
      </w:pPr>
      <w:r w:rsidRPr="00062B4F">
        <w:rPr>
          <w:color w:val="000000"/>
          <w:szCs w:val="24"/>
        </w:rPr>
        <w:t>- обобщение практического опыта российских и зарубежных специалистов.</w:t>
      </w:r>
    </w:p>
    <w:p w14:paraId="21CCA6AD" w14:textId="77777777" w:rsidR="000C7098" w:rsidRPr="00062B4F" w:rsidRDefault="000C7098" w:rsidP="00422C69">
      <w:pPr>
        <w:autoSpaceDE w:val="0"/>
        <w:autoSpaceDN w:val="0"/>
        <w:adjustRightInd w:val="0"/>
        <w:rPr>
          <w:szCs w:val="24"/>
          <w:lang w:eastAsia="ru-RU"/>
        </w:rPr>
      </w:pPr>
      <w:r w:rsidRPr="00062B4F">
        <w:rPr>
          <w:szCs w:val="24"/>
          <w:lang w:eastAsia="ru-RU"/>
        </w:rPr>
        <w:t xml:space="preserve">Для оценки уровня </w:t>
      </w:r>
      <w:r w:rsidRPr="00062B4F">
        <w:rPr>
          <w:bCs/>
          <w:szCs w:val="24"/>
          <w:lang w:eastAsia="ru-RU"/>
        </w:rPr>
        <w:t xml:space="preserve">УУР и </w:t>
      </w:r>
      <w:r w:rsidRPr="00062B4F">
        <w:rPr>
          <w:szCs w:val="24"/>
          <w:lang w:eastAsia="ru-RU"/>
        </w:rPr>
        <w:t xml:space="preserve">УДД по каждому тезису-рекомендации выполнен отдельный систематический обзор доказательств эффективности и/или безопасности медицинского вмешательства, включающий следующие этапы: </w:t>
      </w:r>
    </w:p>
    <w:p w14:paraId="4322F37E" w14:textId="77777777" w:rsidR="000C7098" w:rsidRPr="00062B4F" w:rsidRDefault="000C7098" w:rsidP="00422C69">
      <w:pPr>
        <w:autoSpaceDE w:val="0"/>
        <w:autoSpaceDN w:val="0"/>
        <w:adjustRightInd w:val="0"/>
        <w:rPr>
          <w:szCs w:val="24"/>
          <w:lang w:eastAsia="ru-RU"/>
        </w:rPr>
      </w:pPr>
      <w:r w:rsidRPr="00062B4F">
        <w:rPr>
          <w:szCs w:val="24"/>
          <w:lang w:eastAsia="ru-RU"/>
        </w:rPr>
        <w:t xml:space="preserve">1. Определение критериев поиска и отбора публикаций о клинических исследованиях (КИ) эффективности и/или безопасности медицинского вмешательства, описанного в тезисе-рекомендации. </w:t>
      </w:r>
    </w:p>
    <w:p w14:paraId="2EE40EE7" w14:textId="77777777" w:rsidR="000C7098" w:rsidRPr="00062B4F" w:rsidRDefault="000C7098" w:rsidP="00422C69">
      <w:pPr>
        <w:autoSpaceDE w:val="0"/>
        <w:autoSpaceDN w:val="0"/>
        <w:adjustRightInd w:val="0"/>
        <w:rPr>
          <w:szCs w:val="24"/>
          <w:lang w:eastAsia="ru-RU"/>
        </w:rPr>
      </w:pPr>
      <w:r w:rsidRPr="00062B4F">
        <w:rPr>
          <w:szCs w:val="24"/>
          <w:lang w:eastAsia="ru-RU"/>
        </w:rPr>
        <w:t xml:space="preserve">2. Систематический поиск и отбор публикаций о КИ в соответствии с определенными ранее критериями. </w:t>
      </w:r>
    </w:p>
    <w:p w14:paraId="7E1C7D7E" w14:textId="77777777" w:rsidR="000C7098" w:rsidRPr="00062B4F" w:rsidRDefault="000C7098" w:rsidP="00422C69">
      <w:pPr>
        <w:autoSpaceDE w:val="0"/>
        <w:autoSpaceDN w:val="0"/>
        <w:adjustRightInd w:val="0"/>
        <w:rPr>
          <w:szCs w:val="24"/>
          <w:lang w:eastAsia="ru-RU"/>
        </w:rPr>
      </w:pPr>
      <w:r w:rsidRPr="00062B4F">
        <w:rPr>
          <w:szCs w:val="24"/>
          <w:lang w:eastAsia="ru-RU"/>
        </w:rPr>
        <w:t xml:space="preserve">3. Определение УДД и УУР на основании результатов систематического поиска и отбора публикаций о КИ. </w:t>
      </w:r>
    </w:p>
    <w:p w14:paraId="26075937" w14:textId="77777777" w:rsidR="000C7098" w:rsidRPr="00062B4F" w:rsidRDefault="000C7098" w:rsidP="00422C69">
      <w:pPr>
        <w:autoSpaceDE w:val="0"/>
        <w:autoSpaceDN w:val="0"/>
        <w:adjustRightInd w:val="0"/>
        <w:rPr>
          <w:szCs w:val="24"/>
          <w:lang w:eastAsia="ru-RU"/>
        </w:rPr>
      </w:pPr>
      <w:r w:rsidRPr="00062B4F">
        <w:rPr>
          <w:b/>
          <w:bCs/>
          <w:szCs w:val="24"/>
        </w:rPr>
        <w:t>Методы, использованные для качества и силы доказательств:</w:t>
      </w:r>
    </w:p>
    <w:p w14:paraId="02F65200" w14:textId="77777777" w:rsidR="000C7098" w:rsidRPr="00062B4F" w:rsidRDefault="000C7098" w:rsidP="00505FD7">
      <w:pPr>
        <w:numPr>
          <w:ilvl w:val="0"/>
          <w:numId w:val="14"/>
        </w:numPr>
        <w:ind w:firstLine="273"/>
        <w:jc w:val="left"/>
        <w:rPr>
          <w:szCs w:val="24"/>
          <w:lang w:eastAsia="ru-RU"/>
        </w:rPr>
      </w:pPr>
      <w:r w:rsidRPr="00062B4F">
        <w:rPr>
          <w:szCs w:val="24"/>
          <w:lang w:eastAsia="ru-RU"/>
        </w:rPr>
        <w:t>Консенсус экспертов</w:t>
      </w:r>
    </w:p>
    <w:p w14:paraId="3EB47443" w14:textId="77777777" w:rsidR="000C7098" w:rsidRPr="00062B4F" w:rsidRDefault="000C7098" w:rsidP="00505FD7">
      <w:pPr>
        <w:numPr>
          <w:ilvl w:val="0"/>
          <w:numId w:val="14"/>
        </w:numPr>
        <w:ind w:firstLine="273"/>
        <w:jc w:val="left"/>
        <w:rPr>
          <w:szCs w:val="24"/>
          <w:lang w:eastAsia="ru-RU"/>
        </w:rPr>
      </w:pPr>
      <w:r w:rsidRPr="00062B4F">
        <w:rPr>
          <w:szCs w:val="24"/>
          <w:lang w:eastAsia="ru-RU"/>
        </w:rPr>
        <w:t>Оценка УДД и УУР проводится на основании единых шкал, представленных в (табл. П1–3).</w:t>
      </w:r>
    </w:p>
    <w:p w14:paraId="2BDCF2E7" w14:textId="7CEDFC6E" w:rsidR="000C7098" w:rsidRPr="00062B4F" w:rsidRDefault="000C7098" w:rsidP="00520D6A">
      <w:pPr>
        <w:spacing w:before="240" w:after="120"/>
      </w:pPr>
      <w:bookmarkStart w:id="58" w:name="_Ref515967586"/>
      <w:r w:rsidRPr="00062B4F">
        <w:rPr>
          <w:b/>
        </w:rPr>
        <w:t>Таблица П</w:t>
      </w:r>
      <w:r w:rsidRPr="00062B4F">
        <w:rPr>
          <w:b/>
        </w:rPr>
        <w:fldChar w:fldCharType="begin"/>
      </w:r>
      <w:r w:rsidRPr="00062B4F">
        <w:rPr>
          <w:b/>
        </w:rPr>
        <w:instrText xml:space="preserve"> SEQ Таблица \* ARABIC </w:instrText>
      </w:r>
      <w:r w:rsidRPr="00062B4F">
        <w:rPr>
          <w:b/>
        </w:rPr>
        <w:fldChar w:fldCharType="separate"/>
      </w:r>
      <w:r w:rsidR="00717B3F">
        <w:rPr>
          <w:b/>
          <w:noProof/>
        </w:rPr>
        <w:t>1</w:t>
      </w:r>
      <w:r w:rsidRPr="00062B4F">
        <w:rPr>
          <w:b/>
        </w:rPr>
        <w:fldChar w:fldCharType="end"/>
      </w:r>
      <w:bookmarkEnd w:id="58"/>
      <w:r w:rsidRPr="00062B4F">
        <w:rPr>
          <w:b/>
        </w:rPr>
        <w:t>.</w:t>
      </w:r>
      <w:r w:rsidRPr="00062B4F">
        <w:t xml:space="preserve"> Шкала оценки уровней УДД для методов диагностики (диагностических вмешательств)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
        <w:gridCol w:w="8547"/>
      </w:tblGrid>
      <w:tr w:rsidR="000C7098" w:rsidRPr="00062B4F" w14:paraId="5B945758" w14:textId="77777777">
        <w:trPr>
          <w:trHeight w:val="753"/>
        </w:trPr>
        <w:tc>
          <w:tcPr>
            <w:tcW w:w="427" w:type="pct"/>
          </w:tcPr>
          <w:p w14:paraId="565F5A1D" w14:textId="77777777" w:rsidR="000C7098" w:rsidRPr="00062B4F" w:rsidRDefault="000C7098" w:rsidP="00F812ED">
            <w:pPr>
              <w:spacing w:line="276" w:lineRule="auto"/>
              <w:ind w:firstLine="0"/>
              <w:jc w:val="center"/>
              <w:rPr>
                <w:b/>
                <w:szCs w:val="24"/>
              </w:rPr>
            </w:pPr>
            <w:r w:rsidRPr="00062B4F">
              <w:rPr>
                <w:b/>
                <w:szCs w:val="24"/>
              </w:rPr>
              <w:lastRenderedPageBreak/>
              <w:t>УДД</w:t>
            </w:r>
          </w:p>
        </w:tc>
        <w:tc>
          <w:tcPr>
            <w:tcW w:w="4573" w:type="pct"/>
          </w:tcPr>
          <w:p w14:paraId="2310EE57" w14:textId="77777777" w:rsidR="000C7098" w:rsidRPr="00062B4F" w:rsidRDefault="000C7098" w:rsidP="00F812ED">
            <w:pPr>
              <w:spacing w:line="276" w:lineRule="auto"/>
              <w:ind w:firstLine="0"/>
              <w:jc w:val="center"/>
              <w:rPr>
                <w:b/>
                <w:szCs w:val="24"/>
              </w:rPr>
            </w:pPr>
            <w:r w:rsidRPr="00062B4F">
              <w:rPr>
                <w:b/>
                <w:szCs w:val="24"/>
              </w:rPr>
              <w:t>Расшифровка</w:t>
            </w:r>
          </w:p>
        </w:tc>
      </w:tr>
      <w:tr w:rsidR="000C7098" w:rsidRPr="00062B4F" w14:paraId="3A914526" w14:textId="77777777">
        <w:trPr>
          <w:trHeight w:val="1116"/>
        </w:trPr>
        <w:tc>
          <w:tcPr>
            <w:tcW w:w="427" w:type="pct"/>
          </w:tcPr>
          <w:p w14:paraId="64E7BFB5" w14:textId="77777777" w:rsidR="000C7098" w:rsidRPr="00062B4F" w:rsidRDefault="000C7098" w:rsidP="00F812ED">
            <w:pPr>
              <w:spacing w:line="276" w:lineRule="auto"/>
              <w:ind w:firstLine="0"/>
              <w:jc w:val="center"/>
              <w:rPr>
                <w:szCs w:val="24"/>
              </w:rPr>
            </w:pPr>
            <w:r w:rsidRPr="00062B4F">
              <w:rPr>
                <w:szCs w:val="24"/>
              </w:rPr>
              <w:t>1</w:t>
            </w:r>
          </w:p>
        </w:tc>
        <w:tc>
          <w:tcPr>
            <w:tcW w:w="4573" w:type="pct"/>
          </w:tcPr>
          <w:p w14:paraId="29B25C72" w14:textId="77777777" w:rsidR="000C7098" w:rsidRPr="00062B4F" w:rsidRDefault="000C7098" w:rsidP="00F812ED">
            <w:pPr>
              <w:spacing w:line="276" w:lineRule="auto"/>
              <w:ind w:firstLine="0"/>
              <w:jc w:val="left"/>
              <w:rPr>
                <w:szCs w:val="24"/>
              </w:rPr>
            </w:pPr>
            <w:r w:rsidRPr="00062B4F">
              <w:rPr>
                <w:szCs w:val="24"/>
              </w:rPr>
              <w:t xml:space="preserve">Систематические обзоры исследований с контролем </w:t>
            </w:r>
            <w:proofErr w:type="spellStart"/>
            <w:r w:rsidRPr="00062B4F">
              <w:rPr>
                <w:szCs w:val="24"/>
              </w:rPr>
              <w:t>референсным</w:t>
            </w:r>
            <w:proofErr w:type="spellEnd"/>
            <w:r w:rsidRPr="00062B4F">
              <w:rPr>
                <w:szCs w:val="24"/>
              </w:rPr>
              <w:t xml:space="preserve"> методом</w:t>
            </w:r>
            <w:r w:rsidRPr="00062B4F">
              <w:rPr>
                <w:szCs w:val="24"/>
              </w:rPr>
              <w:br/>
              <w:t xml:space="preserve">или систематический обзор </w:t>
            </w:r>
            <w:proofErr w:type="spellStart"/>
            <w:r w:rsidRPr="00062B4F">
              <w:rPr>
                <w:szCs w:val="24"/>
              </w:rPr>
              <w:t>рандомизированных</w:t>
            </w:r>
            <w:proofErr w:type="spellEnd"/>
            <w:r w:rsidRPr="00062B4F">
              <w:rPr>
                <w:szCs w:val="24"/>
              </w:rPr>
              <w:t xml:space="preserve"> клинических исследований с применением мета-анализа</w:t>
            </w:r>
          </w:p>
        </w:tc>
      </w:tr>
      <w:tr w:rsidR="000C7098" w:rsidRPr="00062B4F" w14:paraId="7FF16033" w14:textId="77777777">
        <w:trPr>
          <w:trHeight w:val="1415"/>
        </w:trPr>
        <w:tc>
          <w:tcPr>
            <w:tcW w:w="427" w:type="pct"/>
          </w:tcPr>
          <w:p w14:paraId="7216A46F" w14:textId="77777777" w:rsidR="000C7098" w:rsidRPr="00062B4F" w:rsidRDefault="000C7098" w:rsidP="00F812ED">
            <w:pPr>
              <w:spacing w:line="276" w:lineRule="auto"/>
              <w:ind w:firstLine="0"/>
              <w:jc w:val="center"/>
              <w:rPr>
                <w:szCs w:val="24"/>
              </w:rPr>
            </w:pPr>
            <w:r w:rsidRPr="00062B4F">
              <w:rPr>
                <w:szCs w:val="24"/>
              </w:rPr>
              <w:t>2</w:t>
            </w:r>
          </w:p>
        </w:tc>
        <w:tc>
          <w:tcPr>
            <w:tcW w:w="4573" w:type="pct"/>
          </w:tcPr>
          <w:p w14:paraId="69AF2A29" w14:textId="77777777" w:rsidR="000C7098" w:rsidRPr="00062B4F" w:rsidRDefault="000C7098" w:rsidP="00F812ED">
            <w:pPr>
              <w:spacing w:line="276" w:lineRule="auto"/>
              <w:ind w:firstLine="0"/>
              <w:jc w:val="left"/>
              <w:rPr>
                <w:szCs w:val="24"/>
              </w:rPr>
            </w:pPr>
            <w:r w:rsidRPr="00062B4F">
              <w:rPr>
                <w:szCs w:val="24"/>
              </w:rPr>
              <w:t xml:space="preserve">Отдельные исследования с контролем </w:t>
            </w:r>
            <w:proofErr w:type="spellStart"/>
            <w:r w:rsidRPr="00062B4F">
              <w:rPr>
                <w:szCs w:val="24"/>
              </w:rPr>
              <w:t>референсным</w:t>
            </w:r>
            <w:proofErr w:type="spellEnd"/>
            <w:r w:rsidRPr="00062B4F">
              <w:rPr>
                <w:szCs w:val="24"/>
              </w:rPr>
              <w:t xml:space="preserve"> методом или отдельные </w:t>
            </w:r>
            <w:proofErr w:type="spellStart"/>
            <w:r w:rsidRPr="00062B4F">
              <w:rPr>
                <w:szCs w:val="24"/>
              </w:rPr>
              <w:t>рандомизированные</w:t>
            </w:r>
            <w:proofErr w:type="spellEnd"/>
            <w:r w:rsidRPr="00062B4F">
              <w:rPr>
                <w:szCs w:val="24"/>
              </w:rPr>
              <w:t xml:space="preserve"> клинические исследования и систематические обзоры исследований любого дизайна, за исключением </w:t>
            </w:r>
            <w:proofErr w:type="spellStart"/>
            <w:r w:rsidRPr="00062B4F">
              <w:rPr>
                <w:szCs w:val="24"/>
              </w:rPr>
              <w:t>рандомизированных</w:t>
            </w:r>
            <w:proofErr w:type="spellEnd"/>
            <w:r w:rsidRPr="00062B4F">
              <w:rPr>
                <w:szCs w:val="24"/>
              </w:rPr>
              <w:t xml:space="preserve"> клинических исследований, с применением мета-анализа</w:t>
            </w:r>
          </w:p>
        </w:tc>
      </w:tr>
      <w:tr w:rsidR="000C7098" w:rsidRPr="00062B4F" w14:paraId="64A3B42C" w14:textId="77777777">
        <w:trPr>
          <w:trHeight w:val="1408"/>
        </w:trPr>
        <w:tc>
          <w:tcPr>
            <w:tcW w:w="427" w:type="pct"/>
          </w:tcPr>
          <w:p w14:paraId="6A0487A6" w14:textId="77777777" w:rsidR="000C7098" w:rsidRPr="00062B4F" w:rsidRDefault="000C7098" w:rsidP="00F812ED">
            <w:pPr>
              <w:spacing w:line="276" w:lineRule="auto"/>
              <w:ind w:firstLine="0"/>
              <w:jc w:val="center"/>
              <w:rPr>
                <w:szCs w:val="24"/>
              </w:rPr>
            </w:pPr>
            <w:r w:rsidRPr="00062B4F">
              <w:rPr>
                <w:szCs w:val="24"/>
              </w:rPr>
              <w:t>3</w:t>
            </w:r>
          </w:p>
        </w:tc>
        <w:tc>
          <w:tcPr>
            <w:tcW w:w="4573" w:type="pct"/>
          </w:tcPr>
          <w:p w14:paraId="4AD4E6B6" w14:textId="77777777" w:rsidR="000C7098" w:rsidRPr="00062B4F" w:rsidRDefault="000C7098" w:rsidP="00F812ED">
            <w:pPr>
              <w:spacing w:line="276" w:lineRule="auto"/>
              <w:ind w:firstLine="0"/>
              <w:jc w:val="left"/>
              <w:rPr>
                <w:szCs w:val="24"/>
              </w:rPr>
            </w:pPr>
            <w:r w:rsidRPr="00062B4F">
              <w:rPr>
                <w:szCs w:val="24"/>
              </w:rPr>
              <w:t xml:space="preserve">Исследования без последовательного контроля </w:t>
            </w:r>
            <w:proofErr w:type="spellStart"/>
            <w:r w:rsidRPr="00062B4F">
              <w:rPr>
                <w:szCs w:val="24"/>
              </w:rPr>
              <w:t>референсным</w:t>
            </w:r>
            <w:proofErr w:type="spellEnd"/>
            <w:r w:rsidRPr="00062B4F">
              <w:rPr>
                <w:szCs w:val="24"/>
              </w:rPr>
              <w:t xml:space="preserve"> методом или исследования с </w:t>
            </w:r>
            <w:proofErr w:type="spellStart"/>
            <w:r w:rsidRPr="00062B4F">
              <w:rPr>
                <w:szCs w:val="24"/>
              </w:rPr>
              <w:t>референсным</w:t>
            </w:r>
            <w:proofErr w:type="spellEnd"/>
            <w:r w:rsidRPr="00062B4F">
              <w:rPr>
                <w:szCs w:val="24"/>
              </w:rPr>
              <w:t xml:space="preserve"> методом, не являющимся независимым от исследуемого метода или </w:t>
            </w:r>
            <w:proofErr w:type="spellStart"/>
            <w:r w:rsidRPr="00062B4F">
              <w:rPr>
                <w:szCs w:val="24"/>
              </w:rPr>
              <w:t>нерандомизированные</w:t>
            </w:r>
            <w:proofErr w:type="spellEnd"/>
            <w:r w:rsidRPr="00062B4F">
              <w:rPr>
                <w:szCs w:val="24"/>
              </w:rPr>
              <w:t xml:space="preserve"> сравнительные исследования, в том числе </w:t>
            </w:r>
            <w:proofErr w:type="spellStart"/>
            <w:r w:rsidRPr="00062B4F">
              <w:rPr>
                <w:szCs w:val="24"/>
              </w:rPr>
              <w:t>когортные</w:t>
            </w:r>
            <w:proofErr w:type="spellEnd"/>
            <w:r w:rsidRPr="00062B4F">
              <w:rPr>
                <w:szCs w:val="24"/>
              </w:rPr>
              <w:t xml:space="preserve"> исследования</w:t>
            </w:r>
          </w:p>
        </w:tc>
      </w:tr>
      <w:tr w:rsidR="000C7098" w:rsidRPr="00062B4F" w14:paraId="1BF40A38" w14:textId="77777777">
        <w:trPr>
          <w:trHeight w:val="832"/>
        </w:trPr>
        <w:tc>
          <w:tcPr>
            <w:tcW w:w="427" w:type="pct"/>
          </w:tcPr>
          <w:p w14:paraId="7743F6F0" w14:textId="77777777" w:rsidR="000C7098" w:rsidRPr="00062B4F" w:rsidRDefault="000C7098" w:rsidP="00F812ED">
            <w:pPr>
              <w:spacing w:line="276" w:lineRule="auto"/>
              <w:ind w:firstLine="0"/>
              <w:jc w:val="center"/>
              <w:rPr>
                <w:szCs w:val="24"/>
              </w:rPr>
            </w:pPr>
            <w:r w:rsidRPr="00062B4F">
              <w:rPr>
                <w:szCs w:val="24"/>
              </w:rPr>
              <w:t>4</w:t>
            </w:r>
          </w:p>
        </w:tc>
        <w:tc>
          <w:tcPr>
            <w:tcW w:w="4573" w:type="pct"/>
          </w:tcPr>
          <w:p w14:paraId="0565582B" w14:textId="77777777" w:rsidR="000C7098" w:rsidRPr="00062B4F" w:rsidRDefault="000C7098" w:rsidP="00F812ED">
            <w:pPr>
              <w:spacing w:line="276" w:lineRule="auto"/>
              <w:ind w:firstLine="0"/>
              <w:jc w:val="left"/>
              <w:rPr>
                <w:szCs w:val="24"/>
              </w:rPr>
            </w:pPr>
            <w:proofErr w:type="spellStart"/>
            <w:r w:rsidRPr="00062B4F">
              <w:rPr>
                <w:szCs w:val="24"/>
              </w:rPr>
              <w:t>Несравнительные</w:t>
            </w:r>
            <w:proofErr w:type="spellEnd"/>
            <w:r w:rsidRPr="00062B4F">
              <w:rPr>
                <w:szCs w:val="24"/>
              </w:rPr>
              <w:t xml:space="preserve"> исследования, описание клинического случая</w:t>
            </w:r>
          </w:p>
        </w:tc>
      </w:tr>
      <w:tr w:rsidR="000C7098" w:rsidRPr="00062B4F" w14:paraId="01296212" w14:textId="77777777">
        <w:trPr>
          <w:trHeight w:val="859"/>
        </w:trPr>
        <w:tc>
          <w:tcPr>
            <w:tcW w:w="427" w:type="pct"/>
          </w:tcPr>
          <w:p w14:paraId="7C38BA57" w14:textId="77777777" w:rsidR="000C7098" w:rsidRPr="00062B4F" w:rsidRDefault="000C7098" w:rsidP="00F812ED">
            <w:pPr>
              <w:spacing w:line="276" w:lineRule="auto"/>
              <w:ind w:firstLine="0"/>
              <w:jc w:val="center"/>
              <w:rPr>
                <w:szCs w:val="24"/>
              </w:rPr>
            </w:pPr>
            <w:r w:rsidRPr="00062B4F">
              <w:rPr>
                <w:szCs w:val="24"/>
              </w:rPr>
              <w:t>5</w:t>
            </w:r>
          </w:p>
        </w:tc>
        <w:tc>
          <w:tcPr>
            <w:tcW w:w="4573" w:type="pct"/>
          </w:tcPr>
          <w:p w14:paraId="27519E0F" w14:textId="77777777" w:rsidR="000C7098" w:rsidRPr="00062B4F" w:rsidRDefault="000C7098" w:rsidP="00F812ED">
            <w:pPr>
              <w:spacing w:line="276" w:lineRule="auto"/>
              <w:ind w:firstLine="0"/>
              <w:jc w:val="left"/>
              <w:rPr>
                <w:szCs w:val="24"/>
              </w:rPr>
            </w:pPr>
            <w:r w:rsidRPr="00062B4F">
              <w:rPr>
                <w:szCs w:val="24"/>
              </w:rPr>
              <w:t>Имеется лишь обоснование механизма действия или мнение экспертов</w:t>
            </w:r>
          </w:p>
        </w:tc>
      </w:tr>
    </w:tbl>
    <w:p w14:paraId="2BA3FDFE" w14:textId="729D90C6" w:rsidR="000C7098" w:rsidRPr="00062B4F" w:rsidRDefault="000C7098" w:rsidP="00520D6A">
      <w:pPr>
        <w:spacing w:before="240" w:after="120"/>
        <w:ind w:firstLine="851"/>
      </w:pPr>
      <w:bookmarkStart w:id="59" w:name="_Ref515967623"/>
      <w:r w:rsidRPr="00062B4F">
        <w:rPr>
          <w:b/>
        </w:rPr>
        <w:t>Таблица П</w:t>
      </w:r>
      <w:r w:rsidRPr="00062B4F">
        <w:rPr>
          <w:b/>
        </w:rPr>
        <w:fldChar w:fldCharType="begin"/>
      </w:r>
      <w:r w:rsidRPr="00062B4F">
        <w:rPr>
          <w:b/>
        </w:rPr>
        <w:instrText xml:space="preserve"> SEQ Таблица \* ARABIC </w:instrText>
      </w:r>
      <w:r w:rsidRPr="00062B4F">
        <w:rPr>
          <w:b/>
        </w:rPr>
        <w:fldChar w:fldCharType="separate"/>
      </w:r>
      <w:r w:rsidR="00717B3F">
        <w:rPr>
          <w:b/>
          <w:noProof/>
        </w:rPr>
        <w:t>2</w:t>
      </w:r>
      <w:r w:rsidRPr="00062B4F">
        <w:rPr>
          <w:b/>
        </w:rPr>
        <w:fldChar w:fldCharType="end"/>
      </w:r>
      <w:bookmarkEnd w:id="59"/>
      <w:r w:rsidRPr="00062B4F">
        <w:rPr>
          <w:b/>
        </w:rPr>
        <w:t>.</w:t>
      </w:r>
      <w:r w:rsidRPr="00062B4F">
        <w:t xml:space="preserve"> Шкала оценки уровней УДД для методов профилактики, лечения и реабилитации (профилактических, лечебных, реабилитационных вмешательств)</w:t>
      </w:r>
    </w:p>
    <w:tbl>
      <w:tblPr>
        <w:tblW w:w="507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
        <w:gridCol w:w="8760"/>
      </w:tblGrid>
      <w:tr w:rsidR="000C7098" w:rsidRPr="00062B4F" w14:paraId="2C5D2251" w14:textId="77777777">
        <w:trPr>
          <w:trHeight w:val="730"/>
        </w:trPr>
        <w:tc>
          <w:tcPr>
            <w:tcW w:w="360" w:type="pct"/>
          </w:tcPr>
          <w:p w14:paraId="4D53CE9E" w14:textId="77777777" w:rsidR="000C7098" w:rsidRPr="00062B4F" w:rsidRDefault="000C7098" w:rsidP="00F812ED">
            <w:pPr>
              <w:spacing w:line="240" w:lineRule="auto"/>
              <w:ind w:firstLine="0"/>
              <w:jc w:val="center"/>
              <w:rPr>
                <w:b/>
                <w:szCs w:val="24"/>
              </w:rPr>
            </w:pPr>
            <w:r w:rsidRPr="00062B4F">
              <w:rPr>
                <w:b/>
                <w:szCs w:val="24"/>
              </w:rPr>
              <w:t>УДД</w:t>
            </w:r>
          </w:p>
        </w:tc>
        <w:tc>
          <w:tcPr>
            <w:tcW w:w="4640" w:type="pct"/>
          </w:tcPr>
          <w:p w14:paraId="232A6478" w14:textId="77777777" w:rsidR="000C7098" w:rsidRPr="00062B4F" w:rsidRDefault="000C7098" w:rsidP="00F812ED">
            <w:pPr>
              <w:spacing w:line="240" w:lineRule="auto"/>
              <w:ind w:firstLine="0"/>
              <w:jc w:val="center"/>
              <w:rPr>
                <w:b/>
                <w:szCs w:val="24"/>
              </w:rPr>
            </w:pPr>
            <w:r w:rsidRPr="00062B4F">
              <w:rPr>
                <w:b/>
                <w:szCs w:val="24"/>
              </w:rPr>
              <w:t xml:space="preserve"> Расшифровка </w:t>
            </w:r>
          </w:p>
        </w:tc>
      </w:tr>
      <w:tr w:rsidR="000C7098" w:rsidRPr="00062B4F" w14:paraId="1D88FF82" w14:textId="77777777">
        <w:trPr>
          <w:trHeight w:val="843"/>
        </w:trPr>
        <w:tc>
          <w:tcPr>
            <w:tcW w:w="360" w:type="pct"/>
          </w:tcPr>
          <w:p w14:paraId="0BFA4549" w14:textId="77777777" w:rsidR="000C7098" w:rsidRPr="00062B4F" w:rsidRDefault="000C7098" w:rsidP="00F812ED">
            <w:pPr>
              <w:spacing w:line="240" w:lineRule="auto"/>
              <w:ind w:firstLine="0"/>
              <w:jc w:val="center"/>
              <w:rPr>
                <w:szCs w:val="24"/>
              </w:rPr>
            </w:pPr>
            <w:r w:rsidRPr="00062B4F">
              <w:rPr>
                <w:szCs w:val="24"/>
              </w:rPr>
              <w:t>1</w:t>
            </w:r>
          </w:p>
        </w:tc>
        <w:tc>
          <w:tcPr>
            <w:tcW w:w="4640" w:type="pct"/>
          </w:tcPr>
          <w:p w14:paraId="1B40BC6A" w14:textId="77777777" w:rsidR="000C7098" w:rsidRPr="00062B4F" w:rsidRDefault="000C7098" w:rsidP="00F812ED">
            <w:pPr>
              <w:spacing w:line="240" w:lineRule="auto"/>
              <w:ind w:firstLine="0"/>
              <w:jc w:val="left"/>
              <w:rPr>
                <w:szCs w:val="24"/>
              </w:rPr>
            </w:pPr>
            <w:r w:rsidRPr="00062B4F">
              <w:rPr>
                <w:szCs w:val="24"/>
              </w:rPr>
              <w:t>Систематический обзор РКИ с применением мета-анализа</w:t>
            </w:r>
          </w:p>
        </w:tc>
      </w:tr>
      <w:tr w:rsidR="000C7098" w:rsidRPr="00062B4F" w14:paraId="008DF56B" w14:textId="77777777">
        <w:trPr>
          <w:trHeight w:val="840"/>
        </w:trPr>
        <w:tc>
          <w:tcPr>
            <w:tcW w:w="360" w:type="pct"/>
          </w:tcPr>
          <w:p w14:paraId="2BBEDF44" w14:textId="77777777" w:rsidR="000C7098" w:rsidRPr="00062B4F" w:rsidRDefault="000C7098" w:rsidP="00F812ED">
            <w:pPr>
              <w:spacing w:line="240" w:lineRule="auto"/>
              <w:ind w:firstLine="0"/>
              <w:jc w:val="center"/>
              <w:rPr>
                <w:szCs w:val="24"/>
                <w:lang w:val="en-US"/>
              </w:rPr>
            </w:pPr>
            <w:r w:rsidRPr="00062B4F">
              <w:rPr>
                <w:szCs w:val="24"/>
              </w:rPr>
              <w:t>2</w:t>
            </w:r>
          </w:p>
        </w:tc>
        <w:tc>
          <w:tcPr>
            <w:tcW w:w="4640" w:type="pct"/>
          </w:tcPr>
          <w:p w14:paraId="548800A7" w14:textId="77777777" w:rsidR="000C7098" w:rsidRPr="00062B4F" w:rsidRDefault="000C7098" w:rsidP="00F812ED">
            <w:pPr>
              <w:spacing w:line="240" w:lineRule="auto"/>
              <w:ind w:firstLine="0"/>
              <w:jc w:val="left"/>
              <w:rPr>
                <w:szCs w:val="24"/>
              </w:rPr>
            </w:pPr>
            <w:r w:rsidRPr="00062B4F">
              <w:rPr>
                <w:szCs w:val="24"/>
              </w:rPr>
              <w:t>Отдельные РКИ и систематические обзоры исследований любого дизайна, за исключением РКИ, с применением мета-анализа</w:t>
            </w:r>
          </w:p>
        </w:tc>
      </w:tr>
      <w:tr w:rsidR="000C7098" w:rsidRPr="00062B4F" w14:paraId="6BA9A22C" w14:textId="77777777">
        <w:trPr>
          <w:trHeight w:val="839"/>
        </w:trPr>
        <w:tc>
          <w:tcPr>
            <w:tcW w:w="360" w:type="pct"/>
          </w:tcPr>
          <w:p w14:paraId="610CA8D1" w14:textId="77777777" w:rsidR="000C7098" w:rsidRPr="00062B4F" w:rsidRDefault="000C7098" w:rsidP="00F812ED">
            <w:pPr>
              <w:spacing w:line="240" w:lineRule="auto"/>
              <w:ind w:firstLine="0"/>
              <w:jc w:val="center"/>
              <w:rPr>
                <w:szCs w:val="24"/>
              </w:rPr>
            </w:pPr>
            <w:r w:rsidRPr="00062B4F">
              <w:rPr>
                <w:szCs w:val="24"/>
              </w:rPr>
              <w:t>3</w:t>
            </w:r>
          </w:p>
        </w:tc>
        <w:tc>
          <w:tcPr>
            <w:tcW w:w="4640" w:type="pct"/>
          </w:tcPr>
          <w:p w14:paraId="3DB53471" w14:textId="77777777" w:rsidR="000C7098" w:rsidRPr="00062B4F" w:rsidRDefault="000C7098" w:rsidP="00F812ED">
            <w:pPr>
              <w:spacing w:line="240" w:lineRule="auto"/>
              <w:ind w:firstLine="0"/>
              <w:jc w:val="left"/>
              <w:rPr>
                <w:szCs w:val="24"/>
              </w:rPr>
            </w:pPr>
            <w:proofErr w:type="spellStart"/>
            <w:r w:rsidRPr="00062B4F">
              <w:rPr>
                <w:szCs w:val="24"/>
              </w:rPr>
              <w:t>Нерандомизированные</w:t>
            </w:r>
            <w:proofErr w:type="spellEnd"/>
            <w:r w:rsidRPr="00062B4F">
              <w:rPr>
                <w:szCs w:val="24"/>
              </w:rPr>
              <w:t xml:space="preserve"> сравнительные исследования, в </w:t>
            </w:r>
            <w:proofErr w:type="spellStart"/>
            <w:r w:rsidRPr="00062B4F">
              <w:rPr>
                <w:szCs w:val="24"/>
              </w:rPr>
              <w:t>т.ч</w:t>
            </w:r>
            <w:proofErr w:type="spellEnd"/>
            <w:r w:rsidRPr="00062B4F">
              <w:rPr>
                <w:szCs w:val="24"/>
              </w:rPr>
              <w:t xml:space="preserve">. </w:t>
            </w:r>
            <w:proofErr w:type="spellStart"/>
            <w:r w:rsidRPr="00062B4F">
              <w:rPr>
                <w:szCs w:val="24"/>
              </w:rPr>
              <w:t>когортные</w:t>
            </w:r>
            <w:proofErr w:type="spellEnd"/>
            <w:r w:rsidRPr="00062B4F">
              <w:rPr>
                <w:szCs w:val="24"/>
              </w:rPr>
              <w:t xml:space="preserve"> исследования</w:t>
            </w:r>
          </w:p>
        </w:tc>
      </w:tr>
      <w:tr w:rsidR="000C7098" w:rsidRPr="00062B4F" w14:paraId="57DDCEED" w14:textId="77777777">
        <w:trPr>
          <w:trHeight w:val="836"/>
        </w:trPr>
        <w:tc>
          <w:tcPr>
            <w:tcW w:w="360" w:type="pct"/>
          </w:tcPr>
          <w:p w14:paraId="65BF6AFE" w14:textId="77777777" w:rsidR="000C7098" w:rsidRPr="00062B4F" w:rsidRDefault="000C7098" w:rsidP="00F812ED">
            <w:pPr>
              <w:spacing w:line="240" w:lineRule="auto"/>
              <w:ind w:firstLine="0"/>
              <w:jc w:val="center"/>
              <w:rPr>
                <w:szCs w:val="24"/>
              </w:rPr>
            </w:pPr>
            <w:r w:rsidRPr="00062B4F">
              <w:rPr>
                <w:szCs w:val="24"/>
              </w:rPr>
              <w:t>4</w:t>
            </w:r>
          </w:p>
        </w:tc>
        <w:tc>
          <w:tcPr>
            <w:tcW w:w="4640" w:type="pct"/>
          </w:tcPr>
          <w:p w14:paraId="7B787999" w14:textId="77777777" w:rsidR="000C7098" w:rsidRPr="00062B4F" w:rsidRDefault="000C7098" w:rsidP="00F812ED">
            <w:pPr>
              <w:spacing w:line="240" w:lineRule="auto"/>
              <w:ind w:firstLine="0"/>
              <w:jc w:val="left"/>
              <w:rPr>
                <w:szCs w:val="24"/>
              </w:rPr>
            </w:pPr>
            <w:proofErr w:type="spellStart"/>
            <w:r w:rsidRPr="00062B4F">
              <w:rPr>
                <w:szCs w:val="24"/>
              </w:rPr>
              <w:t>Несравнительные</w:t>
            </w:r>
            <w:proofErr w:type="spellEnd"/>
            <w:r w:rsidRPr="00062B4F">
              <w:rPr>
                <w:szCs w:val="24"/>
              </w:rPr>
              <w:t xml:space="preserve"> исследования, описание клинического случая или серии случаев, исследования «случай–контроль»</w:t>
            </w:r>
          </w:p>
        </w:tc>
      </w:tr>
      <w:tr w:rsidR="000C7098" w:rsidRPr="00062B4F" w14:paraId="30E87FBA" w14:textId="77777777">
        <w:trPr>
          <w:trHeight w:val="849"/>
        </w:trPr>
        <w:tc>
          <w:tcPr>
            <w:tcW w:w="360" w:type="pct"/>
          </w:tcPr>
          <w:p w14:paraId="73584D1C" w14:textId="77777777" w:rsidR="000C7098" w:rsidRPr="00062B4F" w:rsidRDefault="000C7098" w:rsidP="00F812ED">
            <w:pPr>
              <w:spacing w:line="240" w:lineRule="auto"/>
              <w:ind w:firstLine="0"/>
              <w:jc w:val="center"/>
              <w:rPr>
                <w:szCs w:val="24"/>
              </w:rPr>
            </w:pPr>
            <w:r w:rsidRPr="00062B4F">
              <w:rPr>
                <w:szCs w:val="24"/>
              </w:rPr>
              <w:t>5</w:t>
            </w:r>
          </w:p>
        </w:tc>
        <w:tc>
          <w:tcPr>
            <w:tcW w:w="4640" w:type="pct"/>
          </w:tcPr>
          <w:p w14:paraId="1D932469" w14:textId="77777777" w:rsidR="000C7098" w:rsidRPr="00062B4F" w:rsidRDefault="000C7098" w:rsidP="00F812ED">
            <w:pPr>
              <w:spacing w:line="240" w:lineRule="auto"/>
              <w:ind w:firstLine="0"/>
              <w:jc w:val="left"/>
              <w:rPr>
                <w:szCs w:val="24"/>
              </w:rPr>
            </w:pPr>
            <w:r w:rsidRPr="00062B4F">
              <w:rPr>
                <w:szCs w:val="24"/>
              </w:rPr>
              <w:t>Имеется лишь обоснование механизма действия вмешательства (доклинические исследования) или мнение экспертов</w:t>
            </w:r>
          </w:p>
        </w:tc>
      </w:tr>
    </w:tbl>
    <w:p w14:paraId="6278C328" w14:textId="77777777" w:rsidR="000C7098" w:rsidRPr="00062B4F" w:rsidRDefault="000C7098" w:rsidP="004D52E4">
      <w:pPr>
        <w:spacing w:before="120" w:after="120"/>
        <w:ind w:firstLine="851"/>
        <w:rPr>
          <w:b/>
          <w:bCs/>
        </w:rPr>
      </w:pPr>
      <w:bookmarkStart w:id="60" w:name="_Ref515967732"/>
      <w:r w:rsidRPr="00062B4F">
        <w:rPr>
          <w:b/>
        </w:rPr>
        <w:t xml:space="preserve">Таблица </w:t>
      </w:r>
      <w:bookmarkEnd w:id="60"/>
      <w:r w:rsidRPr="00062B4F">
        <w:rPr>
          <w:b/>
        </w:rPr>
        <w:t>П3.</w:t>
      </w:r>
      <w:r w:rsidRPr="00062B4F">
        <w:t xml:space="preserve"> Шкала оценки уровней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1"/>
        <w:gridCol w:w="8014"/>
      </w:tblGrid>
      <w:tr w:rsidR="000C7098" w:rsidRPr="00062B4F" w14:paraId="6DD0FD51" w14:textId="77777777">
        <w:trPr>
          <w:trHeight w:val="745"/>
        </w:trPr>
        <w:tc>
          <w:tcPr>
            <w:tcW w:w="712" w:type="pct"/>
          </w:tcPr>
          <w:p w14:paraId="4DE3C566" w14:textId="77777777" w:rsidR="000C7098" w:rsidRPr="00062B4F" w:rsidRDefault="000C7098" w:rsidP="00F812ED">
            <w:pPr>
              <w:spacing w:line="240" w:lineRule="auto"/>
              <w:ind w:firstLine="0"/>
              <w:jc w:val="center"/>
              <w:rPr>
                <w:b/>
                <w:szCs w:val="24"/>
              </w:rPr>
            </w:pPr>
            <w:r w:rsidRPr="00062B4F">
              <w:rPr>
                <w:b/>
                <w:szCs w:val="24"/>
              </w:rPr>
              <w:lastRenderedPageBreak/>
              <w:t>УУР</w:t>
            </w:r>
          </w:p>
        </w:tc>
        <w:tc>
          <w:tcPr>
            <w:tcW w:w="4288" w:type="pct"/>
          </w:tcPr>
          <w:p w14:paraId="3618BB2A" w14:textId="77777777" w:rsidR="000C7098" w:rsidRPr="00062B4F" w:rsidRDefault="000C7098" w:rsidP="00F812ED">
            <w:pPr>
              <w:spacing w:line="240" w:lineRule="auto"/>
              <w:ind w:firstLine="0"/>
              <w:jc w:val="center"/>
              <w:rPr>
                <w:b/>
                <w:szCs w:val="24"/>
              </w:rPr>
            </w:pPr>
            <w:r w:rsidRPr="00062B4F">
              <w:rPr>
                <w:b/>
                <w:szCs w:val="24"/>
              </w:rPr>
              <w:t>Расшифровка</w:t>
            </w:r>
          </w:p>
        </w:tc>
      </w:tr>
      <w:tr w:rsidR="000C7098" w:rsidRPr="00062B4F" w14:paraId="24F7AA31" w14:textId="77777777">
        <w:trPr>
          <w:trHeight w:val="1264"/>
        </w:trPr>
        <w:tc>
          <w:tcPr>
            <w:tcW w:w="712" w:type="pct"/>
          </w:tcPr>
          <w:p w14:paraId="0592FC13" w14:textId="77777777" w:rsidR="000C7098" w:rsidRPr="00062B4F" w:rsidRDefault="000C7098" w:rsidP="00F812ED">
            <w:pPr>
              <w:spacing w:line="240" w:lineRule="auto"/>
              <w:ind w:firstLine="0"/>
              <w:jc w:val="center"/>
              <w:rPr>
                <w:szCs w:val="24"/>
              </w:rPr>
            </w:pPr>
            <w:r w:rsidRPr="00062B4F">
              <w:rPr>
                <w:szCs w:val="24"/>
                <w:lang w:val="en-US"/>
              </w:rPr>
              <w:t>A</w:t>
            </w:r>
          </w:p>
        </w:tc>
        <w:tc>
          <w:tcPr>
            <w:tcW w:w="4288" w:type="pct"/>
          </w:tcPr>
          <w:p w14:paraId="72DD0AE3" w14:textId="77777777" w:rsidR="000C7098" w:rsidRPr="00062B4F" w:rsidRDefault="000C7098" w:rsidP="00F812ED">
            <w:pPr>
              <w:spacing w:line="240" w:lineRule="auto"/>
              <w:ind w:firstLine="0"/>
              <w:jc w:val="left"/>
              <w:rPr>
                <w:szCs w:val="24"/>
              </w:rPr>
            </w:pPr>
            <w:r w:rsidRPr="00062B4F">
              <w:rPr>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0C7098" w:rsidRPr="00062B4F" w14:paraId="63B9A240" w14:textId="77777777">
        <w:trPr>
          <w:trHeight w:val="1253"/>
        </w:trPr>
        <w:tc>
          <w:tcPr>
            <w:tcW w:w="712" w:type="pct"/>
          </w:tcPr>
          <w:p w14:paraId="4C48D9DD" w14:textId="77777777" w:rsidR="000C7098" w:rsidRPr="00062B4F" w:rsidRDefault="000C7098" w:rsidP="00F812ED">
            <w:pPr>
              <w:spacing w:line="240" w:lineRule="auto"/>
              <w:ind w:firstLine="0"/>
              <w:jc w:val="center"/>
              <w:rPr>
                <w:szCs w:val="24"/>
              </w:rPr>
            </w:pPr>
            <w:r w:rsidRPr="00062B4F">
              <w:rPr>
                <w:szCs w:val="24"/>
              </w:rPr>
              <w:t>B</w:t>
            </w:r>
          </w:p>
        </w:tc>
        <w:tc>
          <w:tcPr>
            <w:tcW w:w="4288" w:type="pct"/>
          </w:tcPr>
          <w:p w14:paraId="21DAD8BD" w14:textId="77777777" w:rsidR="000C7098" w:rsidRPr="00062B4F" w:rsidRDefault="000C7098" w:rsidP="00F812ED">
            <w:pPr>
              <w:spacing w:line="240" w:lineRule="auto"/>
              <w:ind w:firstLine="0"/>
              <w:jc w:val="left"/>
              <w:rPr>
                <w:szCs w:val="24"/>
              </w:rPr>
            </w:pPr>
            <w:r w:rsidRPr="00062B4F">
              <w:rPr>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0C7098" w:rsidRPr="00062B4F" w14:paraId="03E00C05" w14:textId="77777777">
        <w:trPr>
          <w:trHeight w:val="1271"/>
        </w:trPr>
        <w:tc>
          <w:tcPr>
            <w:tcW w:w="712" w:type="pct"/>
          </w:tcPr>
          <w:p w14:paraId="6392580D" w14:textId="77777777" w:rsidR="000C7098" w:rsidRPr="00062B4F" w:rsidRDefault="000C7098" w:rsidP="00F812ED">
            <w:pPr>
              <w:spacing w:line="240" w:lineRule="auto"/>
              <w:ind w:firstLine="0"/>
              <w:jc w:val="center"/>
              <w:rPr>
                <w:szCs w:val="24"/>
              </w:rPr>
            </w:pPr>
            <w:r w:rsidRPr="00062B4F">
              <w:rPr>
                <w:szCs w:val="24"/>
              </w:rPr>
              <w:t>C</w:t>
            </w:r>
          </w:p>
        </w:tc>
        <w:tc>
          <w:tcPr>
            <w:tcW w:w="4288" w:type="pct"/>
          </w:tcPr>
          <w:p w14:paraId="0048CCA8" w14:textId="77777777" w:rsidR="000C7098" w:rsidRPr="00062B4F" w:rsidRDefault="000C7098" w:rsidP="00F812ED">
            <w:pPr>
              <w:spacing w:line="240" w:lineRule="auto"/>
              <w:ind w:firstLine="0"/>
              <w:jc w:val="left"/>
              <w:rPr>
                <w:szCs w:val="24"/>
              </w:rPr>
            </w:pPr>
            <w:r w:rsidRPr="00062B4F">
              <w:rPr>
                <w:szCs w:val="24"/>
              </w:rPr>
              <w:t>Слабая рекомендация (отсутствие доказательств надлежащего качества; все рассматриваемые критерии эффективности (исходы) не являются важными, все исследования имеют низкое методологическое качество</w:t>
            </w:r>
            <w:r w:rsidRPr="00062B4F">
              <w:rPr>
                <w:szCs w:val="24"/>
              </w:rPr>
              <w:br/>
              <w:t xml:space="preserve">и их выводы по интересующим исходам не являются согласованными) </w:t>
            </w:r>
          </w:p>
        </w:tc>
      </w:tr>
    </w:tbl>
    <w:p w14:paraId="4539DE21" w14:textId="77777777" w:rsidR="000C7098" w:rsidRPr="00062B4F" w:rsidRDefault="000C7098" w:rsidP="00422C69">
      <w:pPr>
        <w:rPr>
          <w:b/>
          <w:bCs/>
          <w:spacing w:val="-2"/>
          <w:szCs w:val="24"/>
          <w:lang w:eastAsia="ru-RU"/>
        </w:rPr>
      </w:pPr>
      <w:r w:rsidRPr="00062B4F">
        <w:rPr>
          <w:b/>
          <w:bCs/>
          <w:spacing w:val="-2"/>
          <w:szCs w:val="24"/>
          <w:lang w:eastAsia="ru-RU"/>
        </w:rPr>
        <w:t>Индикаторы доброкачественной клинической практики (</w:t>
      </w:r>
      <w:proofErr w:type="spellStart"/>
      <w:r w:rsidRPr="00062B4F">
        <w:rPr>
          <w:b/>
          <w:bCs/>
          <w:spacing w:val="-2"/>
          <w:szCs w:val="24"/>
          <w:lang w:eastAsia="ru-RU"/>
        </w:rPr>
        <w:t>Good</w:t>
      </w:r>
      <w:proofErr w:type="spellEnd"/>
      <w:r w:rsidRPr="00062B4F">
        <w:rPr>
          <w:b/>
          <w:bCs/>
          <w:spacing w:val="-2"/>
          <w:szCs w:val="24"/>
          <w:lang w:eastAsia="ru-RU"/>
        </w:rPr>
        <w:t xml:space="preserve"> </w:t>
      </w:r>
      <w:proofErr w:type="spellStart"/>
      <w:r w:rsidRPr="00062B4F">
        <w:rPr>
          <w:b/>
          <w:bCs/>
          <w:spacing w:val="-2"/>
          <w:szCs w:val="24"/>
          <w:lang w:eastAsia="ru-RU"/>
        </w:rPr>
        <w:t>Practice</w:t>
      </w:r>
      <w:proofErr w:type="spellEnd"/>
      <w:r w:rsidRPr="00062B4F">
        <w:rPr>
          <w:b/>
          <w:bCs/>
          <w:spacing w:val="-2"/>
          <w:szCs w:val="24"/>
          <w:lang w:eastAsia="ru-RU"/>
        </w:rPr>
        <w:t xml:space="preserve"> </w:t>
      </w:r>
      <w:proofErr w:type="spellStart"/>
      <w:r w:rsidRPr="00062B4F">
        <w:rPr>
          <w:b/>
          <w:bCs/>
          <w:spacing w:val="-2"/>
          <w:szCs w:val="24"/>
          <w:lang w:eastAsia="ru-RU"/>
        </w:rPr>
        <w:t>Points</w:t>
      </w:r>
      <w:proofErr w:type="spellEnd"/>
      <w:r w:rsidRPr="00062B4F">
        <w:rPr>
          <w:b/>
          <w:bCs/>
          <w:spacing w:val="-2"/>
          <w:szCs w:val="24"/>
          <w:lang w:eastAsia="ru-RU"/>
        </w:rPr>
        <w:t xml:space="preserve"> – </w:t>
      </w:r>
      <w:proofErr w:type="spellStart"/>
      <w:r w:rsidRPr="00062B4F">
        <w:rPr>
          <w:b/>
          <w:bCs/>
          <w:spacing w:val="-2"/>
          <w:szCs w:val="24"/>
          <w:lang w:eastAsia="ru-RU"/>
        </w:rPr>
        <w:t>GPPs</w:t>
      </w:r>
      <w:proofErr w:type="spellEnd"/>
      <w:r w:rsidRPr="00062B4F">
        <w:rPr>
          <w:b/>
          <w:bCs/>
          <w:spacing w:val="-2"/>
          <w:szCs w:val="24"/>
          <w:lang w:eastAsia="ru-RU"/>
        </w:rPr>
        <w:t>):</w:t>
      </w:r>
    </w:p>
    <w:p w14:paraId="580B76AF" w14:textId="77777777" w:rsidR="000C7098" w:rsidRPr="00062B4F" w:rsidRDefault="000C7098" w:rsidP="00422C69">
      <w:pPr>
        <w:rPr>
          <w:bCs/>
          <w:szCs w:val="24"/>
          <w:lang w:eastAsia="ru-RU"/>
        </w:rPr>
      </w:pPr>
      <w:r w:rsidRPr="00062B4F">
        <w:rPr>
          <w:bCs/>
          <w:szCs w:val="24"/>
          <w:lang w:eastAsia="ru-RU"/>
        </w:rPr>
        <w:t>Доброкачественная практика рекомендаций основывается на квалификации и клиническом опыте авторского коллектива.</w:t>
      </w:r>
    </w:p>
    <w:p w14:paraId="4AD4F157" w14:textId="77777777" w:rsidR="000C7098" w:rsidRPr="00062B4F" w:rsidRDefault="000C7098" w:rsidP="00422C69">
      <w:pPr>
        <w:rPr>
          <w:bCs/>
          <w:szCs w:val="24"/>
          <w:lang w:eastAsia="ru-RU"/>
        </w:rPr>
      </w:pPr>
      <w:r w:rsidRPr="00062B4F">
        <w:rPr>
          <w:b/>
          <w:bCs/>
          <w:szCs w:val="24"/>
          <w:lang w:eastAsia="ru-RU"/>
        </w:rPr>
        <w:t>Методы, использованные для формулирования рекомендаций:</w:t>
      </w:r>
      <w:r w:rsidRPr="00062B4F">
        <w:rPr>
          <w:bCs/>
          <w:szCs w:val="24"/>
          <w:lang w:eastAsia="ru-RU"/>
        </w:rPr>
        <w:t xml:space="preserve"> консенсус экспертов.</w:t>
      </w:r>
    </w:p>
    <w:p w14:paraId="663B614F" w14:textId="77777777" w:rsidR="000C7098" w:rsidRPr="00062B4F" w:rsidRDefault="000C7098" w:rsidP="00422C69">
      <w:pPr>
        <w:rPr>
          <w:bCs/>
          <w:szCs w:val="24"/>
          <w:lang w:eastAsia="ru-RU"/>
        </w:rPr>
      </w:pPr>
      <w:r w:rsidRPr="00062B4F">
        <w:rPr>
          <w:b/>
          <w:bCs/>
          <w:szCs w:val="24"/>
          <w:lang w:eastAsia="ru-RU"/>
        </w:rPr>
        <w:t xml:space="preserve">Экономический анализ: </w:t>
      </w:r>
      <w:r w:rsidRPr="00062B4F">
        <w:rPr>
          <w:bCs/>
          <w:szCs w:val="24"/>
          <w:lang w:eastAsia="ru-RU"/>
        </w:rPr>
        <w:t xml:space="preserve">анализ стоимости не проводился, публикации по </w:t>
      </w:r>
      <w:proofErr w:type="spellStart"/>
      <w:r w:rsidRPr="00062B4F">
        <w:rPr>
          <w:bCs/>
          <w:szCs w:val="24"/>
          <w:lang w:eastAsia="ru-RU"/>
        </w:rPr>
        <w:t>фармакоэкономике</w:t>
      </w:r>
      <w:proofErr w:type="spellEnd"/>
      <w:r w:rsidRPr="00062B4F">
        <w:rPr>
          <w:bCs/>
          <w:szCs w:val="24"/>
          <w:lang w:eastAsia="ru-RU"/>
        </w:rPr>
        <w:t xml:space="preserve"> не анализировались.</w:t>
      </w:r>
    </w:p>
    <w:p w14:paraId="0F10F137" w14:textId="77777777" w:rsidR="000C7098" w:rsidRPr="00062B4F" w:rsidRDefault="000C7098" w:rsidP="00422C69">
      <w:pPr>
        <w:rPr>
          <w:bCs/>
          <w:szCs w:val="24"/>
          <w:lang w:eastAsia="ru-RU"/>
        </w:rPr>
      </w:pPr>
      <w:r w:rsidRPr="00062B4F">
        <w:rPr>
          <w:b/>
          <w:bCs/>
          <w:szCs w:val="24"/>
          <w:lang w:eastAsia="ru-RU"/>
        </w:rPr>
        <w:t xml:space="preserve">Метод </w:t>
      </w:r>
      <w:proofErr w:type="spellStart"/>
      <w:r w:rsidRPr="00062B4F">
        <w:rPr>
          <w:b/>
          <w:bCs/>
          <w:szCs w:val="24"/>
          <w:lang w:eastAsia="ru-RU"/>
        </w:rPr>
        <w:t>валидизации</w:t>
      </w:r>
      <w:proofErr w:type="spellEnd"/>
      <w:r w:rsidRPr="00062B4F">
        <w:rPr>
          <w:b/>
          <w:bCs/>
          <w:szCs w:val="24"/>
          <w:lang w:eastAsia="ru-RU"/>
        </w:rPr>
        <w:t xml:space="preserve"> рекомендаций:</w:t>
      </w:r>
    </w:p>
    <w:p w14:paraId="18027278" w14:textId="77777777" w:rsidR="000C7098" w:rsidRPr="00062B4F" w:rsidRDefault="000C7098" w:rsidP="00505FD7">
      <w:pPr>
        <w:numPr>
          <w:ilvl w:val="0"/>
          <w:numId w:val="29"/>
        </w:numPr>
        <w:rPr>
          <w:bCs/>
          <w:szCs w:val="24"/>
          <w:lang w:eastAsia="ru-RU"/>
        </w:rPr>
      </w:pPr>
      <w:r w:rsidRPr="00062B4F">
        <w:rPr>
          <w:bCs/>
          <w:szCs w:val="24"/>
          <w:lang w:eastAsia="ru-RU"/>
        </w:rPr>
        <w:t>Внешняя экспертная оценка</w:t>
      </w:r>
    </w:p>
    <w:p w14:paraId="30EE34DE" w14:textId="77777777" w:rsidR="000C7098" w:rsidRPr="00062B4F" w:rsidRDefault="000C7098" w:rsidP="00505FD7">
      <w:pPr>
        <w:numPr>
          <w:ilvl w:val="0"/>
          <w:numId w:val="29"/>
        </w:numPr>
        <w:rPr>
          <w:bCs/>
          <w:szCs w:val="24"/>
          <w:lang w:eastAsia="ru-RU"/>
        </w:rPr>
      </w:pPr>
      <w:r w:rsidRPr="00062B4F">
        <w:rPr>
          <w:bCs/>
          <w:szCs w:val="24"/>
          <w:lang w:eastAsia="ru-RU"/>
        </w:rPr>
        <w:t>Внутренняя экспертная оценка</w:t>
      </w:r>
    </w:p>
    <w:p w14:paraId="3D6F093B" w14:textId="77777777" w:rsidR="000C7098" w:rsidRPr="00062B4F" w:rsidRDefault="000C7098" w:rsidP="00422C69">
      <w:pPr>
        <w:rPr>
          <w:bCs/>
          <w:szCs w:val="24"/>
          <w:lang w:eastAsia="ru-RU"/>
        </w:rPr>
      </w:pPr>
      <w:r w:rsidRPr="00062B4F">
        <w:rPr>
          <w:b/>
          <w:bCs/>
          <w:szCs w:val="24"/>
          <w:lang w:eastAsia="ru-RU"/>
        </w:rPr>
        <w:t xml:space="preserve">Описание метода </w:t>
      </w:r>
      <w:proofErr w:type="spellStart"/>
      <w:r w:rsidRPr="00062B4F">
        <w:rPr>
          <w:b/>
          <w:bCs/>
          <w:szCs w:val="24"/>
          <w:lang w:eastAsia="ru-RU"/>
        </w:rPr>
        <w:t>валидизации</w:t>
      </w:r>
      <w:proofErr w:type="spellEnd"/>
      <w:r w:rsidRPr="00062B4F">
        <w:rPr>
          <w:b/>
          <w:bCs/>
          <w:szCs w:val="24"/>
          <w:lang w:eastAsia="ru-RU"/>
        </w:rPr>
        <w:t xml:space="preserve"> рекомендаций:</w:t>
      </w:r>
    </w:p>
    <w:p w14:paraId="67C1FB71" w14:textId="77777777" w:rsidR="000C7098" w:rsidRPr="00062B4F" w:rsidRDefault="000C7098" w:rsidP="00422C69">
      <w:pPr>
        <w:rPr>
          <w:bCs/>
          <w:szCs w:val="24"/>
          <w:lang w:eastAsia="ru-RU"/>
        </w:rPr>
      </w:pPr>
      <w:r w:rsidRPr="00062B4F">
        <w:rPr>
          <w:bCs/>
          <w:szCs w:val="24"/>
          <w:lang w:eastAsia="ru-RU"/>
        </w:rPr>
        <w:t>Настоящие рекомендации в предварительной версии рецензированы независимыми экспертами, которые попросили прокомментировать прежде всего, насколько интерпретация доказательств, лежащих в основе рекомендаций, доступна для понимания.</w:t>
      </w:r>
    </w:p>
    <w:p w14:paraId="17D8042E" w14:textId="77777777" w:rsidR="000C7098" w:rsidRPr="00062B4F" w:rsidRDefault="000C7098" w:rsidP="00422C69">
      <w:pPr>
        <w:rPr>
          <w:bCs/>
          <w:szCs w:val="24"/>
          <w:lang w:eastAsia="ru-RU"/>
        </w:rPr>
      </w:pPr>
      <w:r w:rsidRPr="00062B4F">
        <w:rPr>
          <w:bCs/>
          <w:szCs w:val="24"/>
          <w:lang w:eastAsia="ru-RU"/>
        </w:rPr>
        <w:t>Получены комментарии со стороны врачей-детских онкологов первичного звена в отношении доходчивости изложения рекомендаций и их оценки важности рекомендаций как рабочего инструмента повседневной практики.</w:t>
      </w:r>
    </w:p>
    <w:p w14:paraId="5525224A" w14:textId="77777777" w:rsidR="000C7098" w:rsidRPr="00062B4F" w:rsidRDefault="000C7098" w:rsidP="00B4518B">
      <w:pPr>
        <w:rPr>
          <w:bCs/>
          <w:szCs w:val="24"/>
          <w:lang w:eastAsia="ru-RU"/>
        </w:rPr>
      </w:pPr>
      <w:r w:rsidRPr="00062B4F">
        <w:rPr>
          <w:bCs/>
          <w:szCs w:val="24"/>
          <w:lang w:eastAsia="ru-RU"/>
        </w:rPr>
        <w:t>Комментарии, полученные от экспертов, тщательно систематизировались и обсуждались председателем и членами рабочей группы. Каждый пункт обсуждался и вносимые в результате этого изменения в рекомендации регистрировались. Если же изменения не вносились, то регистрировались причины отказа от внесения изменений.</w:t>
      </w:r>
    </w:p>
    <w:p w14:paraId="0CA158F6" w14:textId="77777777" w:rsidR="000C7098" w:rsidRPr="00062B4F" w:rsidRDefault="000C7098" w:rsidP="00B4518B">
      <w:pPr>
        <w:rPr>
          <w:bCs/>
          <w:szCs w:val="24"/>
          <w:lang w:eastAsia="ru-RU"/>
        </w:rPr>
      </w:pPr>
      <w:r w:rsidRPr="00062B4F">
        <w:rPr>
          <w:bCs/>
          <w:szCs w:val="24"/>
          <w:lang w:eastAsia="ru-RU"/>
        </w:rPr>
        <w:t xml:space="preserve">Консультации и экспертная оценка: проект рекомендаций рецензирован также независимыми экспертами, которых попросили прокомментировать прежде всего </w:t>
      </w:r>
      <w:r w:rsidRPr="00062B4F">
        <w:rPr>
          <w:bCs/>
          <w:szCs w:val="24"/>
          <w:lang w:eastAsia="ru-RU"/>
        </w:rPr>
        <w:lastRenderedPageBreak/>
        <w:t>доходчивость и точность интерпретации доказательной базы, лежащей в основе рекомендаций.</w:t>
      </w:r>
    </w:p>
    <w:p w14:paraId="24DE944F" w14:textId="77777777" w:rsidR="000C7098" w:rsidRPr="00062B4F" w:rsidRDefault="000C7098" w:rsidP="00520D6A">
      <w:pPr>
        <w:rPr>
          <w:bCs/>
          <w:szCs w:val="24"/>
          <w:lang w:eastAsia="ru-RU"/>
        </w:rPr>
      </w:pPr>
      <w:r w:rsidRPr="00062B4F">
        <w:rPr>
          <w:bCs/>
          <w:szCs w:val="24"/>
          <w:lang w:eastAsia="ru-RU"/>
        </w:rPr>
        <w:t>Для окончательной редакции и контроля качества рекомендации повторно проанализированы членами рабочей группы, которые пришли к заключению, что все замечания и комментарии экспертов приняты во внимание, риск систематических ошибок при разработке рекомендаций сведен к минимуму.</w:t>
      </w:r>
    </w:p>
    <w:p w14:paraId="09EC645B" w14:textId="77777777" w:rsidR="000C7098" w:rsidRPr="00062B4F" w:rsidRDefault="000C7098" w:rsidP="00520D6A">
      <w:pPr>
        <w:spacing w:before="120"/>
        <w:rPr>
          <w:bCs/>
          <w:szCs w:val="24"/>
          <w:lang w:eastAsia="ru-RU"/>
        </w:rPr>
      </w:pPr>
      <w:r w:rsidRPr="00062B4F">
        <w:rPr>
          <w:b/>
          <w:bCs/>
          <w:szCs w:val="24"/>
          <w:lang w:eastAsia="ru-RU"/>
        </w:rPr>
        <w:t>Порядок обновления клинических рекомендаций</w:t>
      </w:r>
    </w:p>
    <w:p w14:paraId="4CD2BFBD" w14:textId="77777777" w:rsidR="000C7098" w:rsidRPr="00062B4F" w:rsidRDefault="000C7098" w:rsidP="00B4518B">
      <w:pPr>
        <w:rPr>
          <w:bCs/>
          <w:szCs w:val="24"/>
          <w:lang w:eastAsia="ru-RU"/>
        </w:rPr>
      </w:pPr>
      <w:r w:rsidRPr="00062B4F">
        <w:rPr>
          <w:bCs/>
          <w:szCs w:val="24"/>
          <w:lang w:eastAsia="ru-RU"/>
        </w:rPr>
        <w:t>Механизм обновления клинических рекомендаций предусматривает их систематическую актуализацию – не реже чем 1 раз в 3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утвержденным КР, но не чаще 1 раза в 6 месяцев.</w:t>
      </w:r>
    </w:p>
    <w:p w14:paraId="4C1296D7" w14:textId="77777777" w:rsidR="000C7098" w:rsidRPr="00062B4F" w:rsidRDefault="000C7098" w:rsidP="00466F84">
      <w:r w:rsidRPr="00062B4F">
        <w:t>Решение об обновлении принимает МЗ РФ на основе предложений, представленных медицинскими некоммерческими профессиональными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p>
    <w:p w14:paraId="0031A681" w14:textId="77777777" w:rsidR="000C7098" w:rsidRPr="00062B4F" w:rsidRDefault="000C7098">
      <w:pPr>
        <w:spacing w:line="240" w:lineRule="auto"/>
        <w:ind w:firstLine="0"/>
        <w:jc w:val="left"/>
      </w:pPr>
      <w:r w:rsidRPr="00062B4F">
        <w:br w:type="page"/>
      </w:r>
    </w:p>
    <w:p w14:paraId="0BCD41AA" w14:textId="77777777" w:rsidR="000C7098" w:rsidRPr="00062B4F" w:rsidRDefault="000C7098" w:rsidP="004D52E4">
      <w:pPr>
        <w:pStyle w:val="afff2"/>
        <w:spacing w:after="120"/>
        <w:rPr>
          <w:szCs w:val="28"/>
        </w:rPr>
      </w:pPr>
      <w:bookmarkStart w:id="61" w:name="__RefHeading___doc_a3"/>
      <w:bookmarkStart w:id="62" w:name="_Toc23174774"/>
      <w:bookmarkStart w:id="63" w:name="_Toc86133423"/>
      <w:r w:rsidRPr="00062B4F">
        <w:rPr>
          <w:szCs w:val="28"/>
        </w:rPr>
        <w:lastRenderedPageBreak/>
        <w:t xml:space="preserve">Приложение А3. </w:t>
      </w:r>
      <w:bookmarkEnd w:id="61"/>
      <w:r w:rsidRPr="00062B4F">
        <w:rPr>
          <w:szCs w:val="28"/>
        </w:rP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62"/>
      <w:bookmarkEnd w:id="63"/>
    </w:p>
    <w:p w14:paraId="5C5CBCF9" w14:textId="77777777" w:rsidR="000C7098" w:rsidRPr="00062B4F" w:rsidRDefault="000C7098" w:rsidP="009B63D9">
      <w:pPr>
        <w:pStyle w:val="2-6"/>
      </w:pPr>
      <w:r w:rsidRPr="00062B4F">
        <w:t xml:space="preserve">Данные клинические рекомендации разработаны с учетом следующих нормативно-правовых документов: </w:t>
      </w:r>
    </w:p>
    <w:p w14:paraId="6CCA76BC" w14:textId="77777777" w:rsidR="000C7098" w:rsidRPr="00062B4F" w:rsidRDefault="000C7098" w:rsidP="00505FD7">
      <w:pPr>
        <w:pStyle w:val="2-6"/>
        <w:numPr>
          <w:ilvl w:val="0"/>
          <w:numId w:val="28"/>
        </w:numPr>
        <w:ind w:left="0" w:firstLine="851"/>
      </w:pPr>
      <w:r w:rsidRPr="00062B4F">
        <w:t xml:space="preserve">Приказ Минздрава России от </w:t>
      </w:r>
      <w:r w:rsidR="00D20164" w:rsidRPr="00062B4F">
        <w:t xml:space="preserve">10 апреля 2017 </w:t>
      </w:r>
      <w:r w:rsidRPr="00062B4F">
        <w:t xml:space="preserve">г. N </w:t>
      </w:r>
      <w:r w:rsidR="00D20164" w:rsidRPr="00062B4F">
        <w:t xml:space="preserve">203 н </w:t>
      </w:r>
      <w:r w:rsidRPr="00062B4F">
        <w:t>«Об утверждении критериев оценки качества медицинской помощи».</w:t>
      </w:r>
    </w:p>
    <w:p w14:paraId="2E39F67F" w14:textId="77777777" w:rsidR="000C7098" w:rsidRPr="00062B4F" w:rsidRDefault="000C7098" w:rsidP="00505FD7">
      <w:pPr>
        <w:pStyle w:val="2-6"/>
        <w:numPr>
          <w:ilvl w:val="0"/>
          <w:numId w:val="28"/>
        </w:numPr>
        <w:ind w:left="0" w:firstLine="851"/>
      </w:pPr>
      <w:r w:rsidRPr="00062B4F">
        <w:t>Приказ Минздрава России от</w:t>
      </w:r>
      <w:r w:rsidRPr="00062B4F">
        <w:rPr>
          <w:bCs/>
        </w:rPr>
        <w:t xml:space="preserve"> </w:t>
      </w:r>
      <w:r w:rsidRPr="00062B4F">
        <w:t xml:space="preserve">15 ноября 2012 г. </w:t>
      </w:r>
      <w:r w:rsidRPr="00062B4F">
        <w:rPr>
          <w:bCs/>
        </w:rPr>
        <w:t>N 930н «Об утверждении Порядка оказания медицинской помощи населению по профилю «гематология</w:t>
      </w:r>
      <w:r w:rsidRPr="00062B4F">
        <w:t>».</w:t>
      </w:r>
    </w:p>
    <w:p w14:paraId="00B224B5" w14:textId="77777777" w:rsidR="000C7098" w:rsidRPr="00062B4F" w:rsidRDefault="000C7098" w:rsidP="009B63D9">
      <w:pPr>
        <w:pStyle w:val="2-6"/>
      </w:pPr>
      <w:r w:rsidRPr="00062B4F">
        <w:rPr>
          <w:szCs w:val="22"/>
        </w:rPr>
        <w:t xml:space="preserve">Актуальные инструкции к лекарственным препаратам, упоминаемым в данных клинических рекомендациях, можно найти на сайте </w:t>
      </w:r>
      <w:r w:rsidRPr="00062B4F">
        <w:t>http://grls.rosminzdrav.ru.</w:t>
      </w:r>
    </w:p>
    <w:p w14:paraId="4D36DA91" w14:textId="77777777" w:rsidR="000C7098" w:rsidRPr="00062B4F" w:rsidRDefault="000C7098" w:rsidP="00466F84"/>
    <w:p w14:paraId="4C6BC9F6" w14:textId="77777777" w:rsidR="000C7098" w:rsidRPr="00062B4F" w:rsidRDefault="000C7098" w:rsidP="009D2E3F">
      <w:pPr>
        <w:pageBreakBefore/>
        <w:suppressAutoHyphens/>
        <w:spacing w:before="240"/>
        <w:ind w:firstLine="0"/>
        <w:jc w:val="center"/>
        <w:outlineLvl w:val="0"/>
        <w:rPr>
          <w:b/>
          <w:sz w:val="28"/>
          <w:szCs w:val="28"/>
        </w:rPr>
      </w:pPr>
      <w:bookmarkStart w:id="64" w:name="_Toc86133424"/>
      <w:r w:rsidRPr="00062B4F">
        <w:rPr>
          <w:b/>
          <w:sz w:val="28"/>
          <w:szCs w:val="28"/>
        </w:rPr>
        <w:lastRenderedPageBreak/>
        <w:t>Приложение Б. Алгоритмы действий врача</w:t>
      </w:r>
      <w:bookmarkEnd w:id="64"/>
    </w:p>
    <w:p w14:paraId="5E2FCD23" w14:textId="77777777" w:rsidR="000C7098" w:rsidRPr="00062B4F" w:rsidRDefault="000C7098" w:rsidP="009D2E3F">
      <w:pPr>
        <w:ind w:firstLine="0"/>
        <w:jc w:val="left"/>
      </w:pPr>
    </w:p>
    <w:p w14:paraId="6ADDB1B2" w14:textId="77777777" w:rsidR="000C7098" w:rsidRPr="00062B4F" w:rsidRDefault="00666D47" w:rsidP="009D2E3F">
      <w:pPr>
        <w:ind w:firstLine="0"/>
        <w:jc w:val="left"/>
      </w:pPr>
      <w:r w:rsidRPr="00062B4F">
        <w:rPr>
          <w:noProof/>
          <w:lang w:eastAsia="ru-RU"/>
        </w:rPr>
        <w:drawing>
          <wp:anchor distT="0" distB="0" distL="114300" distR="114300" simplePos="0" relativeHeight="251656704" behindDoc="0" locked="0" layoutInCell="1" allowOverlap="1" wp14:anchorId="15FE0672" wp14:editId="4D49F47E">
            <wp:simplePos x="0" y="0"/>
            <wp:positionH relativeFrom="margin">
              <wp:align>center</wp:align>
            </wp:positionH>
            <wp:positionV relativeFrom="paragraph">
              <wp:posOffset>200025</wp:posOffset>
            </wp:positionV>
            <wp:extent cx="5493385" cy="6890385"/>
            <wp:effectExtent l="0" t="0" r="0" b="0"/>
            <wp:wrapTopAndBottom/>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3385" cy="6890385"/>
                    </a:xfrm>
                    <a:prstGeom prst="rect">
                      <a:avLst/>
                    </a:prstGeom>
                    <a:noFill/>
                  </pic:spPr>
                </pic:pic>
              </a:graphicData>
            </a:graphic>
            <wp14:sizeRelH relativeFrom="page">
              <wp14:pctWidth>0</wp14:pctWidth>
            </wp14:sizeRelH>
            <wp14:sizeRelV relativeFrom="page">
              <wp14:pctHeight>0</wp14:pctHeight>
            </wp14:sizeRelV>
          </wp:anchor>
        </w:drawing>
      </w:r>
    </w:p>
    <w:p w14:paraId="55F6EEC7" w14:textId="77777777" w:rsidR="000C7098" w:rsidRPr="00062B4F" w:rsidRDefault="000C7098" w:rsidP="009D2E3F">
      <w:pPr>
        <w:ind w:firstLine="0"/>
        <w:jc w:val="left"/>
      </w:pPr>
      <w:r w:rsidRPr="00062B4F">
        <w:t xml:space="preserve">Алгоритм выбора терапии при ХМЛ </w:t>
      </w:r>
    </w:p>
    <w:p w14:paraId="7D331E88" w14:textId="77777777" w:rsidR="000C7098" w:rsidRPr="00062B4F" w:rsidRDefault="000C7098" w:rsidP="009D2E3F">
      <w:pPr>
        <w:ind w:firstLine="0"/>
        <w:jc w:val="left"/>
      </w:pPr>
    </w:p>
    <w:p w14:paraId="2D274A3C" w14:textId="77777777" w:rsidR="000C7098" w:rsidRPr="00062B4F" w:rsidRDefault="000C7098" w:rsidP="009D2E3F">
      <w:pPr>
        <w:ind w:firstLine="0"/>
        <w:jc w:val="left"/>
      </w:pPr>
    </w:p>
    <w:p w14:paraId="575798F7" w14:textId="77777777" w:rsidR="000C7098" w:rsidRPr="00062B4F" w:rsidRDefault="000C7098" w:rsidP="009D2E3F">
      <w:pPr>
        <w:pageBreakBefore/>
        <w:suppressAutoHyphens/>
        <w:spacing w:before="240"/>
        <w:ind w:firstLine="0"/>
        <w:jc w:val="center"/>
        <w:outlineLvl w:val="0"/>
        <w:rPr>
          <w:b/>
          <w:sz w:val="28"/>
          <w:szCs w:val="28"/>
        </w:rPr>
      </w:pPr>
      <w:bookmarkStart w:id="65" w:name="_Toc86133425"/>
      <w:r w:rsidRPr="00062B4F">
        <w:rPr>
          <w:b/>
          <w:sz w:val="28"/>
          <w:szCs w:val="28"/>
        </w:rPr>
        <w:lastRenderedPageBreak/>
        <w:t>Приложение В. Информация для пациента</w:t>
      </w:r>
      <w:bookmarkEnd w:id="65"/>
    </w:p>
    <w:p w14:paraId="56942C46" w14:textId="77777777" w:rsidR="000C7098" w:rsidRPr="00062B4F" w:rsidRDefault="000C7098" w:rsidP="009D2E3F">
      <w:pPr>
        <w:rPr>
          <w:szCs w:val="24"/>
          <w:u w:val="single"/>
          <w:lang w:eastAsia="ru-RU"/>
        </w:rPr>
      </w:pPr>
    </w:p>
    <w:p w14:paraId="0D734C87" w14:textId="77777777" w:rsidR="000C7098" w:rsidRPr="00062B4F" w:rsidRDefault="000C7098" w:rsidP="004D52E4">
      <w:pPr>
        <w:spacing w:after="120"/>
        <w:rPr>
          <w:szCs w:val="24"/>
          <w:u w:val="single"/>
          <w:lang w:eastAsia="ru-RU"/>
        </w:rPr>
      </w:pPr>
      <w:r w:rsidRPr="00062B4F">
        <w:rPr>
          <w:szCs w:val="24"/>
          <w:u w:val="single"/>
          <w:lang w:eastAsia="ru-RU"/>
        </w:rPr>
        <w:t>Глубокоуважаемый …!</w:t>
      </w:r>
    </w:p>
    <w:p w14:paraId="1B4B9B61" w14:textId="78A363BD" w:rsidR="000C7098" w:rsidRPr="00F4064E" w:rsidRDefault="000C7098" w:rsidP="009D2E3F">
      <w:pPr>
        <w:rPr>
          <w:szCs w:val="24"/>
          <w:lang w:eastAsia="ru-RU"/>
        </w:rPr>
      </w:pPr>
      <w:r w:rsidRPr="00062B4F">
        <w:rPr>
          <w:szCs w:val="24"/>
          <w:lang w:eastAsia="ru-RU"/>
        </w:rPr>
        <w:t xml:space="preserve">У Вас выявлено заболевание – хронический </w:t>
      </w:r>
      <w:proofErr w:type="spellStart"/>
      <w:r w:rsidRPr="00062B4F">
        <w:rPr>
          <w:szCs w:val="24"/>
          <w:lang w:eastAsia="ru-RU"/>
        </w:rPr>
        <w:t>миелолейкоз</w:t>
      </w:r>
      <w:proofErr w:type="spellEnd"/>
      <w:r w:rsidRPr="00062B4F">
        <w:rPr>
          <w:szCs w:val="24"/>
          <w:lang w:eastAsia="ru-RU"/>
        </w:rPr>
        <w:t>. При развитии ХМЛ возникает клон лейкозных клеток, который вытесняет клетки нормального кроветворения в костном мозге. Лейкозные клетки содержат маркер этого заболевания – филадельфийскую хромосому (</w:t>
      </w:r>
      <w:proofErr w:type="spellStart"/>
      <w:r w:rsidRPr="00062B4F">
        <w:rPr>
          <w:szCs w:val="24"/>
          <w:lang w:eastAsia="ru-RU"/>
        </w:rPr>
        <w:t>Ph</w:t>
      </w:r>
      <w:proofErr w:type="spellEnd"/>
      <w:r w:rsidRPr="00062B4F">
        <w:rPr>
          <w:szCs w:val="24"/>
          <w:lang w:eastAsia="ru-RU"/>
        </w:rPr>
        <w:t xml:space="preserve">+) и/или </w:t>
      </w:r>
      <w:proofErr w:type="spellStart"/>
      <w:r w:rsidRPr="00062B4F">
        <w:rPr>
          <w:szCs w:val="24"/>
          <w:lang w:eastAsia="ru-RU"/>
        </w:rPr>
        <w:t>транскрипт</w:t>
      </w:r>
      <w:proofErr w:type="spellEnd"/>
      <w:r w:rsidRPr="00062B4F">
        <w:rPr>
          <w:szCs w:val="24"/>
          <w:lang w:eastAsia="ru-RU"/>
        </w:rPr>
        <w:t xml:space="preserve"> </w:t>
      </w:r>
      <w:proofErr w:type="gramStart"/>
      <w:r w:rsidRPr="00F4064E">
        <w:rPr>
          <w:i/>
          <w:szCs w:val="24"/>
          <w:lang w:eastAsia="ru-RU"/>
        </w:rPr>
        <w:t>BCR</w:t>
      </w:r>
      <w:r w:rsidR="009A4479" w:rsidRPr="00F4064E">
        <w:rPr>
          <w:i/>
          <w:szCs w:val="24"/>
          <w:lang w:eastAsia="ru-RU"/>
        </w:rPr>
        <w:t>::</w:t>
      </w:r>
      <w:proofErr w:type="gramEnd"/>
      <w:r w:rsidRPr="00F4064E">
        <w:rPr>
          <w:i/>
          <w:szCs w:val="24"/>
          <w:lang w:eastAsia="ru-RU"/>
        </w:rPr>
        <w:t>ABL</w:t>
      </w:r>
      <w:r w:rsidR="009A4479" w:rsidRPr="00F4064E">
        <w:rPr>
          <w:i/>
          <w:szCs w:val="24"/>
          <w:lang w:eastAsia="ru-RU"/>
        </w:rPr>
        <w:t>1</w:t>
      </w:r>
      <w:r w:rsidRPr="00F4064E">
        <w:rPr>
          <w:szCs w:val="24"/>
          <w:lang w:eastAsia="ru-RU"/>
        </w:rPr>
        <w:t>. Данные маркеры выявляются при цитогенетическом исследовании костного мозга или молекулярно-генетическом исследовании периферической крови. ХМЛ нередко выявляется при случайном анализе крови, и клинические симптомы заболевания на момент его диагностики могут отсутствовать. Однако в случае отсутствия специфического лечения неизбежно происходит постепенная прогрессия заболевания.</w:t>
      </w:r>
    </w:p>
    <w:p w14:paraId="3E94A4E4" w14:textId="77777777" w:rsidR="000C7098" w:rsidRPr="00F4064E" w:rsidRDefault="000C7098" w:rsidP="009D2E3F">
      <w:pPr>
        <w:rPr>
          <w:szCs w:val="24"/>
          <w:lang w:eastAsia="ru-RU"/>
        </w:rPr>
      </w:pPr>
      <w:r w:rsidRPr="00F4064E">
        <w:rPr>
          <w:szCs w:val="24"/>
          <w:lang w:eastAsia="ru-RU"/>
        </w:rPr>
        <w:t xml:space="preserve">Для лечения пациентов с ХМЛ применяют современную целенаправленную терапию – препараты ингибиторы </w:t>
      </w:r>
      <w:proofErr w:type="spellStart"/>
      <w:r w:rsidRPr="00F4064E">
        <w:rPr>
          <w:szCs w:val="24"/>
          <w:lang w:eastAsia="ru-RU"/>
        </w:rPr>
        <w:t>тирозинкиназ</w:t>
      </w:r>
      <w:proofErr w:type="spellEnd"/>
      <w:r w:rsidRPr="00F4064E">
        <w:rPr>
          <w:szCs w:val="24"/>
          <w:lang w:eastAsia="ru-RU"/>
        </w:rPr>
        <w:t xml:space="preserve"> (ИТК), что позволяет добиться значительного уменьшения числа лейкозных клеток и определяет благоприятный долговременный прогноз заболевания. В настоящее время в Российской Федерации доступны ингибиторы </w:t>
      </w:r>
      <w:proofErr w:type="spellStart"/>
      <w:r w:rsidRPr="00F4064E">
        <w:rPr>
          <w:szCs w:val="24"/>
          <w:lang w:eastAsia="ru-RU"/>
        </w:rPr>
        <w:t>тирозинкиназ</w:t>
      </w:r>
      <w:proofErr w:type="spellEnd"/>
      <w:r w:rsidRPr="00F4064E">
        <w:rPr>
          <w:szCs w:val="24"/>
          <w:lang w:eastAsia="ru-RU"/>
        </w:rPr>
        <w:t xml:space="preserve"> 1 и 2 поколения. Выбор препарата для Вашего лечения терапии осуществляется с учетом фазы заболевания, сопутствующей патологии и побочных эффектов каждого ИТК, в соответствии с современными рекомендациями по терапии ХМЛ. В большинстве случаев ХМЛ выявляется в хронической фазе (ХФ), и лечение проводится амбулаторно. Однако при наличии показаний может осуществляться госпитализация.</w:t>
      </w:r>
    </w:p>
    <w:p w14:paraId="678691B2" w14:textId="77777777" w:rsidR="000C7098" w:rsidRPr="00F4064E" w:rsidRDefault="000C7098" w:rsidP="009D2E3F">
      <w:pPr>
        <w:rPr>
          <w:szCs w:val="24"/>
          <w:lang w:eastAsia="ru-RU"/>
        </w:rPr>
      </w:pPr>
      <w:r w:rsidRPr="00F4064E">
        <w:rPr>
          <w:szCs w:val="24"/>
          <w:lang w:eastAsia="ru-RU"/>
        </w:rPr>
        <w:t xml:space="preserve">Основной принцип терапии ХМЛ – индукция ответа на лечение и подавление клона лейкемических </w:t>
      </w:r>
      <w:proofErr w:type="spellStart"/>
      <w:r w:rsidRPr="00F4064E">
        <w:rPr>
          <w:szCs w:val="24"/>
          <w:lang w:eastAsia="ru-RU"/>
        </w:rPr>
        <w:t>Ph</w:t>
      </w:r>
      <w:proofErr w:type="spellEnd"/>
      <w:r w:rsidRPr="00F4064E">
        <w:rPr>
          <w:szCs w:val="24"/>
          <w:lang w:eastAsia="ru-RU"/>
        </w:rPr>
        <w:t>+ клеток с целью снижения риска прогрессии заболевания. Результаты только общего анализа крови после достижения полной гематологической ремиссии не являются достаточно информативными для оценки ответа на терапию. Основными методами оценки объема лейкозного клона и параметрами, характеризующими эффективность терапии при ХМЛ, являются цитогенетические и молекулярно-генетические методы исследования</w:t>
      </w:r>
    </w:p>
    <w:p w14:paraId="309055D2" w14:textId="1E5AA222" w:rsidR="000C7098" w:rsidRPr="00F4064E" w:rsidRDefault="000C7098" w:rsidP="009D2E3F">
      <w:pPr>
        <w:rPr>
          <w:szCs w:val="24"/>
          <w:lang w:eastAsia="ru-RU"/>
        </w:rPr>
      </w:pPr>
      <w:r w:rsidRPr="00F4064E">
        <w:rPr>
          <w:szCs w:val="24"/>
          <w:lang w:eastAsia="ru-RU"/>
        </w:rPr>
        <w:t>Ключевым при ХМЛ является своевременное переключение на более эффективные препараты при неудаче терапии первой линии и своевременное решение вопроса о выполнении аллогенной трансплантации кроветворных клеток костного мозга. Для того чтобы определить показания к продолжению лечения или к смене терапии, ответ на лечение при ХМЛ определяют, как оптимальный, неудача или предупреждение. На каждом сроке наблюдения существуют свои критерии для этих определений.</w:t>
      </w:r>
    </w:p>
    <w:p w14:paraId="2C39324E" w14:textId="08D900CE" w:rsidR="000C7098" w:rsidRPr="00F4064E" w:rsidRDefault="000C7098" w:rsidP="009D2E3F">
      <w:pPr>
        <w:rPr>
          <w:szCs w:val="24"/>
          <w:lang w:eastAsia="ru-RU"/>
        </w:rPr>
      </w:pPr>
      <w:r w:rsidRPr="00F4064E">
        <w:rPr>
          <w:iCs/>
          <w:szCs w:val="24"/>
          <w:lang w:eastAsia="ru-RU"/>
        </w:rPr>
        <w:lastRenderedPageBreak/>
        <w:t>Оптимальным ответом</w:t>
      </w:r>
      <w:r w:rsidRPr="00F4064E">
        <w:rPr>
          <w:szCs w:val="24"/>
          <w:lang w:eastAsia="ru-RU"/>
        </w:rPr>
        <w:t xml:space="preserve"> на лечение при ХМЛ считают: снижение уровня </w:t>
      </w:r>
      <w:proofErr w:type="spellStart"/>
      <w:r w:rsidRPr="00F4064E">
        <w:rPr>
          <w:szCs w:val="24"/>
          <w:lang w:eastAsia="ru-RU"/>
        </w:rPr>
        <w:t>транскрипта</w:t>
      </w:r>
      <w:proofErr w:type="spellEnd"/>
      <w:r w:rsidRPr="00F4064E">
        <w:rPr>
          <w:szCs w:val="24"/>
          <w:lang w:eastAsia="ru-RU"/>
        </w:rPr>
        <w:t xml:space="preserve"> </w:t>
      </w:r>
      <w:proofErr w:type="gramStart"/>
      <w:r w:rsidR="009A4479" w:rsidRPr="00F4064E">
        <w:rPr>
          <w:i/>
          <w:szCs w:val="24"/>
          <w:lang w:eastAsia="ru-RU"/>
        </w:rPr>
        <w:t>BCR::</w:t>
      </w:r>
      <w:proofErr w:type="gramEnd"/>
      <w:r w:rsidR="009A4479" w:rsidRPr="00F4064E">
        <w:rPr>
          <w:i/>
          <w:szCs w:val="24"/>
          <w:lang w:eastAsia="ru-RU"/>
        </w:rPr>
        <w:t>ABL1</w:t>
      </w:r>
      <w:r w:rsidRPr="00F4064E">
        <w:rPr>
          <w:szCs w:val="24"/>
          <w:lang w:eastAsia="ru-RU"/>
        </w:rPr>
        <w:t xml:space="preserve">≤10 % через 3 месяца, </w:t>
      </w:r>
      <w:r w:rsidR="00105081" w:rsidRPr="00F4064E">
        <w:rPr>
          <w:szCs w:val="24"/>
          <w:lang w:eastAsia="ru-RU"/>
        </w:rPr>
        <w:t>≤</w:t>
      </w:r>
      <w:r w:rsidRPr="00F4064E">
        <w:rPr>
          <w:szCs w:val="24"/>
          <w:lang w:eastAsia="ru-RU"/>
        </w:rPr>
        <w:t>1 % через 6 месяцев и ≤0,1 % через 12 месяцев лечения. Оптимальный ответ при хорошей переносимости лечения, свидетельствует о благоприятном прогнозе и длительной выживаемости без прогрессирования. При оптимальном ответе терапия будет продолжена в прежнем режиме.</w:t>
      </w:r>
    </w:p>
    <w:p w14:paraId="294BAC16" w14:textId="5B6F6EFD" w:rsidR="000C7098" w:rsidRPr="00F4064E" w:rsidRDefault="000C7098" w:rsidP="009D2E3F">
      <w:pPr>
        <w:rPr>
          <w:i/>
          <w:szCs w:val="24"/>
          <w:lang w:eastAsia="ru-RU"/>
        </w:rPr>
      </w:pPr>
      <w:r w:rsidRPr="00F4064E">
        <w:rPr>
          <w:iCs/>
          <w:szCs w:val="24"/>
          <w:lang w:eastAsia="ru-RU"/>
        </w:rPr>
        <w:t>Неудача терапии</w:t>
      </w:r>
      <w:r w:rsidRPr="00F4064E">
        <w:rPr>
          <w:szCs w:val="24"/>
          <w:lang w:eastAsia="ru-RU"/>
        </w:rPr>
        <w:t xml:space="preserve"> предполагает повышенный риск прогрессии заболевания и является основой для обсуждения вопроса о целесообразности изменения терапии. Критериями неудачи терапии являются: уровень </w:t>
      </w:r>
      <w:proofErr w:type="gramStart"/>
      <w:r w:rsidR="009A4479" w:rsidRPr="00F4064E">
        <w:rPr>
          <w:i/>
          <w:szCs w:val="24"/>
          <w:lang w:eastAsia="ru-RU"/>
        </w:rPr>
        <w:t>BCR::</w:t>
      </w:r>
      <w:proofErr w:type="gramEnd"/>
      <w:r w:rsidR="009A4479" w:rsidRPr="00F4064E">
        <w:rPr>
          <w:i/>
          <w:szCs w:val="24"/>
          <w:lang w:eastAsia="ru-RU"/>
        </w:rPr>
        <w:t>ABL1</w:t>
      </w:r>
      <w:r w:rsidRPr="00F4064E">
        <w:rPr>
          <w:szCs w:val="24"/>
          <w:lang w:eastAsia="ru-RU"/>
        </w:rPr>
        <w:t>&gt;10%</w:t>
      </w:r>
      <w:r w:rsidR="00D30DB4" w:rsidRPr="00F4064E">
        <w:rPr>
          <w:szCs w:val="24"/>
          <w:lang w:eastAsia="ru-RU"/>
        </w:rPr>
        <w:t>, подтвержденный повторным анализом через 1-3 месяца</w:t>
      </w:r>
      <w:r w:rsidRPr="00F4064E">
        <w:rPr>
          <w:szCs w:val="24"/>
          <w:lang w:eastAsia="ru-RU"/>
        </w:rPr>
        <w:t xml:space="preserve">, </w:t>
      </w:r>
      <w:proofErr w:type="spellStart"/>
      <w:r w:rsidRPr="00F4064E">
        <w:rPr>
          <w:szCs w:val="24"/>
          <w:lang w:eastAsia="ru-RU"/>
        </w:rPr>
        <w:t>Ph</w:t>
      </w:r>
      <w:proofErr w:type="spellEnd"/>
      <w:r w:rsidRPr="00F4064E">
        <w:rPr>
          <w:szCs w:val="24"/>
          <w:lang w:eastAsia="ru-RU"/>
        </w:rPr>
        <w:t>+ &gt;95% и</w:t>
      </w:r>
      <w:r w:rsidR="00D30DB4" w:rsidRPr="00F4064E">
        <w:rPr>
          <w:szCs w:val="24"/>
          <w:lang w:eastAsia="ru-RU"/>
        </w:rPr>
        <w:t>ли</w:t>
      </w:r>
      <w:r w:rsidRPr="00F4064E">
        <w:rPr>
          <w:szCs w:val="24"/>
          <w:lang w:eastAsia="ru-RU"/>
        </w:rPr>
        <w:t xml:space="preserve"> отсутствие гематологического ответа через 3 месяца; </w:t>
      </w:r>
      <w:r w:rsidR="009A4479" w:rsidRPr="00F4064E">
        <w:rPr>
          <w:i/>
          <w:szCs w:val="24"/>
          <w:lang w:eastAsia="ru-RU"/>
        </w:rPr>
        <w:t>BCR::ABL1</w:t>
      </w:r>
      <w:r w:rsidRPr="00F4064E">
        <w:rPr>
          <w:szCs w:val="24"/>
          <w:lang w:eastAsia="ru-RU"/>
        </w:rPr>
        <w:t xml:space="preserve">≥10% </w:t>
      </w:r>
      <w:r w:rsidR="00D30DB4" w:rsidRPr="00F4064E">
        <w:rPr>
          <w:szCs w:val="24"/>
          <w:lang w:eastAsia="ru-RU"/>
        </w:rPr>
        <w:t>че</w:t>
      </w:r>
      <w:r w:rsidRPr="00F4064E">
        <w:rPr>
          <w:szCs w:val="24"/>
          <w:lang w:eastAsia="ru-RU"/>
        </w:rPr>
        <w:t xml:space="preserve">рез 6 месяцев; </w:t>
      </w:r>
      <w:r w:rsidR="009A4479" w:rsidRPr="00F4064E">
        <w:rPr>
          <w:i/>
          <w:szCs w:val="24"/>
          <w:lang w:eastAsia="ru-RU"/>
        </w:rPr>
        <w:t>BCR::ABL1</w:t>
      </w:r>
      <w:r w:rsidRPr="00F4064E">
        <w:rPr>
          <w:szCs w:val="24"/>
          <w:lang w:eastAsia="ru-RU"/>
        </w:rPr>
        <w:t>≥1% через 12 месяцев. Если недостаточный ответ не связан с нарушением приема препарата</w:t>
      </w:r>
      <w:r w:rsidR="00D30DB4" w:rsidRPr="00F4064E">
        <w:rPr>
          <w:szCs w:val="24"/>
          <w:lang w:eastAsia="ru-RU"/>
        </w:rPr>
        <w:t>,</w:t>
      </w:r>
      <w:r w:rsidRPr="00F4064E">
        <w:rPr>
          <w:szCs w:val="24"/>
          <w:lang w:eastAsia="ru-RU"/>
        </w:rPr>
        <w:t xml:space="preserve"> </w:t>
      </w:r>
      <w:r w:rsidR="00D30DB4" w:rsidRPr="00F4064E">
        <w:rPr>
          <w:szCs w:val="24"/>
          <w:lang w:eastAsia="ru-RU"/>
        </w:rPr>
        <w:t xml:space="preserve">будет </w:t>
      </w:r>
      <w:r w:rsidRPr="00F4064E">
        <w:rPr>
          <w:szCs w:val="24"/>
          <w:lang w:eastAsia="ru-RU"/>
        </w:rPr>
        <w:t xml:space="preserve">проводится анализ мутаций гена </w:t>
      </w:r>
      <w:proofErr w:type="gramStart"/>
      <w:r w:rsidR="009A4479" w:rsidRPr="00F4064E">
        <w:rPr>
          <w:i/>
          <w:szCs w:val="24"/>
          <w:lang w:eastAsia="ru-RU"/>
        </w:rPr>
        <w:t>BCR::</w:t>
      </w:r>
      <w:proofErr w:type="gramEnd"/>
      <w:r w:rsidR="009A4479" w:rsidRPr="00F4064E">
        <w:rPr>
          <w:i/>
          <w:szCs w:val="24"/>
          <w:lang w:eastAsia="ru-RU"/>
        </w:rPr>
        <w:t>ABL1</w:t>
      </w:r>
      <w:r w:rsidRPr="00F4064E">
        <w:rPr>
          <w:iCs/>
          <w:szCs w:val="24"/>
          <w:lang w:eastAsia="ru-RU"/>
        </w:rPr>
        <w:t xml:space="preserve">. При терапии </w:t>
      </w:r>
      <w:proofErr w:type="spellStart"/>
      <w:r w:rsidRPr="00F4064E">
        <w:rPr>
          <w:iCs/>
          <w:szCs w:val="24"/>
          <w:lang w:eastAsia="ru-RU"/>
        </w:rPr>
        <w:t>иматинибом</w:t>
      </w:r>
      <w:proofErr w:type="spellEnd"/>
      <w:r w:rsidR="009F4B27" w:rsidRPr="00F4064E">
        <w:rPr>
          <w:iCs/>
          <w:szCs w:val="24"/>
          <w:lang w:eastAsia="ru-RU"/>
        </w:rPr>
        <w:t>**</w:t>
      </w:r>
      <w:r w:rsidRPr="00F4064E">
        <w:rPr>
          <w:iCs/>
          <w:szCs w:val="24"/>
          <w:lang w:eastAsia="ru-RU"/>
        </w:rPr>
        <w:t xml:space="preserve"> будет выполнено переключение на ИТК2 либо повышение дозы </w:t>
      </w:r>
      <w:proofErr w:type="spellStart"/>
      <w:r w:rsidRPr="00F4064E">
        <w:rPr>
          <w:iCs/>
          <w:szCs w:val="24"/>
          <w:lang w:eastAsia="ru-RU"/>
        </w:rPr>
        <w:t>иматиниба</w:t>
      </w:r>
      <w:proofErr w:type="spellEnd"/>
      <w:r w:rsidR="009F4B27" w:rsidRPr="00F4064E">
        <w:rPr>
          <w:iCs/>
          <w:szCs w:val="24"/>
          <w:lang w:eastAsia="ru-RU"/>
        </w:rPr>
        <w:t>**</w:t>
      </w:r>
      <w:r w:rsidRPr="00F4064E">
        <w:rPr>
          <w:iCs/>
          <w:szCs w:val="24"/>
          <w:lang w:eastAsia="ru-RU"/>
        </w:rPr>
        <w:t xml:space="preserve">. Выбор ИТК при изменении лечения будет осуществляться с учетом сопутствующей патологии, побочных эффектов и анализа мутаций </w:t>
      </w:r>
      <w:proofErr w:type="gramStart"/>
      <w:r w:rsidR="009A4479" w:rsidRPr="00F4064E">
        <w:rPr>
          <w:i/>
          <w:szCs w:val="24"/>
          <w:lang w:eastAsia="ru-RU"/>
        </w:rPr>
        <w:t>BCR::</w:t>
      </w:r>
      <w:proofErr w:type="gramEnd"/>
      <w:r w:rsidR="009A4479" w:rsidRPr="00F4064E">
        <w:rPr>
          <w:i/>
          <w:szCs w:val="24"/>
          <w:lang w:eastAsia="ru-RU"/>
        </w:rPr>
        <w:t>ABL1</w:t>
      </w:r>
      <w:r w:rsidRPr="00F4064E">
        <w:rPr>
          <w:iCs/>
          <w:szCs w:val="24"/>
          <w:lang w:eastAsia="ru-RU"/>
        </w:rPr>
        <w:t>.</w:t>
      </w:r>
    </w:p>
    <w:p w14:paraId="571581FC" w14:textId="089C6BE0" w:rsidR="000C7098" w:rsidRPr="00F4064E" w:rsidRDefault="000C7098" w:rsidP="009D2E3F">
      <w:pPr>
        <w:rPr>
          <w:szCs w:val="24"/>
          <w:lang w:eastAsia="ru-RU"/>
        </w:rPr>
      </w:pPr>
      <w:r w:rsidRPr="00F4064E">
        <w:rPr>
          <w:szCs w:val="24"/>
          <w:lang w:eastAsia="ru-RU"/>
        </w:rPr>
        <w:t xml:space="preserve">К категории </w:t>
      </w:r>
      <w:r w:rsidRPr="00F4064E">
        <w:rPr>
          <w:iCs/>
          <w:szCs w:val="24"/>
          <w:lang w:eastAsia="ru-RU"/>
        </w:rPr>
        <w:t>предупреждения</w:t>
      </w:r>
      <w:r w:rsidRPr="00F4064E">
        <w:rPr>
          <w:i/>
          <w:szCs w:val="24"/>
          <w:lang w:eastAsia="ru-RU"/>
        </w:rPr>
        <w:t xml:space="preserve"> </w:t>
      </w:r>
      <w:r w:rsidRPr="00F4064E">
        <w:rPr>
          <w:szCs w:val="24"/>
          <w:lang w:eastAsia="ru-RU"/>
        </w:rPr>
        <w:t xml:space="preserve">относятся промежуточные значения ответов. При наличии неблагоприятных факторов и группы </w:t>
      </w:r>
      <w:r w:rsidR="006D4B2D">
        <w:rPr>
          <w:szCs w:val="24"/>
          <w:lang w:eastAsia="ru-RU"/>
        </w:rPr>
        <w:t xml:space="preserve">высокого </w:t>
      </w:r>
      <w:r w:rsidRPr="00F4064E">
        <w:rPr>
          <w:szCs w:val="24"/>
          <w:lang w:eastAsia="ru-RU"/>
        </w:rPr>
        <w:t>риска, для этой категории пациентов рассматривают увеличение дозы или замену ИТК.</w:t>
      </w:r>
    </w:p>
    <w:p w14:paraId="6F289103" w14:textId="2AC9182D" w:rsidR="000C7098" w:rsidRPr="00F4064E" w:rsidRDefault="000C7098" w:rsidP="009D2E3F">
      <w:pPr>
        <w:rPr>
          <w:szCs w:val="24"/>
          <w:lang w:eastAsia="ru-RU"/>
        </w:rPr>
      </w:pPr>
      <w:r w:rsidRPr="00F4064E">
        <w:rPr>
          <w:szCs w:val="24"/>
          <w:lang w:eastAsia="ru-RU"/>
        </w:rPr>
        <w:t xml:space="preserve">Таким образом, эффективность терапии у Вас планируется оценивать через 3, 6 и 12 месяцев от начала лечения ИТК. Будет регулярно осуществляться забор периферической крови и определение относительной экспрессии </w:t>
      </w:r>
      <w:proofErr w:type="gramStart"/>
      <w:r w:rsidR="009A4479" w:rsidRPr="00F4064E">
        <w:rPr>
          <w:i/>
          <w:szCs w:val="24"/>
          <w:lang w:eastAsia="ru-RU"/>
        </w:rPr>
        <w:t>BCR::</w:t>
      </w:r>
      <w:proofErr w:type="gramEnd"/>
      <w:r w:rsidR="009A4479" w:rsidRPr="00F4064E">
        <w:rPr>
          <w:i/>
          <w:szCs w:val="24"/>
          <w:lang w:eastAsia="ru-RU"/>
        </w:rPr>
        <w:t>ABL1</w:t>
      </w:r>
      <w:r w:rsidRPr="00F4064E">
        <w:rPr>
          <w:szCs w:val="24"/>
          <w:lang w:eastAsia="ru-RU"/>
        </w:rPr>
        <w:t>, а пункция костного мозга будет выполняться только в особых клинических ситуациях по решению вашего врача.</w:t>
      </w:r>
    </w:p>
    <w:p w14:paraId="02501296" w14:textId="77777777" w:rsidR="000C7098" w:rsidRPr="00062B4F" w:rsidRDefault="000C7098" w:rsidP="009D2E3F">
      <w:pPr>
        <w:rPr>
          <w:szCs w:val="24"/>
          <w:lang w:eastAsia="ru-RU"/>
        </w:rPr>
      </w:pPr>
      <w:r w:rsidRPr="00F4064E">
        <w:rPr>
          <w:szCs w:val="24"/>
          <w:lang w:eastAsia="ru-RU"/>
        </w:rPr>
        <w:t xml:space="preserve">На каждом визите к врачу предусмотрено оценивать переносимость терапии ИТК, по результатам беседы с пациентом, </w:t>
      </w:r>
      <w:proofErr w:type="spellStart"/>
      <w:r w:rsidRPr="00F4064E">
        <w:rPr>
          <w:szCs w:val="24"/>
          <w:lang w:eastAsia="ru-RU"/>
        </w:rPr>
        <w:t>физикального</w:t>
      </w:r>
      <w:proofErr w:type="spellEnd"/>
      <w:r w:rsidRPr="00F4064E">
        <w:rPr>
          <w:szCs w:val="24"/>
          <w:lang w:eastAsia="ru-RU"/>
        </w:rPr>
        <w:t xml:space="preserve"> осмотра и</w:t>
      </w:r>
      <w:r w:rsidRPr="00062B4F">
        <w:rPr>
          <w:szCs w:val="24"/>
          <w:lang w:eastAsia="ru-RU"/>
        </w:rPr>
        <w:t xml:space="preserve"> оценки клинико-лабораторных параметров: общего анализа крови, биохимического анализа крови. В случае возникновения токсичности будут даны дополнительные рекомендации, с учетом степеней токсичности и ее длительности.</w:t>
      </w:r>
    </w:p>
    <w:p w14:paraId="54E5A695" w14:textId="4E026E44" w:rsidR="000C7098" w:rsidRPr="00062B4F" w:rsidRDefault="000C7098" w:rsidP="009D2E3F">
      <w:pPr>
        <w:rPr>
          <w:szCs w:val="24"/>
          <w:lang w:eastAsia="ru-RU"/>
        </w:rPr>
      </w:pPr>
      <w:r w:rsidRPr="00062B4F">
        <w:rPr>
          <w:szCs w:val="24"/>
          <w:lang w:eastAsia="ru-RU"/>
        </w:rPr>
        <w:t xml:space="preserve">В настоящее время ХМЛ относится к тем заболеваниям, которые хорошо </w:t>
      </w:r>
      <w:r w:rsidRPr="00F4064E">
        <w:rPr>
          <w:szCs w:val="24"/>
          <w:lang w:eastAsia="ru-RU"/>
        </w:rPr>
        <w:t xml:space="preserve">контролируются с помощью терапии ИТК. Получение глубокой ремиссии заболевания – так называемого глубокого молекулярного ответа, при котором уровень экспрессии </w:t>
      </w:r>
      <w:proofErr w:type="gramStart"/>
      <w:r w:rsidR="009A4479" w:rsidRPr="00F4064E">
        <w:rPr>
          <w:i/>
          <w:szCs w:val="24"/>
          <w:lang w:eastAsia="ru-RU"/>
        </w:rPr>
        <w:t>BCR::</w:t>
      </w:r>
      <w:proofErr w:type="gramEnd"/>
      <w:r w:rsidR="009A4479" w:rsidRPr="00F4064E">
        <w:rPr>
          <w:i/>
          <w:szCs w:val="24"/>
          <w:lang w:eastAsia="ru-RU"/>
        </w:rPr>
        <w:t>ABL1</w:t>
      </w:r>
      <w:r w:rsidRPr="00F4064E">
        <w:rPr>
          <w:szCs w:val="24"/>
          <w:lang w:eastAsia="ru-RU"/>
        </w:rPr>
        <w:t xml:space="preserve"> не определяется, может быть констатировано после нескольких лет терапии. </w:t>
      </w:r>
      <w:r w:rsidR="00D30DB4" w:rsidRPr="00F4064E">
        <w:rPr>
          <w:szCs w:val="24"/>
          <w:lang w:eastAsia="ru-RU"/>
        </w:rPr>
        <w:t>При стабильном</w:t>
      </w:r>
      <w:r w:rsidR="00D30DB4">
        <w:rPr>
          <w:szCs w:val="24"/>
          <w:lang w:eastAsia="ru-RU"/>
        </w:rPr>
        <w:t xml:space="preserve"> глубоком молекулярном ответе может быть рассмотрена возможность ведения ремиссии без терапии ИТК в случае, если будет соответствие всем необходимым критериям</w:t>
      </w:r>
      <w:r w:rsidR="00A730DE">
        <w:rPr>
          <w:szCs w:val="24"/>
          <w:lang w:eastAsia="ru-RU"/>
        </w:rPr>
        <w:t xml:space="preserve"> для безопасной отмены лечения</w:t>
      </w:r>
      <w:r w:rsidRPr="00062B4F">
        <w:rPr>
          <w:szCs w:val="24"/>
          <w:lang w:eastAsia="ru-RU"/>
        </w:rPr>
        <w:t>.</w:t>
      </w:r>
    </w:p>
    <w:p w14:paraId="093494C6" w14:textId="77777777" w:rsidR="000C7098" w:rsidRPr="00062B4F" w:rsidRDefault="000C7098" w:rsidP="009D2E3F">
      <w:pPr>
        <w:rPr>
          <w:szCs w:val="24"/>
          <w:lang w:eastAsia="ru-RU"/>
        </w:rPr>
      </w:pPr>
      <w:r w:rsidRPr="00062B4F">
        <w:rPr>
          <w:szCs w:val="24"/>
          <w:lang w:eastAsia="ru-RU"/>
        </w:rPr>
        <w:lastRenderedPageBreak/>
        <w:t>Важно отметить, что успех лечения во многом будет зависеть от Вашей приверженности терапии – т.е. следования рекомендациям специалиста и постоянному приему препаратов с учетом того, что лечение будет проводиться на протяжении ряда лет. Учитывая оптимистичные результаты длительной выживаемости пациентов (12-летняя общая выживаемость до 85 %), существует реальная перспектива общей продолжительности жизни, сопоставимой с таковой в обычной популяции.</w:t>
      </w:r>
    </w:p>
    <w:p w14:paraId="5C539637" w14:textId="7F4425C3" w:rsidR="00290348" w:rsidRPr="00062B4F" w:rsidRDefault="000C7098" w:rsidP="009D2E3F">
      <w:pPr>
        <w:rPr>
          <w:szCs w:val="24"/>
          <w:lang w:eastAsia="ru-RU"/>
        </w:rPr>
      </w:pPr>
      <w:r w:rsidRPr="00062B4F">
        <w:rPr>
          <w:szCs w:val="24"/>
          <w:lang w:eastAsia="ru-RU"/>
        </w:rPr>
        <w:t>В случае развития резистентности заболевания, нечувствительности к проводимому лечению, непереносимости лечения, будут приняты все меры по выбору дальнейшей оптимальной тактике Вашего ведения. Наблюдающие Вас врачи всегда готовы оказать Вам консультативную и лечебно-диагностическую поддержку.</w:t>
      </w:r>
    </w:p>
    <w:p w14:paraId="4A3CF0A1" w14:textId="05074475" w:rsidR="000C7098" w:rsidRPr="00062B4F" w:rsidRDefault="000C7098" w:rsidP="00351AF0">
      <w:pPr>
        <w:ind w:left="720" w:firstLine="0"/>
        <w:jc w:val="left"/>
        <w:rPr>
          <w:szCs w:val="24"/>
          <w:lang w:eastAsia="ru-RU"/>
        </w:rPr>
      </w:pPr>
      <w:r w:rsidRPr="00062B4F">
        <w:rPr>
          <w:szCs w:val="24"/>
          <w:lang w:eastAsia="ru-RU"/>
        </w:rPr>
        <w:br w:type="page"/>
      </w:r>
    </w:p>
    <w:p w14:paraId="1EE824B6" w14:textId="3739A9A5" w:rsidR="000C7098" w:rsidRPr="00062B4F" w:rsidRDefault="000C7098" w:rsidP="009C796D">
      <w:pPr>
        <w:keepNext/>
        <w:keepLines/>
        <w:spacing w:before="120" w:line="348" w:lineRule="auto"/>
        <w:ind w:firstLine="0"/>
        <w:jc w:val="center"/>
        <w:outlineLvl w:val="0"/>
        <w:rPr>
          <w:b/>
          <w:spacing w:val="2"/>
          <w:sz w:val="28"/>
        </w:rPr>
      </w:pPr>
      <w:bookmarkStart w:id="66" w:name="_Toc20348706"/>
      <w:bookmarkStart w:id="67" w:name="_Toc21004861"/>
      <w:bookmarkStart w:id="68" w:name="_Toc23174779"/>
      <w:bookmarkStart w:id="69" w:name="_Toc86133426"/>
      <w:r w:rsidRPr="00062B4F">
        <w:rPr>
          <w:b/>
          <w:spacing w:val="2"/>
          <w:sz w:val="28"/>
        </w:rPr>
        <w:lastRenderedPageBreak/>
        <w:t>Приложение Г1. Шкала оценки тяжести состояния пациента по версии ВОЗ/ECOG</w:t>
      </w:r>
      <w:bookmarkEnd w:id="66"/>
      <w:bookmarkEnd w:id="67"/>
      <w:bookmarkEnd w:id="68"/>
      <w:bookmarkEnd w:id="69"/>
    </w:p>
    <w:p w14:paraId="4AD513E3" w14:textId="77777777" w:rsidR="000C7098" w:rsidRPr="00062B4F" w:rsidRDefault="000C7098" w:rsidP="009C796D">
      <w:pPr>
        <w:spacing w:line="348" w:lineRule="auto"/>
        <w:rPr>
          <w:spacing w:val="-2"/>
          <w:szCs w:val="24"/>
        </w:rPr>
      </w:pPr>
      <w:r w:rsidRPr="00062B4F">
        <w:rPr>
          <w:spacing w:val="-2"/>
          <w:szCs w:val="24"/>
        </w:rPr>
        <w:t>Название на русском языке: Шкала оценки тяжести состояния пациента по версии ВОЗ/ECOG.</w:t>
      </w:r>
    </w:p>
    <w:p w14:paraId="6B68C706" w14:textId="77777777" w:rsidR="000C7098" w:rsidRPr="00062B4F" w:rsidRDefault="000C7098" w:rsidP="009C796D">
      <w:pPr>
        <w:spacing w:line="348" w:lineRule="auto"/>
        <w:rPr>
          <w:szCs w:val="24"/>
          <w:lang w:val="en-US"/>
        </w:rPr>
      </w:pPr>
      <w:r w:rsidRPr="00062B4F">
        <w:rPr>
          <w:szCs w:val="24"/>
        </w:rPr>
        <w:t>Оригинальное</w:t>
      </w:r>
      <w:r w:rsidRPr="00062B4F">
        <w:rPr>
          <w:szCs w:val="24"/>
          <w:lang w:val="en-US"/>
        </w:rPr>
        <w:t xml:space="preserve"> </w:t>
      </w:r>
      <w:r w:rsidRPr="00062B4F">
        <w:rPr>
          <w:szCs w:val="24"/>
        </w:rPr>
        <w:t>название</w:t>
      </w:r>
      <w:r w:rsidRPr="00062B4F">
        <w:rPr>
          <w:szCs w:val="24"/>
          <w:lang w:val="en-US"/>
        </w:rPr>
        <w:t>: The Eastern Cooperative Oncology Group/World Health Organization Performance Status (ECOG/WHO PS).</w:t>
      </w:r>
    </w:p>
    <w:p w14:paraId="2DA83009" w14:textId="77777777" w:rsidR="000C7098" w:rsidRPr="00062B4F" w:rsidRDefault="000C7098" w:rsidP="009C796D">
      <w:pPr>
        <w:spacing w:line="348" w:lineRule="auto"/>
        <w:ind w:left="709" w:firstLine="0"/>
        <w:rPr>
          <w:szCs w:val="24"/>
        </w:rPr>
      </w:pPr>
      <w:r w:rsidRPr="00062B4F">
        <w:rPr>
          <w:szCs w:val="24"/>
        </w:rPr>
        <w:t xml:space="preserve">Источник (официальный сайт разработчиков, публикация с </w:t>
      </w:r>
      <w:proofErr w:type="spellStart"/>
      <w:r w:rsidRPr="00062B4F">
        <w:rPr>
          <w:szCs w:val="24"/>
        </w:rPr>
        <w:t>валидацией</w:t>
      </w:r>
      <w:proofErr w:type="spellEnd"/>
      <w:r w:rsidRPr="00062B4F">
        <w:rPr>
          <w:szCs w:val="24"/>
        </w:rPr>
        <w:t>): https://ecogacrin.org/resources/ecog-performance-status;</w:t>
      </w:r>
    </w:p>
    <w:p w14:paraId="284790AE" w14:textId="77777777" w:rsidR="000C7098" w:rsidRPr="00654E12" w:rsidRDefault="000C7098" w:rsidP="009C796D">
      <w:pPr>
        <w:spacing w:line="348" w:lineRule="auto"/>
        <w:rPr>
          <w:szCs w:val="24"/>
        </w:rPr>
      </w:pPr>
      <w:proofErr w:type="spellStart"/>
      <w:r w:rsidRPr="00062B4F">
        <w:rPr>
          <w:szCs w:val="24"/>
          <w:lang w:val="en-US"/>
        </w:rPr>
        <w:t>Oken</w:t>
      </w:r>
      <w:proofErr w:type="spellEnd"/>
      <w:r w:rsidRPr="00062B4F">
        <w:rPr>
          <w:szCs w:val="24"/>
          <w:lang w:val="en-US"/>
        </w:rPr>
        <w:t xml:space="preserve"> M.M., Creech R.H., </w:t>
      </w:r>
      <w:proofErr w:type="spellStart"/>
      <w:r w:rsidRPr="00062B4F">
        <w:rPr>
          <w:szCs w:val="24"/>
          <w:lang w:val="en-US"/>
        </w:rPr>
        <w:t>Tormey</w:t>
      </w:r>
      <w:proofErr w:type="spellEnd"/>
      <w:r w:rsidRPr="00062B4F">
        <w:rPr>
          <w:szCs w:val="24"/>
          <w:lang w:val="en-US"/>
        </w:rPr>
        <w:t xml:space="preserve"> D.C. et al. Toxicity and response criteria of the Eastern Cooperative Oncology Group. Am</w:t>
      </w:r>
      <w:r w:rsidRPr="00654E12">
        <w:rPr>
          <w:szCs w:val="24"/>
        </w:rPr>
        <w:t xml:space="preserve"> </w:t>
      </w:r>
      <w:r w:rsidRPr="00062B4F">
        <w:rPr>
          <w:szCs w:val="24"/>
          <w:lang w:val="en-US"/>
        </w:rPr>
        <w:t>J</w:t>
      </w:r>
      <w:r w:rsidRPr="00654E12">
        <w:rPr>
          <w:szCs w:val="24"/>
        </w:rPr>
        <w:t xml:space="preserve"> </w:t>
      </w:r>
      <w:proofErr w:type="spellStart"/>
      <w:r w:rsidRPr="00062B4F">
        <w:rPr>
          <w:szCs w:val="24"/>
          <w:lang w:val="en-US"/>
        </w:rPr>
        <w:t>Clin</w:t>
      </w:r>
      <w:proofErr w:type="spellEnd"/>
      <w:r w:rsidRPr="00654E12">
        <w:rPr>
          <w:szCs w:val="24"/>
        </w:rPr>
        <w:t xml:space="preserve"> </w:t>
      </w:r>
      <w:proofErr w:type="spellStart"/>
      <w:r w:rsidRPr="00062B4F">
        <w:rPr>
          <w:szCs w:val="24"/>
          <w:lang w:val="en-US"/>
        </w:rPr>
        <w:t>Oncol</w:t>
      </w:r>
      <w:proofErr w:type="spellEnd"/>
      <w:r w:rsidRPr="00654E12">
        <w:rPr>
          <w:szCs w:val="24"/>
        </w:rPr>
        <w:t xml:space="preserve"> 1982;5(6):649–55</w:t>
      </w:r>
      <w:r w:rsidR="00F97FA1" w:rsidRPr="00654E12">
        <w:rPr>
          <w:szCs w:val="24"/>
        </w:rPr>
        <w:t xml:space="preserve"> </w:t>
      </w:r>
      <w:r w:rsidR="00F97FA1" w:rsidRPr="00062B4F">
        <w:rPr>
          <w:szCs w:val="24"/>
          <w:lang w:val="en-US"/>
        </w:rPr>
        <w:fldChar w:fldCharType="begin" w:fldLock="1"/>
      </w:r>
      <w:r w:rsidR="00F97FA1" w:rsidRPr="00062B4F">
        <w:rPr>
          <w:szCs w:val="24"/>
          <w:lang w:val="en-US"/>
        </w:rPr>
        <w:instrText>ADDIN</w:instrText>
      </w:r>
      <w:r w:rsidR="00F97FA1" w:rsidRPr="00654E12">
        <w:rPr>
          <w:szCs w:val="24"/>
        </w:rPr>
        <w:instrText xml:space="preserve"> </w:instrText>
      </w:r>
      <w:r w:rsidR="00F97FA1" w:rsidRPr="00062B4F">
        <w:rPr>
          <w:szCs w:val="24"/>
          <w:lang w:val="en-US"/>
        </w:rPr>
        <w:instrText>CSL</w:instrText>
      </w:r>
      <w:r w:rsidR="00F97FA1" w:rsidRPr="00654E12">
        <w:rPr>
          <w:szCs w:val="24"/>
        </w:rPr>
        <w:instrText>_</w:instrText>
      </w:r>
      <w:r w:rsidR="00F97FA1" w:rsidRPr="00062B4F">
        <w:rPr>
          <w:szCs w:val="24"/>
          <w:lang w:val="en-US"/>
        </w:rPr>
        <w:instrText>CITATION</w:instrText>
      </w:r>
      <w:r w:rsidR="00F97FA1" w:rsidRPr="00654E12">
        <w:rPr>
          <w:szCs w:val="24"/>
        </w:rPr>
        <w:instrText xml:space="preserve"> {"</w:instrText>
      </w:r>
      <w:r w:rsidR="00F97FA1" w:rsidRPr="00062B4F">
        <w:rPr>
          <w:szCs w:val="24"/>
          <w:lang w:val="en-US"/>
        </w:rPr>
        <w:instrText>citationItems</w:instrText>
      </w:r>
      <w:r w:rsidR="00F97FA1" w:rsidRPr="00654E12">
        <w:rPr>
          <w:szCs w:val="24"/>
        </w:rPr>
        <w:instrText>":[{"</w:instrText>
      </w:r>
      <w:r w:rsidR="00F97FA1" w:rsidRPr="00062B4F">
        <w:rPr>
          <w:szCs w:val="24"/>
          <w:lang w:val="en-US"/>
        </w:rPr>
        <w:instrText>id</w:instrText>
      </w:r>
      <w:r w:rsidR="00F97FA1" w:rsidRPr="00654E12">
        <w:rPr>
          <w:szCs w:val="24"/>
        </w:rPr>
        <w:instrText>":"</w:instrText>
      </w:r>
      <w:r w:rsidR="00F97FA1" w:rsidRPr="00062B4F">
        <w:rPr>
          <w:szCs w:val="24"/>
          <w:lang w:val="en-US"/>
        </w:rPr>
        <w:instrText>ITEM</w:instrText>
      </w:r>
      <w:r w:rsidR="00F97FA1" w:rsidRPr="00654E12">
        <w:rPr>
          <w:szCs w:val="24"/>
        </w:rPr>
        <w:instrText>-1","</w:instrText>
      </w:r>
      <w:r w:rsidR="00F97FA1" w:rsidRPr="00062B4F">
        <w:rPr>
          <w:szCs w:val="24"/>
          <w:lang w:val="en-US"/>
        </w:rPr>
        <w:instrText>itemData</w:instrText>
      </w:r>
      <w:r w:rsidR="00F97FA1" w:rsidRPr="00654E12">
        <w:rPr>
          <w:szCs w:val="24"/>
        </w:rPr>
        <w:instrText>":{"</w:instrText>
      </w:r>
      <w:r w:rsidR="00F97FA1" w:rsidRPr="00062B4F">
        <w:rPr>
          <w:szCs w:val="24"/>
          <w:lang w:val="en-US"/>
        </w:rPr>
        <w:instrText>PMID</w:instrText>
      </w:r>
      <w:r w:rsidR="00F97FA1" w:rsidRPr="00654E12">
        <w:rPr>
          <w:szCs w:val="24"/>
        </w:rPr>
        <w:instrText>":"7165009","</w:instrText>
      </w:r>
      <w:r w:rsidR="00F97FA1" w:rsidRPr="00062B4F">
        <w:rPr>
          <w:szCs w:val="24"/>
          <w:lang w:val="en-US"/>
        </w:rPr>
        <w:instrText>author</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family</w:instrText>
      </w:r>
      <w:r w:rsidR="00F97FA1" w:rsidRPr="00654E12">
        <w:rPr>
          <w:szCs w:val="24"/>
        </w:rPr>
        <w:instrText>":"</w:instrText>
      </w:r>
      <w:r w:rsidR="00F97FA1" w:rsidRPr="00062B4F">
        <w:rPr>
          <w:szCs w:val="24"/>
          <w:lang w:val="en-US"/>
        </w:rPr>
        <w:instrText>Oken</w:instrText>
      </w:r>
      <w:r w:rsidR="00F97FA1" w:rsidRPr="00654E12">
        <w:rPr>
          <w:szCs w:val="24"/>
        </w:rPr>
        <w:instrText>","</w:instrText>
      </w:r>
      <w:r w:rsidR="00F97FA1" w:rsidRPr="00062B4F">
        <w:rPr>
          <w:szCs w:val="24"/>
          <w:lang w:val="en-US"/>
        </w:rPr>
        <w:instrText>given</w:instrText>
      </w:r>
      <w:r w:rsidR="00F97FA1" w:rsidRPr="00654E12">
        <w:rPr>
          <w:szCs w:val="24"/>
        </w:rPr>
        <w:instrText>":"</w:instrText>
      </w:r>
      <w:r w:rsidR="00F97FA1" w:rsidRPr="00062B4F">
        <w:rPr>
          <w:szCs w:val="24"/>
          <w:lang w:val="en-US"/>
        </w:rPr>
        <w:instrText>M</w:instrText>
      </w:r>
      <w:r w:rsidR="00F97FA1" w:rsidRPr="00654E12">
        <w:rPr>
          <w:szCs w:val="24"/>
        </w:rPr>
        <w:instrText>.</w:instrText>
      </w:r>
      <w:r w:rsidR="00F97FA1" w:rsidRPr="00062B4F">
        <w:rPr>
          <w:szCs w:val="24"/>
          <w:lang w:val="en-US"/>
        </w:rPr>
        <w:instrText>M</w:instrText>
      </w:r>
      <w:r w:rsidR="00F97FA1" w:rsidRPr="00654E12">
        <w:rPr>
          <w:szCs w:val="24"/>
        </w:rPr>
        <w:instrText>.","</w:instrText>
      </w:r>
      <w:r w:rsidR="00F97FA1" w:rsidRPr="00062B4F">
        <w:rPr>
          <w:szCs w:val="24"/>
          <w:lang w:val="en-US"/>
        </w:rPr>
        <w:instrText>non</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parse</w:instrText>
      </w:r>
      <w:r w:rsidR="00F97FA1" w:rsidRPr="00654E12">
        <w:rPr>
          <w:szCs w:val="24"/>
        </w:rPr>
        <w:instrText>-</w:instrText>
      </w:r>
      <w:r w:rsidR="00F97FA1" w:rsidRPr="00062B4F">
        <w:rPr>
          <w:szCs w:val="24"/>
          <w:lang w:val="en-US"/>
        </w:rPr>
        <w:instrText>names</w:instrText>
      </w:r>
      <w:r w:rsidR="00F97FA1" w:rsidRPr="00654E12">
        <w:rPr>
          <w:szCs w:val="24"/>
        </w:rPr>
        <w:instrText>":</w:instrText>
      </w:r>
      <w:r w:rsidR="00F97FA1" w:rsidRPr="00062B4F">
        <w:rPr>
          <w:szCs w:val="24"/>
          <w:lang w:val="en-US"/>
        </w:rPr>
        <w:instrText>false</w:instrText>
      </w:r>
      <w:r w:rsidR="00F97FA1" w:rsidRPr="00654E12">
        <w:rPr>
          <w:szCs w:val="24"/>
        </w:rPr>
        <w:instrText>,"</w:instrText>
      </w:r>
      <w:r w:rsidR="00F97FA1" w:rsidRPr="00062B4F">
        <w:rPr>
          <w:szCs w:val="24"/>
          <w:lang w:val="en-US"/>
        </w:rPr>
        <w:instrText>suffix</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family</w:instrText>
      </w:r>
      <w:r w:rsidR="00F97FA1" w:rsidRPr="00654E12">
        <w:rPr>
          <w:szCs w:val="24"/>
        </w:rPr>
        <w:instrText>":"</w:instrText>
      </w:r>
      <w:r w:rsidR="00F97FA1" w:rsidRPr="00062B4F">
        <w:rPr>
          <w:szCs w:val="24"/>
          <w:lang w:val="en-US"/>
        </w:rPr>
        <w:instrText>Creech</w:instrText>
      </w:r>
      <w:r w:rsidR="00F97FA1" w:rsidRPr="00654E12">
        <w:rPr>
          <w:szCs w:val="24"/>
        </w:rPr>
        <w:instrText>","</w:instrText>
      </w:r>
      <w:r w:rsidR="00F97FA1" w:rsidRPr="00062B4F">
        <w:rPr>
          <w:szCs w:val="24"/>
          <w:lang w:val="en-US"/>
        </w:rPr>
        <w:instrText>given</w:instrText>
      </w:r>
      <w:r w:rsidR="00F97FA1" w:rsidRPr="00654E12">
        <w:rPr>
          <w:szCs w:val="24"/>
        </w:rPr>
        <w:instrText>":"</w:instrText>
      </w:r>
      <w:r w:rsidR="00F97FA1" w:rsidRPr="00062B4F">
        <w:rPr>
          <w:szCs w:val="24"/>
          <w:lang w:val="en-US"/>
        </w:rPr>
        <w:instrText>R</w:instrText>
      </w:r>
      <w:r w:rsidR="00F97FA1" w:rsidRPr="00654E12">
        <w:rPr>
          <w:szCs w:val="24"/>
        </w:rPr>
        <w:instrText>.</w:instrText>
      </w:r>
      <w:r w:rsidR="00F97FA1" w:rsidRPr="00062B4F">
        <w:rPr>
          <w:szCs w:val="24"/>
          <w:lang w:val="en-US"/>
        </w:rPr>
        <w:instrText>H</w:instrText>
      </w:r>
      <w:r w:rsidR="00F97FA1" w:rsidRPr="00654E12">
        <w:rPr>
          <w:szCs w:val="24"/>
        </w:rPr>
        <w:instrText>.","</w:instrText>
      </w:r>
      <w:r w:rsidR="00F97FA1" w:rsidRPr="00062B4F">
        <w:rPr>
          <w:szCs w:val="24"/>
          <w:lang w:val="en-US"/>
        </w:rPr>
        <w:instrText>non</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parse</w:instrText>
      </w:r>
      <w:r w:rsidR="00F97FA1" w:rsidRPr="00654E12">
        <w:rPr>
          <w:szCs w:val="24"/>
        </w:rPr>
        <w:instrText>-</w:instrText>
      </w:r>
      <w:r w:rsidR="00F97FA1" w:rsidRPr="00062B4F">
        <w:rPr>
          <w:szCs w:val="24"/>
          <w:lang w:val="en-US"/>
        </w:rPr>
        <w:instrText>names</w:instrText>
      </w:r>
      <w:r w:rsidR="00F97FA1" w:rsidRPr="00654E12">
        <w:rPr>
          <w:szCs w:val="24"/>
        </w:rPr>
        <w:instrText>":</w:instrText>
      </w:r>
      <w:r w:rsidR="00F97FA1" w:rsidRPr="00062B4F">
        <w:rPr>
          <w:szCs w:val="24"/>
          <w:lang w:val="en-US"/>
        </w:rPr>
        <w:instrText>false</w:instrText>
      </w:r>
      <w:r w:rsidR="00F97FA1" w:rsidRPr="00654E12">
        <w:rPr>
          <w:szCs w:val="24"/>
        </w:rPr>
        <w:instrText>,"</w:instrText>
      </w:r>
      <w:r w:rsidR="00F97FA1" w:rsidRPr="00062B4F">
        <w:rPr>
          <w:szCs w:val="24"/>
          <w:lang w:val="en-US"/>
        </w:rPr>
        <w:instrText>suffix</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family</w:instrText>
      </w:r>
      <w:r w:rsidR="00F97FA1" w:rsidRPr="00654E12">
        <w:rPr>
          <w:szCs w:val="24"/>
        </w:rPr>
        <w:instrText>":"</w:instrText>
      </w:r>
      <w:r w:rsidR="00F97FA1" w:rsidRPr="00062B4F">
        <w:rPr>
          <w:szCs w:val="24"/>
          <w:lang w:val="en-US"/>
        </w:rPr>
        <w:instrText>Tormey</w:instrText>
      </w:r>
      <w:r w:rsidR="00F97FA1" w:rsidRPr="00654E12">
        <w:rPr>
          <w:szCs w:val="24"/>
        </w:rPr>
        <w:instrText>","</w:instrText>
      </w:r>
      <w:r w:rsidR="00F97FA1" w:rsidRPr="00062B4F">
        <w:rPr>
          <w:szCs w:val="24"/>
          <w:lang w:val="en-US"/>
        </w:rPr>
        <w:instrText>given</w:instrText>
      </w:r>
      <w:r w:rsidR="00F97FA1" w:rsidRPr="00654E12">
        <w:rPr>
          <w:szCs w:val="24"/>
        </w:rPr>
        <w:instrText>":"</w:instrText>
      </w:r>
      <w:r w:rsidR="00F97FA1" w:rsidRPr="00062B4F">
        <w:rPr>
          <w:szCs w:val="24"/>
          <w:lang w:val="en-US"/>
        </w:rPr>
        <w:instrText>D</w:instrText>
      </w:r>
      <w:r w:rsidR="00F97FA1" w:rsidRPr="00654E12">
        <w:rPr>
          <w:szCs w:val="24"/>
        </w:rPr>
        <w:instrText>.</w:instrText>
      </w:r>
      <w:r w:rsidR="00F97FA1" w:rsidRPr="00062B4F">
        <w:rPr>
          <w:szCs w:val="24"/>
          <w:lang w:val="en-US"/>
        </w:rPr>
        <w:instrText>C</w:instrText>
      </w:r>
      <w:r w:rsidR="00F97FA1" w:rsidRPr="00654E12">
        <w:rPr>
          <w:szCs w:val="24"/>
        </w:rPr>
        <w:instrText>.","</w:instrText>
      </w:r>
      <w:r w:rsidR="00F97FA1" w:rsidRPr="00062B4F">
        <w:rPr>
          <w:szCs w:val="24"/>
          <w:lang w:val="en-US"/>
        </w:rPr>
        <w:instrText>non</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parse</w:instrText>
      </w:r>
      <w:r w:rsidR="00F97FA1" w:rsidRPr="00654E12">
        <w:rPr>
          <w:szCs w:val="24"/>
        </w:rPr>
        <w:instrText>-</w:instrText>
      </w:r>
      <w:r w:rsidR="00F97FA1" w:rsidRPr="00062B4F">
        <w:rPr>
          <w:szCs w:val="24"/>
          <w:lang w:val="en-US"/>
        </w:rPr>
        <w:instrText>names</w:instrText>
      </w:r>
      <w:r w:rsidR="00F97FA1" w:rsidRPr="00654E12">
        <w:rPr>
          <w:szCs w:val="24"/>
        </w:rPr>
        <w:instrText>":</w:instrText>
      </w:r>
      <w:r w:rsidR="00F97FA1" w:rsidRPr="00062B4F">
        <w:rPr>
          <w:szCs w:val="24"/>
          <w:lang w:val="en-US"/>
        </w:rPr>
        <w:instrText>false</w:instrText>
      </w:r>
      <w:r w:rsidR="00F97FA1" w:rsidRPr="00654E12">
        <w:rPr>
          <w:szCs w:val="24"/>
        </w:rPr>
        <w:instrText>,"</w:instrText>
      </w:r>
      <w:r w:rsidR="00F97FA1" w:rsidRPr="00062B4F">
        <w:rPr>
          <w:szCs w:val="24"/>
          <w:lang w:val="en-US"/>
        </w:rPr>
        <w:instrText>suffix</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family</w:instrText>
      </w:r>
      <w:r w:rsidR="00F97FA1" w:rsidRPr="00654E12">
        <w:rPr>
          <w:szCs w:val="24"/>
        </w:rPr>
        <w:instrText>":"</w:instrText>
      </w:r>
      <w:r w:rsidR="00F97FA1" w:rsidRPr="00062B4F">
        <w:rPr>
          <w:szCs w:val="24"/>
          <w:lang w:val="en-US"/>
        </w:rPr>
        <w:instrText>Horton</w:instrText>
      </w:r>
      <w:r w:rsidR="00F97FA1" w:rsidRPr="00654E12">
        <w:rPr>
          <w:szCs w:val="24"/>
        </w:rPr>
        <w:instrText>","</w:instrText>
      </w:r>
      <w:r w:rsidR="00F97FA1" w:rsidRPr="00062B4F">
        <w:rPr>
          <w:szCs w:val="24"/>
          <w:lang w:val="en-US"/>
        </w:rPr>
        <w:instrText>given</w:instrText>
      </w:r>
      <w:r w:rsidR="00F97FA1" w:rsidRPr="00654E12">
        <w:rPr>
          <w:szCs w:val="24"/>
        </w:rPr>
        <w:instrText>":"</w:instrText>
      </w:r>
      <w:r w:rsidR="00F97FA1" w:rsidRPr="00062B4F">
        <w:rPr>
          <w:szCs w:val="24"/>
          <w:lang w:val="en-US"/>
        </w:rPr>
        <w:instrText>J</w:instrText>
      </w:r>
      <w:r w:rsidR="00F97FA1" w:rsidRPr="00654E12">
        <w:rPr>
          <w:szCs w:val="24"/>
        </w:rPr>
        <w:instrText>.","</w:instrText>
      </w:r>
      <w:r w:rsidR="00F97FA1" w:rsidRPr="00062B4F">
        <w:rPr>
          <w:szCs w:val="24"/>
          <w:lang w:val="en-US"/>
        </w:rPr>
        <w:instrText>non</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parse</w:instrText>
      </w:r>
      <w:r w:rsidR="00F97FA1" w:rsidRPr="00654E12">
        <w:rPr>
          <w:szCs w:val="24"/>
        </w:rPr>
        <w:instrText>-</w:instrText>
      </w:r>
      <w:r w:rsidR="00F97FA1" w:rsidRPr="00062B4F">
        <w:rPr>
          <w:szCs w:val="24"/>
          <w:lang w:val="en-US"/>
        </w:rPr>
        <w:instrText>names</w:instrText>
      </w:r>
      <w:r w:rsidR="00F97FA1" w:rsidRPr="00654E12">
        <w:rPr>
          <w:szCs w:val="24"/>
        </w:rPr>
        <w:instrText>":</w:instrText>
      </w:r>
      <w:r w:rsidR="00F97FA1" w:rsidRPr="00062B4F">
        <w:rPr>
          <w:szCs w:val="24"/>
          <w:lang w:val="en-US"/>
        </w:rPr>
        <w:instrText>false</w:instrText>
      </w:r>
      <w:r w:rsidR="00F97FA1" w:rsidRPr="00654E12">
        <w:rPr>
          <w:szCs w:val="24"/>
        </w:rPr>
        <w:instrText>,"</w:instrText>
      </w:r>
      <w:r w:rsidR="00F97FA1" w:rsidRPr="00062B4F">
        <w:rPr>
          <w:szCs w:val="24"/>
          <w:lang w:val="en-US"/>
        </w:rPr>
        <w:instrText>suffix</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family</w:instrText>
      </w:r>
      <w:r w:rsidR="00F97FA1" w:rsidRPr="00654E12">
        <w:rPr>
          <w:szCs w:val="24"/>
        </w:rPr>
        <w:instrText>":"</w:instrText>
      </w:r>
      <w:r w:rsidR="00F97FA1" w:rsidRPr="00062B4F">
        <w:rPr>
          <w:szCs w:val="24"/>
          <w:lang w:val="en-US"/>
        </w:rPr>
        <w:instrText>Davis</w:instrText>
      </w:r>
      <w:r w:rsidR="00F97FA1" w:rsidRPr="00654E12">
        <w:rPr>
          <w:szCs w:val="24"/>
        </w:rPr>
        <w:instrText>","</w:instrText>
      </w:r>
      <w:r w:rsidR="00F97FA1" w:rsidRPr="00062B4F">
        <w:rPr>
          <w:szCs w:val="24"/>
          <w:lang w:val="en-US"/>
        </w:rPr>
        <w:instrText>given</w:instrText>
      </w:r>
      <w:r w:rsidR="00F97FA1" w:rsidRPr="00654E12">
        <w:rPr>
          <w:szCs w:val="24"/>
        </w:rPr>
        <w:instrText>":"</w:instrText>
      </w:r>
      <w:r w:rsidR="00F97FA1" w:rsidRPr="00062B4F">
        <w:rPr>
          <w:szCs w:val="24"/>
          <w:lang w:val="en-US"/>
        </w:rPr>
        <w:instrText>T</w:instrText>
      </w:r>
      <w:r w:rsidR="00F97FA1" w:rsidRPr="00654E12">
        <w:rPr>
          <w:szCs w:val="24"/>
        </w:rPr>
        <w:instrText>.</w:instrText>
      </w:r>
      <w:r w:rsidR="00F97FA1" w:rsidRPr="00062B4F">
        <w:rPr>
          <w:szCs w:val="24"/>
          <w:lang w:val="en-US"/>
        </w:rPr>
        <w:instrText>E</w:instrText>
      </w:r>
      <w:r w:rsidR="00F97FA1" w:rsidRPr="00654E12">
        <w:rPr>
          <w:szCs w:val="24"/>
        </w:rPr>
        <w:instrText>.","</w:instrText>
      </w:r>
      <w:r w:rsidR="00F97FA1" w:rsidRPr="00062B4F">
        <w:rPr>
          <w:szCs w:val="24"/>
          <w:lang w:val="en-US"/>
        </w:rPr>
        <w:instrText>non</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parse</w:instrText>
      </w:r>
      <w:r w:rsidR="00F97FA1" w:rsidRPr="00654E12">
        <w:rPr>
          <w:szCs w:val="24"/>
        </w:rPr>
        <w:instrText>-</w:instrText>
      </w:r>
      <w:r w:rsidR="00F97FA1" w:rsidRPr="00062B4F">
        <w:rPr>
          <w:szCs w:val="24"/>
          <w:lang w:val="en-US"/>
        </w:rPr>
        <w:instrText>names</w:instrText>
      </w:r>
      <w:r w:rsidR="00F97FA1" w:rsidRPr="00654E12">
        <w:rPr>
          <w:szCs w:val="24"/>
        </w:rPr>
        <w:instrText>":</w:instrText>
      </w:r>
      <w:r w:rsidR="00F97FA1" w:rsidRPr="00062B4F">
        <w:rPr>
          <w:szCs w:val="24"/>
          <w:lang w:val="en-US"/>
        </w:rPr>
        <w:instrText>false</w:instrText>
      </w:r>
      <w:r w:rsidR="00F97FA1" w:rsidRPr="00654E12">
        <w:rPr>
          <w:szCs w:val="24"/>
        </w:rPr>
        <w:instrText>,"</w:instrText>
      </w:r>
      <w:r w:rsidR="00F97FA1" w:rsidRPr="00062B4F">
        <w:rPr>
          <w:szCs w:val="24"/>
          <w:lang w:val="en-US"/>
        </w:rPr>
        <w:instrText>suffix</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family</w:instrText>
      </w:r>
      <w:r w:rsidR="00F97FA1" w:rsidRPr="00654E12">
        <w:rPr>
          <w:szCs w:val="24"/>
        </w:rPr>
        <w:instrText>":"</w:instrText>
      </w:r>
      <w:r w:rsidR="00F97FA1" w:rsidRPr="00062B4F">
        <w:rPr>
          <w:szCs w:val="24"/>
          <w:lang w:val="en-US"/>
        </w:rPr>
        <w:instrText>McFadden</w:instrText>
      </w:r>
      <w:r w:rsidR="00F97FA1" w:rsidRPr="00654E12">
        <w:rPr>
          <w:szCs w:val="24"/>
        </w:rPr>
        <w:instrText>","</w:instrText>
      </w:r>
      <w:r w:rsidR="00F97FA1" w:rsidRPr="00062B4F">
        <w:rPr>
          <w:szCs w:val="24"/>
          <w:lang w:val="en-US"/>
        </w:rPr>
        <w:instrText>given</w:instrText>
      </w:r>
      <w:r w:rsidR="00F97FA1" w:rsidRPr="00654E12">
        <w:rPr>
          <w:szCs w:val="24"/>
        </w:rPr>
        <w:instrText>":"</w:instrText>
      </w:r>
      <w:r w:rsidR="00F97FA1" w:rsidRPr="00062B4F">
        <w:rPr>
          <w:szCs w:val="24"/>
          <w:lang w:val="en-US"/>
        </w:rPr>
        <w:instrText>E</w:instrText>
      </w:r>
      <w:r w:rsidR="00F97FA1" w:rsidRPr="00654E12">
        <w:rPr>
          <w:szCs w:val="24"/>
        </w:rPr>
        <w:instrText>.</w:instrText>
      </w:r>
      <w:r w:rsidR="00F97FA1" w:rsidRPr="00062B4F">
        <w:rPr>
          <w:szCs w:val="24"/>
          <w:lang w:val="en-US"/>
        </w:rPr>
        <w:instrText>T</w:instrText>
      </w:r>
      <w:r w:rsidR="00F97FA1" w:rsidRPr="00654E12">
        <w:rPr>
          <w:szCs w:val="24"/>
        </w:rPr>
        <w:instrText>.","</w:instrText>
      </w:r>
      <w:r w:rsidR="00F97FA1" w:rsidRPr="00062B4F">
        <w:rPr>
          <w:szCs w:val="24"/>
          <w:lang w:val="en-US"/>
        </w:rPr>
        <w:instrText>non</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parse</w:instrText>
      </w:r>
      <w:r w:rsidR="00F97FA1" w:rsidRPr="00654E12">
        <w:rPr>
          <w:szCs w:val="24"/>
        </w:rPr>
        <w:instrText>-</w:instrText>
      </w:r>
      <w:r w:rsidR="00F97FA1" w:rsidRPr="00062B4F">
        <w:rPr>
          <w:szCs w:val="24"/>
          <w:lang w:val="en-US"/>
        </w:rPr>
        <w:instrText>names</w:instrText>
      </w:r>
      <w:r w:rsidR="00F97FA1" w:rsidRPr="00654E12">
        <w:rPr>
          <w:szCs w:val="24"/>
        </w:rPr>
        <w:instrText>":</w:instrText>
      </w:r>
      <w:r w:rsidR="00F97FA1" w:rsidRPr="00062B4F">
        <w:rPr>
          <w:szCs w:val="24"/>
          <w:lang w:val="en-US"/>
        </w:rPr>
        <w:instrText>false</w:instrText>
      </w:r>
      <w:r w:rsidR="00F97FA1" w:rsidRPr="00654E12">
        <w:rPr>
          <w:szCs w:val="24"/>
        </w:rPr>
        <w:instrText>,"</w:instrText>
      </w:r>
      <w:r w:rsidR="00F97FA1" w:rsidRPr="00062B4F">
        <w:rPr>
          <w:szCs w:val="24"/>
          <w:lang w:val="en-US"/>
        </w:rPr>
        <w:instrText>suffix</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family</w:instrText>
      </w:r>
      <w:r w:rsidR="00F97FA1" w:rsidRPr="00654E12">
        <w:rPr>
          <w:szCs w:val="24"/>
        </w:rPr>
        <w:instrText>":"</w:instrText>
      </w:r>
      <w:r w:rsidR="00F97FA1" w:rsidRPr="00062B4F">
        <w:rPr>
          <w:szCs w:val="24"/>
          <w:lang w:val="en-US"/>
        </w:rPr>
        <w:instrText>Carbone</w:instrText>
      </w:r>
      <w:r w:rsidR="00F97FA1" w:rsidRPr="00654E12">
        <w:rPr>
          <w:szCs w:val="24"/>
        </w:rPr>
        <w:instrText>","</w:instrText>
      </w:r>
      <w:r w:rsidR="00F97FA1" w:rsidRPr="00062B4F">
        <w:rPr>
          <w:szCs w:val="24"/>
          <w:lang w:val="en-US"/>
        </w:rPr>
        <w:instrText>given</w:instrText>
      </w:r>
      <w:r w:rsidR="00F97FA1" w:rsidRPr="00654E12">
        <w:rPr>
          <w:szCs w:val="24"/>
        </w:rPr>
        <w:instrText>":"</w:instrText>
      </w:r>
      <w:r w:rsidR="00F97FA1" w:rsidRPr="00062B4F">
        <w:rPr>
          <w:szCs w:val="24"/>
          <w:lang w:val="en-US"/>
        </w:rPr>
        <w:instrText>P</w:instrText>
      </w:r>
      <w:r w:rsidR="00F97FA1" w:rsidRPr="00654E12">
        <w:rPr>
          <w:szCs w:val="24"/>
        </w:rPr>
        <w:instrText>.</w:instrText>
      </w:r>
      <w:r w:rsidR="00F97FA1" w:rsidRPr="00062B4F">
        <w:rPr>
          <w:szCs w:val="24"/>
          <w:lang w:val="en-US"/>
        </w:rPr>
        <w:instrText>P</w:instrText>
      </w:r>
      <w:r w:rsidR="00F97FA1" w:rsidRPr="00654E12">
        <w:rPr>
          <w:szCs w:val="24"/>
        </w:rPr>
        <w:instrText>.","</w:instrText>
      </w:r>
      <w:r w:rsidR="00F97FA1" w:rsidRPr="00062B4F">
        <w:rPr>
          <w:szCs w:val="24"/>
          <w:lang w:val="en-US"/>
        </w:rPr>
        <w:instrText>non</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parse</w:instrText>
      </w:r>
      <w:r w:rsidR="00F97FA1" w:rsidRPr="00654E12">
        <w:rPr>
          <w:szCs w:val="24"/>
        </w:rPr>
        <w:instrText>-</w:instrText>
      </w:r>
      <w:r w:rsidR="00F97FA1" w:rsidRPr="00062B4F">
        <w:rPr>
          <w:szCs w:val="24"/>
          <w:lang w:val="en-US"/>
        </w:rPr>
        <w:instrText>names</w:instrText>
      </w:r>
      <w:r w:rsidR="00F97FA1" w:rsidRPr="00654E12">
        <w:rPr>
          <w:szCs w:val="24"/>
        </w:rPr>
        <w:instrText>":</w:instrText>
      </w:r>
      <w:r w:rsidR="00F97FA1" w:rsidRPr="00062B4F">
        <w:rPr>
          <w:szCs w:val="24"/>
          <w:lang w:val="en-US"/>
        </w:rPr>
        <w:instrText>false</w:instrText>
      </w:r>
      <w:r w:rsidR="00F97FA1" w:rsidRPr="00654E12">
        <w:rPr>
          <w:szCs w:val="24"/>
        </w:rPr>
        <w:instrText>,"</w:instrText>
      </w:r>
      <w:r w:rsidR="00F97FA1" w:rsidRPr="00062B4F">
        <w:rPr>
          <w:szCs w:val="24"/>
          <w:lang w:val="en-US"/>
        </w:rPr>
        <w:instrText>suffix</w:instrText>
      </w:r>
      <w:r w:rsidR="00F97FA1" w:rsidRPr="00654E12">
        <w:rPr>
          <w:szCs w:val="24"/>
        </w:rPr>
        <w:instrText>":""}],"</w:instrText>
      </w:r>
      <w:r w:rsidR="00F97FA1" w:rsidRPr="00062B4F">
        <w:rPr>
          <w:szCs w:val="24"/>
          <w:lang w:val="en-US"/>
        </w:rPr>
        <w:instrText>container</w:instrText>
      </w:r>
      <w:r w:rsidR="00F97FA1" w:rsidRPr="00654E12">
        <w:rPr>
          <w:szCs w:val="24"/>
        </w:rPr>
        <w:instrText>-</w:instrText>
      </w:r>
      <w:r w:rsidR="00F97FA1" w:rsidRPr="00062B4F">
        <w:rPr>
          <w:szCs w:val="24"/>
          <w:lang w:val="en-US"/>
        </w:rPr>
        <w:instrText>title</w:instrText>
      </w:r>
      <w:r w:rsidR="00F97FA1" w:rsidRPr="00654E12">
        <w:rPr>
          <w:szCs w:val="24"/>
        </w:rPr>
        <w:instrText>":"</w:instrText>
      </w:r>
      <w:r w:rsidR="00F97FA1" w:rsidRPr="00062B4F">
        <w:rPr>
          <w:szCs w:val="24"/>
          <w:lang w:val="en-US"/>
        </w:rPr>
        <w:instrText>American</w:instrText>
      </w:r>
      <w:r w:rsidR="00F97FA1" w:rsidRPr="00654E12">
        <w:rPr>
          <w:szCs w:val="24"/>
        </w:rPr>
        <w:instrText xml:space="preserve"> </w:instrText>
      </w:r>
      <w:r w:rsidR="00F97FA1" w:rsidRPr="00062B4F">
        <w:rPr>
          <w:szCs w:val="24"/>
          <w:lang w:val="en-US"/>
        </w:rPr>
        <w:instrText>Journal</w:instrText>
      </w:r>
      <w:r w:rsidR="00F97FA1" w:rsidRPr="00654E12">
        <w:rPr>
          <w:szCs w:val="24"/>
        </w:rPr>
        <w:instrText xml:space="preserve"> </w:instrText>
      </w:r>
      <w:r w:rsidR="00F97FA1" w:rsidRPr="00062B4F">
        <w:rPr>
          <w:szCs w:val="24"/>
          <w:lang w:val="en-US"/>
        </w:rPr>
        <w:instrText>of</w:instrText>
      </w:r>
      <w:r w:rsidR="00F97FA1" w:rsidRPr="00654E12">
        <w:rPr>
          <w:szCs w:val="24"/>
        </w:rPr>
        <w:instrText xml:space="preserve"> </w:instrText>
      </w:r>
      <w:r w:rsidR="00F97FA1" w:rsidRPr="00062B4F">
        <w:rPr>
          <w:szCs w:val="24"/>
          <w:lang w:val="en-US"/>
        </w:rPr>
        <w:instrText>Clinical</w:instrText>
      </w:r>
      <w:r w:rsidR="00F97FA1" w:rsidRPr="00654E12">
        <w:rPr>
          <w:szCs w:val="24"/>
        </w:rPr>
        <w:instrText xml:space="preserve"> </w:instrText>
      </w:r>
      <w:r w:rsidR="00F97FA1" w:rsidRPr="00062B4F">
        <w:rPr>
          <w:szCs w:val="24"/>
          <w:lang w:val="en-US"/>
        </w:rPr>
        <w:instrText>Oncology</w:instrText>
      </w:r>
      <w:r w:rsidR="00F97FA1" w:rsidRPr="00654E12">
        <w:rPr>
          <w:szCs w:val="24"/>
        </w:rPr>
        <w:instrText>","</w:instrText>
      </w:r>
      <w:r w:rsidR="00F97FA1" w:rsidRPr="00062B4F">
        <w:rPr>
          <w:szCs w:val="24"/>
          <w:lang w:val="en-US"/>
        </w:rPr>
        <w:instrText>id</w:instrText>
      </w:r>
      <w:r w:rsidR="00F97FA1" w:rsidRPr="00654E12">
        <w:rPr>
          <w:szCs w:val="24"/>
        </w:rPr>
        <w:instrText>":"</w:instrText>
      </w:r>
      <w:r w:rsidR="00F97FA1" w:rsidRPr="00062B4F">
        <w:rPr>
          <w:szCs w:val="24"/>
          <w:lang w:val="en-US"/>
        </w:rPr>
        <w:instrText>ITEM</w:instrText>
      </w:r>
      <w:r w:rsidR="00F97FA1" w:rsidRPr="00654E12">
        <w:rPr>
          <w:szCs w:val="24"/>
        </w:rPr>
        <w:instrText>-1","</w:instrText>
      </w:r>
      <w:r w:rsidR="00F97FA1" w:rsidRPr="00062B4F">
        <w:rPr>
          <w:szCs w:val="24"/>
          <w:lang w:val="en-US"/>
        </w:rPr>
        <w:instrText>issue</w:instrText>
      </w:r>
      <w:r w:rsidR="00F97FA1" w:rsidRPr="00654E12">
        <w:rPr>
          <w:szCs w:val="24"/>
        </w:rPr>
        <w:instrText>":"6","</w:instrText>
      </w:r>
      <w:r w:rsidR="00F97FA1" w:rsidRPr="00062B4F">
        <w:rPr>
          <w:szCs w:val="24"/>
          <w:lang w:val="en-US"/>
        </w:rPr>
        <w:instrText>issued</w:instrText>
      </w:r>
      <w:r w:rsidR="00F97FA1" w:rsidRPr="00654E12">
        <w:rPr>
          <w:szCs w:val="24"/>
        </w:rPr>
        <w:instrText>":{"</w:instrText>
      </w:r>
      <w:r w:rsidR="00F97FA1" w:rsidRPr="00062B4F">
        <w:rPr>
          <w:szCs w:val="24"/>
          <w:lang w:val="en-US"/>
        </w:rPr>
        <w:instrText>date</w:instrText>
      </w:r>
      <w:r w:rsidR="00F97FA1" w:rsidRPr="00654E12">
        <w:rPr>
          <w:szCs w:val="24"/>
        </w:rPr>
        <w:instrText>-</w:instrText>
      </w:r>
      <w:r w:rsidR="00F97FA1" w:rsidRPr="00062B4F">
        <w:rPr>
          <w:szCs w:val="24"/>
          <w:lang w:val="en-US"/>
        </w:rPr>
        <w:instrText>parts</w:instrText>
      </w:r>
      <w:r w:rsidR="00F97FA1" w:rsidRPr="00654E12">
        <w:rPr>
          <w:szCs w:val="24"/>
        </w:rPr>
        <w:instrText>":[["1982"]]},"</w:instrText>
      </w:r>
      <w:r w:rsidR="00F97FA1" w:rsidRPr="00062B4F">
        <w:rPr>
          <w:szCs w:val="24"/>
          <w:lang w:val="en-US"/>
        </w:rPr>
        <w:instrText>page</w:instrText>
      </w:r>
      <w:r w:rsidR="00F97FA1" w:rsidRPr="00654E12">
        <w:rPr>
          <w:szCs w:val="24"/>
        </w:rPr>
        <w:instrText>":"649-655","</w:instrText>
      </w:r>
      <w:r w:rsidR="00F97FA1" w:rsidRPr="00062B4F">
        <w:rPr>
          <w:szCs w:val="24"/>
          <w:lang w:val="en-US"/>
        </w:rPr>
        <w:instrText>title</w:instrText>
      </w:r>
      <w:r w:rsidR="00F97FA1" w:rsidRPr="00654E12">
        <w:rPr>
          <w:szCs w:val="24"/>
        </w:rPr>
        <w:instrText>":"</w:instrText>
      </w:r>
      <w:r w:rsidR="00F97FA1" w:rsidRPr="00062B4F">
        <w:rPr>
          <w:szCs w:val="24"/>
          <w:lang w:val="en-US"/>
        </w:rPr>
        <w:instrText>Toxicity</w:instrText>
      </w:r>
      <w:r w:rsidR="00F97FA1" w:rsidRPr="00654E12">
        <w:rPr>
          <w:szCs w:val="24"/>
        </w:rPr>
        <w:instrText xml:space="preserve"> </w:instrText>
      </w:r>
      <w:r w:rsidR="00F97FA1" w:rsidRPr="00062B4F">
        <w:rPr>
          <w:szCs w:val="24"/>
          <w:lang w:val="en-US"/>
        </w:rPr>
        <w:instrText>and</w:instrText>
      </w:r>
      <w:r w:rsidR="00F97FA1" w:rsidRPr="00654E12">
        <w:rPr>
          <w:szCs w:val="24"/>
        </w:rPr>
        <w:instrText xml:space="preserve"> </w:instrText>
      </w:r>
      <w:r w:rsidR="00F97FA1" w:rsidRPr="00062B4F">
        <w:rPr>
          <w:szCs w:val="24"/>
          <w:lang w:val="en-US"/>
        </w:rPr>
        <w:instrText>response</w:instrText>
      </w:r>
      <w:r w:rsidR="00F97FA1" w:rsidRPr="00654E12">
        <w:rPr>
          <w:szCs w:val="24"/>
        </w:rPr>
        <w:instrText xml:space="preserve"> </w:instrText>
      </w:r>
      <w:r w:rsidR="00F97FA1" w:rsidRPr="00062B4F">
        <w:rPr>
          <w:szCs w:val="24"/>
          <w:lang w:val="en-US"/>
        </w:rPr>
        <w:instrText>criteria</w:instrText>
      </w:r>
      <w:r w:rsidR="00F97FA1" w:rsidRPr="00654E12">
        <w:rPr>
          <w:szCs w:val="24"/>
        </w:rPr>
        <w:instrText xml:space="preserve"> </w:instrText>
      </w:r>
      <w:r w:rsidR="00F97FA1" w:rsidRPr="00062B4F">
        <w:rPr>
          <w:szCs w:val="24"/>
          <w:lang w:val="en-US"/>
        </w:rPr>
        <w:instrText>of</w:instrText>
      </w:r>
      <w:r w:rsidR="00F97FA1" w:rsidRPr="00654E12">
        <w:rPr>
          <w:szCs w:val="24"/>
        </w:rPr>
        <w:instrText xml:space="preserve"> </w:instrText>
      </w:r>
      <w:r w:rsidR="00F97FA1" w:rsidRPr="00062B4F">
        <w:rPr>
          <w:szCs w:val="24"/>
          <w:lang w:val="en-US"/>
        </w:rPr>
        <w:instrText>the</w:instrText>
      </w:r>
      <w:r w:rsidR="00F97FA1" w:rsidRPr="00654E12">
        <w:rPr>
          <w:szCs w:val="24"/>
        </w:rPr>
        <w:instrText xml:space="preserve"> </w:instrText>
      </w:r>
      <w:r w:rsidR="00F97FA1" w:rsidRPr="00062B4F">
        <w:rPr>
          <w:szCs w:val="24"/>
          <w:lang w:val="en-US"/>
        </w:rPr>
        <w:instrText>Eastern</w:instrText>
      </w:r>
      <w:r w:rsidR="00F97FA1" w:rsidRPr="00654E12">
        <w:rPr>
          <w:szCs w:val="24"/>
        </w:rPr>
        <w:instrText xml:space="preserve"> </w:instrText>
      </w:r>
      <w:r w:rsidR="00F97FA1" w:rsidRPr="00062B4F">
        <w:rPr>
          <w:szCs w:val="24"/>
          <w:lang w:val="en-US"/>
        </w:rPr>
        <w:instrText>Cooperative</w:instrText>
      </w:r>
      <w:r w:rsidR="00F97FA1" w:rsidRPr="00654E12">
        <w:rPr>
          <w:szCs w:val="24"/>
        </w:rPr>
        <w:instrText xml:space="preserve"> </w:instrText>
      </w:r>
      <w:r w:rsidR="00F97FA1" w:rsidRPr="00062B4F">
        <w:rPr>
          <w:szCs w:val="24"/>
          <w:lang w:val="en-US"/>
        </w:rPr>
        <w:instrText>Oncology</w:instrText>
      </w:r>
      <w:r w:rsidR="00F97FA1" w:rsidRPr="00654E12">
        <w:rPr>
          <w:szCs w:val="24"/>
        </w:rPr>
        <w:instrText xml:space="preserve"> </w:instrText>
      </w:r>
      <w:r w:rsidR="00F97FA1" w:rsidRPr="00062B4F">
        <w:rPr>
          <w:szCs w:val="24"/>
          <w:lang w:val="en-US"/>
        </w:rPr>
        <w:instrText>Group</w:instrText>
      </w:r>
      <w:r w:rsidR="00F97FA1" w:rsidRPr="00654E12">
        <w:rPr>
          <w:szCs w:val="24"/>
        </w:rPr>
        <w:instrText>","</w:instrText>
      </w:r>
      <w:r w:rsidR="00F97FA1" w:rsidRPr="00062B4F">
        <w:rPr>
          <w:szCs w:val="24"/>
          <w:lang w:val="en-US"/>
        </w:rPr>
        <w:instrText>type</w:instrText>
      </w:r>
      <w:r w:rsidR="00F97FA1" w:rsidRPr="00654E12">
        <w:rPr>
          <w:szCs w:val="24"/>
        </w:rPr>
        <w:instrText>":"</w:instrText>
      </w:r>
      <w:r w:rsidR="00F97FA1" w:rsidRPr="00062B4F">
        <w:rPr>
          <w:szCs w:val="24"/>
          <w:lang w:val="en-US"/>
        </w:rPr>
        <w:instrText>article</w:instrText>
      </w:r>
      <w:r w:rsidR="00F97FA1" w:rsidRPr="00654E12">
        <w:rPr>
          <w:szCs w:val="24"/>
        </w:rPr>
        <w:instrText>-</w:instrText>
      </w:r>
      <w:r w:rsidR="00F97FA1" w:rsidRPr="00062B4F">
        <w:rPr>
          <w:szCs w:val="24"/>
          <w:lang w:val="en-US"/>
        </w:rPr>
        <w:instrText>journal</w:instrText>
      </w:r>
      <w:r w:rsidR="00F97FA1" w:rsidRPr="00654E12">
        <w:rPr>
          <w:szCs w:val="24"/>
        </w:rPr>
        <w:instrText>","</w:instrText>
      </w:r>
      <w:r w:rsidR="00F97FA1" w:rsidRPr="00062B4F">
        <w:rPr>
          <w:szCs w:val="24"/>
          <w:lang w:val="en-US"/>
        </w:rPr>
        <w:instrText>volume</w:instrText>
      </w:r>
      <w:r w:rsidR="00F97FA1" w:rsidRPr="00654E12">
        <w:rPr>
          <w:szCs w:val="24"/>
        </w:rPr>
        <w:instrText>":"5"},"</w:instrText>
      </w:r>
      <w:r w:rsidR="00F97FA1" w:rsidRPr="00062B4F">
        <w:rPr>
          <w:szCs w:val="24"/>
          <w:lang w:val="en-US"/>
        </w:rPr>
        <w:instrText>uris</w:instrText>
      </w:r>
      <w:r w:rsidR="00F97FA1" w:rsidRPr="00654E12">
        <w:rPr>
          <w:szCs w:val="24"/>
        </w:rPr>
        <w:instrText>":["</w:instrText>
      </w:r>
      <w:r w:rsidR="00F97FA1" w:rsidRPr="00062B4F">
        <w:rPr>
          <w:szCs w:val="24"/>
          <w:lang w:val="en-US"/>
        </w:rPr>
        <w:instrText>http</w:instrText>
      </w:r>
      <w:r w:rsidR="00F97FA1" w:rsidRPr="00654E12">
        <w:rPr>
          <w:szCs w:val="24"/>
        </w:rPr>
        <w:instrText>://</w:instrText>
      </w:r>
      <w:r w:rsidR="00F97FA1" w:rsidRPr="00062B4F">
        <w:rPr>
          <w:szCs w:val="24"/>
          <w:lang w:val="en-US"/>
        </w:rPr>
        <w:instrText>www</w:instrText>
      </w:r>
      <w:r w:rsidR="00F97FA1" w:rsidRPr="00654E12">
        <w:rPr>
          <w:szCs w:val="24"/>
        </w:rPr>
        <w:instrText>.</w:instrText>
      </w:r>
      <w:r w:rsidR="00F97FA1" w:rsidRPr="00062B4F">
        <w:rPr>
          <w:szCs w:val="24"/>
          <w:lang w:val="en-US"/>
        </w:rPr>
        <w:instrText>mendeley</w:instrText>
      </w:r>
      <w:r w:rsidR="00F97FA1" w:rsidRPr="00654E12">
        <w:rPr>
          <w:szCs w:val="24"/>
        </w:rPr>
        <w:instrText>.</w:instrText>
      </w:r>
      <w:r w:rsidR="00F97FA1" w:rsidRPr="00062B4F">
        <w:rPr>
          <w:szCs w:val="24"/>
          <w:lang w:val="en-US"/>
        </w:rPr>
        <w:instrText>com</w:instrText>
      </w:r>
      <w:r w:rsidR="00F97FA1" w:rsidRPr="00654E12">
        <w:rPr>
          <w:szCs w:val="24"/>
        </w:rPr>
        <w:instrText>/</w:instrText>
      </w:r>
      <w:r w:rsidR="00F97FA1" w:rsidRPr="00062B4F">
        <w:rPr>
          <w:szCs w:val="24"/>
          <w:lang w:val="en-US"/>
        </w:rPr>
        <w:instrText>documents</w:instrText>
      </w:r>
      <w:r w:rsidR="00F97FA1" w:rsidRPr="00654E12">
        <w:rPr>
          <w:szCs w:val="24"/>
        </w:rPr>
        <w:instrText>/?</w:instrText>
      </w:r>
      <w:r w:rsidR="00F97FA1" w:rsidRPr="00062B4F">
        <w:rPr>
          <w:szCs w:val="24"/>
          <w:lang w:val="en-US"/>
        </w:rPr>
        <w:instrText>uuid</w:instrText>
      </w:r>
      <w:r w:rsidR="00F97FA1" w:rsidRPr="00654E12">
        <w:rPr>
          <w:szCs w:val="24"/>
        </w:rPr>
        <w:instrText>=37</w:instrText>
      </w:r>
      <w:r w:rsidR="00F97FA1" w:rsidRPr="00062B4F">
        <w:rPr>
          <w:szCs w:val="24"/>
          <w:lang w:val="en-US"/>
        </w:rPr>
        <w:instrText>e</w:instrText>
      </w:r>
      <w:r w:rsidR="00F97FA1" w:rsidRPr="00654E12">
        <w:rPr>
          <w:szCs w:val="24"/>
        </w:rPr>
        <w:instrText>4803</w:instrText>
      </w:r>
      <w:r w:rsidR="00F97FA1" w:rsidRPr="00062B4F">
        <w:rPr>
          <w:szCs w:val="24"/>
          <w:lang w:val="en-US"/>
        </w:rPr>
        <w:instrText>f</w:instrText>
      </w:r>
      <w:r w:rsidR="00F97FA1" w:rsidRPr="00654E12">
        <w:rPr>
          <w:szCs w:val="24"/>
        </w:rPr>
        <w:instrText>-2468-3082-</w:instrText>
      </w:r>
      <w:r w:rsidR="00F97FA1" w:rsidRPr="00062B4F">
        <w:rPr>
          <w:szCs w:val="24"/>
          <w:lang w:val="en-US"/>
        </w:rPr>
        <w:instrText>ae</w:instrText>
      </w:r>
      <w:r w:rsidR="00F97FA1" w:rsidRPr="00654E12">
        <w:rPr>
          <w:szCs w:val="24"/>
        </w:rPr>
        <w:instrText>4</w:instrText>
      </w:r>
      <w:r w:rsidR="00F97FA1" w:rsidRPr="00062B4F">
        <w:rPr>
          <w:szCs w:val="24"/>
          <w:lang w:val="en-US"/>
        </w:rPr>
        <w:instrText>c</w:instrText>
      </w:r>
      <w:r w:rsidR="00F97FA1" w:rsidRPr="00654E12">
        <w:rPr>
          <w:szCs w:val="24"/>
        </w:rPr>
        <w:instrText>-</w:instrText>
      </w:r>
      <w:r w:rsidR="00F97FA1" w:rsidRPr="00062B4F">
        <w:rPr>
          <w:szCs w:val="24"/>
          <w:lang w:val="en-US"/>
        </w:rPr>
        <w:instrText>dc</w:instrText>
      </w:r>
      <w:r w:rsidR="00F97FA1" w:rsidRPr="00654E12">
        <w:rPr>
          <w:szCs w:val="24"/>
        </w:rPr>
        <w:instrText>5</w:instrText>
      </w:r>
      <w:r w:rsidR="00F97FA1" w:rsidRPr="00062B4F">
        <w:rPr>
          <w:szCs w:val="24"/>
          <w:lang w:val="en-US"/>
        </w:rPr>
        <w:instrText>ab</w:instrText>
      </w:r>
      <w:r w:rsidR="00F97FA1" w:rsidRPr="00654E12">
        <w:rPr>
          <w:szCs w:val="24"/>
        </w:rPr>
        <w:instrText>1419394"]}],"</w:instrText>
      </w:r>
      <w:r w:rsidR="00F97FA1" w:rsidRPr="00062B4F">
        <w:rPr>
          <w:szCs w:val="24"/>
          <w:lang w:val="en-US"/>
        </w:rPr>
        <w:instrText>mendeley</w:instrText>
      </w:r>
      <w:r w:rsidR="00F97FA1" w:rsidRPr="00654E12">
        <w:rPr>
          <w:szCs w:val="24"/>
        </w:rPr>
        <w:instrText>":{"</w:instrText>
      </w:r>
      <w:r w:rsidR="00F97FA1" w:rsidRPr="00062B4F">
        <w:rPr>
          <w:szCs w:val="24"/>
          <w:lang w:val="en-US"/>
        </w:rPr>
        <w:instrText>formattedCitation</w:instrText>
      </w:r>
      <w:r w:rsidR="00F97FA1" w:rsidRPr="00654E12">
        <w:rPr>
          <w:szCs w:val="24"/>
        </w:rPr>
        <w:instrText>":"[98]","</w:instrText>
      </w:r>
      <w:r w:rsidR="00F97FA1" w:rsidRPr="00062B4F">
        <w:rPr>
          <w:szCs w:val="24"/>
          <w:lang w:val="en-US"/>
        </w:rPr>
        <w:instrText>plainTextFormattedCitation</w:instrText>
      </w:r>
      <w:r w:rsidR="00F97FA1" w:rsidRPr="00654E12">
        <w:rPr>
          <w:szCs w:val="24"/>
        </w:rPr>
        <w:instrText>":"[98]","</w:instrText>
      </w:r>
      <w:r w:rsidR="00F97FA1" w:rsidRPr="00062B4F">
        <w:rPr>
          <w:szCs w:val="24"/>
          <w:lang w:val="en-US"/>
        </w:rPr>
        <w:instrText>previouslyFormattedCitation</w:instrText>
      </w:r>
      <w:r w:rsidR="00F97FA1" w:rsidRPr="00654E12">
        <w:rPr>
          <w:szCs w:val="24"/>
        </w:rPr>
        <w:instrText>":"[98]"},"</w:instrText>
      </w:r>
      <w:r w:rsidR="00F97FA1" w:rsidRPr="00062B4F">
        <w:rPr>
          <w:szCs w:val="24"/>
          <w:lang w:val="en-US"/>
        </w:rPr>
        <w:instrText>properties</w:instrText>
      </w:r>
      <w:r w:rsidR="00F97FA1" w:rsidRPr="00654E12">
        <w:rPr>
          <w:szCs w:val="24"/>
        </w:rPr>
        <w:instrText>":{"</w:instrText>
      </w:r>
      <w:r w:rsidR="00F97FA1" w:rsidRPr="00062B4F">
        <w:rPr>
          <w:szCs w:val="24"/>
          <w:lang w:val="en-US"/>
        </w:rPr>
        <w:instrText>noteIndex</w:instrText>
      </w:r>
      <w:r w:rsidR="00F97FA1" w:rsidRPr="00654E12">
        <w:rPr>
          <w:szCs w:val="24"/>
        </w:rPr>
        <w:instrText>":0},"</w:instrText>
      </w:r>
      <w:r w:rsidR="00F97FA1" w:rsidRPr="00062B4F">
        <w:rPr>
          <w:szCs w:val="24"/>
          <w:lang w:val="en-US"/>
        </w:rPr>
        <w:instrText>schema</w:instrText>
      </w:r>
      <w:r w:rsidR="00F97FA1" w:rsidRPr="00654E12">
        <w:rPr>
          <w:szCs w:val="24"/>
        </w:rPr>
        <w:instrText>":"</w:instrText>
      </w:r>
      <w:r w:rsidR="00F97FA1" w:rsidRPr="00062B4F">
        <w:rPr>
          <w:szCs w:val="24"/>
          <w:lang w:val="en-US"/>
        </w:rPr>
        <w:instrText>https</w:instrText>
      </w:r>
      <w:r w:rsidR="00F97FA1" w:rsidRPr="00654E12">
        <w:rPr>
          <w:szCs w:val="24"/>
        </w:rPr>
        <w:instrText>://</w:instrText>
      </w:r>
      <w:r w:rsidR="00F97FA1" w:rsidRPr="00062B4F">
        <w:rPr>
          <w:szCs w:val="24"/>
          <w:lang w:val="en-US"/>
        </w:rPr>
        <w:instrText>github</w:instrText>
      </w:r>
      <w:r w:rsidR="00F97FA1" w:rsidRPr="00654E12">
        <w:rPr>
          <w:szCs w:val="24"/>
        </w:rPr>
        <w:instrText>.</w:instrText>
      </w:r>
      <w:r w:rsidR="00F97FA1" w:rsidRPr="00062B4F">
        <w:rPr>
          <w:szCs w:val="24"/>
          <w:lang w:val="en-US"/>
        </w:rPr>
        <w:instrText>com</w:instrText>
      </w:r>
      <w:r w:rsidR="00F97FA1" w:rsidRPr="00654E12">
        <w:rPr>
          <w:szCs w:val="24"/>
        </w:rPr>
        <w:instrText>/</w:instrText>
      </w:r>
      <w:r w:rsidR="00F97FA1" w:rsidRPr="00062B4F">
        <w:rPr>
          <w:szCs w:val="24"/>
          <w:lang w:val="en-US"/>
        </w:rPr>
        <w:instrText>citation</w:instrText>
      </w:r>
      <w:r w:rsidR="00F97FA1" w:rsidRPr="00654E12">
        <w:rPr>
          <w:szCs w:val="24"/>
        </w:rPr>
        <w:instrText>-</w:instrText>
      </w:r>
      <w:r w:rsidR="00F97FA1" w:rsidRPr="00062B4F">
        <w:rPr>
          <w:szCs w:val="24"/>
          <w:lang w:val="en-US"/>
        </w:rPr>
        <w:instrText>style</w:instrText>
      </w:r>
      <w:r w:rsidR="00F97FA1" w:rsidRPr="00654E12">
        <w:rPr>
          <w:szCs w:val="24"/>
        </w:rPr>
        <w:instrText>-</w:instrText>
      </w:r>
      <w:r w:rsidR="00F97FA1" w:rsidRPr="00062B4F">
        <w:rPr>
          <w:szCs w:val="24"/>
          <w:lang w:val="en-US"/>
        </w:rPr>
        <w:instrText>language</w:instrText>
      </w:r>
      <w:r w:rsidR="00F97FA1" w:rsidRPr="00654E12">
        <w:rPr>
          <w:szCs w:val="24"/>
        </w:rPr>
        <w:instrText>/</w:instrText>
      </w:r>
      <w:r w:rsidR="00F97FA1" w:rsidRPr="00062B4F">
        <w:rPr>
          <w:szCs w:val="24"/>
          <w:lang w:val="en-US"/>
        </w:rPr>
        <w:instrText>schema</w:instrText>
      </w:r>
      <w:r w:rsidR="00F97FA1" w:rsidRPr="00654E12">
        <w:rPr>
          <w:szCs w:val="24"/>
        </w:rPr>
        <w:instrText>/</w:instrText>
      </w:r>
      <w:r w:rsidR="00F97FA1" w:rsidRPr="00062B4F">
        <w:rPr>
          <w:szCs w:val="24"/>
          <w:lang w:val="en-US"/>
        </w:rPr>
        <w:instrText>raw</w:instrText>
      </w:r>
      <w:r w:rsidR="00F97FA1" w:rsidRPr="00654E12">
        <w:rPr>
          <w:szCs w:val="24"/>
        </w:rPr>
        <w:instrText>/</w:instrText>
      </w:r>
      <w:r w:rsidR="00F97FA1" w:rsidRPr="00062B4F">
        <w:rPr>
          <w:szCs w:val="24"/>
          <w:lang w:val="en-US"/>
        </w:rPr>
        <w:instrText>master</w:instrText>
      </w:r>
      <w:r w:rsidR="00F97FA1" w:rsidRPr="00654E12">
        <w:rPr>
          <w:szCs w:val="24"/>
        </w:rPr>
        <w:instrText>/</w:instrText>
      </w:r>
      <w:r w:rsidR="00F97FA1" w:rsidRPr="00062B4F">
        <w:rPr>
          <w:szCs w:val="24"/>
          <w:lang w:val="en-US"/>
        </w:rPr>
        <w:instrText>csl</w:instrText>
      </w:r>
      <w:r w:rsidR="00F97FA1" w:rsidRPr="00654E12">
        <w:rPr>
          <w:szCs w:val="24"/>
        </w:rPr>
        <w:instrText>-</w:instrText>
      </w:r>
      <w:r w:rsidR="00F97FA1" w:rsidRPr="00062B4F">
        <w:rPr>
          <w:szCs w:val="24"/>
          <w:lang w:val="en-US"/>
        </w:rPr>
        <w:instrText>citation</w:instrText>
      </w:r>
      <w:r w:rsidR="00F97FA1" w:rsidRPr="00654E12">
        <w:rPr>
          <w:szCs w:val="24"/>
        </w:rPr>
        <w:instrText>.</w:instrText>
      </w:r>
      <w:r w:rsidR="00F97FA1" w:rsidRPr="00062B4F">
        <w:rPr>
          <w:szCs w:val="24"/>
          <w:lang w:val="en-US"/>
        </w:rPr>
        <w:instrText>json</w:instrText>
      </w:r>
      <w:r w:rsidR="00F97FA1" w:rsidRPr="00654E12">
        <w:rPr>
          <w:szCs w:val="24"/>
        </w:rPr>
        <w:instrText>"}</w:instrText>
      </w:r>
      <w:r w:rsidR="00F97FA1" w:rsidRPr="00062B4F">
        <w:rPr>
          <w:szCs w:val="24"/>
          <w:lang w:val="en-US"/>
        </w:rPr>
        <w:fldChar w:fldCharType="separate"/>
      </w:r>
      <w:r w:rsidR="00F97FA1" w:rsidRPr="00654E12">
        <w:rPr>
          <w:noProof/>
          <w:szCs w:val="24"/>
        </w:rPr>
        <w:t>[98]</w:t>
      </w:r>
      <w:r w:rsidR="00F97FA1" w:rsidRPr="00062B4F">
        <w:rPr>
          <w:szCs w:val="24"/>
          <w:lang w:val="en-US"/>
        </w:rPr>
        <w:fldChar w:fldCharType="end"/>
      </w:r>
      <w:r w:rsidRPr="00654E12">
        <w:rPr>
          <w:szCs w:val="24"/>
        </w:rPr>
        <w:t>.</w:t>
      </w:r>
    </w:p>
    <w:p w14:paraId="5C861AA8" w14:textId="77777777" w:rsidR="000C7098" w:rsidRPr="00062B4F" w:rsidRDefault="000C7098" w:rsidP="009C796D">
      <w:pPr>
        <w:spacing w:line="348" w:lineRule="auto"/>
        <w:rPr>
          <w:szCs w:val="24"/>
        </w:rPr>
      </w:pPr>
      <w:r w:rsidRPr="00062B4F">
        <w:rPr>
          <w:szCs w:val="24"/>
        </w:rPr>
        <w:t>Тип: шкала оценки.</w:t>
      </w:r>
    </w:p>
    <w:p w14:paraId="1FB988C2" w14:textId="77777777" w:rsidR="000C7098" w:rsidRPr="00062B4F" w:rsidRDefault="000C7098" w:rsidP="009C796D">
      <w:pPr>
        <w:spacing w:line="348" w:lineRule="auto"/>
        <w:rPr>
          <w:spacing w:val="-2"/>
          <w:szCs w:val="24"/>
        </w:rPr>
      </w:pPr>
      <w:r w:rsidRPr="00062B4F">
        <w:rPr>
          <w:spacing w:val="-2"/>
          <w:szCs w:val="24"/>
        </w:rPr>
        <w:t>Назначение: описать уровень функционирования пациента с точки зрения его способности заботиться о себе, повседневной активности и физических способностей (ходьба, работа и т.д.).</w:t>
      </w:r>
    </w:p>
    <w:p w14:paraId="2BC03945" w14:textId="77777777" w:rsidR="000C7098" w:rsidRDefault="000C7098" w:rsidP="009C796D">
      <w:pPr>
        <w:spacing w:line="348" w:lineRule="auto"/>
        <w:rPr>
          <w:szCs w:val="24"/>
        </w:rPr>
      </w:pPr>
      <w:r w:rsidRPr="00062B4F">
        <w:rPr>
          <w:szCs w:val="24"/>
        </w:rPr>
        <w:t>Содержание (шаблон):</w:t>
      </w:r>
    </w:p>
    <w:tbl>
      <w:tblPr>
        <w:tblW w:w="9562" w:type="dxa"/>
        <w:tblInd w:w="2" w:type="dxa"/>
        <w:tblCellMar>
          <w:top w:w="15" w:type="dxa"/>
          <w:left w:w="15" w:type="dxa"/>
          <w:bottom w:w="15" w:type="dxa"/>
          <w:right w:w="15" w:type="dxa"/>
        </w:tblCellMar>
        <w:tblLook w:val="00A0" w:firstRow="1" w:lastRow="0" w:firstColumn="1" w:lastColumn="0" w:noHBand="0" w:noVBand="0"/>
      </w:tblPr>
      <w:tblGrid>
        <w:gridCol w:w="1673"/>
        <w:gridCol w:w="7889"/>
      </w:tblGrid>
      <w:tr w:rsidR="00036EB4" w:rsidRPr="00062B4F" w14:paraId="6A9945FF" w14:textId="77777777" w:rsidTr="00E174A2">
        <w:trPr>
          <w:trHeight w:val="536"/>
        </w:trPr>
        <w:tc>
          <w:tcPr>
            <w:tcW w:w="1673" w:type="dxa"/>
            <w:tcBorders>
              <w:top w:val="single" w:sz="4" w:space="0" w:color="auto"/>
              <w:left w:val="single" w:sz="4" w:space="0" w:color="auto"/>
              <w:bottom w:val="single" w:sz="4" w:space="0" w:color="auto"/>
              <w:right w:val="single" w:sz="4" w:space="0" w:color="auto"/>
            </w:tcBorders>
            <w:vAlign w:val="center"/>
          </w:tcPr>
          <w:p w14:paraId="0E104CC0" w14:textId="77777777" w:rsidR="00036EB4" w:rsidRPr="00062B4F" w:rsidRDefault="00036EB4" w:rsidP="00E174A2">
            <w:pPr>
              <w:ind w:firstLine="0"/>
              <w:jc w:val="center"/>
              <w:rPr>
                <w:b/>
                <w:bCs/>
                <w:szCs w:val="24"/>
              </w:rPr>
            </w:pPr>
            <w:r w:rsidRPr="00062B4F">
              <w:rPr>
                <w:b/>
                <w:bCs/>
                <w:szCs w:val="24"/>
              </w:rPr>
              <w:t>Балл</w:t>
            </w:r>
          </w:p>
        </w:tc>
        <w:tc>
          <w:tcPr>
            <w:tcW w:w="7889" w:type="dxa"/>
            <w:tcBorders>
              <w:top w:val="single" w:sz="4" w:space="0" w:color="auto"/>
              <w:left w:val="single" w:sz="4" w:space="0" w:color="auto"/>
              <w:bottom w:val="single" w:sz="4" w:space="0" w:color="auto"/>
              <w:right w:val="single" w:sz="4" w:space="0" w:color="auto"/>
            </w:tcBorders>
            <w:vAlign w:val="center"/>
          </w:tcPr>
          <w:p w14:paraId="225D2676" w14:textId="77777777" w:rsidR="00036EB4" w:rsidRPr="00062B4F" w:rsidRDefault="00036EB4" w:rsidP="00E174A2">
            <w:pPr>
              <w:ind w:firstLine="0"/>
              <w:jc w:val="center"/>
              <w:rPr>
                <w:b/>
                <w:bCs/>
                <w:szCs w:val="24"/>
              </w:rPr>
            </w:pPr>
            <w:r w:rsidRPr="00062B4F">
              <w:rPr>
                <w:b/>
                <w:bCs/>
                <w:szCs w:val="24"/>
              </w:rPr>
              <w:t>Описание</w:t>
            </w:r>
          </w:p>
        </w:tc>
      </w:tr>
      <w:tr w:rsidR="00036EB4" w:rsidRPr="00062B4F" w14:paraId="3C6B502F" w14:textId="77777777" w:rsidTr="00E174A2">
        <w:trPr>
          <w:trHeight w:val="918"/>
        </w:trPr>
        <w:tc>
          <w:tcPr>
            <w:tcW w:w="1673" w:type="dxa"/>
            <w:tcBorders>
              <w:top w:val="single" w:sz="4" w:space="0" w:color="auto"/>
              <w:left w:val="single" w:sz="4" w:space="0" w:color="auto"/>
              <w:bottom w:val="single" w:sz="4" w:space="0" w:color="auto"/>
              <w:right w:val="single" w:sz="4" w:space="0" w:color="auto"/>
            </w:tcBorders>
            <w:vAlign w:val="center"/>
          </w:tcPr>
          <w:p w14:paraId="151F2C45" w14:textId="77777777" w:rsidR="00036EB4" w:rsidRPr="00062B4F" w:rsidRDefault="00036EB4" w:rsidP="00E174A2">
            <w:pPr>
              <w:ind w:firstLine="0"/>
              <w:jc w:val="center"/>
              <w:rPr>
                <w:szCs w:val="24"/>
              </w:rPr>
            </w:pPr>
            <w:r w:rsidRPr="00062B4F">
              <w:rPr>
                <w:szCs w:val="24"/>
              </w:rPr>
              <w:t>0</w:t>
            </w:r>
          </w:p>
        </w:tc>
        <w:tc>
          <w:tcPr>
            <w:tcW w:w="7889" w:type="dxa"/>
            <w:tcBorders>
              <w:top w:val="single" w:sz="4" w:space="0" w:color="auto"/>
              <w:left w:val="single" w:sz="4" w:space="0" w:color="auto"/>
              <w:bottom w:val="single" w:sz="4" w:space="0" w:color="auto"/>
              <w:right w:val="single" w:sz="4" w:space="0" w:color="auto"/>
            </w:tcBorders>
            <w:vAlign w:val="center"/>
          </w:tcPr>
          <w:p w14:paraId="67F2045E" w14:textId="77777777" w:rsidR="00036EB4" w:rsidRPr="00062B4F" w:rsidRDefault="00036EB4" w:rsidP="00E174A2">
            <w:pPr>
              <w:ind w:left="470" w:right="162" w:firstLine="0"/>
              <w:rPr>
                <w:szCs w:val="24"/>
              </w:rPr>
            </w:pPr>
            <w:r w:rsidRPr="00062B4F">
              <w:rPr>
                <w:szCs w:val="24"/>
              </w:rPr>
              <w:t>Пациент полностью активен, способен выполнять все действия, как и</w:t>
            </w:r>
          </w:p>
          <w:p w14:paraId="4A9E77EB" w14:textId="77777777" w:rsidR="00036EB4" w:rsidRPr="00062B4F" w:rsidRDefault="00036EB4" w:rsidP="00E174A2">
            <w:pPr>
              <w:ind w:left="470" w:right="162" w:firstLine="0"/>
              <w:rPr>
                <w:szCs w:val="24"/>
              </w:rPr>
            </w:pPr>
            <w:r w:rsidRPr="00062B4F">
              <w:rPr>
                <w:szCs w:val="24"/>
              </w:rPr>
              <w:t>до заболевания</w:t>
            </w:r>
          </w:p>
        </w:tc>
      </w:tr>
      <w:tr w:rsidR="00036EB4" w:rsidRPr="00062B4F" w14:paraId="5F1E838D" w14:textId="77777777" w:rsidTr="00E174A2">
        <w:trPr>
          <w:trHeight w:val="1171"/>
        </w:trPr>
        <w:tc>
          <w:tcPr>
            <w:tcW w:w="1673" w:type="dxa"/>
            <w:tcBorders>
              <w:top w:val="single" w:sz="4" w:space="0" w:color="auto"/>
              <w:left w:val="single" w:sz="4" w:space="0" w:color="auto"/>
              <w:bottom w:val="single" w:sz="4" w:space="0" w:color="auto"/>
              <w:right w:val="single" w:sz="4" w:space="0" w:color="auto"/>
            </w:tcBorders>
            <w:vAlign w:val="center"/>
          </w:tcPr>
          <w:p w14:paraId="7BEFDE6E" w14:textId="77777777" w:rsidR="00036EB4" w:rsidRPr="00062B4F" w:rsidRDefault="00036EB4" w:rsidP="00E174A2">
            <w:pPr>
              <w:ind w:firstLine="0"/>
              <w:jc w:val="center"/>
              <w:rPr>
                <w:szCs w:val="24"/>
              </w:rPr>
            </w:pPr>
            <w:r w:rsidRPr="00062B4F">
              <w:rPr>
                <w:szCs w:val="24"/>
              </w:rPr>
              <w:t>1</w:t>
            </w:r>
          </w:p>
        </w:tc>
        <w:tc>
          <w:tcPr>
            <w:tcW w:w="7889" w:type="dxa"/>
            <w:tcBorders>
              <w:top w:val="single" w:sz="4" w:space="0" w:color="auto"/>
              <w:left w:val="single" w:sz="4" w:space="0" w:color="auto"/>
              <w:bottom w:val="single" w:sz="4" w:space="0" w:color="auto"/>
              <w:right w:val="single" w:sz="4" w:space="0" w:color="auto"/>
            </w:tcBorders>
            <w:vAlign w:val="center"/>
          </w:tcPr>
          <w:p w14:paraId="3C352D7A" w14:textId="77777777" w:rsidR="00036EB4" w:rsidRPr="00062B4F" w:rsidRDefault="00036EB4" w:rsidP="00E174A2">
            <w:pPr>
              <w:ind w:left="470" w:right="162" w:firstLine="0"/>
              <w:rPr>
                <w:szCs w:val="24"/>
              </w:rPr>
            </w:pPr>
            <w:r w:rsidRPr="00062B4F">
              <w:rPr>
                <w:szCs w:val="24"/>
              </w:rPr>
              <w:t>Пациент неспособен выполнять тяжелую работу, но может выполнять легкую или сидячую (например, легкую домашнюю или канцелярскую работу)</w:t>
            </w:r>
          </w:p>
        </w:tc>
      </w:tr>
      <w:tr w:rsidR="00036EB4" w:rsidRPr="00062B4F" w14:paraId="622BC21C" w14:textId="77777777" w:rsidTr="00E174A2">
        <w:trPr>
          <w:trHeight w:val="1195"/>
        </w:trPr>
        <w:tc>
          <w:tcPr>
            <w:tcW w:w="1673" w:type="dxa"/>
            <w:tcBorders>
              <w:top w:val="single" w:sz="4" w:space="0" w:color="auto"/>
              <w:left w:val="single" w:sz="4" w:space="0" w:color="auto"/>
              <w:bottom w:val="single" w:sz="4" w:space="0" w:color="auto"/>
              <w:right w:val="single" w:sz="4" w:space="0" w:color="auto"/>
            </w:tcBorders>
            <w:vAlign w:val="center"/>
          </w:tcPr>
          <w:p w14:paraId="30A99715" w14:textId="77777777" w:rsidR="00036EB4" w:rsidRPr="00062B4F" w:rsidRDefault="00036EB4" w:rsidP="00E174A2">
            <w:pPr>
              <w:ind w:firstLine="0"/>
              <w:jc w:val="center"/>
              <w:rPr>
                <w:szCs w:val="24"/>
              </w:rPr>
            </w:pPr>
            <w:r w:rsidRPr="00062B4F">
              <w:rPr>
                <w:szCs w:val="24"/>
              </w:rPr>
              <w:t>2</w:t>
            </w:r>
          </w:p>
        </w:tc>
        <w:tc>
          <w:tcPr>
            <w:tcW w:w="7889" w:type="dxa"/>
            <w:tcBorders>
              <w:top w:val="single" w:sz="4" w:space="0" w:color="auto"/>
              <w:left w:val="single" w:sz="4" w:space="0" w:color="auto"/>
              <w:bottom w:val="single" w:sz="4" w:space="0" w:color="auto"/>
              <w:right w:val="single" w:sz="4" w:space="0" w:color="auto"/>
            </w:tcBorders>
            <w:vAlign w:val="center"/>
          </w:tcPr>
          <w:p w14:paraId="7515D8D1" w14:textId="77777777" w:rsidR="00036EB4" w:rsidRPr="00062B4F" w:rsidRDefault="00036EB4" w:rsidP="00E174A2">
            <w:pPr>
              <w:ind w:left="470" w:right="162" w:firstLine="0"/>
              <w:rPr>
                <w:szCs w:val="24"/>
              </w:rPr>
            </w:pPr>
            <w:r w:rsidRPr="00062B4F">
              <w:rPr>
                <w:szCs w:val="24"/>
              </w:rPr>
              <w:t xml:space="preserve">Пациент лечится амбулаторно, способен к самообслуживанию, но не может выполнять работу. Более 50 % времени бодрствования проводит активно – в вертикальном положении </w:t>
            </w:r>
          </w:p>
        </w:tc>
      </w:tr>
      <w:tr w:rsidR="00036EB4" w:rsidRPr="00062B4F" w14:paraId="3B3F708D" w14:textId="77777777" w:rsidTr="00E174A2">
        <w:trPr>
          <w:trHeight w:val="1165"/>
        </w:trPr>
        <w:tc>
          <w:tcPr>
            <w:tcW w:w="1673" w:type="dxa"/>
            <w:tcBorders>
              <w:top w:val="single" w:sz="4" w:space="0" w:color="auto"/>
              <w:left w:val="single" w:sz="4" w:space="0" w:color="auto"/>
              <w:bottom w:val="single" w:sz="4" w:space="0" w:color="auto"/>
              <w:right w:val="single" w:sz="4" w:space="0" w:color="auto"/>
            </w:tcBorders>
            <w:vAlign w:val="center"/>
          </w:tcPr>
          <w:p w14:paraId="43C29380" w14:textId="77777777" w:rsidR="00036EB4" w:rsidRPr="00062B4F" w:rsidRDefault="00036EB4" w:rsidP="00E174A2">
            <w:pPr>
              <w:ind w:firstLine="0"/>
              <w:jc w:val="center"/>
              <w:rPr>
                <w:szCs w:val="24"/>
              </w:rPr>
            </w:pPr>
            <w:r w:rsidRPr="00062B4F">
              <w:rPr>
                <w:szCs w:val="24"/>
              </w:rPr>
              <w:t>3</w:t>
            </w:r>
          </w:p>
        </w:tc>
        <w:tc>
          <w:tcPr>
            <w:tcW w:w="7889" w:type="dxa"/>
            <w:tcBorders>
              <w:top w:val="single" w:sz="4" w:space="0" w:color="auto"/>
              <w:left w:val="single" w:sz="4" w:space="0" w:color="auto"/>
              <w:bottom w:val="single" w:sz="4" w:space="0" w:color="auto"/>
              <w:right w:val="single" w:sz="4" w:space="0" w:color="auto"/>
            </w:tcBorders>
            <w:vAlign w:val="center"/>
          </w:tcPr>
          <w:p w14:paraId="1AA15B7C" w14:textId="77777777" w:rsidR="00036EB4" w:rsidRPr="00062B4F" w:rsidRDefault="00036EB4" w:rsidP="00E174A2">
            <w:pPr>
              <w:ind w:left="470" w:right="162" w:firstLine="0"/>
              <w:rPr>
                <w:szCs w:val="24"/>
              </w:rPr>
            </w:pPr>
            <w:r w:rsidRPr="00062B4F">
              <w:rPr>
                <w:szCs w:val="24"/>
              </w:rPr>
              <w:t xml:space="preserve">Пациент способен лишь к ограниченному самообслуживанию, проводит в кресле или постели более 50 % времени бодрствования </w:t>
            </w:r>
          </w:p>
        </w:tc>
      </w:tr>
      <w:tr w:rsidR="00036EB4" w:rsidRPr="00062B4F" w14:paraId="33CD44F1" w14:textId="77777777" w:rsidTr="00E174A2">
        <w:tc>
          <w:tcPr>
            <w:tcW w:w="1673" w:type="dxa"/>
            <w:tcBorders>
              <w:top w:val="single" w:sz="4" w:space="0" w:color="auto"/>
              <w:left w:val="single" w:sz="4" w:space="0" w:color="auto"/>
              <w:bottom w:val="single" w:sz="4" w:space="0" w:color="auto"/>
              <w:right w:val="single" w:sz="4" w:space="0" w:color="auto"/>
            </w:tcBorders>
            <w:vAlign w:val="center"/>
          </w:tcPr>
          <w:p w14:paraId="0BCD9629" w14:textId="77777777" w:rsidR="00036EB4" w:rsidRPr="00062B4F" w:rsidRDefault="00036EB4" w:rsidP="00E174A2">
            <w:pPr>
              <w:ind w:firstLine="0"/>
              <w:jc w:val="center"/>
              <w:rPr>
                <w:szCs w:val="24"/>
              </w:rPr>
            </w:pPr>
            <w:r w:rsidRPr="00062B4F">
              <w:rPr>
                <w:szCs w:val="24"/>
              </w:rPr>
              <w:t>4</w:t>
            </w:r>
          </w:p>
        </w:tc>
        <w:tc>
          <w:tcPr>
            <w:tcW w:w="7889" w:type="dxa"/>
            <w:tcBorders>
              <w:top w:val="single" w:sz="4" w:space="0" w:color="auto"/>
              <w:left w:val="single" w:sz="4" w:space="0" w:color="auto"/>
              <w:bottom w:val="single" w:sz="4" w:space="0" w:color="auto"/>
              <w:right w:val="single" w:sz="4" w:space="0" w:color="auto"/>
            </w:tcBorders>
            <w:vAlign w:val="center"/>
          </w:tcPr>
          <w:p w14:paraId="69065A90" w14:textId="77777777" w:rsidR="00036EB4" w:rsidRPr="00062B4F" w:rsidRDefault="00036EB4" w:rsidP="00E174A2">
            <w:pPr>
              <w:ind w:left="470" w:right="162" w:firstLine="0"/>
              <w:rPr>
                <w:szCs w:val="24"/>
              </w:rPr>
            </w:pPr>
            <w:r w:rsidRPr="00062B4F">
              <w:rPr>
                <w:szCs w:val="24"/>
              </w:rPr>
              <w:t xml:space="preserve">Инвалид, совершенно не способен к самообслуживанию, прикован к креслу или постели </w:t>
            </w:r>
          </w:p>
        </w:tc>
      </w:tr>
      <w:tr w:rsidR="00036EB4" w:rsidRPr="00062B4F" w14:paraId="41D027EC" w14:textId="77777777" w:rsidTr="00E174A2">
        <w:tc>
          <w:tcPr>
            <w:tcW w:w="1673" w:type="dxa"/>
            <w:tcBorders>
              <w:top w:val="single" w:sz="4" w:space="0" w:color="auto"/>
              <w:left w:val="single" w:sz="4" w:space="0" w:color="auto"/>
              <w:bottom w:val="single" w:sz="4" w:space="0" w:color="auto"/>
              <w:right w:val="single" w:sz="4" w:space="0" w:color="auto"/>
            </w:tcBorders>
            <w:vAlign w:val="center"/>
          </w:tcPr>
          <w:p w14:paraId="64DAAA57" w14:textId="77777777" w:rsidR="00036EB4" w:rsidRPr="00062B4F" w:rsidRDefault="00036EB4" w:rsidP="00E174A2">
            <w:pPr>
              <w:ind w:firstLine="0"/>
              <w:jc w:val="center"/>
              <w:rPr>
                <w:szCs w:val="24"/>
              </w:rPr>
            </w:pPr>
            <w:r w:rsidRPr="00062B4F">
              <w:rPr>
                <w:szCs w:val="24"/>
              </w:rPr>
              <w:t>5</w:t>
            </w:r>
          </w:p>
        </w:tc>
        <w:tc>
          <w:tcPr>
            <w:tcW w:w="7889" w:type="dxa"/>
            <w:tcBorders>
              <w:top w:val="single" w:sz="4" w:space="0" w:color="auto"/>
              <w:left w:val="single" w:sz="4" w:space="0" w:color="auto"/>
              <w:bottom w:val="single" w:sz="4" w:space="0" w:color="auto"/>
              <w:right w:val="single" w:sz="4" w:space="0" w:color="auto"/>
            </w:tcBorders>
            <w:vAlign w:val="center"/>
          </w:tcPr>
          <w:p w14:paraId="33C5AED0" w14:textId="77777777" w:rsidR="00036EB4" w:rsidRPr="00062B4F" w:rsidRDefault="00036EB4" w:rsidP="00E174A2">
            <w:pPr>
              <w:ind w:left="470" w:right="162" w:firstLine="0"/>
              <w:rPr>
                <w:szCs w:val="24"/>
              </w:rPr>
            </w:pPr>
            <w:r w:rsidRPr="00062B4F">
              <w:rPr>
                <w:szCs w:val="24"/>
              </w:rPr>
              <w:t>Смерть</w:t>
            </w:r>
          </w:p>
        </w:tc>
      </w:tr>
    </w:tbl>
    <w:p w14:paraId="3ED9E743" w14:textId="4889D9D2" w:rsidR="00036EB4" w:rsidRPr="00062B4F" w:rsidRDefault="00036EB4" w:rsidP="009C796D">
      <w:pPr>
        <w:spacing w:line="348" w:lineRule="auto"/>
        <w:rPr>
          <w:szCs w:val="24"/>
        </w:rPr>
      </w:pPr>
      <w:r w:rsidRPr="00062B4F">
        <w:rPr>
          <w:bCs/>
          <w:szCs w:val="24"/>
          <w:lang w:eastAsia="ru-RU"/>
        </w:rPr>
        <w:t>Ключ (интерпретация): приведен в самой шкале.</w:t>
      </w:r>
    </w:p>
    <w:p w14:paraId="7A999FE5" w14:textId="6594A4C4" w:rsidR="000C7098" w:rsidRPr="00062B4F" w:rsidRDefault="000C7098" w:rsidP="00351AF0">
      <w:pPr>
        <w:pageBreakBefore/>
        <w:suppressAutoHyphens/>
        <w:spacing w:before="240" w:after="240"/>
        <w:ind w:firstLine="0"/>
        <w:outlineLvl w:val="0"/>
        <w:rPr>
          <w:b/>
          <w:sz w:val="28"/>
          <w:szCs w:val="28"/>
        </w:rPr>
      </w:pPr>
      <w:bookmarkStart w:id="70" w:name="_Toc86133427"/>
      <w:r w:rsidRPr="00062B4F">
        <w:rPr>
          <w:b/>
          <w:sz w:val="28"/>
          <w:szCs w:val="28"/>
        </w:rPr>
        <w:lastRenderedPageBreak/>
        <w:t xml:space="preserve">Приложение </w:t>
      </w:r>
      <w:bookmarkStart w:id="71" w:name="_Toc464030937"/>
      <w:r w:rsidR="00BC0549" w:rsidRPr="00062B4F">
        <w:rPr>
          <w:b/>
          <w:sz w:val="28"/>
          <w:szCs w:val="28"/>
        </w:rPr>
        <w:t>Г</w:t>
      </w:r>
      <w:r w:rsidR="00BC0549">
        <w:rPr>
          <w:b/>
          <w:sz w:val="28"/>
          <w:szCs w:val="28"/>
        </w:rPr>
        <w:t>2</w:t>
      </w:r>
      <w:r w:rsidRPr="00062B4F">
        <w:rPr>
          <w:b/>
          <w:sz w:val="28"/>
          <w:szCs w:val="28"/>
        </w:rPr>
        <w:t>. Критерии токсичности NCI CTCAE</w:t>
      </w:r>
      <w:bookmarkEnd w:id="70"/>
      <w:r w:rsidRPr="00062B4F">
        <w:rPr>
          <w:b/>
          <w:sz w:val="28"/>
          <w:szCs w:val="28"/>
        </w:rPr>
        <w:t xml:space="preserve"> </w:t>
      </w:r>
      <w:bookmarkEnd w:id="71"/>
    </w:p>
    <w:p w14:paraId="72980674" w14:textId="77777777" w:rsidR="006878AE" w:rsidRPr="00062B4F" w:rsidRDefault="006878AE" w:rsidP="006878AE">
      <w:pPr>
        <w:spacing w:line="372" w:lineRule="auto"/>
        <w:rPr>
          <w:bCs/>
          <w:szCs w:val="24"/>
        </w:rPr>
      </w:pPr>
      <w:r w:rsidRPr="00062B4F">
        <w:rPr>
          <w:b/>
          <w:szCs w:val="24"/>
        </w:rPr>
        <w:t xml:space="preserve">Название на русском языке: </w:t>
      </w:r>
      <w:r w:rsidR="006D61DE" w:rsidRPr="00062B4F">
        <w:rPr>
          <w:bCs/>
          <w:szCs w:val="24"/>
        </w:rPr>
        <w:t>Критерии</w:t>
      </w:r>
      <w:r w:rsidRPr="00062B4F">
        <w:rPr>
          <w:bCs/>
          <w:szCs w:val="24"/>
        </w:rPr>
        <w:t xml:space="preserve"> токсичности Национального института рака </w:t>
      </w:r>
    </w:p>
    <w:p w14:paraId="4D3C907E" w14:textId="77777777" w:rsidR="006878AE" w:rsidRPr="00062B4F" w:rsidRDefault="006878AE" w:rsidP="006878AE">
      <w:pPr>
        <w:spacing w:line="372" w:lineRule="auto"/>
        <w:rPr>
          <w:bCs/>
          <w:szCs w:val="24"/>
          <w:lang w:val="en-US"/>
        </w:rPr>
      </w:pPr>
      <w:r w:rsidRPr="00062B4F">
        <w:rPr>
          <w:b/>
          <w:szCs w:val="24"/>
        </w:rPr>
        <w:t>Оригинальное</w:t>
      </w:r>
      <w:r w:rsidRPr="00062B4F">
        <w:rPr>
          <w:b/>
          <w:szCs w:val="24"/>
          <w:lang w:val="en-US"/>
        </w:rPr>
        <w:t xml:space="preserve"> </w:t>
      </w:r>
      <w:r w:rsidRPr="00062B4F">
        <w:rPr>
          <w:b/>
          <w:szCs w:val="24"/>
        </w:rPr>
        <w:t>название</w:t>
      </w:r>
      <w:r w:rsidRPr="00062B4F">
        <w:rPr>
          <w:b/>
          <w:szCs w:val="24"/>
          <w:lang w:val="en-US"/>
        </w:rPr>
        <w:t xml:space="preserve"> (</w:t>
      </w:r>
      <w:r w:rsidRPr="00062B4F">
        <w:rPr>
          <w:b/>
          <w:szCs w:val="24"/>
        </w:rPr>
        <w:t>если</w:t>
      </w:r>
      <w:r w:rsidRPr="00062B4F">
        <w:rPr>
          <w:b/>
          <w:szCs w:val="24"/>
          <w:lang w:val="en-US"/>
        </w:rPr>
        <w:t xml:space="preserve"> </w:t>
      </w:r>
      <w:r w:rsidRPr="00062B4F">
        <w:rPr>
          <w:b/>
          <w:szCs w:val="24"/>
        </w:rPr>
        <w:t>есть</w:t>
      </w:r>
      <w:r w:rsidRPr="00062B4F">
        <w:rPr>
          <w:b/>
          <w:szCs w:val="24"/>
          <w:lang w:val="en-US"/>
        </w:rPr>
        <w:t>):</w:t>
      </w:r>
      <w:r w:rsidR="006D61DE" w:rsidRPr="00062B4F">
        <w:rPr>
          <w:b/>
          <w:szCs w:val="24"/>
          <w:lang w:val="en-US"/>
        </w:rPr>
        <w:t xml:space="preserve"> </w:t>
      </w:r>
      <w:r w:rsidR="006D61DE" w:rsidRPr="00062B4F">
        <w:rPr>
          <w:bCs/>
          <w:szCs w:val="24"/>
          <w:lang w:val="en-US"/>
        </w:rPr>
        <w:t>National Cancer Institute Common Toxicity Criteria</w:t>
      </w:r>
    </w:p>
    <w:p w14:paraId="27801175" w14:textId="77777777" w:rsidR="006878AE" w:rsidRPr="00062B4F" w:rsidRDefault="006878AE" w:rsidP="006D61DE">
      <w:pPr>
        <w:spacing w:line="372" w:lineRule="auto"/>
        <w:rPr>
          <w:bCs/>
          <w:szCs w:val="24"/>
        </w:rPr>
      </w:pPr>
      <w:r w:rsidRPr="00062B4F">
        <w:rPr>
          <w:b/>
          <w:szCs w:val="24"/>
        </w:rPr>
        <w:t>Источник (официальный сайт разработчиков, публикация с</w:t>
      </w:r>
      <w:r w:rsidR="006D61DE" w:rsidRPr="00062B4F">
        <w:rPr>
          <w:b/>
          <w:szCs w:val="24"/>
        </w:rPr>
        <w:t xml:space="preserve"> </w:t>
      </w:r>
      <w:proofErr w:type="spellStart"/>
      <w:r w:rsidRPr="00062B4F">
        <w:rPr>
          <w:b/>
          <w:szCs w:val="24"/>
        </w:rPr>
        <w:t>валидацией</w:t>
      </w:r>
      <w:proofErr w:type="spellEnd"/>
      <w:r w:rsidRPr="00062B4F">
        <w:rPr>
          <w:b/>
          <w:szCs w:val="24"/>
        </w:rPr>
        <w:t>):</w:t>
      </w:r>
      <w:r w:rsidR="006D61DE" w:rsidRPr="00062B4F">
        <w:rPr>
          <w:b/>
          <w:szCs w:val="24"/>
        </w:rPr>
        <w:t xml:space="preserve"> </w:t>
      </w:r>
      <w:r w:rsidR="006D61DE" w:rsidRPr="00062B4F">
        <w:rPr>
          <w:bCs/>
          <w:szCs w:val="24"/>
        </w:rPr>
        <w:t>https://ctep.cancer.gov/protocolDevelopment/electronic_applications/ctc.htm</w:t>
      </w:r>
    </w:p>
    <w:p w14:paraId="772A8D9E" w14:textId="77777777" w:rsidR="006878AE" w:rsidRPr="00062B4F" w:rsidRDefault="006878AE" w:rsidP="006D61DE">
      <w:pPr>
        <w:spacing w:line="372" w:lineRule="auto"/>
        <w:rPr>
          <w:b/>
          <w:szCs w:val="24"/>
        </w:rPr>
      </w:pPr>
      <w:r w:rsidRPr="00062B4F">
        <w:rPr>
          <w:b/>
          <w:szCs w:val="24"/>
        </w:rPr>
        <w:t>Тип:</w:t>
      </w:r>
      <w:r w:rsidR="006D61DE" w:rsidRPr="00062B4F">
        <w:rPr>
          <w:b/>
          <w:szCs w:val="24"/>
        </w:rPr>
        <w:t xml:space="preserve"> </w:t>
      </w:r>
      <w:r w:rsidRPr="00062B4F">
        <w:rPr>
          <w:bCs/>
          <w:szCs w:val="24"/>
        </w:rPr>
        <w:t>шкала оценки</w:t>
      </w:r>
    </w:p>
    <w:p w14:paraId="3687D79E" w14:textId="74604106" w:rsidR="006D61DE" w:rsidRPr="00062B4F" w:rsidRDefault="006878AE" w:rsidP="006D61DE">
      <w:pPr>
        <w:spacing w:line="372" w:lineRule="auto"/>
        <w:rPr>
          <w:szCs w:val="24"/>
          <w:shd w:val="clear" w:color="auto" w:fill="FFFFFF"/>
        </w:rPr>
      </w:pPr>
      <w:r w:rsidRPr="00062B4F">
        <w:rPr>
          <w:b/>
          <w:szCs w:val="24"/>
        </w:rPr>
        <w:t>Назначение:</w:t>
      </w:r>
      <w:r w:rsidR="006D61DE" w:rsidRPr="00062B4F">
        <w:rPr>
          <w:szCs w:val="24"/>
        </w:rPr>
        <w:t xml:space="preserve"> Критерии токсичности </w:t>
      </w:r>
      <w:r w:rsidR="006D61DE" w:rsidRPr="00062B4F">
        <w:rPr>
          <w:szCs w:val="24"/>
          <w:shd w:val="clear" w:color="auto" w:fill="FFFFFF"/>
        </w:rPr>
        <w:t xml:space="preserve">NCI CTCAE </w:t>
      </w:r>
      <w:r w:rsidR="006D61DE" w:rsidRPr="00062B4F">
        <w:rPr>
          <w:szCs w:val="24"/>
          <w:shd w:val="clear" w:color="auto" w:fill="FFFFFF"/>
          <w:lang w:val="en-US"/>
        </w:rPr>
        <w:t>v</w:t>
      </w:r>
      <w:r w:rsidR="006D61DE" w:rsidRPr="00062B4F">
        <w:rPr>
          <w:szCs w:val="24"/>
          <w:shd w:val="clear" w:color="auto" w:fill="FFFFFF"/>
        </w:rPr>
        <w:t xml:space="preserve">5.0 помогают определить степень токсичности нежелательного явления, с целью определения тактики ведения. В таблице </w:t>
      </w:r>
      <w:r w:rsidR="00BC0549" w:rsidRPr="00062B4F">
        <w:rPr>
          <w:szCs w:val="24"/>
          <w:shd w:val="clear" w:color="auto" w:fill="FFFFFF"/>
        </w:rPr>
        <w:t>Г</w:t>
      </w:r>
      <w:r w:rsidR="00BC0549">
        <w:rPr>
          <w:szCs w:val="24"/>
          <w:shd w:val="clear" w:color="auto" w:fill="FFFFFF"/>
        </w:rPr>
        <w:t>2</w:t>
      </w:r>
      <w:r w:rsidR="00E95F24" w:rsidRPr="00062B4F">
        <w:rPr>
          <w:szCs w:val="24"/>
          <w:shd w:val="clear" w:color="auto" w:fill="FFFFFF"/>
        </w:rPr>
        <w:t>.1</w:t>
      </w:r>
      <w:r w:rsidR="006D61DE" w:rsidRPr="00062B4F">
        <w:rPr>
          <w:szCs w:val="24"/>
          <w:shd w:val="clear" w:color="auto" w:fill="FFFFFF"/>
        </w:rPr>
        <w:t xml:space="preserve"> представлены критерии гематологической и </w:t>
      </w:r>
      <w:proofErr w:type="spellStart"/>
      <w:r w:rsidR="006D61DE" w:rsidRPr="00062B4F">
        <w:rPr>
          <w:szCs w:val="24"/>
          <w:shd w:val="clear" w:color="auto" w:fill="FFFFFF"/>
        </w:rPr>
        <w:t>негематологической</w:t>
      </w:r>
      <w:proofErr w:type="spellEnd"/>
      <w:r w:rsidR="006D61DE" w:rsidRPr="00062B4F">
        <w:rPr>
          <w:szCs w:val="24"/>
          <w:shd w:val="clear" w:color="auto" w:fill="FFFFFF"/>
        </w:rPr>
        <w:t xml:space="preserve"> токсичности, которая может наблюдаться при терапии ИТК.</w:t>
      </w:r>
    </w:p>
    <w:p w14:paraId="14678D8F" w14:textId="2BAB7BF7" w:rsidR="006878AE" w:rsidRPr="00062B4F" w:rsidRDefault="006878AE" w:rsidP="006878AE">
      <w:pPr>
        <w:spacing w:line="372" w:lineRule="auto"/>
        <w:rPr>
          <w:bCs/>
          <w:szCs w:val="24"/>
        </w:rPr>
      </w:pPr>
      <w:r w:rsidRPr="00062B4F">
        <w:rPr>
          <w:b/>
          <w:szCs w:val="24"/>
        </w:rPr>
        <w:t>Оценочный инструмент, содержание</w:t>
      </w:r>
      <w:r w:rsidR="006D61DE" w:rsidRPr="00062B4F">
        <w:rPr>
          <w:b/>
          <w:szCs w:val="24"/>
        </w:rPr>
        <w:t>, ключ (интерпретация)</w:t>
      </w:r>
      <w:r w:rsidRPr="00062B4F">
        <w:rPr>
          <w:b/>
          <w:szCs w:val="24"/>
        </w:rPr>
        <w:t>:</w:t>
      </w:r>
      <w:r w:rsidR="006D61DE" w:rsidRPr="00062B4F">
        <w:rPr>
          <w:b/>
          <w:szCs w:val="24"/>
        </w:rPr>
        <w:t xml:space="preserve"> </w:t>
      </w:r>
      <w:r w:rsidR="006D61DE" w:rsidRPr="00062B4F">
        <w:rPr>
          <w:bCs/>
          <w:szCs w:val="24"/>
        </w:rPr>
        <w:t xml:space="preserve">см. табл. </w:t>
      </w:r>
      <w:r w:rsidR="00BC0549" w:rsidRPr="00062B4F">
        <w:rPr>
          <w:bCs/>
          <w:szCs w:val="24"/>
        </w:rPr>
        <w:t>Г</w:t>
      </w:r>
      <w:r w:rsidR="00BC0549">
        <w:rPr>
          <w:bCs/>
          <w:szCs w:val="24"/>
        </w:rPr>
        <w:t>2</w:t>
      </w:r>
      <w:r w:rsidR="00E95F24" w:rsidRPr="00062B4F">
        <w:rPr>
          <w:bCs/>
          <w:szCs w:val="24"/>
        </w:rPr>
        <w:t>.1</w:t>
      </w:r>
    </w:p>
    <w:p w14:paraId="63AE7386" w14:textId="6CBF8513" w:rsidR="000C7098" w:rsidRPr="00062B4F" w:rsidRDefault="000C7098" w:rsidP="009728B5">
      <w:pPr>
        <w:spacing w:before="120" w:after="120" w:line="372" w:lineRule="auto"/>
        <w:rPr>
          <w:szCs w:val="24"/>
        </w:rPr>
      </w:pPr>
      <w:bookmarkStart w:id="72" w:name="__RefHeading__5390_1671560853"/>
      <w:bookmarkStart w:id="73" w:name="__RefHeading__5392_1671560853"/>
      <w:bookmarkStart w:id="74" w:name="__RefHeading__5396_1671560853"/>
      <w:bookmarkStart w:id="75" w:name="_Toc357352061"/>
      <w:bookmarkStart w:id="76" w:name="_Toc357791374"/>
      <w:bookmarkStart w:id="77" w:name="__RefHeading__5398_1671560853"/>
      <w:bookmarkStart w:id="78" w:name="_Toc357352063"/>
      <w:bookmarkStart w:id="79" w:name="_Toc357791375"/>
      <w:bookmarkStart w:id="80" w:name="__RefHeading__5400_1671560853"/>
      <w:bookmarkStart w:id="81" w:name="_Toc357352064"/>
      <w:bookmarkStart w:id="82" w:name="_Toc274953312"/>
      <w:bookmarkStart w:id="83" w:name="_Toc357791376"/>
      <w:bookmarkStart w:id="84" w:name="__RefHeading__5402_1671560853"/>
      <w:bookmarkStart w:id="85" w:name="__RefHeading__5404_1671560853"/>
      <w:bookmarkStart w:id="86" w:name="_Toc357352067"/>
      <w:bookmarkStart w:id="87" w:name="_Toc357791379"/>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062B4F">
        <w:rPr>
          <w:b/>
          <w:szCs w:val="24"/>
        </w:rPr>
        <w:t xml:space="preserve">Таблица </w:t>
      </w:r>
      <w:r w:rsidR="00BC0549" w:rsidRPr="00062B4F">
        <w:rPr>
          <w:b/>
          <w:szCs w:val="24"/>
        </w:rPr>
        <w:t>Г</w:t>
      </w:r>
      <w:r w:rsidR="00BC0549">
        <w:rPr>
          <w:b/>
          <w:szCs w:val="24"/>
        </w:rPr>
        <w:t>2</w:t>
      </w:r>
      <w:r w:rsidR="00E95F24" w:rsidRPr="00062B4F">
        <w:rPr>
          <w:b/>
          <w:szCs w:val="24"/>
        </w:rPr>
        <w:t>.1</w:t>
      </w:r>
      <w:r w:rsidRPr="00062B4F">
        <w:rPr>
          <w:b/>
          <w:szCs w:val="24"/>
        </w:rPr>
        <w:t>.</w:t>
      </w:r>
      <w:r w:rsidRPr="00062B4F">
        <w:rPr>
          <w:szCs w:val="24"/>
        </w:rPr>
        <w:t xml:space="preserve"> </w:t>
      </w:r>
      <w:r w:rsidRPr="00062B4F">
        <w:rPr>
          <w:szCs w:val="24"/>
          <w:shd w:val="clear" w:color="auto" w:fill="FFFFFF"/>
        </w:rPr>
        <w:t>Критерии токсичности NCI CTCAE v</w:t>
      </w:r>
      <w:bookmarkEnd w:id="86"/>
      <w:bookmarkEnd w:id="87"/>
      <w:r w:rsidRPr="00062B4F">
        <w:rPr>
          <w:szCs w:val="24"/>
          <w:shd w:val="clear" w:color="auto" w:fill="FFFFFF"/>
        </w:rPr>
        <w:t>5.0 (избранное)</w:t>
      </w:r>
    </w:p>
    <w:tbl>
      <w:tblPr>
        <w:tblW w:w="0" w:type="auto"/>
        <w:jc w:val="center"/>
        <w:tblBorders>
          <w:top w:val="single" w:sz="4" w:space="0" w:color="00000A"/>
          <w:left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1413"/>
        <w:gridCol w:w="1984"/>
        <w:gridCol w:w="1985"/>
        <w:gridCol w:w="1984"/>
        <w:gridCol w:w="1979"/>
      </w:tblGrid>
      <w:tr w:rsidR="000C7098" w:rsidRPr="00062B4F" w14:paraId="73EE1BA7" w14:textId="77777777">
        <w:trPr>
          <w:cantSplit/>
          <w:trHeight w:val="415"/>
          <w:tblHeader/>
          <w:jc w:val="center"/>
        </w:trPr>
        <w:tc>
          <w:tcPr>
            <w:tcW w:w="1413" w:type="dxa"/>
            <w:vMerge w:val="restart"/>
            <w:tcBorders>
              <w:top w:val="single" w:sz="4" w:space="0" w:color="00000A"/>
              <w:right w:val="single" w:sz="4" w:space="0" w:color="00000A"/>
            </w:tcBorders>
            <w:shd w:val="clear" w:color="auto" w:fill="FFFFFF"/>
            <w:tcMar>
              <w:top w:w="0" w:type="dxa"/>
              <w:left w:w="108" w:type="dxa"/>
              <w:bottom w:w="0" w:type="dxa"/>
              <w:right w:w="108" w:type="dxa"/>
            </w:tcMar>
            <w:vAlign w:val="center"/>
          </w:tcPr>
          <w:p w14:paraId="3692CDF2" w14:textId="77777777" w:rsidR="000C7098" w:rsidRPr="00062B4F" w:rsidRDefault="000C7098" w:rsidP="009D2E3F">
            <w:pPr>
              <w:spacing w:line="240" w:lineRule="auto"/>
              <w:ind w:firstLine="0"/>
              <w:jc w:val="center"/>
              <w:rPr>
                <w:b/>
                <w:i/>
                <w:szCs w:val="24"/>
              </w:rPr>
            </w:pPr>
            <w:bookmarkStart w:id="88" w:name="__RefHeading__65_683447527"/>
            <w:bookmarkEnd w:id="88"/>
            <w:proofErr w:type="spellStart"/>
            <w:proofErr w:type="gramStart"/>
            <w:r w:rsidRPr="00062B4F">
              <w:rPr>
                <w:b/>
                <w:i/>
                <w:iCs/>
                <w:szCs w:val="24"/>
                <w:shd w:val="clear" w:color="auto" w:fill="FFFFFF"/>
                <w:lang w:eastAsia="ar-SA"/>
              </w:rPr>
              <w:t>Нежела</w:t>
            </w:r>
            <w:proofErr w:type="spellEnd"/>
            <w:r w:rsidRPr="00062B4F">
              <w:rPr>
                <w:b/>
                <w:i/>
                <w:iCs/>
                <w:szCs w:val="24"/>
                <w:shd w:val="clear" w:color="auto" w:fill="FFFFFF"/>
                <w:lang w:eastAsia="ar-SA"/>
              </w:rPr>
              <w:t>-тельное</w:t>
            </w:r>
            <w:proofErr w:type="gramEnd"/>
            <w:r w:rsidRPr="00062B4F">
              <w:rPr>
                <w:b/>
                <w:i/>
                <w:iCs/>
                <w:szCs w:val="24"/>
                <w:shd w:val="clear" w:color="auto" w:fill="FFFFFF"/>
                <w:lang w:eastAsia="ar-SA"/>
              </w:rPr>
              <w:t xml:space="preserve"> явление</w:t>
            </w:r>
          </w:p>
        </w:tc>
        <w:tc>
          <w:tcPr>
            <w:tcW w:w="7932" w:type="dxa"/>
            <w:gridSpan w:val="4"/>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14:paraId="38F396D4" w14:textId="77777777" w:rsidR="000C7098" w:rsidRPr="00062B4F" w:rsidRDefault="000C7098" w:rsidP="009D2E3F">
            <w:pPr>
              <w:spacing w:line="240" w:lineRule="auto"/>
              <w:ind w:firstLine="0"/>
              <w:jc w:val="center"/>
              <w:rPr>
                <w:b/>
                <w:i/>
                <w:szCs w:val="24"/>
              </w:rPr>
            </w:pPr>
            <w:r w:rsidRPr="00062B4F">
              <w:rPr>
                <w:b/>
                <w:i/>
                <w:iCs/>
                <w:szCs w:val="24"/>
                <w:shd w:val="clear" w:color="auto" w:fill="FFFFFF"/>
                <w:lang w:eastAsia="ar-SA"/>
              </w:rPr>
              <w:t>Степени токсичности</w:t>
            </w:r>
          </w:p>
        </w:tc>
      </w:tr>
      <w:tr w:rsidR="000C7098" w:rsidRPr="00062B4F" w14:paraId="534555C5" w14:textId="77777777">
        <w:trPr>
          <w:cantSplit/>
          <w:trHeight w:val="565"/>
          <w:tblHeader/>
          <w:jc w:val="center"/>
        </w:trPr>
        <w:tc>
          <w:tcPr>
            <w:tcW w:w="1413" w:type="dxa"/>
            <w:vMerge/>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0A7D14E" w14:textId="77777777" w:rsidR="000C7098" w:rsidRPr="00062B4F" w:rsidRDefault="000C7098" w:rsidP="009D2E3F">
            <w:pPr>
              <w:spacing w:line="240" w:lineRule="auto"/>
              <w:ind w:firstLine="0"/>
              <w:jc w:val="center"/>
              <w:rPr>
                <w:b/>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11545BA" w14:textId="77777777" w:rsidR="000C7098" w:rsidRPr="00062B4F" w:rsidRDefault="000C7098" w:rsidP="009D2E3F">
            <w:pPr>
              <w:spacing w:line="240" w:lineRule="auto"/>
              <w:ind w:firstLine="0"/>
              <w:jc w:val="center"/>
              <w:rPr>
                <w:b/>
                <w:i/>
                <w:szCs w:val="24"/>
              </w:rPr>
            </w:pPr>
            <w:r w:rsidRPr="00062B4F">
              <w:rPr>
                <w:b/>
                <w:i/>
                <w:szCs w:val="24"/>
                <w:shd w:val="clear" w:color="auto" w:fill="FFFFFF"/>
              </w:rPr>
              <w:t>1</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20A05F" w14:textId="77777777" w:rsidR="000C7098" w:rsidRPr="00062B4F" w:rsidRDefault="000C7098" w:rsidP="009D2E3F">
            <w:pPr>
              <w:spacing w:line="240" w:lineRule="auto"/>
              <w:ind w:firstLine="0"/>
              <w:jc w:val="center"/>
              <w:rPr>
                <w:b/>
                <w:i/>
                <w:szCs w:val="24"/>
              </w:rPr>
            </w:pPr>
            <w:r w:rsidRPr="00062B4F">
              <w:rPr>
                <w:b/>
                <w:i/>
                <w:szCs w:val="24"/>
                <w:shd w:val="clear" w:color="auto" w:fill="FFFFFF"/>
              </w:rPr>
              <w:t>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B5585F" w14:textId="77777777" w:rsidR="000C7098" w:rsidRPr="00062B4F" w:rsidRDefault="000C7098" w:rsidP="009D2E3F">
            <w:pPr>
              <w:spacing w:line="240" w:lineRule="auto"/>
              <w:ind w:firstLine="0"/>
              <w:jc w:val="center"/>
              <w:rPr>
                <w:b/>
                <w:i/>
                <w:szCs w:val="24"/>
              </w:rPr>
            </w:pPr>
            <w:r w:rsidRPr="00062B4F">
              <w:rPr>
                <w:b/>
                <w:i/>
                <w:szCs w:val="24"/>
                <w:shd w:val="clear" w:color="auto" w:fill="FFFFFF"/>
              </w:rPr>
              <w:t>3</w:t>
            </w:r>
          </w:p>
        </w:tc>
        <w:tc>
          <w:tcPr>
            <w:tcW w:w="197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14:paraId="460BF1BA" w14:textId="77777777" w:rsidR="000C7098" w:rsidRPr="00062B4F" w:rsidRDefault="000C7098" w:rsidP="009D2E3F">
            <w:pPr>
              <w:spacing w:line="240" w:lineRule="auto"/>
              <w:ind w:firstLine="0"/>
              <w:jc w:val="center"/>
              <w:rPr>
                <w:b/>
                <w:i/>
                <w:szCs w:val="24"/>
              </w:rPr>
            </w:pPr>
            <w:r w:rsidRPr="00062B4F">
              <w:rPr>
                <w:b/>
                <w:i/>
                <w:szCs w:val="24"/>
                <w:shd w:val="clear" w:color="auto" w:fill="FFFFFF"/>
              </w:rPr>
              <w:t>4</w:t>
            </w:r>
          </w:p>
        </w:tc>
      </w:tr>
      <w:tr w:rsidR="000C7098" w:rsidRPr="00062B4F" w14:paraId="3FEE25E7" w14:textId="77777777">
        <w:trPr>
          <w:cantSplit/>
          <w:trHeight w:val="545"/>
          <w:jc w:val="center"/>
        </w:trPr>
        <w:tc>
          <w:tcPr>
            <w:tcW w:w="9345" w:type="dxa"/>
            <w:gridSpan w:val="5"/>
            <w:tcBorders>
              <w:top w:val="single" w:sz="4" w:space="0" w:color="00000A"/>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5F8414E" w14:textId="77777777" w:rsidR="000C7098" w:rsidRPr="00062B4F" w:rsidRDefault="000C7098" w:rsidP="009D2E3F">
            <w:pPr>
              <w:spacing w:line="240" w:lineRule="auto"/>
              <w:ind w:firstLine="0"/>
              <w:jc w:val="center"/>
              <w:rPr>
                <w:szCs w:val="24"/>
              </w:rPr>
            </w:pPr>
            <w:bookmarkStart w:id="89" w:name="__RefHeading__67_683447527"/>
            <w:bookmarkEnd w:id="89"/>
            <w:r w:rsidRPr="00062B4F">
              <w:rPr>
                <w:szCs w:val="24"/>
                <w:shd w:val="clear" w:color="auto" w:fill="FFFFFF"/>
              </w:rPr>
              <w:t>ГЕМАТОЛОГИЧЕСКАЯ ТОКСИЧНОСТЬ</w:t>
            </w:r>
          </w:p>
        </w:tc>
      </w:tr>
      <w:tr w:rsidR="000C7098" w:rsidRPr="00062B4F" w14:paraId="73E9A903" w14:textId="77777777">
        <w:trPr>
          <w:cantSplit/>
          <w:trHeight w:val="20"/>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2E30DD38" w14:textId="77777777" w:rsidR="000C7098" w:rsidRPr="00062B4F" w:rsidRDefault="000C7098" w:rsidP="009D2E3F">
            <w:pPr>
              <w:spacing w:line="240" w:lineRule="auto"/>
              <w:ind w:firstLine="0"/>
              <w:rPr>
                <w:szCs w:val="24"/>
              </w:rPr>
            </w:pPr>
            <w:proofErr w:type="gramStart"/>
            <w:r w:rsidRPr="00062B4F">
              <w:rPr>
                <w:szCs w:val="24"/>
                <w:shd w:val="clear" w:color="auto" w:fill="FFFFFF"/>
              </w:rPr>
              <w:t>Гемо-глобин</w:t>
            </w:r>
            <w:proofErr w:type="gramEnd"/>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23A38011" w14:textId="77777777" w:rsidR="000C7098" w:rsidRPr="00062B4F" w:rsidRDefault="000C7098" w:rsidP="009D2E3F">
            <w:pPr>
              <w:spacing w:line="240" w:lineRule="auto"/>
              <w:ind w:firstLine="0"/>
              <w:jc w:val="center"/>
              <w:rPr>
                <w:szCs w:val="24"/>
              </w:rPr>
            </w:pPr>
            <w:r w:rsidRPr="00062B4F">
              <w:rPr>
                <w:szCs w:val="24"/>
                <w:shd w:val="clear" w:color="auto" w:fill="FFFFFF"/>
              </w:rPr>
              <w:t>НГН* – 100 г/л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5274D408" w14:textId="77777777" w:rsidR="000C7098" w:rsidRPr="00062B4F" w:rsidRDefault="000C7098" w:rsidP="009D2E3F">
            <w:pPr>
              <w:spacing w:line="240" w:lineRule="auto"/>
              <w:ind w:firstLine="0"/>
              <w:jc w:val="center"/>
              <w:rPr>
                <w:szCs w:val="24"/>
              </w:rPr>
            </w:pPr>
            <w:r w:rsidRPr="00062B4F">
              <w:rPr>
                <w:szCs w:val="24"/>
                <w:shd w:val="clear" w:color="auto" w:fill="FFFFFF"/>
                <w:lang w:val="en-US"/>
              </w:rPr>
              <w:t xml:space="preserve">100 </w:t>
            </w:r>
            <w:r w:rsidRPr="00062B4F">
              <w:rPr>
                <w:szCs w:val="24"/>
                <w:shd w:val="clear" w:color="auto" w:fill="FFFFFF"/>
              </w:rPr>
              <w:t>– 80 г/л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6F71829" w14:textId="2451D46D" w:rsidR="000C7098" w:rsidRPr="00062B4F" w:rsidRDefault="006D4B2D" w:rsidP="006D4B2D">
            <w:pPr>
              <w:spacing w:line="240" w:lineRule="auto"/>
              <w:ind w:firstLine="0"/>
              <w:jc w:val="center"/>
              <w:rPr>
                <w:szCs w:val="24"/>
              </w:rPr>
            </w:pPr>
            <w:r>
              <w:rPr>
                <w:szCs w:val="24"/>
                <w:shd w:val="clear" w:color="auto" w:fill="FFFFFF"/>
              </w:rPr>
              <w:t xml:space="preserve">Менее </w:t>
            </w:r>
            <w:r w:rsidR="000C7098" w:rsidRPr="00062B4F">
              <w:rPr>
                <w:szCs w:val="24"/>
                <w:shd w:val="clear" w:color="auto" w:fill="FFFFFF"/>
                <w:lang w:val="en-US"/>
              </w:rPr>
              <w:t xml:space="preserve">80 </w:t>
            </w:r>
            <w:r w:rsidR="000C7098" w:rsidRPr="00062B4F">
              <w:rPr>
                <w:szCs w:val="24"/>
                <w:shd w:val="clear" w:color="auto" w:fill="FFFFFF"/>
              </w:rPr>
              <w:t>г/л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3066D442" w14:textId="77777777" w:rsidR="000C7098" w:rsidRPr="00062B4F" w:rsidRDefault="000C7098" w:rsidP="009D2E3F">
            <w:pPr>
              <w:spacing w:line="240" w:lineRule="auto"/>
              <w:ind w:firstLine="0"/>
              <w:jc w:val="center"/>
              <w:rPr>
                <w:szCs w:val="24"/>
              </w:rPr>
            </w:pPr>
            <w:proofErr w:type="spellStart"/>
            <w:r w:rsidRPr="00062B4F">
              <w:rPr>
                <w:szCs w:val="24"/>
                <w:shd w:val="clear" w:color="auto" w:fill="FFFFFF"/>
              </w:rPr>
              <w:t>Жизнеугро-жающие</w:t>
            </w:r>
            <w:proofErr w:type="spellEnd"/>
            <w:r w:rsidRPr="00062B4F">
              <w:rPr>
                <w:szCs w:val="24"/>
                <w:shd w:val="clear" w:color="auto" w:fill="FFFFFF"/>
              </w:rPr>
              <w:t xml:space="preserve"> осложнения, необходима неотложная терапия</w:t>
            </w:r>
          </w:p>
        </w:tc>
      </w:tr>
      <w:tr w:rsidR="000C7098" w:rsidRPr="00062B4F" w14:paraId="0B82355E" w14:textId="77777777">
        <w:trPr>
          <w:cantSplit/>
          <w:trHeight w:val="496"/>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605CB67" w14:textId="77777777" w:rsidR="000C7098" w:rsidRPr="00062B4F" w:rsidRDefault="000C7098" w:rsidP="009D2E3F">
            <w:pPr>
              <w:spacing w:line="240" w:lineRule="auto"/>
              <w:ind w:firstLine="0"/>
              <w:rPr>
                <w:szCs w:val="24"/>
              </w:rPr>
            </w:pPr>
            <w:r w:rsidRPr="00062B4F">
              <w:rPr>
                <w:szCs w:val="24"/>
                <w:shd w:val="clear" w:color="auto" w:fill="FFFFFF"/>
              </w:rPr>
              <w:t>Лейкоциты</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07591D3E" w14:textId="77777777" w:rsidR="000C7098" w:rsidRPr="00062B4F" w:rsidRDefault="000C7098" w:rsidP="009728B5">
            <w:pPr>
              <w:spacing w:line="240" w:lineRule="auto"/>
              <w:ind w:firstLine="0"/>
              <w:jc w:val="left"/>
              <w:rPr>
                <w:szCs w:val="24"/>
              </w:rPr>
            </w:pPr>
            <w:r w:rsidRPr="00062B4F">
              <w:rPr>
                <w:szCs w:val="24"/>
                <w:shd w:val="clear" w:color="auto" w:fill="FFFFFF"/>
              </w:rPr>
              <w:t>НГН – 3,0 x 0</w:t>
            </w:r>
            <w:r w:rsidRPr="00062B4F">
              <w:rPr>
                <w:szCs w:val="24"/>
                <w:shd w:val="clear" w:color="auto" w:fill="FFFFFF"/>
                <w:vertAlign w:val="superscript"/>
              </w:rPr>
              <w:t>9</w:t>
            </w:r>
            <w:r w:rsidRPr="00062B4F">
              <w:rPr>
                <w:szCs w:val="24"/>
                <w:shd w:val="clear" w:color="auto" w:fill="FFFFFF"/>
              </w:rPr>
              <w:t>/л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00C37971" w14:textId="77777777" w:rsidR="000C7098" w:rsidRPr="00062B4F" w:rsidRDefault="000C7098" w:rsidP="009D2E3F">
            <w:pPr>
              <w:spacing w:line="240" w:lineRule="auto"/>
              <w:ind w:firstLine="0"/>
              <w:jc w:val="center"/>
              <w:rPr>
                <w:szCs w:val="24"/>
              </w:rPr>
            </w:pPr>
            <w:r w:rsidRPr="00062B4F">
              <w:rPr>
                <w:szCs w:val="24"/>
                <w:shd w:val="clear" w:color="auto" w:fill="FFFFFF"/>
              </w:rPr>
              <w:t>3,0 – 2.0 x 10</w:t>
            </w:r>
            <w:r w:rsidRPr="00062B4F">
              <w:rPr>
                <w:szCs w:val="24"/>
                <w:shd w:val="clear" w:color="auto" w:fill="FFFFFF"/>
                <w:vertAlign w:val="superscript"/>
              </w:rPr>
              <w:t>9</w:t>
            </w:r>
            <w:r w:rsidRPr="00062B4F">
              <w:rPr>
                <w:szCs w:val="24"/>
                <w:shd w:val="clear" w:color="auto" w:fill="FFFFFF"/>
              </w:rPr>
              <w:t>/л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6169414" w14:textId="77777777" w:rsidR="000C7098" w:rsidRPr="00062B4F" w:rsidRDefault="000C7098" w:rsidP="009D2E3F">
            <w:pPr>
              <w:spacing w:line="240" w:lineRule="auto"/>
              <w:ind w:firstLine="0"/>
              <w:jc w:val="center"/>
              <w:rPr>
                <w:szCs w:val="24"/>
              </w:rPr>
            </w:pPr>
            <w:r w:rsidRPr="00062B4F">
              <w:rPr>
                <w:szCs w:val="24"/>
                <w:shd w:val="clear" w:color="auto" w:fill="FFFFFF"/>
              </w:rPr>
              <w:t>2,0 – 1,0 x 10</w:t>
            </w:r>
            <w:r w:rsidRPr="00062B4F">
              <w:rPr>
                <w:szCs w:val="24"/>
                <w:shd w:val="clear" w:color="auto" w:fill="FFFFFF"/>
                <w:vertAlign w:val="superscript"/>
              </w:rPr>
              <w:t>9</w:t>
            </w:r>
            <w:r w:rsidRPr="00062B4F">
              <w:rPr>
                <w:szCs w:val="24"/>
                <w:shd w:val="clear" w:color="auto" w:fill="FFFFFF"/>
              </w:rPr>
              <w:t>/л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0B3BADAB" w14:textId="77777777" w:rsidR="000C7098" w:rsidRPr="00062B4F" w:rsidRDefault="000C7098" w:rsidP="009D2E3F">
            <w:pPr>
              <w:spacing w:line="240" w:lineRule="auto"/>
              <w:ind w:firstLine="0"/>
              <w:jc w:val="center"/>
              <w:rPr>
                <w:szCs w:val="24"/>
              </w:rPr>
            </w:pPr>
            <w:r w:rsidRPr="00062B4F">
              <w:rPr>
                <w:szCs w:val="24"/>
                <w:shd w:val="clear" w:color="auto" w:fill="FFFFFF"/>
              </w:rPr>
              <w:t>&lt;1,0 x 10</w:t>
            </w:r>
            <w:r w:rsidRPr="00062B4F">
              <w:rPr>
                <w:szCs w:val="24"/>
                <w:shd w:val="clear" w:color="auto" w:fill="FFFFFF"/>
                <w:vertAlign w:val="superscript"/>
              </w:rPr>
              <w:t>9</w:t>
            </w:r>
            <w:r w:rsidRPr="00062B4F">
              <w:rPr>
                <w:szCs w:val="24"/>
                <w:shd w:val="clear" w:color="auto" w:fill="FFFFFF"/>
              </w:rPr>
              <w:t>/л</w:t>
            </w:r>
          </w:p>
        </w:tc>
      </w:tr>
      <w:tr w:rsidR="000C7098" w:rsidRPr="00062B4F" w14:paraId="67BE8542" w14:textId="77777777">
        <w:trPr>
          <w:cantSplit/>
          <w:trHeight w:val="20"/>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1D460C20" w14:textId="77777777" w:rsidR="000C7098" w:rsidRPr="00062B4F" w:rsidRDefault="000C7098" w:rsidP="009D2E3F">
            <w:pPr>
              <w:spacing w:line="240" w:lineRule="auto"/>
              <w:ind w:firstLine="0"/>
              <w:rPr>
                <w:szCs w:val="24"/>
              </w:rPr>
            </w:pPr>
            <w:proofErr w:type="spellStart"/>
            <w:proofErr w:type="gramStart"/>
            <w:r w:rsidRPr="00062B4F">
              <w:rPr>
                <w:szCs w:val="24"/>
                <w:shd w:val="clear" w:color="auto" w:fill="FFFFFF"/>
              </w:rPr>
              <w:t>Нейтро</w:t>
            </w:r>
            <w:proofErr w:type="spellEnd"/>
            <w:r w:rsidRPr="00062B4F">
              <w:rPr>
                <w:szCs w:val="24"/>
                <w:shd w:val="clear" w:color="auto" w:fill="FFFFFF"/>
              </w:rPr>
              <w:t>-филы</w:t>
            </w:r>
            <w:proofErr w:type="gramEnd"/>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234BEB36" w14:textId="77777777" w:rsidR="000C7098" w:rsidRPr="00062B4F" w:rsidRDefault="000C7098" w:rsidP="009728B5">
            <w:pPr>
              <w:spacing w:line="240" w:lineRule="auto"/>
              <w:ind w:firstLine="0"/>
              <w:jc w:val="left"/>
              <w:rPr>
                <w:szCs w:val="24"/>
              </w:rPr>
            </w:pPr>
            <w:r w:rsidRPr="00062B4F">
              <w:rPr>
                <w:szCs w:val="24"/>
                <w:shd w:val="clear" w:color="auto" w:fill="FFFFFF"/>
              </w:rPr>
              <w:t>НГН – 1,5 x 0</w:t>
            </w:r>
            <w:r w:rsidRPr="00062B4F">
              <w:rPr>
                <w:szCs w:val="24"/>
                <w:shd w:val="clear" w:color="auto" w:fill="FFFFFF"/>
                <w:vertAlign w:val="superscript"/>
              </w:rPr>
              <w:t>9</w:t>
            </w:r>
            <w:r w:rsidRPr="00062B4F">
              <w:rPr>
                <w:szCs w:val="24"/>
                <w:shd w:val="clear" w:color="auto" w:fill="FFFFFF"/>
              </w:rPr>
              <w:t>/л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328B4A50" w14:textId="77777777" w:rsidR="000C7098" w:rsidRPr="00062B4F" w:rsidRDefault="000C7098" w:rsidP="009D2E3F">
            <w:pPr>
              <w:spacing w:line="240" w:lineRule="auto"/>
              <w:ind w:firstLine="0"/>
              <w:jc w:val="center"/>
              <w:rPr>
                <w:szCs w:val="24"/>
              </w:rPr>
            </w:pPr>
            <w:r w:rsidRPr="00062B4F">
              <w:rPr>
                <w:szCs w:val="24"/>
                <w:shd w:val="clear" w:color="auto" w:fill="FFFFFF"/>
              </w:rPr>
              <w:t>1,5 – 1,0 x 10</w:t>
            </w:r>
            <w:r w:rsidRPr="00062B4F">
              <w:rPr>
                <w:szCs w:val="24"/>
                <w:shd w:val="clear" w:color="auto" w:fill="FFFFFF"/>
                <w:vertAlign w:val="superscript"/>
              </w:rPr>
              <w:t>9</w:t>
            </w:r>
            <w:r w:rsidRPr="00062B4F">
              <w:rPr>
                <w:szCs w:val="24"/>
                <w:shd w:val="clear" w:color="auto" w:fill="FFFFFF"/>
              </w:rPr>
              <w:t>/л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24AEB4C8" w14:textId="77777777" w:rsidR="000C7098" w:rsidRPr="00062B4F" w:rsidRDefault="000C7098" w:rsidP="009D2E3F">
            <w:pPr>
              <w:spacing w:line="240" w:lineRule="auto"/>
              <w:ind w:firstLine="0"/>
              <w:jc w:val="center"/>
              <w:rPr>
                <w:szCs w:val="24"/>
              </w:rPr>
            </w:pPr>
            <w:r w:rsidRPr="00062B4F">
              <w:rPr>
                <w:szCs w:val="24"/>
                <w:shd w:val="clear" w:color="auto" w:fill="FFFFFF"/>
              </w:rPr>
              <w:t>1,0 – 0,5 x 10</w:t>
            </w:r>
            <w:r w:rsidRPr="00062B4F">
              <w:rPr>
                <w:szCs w:val="24"/>
                <w:shd w:val="clear" w:color="auto" w:fill="FFFFFF"/>
                <w:vertAlign w:val="superscript"/>
              </w:rPr>
              <w:t>9</w:t>
            </w:r>
            <w:r w:rsidRPr="00062B4F">
              <w:rPr>
                <w:szCs w:val="24"/>
                <w:shd w:val="clear" w:color="auto" w:fill="FFFFFF"/>
              </w:rPr>
              <w:t>/л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5D5A2EB4" w14:textId="77777777" w:rsidR="000C7098" w:rsidRPr="00062B4F" w:rsidRDefault="000C7098" w:rsidP="009D2E3F">
            <w:pPr>
              <w:spacing w:line="240" w:lineRule="auto"/>
              <w:ind w:firstLine="0"/>
              <w:jc w:val="center"/>
              <w:rPr>
                <w:szCs w:val="24"/>
              </w:rPr>
            </w:pPr>
            <w:r w:rsidRPr="00062B4F">
              <w:rPr>
                <w:szCs w:val="24"/>
                <w:shd w:val="clear" w:color="auto" w:fill="FFFFFF"/>
              </w:rPr>
              <w:t>&lt;0,5 x 10</w:t>
            </w:r>
            <w:r w:rsidRPr="00062B4F">
              <w:rPr>
                <w:szCs w:val="24"/>
                <w:shd w:val="clear" w:color="auto" w:fill="FFFFFF"/>
                <w:vertAlign w:val="superscript"/>
              </w:rPr>
              <w:t>9</w:t>
            </w:r>
            <w:r w:rsidRPr="00062B4F">
              <w:rPr>
                <w:szCs w:val="24"/>
                <w:shd w:val="clear" w:color="auto" w:fill="FFFFFF"/>
              </w:rPr>
              <w:t>/л</w:t>
            </w:r>
          </w:p>
        </w:tc>
      </w:tr>
      <w:tr w:rsidR="000C7098" w:rsidRPr="00062B4F" w14:paraId="2F2BD753" w14:textId="77777777">
        <w:trPr>
          <w:cantSplit/>
          <w:trHeight w:val="670"/>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130B14F6" w14:textId="77777777" w:rsidR="000C7098" w:rsidRPr="00062B4F" w:rsidRDefault="000C7098" w:rsidP="009D2E3F">
            <w:pPr>
              <w:spacing w:line="240" w:lineRule="auto"/>
              <w:ind w:firstLine="0"/>
              <w:rPr>
                <w:szCs w:val="24"/>
              </w:rPr>
            </w:pPr>
            <w:proofErr w:type="spellStart"/>
            <w:proofErr w:type="gramStart"/>
            <w:r w:rsidRPr="00062B4F">
              <w:rPr>
                <w:szCs w:val="24"/>
                <w:shd w:val="clear" w:color="auto" w:fill="FFFFFF"/>
              </w:rPr>
              <w:t>Тромбо-циты</w:t>
            </w:r>
            <w:proofErr w:type="spellEnd"/>
            <w:proofErr w:type="gramEnd"/>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2B2FEEFF" w14:textId="77777777" w:rsidR="000C7098" w:rsidRPr="00062B4F" w:rsidRDefault="000C7098" w:rsidP="009728B5">
            <w:pPr>
              <w:spacing w:line="240" w:lineRule="auto"/>
              <w:ind w:firstLine="0"/>
              <w:jc w:val="left"/>
              <w:rPr>
                <w:szCs w:val="24"/>
                <w:shd w:val="clear" w:color="auto" w:fill="FFFFFF"/>
              </w:rPr>
            </w:pPr>
            <w:r w:rsidRPr="00062B4F">
              <w:rPr>
                <w:szCs w:val="24"/>
                <w:shd w:val="clear" w:color="auto" w:fill="FFFFFF"/>
              </w:rPr>
              <w:t xml:space="preserve">НГН – </w:t>
            </w:r>
          </w:p>
          <w:p w14:paraId="68F06701" w14:textId="77777777" w:rsidR="000C7098" w:rsidRPr="00062B4F" w:rsidRDefault="000C7098" w:rsidP="009728B5">
            <w:pPr>
              <w:spacing w:line="240" w:lineRule="auto"/>
              <w:ind w:firstLine="0"/>
              <w:jc w:val="left"/>
              <w:rPr>
                <w:szCs w:val="24"/>
              </w:rPr>
            </w:pPr>
            <w:r w:rsidRPr="00062B4F">
              <w:rPr>
                <w:szCs w:val="24"/>
                <w:shd w:val="clear" w:color="auto" w:fill="FFFFFF"/>
              </w:rPr>
              <w:t>75,0 x 10</w:t>
            </w:r>
            <w:r w:rsidRPr="00062B4F">
              <w:rPr>
                <w:szCs w:val="24"/>
                <w:shd w:val="clear" w:color="auto" w:fill="FFFFFF"/>
                <w:vertAlign w:val="superscript"/>
              </w:rPr>
              <w:t>9</w:t>
            </w:r>
            <w:r w:rsidRPr="00062B4F">
              <w:rPr>
                <w:szCs w:val="24"/>
                <w:shd w:val="clear" w:color="auto" w:fill="FFFFFF"/>
              </w:rPr>
              <w:t>/л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9AC7E4F" w14:textId="77777777" w:rsidR="000C7098" w:rsidRPr="00062B4F" w:rsidRDefault="000C7098" w:rsidP="006C7D10">
            <w:pPr>
              <w:spacing w:line="240" w:lineRule="auto"/>
              <w:ind w:right="-198" w:hanging="202"/>
              <w:jc w:val="center"/>
              <w:rPr>
                <w:szCs w:val="24"/>
              </w:rPr>
            </w:pPr>
            <w:r w:rsidRPr="00062B4F">
              <w:rPr>
                <w:szCs w:val="24"/>
                <w:shd w:val="clear" w:color="auto" w:fill="FFFFFF"/>
                <w:lang w:val="en-US"/>
              </w:rPr>
              <w:t>75</w:t>
            </w:r>
            <w:r w:rsidRPr="00062B4F">
              <w:rPr>
                <w:szCs w:val="24"/>
                <w:shd w:val="clear" w:color="auto" w:fill="FFFFFF"/>
              </w:rPr>
              <w:t>,0 – 5</w:t>
            </w:r>
            <w:r w:rsidRPr="00062B4F">
              <w:rPr>
                <w:szCs w:val="24"/>
                <w:shd w:val="clear" w:color="auto" w:fill="FFFFFF"/>
                <w:lang w:val="en-US"/>
              </w:rPr>
              <w:t>0</w:t>
            </w:r>
            <w:r w:rsidRPr="00062B4F">
              <w:rPr>
                <w:szCs w:val="24"/>
                <w:shd w:val="clear" w:color="auto" w:fill="FFFFFF"/>
              </w:rPr>
              <w:t>,0 x 10</w:t>
            </w:r>
            <w:r w:rsidRPr="00062B4F">
              <w:rPr>
                <w:szCs w:val="24"/>
                <w:shd w:val="clear" w:color="auto" w:fill="FFFFFF"/>
                <w:vertAlign w:val="superscript"/>
              </w:rPr>
              <w:t>9</w:t>
            </w:r>
            <w:r w:rsidRPr="00062B4F">
              <w:rPr>
                <w:szCs w:val="24"/>
                <w:shd w:val="clear" w:color="auto" w:fill="FFFFFF"/>
              </w:rPr>
              <w:t>/л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19767A96" w14:textId="77777777" w:rsidR="000C7098" w:rsidRPr="00062B4F" w:rsidRDefault="000C7098" w:rsidP="009D2E3F">
            <w:pPr>
              <w:spacing w:line="240" w:lineRule="auto"/>
              <w:ind w:firstLine="0"/>
              <w:jc w:val="center"/>
              <w:rPr>
                <w:szCs w:val="24"/>
              </w:rPr>
            </w:pPr>
            <w:r w:rsidRPr="00062B4F">
              <w:rPr>
                <w:szCs w:val="24"/>
                <w:shd w:val="clear" w:color="auto" w:fill="FFFFFF"/>
                <w:lang w:val="en-US"/>
              </w:rPr>
              <w:t>5</w:t>
            </w:r>
            <w:r w:rsidRPr="00062B4F">
              <w:rPr>
                <w:szCs w:val="24"/>
                <w:shd w:val="clear" w:color="auto" w:fill="FFFFFF"/>
              </w:rPr>
              <w:t>0,0 –</w:t>
            </w:r>
            <w:r w:rsidRPr="00062B4F">
              <w:rPr>
                <w:szCs w:val="24"/>
                <w:shd w:val="clear" w:color="auto" w:fill="FFFFFF"/>
                <w:lang w:val="en-US"/>
              </w:rPr>
              <w:t xml:space="preserve"> 25</w:t>
            </w:r>
            <w:r w:rsidRPr="00062B4F">
              <w:rPr>
                <w:szCs w:val="24"/>
                <w:shd w:val="clear" w:color="auto" w:fill="FFFFFF"/>
              </w:rPr>
              <w:t>,0 x10</w:t>
            </w:r>
            <w:r w:rsidRPr="00062B4F">
              <w:rPr>
                <w:szCs w:val="24"/>
                <w:shd w:val="clear" w:color="auto" w:fill="FFFFFF"/>
                <w:vertAlign w:val="superscript"/>
              </w:rPr>
              <w:t>9</w:t>
            </w:r>
            <w:r w:rsidRPr="00062B4F">
              <w:rPr>
                <w:szCs w:val="24"/>
                <w:shd w:val="clear" w:color="auto" w:fill="FFFFFF"/>
              </w:rPr>
              <w:t>/л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714996D2" w14:textId="77777777" w:rsidR="000C7098" w:rsidRPr="00062B4F" w:rsidRDefault="000C7098" w:rsidP="009D2E3F">
            <w:pPr>
              <w:spacing w:line="240" w:lineRule="auto"/>
              <w:ind w:firstLine="0"/>
              <w:jc w:val="center"/>
              <w:rPr>
                <w:szCs w:val="24"/>
              </w:rPr>
            </w:pPr>
            <w:r w:rsidRPr="00062B4F">
              <w:rPr>
                <w:szCs w:val="24"/>
                <w:shd w:val="clear" w:color="auto" w:fill="FFFFFF"/>
              </w:rPr>
              <w:t>&lt;</w:t>
            </w:r>
            <w:r w:rsidRPr="00062B4F">
              <w:rPr>
                <w:szCs w:val="24"/>
                <w:shd w:val="clear" w:color="auto" w:fill="FFFFFF"/>
                <w:lang w:val="en-US"/>
              </w:rPr>
              <w:t>25</w:t>
            </w:r>
            <w:r w:rsidRPr="00062B4F">
              <w:rPr>
                <w:szCs w:val="24"/>
                <w:shd w:val="clear" w:color="auto" w:fill="FFFFFF"/>
              </w:rPr>
              <w:t>,0 x 10</w:t>
            </w:r>
            <w:r w:rsidRPr="00062B4F">
              <w:rPr>
                <w:szCs w:val="24"/>
                <w:shd w:val="clear" w:color="auto" w:fill="FFFFFF"/>
                <w:vertAlign w:val="superscript"/>
              </w:rPr>
              <w:t>9</w:t>
            </w:r>
            <w:r w:rsidRPr="00062B4F">
              <w:rPr>
                <w:szCs w:val="24"/>
                <w:shd w:val="clear" w:color="auto" w:fill="FFFFFF"/>
              </w:rPr>
              <w:t>/л</w:t>
            </w:r>
          </w:p>
        </w:tc>
      </w:tr>
      <w:tr w:rsidR="000C7098" w:rsidRPr="00062B4F" w14:paraId="7FECE928" w14:textId="77777777">
        <w:trPr>
          <w:cantSplit/>
          <w:trHeight w:val="524"/>
          <w:jc w:val="center"/>
        </w:trPr>
        <w:tc>
          <w:tcPr>
            <w:tcW w:w="9345" w:type="dxa"/>
            <w:gridSpan w:val="5"/>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3FF04752" w14:textId="77777777" w:rsidR="000C7098" w:rsidRPr="00062B4F" w:rsidRDefault="000C7098" w:rsidP="009D2E3F">
            <w:pPr>
              <w:spacing w:line="240" w:lineRule="auto"/>
              <w:ind w:firstLine="0"/>
              <w:rPr>
                <w:szCs w:val="24"/>
              </w:rPr>
            </w:pPr>
            <w:r w:rsidRPr="00062B4F">
              <w:rPr>
                <w:szCs w:val="24"/>
                <w:shd w:val="clear" w:color="auto" w:fill="FFFFFF"/>
              </w:rPr>
              <w:t>НГН – нижняя граница нормы</w:t>
            </w:r>
          </w:p>
        </w:tc>
      </w:tr>
      <w:tr w:rsidR="000C7098" w:rsidRPr="00062B4F" w14:paraId="70139457" w14:textId="77777777">
        <w:trPr>
          <w:cantSplit/>
          <w:trHeight w:val="560"/>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3EB9919A" w14:textId="77777777" w:rsidR="000C7098" w:rsidRPr="00062B4F" w:rsidRDefault="000C7098" w:rsidP="009D2E3F">
            <w:pPr>
              <w:spacing w:line="240" w:lineRule="auto"/>
              <w:ind w:firstLine="0"/>
              <w:jc w:val="center"/>
              <w:rPr>
                <w:szCs w:val="24"/>
              </w:rPr>
            </w:pPr>
            <w:r w:rsidRPr="00062B4F">
              <w:rPr>
                <w:szCs w:val="24"/>
                <w:shd w:val="clear" w:color="auto" w:fill="FFFFFF"/>
              </w:rPr>
              <w:t>ЛАБОРАТОРНЫЕ ОТКЛОНЕНИЯ</w:t>
            </w:r>
          </w:p>
        </w:tc>
      </w:tr>
      <w:tr w:rsidR="000C7098" w:rsidRPr="00062B4F" w14:paraId="768BCF94" w14:textId="77777777">
        <w:trPr>
          <w:cantSplit/>
          <w:trHeight w:val="686"/>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A2EADD0" w14:textId="77777777" w:rsidR="000C7098" w:rsidRPr="00062B4F" w:rsidRDefault="000C7098" w:rsidP="009D2E3F">
            <w:pPr>
              <w:spacing w:line="240" w:lineRule="auto"/>
              <w:ind w:firstLine="0"/>
              <w:rPr>
                <w:szCs w:val="24"/>
              </w:rPr>
            </w:pPr>
            <w:r w:rsidRPr="00062B4F">
              <w:rPr>
                <w:szCs w:val="24"/>
                <w:shd w:val="clear" w:color="auto" w:fill="FFFFFF"/>
              </w:rPr>
              <w:t>Щелочная фосфатаза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BCEE718" w14:textId="77777777" w:rsidR="000C7098" w:rsidRPr="00062B4F" w:rsidRDefault="000C7098" w:rsidP="001F39ED">
            <w:pPr>
              <w:spacing w:line="240" w:lineRule="auto"/>
              <w:ind w:firstLine="0"/>
              <w:jc w:val="left"/>
              <w:rPr>
                <w:szCs w:val="24"/>
                <w:shd w:val="clear" w:color="auto" w:fill="FFFFFF"/>
              </w:rPr>
            </w:pPr>
            <w:r w:rsidRPr="00062B4F">
              <w:rPr>
                <w:szCs w:val="24"/>
                <w:shd w:val="clear" w:color="auto" w:fill="FFFFFF"/>
              </w:rPr>
              <w:t xml:space="preserve">ВГН* – </w:t>
            </w:r>
          </w:p>
          <w:p w14:paraId="3B845817" w14:textId="77777777" w:rsidR="000C7098" w:rsidRPr="00062B4F" w:rsidRDefault="000C7098" w:rsidP="001F39ED">
            <w:pPr>
              <w:spacing w:line="240" w:lineRule="auto"/>
              <w:ind w:firstLine="0"/>
              <w:jc w:val="left"/>
              <w:rPr>
                <w:szCs w:val="24"/>
              </w:rPr>
            </w:pPr>
            <w:r w:rsidRPr="00062B4F">
              <w:rPr>
                <w:szCs w:val="24"/>
                <w:shd w:val="clear" w:color="auto" w:fill="FFFFFF"/>
              </w:rPr>
              <w:t>2,5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F34320F" w14:textId="77777777" w:rsidR="000C7098" w:rsidRPr="00062B4F" w:rsidRDefault="000C7098" w:rsidP="009D2E3F">
            <w:pPr>
              <w:spacing w:line="240" w:lineRule="auto"/>
              <w:ind w:firstLine="0"/>
              <w:jc w:val="center"/>
              <w:rPr>
                <w:szCs w:val="24"/>
              </w:rPr>
            </w:pPr>
            <w:r w:rsidRPr="00062B4F">
              <w:rPr>
                <w:szCs w:val="24"/>
                <w:shd w:val="clear" w:color="auto" w:fill="FFFFFF"/>
              </w:rPr>
              <w:t>2,5 – 5,0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0716321" w14:textId="77777777" w:rsidR="000C7098" w:rsidRPr="00062B4F" w:rsidRDefault="000C7098" w:rsidP="009D2E3F">
            <w:pPr>
              <w:spacing w:line="240" w:lineRule="auto"/>
              <w:ind w:firstLine="0"/>
              <w:jc w:val="center"/>
              <w:rPr>
                <w:szCs w:val="24"/>
              </w:rPr>
            </w:pPr>
            <w:r w:rsidRPr="00062B4F">
              <w:rPr>
                <w:szCs w:val="24"/>
                <w:shd w:val="clear" w:color="auto" w:fill="FFFFFF"/>
              </w:rPr>
              <w:t>5,0 – 20,0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48F4E897" w14:textId="77777777" w:rsidR="000C7098" w:rsidRPr="00062B4F" w:rsidRDefault="000C7098" w:rsidP="009D2E3F">
            <w:pPr>
              <w:spacing w:line="240" w:lineRule="auto"/>
              <w:ind w:firstLine="0"/>
              <w:jc w:val="center"/>
              <w:rPr>
                <w:szCs w:val="24"/>
              </w:rPr>
            </w:pPr>
            <w:r w:rsidRPr="00062B4F">
              <w:rPr>
                <w:szCs w:val="24"/>
                <w:shd w:val="clear" w:color="auto" w:fill="FFFFFF"/>
              </w:rPr>
              <w:t>&gt;20,0 x ВГН</w:t>
            </w:r>
          </w:p>
        </w:tc>
      </w:tr>
      <w:tr w:rsidR="000C7098" w:rsidRPr="00062B4F" w14:paraId="7CE92F06" w14:textId="77777777">
        <w:trPr>
          <w:cantSplit/>
          <w:trHeight w:val="606"/>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CA76217" w14:textId="77777777" w:rsidR="000C7098" w:rsidRPr="00062B4F" w:rsidRDefault="000C7098" w:rsidP="009D2E3F">
            <w:pPr>
              <w:spacing w:line="240" w:lineRule="auto"/>
              <w:ind w:firstLine="0"/>
              <w:rPr>
                <w:szCs w:val="24"/>
              </w:rPr>
            </w:pPr>
            <w:r w:rsidRPr="00062B4F">
              <w:rPr>
                <w:szCs w:val="24"/>
                <w:shd w:val="clear" w:color="auto" w:fill="FFFFFF"/>
              </w:rPr>
              <w:t>Билирубин</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C6AF9F9" w14:textId="77777777" w:rsidR="000C7098" w:rsidRPr="00062B4F" w:rsidRDefault="000C7098" w:rsidP="009D2E3F">
            <w:pPr>
              <w:spacing w:line="240" w:lineRule="auto"/>
              <w:ind w:firstLine="0"/>
              <w:jc w:val="center"/>
              <w:rPr>
                <w:szCs w:val="24"/>
              </w:rPr>
            </w:pPr>
            <w:r w:rsidRPr="00062B4F">
              <w:rPr>
                <w:szCs w:val="24"/>
                <w:shd w:val="clear" w:color="auto" w:fill="FFFFFF"/>
              </w:rPr>
              <w:t>ВГН – 1,5 х ВГН</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5F04BBC4" w14:textId="77777777" w:rsidR="000C7098" w:rsidRPr="00062B4F" w:rsidRDefault="000C7098" w:rsidP="009D2E3F">
            <w:pPr>
              <w:spacing w:line="240" w:lineRule="auto"/>
              <w:ind w:firstLine="0"/>
              <w:jc w:val="center"/>
              <w:rPr>
                <w:szCs w:val="24"/>
              </w:rPr>
            </w:pPr>
            <w:r w:rsidRPr="00062B4F">
              <w:rPr>
                <w:szCs w:val="24"/>
                <w:shd w:val="clear" w:color="auto" w:fill="FFFFFF"/>
              </w:rPr>
              <w:t>1,5 – 3,0 x ВГН</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53A44736" w14:textId="77777777" w:rsidR="000C7098" w:rsidRPr="00062B4F" w:rsidRDefault="000C7098" w:rsidP="009D2E3F">
            <w:pPr>
              <w:spacing w:line="240" w:lineRule="auto"/>
              <w:ind w:firstLine="0"/>
              <w:jc w:val="center"/>
              <w:rPr>
                <w:szCs w:val="24"/>
              </w:rPr>
            </w:pPr>
            <w:r w:rsidRPr="00062B4F">
              <w:rPr>
                <w:szCs w:val="24"/>
                <w:shd w:val="clear" w:color="auto" w:fill="FFFFFF"/>
              </w:rPr>
              <w:t>3,0 – 10,0 x ВГН</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604CC9DE" w14:textId="77777777" w:rsidR="000C7098" w:rsidRPr="00062B4F" w:rsidRDefault="000C7098" w:rsidP="009D2E3F">
            <w:pPr>
              <w:spacing w:line="240" w:lineRule="auto"/>
              <w:ind w:firstLine="0"/>
              <w:jc w:val="center"/>
              <w:rPr>
                <w:szCs w:val="24"/>
              </w:rPr>
            </w:pPr>
            <w:r w:rsidRPr="00062B4F">
              <w:rPr>
                <w:szCs w:val="24"/>
                <w:shd w:val="clear" w:color="auto" w:fill="FFFFFF"/>
              </w:rPr>
              <w:t>&gt;10,0 x ВГН</w:t>
            </w:r>
          </w:p>
        </w:tc>
      </w:tr>
      <w:tr w:rsidR="000C7098" w:rsidRPr="00062B4F" w14:paraId="61D9BE3D" w14:textId="77777777">
        <w:trPr>
          <w:cantSplit/>
          <w:trHeight w:val="558"/>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8BDF02B" w14:textId="77777777" w:rsidR="000C7098" w:rsidRPr="00062B4F" w:rsidRDefault="000C7098" w:rsidP="009D2E3F">
            <w:pPr>
              <w:spacing w:line="240" w:lineRule="auto"/>
              <w:ind w:firstLine="0"/>
              <w:rPr>
                <w:szCs w:val="24"/>
              </w:rPr>
            </w:pPr>
            <w:r w:rsidRPr="00062B4F">
              <w:rPr>
                <w:szCs w:val="24"/>
                <w:shd w:val="clear" w:color="auto" w:fill="FFFFFF"/>
              </w:rPr>
              <w:t>АСТ</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9B3662E" w14:textId="77777777" w:rsidR="000C7098" w:rsidRPr="00062B4F" w:rsidRDefault="000C7098" w:rsidP="009D2E3F">
            <w:pPr>
              <w:spacing w:line="240" w:lineRule="auto"/>
              <w:ind w:firstLine="0"/>
              <w:jc w:val="center"/>
              <w:rPr>
                <w:szCs w:val="24"/>
              </w:rPr>
            </w:pPr>
            <w:r w:rsidRPr="00062B4F">
              <w:rPr>
                <w:szCs w:val="24"/>
                <w:shd w:val="clear" w:color="auto" w:fill="FFFFFF"/>
              </w:rPr>
              <w:t>ВГН – 3,0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263D446" w14:textId="77777777" w:rsidR="000C7098" w:rsidRPr="00062B4F" w:rsidRDefault="000C7098" w:rsidP="009D2E3F">
            <w:pPr>
              <w:spacing w:line="240" w:lineRule="auto"/>
              <w:ind w:firstLine="0"/>
              <w:jc w:val="center"/>
              <w:rPr>
                <w:szCs w:val="24"/>
              </w:rPr>
            </w:pPr>
            <w:r w:rsidRPr="00062B4F">
              <w:rPr>
                <w:szCs w:val="24"/>
                <w:shd w:val="clear" w:color="auto" w:fill="FFFFFF"/>
              </w:rPr>
              <w:t>3,0 – 5,0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AD32193" w14:textId="77777777" w:rsidR="000C7098" w:rsidRPr="00062B4F" w:rsidRDefault="000C7098" w:rsidP="009D2E3F">
            <w:pPr>
              <w:spacing w:line="240" w:lineRule="auto"/>
              <w:ind w:firstLine="0"/>
              <w:jc w:val="center"/>
              <w:rPr>
                <w:szCs w:val="24"/>
              </w:rPr>
            </w:pPr>
            <w:r w:rsidRPr="00062B4F">
              <w:rPr>
                <w:szCs w:val="24"/>
                <w:shd w:val="clear" w:color="auto" w:fill="FFFFFF"/>
              </w:rPr>
              <w:t>5,0 – 20,0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0BBDB53" w14:textId="77777777" w:rsidR="000C7098" w:rsidRPr="00062B4F" w:rsidRDefault="000C7098" w:rsidP="009D2E3F">
            <w:pPr>
              <w:spacing w:line="240" w:lineRule="auto"/>
              <w:ind w:firstLine="0"/>
              <w:jc w:val="center"/>
              <w:rPr>
                <w:szCs w:val="24"/>
              </w:rPr>
            </w:pPr>
            <w:proofErr w:type="gramStart"/>
            <w:r w:rsidRPr="00062B4F">
              <w:rPr>
                <w:szCs w:val="24"/>
                <w:shd w:val="clear" w:color="auto" w:fill="FFFFFF"/>
              </w:rPr>
              <w:t>&gt;20.,</w:t>
            </w:r>
            <w:proofErr w:type="gramEnd"/>
            <w:r w:rsidRPr="00062B4F">
              <w:rPr>
                <w:szCs w:val="24"/>
                <w:shd w:val="clear" w:color="auto" w:fill="FFFFFF"/>
              </w:rPr>
              <w:t>0 x ВГН</w:t>
            </w:r>
          </w:p>
        </w:tc>
      </w:tr>
      <w:tr w:rsidR="000C7098" w:rsidRPr="00062B4F" w14:paraId="3A6DA1E9" w14:textId="77777777">
        <w:trPr>
          <w:cantSplit/>
          <w:trHeight w:val="642"/>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964281D" w14:textId="77777777" w:rsidR="000C7098" w:rsidRPr="00062B4F" w:rsidRDefault="000C7098" w:rsidP="009D2E3F">
            <w:pPr>
              <w:spacing w:line="240" w:lineRule="auto"/>
              <w:ind w:firstLine="0"/>
              <w:rPr>
                <w:szCs w:val="24"/>
              </w:rPr>
            </w:pPr>
            <w:r w:rsidRPr="00062B4F">
              <w:rPr>
                <w:szCs w:val="24"/>
                <w:shd w:val="clear" w:color="auto" w:fill="FFFFFF"/>
              </w:rPr>
              <w:lastRenderedPageBreak/>
              <w:t>АЛТ</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263C757" w14:textId="77777777" w:rsidR="000C7098" w:rsidRPr="00062B4F" w:rsidRDefault="000C7098" w:rsidP="009D2E3F">
            <w:pPr>
              <w:spacing w:line="240" w:lineRule="auto"/>
              <w:ind w:firstLine="0"/>
              <w:jc w:val="center"/>
              <w:rPr>
                <w:szCs w:val="24"/>
              </w:rPr>
            </w:pPr>
            <w:r w:rsidRPr="00062B4F">
              <w:rPr>
                <w:szCs w:val="24"/>
                <w:shd w:val="clear" w:color="auto" w:fill="FFFFFF"/>
              </w:rPr>
              <w:t>ВГН – 3,0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8E3102D" w14:textId="77777777" w:rsidR="000C7098" w:rsidRPr="00062B4F" w:rsidRDefault="000C7098" w:rsidP="009D2E3F">
            <w:pPr>
              <w:spacing w:line="240" w:lineRule="auto"/>
              <w:ind w:firstLine="0"/>
              <w:jc w:val="center"/>
              <w:rPr>
                <w:szCs w:val="24"/>
              </w:rPr>
            </w:pPr>
            <w:r w:rsidRPr="00062B4F">
              <w:rPr>
                <w:szCs w:val="24"/>
                <w:shd w:val="clear" w:color="auto" w:fill="FFFFFF"/>
              </w:rPr>
              <w:t>3,0 – 5,0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9F05155" w14:textId="77777777" w:rsidR="000C7098" w:rsidRPr="00062B4F" w:rsidRDefault="000C7098" w:rsidP="009D2E3F">
            <w:pPr>
              <w:spacing w:line="240" w:lineRule="auto"/>
              <w:ind w:firstLine="0"/>
              <w:jc w:val="center"/>
              <w:rPr>
                <w:szCs w:val="24"/>
              </w:rPr>
            </w:pPr>
            <w:r w:rsidRPr="00062B4F">
              <w:rPr>
                <w:szCs w:val="24"/>
                <w:shd w:val="clear" w:color="auto" w:fill="FFFFFF"/>
              </w:rPr>
              <w:t>5,0 – 20,0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736D128D" w14:textId="77777777" w:rsidR="000C7098" w:rsidRPr="00062B4F" w:rsidRDefault="000C7098" w:rsidP="009D2E3F">
            <w:pPr>
              <w:spacing w:line="240" w:lineRule="auto"/>
              <w:ind w:firstLine="0"/>
              <w:jc w:val="center"/>
              <w:rPr>
                <w:szCs w:val="24"/>
              </w:rPr>
            </w:pPr>
            <w:r w:rsidRPr="00062B4F">
              <w:rPr>
                <w:szCs w:val="24"/>
                <w:shd w:val="clear" w:color="auto" w:fill="FFFFFF"/>
              </w:rPr>
              <w:t>&gt;20,0 x ВГН</w:t>
            </w:r>
          </w:p>
        </w:tc>
      </w:tr>
      <w:tr w:rsidR="000C7098" w:rsidRPr="00062B4F" w14:paraId="46704C09" w14:textId="77777777">
        <w:trPr>
          <w:cantSplit/>
          <w:trHeight w:val="557"/>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AE936B2" w14:textId="77777777" w:rsidR="000C7098" w:rsidRPr="00062B4F" w:rsidRDefault="000C7098" w:rsidP="009D2E3F">
            <w:pPr>
              <w:spacing w:line="240" w:lineRule="auto"/>
              <w:ind w:firstLine="0"/>
              <w:rPr>
                <w:szCs w:val="24"/>
              </w:rPr>
            </w:pPr>
            <w:r w:rsidRPr="00062B4F">
              <w:rPr>
                <w:szCs w:val="24"/>
                <w:shd w:val="clear" w:color="auto" w:fill="FFFFFF"/>
              </w:rPr>
              <w:t>Липаза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FE41657" w14:textId="77777777" w:rsidR="000C7098" w:rsidRPr="00062B4F" w:rsidRDefault="000C7098" w:rsidP="009D2E3F">
            <w:pPr>
              <w:spacing w:line="240" w:lineRule="auto"/>
              <w:ind w:firstLine="0"/>
              <w:jc w:val="center"/>
              <w:rPr>
                <w:szCs w:val="24"/>
              </w:rPr>
            </w:pPr>
            <w:r w:rsidRPr="00062B4F">
              <w:rPr>
                <w:szCs w:val="24"/>
                <w:shd w:val="clear" w:color="auto" w:fill="FFFFFF"/>
              </w:rPr>
              <w:t>ВГН – 1,5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C39F2FA" w14:textId="77777777" w:rsidR="000C7098" w:rsidRPr="00062B4F" w:rsidRDefault="000C7098" w:rsidP="009D2E3F">
            <w:pPr>
              <w:spacing w:line="240" w:lineRule="auto"/>
              <w:ind w:firstLine="0"/>
              <w:jc w:val="center"/>
              <w:rPr>
                <w:szCs w:val="24"/>
              </w:rPr>
            </w:pPr>
            <w:r w:rsidRPr="00062B4F">
              <w:rPr>
                <w:szCs w:val="24"/>
                <w:shd w:val="clear" w:color="auto" w:fill="FFFFFF"/>
              </w:rPr>
              <w:t>1,5 – 2,0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62B45E7" w14:textId="77777777" w:rsidR="000C7098" w:rsidRPr="00062B4F" w:rsidRDefault="000C7098" w:rsidP="009D2E3F">
            <w:pPr>
              <w:spacing w:line="240" w:lineRule="auto"/>
              <w:ind w:firstLine="0"/>
              <w:jc w:val="center"/>
              <w:rPr>
                <w:szCs w:val="24"/>
              </w:rPr>
            </w:pPr>
            <w:r w:rsidRPr="00062B4F">
              <w:rPr>
                <w:szCs w:val="24"/>
                <w:shd w:val="clear" w:color="auto" w:fill="FFFFFF"/>
              </w:rPr>
              <w:t>2,0 – 5,0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452563BE" w14:textId="77777777" w:rsidR="000C7098" w:rsidRPr="00062B4F" w:rsidRDefault="000C7098" w:rsidP="009D2E3F">
            <w:pPr>
              <w:spacing w:line="240" w:lineRule="auto"/>
              <w:ind w:firstLine="0"/>
              <w:jc w:val="center"/>
              <w:rPr>
                <w:szCs w:val="24"/>
              </w:rPr>
            </w:pPr>
            <w:r w:rsidRPr="00062B4F">
              <w:rPr>
                <w:szCs w:val="24"/>
                <w:shd w:val="clear" w:color="auto" w:fill="FFFFFF"/>
              </w:rPr>
              <w:t>&gt;5,0 x ВГН</w:t>
            </w:r>
          </w:p>
        </w:tc>
      </w:tr>
      <w:tr w:rsidR="000C7098" w:rsidRPr="00062B4F" w14:paraId="243EFD33"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D21D135" w14:textId="77777777" w:rsidR="000C7098" w:rsidRPr="00062B4F" w:rsidRDefault="000C7098" w:rsidP="009D2E3F">
            <w:pPr>
              <w:spacing w:line="240" w:lineRule="auto"/>
              <w:ind w:firstLine="0"/>
              <w:rPr>
                <w:szCs w:val="24"/>
              </w:rPr>
            </w:pPr>
            <w:proofErr w:type="spellStart"/>
            <w:proofErr w:type="gramStart"/>
            <w:r w:rsidRPr="00062B4F">
              <w:rPr>
                <w:szCs w:val="24"/>
                <w:shd w:val="clear" w:color="auto" w:fill="FFFFFF"/>
              </w:rPr>
              <w:t>Гипер</w:t>
            </w:r>
            <w:proofErr w:type="spellEnd"/>
            <w:r w:rsidRPr="00062B4F">
              <w:rPr>
                <w:szCs w:val="24"/>
                <w:shd w:val="clear" w:color="auto" w:fill="FFFFFF"/>
              </w:rPr>
              <w:t>-гликемия</w:t>
            </w:r>
            <w:proofErr w:type="gramEnd"/>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563B338"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Уровень глюкозы натощак ВГН – 8,9 </w:t>
            </w:r>
            <w:proofErr w:type="spellStart"/>
            <w:r w:rsidRPr="00062B4F">
              <w:rPr>
                <w:szCs w:val="24"/>
                <w:shd w:val="clear" w:color="auto" w:fill="FFFFFF"/>
              </w:rPr>
              <w:t>ммоль</w:t>
            </w:r>
            <w:proofErr w:type="spellEnd"/>
            <w:r w:rsidRPr="00062B4F">
              <w:rPr>
                <w:szCs w:val="24"/>
                <w:shd w:val="clear" w:color="auto" w:fill="FFFFFF"/>
              </w:rPr>
              <w:t>/л</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CDF6ACD"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Уровень глюкозы натощак 8,9 – 13,9 </w:t>
            </w:r>
            <w:proofErr w:type="spellStart"/>
            <w:r w:rsidRPr="00062B4F">
              <w:rPr>
                <w:szCs w:val="24"/>
                <w:shd w:val="clear" w:color="auto" w:fill="FFFFFF"/>
              </w:rPr>
              <w:t>ммоль</w:t>
            </w:r>
            <w:proofErr w:type="spellEnd"/>
            <w:r w:rsidRPr="00062B4F">
              <w:rPr>
                <w:szCs w:val="24"/>
                <w:shd w:val="clear" w:color="auto" w:fill="FFFFFF"/>
              </w:rPr>
              <w:t>/л</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210ECE6"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13,9 – 27,8 </w:t>
            </w:r>
            <w:proofErr w:type="spellStart"/>
            <w:r w:rsidRPr="00062B4F">
              <w:rPr>
                <w:szCs w:val="24"/>
                <w:shd w:val="clear" w:color="auto" w:fill="FFFFFF"/>
              </w:rPr>
              <w:t>ммоль</w:t>
            </w:r>
            <w:proofErr w:type="spellEnd"/>
            <w:r w:rsidRPr="00062B4F">
              <w:rPr>
                <w:szCs w:val="24"/>
                <w:shd w:val="clear" w:color="auto" w:fill="FFFFFF"/>
              </w:rPr>
              <w:t>/л, необходима госпитализация</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E5D16C3"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&gt;27,8 </w:t>
            </w:r>
            <w:proofErr w:type="spellStart"/>
            <w:r w:rsidRPr="00062B4F">
              <w:rPr>
                <w:szCs w:val="24"/>
                <w:shd w:val="clear" w:color="auto" w:fill="FFFFFF"/>
              </w:rPr>
              <w:t>ммоль</w:t>
            </w:r>
            <w:proofErr w:type="spellEnd"/>
            <w:r w:rsidRPr="00062B4F">
              <w:rPr>
                <w:szCs w:val="24"/>
                <w:shd w:val="clear" w:color="auto" w:fill="FFFFFF"/>
              </w:rPr>
              <w:t xml:space="preserve">/л, </w:t>
            </w:r>
            <w:proofErr w:type="spellStart"/>
            <w:r w:rsidRPr="00062B4F">
              <w:rPr>
                <w:szCs w:val="24"/>
                <w:shd w:val="clear" w:color="auto" w:fill="FFFFFF"/>
              </w:rPr>
              <w:t>жизнеугрожаю-щие</w:t>
            </w:r>
            <w:proofErr w:type="spellEnd"/>
            <w:r w:rsidRPr="00062B4F">
              <w:rPr>
                <w:szCs w:val="24"/>
                <w:shd w:val="clear" w:color="auto" w:fill="FFFFFF"/>
              </w:rPr>
              <w:t xml:space="preserve"> осложнения</w:t>
            </w:r>
          </w:p>
        </w:tc>
      </w:tr>
      <w:tr w:rsidR="000C7098" w:rsidRPr="00062B4F" w14:paraId="32F78FEB" w14:textId="77777777">
        <w:trPr>
          <w:cantSplit/>
          <w:trHeight w:val="598"/>
          <w:jc w:val="center"/>
        </w:trPr>
        <w:tc>
          <w:tcPr>
            <w:tcW w:w="9345" w:type="dxa"/>
            <w:gridSpan w:val="5"/>
            <w:tcBorders>
              <w:top w:val="single" w:sz="6" w:space="0" w:color="000001"/>
              <w:left w:val="single" w:sz="6" w:space="0" w:color="000001"/>
              <w:bottom w:val="single" w:sz="4" w:space="0" w:color="auto"/>
              <w:right w:val="single" w:sz="6" w:space="0" w:color="000001"/>
            </w:tcBorders>
            <w:shd w:val="clear" w:color="auto" w:fill="FFFFFF"/>
            <w:tcMar>
              <w:top w:w="0" w:type="dxa"/>
              <w:left w:w="108" w:type="dxa"/>
              <w:bottom w:w="0" w:type="dxa"/>
              <w:right w:w="108" w:type="dxa"/>
            </w:tcMar>
            <w:vAlign w:val="center"/>
          </w:tcPr>
          <w:p w14:paraId="1F845683" w14:textId="77777777" w:rsidR="000C7098" w:rsidRPr="00062B4F" w:rsidRDefault="000C7098" w:rsidP="009D2E3F">
            <w:pPr>
              <w:spacing w:line="240" w:lineRule="auto"/>
              <w:ind w:firstLine="0"/>
              <w:rPr>
                <w:szCs w:val="24"/>
              </w:rPr>
            </w:pPr>
            <w:r w:rsidRPr="00062B4F">
              <w:rPr>
                <w:szCs w:val="24"/>
                <w:shd w:val="clear" w:color="auto" w:fill="FFFFFF"/>
              </w:rPr>
              <w:t>*ВГН – верхняя граница нормы</w:t>
            </w:r>
          </w:p>
        </w:tc>
      </w:tr>
      <w:tr w:rsidR="000C7098" w:rsidRPr="00062B4F" w14:paraId="18EC32D1" w14:textId="77777777">
        <w:trPr>
          <w:cantSplit/>
          <w:trHeight w:val="530"/>
          <w:jc w:val="center"/>
        </w:trPr>
        <w:tc>
          <w:tcPr>
            <w:tcW w:w="9345" w:type="dxa"/>
            <w:gridSpan w:val="5"/>
            <w:tcBorders>
              <w:top w:val="single" w:sz="4" w:space="0" w:color="auto"/>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5E590A47" w14:textId="77777777" w:rsidR="000C7098" w:rsidRPr="00062B4F" w:rsidRDefault="000C7098" w:rsidP="001F39ED">
            <w:pPr>
              <w:spacing w:line="240" w:lineRule="auto"/>
              <w:ind w:firstLine="0"/>
              <w:jc w:val="center"/>
              <w:rPr>
                <w:szCs w:val="24"/>
              </w:rPr>
            </w:pPr>
            <w:bookmarkStart w:id="90" w:name="__RefHeading__69_683447527"/>
            <w:bookmarkEnd w:id="90"/>
            <w:r w:rsidRPr="00062B4F">
              <w:rPr>
                <w:szCs w:val="24"/>
                <w:shd w:val="clear" w:color="auto" w:fill="FFFFFF"/>
              </w:rPr>
              <w:t>ОТЕКИ (ПЕРИФЕРИЧЕСКИЕ)</w:t>
            </w:r>
          </w:p>
        </w:tc>
      </w:tr>
      <w:tr w:rsidR="000C7098" w:rsidRPr="00062B4F" w14:paraId="107FE69C"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8663A6B" w14:textId="77777777" w:rsidR="000C7098" w:rsidRPr="00062B4F" w:rsidRDefault="000C7098" w:rsidP="009D2E3F">
            <w:pPr>
              <w:spacing w:line="240" w:lineRule="auto"/>
              <w:ind w:firstLine="0"/>
              <w:rPr>
                <w:szCs w:val="24"/>
              </w:rPr>
            </w:pPr>
            <w:r w:rsidRPr="00062B4F">
              <w:rPr>
                <w:szCs w:val="24"/>
                <w:shd w:val="clear" w:color="auto" w:fill="FFFFFF"/>
              </w:rPr>
              <w:t>Отеки лица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4DBE114" w14:textId="77777777" w:rsidR="000C7098" w:rsidRPr="00062B4F" w:rsidRDefault="000C7098" w:rsidP="009D2E3F">
            <w:pPr>
              <w:spacing w:line="240" w:lineRule="auto"/>
              <w:ind w:firstLine="0"/>
              <w:jc w:val="center"/>
              <w:rPr>
                <w:szCs w:val="24"/>
              </w:rPr>
            </w:pPr>
            <w:r w:rsidRPr="00062B4F">
              <w:rPr>
                <w:szCs w:val="24"/>
                <w:shd w:val="clear" w:color="auto" w:fill="FFFFFF"/>
              </w:rPr>
              <w:t>Локализованные отеки лица</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2569DAC"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Умеренные отеки лица, </w:t>
            </w:r>
            <w:proofErr w:type="gramStart"/>
            <w:r w:rsidRPr="00062B4F">
              <w:rPr>
                <w:szCs w:val="24"/>
                <w:shd w:val="clear" w:color="auto" w:fill="FFFFFF"/>
              </w:rPr>
              <w:t>ограничиваю-</w:t>
            </w:r>
            <w:proofErr w:type="spellStart"/>
            <w:r w:rsidRPr="00062B4F">
              <w:rPr>
                <w:szCs w:val="24"/>
                <w:shd w:val="clear" w:color="auto" w:fill="FFFFFF"/>
              </w:rPr>
              <w:t>щие</w:t>
            </w:r>
            <w:proofErr w:type="spellEnd"/>
            <w:proofErr w:type="gramEnd"/>
            <w:r w:rsidRPr="00062B4F">
              <w:rPr>
                <w:szCs w:val="24"/>
                <w:shd w:val="clear" w:color="auto" w:fill="FFFFFF"/>
              </w:rPr>
              <w:t xml:space="preserve"> </w:t>
            </w:r>
            <w:proofErr w:type="spellStart"/>
            <w:r w:rsidRPr="00062B4F">
              <w:rPr>
                <w:szCs w:val="24"/>
                <w:shd w:val="clear" w:color="auto" w:fill="FFFFFF"/>
              </w:rPr>
              <w:t>повседнев-ную</w:t>
            </w:r>
            <w:proofErr w:type="spellEnd"/>
            <w:r w:rsidRPr="00062B4F">
              <w:rPr>
                <w:szCs w:val="24"/>
                <w:shd w:val="clear" w:color="auto" w:fill="FFFFFF"/>
              </w:rPr>
              <w:t xml:space="preserve">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FEBAE6C" w14:textId="77777777" w:rsidR="000C7098" w:rsidRPr="00062B4F" w:rsidRDefault="000C7098" w:rsidP="005615C2">
            <w:pPr>
              <w:spacing w:line="240" w:lineRule="auto"/>
              <w:ind w:firstLine="0"/>
              <w:jc w:val="center"/>
              <w:rPr>
                <w:szCs w:val="24"/>
              </w:rPr>
            </w:pPr>
            <w:r w:rsidRPr="00062B4F">
              <w:rPr>
                <w:szCs w:val="24"/>
                <w:shd w:val="clear" w:color="auto" w:fill="FFFFFF"/>
              </w:rPr>
              <w:t xml:space="preserve">Тяжелые отеки, </w:t>
            </w:r>
            <w:proofErr w:type="gramStart"/>
            <w:r w:rsidRPr="00062B4F">
              <w:rPr>
                <w:szCs w:val="24"/>
                <w:shd w:val="clear" w:color="auto" w:fill="FFFFFF"/>
              </w:rPr>
              <w:t>ограничиваю-</w:t>
            </w:r>
            <w:proofErr w:type="spellStart"/>
            <w:r w:rsidRPr="00062B4F">
              <w:rPr>
                <w:szCs w:val="24"/>
                <w:shd w:val="clear" w:color="auto" w:fill="FFFFFF"/>
              </w:rPr>
              <w:t>щие</w:t>
            </w:r>
            <w:proofErr w:type="spellEnd"/>
            <w:proofErr w:type="gramEnd"/>
            <w:r w:rsidRPr="00062B4F">
              <w:rPr>
                <w:szCs w:val="24"/>
                <w:shd w:val="clear" w:color="auto" w:fill="FFFFFF"/>
              </w:rPr>
              <w:t xml:space="preserve"> </w:t>
            </w:r>
            <w:proofErr w:type="spellStart"/>
            <w:r w:rsidRPr="00062B4F">
              <w:rPr>
                <w:szCs w:val="24"/>
                <w:shd w:val="clear" w:color="auto" w:fill="FFFFFF"/>
              </w:rPr>
              <w:t>повседнев-ную</w:t>
            </w:r>
            <w:proofErr w:type="spellEnd"/>
            <w:r w:rsidRPr="00062B4F">
              <w:rPr>
                <w:szCs w:val="24"/>
                <w:shd w:val="clear" w:color="auto" w:fill="FFFFFF"/>
              </w:rPr>
              <w:t xml:space="preserve"> активность и способность к </w:t>
            </w:r>
            <w:proofErr w:type="spellStart"/>
            <w:r w:rsidRPr="00062B4F">
              <w:rPr>
                <w:szCs w:val="24"/>
                <w:shd w:val="clear" w:color="auto" w:fill="FFFFFF"/>
              </w:rPr>
              <w:t>самообслужи-ванию</w:t>
            </w:r>
            <w:proofErr w:type="spellEnd"/>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5F8F1E07"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2BA653E1"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5BEB003" w14:textId="77777777" w:rsidR="000C7098" w:rsidRPr="00062B4F" w:rsidRDefault="000C7098" w:rsidP="009D2E3F">
            <w:pPr>
              <w:spacing w:line="240" w:lineRule="auto"/>
              <w:ind w:firstLine="0"/>
              <w:rPr>
                <w:szCs w:val="24"/>
              </w:rPr>
            </w:pPr>
            <w:r w:rsidRPr="00062B4F">
              <w:rPr>
                <w:szCs w:val="24"/>
                <w:shd w:val="clear" w:color="auto" w:fill="FFFFFF"/>
              </w:rPr>
              <w:t>Отеки туловища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F73258D" w14:textId="77777777" w:rsidR="000C7098" w:rsidRPr="00062B4F" w:rsidRDefault="000C7098" w:rsidP="009D2E3F">
            <w:pPr>
              <w:spacing w:line="240" w:lineRule="auto"/>
              <w:ind w:firstLine="0"/>
              <w:jc w:val="center"/>
              <w:rPr>
                <w:szCs w:val="24"/>
              </w:rPr>
            </w:pPr>
            <w:r w:rsidRPr="00062B4F">
              <w:rPr>
                <w:szCs w:val="24"/>
                <w:shd w:val="clear" w:color="auto" w:fill="FFFFFF"/>
              </w:rPr>
              <w:t>Отечность или сглаживание анатомических образований при местном осмотре</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F74707C" w14:textId="77777777" w:rsidR="000C7098" w:rsidRPr="00062B4F" w:rsidRDefault="000C7098" w:rsidP="009D2E3F">
            <w:pPr>
              <w:spacing w:line="240" w:lineRule="auto"/>
              <w:ind w:firstLine="0"/>
              <w:jc w:val="center"/>
              <w:rPr>
                <w:szCs w:val="24"/>
              </w:rPr>
            </w:pPr>
            <w:r w:rsidRPr="00062B4F">
              <w:rPr>
                <w:szCs w:val="24"/>
                <w:shd w:val="clear" w:color="auto" w:fill="FFFFFF"/>
              </w:rPr>
              <w:t>Заметное сглаживание анатомических образований, заполнение кожных складок, заметное искажение анатомических контуров, ограничение повседневной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10C0BDC" w14:textId="77777777" w:rsidR="000C7098" w:rsidRPr="00062B4F" w:rsidRDefault="000C7098" w:rsidP="005615C2">
            <w:pPr>
              <w:spacing w:line="240" w:lineRule="auto"/>
              <w:ind w:firstLine="0"/>
              <w:jc w:val="center"/>
              <w:rPr>
                <w:szCs w:val="24"/>
              </w:rPr>
            </w:pPr>
            <w:r w:rsidRPr="00062B4F">
              <w:rPr>
                <w:szCs w:val="24"/>
                <w:shd w:val="clear" w:color="auto" w:fill="FFFFFF"/>
              </w:rPr>
              <w:t xml:space="preserve">Тяжелые отеки, </w:t>
            </w:r>
            <w:proofErr w:type="gramStart"/>
            <w:r w:rsidRPr="00062B4F">
              <w:rPr>
                <w:szCs w:val="24"/>
                <w:shd w:val="clear" w:color="auto" w:fill="FFFFFF"/>
              </w:rPr>
              <w:t>ограничиваю-</w:t>
            </w:r>
            <w:proofErr w:type="spellStart"/>
            <w:r w:rsidRPr="00062B4F">
              <w:rPr>
                <w:szCs w:val="24"/>
                <w:shd w:val="clear" w:color="auto" w:fill="FFFFFF"/>
              </w:rPr>
              <w:t>щие</w:t>
            </w:r>
            <w:proofErr w:type="spellEnd"/>
            <w:proofErr w:type="gramEnd"/>
            <w:r w:rsidRPr="00062B4F">
              <w:rPr>
                <w:szCs w:val="24"/>
                <w:shd w:val="clear" w:color="auto" w:fill="FFFFFF"/>
              </w:rPr>
              <w:t xml:space="preserve"> </w:t>
            </w:r>
            <w:proofErr w:type="spellStart"/>
            <w:r w:rsidRPr="00062B4F">
              <w:rPr>
                <w:szCs w:val="24"/>
                <w:shd w:val="clear" w:color="auto" w:fill="FFFFFF"/>
              </w:rPr>
              <w:t>повседнев-ную</w:t>
            </w:r>
            <w:proofErr w:type="spellEnd"/>
            <w:r w:rsidRPr="00062B4F">
              <w:rPr>
                <w:szCs w:val="24"/>
                <w:shd w:val="clear" w:color="auto" w:fill="FFFFFF"/>
              </w:rPr>
              <w:t xml:space="preserve"> активность и способность к </w:t>
            </w:r>
            <w:proofErr w:type="spellStart"/>
            <w:r w:rsidRPr="00062B4F">
              <w:rPr>
                <w:szCs w:val="24"/>
                <w:shd w:val="clear" w:color="auto" w:fill="FFFFFF"/>
              </w:rPr>
              <w:t>самообслужи-ванию</w:t>
            </w:r>
            <w:proofErr w:type="spellEnd"/>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462F9CFC"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2396B53A" w14:textId="77777777">
        <w:trPr>
          <w:cantSplit/>
          <w:trHeight w:val="4096"/>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6ECA5FF" w14:textId="77777777" w:rsidR="000C7098" w:rsidRPr="00062B4F" w:rsidRDefault="000C7098" w:rsidP="009D2E3F">
            <w:pPr>
              <w:spacing w:line="240" w:lineRule="auto"/>
              <w:ind w:firstLine="0"/>
              <w:rPr>
                <w:szCs w:val="24"/>
              </w:rPr>
            </w:pPr>
            <w:r w:rsidRPr="00062B4F">
              <w:rPr>
                <w:szCs w:val="24"/>
                <w:shd w:val="clear" w:color="auto" w:fill="FFFFFF"/>
              </w:rPr>
              <w:t xml:space="preserve">Отеки </w:t>
            </w:r>
            <w:proofErr w:type="gramStart"/>
            <w:r w:rsidRPr="00062B4F">
              <w:rPr>
                <w:szCs w:val="24"/>
                <w:shd w:val="clear" w:color="auto" w:fill="FFFFFF"/>
              </w:rPr>
              <w:t>конечно-</w:t>
            </w:r>
            <w:proofErr w:type="spellStart"/>
            <w:r w:rsidRPr="00062B4F">
              <w:rPr>
                <w:szCs w:val="24"/>
                <w:shd w:val="clear" w:color="auto" w:fill="FFFFFF"/>
              </w:rPr>
              <w:t>стей</w:t>
            </w:r>
            <w:proofErr w:type="spellEnd"/>
            <w:proofErr w:type="gramEnd"/>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FA8F782" w14:textId="77777777" w:rsidR="000C7098" w:rsidRPr="00062B4F" w:rsidRDefault="000C7098" w:rsidP="009D2E3F">
            <w:pPr>
              <w:spacing w:line="240" w:lineRule="auto"/>
              <w:ind w:firstLine="0"/>
              <w:jc w:val="center"/>
              <w:rPr>
                <w:szCs w:val="24"/>
              </w:rPr>
            </w:pPr>
            <w:r w:rsidRPr="00062B4F">
              <w:rPr>
                <w:szCs w:val="24"/>
                <w:shd w:val="clear" w:color="auto" w:fill="FFFFFF"/>
              </w:rPr>
              <w:t>5–10 % разница в окружностях конечностей, отечность или сглаживание анатомических образований при местном осмотре</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02C2831"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10-30 % разница в окружностях конечностей, заметное </w:t>
            </w:r>
            <w:proofErr w:type="spellStart"/>
            <w:proofErr w:type="gramStart"/>
            <w:r w:rsidRPr="00062B4F">
              <w:rPr>
                <w:szCs w:val="24"/>
                <w:shd w:val="clear" w:color="auto" w:fill="FFFFFF"/>
              </w:rPr>
              <w:t>сгла-живание</w:t>
            </w:r>
            <w:proofErr w:type="spellEnd"/>
            <w:proofErr w:type="gramEnd"/>
            <w:r w:rsidRPr="00062B4F">
              <w:rPr>
                <w:szCs w:val="24"/>
                <w:shd w:val="clear" w:color="auto" w:fill="FFFFFF"/>
              </w:rPr>
              <w:t xml:space="preserve"> </w:t>
            </w:r>
            <w:proofErr w:type="spellStart"/>
            <w:r w:rsidRPr="00062B4F">
              <w:rPr>
                <w:szCs w:val="24"/>
                <w:shd w:val="clear" w:color="auto" w:fill="FFFFFF"/>
              </w:rPr>
              <w:t>анато-мических</w:t>
            </w:r>
            <w:proofErr w:type="spellEnd"/>
            <w:r w:rsidRPr="00062B4F">
              <w:rPr>
                <w:szCs w:val="24"/>
                <w:shd w:val="clear" w:color="auto" w:fill="FFFFFF"/>
              </w:rPr>
              <w:t xml:space="preserve"> </w:t>
            </w:r>
            <w:proofErr w:type="spellStart"/>
            <w:r w:rsidRPr="00062B4F">
              <w:rPr>
                <w:szCs w:val="24"/>
                <w:shd w:val="clear" w:color="auto" w:fill="FFFFFF"/>
              </w:rPr>
              <w:t>обра-зований</w:t>
            </w:r>
            <w:proofErr w:type="spellEnd"/>
            <w:r w:rsidRPr="00062B4F">
              <w:rPr>
                <w:szCs w:val="24"/>
                <w:shd w:val="clear" w:color="auto" w:fill="FFFFFF"/>
              </w:rPr>
              <w:t xml:space="preserve">, </w:t>
            </w:r>
            <w:proofErr w:type="spellStart"/>
            <w:r w:rsidRPr="00062B4F">
              <w:rPr>
                <w:szCs w:val="24"/>
                <w:shd w:val="clear" w:color="auto" w:fill="FFFFFF"/>
              </w:rPr>
              <w:t>запол-нение</w:t>
            </w:r>
            <w:proofErr w:type="spellEnd"/>
            <w:r w:rsidRPr="00062B4F">
              <w:rPr>
                <w:szCs w:val="24"/>
                <w:shd w:val="clear" w:color="auto" w:fill="FFFFFF"/>
              </w:rPr>
              <w:t xml:space="preserve"> кожных складок, замет-</w:t>
            </w:r>
            <w:proofErr w:type="spellStart"/>
            <w:r w:rsidRPr="00062B4F">
              <w:rPr>
                <w:szCs w:val="24"/>
                <w:shd w:val="clear" w:color="auto" w:fill="FFFFFF"/>
              </w:rPr>
              <w:t>ное</w:t>
            </w:r>
            <w:proofErr w:type="spellEnd"/>
            <w:r w:rsidRPr="00062B4F">
              <w:rPr>
                <w:szCs w:val="24"/>
                <w:shd w:val="clear" w:color="auto" w:fill="FFFFFF"/>
              </w:rPr>
              <w:t xml:space="preserve"> искажение анатомических контуров, </w:t>
            </w:r>
            <w:proofErr w:type="spellStart"/>
            <w:r w:rsidRPr="00062B4F">
              <w:rPr>
                <w:szCs w:val="24"/>
                <w:shd w:val="clear" w:color="auto" w:fill="FFFFFF"/>
              </w:rPr>
              <w:t>огра-ничение</w:t>
            </w:r>
            <w:proofErr w:type="spellEnd"/>
            <w:r w:rsidRPr="00062B4F">
              <w:rPr>
                <w:szCs w:val="24"/>
                <w:shd w:val="clear" w:color="auto" w:fill="FFFFFF"/>
              </w:rPr>
              <w:t xml:space="preserve"> </w:t>
            </w:r>
            <w:proofErr w:type="spellStart"/>
            <w:r w:rsidRPr="00062B4F">
              <w:rPr>
                <w:szCs w:val="24"/>
                <w:shd w:val="clear" w:color="auto" w:fill="FFFFFF"/>
              </w:rPr>
              <w:t>повсе</w:t>
            </w:r>
            <w:proofErr w:type="spellEnd"/>
            <w:r w:rsidRPr="00062B4F">
              <w:rPr>
                <w:szCs w:val="24"/>
                <w:shd w:val="clear" w:color="auto" w:fill="FFFFFF"/>
              </w:rPr>
              <w:t>-дневной актив-</w:t>
            </w:r>
            <w:proofErr w:type="spellStart"/>
            <w:r w:rsidRPr="00062B4F">
              <w:rPr>
                <w:szCs w:val="24"/>
                <w:shd w:val="clear" w:color="auto" w:fill="FFFFFF"/>
              </w:rPr>
              <w:t>ности</w:t>
            </w:r>
            <w:proofErr w:type="spellEnd"/>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90EC434" w14:textId="77777777" w:rsidR="000C7098" w:rsidRPr="00062B4F" w:rsidRDefault="000C7098" w:rsidP="005615C2">
            <w:pPr>
              <w:spacing w:line="240" w:lineRule="auto"/>
              <w:ind w:firstLine="0"/>
              <w:jc w:val="center"/>
              <w:rPr>
                <w:szCs w:val="24"/>
              </w:rPr>
            </w:pPr>
            <w:r w:rsidRPr="00062B4F">
              <w:rPr>
                <w:szCs w:val="24"/>
                <w:shd w:val="clear" w:color="auto" w:fill="FFFFFF"/>
              </w:rPr>
              <w:t xml:space="preserve">&gt;30 % разница в окружностях конечностей Тяжелые отеки, </w:t>
            </w:r>
            <w:proofErr w:type="gramStart"/>
            <w:r w:rsidRPr="00062B4F">
              <w:rPr>
                <w:szCs w:val="24"/>
                <w:shd w:val="clear" w:color="auto" w:fill="FFFFFF"/>
              </w:rPr>
              <w:t>ограничиваю-</w:t>
            </w:r>
            <w:proofErr w:type="spellStart"/>
            <w:r w:rsidRPr="00062B4F">
              <w:rPr>
                <w:szCs w:val="24"/>
                <w:shd w:val="clear" w:color="auto" w:fill="FFFFFF"/>
              </w:rPr>
              <w:t>щие</w:t>
            </w:r>
            <w:proofErr w:type="spellEnd"/>
            <w:proofErr w:type="gramEnd"/>
            <w:r w:rsidRPr="00062B4F">
              <w:rPr>
                <w:szCs w:val="24"/>
                <w:shd w:val="clear" w:color="auto" w:fill="FFFFFF"/>
              </w:rPr>
              <w:t xml:space="preserve"> </w:t>
            </w:r>
            <w:proofErr w:type="spellStart"/>
            <w:r w:rsidRPr="00062B4F">
              <w:rPr>
                <w:szCs w:val="24"/>
                <w:shd w:val="clear" w:color="auto" w:fill="FFFFFF"/>
              </w:rPr>
              <w:t>повседнев-ную</w:t>
            </w:r>
            <w:proofErr w:type="spellEnd"/>
            <w:r w:rsidRPr="00062B4F">
              <w:rPr>
                <w:szCs w:val="24"/>
                <w:shd w:val="clear" w:color="auto" w:fill="FFFFFF"/>
              </w:rPr>
              <w:t xml:space="preserve"> активность и способность к </w:t>
            </w:r>
            <w:proofErr w:type="spellStart"/>
            <w:r w:rsidRPr="00062B4F">
              <w:rPr>
                <w:szCs w:val="24"/>
                <w:shd w:val="clear" w:color="auto" w:fill="FFFFFF"/>
              </w:rPr>
              <w:t>самообслужи-ванию</w:t>
            </w:r>
            <w:proofErr w:type="spellEnd"/>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7689E803"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5F27385B" w14:textId="77777777">
        <w:trPr>
          <w:cantSplit/>
          <w:trHeight w:val="640"/>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67B3288B" w14:textId="77777777" w:rsidR="000C7098" w:rsidRPr="00062B4F" w:rsidRDefault="000C7098" w:rsidP="009D2E3F">
            <w:pPr>
              <w:spacing w:line="240" w:lineRule="auto"/>
              <w:ind w:firstLine="0"/>
              <w:jc w:val="center"/>
              <w:rPr>
                <w:szCs w:val="24"/>
              </w:rPr>
            </w:pPr>
            <w:r w:rsidRPr="00062B4F">
              <w:rPr>
                <w:szCs w:val="24"/>
                <w:shd w:val="clear" w:color="auto" w:fill="FFFFFF"/>
              </w:rPr>
              <w:lastRenderedPageBreak/>
              <w:t>ТОКСИЧНОСТЬ СО СТОРОНЫ ЖЕЛУДОЧНО-КИШЕЧНОГО ТРАКТА</w:t>
            </w:r>
          </w:p>
        </w:tc>
      </w:tr>
      <w:tr w:rsidR="000C7098" w:rsidRPr="00062B4F" w14:paraId="10B13A8F"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EA9EF6B" w14:textId="77777777" w:rsidR="000C7098" w:rsidRPr="00062B4F" w:rsidRDefault="000C7098" w:rsidP="009D2E3F">
            <w:pPr>
              <w:spacing w:line="240" w:lineRule="auto"/>
              <w:ind w:firstLine="0"/>
              <w:rPr>
                <w:szCs w:val="24"/>
              </w:rPr>
            </w:pPr>
            <w:r w:rsidRPr="00062B4F">
              <w:rPr>
                <w:szCs w:val="24"/>
                <w:shd w:val="clear" w:color="auto" w:fill="FFFFFF"/>
              </w:rPr>
              <w:t>Тошнота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852DF72" w14:textId="77777777" w:rsidR="000C7098" w:rsidRPr="00062B4F" w:rsidRDefault="000C7098" w:rsidP="009D2E3F">
            <w:pPr>
              <w:spacing w:line="240" w:lineRule="auto"/>
              <w:ind w:firstLine="0"/>
              <w:jc w:val="center"/>
              <w:rPr>
                <w:szCs w:val="24"/>
              </w:rPr>
            </w:pPr>
            <w:r w:rsidRPr="00062B4F">
              <w:rPr>
                <w:szCs w:val="24"/>
                <w:shd w:val="clear" w:color="auto" w:fill="FFFFFF"/>
              </w:rPr>
              <w:t>Потеря аппетита без изменения обычной диеты</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E52F0C0" w14:textId="77777777" w:rsidR="000C7098" w:rsidRPr="00062B4F" w:rsidRDefault="000C7098" w:rsidP="000A5434">
            <w:pPr>
              <w:spacing w:line="240" w:lineRule="auto"/>
              <w:ind w:firstLine="0"/>
              <w:jc w:val="center"/>
              <w:rPr>
                <w:szCs w:val="24"/>
              </w:rPr>
            </w:pPr>
            <w:r w:rsidRPr="00062B4F">
              <w:rPr>
                <w:szCs w:val="24"/>
                <w:shd w:val="clear" w:color="auto" w:fill="FFFFFF"/>
              </w:rPr>
              <w:t xml:space="preserve">Снижение приема пищи без значимого </w:t>
            </w:r>
            <w:proofErr w:type="spellStart"/>
            <w:proofErr w:type="gramStart"/>
            <w:r w:rsidRPr="00062B4F">
              <w:rPr>
                <w:szCs w:val="24"/>
                <w:shd w:val="clear" w:color="auto" w:fill="FFFFFF"/>
              </w:rPr>
              <w:t>сни-жения</w:t>
            </w:r>
            <w:proofErr w:type="spellEnd"/>
            <w:proofErr w:type="gramEnd"/>
            <w:r w:rsidRPr="00062B4F">
              <w:rPr>
                <w:szCs w:val="24"/>
                <w:shd w:val="clear" w:color="auto" w:fill="FFFFFF"/>
              </w:rPr>
              <w:t xml:space="preserve"> массы тела, </w:t>
            </w:r>
            <w:proofErr w:type="spellStart"/>
            <w:r w:rsidRPr="00062B4F">
              <w:rPr>
                <w:szCs w:val="24"/>
                <w:shd w:val="clear" w:color="auto" w:fill="FFFFFF"/>
              </w:rPr>
              <w:t>дегидрата-ции</w:t>
            </w:r>
            <w:proofErr w:type="spellEnd"/>
            <w:r w:rsidRPr="00062B4F">
              <w:rPr>
                <w:szCs w:val="24"/>
                <w:shd w:val="clear" w:color="auto" w:fill="FFFFFF"/>
              </w:rPr>
              <w:t xml:space="preserve"> или </w:t>
            </w:r>
            <w:proofErr w:type="spellStart"/>
            <w:r w:rsidRPr="00062B4F">
              <w:rPr>
                <w:szCs w:val="24"/>
                <w:shd w:val="clear" w:color="auto" w:fill="FFFFFF"/>
              </w:rPr>
              <w:t>недоста</w:t>
            </w:r>
            <w:proofErr w:type="spellEnd"/>
            <w:r w:rsidRPr="00062B4F">
              <w:rPr>
                <w:szCs w:val="24"/>
                <w:shd w:val="clear" w:color="auto" w:fill="FFFFFF"/>
              </w:rPr>
              <w:t>-точности пита-</w:t>
            </w:r>
            <w:proofErr w:type="spellStart"/>
            <w:r w:rsidRPr="00062B4F">
              <w:rPr>
                <w:szCs w:val="24"/>
                <w:shd w:val="clear" w:color="auto" w:fill="FFFFFF"/>
              </w:rPr>
              <w:t>ния</w:t>
            </w:r>
            <w:proofErr w:type="spellEnd"/>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EEAFBDF"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Недостаточное потребление калорий или пищи, </w:t>
            </w:r>
            <w:proofErr w:type="spellStart"/>
            <w:proofErr w:type="gramStart"/>
            <w:r w:rsidRPr="00062B4F">
              <w:rPr>
                <w:szCs w:val="24"/>
                <w:shd w:val="clear" w:color="auto" w:fill="FFFFFF"/>
              </w:rPr>
              <w:t>необхо-димость</w:t>
            </w:r>
            <w:proofErr w:type="spellEnd"/>
            <w:proofErr w:type="gramEnd"/>
            <w:r w:rsidRPr="00062B4F">
              <w:rPr>
                <w:szCs w:val="24"/>
                <w:shd w:val="clear" w:color="auto" w:fill="FFFFFF"/>
              </w:rPr>
              <w:t xml:space="preserve"> </w:t>
            </w:r>
            <w:proofErr w:type="spellStart"/>
            <w:r w:rsidRPr="00062B4F">
              <w:rPr>
                <w:szCs w:val="24"/>
                <w:shd w:val="clear" w:color="auto" w:fill="FFFFFF"/>
              </w:rPr>
              <w:t>зондо-вого</w:t>
            </w:r>
            <w:proofErr w:type="spellEnd"/>
            <w:r w:rsidRPr="00062B4F">
              <w:rPr>
                <w:szCs w:val="24"/>
                <w:shd w:val="clear" w:color="auto" w:fill="FFFFFF"/>
              </w:rPr>
              <w:t xml:space="preserve"> питания, парентерального питания или госпитализации</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7CD793F"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77F9567E"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A203D2A" w14:textId="77777777" w:rsidR="000C7098" w:rsidRPr="00062B4F" w:rsidRDefault="000C7098" w:rsidP="009D2E3F">
            <w:pPr>
              <w:spacing w:line="240" w:lineRule="auto"/>
              <w:ind w:firstLine="0"/>
              <w:rPr>
                <w:szCs w:val="24"/>
              </w:rPr>
            </w:pPr>
            <w:r w:rsidRPr="00062B4F">
              <w:rPr>
                <w:szCs w:val="24"/>
                <w:shd w:val="clear" w:color="auto" w:fill="FFFFFF"/>
              </w:rPr>
              <w:t>Рвота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1D75D75" w14:textId="77777777" w:rsidR="000C7098" w:rsidRPr="00062B4F" w:rsidRDefault="000C7098" w:rsidP="009D2E3F">
            <w:pPr>
              <w:spacing w:line="240" w:lineRule="auto"/>
              <w:ind w:firstLine="0"/>
              <w:jc w:val="center"/>
              <w:rPr>
                <w:szCs w:val="24"/>
              </w:rPr>
            </w:pPr>
            <w:r w:rsidRPr="00062B4F">
              <w:rPr>
                <w:szCs w:val="24"/>
                <w:shd w:val="clear" w:color="auto" w:fill="FFFFFF"/>
              </w:rPr>
              <w:t>1-2 эпизода (с интервалом не менее 5 минут) в течение 24 часов</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E292C3D" w14:textId="77777777" w:rsidR="000C7098" w:rsidRPr="00062B4F" w:rsidRDefault="000C7098" w:rsidP="009D2E3F">
            <w:pPr>
              <w:spacing w:line="240" w:lineRule="auto"/>
              <w:ind w:firstLine="0"/>
              <w:jc w:val="center"/>
              <w:rPr>
                <w:szCs w:val="24"/>
              </w:rPr>
            </w:pPr>
            <w:r w:rsidRPr="00062B4F">
              <w:rPr>
                <w:szCs w:val="24"/>
                <w:shd w:val="clear" w:color="auto" w:fill="FFFFFF"/>
              </w:rPr>
              <w:t>3-5 эпизодов (с интервалом не менее 5 минут) в течение 24 часов</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C931F18" w14:textId="77777777" w:rsidR="000C7098" w:rsidRPr="00062B4F" w:rsidRDefault="000C7098" w:rsidP="00E916EA">
            <w:pPr>
              <w:spacing w:line="240" w:lineRule="auto"/>
              <w:ind w:firstLine="0"/>
              <w:jc w:val="center"/>
              <w:rPr>
                <w:szCs w:val="24"/>
              </w:rPr>
            </w:pPr>
            <w:r w:rsidRPr="00062B4F">
              <w:rPr>
                <w:szCs w:val="24"/>
                <w:shd w:val="clear" w:color="auto" w:fill="FFFFFF"/>
              </w:rPr>
              <w:t>≥6 эпизодов (с интервалом не менее 5 минут) в течение 24 часов, необходимость зондового питания, парентерального питания или госпитализации</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31C83CF" w14:textId="77777777" w:rsidR="000C7098" w:rsidRPr="00062B4F" w:rsidRDefault="000C7098" w:rsidP="008A3ECC">
            <w:pPr>
              <w:spacing w:line="240" w:lineRule="auto"/>
              <w:ind w:firstLine="0"/>
              <w:jc w:val="center"/>
              <w:rPr>
                <w:szCs w:val="24"/>
              </w:rPr>
            </w:pPr>
            <w:proofErr w:type="spellStart"/>
            <w:r w:rsidRPr="00062B4F">
              <w:rPr>
                <w:szCs w:val="24"/>
                <w:shd w:val="clear" w:color="auto" w:fill="FFFFFF"/>
              </w:rPr>
              <w:t>Жизнеугрожа-ющие</w:t>
            </w:r>
            <w:proofErr w:type="spellEnd"/>
            <w:r w:rsidRPr="00062B4F">
              <w:rPr>
                <w:szCs w:val="24"/>
                <w:shd w:val="clear" w:color="auto" w:fill="FFFFFF"/>
              </w:rPr>
              <w:t xml:space="preserve"> </w:t>
            </w:r>
            <w:proofErr w:type="spellStart"/>
            <w:proofErr w:type="gramStart"/>
            <w:r w:rsidRPr="00062B4F">
              <w:rPr>
                <w:szCs w:val="24"/>
                <w:shd w:val="clear" w:color="auto" w:fill="FFFFFF"/>
              </w:rPr>
              <w:t>ослож</w:t>
            </w:r>
            <w:proofErr w:type="spellEnd"/>
            <w:r w:rsidRPr="00062B4F">
              <w:rPr>
                <w:szCs w:val="24"/>
                <w:shd w:val="clear" w:color="auto" w:fill="FFFFFF"/>
              </w:rPr>
              <w:t>-нения</w:t>
            </w:r>
            <w:proofErr w:type="gramEnd"/>
            <w:r w:rsidRPr="00062B4F">
              <w:rPr>
                <w:szCs w:val="24"/>
                <w:shd w:val="clear" w:color="auto" w:fill="FFFFFF"/>
              </w:rPr>
              <w:t xml:space="preserve">, </w:t>
            </w:r>
            <w:proofErr w:type="spellStart"/>
            <w:r w:rsidRPr="00062B4F">
              <w:rPr>
                <w:szCs w:val="24"/>
                <w:shd w:val="clear" w:color="auto" w:fill="FFFFFF"/>
              </w:rPr>
              <w:t>необхо-дима</w:t>
            </w:r>
            <w:proofErr w:type="spellEnd"/>
            <w:r w:rsidRPr="00062B4F">
              <w:rPr>
                <w:szCs w:val="24"/>
                <w:shd w:val="clear" w:color="auto" w:fill="FFFFFF"/>
              </w:rPr>
              <w:t xml:space="preserve"> </w:t>
            </w:r>
            <w:proofErr w:type="spellStart"/>
            <w:r w:rsidRPr="00062B4F">
              <w:rPr>
                <w:szCs w:val="24"/>
                <w:shd w:val="clear" w:color="auto" w:fill="FFFFFF"/>
              </w:rPr>
              <w:t>неотлож-ная</w:t>
            </w:r>
            <w:proofErr w:type="spellEnd"/>
            <w:r w:rsidRPr="00062B4F">
              <w:rPr>
                <w:szCs w:val="24"/>
                <w:shd w:val="clear" w:color="auto" w:fill="FFFFFF"/>
              </w:rPr>
              <w:t xml:space="preserve"> терапия</w:t>
            </w:r>
          </w:p>
        </w:tc>
      </w:tr>
      <w:tr w:rsidR="000C7098" w:rsidRPr="00062B4F" w14:paraId="680ED46C"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37805C1" w14:textId="77777777" w:rsidR="000C7098" w:rsidRPr="00062B4F" w:rsidRDefault="000C7098" w:rsidP="009D2E3F">
            <w:pPr>
              <w:spacing w:line="240" w:lineRule="auto"/>
              <w:ind w:firstLine="0"/>
              <w:rPr>
                <w:szCs w:val="24"/>
              </w:rPr>
            </w:pPr>
            <w:r w:rsidRPr="00062B4F">
              <w:rPr>
                <w:szCs w:val="24"/>
                <w:shd w:val="clear" w:color="auto" w:fill="FFFFFF"/>
              </w:rPr>
              <w:t>Диарея</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E818FC3"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Учащение стула менее 4 раз </w:t>
            </w:r>
            <w:proofErr w:type="gramStart"/>
            <w:r w:rsidRPr="00062B4F">
              <w:rPr>
                <w:szCs w:val="24"/>
                <w:shd w:val="clear" w:color="auto" w:fill="FFFFFF"/>
              </w:rPr>
              <w:t>в  день</w:t>
            </w:r>
            <w:proofErr w:type="gramEnd"/>
            <w:r w:rsidRPr="00062B4F">
              <w:rPr>
                <w:szCs w:val="24"/>
                <w:shd w:val="clear" w:color="auto" w:fill="FFFFFF"/>
              </w:rPr>
              <w:t>; легкое</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B74ECBA" w14:textId="77777777" w:rsidR="000C7098" w:rsidRPr="00062B4F" w:rsidRDefault="000C7098" w:rsidP="009D2E3F">
            <w:pPr>
              <w:spacing w:line="240" w:lineRule="auto"/>
              <w:ind w:firstLine="0"/>
              <w:jc w:val="center"/>
              <w:rPr>
                <w:szCs w:val="24"/>
              </w:rPr>
            </w:pPr>
            <w:r w:rsidRPr="00062B4F">
              <w:rPr>
                <w:szCs w:val="24"/>
                <w:shd w:val="clear" w:color="auto" w:fill="FFFFFF"/>
              </w:rPr>
              <w:t>Учащение стула до 4-6 раз в день;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FAA80F2" w14:textId="77777777" w:rsidR="000C7098" w:rsidRPr="00062B4F" w:rsidRDefault="000C7098" w:rsidP="00E916EA">
            <w:pPr>
              <w:spacing w:line="240" w:lineRule="auto"/>
              <w:ind w:firstLine="0"/>
              <w:jc w:val="center"/>
              <w:rPr>
                <w:szCs w:val="24"/>
              </w:rPr>
            </w:pPr>
            <w:r w:rsidRPr="00062B4F">
              <w:rPr>
                <w:szCs w:val="24"/>
                <w:shd w:val="clear" w:color="auto" w:fill="FFFFFF"/>
              </w:rPr>
              <w:t>Учащение стула 7 и более раз в день; недержание стула; необходимость госпитализации;</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4B21BAFA" w14:textId="77777777" w:rsidR="000C7098" w:rsidRPr="00062B4F" w:rsidRDefault="000C7098" w:rsidP="009D2E3F">
            <w:pPr>
              <w:spacing w:line="240" w:lineRule="auto"/>
              <w:ind w:firstLine="0"/>
              <w:jc w:val="center"/>
              <w:rPr>
                <w:szCs w:val="24"/>
              </w:rPr>
            </w:pPr>
            <w:proofErr w:type="spellStart"/>
            <w:r w:rsidRPr="00062B4F">
              <w:rPr>
                <w:szCs w:val="24"/>
                <w:shd w:val="clear" w:color="auto" w:fill="FFFFFF"/>
              </w:rPr>
              <w:t>Жизнеугрожа-ющие</w:t>
            </w:r>
            <w:proofErr w:type="spellEnd"/>
            <w:r w:rsidRPr="00062B4F">
              <w:rPr>
                <w:szCs w:val="24"/>
                <w:shd w:val="clear" w:color="auto" w:fill="FFFFFF"/>
              </w:rPr>
              <w:t xml:space="preserve"> </w:t>
            </w:r>
            <w:proofErr w:type="spellStart"/>
            <w:proofErr w:type="gramStart"/>
            <w:r w:rsidRPr="00062B4F">
              <w:rPr>
                <w:szCs w:val="24"/>
                <w:shd w:val="clear" w:color="auto" w:fill="FFFFFF"/>
              </w:rPr>
              <w:t>ослож</w:t>
            </w:r>
            <w:proofErr w:type="spellEnd"/>
            <w:r w:rsidRPr="00062B4F">
              <w:rPr>
                <w:szCs w:val="24"/>
                <w:shd w:val="clear" w:color="auto" w:fill="FFFFFF"/>
              </w:rPr>
              <w:t>-нения</w:t>
            </w:r>
            <w:proofErr w:type="gramEnd"/>
            <w:r w:rsidRPr="00062B4F">
              <w:rPr>
                <w:szCs w:val="24"/>
                <w:shd w:val="clear" w:color="auto" w:fill="FFFFFF"/>
              </w:rPr>
              <w:t xml:space="preserve">, </w:t>
            </w:r>
            <w:proofErr w:type="spellStart"/>
            <w:r w:rsidRPr="00062B4F">
              <w:rPr>
                <w:szCs w:val="24"/>
                <w:shd w:val="clear" w:color="auto" w:fill="FFFFFF"/>
              </w:rPr>
              <w:t>необхо-дима</w:t>
            </w:r>
            <w:proofErr w:type="spellEnd"/>
            <w:r w:rsidRPr="00062B4F">
              <w:rPr>
                <w:szCs w:val="24"/>
                <w:shd w:val="clear" w:color="auto" w:fill="FFFFFF"/>
              </w:rPr>
              <w:t xml:space="preserve"> </w:t>
            </w:r>
            <w:proofErr w:type="spellStart"/>
            <w:r w:rsidRPr="00062B4F">
              <w:rPr>
                <w:szCs w:val="24"/>
                <w:shd w:val="clear" w:color="auto" w:fill="FFFFFF"/>
              </w:rPr>
              <w:t>неотлож-ная</w:t>
            </w:r>
            <w:proofErr w:type="spellEnd"/>
            <w:r w:rsidRPr="00062B4F">
              <w:rPr>
                <w:szCs w:val="24"/>
                <w:shd w:val="clear" w:color="auto" w:fill="FFFFFF"/>
              </w:rPr>
              <w:t xml:space="preserve"> терапия</w:t>
            </w:r>
          </w:p>
        </w:tc>
      </w:tr>
      <w:tr w:rsidR="000C7098" w:rsidRPr="00062B4F" w14:paraId="01D6DD68"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BF817A4" w14:textId="77777777" w:rsidR="000C7098" w:rsidRPr="00062B4F" w:rsidRDefault="000C7098" w:rsidP="009D2E3F">
            <w:pPr>
              <w:spacing w:line="240" w:lineRule="auto"/>
              <w:ind w:firstLine="0"/>
              <w:rPr>
                <w:szCs w:val="24"/>
              </w:rPr>
            </w:pPr>
            <w:r w:rsidRPr="00062B4F">
              <w:rPr>
                <w:szCs w:val="24"/>
                <w:shd w:val="clear" w:color="auto" w:fill="FFFFFF"/>
              </w:rPr>
              <w:t>Запор</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7AFB158" w14:textId="77777777" w:rsidR="000C7098" w:rsidRPr="00062B4F" w:rsidRDefault="000C7098" w:rsidP="009D2E3F">
            <w:pPr>
              <w:spacing w:line="240" w:lineRule="auto"/>
              <w:ind w:firstLine="0"/>
              <w:jc w:val="center"/>
              <w:rPr>
                <w:szCs w:val="24"/>
              </w:rPr>
            </w:pPr>
            <w:r w:rsidRPr="00062B4F">
              <w:rPr>
                <w:szCs w:val="24"/>
                <w:shd w:val="clear" w:color="auto" w:fill="FFFFFF"/>
              </w:rPr>
              <w:t>Периодические или редкие проявления; редкое применение препаратов, изменяющих консистенцию стула или слабительных, клизмы; изменение диеты</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A332A60" w14:textId="77777777" w:rsidR="000C7098" w:rsidRPr="00062B4F" w:rsidRDefault="000C7098" w:rsidP="00E916EA">
            <w:pPr>
              <w:spacing w:line="240" w:lineRule="auto"/>
              <w:ind w:firstLine="0"/>
              <w:jc w:val="center"/>
              <w:rPr>
                <w:szCs w:val="24"/>
              </w:rPr>
            </w:pPr>
            <w:proofErr w:type="spellStart"/>
            <w:r w:rsidRPr="00062B4F">
              <w:rPr>
                <w:szCs w:val="24"/>
                <w:shd w:val="clear" w:color="auto" w:fill="FFFFFF"/>
              </w:rPr>
              <w:t>Персистирую-щие</w:t>
            </w:r>
            <w:proofErr w:type="spellEnd"/>
            <w:r w:rsidRPr="00062B4F">
              <w:rPr>
                <w:szCs w:val="24"/>
                <w:shd w:val="clear" w:color="auto" w:fill="FFFFFF"/>
              </w:rPr>
              <w:t xml:space="preserve"> симптомы с регулярным использованием препаратов, изменяющих консистенцию стула или слабительных, клизмы; ограничение повседневной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7ED8190" w14:textId="77777777" w:rsidR="000C7098" w:rsidRPr="00062B4F" w:rsidRDefault="000C7098" w:rsidP="00E916EA">
            <w:pPr>
              <w:spacing w:line="240" w:lineRule="auto"/>
              <w:ind w:firstLine="0"/>
              <w:jc w:val="center"/>
              <w:rPr>
                <w:szCs w:val="24"/>
              </w:rPr>
            </w:pPr>
            <w:r w:rsidRPr="00062B4F">
              <w:rPr>
                <w:szCs w:val="24"/>
                <w:shd w:val="clear" w:color="auto" w:fill="FFFFFF"/>
              </w:rPr>
              <w:t>Запоры с </w:t>
            </w:r>
            <w:proofErr w:type="gramStart"/>
            <w:r w:rsidRPr="00062B4F">
              <w:rPr>
                <w:szCs w:val="24"/>
                <w:shd w:val="clear" w:color="auto" w:fill="FFFFFF"/>
              </w:rPr>
              <w:t>необходимо-</w:t>
            </w:r>
            <w:proofErr w:type="spellStart"/>
            <w:r w:rsidRPr="00062B4F">
              <w:rPr>
                <w:szCs w:val="24"/>
                <w:shd w:val="clear" w:color="auto" w:fill="FFFFFF"/>
              </w:rPr>
              <w:t>стью</w:t>
            </w:r>
            <w:proofErr w:type="spellEnd"/>
            <w:proofErr w:type="gramEnd"/>
            <w:r w:rsidRPr="00062B4F">
              <w:rPr>
                <w:szCs w:val="24"/>
                <w:shd w:val="clear" w:color="auto" w:fill="FFFFFF"/>
              </w:rPr>
              <w:t xml:space="preserve"> ручной эвакуации, ограничиваю-</w:t>
            </w:r>
            <w:proofErr w:type="spellStart"/>
            <w:r w:rsidRPr="00062B4F">
              <w:rPr>
                <w:szCs w:val="24"/>
                <w:shd w:val="clear" w:color="auto" w:fill="FFFFFF"/>
              </w:rPr>
              <w:t>щие</w:t>
            </w:r>
            <w:proofErr w:type="spellEnd"/>
            <w:r w:rsidRPr="00062B4F">
              <w:rPr>
                <w:szCs w:val="24"/>
                <w:shd w:val="clear" w:color="auto" w:fill="FFFFFF"/>
              </w:rPr>
              <w:t xml:space="preserve"> </w:t>
            </w:r>
            <w:proofErr w:type="spellStart"/>
            <w:r w:rsidRPr="00062B4F">
              <w:rPr>
                <w:szCs w:val="24"/>
                <w:shd w:val="clear" w:color="auto" w:fill="FFFFFF"/>
              </w:rPr>
              <w:t>повседнев-ную</w:t>
            </w:r>
            <w:proofErr w:type="spellEnd"/>
            <w:r w:rsidRPr="00062B4F">
              <w:rPr>
                <w:szCs w:val="24"/>
                <w:shd w:val="clear" w:color="auto" w:fill="FFFFFF"/>
              </w:rPr>
              <w:t xml:space="preserve"> активность и способность к </w:t>
            </w:r>
            <w:proofErr w:type="spellStart"/>
            <w:r w:rsidRPr="00062B4F">
              <w:rPr>
                <w:szCs w:val="24"/>
                <w:shd w:val="clear" w:color="auto" w:fill="FFFFFF"/>
              </w:rPr>
              <w:t>самообслужи-ванию</w:t>
            </w:r>
            <w:proofErr w:type="spellEnd"/>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5D903F3D" w14:textId="77777777" w:rsidR="000C7098" w:rsidRPr="00062B4F" w:rsidRDefault="000C7098" w:rsidP="009D2E3F">
            <w:pPr>
              <w:spacing w:line="240" w:lineRule="auto"/>
              <w:ind w:firstLine="0"/>
              <w:jc w:val="center"/>
              <w:rPr>
                <w:szCs w:val="24"/>
              </w:rPr>
            </w:pPr>
            <w:proofErr w:type="spellStart"/>
            <w:r w:rsidRPr="00062B4F">
              <w:rPr>
                <w:szCs w:val="24"/>
                <w:shd w:val="clear" w:color="auto" w:fill="FFFFFF"/>
              </w:rPr>
              <w:t>Жизнеугрожа-ющие</w:t>
            </w:r>
            <w:proofErr w:type="spellEnd"/>
            <w:r w:rsidRPr="00062B4F">
              <w:rPr>
                <w:szCs w:val="24"/>
                <w:shd w:val="clear" w:color="auto" w:fill="FFFFFF"/>
              </w:rPr>
              <w:t xml:space="preserve"> </w:t>
            </w:r>
            <w:proofErr w:type="spellStart"/>
            <w:proofErr w:type="gramStart"/>
            <w:r w:rsidRPr="00062B4F">
              <w:rPr>
                <w:szCs w:val="24"/>
                <w:shd w:val="clear" w:color="auto" w:fill="FFFFFF"/>
              </w:rPr>
              <w:t>ослож</w:t>
            </w:r>
            <w:proofErr w:type="spellEnd"/>
            <w:r w:rsidRPr="00062B4F">
              <w:rPr>
                <w:szCs w:val="24"/>
                <w:shd w:val="clear" w:color="auto" w:fill="FFFFFF"/>
              </w:rPr>
              <w:t>-нения</w:t>
            </w:r>
            <w:proofErr w:type="gramEnd"/>
            <w:r w:rsidRPr="00062B4F">
              <w:rPr>
                <w:szCs w:val="24"/>
                <w:shd w:val="clear" w:color="auto" w:fill="FFFFFF"/>
              </w:rPr>
              <w:t xml:space="preserve">, </w:t>
            </w:r>
            <w:proofErr w:type="spellStart"/>
            <w:r w:rsidRPr="00062B4F">
              <w:rPr>
                <w:szCs w:val="24"/>
                <w:shd w:val="clear" w:color="auto" w:fill="FFFFFF"/>
              </w:rPr>
              <w:t>необхо-дима</w:t>
            </w:r>
            <w:proofErr w:type="spellEnd"/>
            <w:r w:rsidRPr="00062B4F">
              <w:rPr>
                <w:szCs w:val="24"/>
                <w:shd w:val="clear" w:color="auto" w:fill="FFFFFF"/>
              </w:rPr>
              <w:t xml:space="preserve"> </w:t>
            </w:r>
            <w:proofErr w:type="spellStart"/>
            <w:r w:rsidRPr="00062B4F">
              <w:rPr>
                <w:szCs w:val="24"/>
                <w:shd w:val="clear" w:color="auto" w:fill="FFFFFF"/>
              </w:rPr>
              <w:t>неотлож-ная</w:t>
            </w:r>
            <w:proofErr w:type="spellEnd"/>
            <w:r w:rsidRPr="00062B4F">
              <w:rPr>
                <w:szCs w:val="24"/>
                <w:shd w:val="clear" w:color="auto" w:fill="FFFFFF"/>
              </w:rPr>
              <w:t xml:space="preserve"> терапия</w:t>
            </w:r>
          </w:p>
        </w:tc>
      </w:tr>
      <w:tr w:rsidR="000C7098" w:rsidRPr="00062B4F" w14:paraId="363F2828"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AF894E2" w14:textId="77777777" w:rsidR="000C7098" w:rsidRPr="00062B4F" w:rsidRDefault="000C7098" w:rsidP="009D2E3F">
            <w:pPr>
              <w:spacing w:line="240" w:lineRule="auto"/>
              <w:ind w:firstLine="0"/>
              <w:rPr>
                <w:szCs w:val="24"/>
              </w:rPr>
            </w:pPr>
            <w:r w:rsidRPr="00062B4F">
              <w:rPr>
                <w:szCs w:val="24"/>
                <w:shd w:val="clear" w:color="auto" w:fill="FFFFFF"/>
              </w:rPr>
              <w:t xml:space="preserve">Стоматит </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D745B20" w14:textId="77777777" w:rsidR="000C7098" w:rsidRPr="00062B4F" w:rsidRDefault="000C7098" w:rsidP="009D2E3F">
            <w:pPr>
              <w:spacing w:line="240" w:lineRule="auto"/>
              <w:ind w:firstLine="0"/>
              <w:jc w:val="center"/>
              <w:rPr>
                <w:szCs w:val="24"/>
              </w:rPr>
            </w:pPr>
            <w:r w:rsidRPr="00062B4F">
              <w:rPr>
                <w:szCs w:val="24"/>
                <w:shd w:val="clear" w:color="auto" w:fill="FFFFFF"/>
              </w:rPr>
              <w:t>симптомов нет или невыраженные; вмешательство не требуется</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3D8ADE0" w14:textId="77777777" w:rsidR="000C7098" w:rsidRPr="00062B4F" w:rsidRDefault="000C7098" w:rsidP="00E916EA">
            <w:pPr>
              <w:spacing w:line="240" w:lineRule="auto"/>
              <w:ind w:firstLine="0"/>
              <w:jc w:val="center"/>
              <w:rPr>
                <w:szCs w:val="24"/>
              </w:rPr>
            </w:pPr>
            <w:r w:rsidRPr="00062B4F">
              <w:rPr>
                <w:szCs w:val="24"/>
                <w:shd w:val="clear" w:color="auto" w:fill="FFFFFF"/>
              </w:rPr>
              <w:t xml:space="preserve">Умеренная боль, не влияющая на потребление пищи, </w:t>
            </w:r>
            <w:proofErr w:type="spellStart"/>
            <w:proofErr w:type="gramStart"/>
            <w:r w:rsidRPr="00062B4F">
              <w:rPr>
                <w:szCs w:val="24"/>
                <w:shd w:val="clear" w:color="auto" w:fill="FFFFFF"/>
              </w:rPr>
              <w:t>необ-ходимо</w:t>
            </w:r>
            <w:proofErr w:type="spellEnd"/>
            <w:proofErr w:type="gramEnd"/>
            <w:r w:rsidRPr="00062B4F">
              <w:rPr>
                <w:szCs w:val="24"/>
                <w:shd w:val="clear" w:color="auto" w:fill="FFFFFF"/>
              </w:rPr>
              <w:t xml:space="preserve"> </w:t>
            </w:r>
            <w:proofErr w:type="spellStart"/>
            <w:r w:rsidRPr="00062B4F">
              <w:rPr>
                <w:szCs w:val="24"/>
                <w:shd w:val="clear" w:color="auto" w:fill="FFFFFF"/>
              </w:rPr>
              <w:t>изме-нение</w:t>
            </w:r>
            <w:proofErr w:type="spellEnd"/>
            <w:r w:rsidRPr="00062B4F">
              <w:rPr>
                <w:szCs w:val="24"/>
                <w:shd w:val="clear" w:color="auto" w:fill="FFFFFF"/>
              </w:rPr>
              <w:t xml:space="preserve"> диеты</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A931648" w14:textId="77777777" w:rsidR="000C7098" w:rsidRPr="00062B4F" w:rsidRDefault="000C7098" w:rsidP="009D2E3F">
            <w:pPr>
              <w:spacing w:line="240" w:lineRule="auto"/>
              <w:ind w:firstLine="0"/>
              <w:jc w:val="center"/>
              <w:rPr>
                <w:szCs w:val="24"/>
              </w:rPr>
            </w:pPr>
            <w:r w:rsidRPr="00062B4F">
              <w:rPr>
                <w:szCs w:val="24"/>
                <w:shd w:val="clear" w:color="auto" w:fill="FFFFFF"/>
              </w:rPr>
              <w:t>Выраженная боль, влияющая на потребление пищи через рот</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77CAB2ED" w14:textId="77777777" w:rsidR="000C7098" w:rsidRPr="00062B4F" w:rsidRDefault="000C7098" w:rsidP="009D2E3F">
            <w:pPr>
              <w:spacing w:line="240" w:lineRule="auto"/>
              <w:ind w:firstLine="0"/>
              <w:jc w:val="center"/>
              <w:rPr>
                <w:szCs w:val="24"/>
              </w:rPr>
            </w:pPr>
            <w:proofErr w:type="spellStart"/>
            <w:r w:rsidRPr="00062B4F">
              <w:rPr>
                <w:szCs w:val="24"/>
                <w:shd w:val="clear" w:color="auto" w:fill="FFFFFF"/>
              </w:rPr>
              <w:t>Жизнеугрожа-ющие</w:t>
            </w:r>
            <w:proofErr w:type="spellEnd"/>
            <w:r w:rsidRPr="00062B4F">
              <w:rPr>
                <w:szCs w:val="24"/>
                <w:shd w:val="clear" w:color="auto" w:fill="FFFFFF"/>
              </w:rPr>
              <w:t xml:space="preserve"> </w:t>
            </w:r>
            <w:proofErr w:type="spellStart"/>
            <w:proofErr w:type="gramStart"/>
            <w:r w:rsidRPr="00062B4F">
              <w:rPr>
                <w:szCs w:val="24"/>
                <w:shd w:val="clear" w:color="auto" w:fill="FFFFFF"/>
              </w:rPr>
              <w:t>ослож</w:t>
            </w:r>
            <w:proofErr w:type="spellEnd"/>
            <w:r w:rsidRPr="00062B4F">
              <w:rPr>
                <w:szCs w:val="24"/>
                <w:shd w:val="clear" w:color="auto" w:fill="FFFFFF"/>
              </w:rPr>
              <w:t>-нения</w:t>
            </w:r>
            <w:proofErr w:type="gramEnd"/>
            <w:r w:rsidRPr="00062B4F">
              <w:rPr>
                <w:szCs w:val="24"/>
                <w:shd w:val="clear" w:color="auto" w:fill="FFFFFF"/>
              </w:rPr>
              <w:t xml:space="preserve">, </w:t>
            </w:r>
            <w:proofErr w:type="spellStart"/>
            <w:r w:rsidRPr="00062B4F">
              <w:rPr>
                <w:szCs w:val="24"/>
                <w:shd w:val="clear" w:color="auto" w:fill="FFFFFF"/>
              </w:rPr>
              <w:t>необхо-дима</w:t>
            </w:r>
            <w:proofErr w:type="spellEnd"/>
            <w:r w:rsidRPr="00062B4F">
              <w:rPr>
                <w:szCs w:val="24"/>
                <w:shd w:val="clear" w:color="auto" w:fill="FFFFFF"/>
              </w:rPr>
              <w:t xml:space="preserve"> </w:t>
            </w:r>
            <w:proofErr w:type="spellStart"/>
            <w:r w:rsidRPr="00062B4F">
              <w:rPr>
                <w:szCs w:val="24"/>
                <w:shd w:val="clear" w:color="auto" w:fill="FFFFFF"/>
              </w:rPr>
              <w:t>неотлож-ная</w:t>
            </w:r>
            <w:proofErr w:type="spellEnd"/>
            <w:r w:rsidRPr="00062B4F">
              <w:rPr>
                <w:szCs w:val="24"/>
                <w:shd w:val="clear" w:color="auto" w:fill="FFFFFF"/>
              </w:rPr>
              <w:t xml:space="preserve"> терапия</w:t>
            </w:r>
          </w:p>
        </w:tc>
      </w:tr>
      <w:tr w:rsidR="000C7098" w:rsidRPr="00062B4F" w14:paraId="4C86B52B" w14:textId="77777777">
        <w:trPr>
          <w:cantSplit/>
          <w:trHeight w:val="602"/>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FF45C53" w14:textId="77777777" w:rsidR="000C7098" w:rsidRPr="00062B4F" w:rsidRDefault="000C7098" w:rsidP="009D2E3F">
            <w:pPr>
              <w:spacing w:line="240" w:lineRule="auto"/>
              <w:ind w:firstLine="0"/>
              <w:jc w:val="center"/>
              <w:rPr>
                <w:szCs w:val="24"/>
              </w:rPr>
            </w:pPr>
            <w:r w:rsidRPr="00062B4F">
              <w:rPr>
                <w:szCs w:val="24"/>
                <w:shd w:val="clear" w:color="auto" w:fill="FFFFFF"/>
              </w:rPr>
              <w:lastRenderedPageBreak/>
              <w:t>БОЛЬ</w:t>
            </w:r>
          </w:p>
        </w:tc>
      </w:tr>
      <w:tr w:rsidR="000C7098" w:rsidRPr="00062B4F" w14:paraId="43EAEC5A"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6E1045E" w14:textId="77777777" w:rsidR="000C7098" w:rsidRPr="00062B4F" w:rsidRDefault="000C7098" w:rsidP="001F39ED">
            <w:pPr>
              <w:spacing w:line="240" w:lineRule="auto"/>
              <w:ind w:firstLine="0"/>
              <w:rPr>
                <w:szCs w:val="24"/>
              </w:rPr>
            </w:pPr>
            <w:r w:rsidRPr="00062B4F">
              <w:rPr>
                <w:szCs w:val="24"/>
                <w:shd w:val="clear" w:color="auto" w:fill="FFFFFF"/>
              </w:rPr>
              <w:t>Артралгия (боли в суставах)</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1716A81" w14:textId="77777777" w:rsidR="000C7098" w:rsidRPr="00062B4F" w:rsidRDefault="000C7098" w:rsidP="009D2E3F">
            <w:pPr>
              <w:spacing w:line="240" w:lineRule="auto"/>
              <w:ind w:firstLine="0"/>
              <w:jc w:val="center"/>
              <w:rPr>
                <w:szCs w:val="24"/>
              </w:rPr>
            </w:pPr>
            <w:r w:rsidRPr="00062B4F">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70FC754" w14:textId="77777777" w:rsidR="000C7098" w:rsidRPr="00062B4F" w:rsidRDefault="000C7098" w:rsidP="009D2E3F">
            <w:pPr>
              <w:spacing w:line="240" w:lineRule="auto"/>
              <w:ind w:firstLine="0"/>
              <w:jc w:val="center"/>
              <w:rPr>
                <w:szCs w:val="24"/>
              </w:rPr>
            </w:pPr>
            <w:r w:rsidRPr="00062B4F">
              <w:rPr>
                <w:szCs w:val="24"/>
                <w:shd w:val="clear" w:color="auto" w:fill="FFFFFF"/>
              </w:rPr>
              <w:t>Умеренная боль, ограничивающая повседневную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35ED402" w14:textId="77777777" w:rsidR="000C7098" w:rsidRPr="00062B4F" w:rsidRDefault="000C7098" w:rsidP="000A5434">
            <w:pPr>
              <w:spacing w:line="240" w:lineRule="auto"/>
              <w:ind w:firstLine="0"/>
              <w:jc w:val="center"/>
              <w:rPr>
                <w:szCs w:val="24"/>
              </w:rPr>
            </w:pPr>
            <w:r w:rsidRPr="00062B4F">
              <w:rPr>
                <w:szCs w:val="24"/>
                <w:shd w:val="clear" w:color="auto" w:fill="FFFFFF"/>
              </w:rPr>
              <w:t xml:space="preserve">Выраженная боль, </w:t>
            </w:r>
            <w:proofErr w:type="spellStart"/>
            <w:proofErr w:type="gramStart"/>
            <w:r w:rsidRPr="00062B4F">
              <w:rPr>
                <w:szCs w:val="24"/>
                <w:shd w:val="clear" w:color="auto" w:fill="FFFFFF"/>
              </w:rPr>
              <w:t>ограничи-вающие</w:t>
            </w:r>
            <w:proofErr w:type="spellEnd"/>
            <w:proofErr w:type="gramEnd"/>
            <w:r w:rsidRPr="00062B4F">
              <w:rPr>
                <w:szCs w:val="24"/>
                <w:shd w:val="clear" w:color="auto" w:fill="FFFFFF"/>
              </w:rPr>
              <w:t xml:space="preserve"> </w:t>
            </w:r>
            <w:proofErr w:type="spellStart"/>
            <w:r w:rsidRPr="00062B4F">
              <w:rPr>
                <w:szCs w:val="24"/>
                <w:shd w:val="clear" w:color="auto" w:fill="FFFFFF"/>
              </w:rPr>
              <w:t>повсе</w:t>
            </w:r>
            <w:proofErr w:type="spellEnd"/>
            <w:r w:rsidRPr="00062B4F">
              <w:rPr>
                <w:szCs w:val="24"/>
                <w:shd w:val="clear" w:color="auto" w:fill="FFFFFF"/>
              </w:rPr>
              <w:t>-дневную актив-</w:t>
            </w:r>
            <w:proofErr w:type="spellStart"/>
            <w:r w:rsidRPr="00062B4F">
              <w:rPr>
                <w:szCs w:val="24"/>
                <w:shd w:val="clear" w:color="auto" w:fill="FFFFFF"/>
              </w:rPr>
              <w:t>ность</w:t>
            </w:r>
            <w:proofErr w:type="spellEnd"/>
            <w:r w:rsidRPr="00062B4F">
              <w:rPr>
                <w:szCs w:val="24"/>
                <w:shd w:val="clear" w:color="auto" w:fill="FFFFFF"/>
              </w:rPr>
              <w:t xml:space="preserve"> и способ-</w:t>
            </w:r>
            <w:proofErr w:type="spellStart"/>
            <w:r w:rsidRPr="00062B4F">
              <w:rPr>
                <w:szCs w:val="24"/>
                <w:shd w:val="clear" w:color="auto" w:fill="FFFFFF"/>
              </w:rPr>
              <w:t>ность</w:t>
            </w:r>
            <w:proofErr w:type="spellEnd"/>
            <w:r w:rsidRPr="00062B4F">
              <w:rPr>
                <w:szCs w:val="24"/>
                <w:shd w:val="clear" w:color="auto" w:fill="FFFFFF"/>
              </w:rPr>
              <w:t xml:space="preserve">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37F8192F"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01B9B425"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67A0F17" w14:textId="77777777" w:rsidR="000C7098" w:rsidRPr="00062B4F" w:rsidRDefault="000C7098" w:rsidP="001F39ED">
            <w:pPr>
              <w:spacing w:line="240" w:lineRule="auto"/>
              <w:ind w:firstLine="0"/>
              <w:rPr>
                <w:szCs w:val="24"/>
              </w:rPr>
            </w:pPr>
            <w:r w:rsidRPr="00062B4F">
              <w:rPr>
                <w:szCs w:val="24"/>
                <w:shd w:val="clear" w:color="auto" w:fill="FFFFFF"/>
              </w:rPr>
              <w:t>Боль в костях</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3A1A964" w14:textId="77777777" w:rsidR="000C7098" w:rsidRPr="00062B4F" w:rsidRDefault="000C7098" w:rsidP="009D2E3F">
            <w:pPr>
              <w:spacing w:line="240" w:lineRule="auto"/>
              <w:ind w:firstLine="0"/>
              <w:jc w:val="center"/>
              <w:rPr>
                <w:szCs w:val="24"/>
              </w:rPr>
            </w:pPr>
            <w:r w:rsidRPr="00062B4F">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BEC3878" w14:textId="77777777" w:rsidR="000C7098" w:rsidRPr="00062B4F" w:rsidRDefault="000C7098" w:rsidP="009D2E3F">
            <w:pPr>
              <w:spacing w:line="240" w:lineRule="auto"/>
              <w:ind w:firstLine="0"/>
              <w:jc w:val="center"/>
              <w:rPr>
                <w:szCs w:val="24"/>
              </w:rPr>
            </w:pPr>
            <w:r w:rsidRPr="00062B4F">
              <w:rPr>
                <w:szCs w:val="24"/>
                <w:shd w:val="clear" w:color="auto" w:fill="FFFFFF"/>
              </w:rPr>
              <w:t>Умеренная боль, ограничивающая повседневную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03F36F4" w14:textId="77777777" w:rsidR="000C7098" w:rsidRPr="00062B4F" w:rsidRDefault="000C7098" w:rsidP="0049514D">
            <w:pPr>
              <w:spacing w:line="240" w:lineRule="auto"/>
              <w:ind w:firstLine="0"/>
              <w:jc w:val="center"/>
              <w:rPr>
                <w:szCs w:val="24"/>
              </w:rPr>
            </w:pPr>
            <w:r w:rsidRPr="00062B4F">
              <w:rPr>
                <w:szCs w:val="24"/>
                <w:shd w:val="clear" w:color="auto" w:fill="FFFFFF"/>
              </w:rPr>
              <w:t xml:space="preserve">Выраженная боль, </w:t>
            </w:r>
            <w:proofErr w:type="gramStart"/>
            <w:r w:rsidRPr="00062B4F">
              <w:rPr>
                <w:szCs w:val="24"/>
                <w:shd w:val="clear" w:color="auto" w:fill="FFFFFF"/>
              </w:rPr>
              <w:t>ограни-</w:t>
            </w:r>
            <w:proofErr w:type="spellStart"/>
            <w:r w:rsidRPr="00062B4F">
              <w:rPr>
                <w:szCs w:val="24"/>
                <w:shd w:val="clear" w:color="auto" w:fill="FFFFFF"/>
              </w:rPr>
              <w:t>чивающая</w:t>
            </w:r>
            <w:proofErr w:type="spellEnd"/>
            <w:proofErr w:type="gramEnd"/>
            <w:r w:rsidRPr="00062B4F">
              <w:rPr>
                <w:szCs w:val="24"/>
                <w:shd w:val="clear" w:color="auto" w:fill="FFFFFF"/>
              </w:rPr>
              <w:t xml:space="preserve"> повседневную активность и способность к </w:t>
            </w:r>
            <w:proofErr w:type="spellStart"/>
            <w:r w:rsidRPr="00062B4F">
              <w:rPr>
                <w:szCs w:val="24"/>
                <w:shd w:val="clear" w:color="auto" w:fill="FFFFFF"/>
              </w:rPr>
              <w:t>самообслужи-ванию</w:t>
            </w:r>
            <w:proofErr w:type="spellEnd"/>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642BDC92"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3B4D2DCF"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C40A085" w14:textId="77777777" w:rsidR="000C7098" w:rsidRPr="00062B4F" w:rsidRDefault="000C7098" w:rsidP="009D2E3F">
            <w:pPr>
              <w:spacing w:line="240" w:lineRule="auto"/>
              <w:ind w:firstLine="0"/>
              <w:rPr>
                <w:szCs w:val="24"/>
              </w:rPr>
            </w:pPr>
            <w:r w:rsidRPr="00062B4F">
              <w:rPr>
                <w:szCs w:val="24"/>
                <w:shd w:val="clear" w:color="auto" w:fill="FFFFFF"/>
              </w:rPr>
              <w:t>Миалгия (мышечная боль)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65AE72F" w14:textId="77777777" w:rsidR="000C7098" w:rsidRPr="00062B4F" w:rsidRDefault="000C7098" w:rsidP="009D2E3F">
            <w:pPr>
              <w:spacing w:line="240" w:lineRule="auto"/>
              <w:ind w:firstLine="0"/>
              <w:jc w:val="center"/>
              <w:rPr>
                <w:szCs w:val="24"/>
              </w:rPr>
            </w:pPr>
            <w:r w:rsidRPr="00062B4F">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863D0E3" w14:textId="77777777" w:rsidR="000C7098" w:rsidRPr="00062B4F" w:rsidRDefault="000C7098" w:rsidP="009D2E3F">
            <w:pPr>
              <w:spacing w:line="240" w:lineRule="auto"/>
              <w:ind w:firstLine="0"/>
              <w:jc w:val="center"/>
              <w:rPr>
                <w:szCs w:val="24"/>
              </w:rPr>
            </w:pPr>
            <w:r w:rsidRPr="00062B4F">
              <w:rPr>
                <w:szCs w:val="24"/>
                <w:shd w:val="clear" w:color="auto" w:fill="FFFFFF"/>
              </w:rPr>
              <w:t>Умеренная боль, ограничивающая повседневную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8517400"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Выраженная боль, </w:t>
            </w:r>
            <w:proofErr w:type="gramStart"/>
            <w:r w:rsidRPr="00062B4F">
              <w:rPr>
                <w:szCs w:val="24"/>
                <w:shd w:val="clear" w:color="auto" w:fill="FFFFFF"/>
              </w:rPr>
              <w:t>ограни-</w:t>
            </w:r>
            <w:proofErr w:type="spellStart"/>
            <w:r w:rsidRPr="00062B4F">
              <w:rPr>
                <w:szCs w:val="24"/>
                <w:shd w:val="clear" w:color="auto" w:fill="FFFFFF"/>
              </w:rPr>
              <w:t>чивающая</w:t>
            </w:r>
            <w:proofErr w:type="spellEnd"/>
            <w:proofErr w:type="gramEnd"/>
            <w:r w:rsidRPr="00062B4F">
              <w:rPr>
                <w:szCs w:val="24"/>
                <w:shd w:val="clear" w:color="auto" w:fill="FFFFFF"/>
              </w:rPr>
              <w:t xml:space="preserve"> повседневную активность и способность к </w:t>
            </w:r>
            <w:proofErr w:type="spellStart"/>
            <w:r w:rsidRPr="00062B4F">
              <w:rPr>
                <w:szCs w:val="24"/>
                <w:shd w:val="clear" w:color="auto" w:fill="FFFFFF"/>
              </w:rPr>
              <w:t>самообслужи-ванию</w:t>
            </w:r>
            <w:proofErr w:type="spellEnd"/>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7DBEE2E"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15052C1E"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AE32289" w14:textId="77777777" w:rsidR="000C7098" w:rsidRPr="00062B4F" w:rsidRDefault="000C7098" w:rsidP="009D2E3F">
            <w:pPr>
              <w:spacing w:line="240" w:lineRule="auto"/>
              <w:ind w:firstLine="0"/>
              <w:rPr>
                <w:szCs w:val="24"/>
              </w:rPr>
            </w:pPr>
            <w:r w:rsidRPr="00062B4F">
              <w:rPr>
                <w:szCs w:val="24"/>
                <w:shd w:val="clear" w:color="auto" w:fill="FFFFFF"/>
              </w:rPr>
              <w:t>Головная боль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6B0AE6D" w14:textId="77777777" w:rsidR="000C7098" w:rsidRPr="00062B4F" w:rsidRDefault="000C7098" w:rsidP="009D2E3F">
            <w:pPr>
              <w:spacing w:line="240" w:lineRule="auto"/>
              <w:ind w:firstLine="0"/>
              <w:jc w:val="center"/>
              <w:rPr>
                <w:szCs w:val="24"/>
              </w:rPr>
            </w:pPr>
            <w:r w:rsidRPr="00062B4F">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320381C" w14:textId="77777777" w:rsidR="000C7098" w:rsidRPr="00062B4F" w:rsidRDefault="000C7098" w:rsidP="0049514D">
            <w:pPr>
              <w:spacing w:line="240" w:lineRule="auto"/>
              <w:ind w:firstLine="0"/>
              <w:jc w:val="center"/>
              <w:rPr>
                <w:szCs w:val="24"/>
              </w:rPr>
            </w:pPr>
            <w:r w:rsidRPr="00062B4F">
              <w:rPr>
                <w:szCs w:val="24"/>
                <w:shd w:val="clear" w:color="auto" w:fill="FFFFFF"/>
              </w:rPr>
              <w:t>Умеренная боль, ограничивающая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615399A"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Выраженная боль, </w:t>
            </w:r>
            <w:proofErr w:type="gramStart"/>
            <w:r w:rsidRPr="00062B4F">
              <w:rPr>
                <w:szCs w:val="24"/>
                <w:shd w:val="clear" w:color="auto" w:fill="FFFFFF"/>
              </w:rPr>
              <w:t>ограни-</w:t>
            </w:r>
            <w:proofErr w:type="spellStart"/>
            <w:r w:rsidRPr="00062B4F">
              <w:rPr>
                <w:szCs w:val="24"/>
                <w:shd w:val="clear" w:color="auto" w:fill="FFFFFF"/>
              </w:rPr>
              <w:t>чивающая</w:t>
            </w:r>
            <w:proofErr w:type="spellEnd"/>
            <w:proofErr w:type="gramEnd"/>
            <w:r w:rsidRPr="00062B4F">
              <w:rPr>
                <w:szCs w:val="24"/>
                <w:shd w:val="clear" w:color="auto" w:fill="FFFFFF"/>
              </w:rPr>
              <w:t xml:space="preserve"> повседневную активность и способность к </w:t>
            </w:r>
            <w:proofErr w:type="spellStart"/>
            <w:r w:rsidRPr="00062B4F">
              <w:rPr>
                <w:szCs w:val="24"/>
                <w:shd w:val="clear" w:color="auto" w:fill="FFFFFF"/>
              </w:rPr>
              <w:t>самообслужи-ванию</w:t>
            </w:r>
            <w:proofErr w:type="spellEnd"/>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74FA1F7"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254BFF4C" w14:textId="77777777">
        <w:trPr>
          <w:cantSplit/>
          <w:trHeight w:val="532"/>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27A34E6" w14:textId="77777777" w:rsidR="000C7098" w:rsidRPr="00062B4F" w:rsidRDefault="000C7098" w:rsidP="009D2E3F">
            <w:pPr>
              <w:spacing w:line="240" w:lineRule="auto"/>
              <w:ind w:firstLine="0"/>
              <w:jc w:val="center"/>
              <w:rPr>
                <w:szCs w:val="24"/>
              </w:rPr>
            </w:pPr>
            <w:r w:rsidRPr="00062B4F">
              <w:rPr>
                <w:szCs w:val="24"/>
                <w:shd w:val="clear" w:color="auto" w:fill="FFFFFF"/>
              </w:rPr>
              <w:t>КОНСТИТУЦИОНАЛЬНАЯ ТОКСИЧНОСТЬ</w:t>
            </w:r>
          </w:p>
        </w:tc>
      </w:tr>
      <w:tr w:rsidR="000C7098" w:rsidRPr="00062B4F" w14:paraId="4E144647"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F8DD2BC" w14:textId="77777777" w:rsidR="000C7098" w:rsidRPr="00062B4F" w:rsidRDefault="000C7098" w:rsidP="009D2E3F">
            <w:pPr>
              <w:spacing w:line="240" w:lineRule="auto"/>
              <w:ind w:firstLine="0"/>
              <w:rPr>
                <w:szCs w:val="24"/>
              </w:rPr>
            </w:pPr>
            <w:r w:rsidRPr="00062B4F">
              <w:rPr>
                <w:szCs w:val="24"/>
                <w:shd w:val="clear" w:color="auto" w:fill="FFFFFF"/>
              </w:rPr>
              <w:t xml:space="preserve">Слабость </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EDA7C1F" w14:textId="77777777" w:rsidR="000C7098" w:rsidRPr="00062B4F" w:rsidRDefault="000C7098" w:rsidP="009D2E3F">
            <w:pPr>
              <w:spacing w:line="240" w:lineRule="auto"/>
              <w:ind w:firstLine="0"/>
              <w:jc w:val="center"/>
              <w:rPr>
                <w:szCs w:val="24"/>
              </w:rPr>
            </w:pPr>
            <w:r w:rsidRPr="00062B4F">
              <w:rPr>
                <w:szCs w:val="24"/>
                <w:shd w:val="clear" w:color="auto" w:fill="FFFFFF"/>
              </w:rPr>
              <w:t>Слабость проходит после отдыха</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ED874A0" w14:textId="77777777" w:rsidR="000C7098" w:rsidRPr="00062B4F" w:rsidRDefault="000C7098" w:rsidP="004574FE">
            <w:pPr>
              <w:spacing w:line="240" w:lineRule="auto"/>
              <w:ind w:firstLine="0"/>
              <w:jc w:val="center"/>
              <w:rPr>
                <w:szCs w:val="24"/>
              </w:rPr>
            </w:pPr>
            <w:r w:rsidRPr="00062B4F">
              <w:rPr>
                <w:szCs w:val="24"/>
                <w:shd w:val="clear" w:color="auto" w:fill="FFFFFF"/>
              </w:rPr>
              <w:t>Слабость не проходит после отдыха, ограничивает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0FEDCEB" w14:textId="77777777" w:rsidR="000C7098" w:rsidRPr="00062B4F" w:rsidRDefault="000C7098" w:rsidP="004574FE">
            <w:pPr>
              <w:spacing w:line="240" w:lineRule="auto"/>
              <w:ind w:firstLine="0"/>
              <w:jc w:val="center"/>
              <w:rPr>
                <w:szCs w:val="24"/>
              </w:rPr>
            </w:pPr>
            <w:r w:rsidRPr="00062B4F">
              <w:rPr>
                <w:szCs w:val="24"/>
                <w:shd w:val="clear" w:color="auto" w:fill="FFFFFF"/>
              </w:rPr>
              <w:t>Слабость не проходит после отдыха, ограничивает повседневную активность и способность к </w:t>
            </w:r>
            <w:proofErr w:type="spellStart"/>
            <w:proofErr w:type="gramStart"/>
            <w:r w:rsidRPr="00062B4F">
              <w:rPr>
                <w:szCs w:val="24"/>
                <w:shd w:val="clear" w:color="auto" w:fill="FFFFFF"/>
              </w:rPr>
              <w:t>самообслужи-ванию</w:t>
            </w:r>
            <w:proofErr w:type="spellEnd"/>
            <w:proofErr w:type="gramEnd"/>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6C6DDF16"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06434E1D"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AD8F239" w14:textId="77777777" w:rsidR="000C7098" w:rsidRPr="00062B4F" w:rsidRDefault="000C7098" w:rsidP="009D2E3F">
            <w:pPr>
              <w:spacing w:line="240" w:lineRule="auto"/>
              <w:ind w:firstLine="0"/>
              <w:rPr>
                <w:szCs w:val="24"/>
              </w:rPr>
            </w:pPr>
            <w:r w:rsidRPr="00062B4F">
              <w:rPr>
                <w:szCs w:val="24"/>
                <w:shd w:val="clear" w:color="auto" w:fill="FFFFFF"/>
              </w:rPr>
              <w:t>Лихорадка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FD16C24"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38,0–39,0 </w:t>
            </w:r>
            <w:proofErr w:type="spellStart"/>
            <w:r w:rsidRPr="00062B4F">
              <w:rPr>
                <w:szCs w:val="24"/>
                <w:shd w:val="clear" w:color="auto" w:fill="FFFFFF"/>
                <w:vertAlign w:val="superscript"/>
              </w:rPr>
              <w:t>о</w:t>
            </w:r>
            <w:r w:rsidRPr="00062B4F">
              <w:rPr>
                <w:szCs w:val="24"/>
                <w:shd w:val="clear" w:color="auto" w:fill="FFFFFF"/>
              </w:rPr>
              <w:t>С</w:t>
            </w:r>
            <w:proofErr w:type="spellEnd"/>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02E8F99"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39,0–40,0 </w:t>
            </w:r>
            <w:proofErr w:type="spellStart"/>
            <w:r w:rsidRPr="00062B4F">
              <w:rPr>
                <w:szCs w:val="24"/>
                <w:shd w:val="clear" w:color="auto" w:fill="FFFFFF"/>
                <w:vertAlign w:val="superscript"/>
              </w:rPr>
              <w:t>о</w:t>
            </w:r>
            <w:r w:rsidRPr="00062B4F">
              <w:rPr>
                <w:szCs w:val="24"/>
                <w:shd w:val="clear" w:color="auto" w:fill="FFFFFF"/>
              </w:rPr>
              <w:t>С</w:t>
            </w:r>
            <w:proofErr w:type="spellEnd"/>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547B76D" w14:textId="77777777" w:rsidR="000C7098" w:rsidRPr="00062B4F" w:rsidRDefault="000C7098" w:rsidP="0049514D">
            <w:pPr>
              <w:spacing w:line="240" w:lineRule="auto"/>
              <w:ind w:firstLine="0"/>
              <w:jc w:val="center"/>
              <w:rPr>
                <w:szCs w:val="24"/>
                <w:shd w:val="clear" w:color="auto" w:fill="FFFFFF"/>
              </w:rPr>
            </w:pPr>
            <w:r w:rsidRPr="00062B4F">
              <w:rPr>
                <w:szCs w:val="24"/>
                <w:shd w:val="clear" w:color="auto" w:fill="FFFFFF"/>
              </w:rPr>
              <w:t xml:space="preserve">&gt;40,0 </w:t>
            </w:r>
            <w:proofErr w:type="spellStart"/>
            <w:r w:rsidRPr="00062B4F">
              <w:rPr>
                <w:szCs w:val="24"/>
                <w:shd w:val="clear" w:color="auto" w:fill="FFFFFF"/>
                <w:vertAlign w:val="superscript"/>
              </w:rPr>
              <w:t>о</w:t>
            </w:r>
            <w:r w:rsidRPr="00062B4F">
              <w:rPr>
                <w:szCs w:val="24"/>
                <w:shd w:val="clear" w:color="auto" w:fill="FFFFFF"/>
              </w:rPr>
              <w:t>С</w:t>
            </w:r>
            <w:proofErr w:type="spellEnd"/>
            <w:r w:rsidRPr="00062B4F">
              <w:rPr>
                <w:szCs w:val="24"/>
                <w:shd w:val="clear" w:color="auto" w:fill="FFFFFF"/>
              </w:rPr>
              <w:t xml:space="preserve"> </w:t>
            </w:r>
            <w:proofErr w:type="spellStart"/>
            <w:proofErr w:type="gramStart"/>
            <w:r w:rsidRPr="00062B4F">
              <w:rPr>
                <w:szCs w:val="24"/>
                <w:shd w:val="clear" w:color="auto" w:fill="FFFFFF"/>
              </w:rPr>
              <w:t>продолжитель-ностью</w:t>
            </w:r>
            <w:proofErr w:type="spellEnd"/>
            <w:proofErr w:type="gramEnd"/>
            <w:r w:rsidRPr="00062B4F">
              <w:rPr>
                <w:szCs w:val="24"/>
                <w:shd w:val="clear" w:color="auto" w:fill="FFFFFF"/>
              </w:rPr>
              <w:t xml:space="preserve"> менее</w:t>
            </w:r>
          </w:p>
          <w:p w14:paraId="4B549814" w14:textId="77777777" w:rsidR="000C7098" w:rsidRPr="00062B4F" w:rsidRDefault="000C7098" w:rsidP="0049514D">
            <w:pPr>
              <w:spacing w:line="240" w:lineRule="auto"/>
              <w:ind w:firstLine="0"/>
              <w:jc w:val="center"/>
              <w:rPr>
                <w:szCs w:val="24"/>
              </w:rPr>
            </w:pPr>
            <w:r w:rsidRPr="00062B4F">
              <w:rPr>
                <w:szCs w:val="24"/>
                <w:shd w:val="clear" w:color="auto" w:fill="FFFFFF"/>
              </w:rPr>
              <w:t>24 часов</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75B1C0C" w14:textId="77777777" w:rsidR="000C7098" w:rsidRPr="00062B4F" w:rsidRDefault="000C7098" w:rsidP="009D2E3F">
            <w:pPr>
              <w:spacing w:line="240" w:lineRule="auto"/>
              <w:ind w:firstLine="0"/>
              <w:jc w:val="center"/>
              <w:rPr>
                <w:szCs w:val="24"/>
                <w:shd w:val="clear" w:color="auto" w:fill="FFFFFF"/>
              </w:rPr>
            </w:pPr>
            <w:r w:rsidRPr="00062B4F">
              <w:rPr>
                <w:szCs w:val="24"/>
                <w:shd w:val="clear" w:color="auto" w:fill="FFFFFF"/>
              </w:rPr>
              <w:t xml:space="preserve">&gt;40,0 </w:t>
            </w:r>
            <w:proofErr w:type="spellStart"/>
            <w:r w:rsidRPr="00062B4F">
              <w:rPr>
                <w:szCs w:val="24"/>
                <w:shd w:val="clear" w:color="auto" w:fill="FFFFFF"/>
                <w:vertAlign w:val="superscript"/>
              </w:rPr>
              <w:t>о</w:t>
            </w:r>
            <w:r w:rsidRPr="00062B4F">
              <w:rPr>
                <w:szCs w:val="24"/>
                <w:shd w:val="clear" w:color="auto" w:fill="FFFFFF"/>
              </w:rPr>
              <w:t>С</w:t>
            </w:r>
            <w:proofErr w:type="spellEnd"/>
            <w:r w:rsidRPr="00062B4F">
              <w:rPr>
                <w:szCs w:val="24"/>
                <w:shd w:val="clear" w:color="auto" w:fill="FFFFFF"/>
              </w:rPr>
              <w:t xml:space="preserve"> </w:t>
            </w:r>
            <w:proofErr w:type="spellStart"/>
            <w:proofErr w:type="gramStart"/>
            <w:r w:rsidRPr="00062B4F">
              <w:rPr>
                <w:szCs w:val="24"/>
                <w:shd w:val="clear" w:color="auto" w:fill="FFFFFF"/>
              </w:rPr>
              <w:t>продолжитель-ностью</w:t>
            </w:r>
            <w:proofErr w:type="spellEnd"/>
            <w:proofErr w:type="gramEnd"/>
            <w:r w:rsidRPr="00062B4F">
              <w:rPr>
                <w:szCs w:val="24"/>
                <w:shd w:val="clear" w:color="auto" w:fill="FFFFFF"/>
              </w:rPr>
              <w:t xml:space="preserve"> более</w:t>
            </w:r>
          </w:p>
          <w:p w14:paraId="4D4FB799"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 24 часов</w:t>
            </w:r>
          </w:p>
        </w:tc>
      </w:tr>
      <w:tr w:rsidR="000C7098" w:rsidRPr="00062B4F" w14:paraId="011D5D0B"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F1866BB" w14:textId="77777777" w:rsidR="000C7098" w:rsidRPr="00062B4F" w:rsidRDefault="000C7098" w:rsidP="005F1DDA">
            <w:pPr>
              <w:spacing w:line="240" w:lineRule="auto"/>
              <w:ind w:firstLine="0"/>
              <w:rPr>
                <w:szCs w:val="24"/>
              </w:rPr>
            </w:pPr>
            <w:proofErr w:type="spellStart"/>
            <w:proofErr w:type="gramStart"/>
            <w:r w:rsidRPr="00062B4F">
              <w:rPr>
                <w:szCs w:val="24"/>
                <w:shd w:val="clear" w:color="auto" w:fill="FFFFFF"/>
              </w:rPr>
              <w:lastRenderedPageBreak/>
              <w:t>Увеличе-ние</w:t>
            </w:r>
            <w:proofErr w:type="spellEnd"/>
            <w:proofErr w:type="gramEnd"/>
            <w:r w:rsidRPr="00062B4F">
              <w:rPr>
                <w:szCs w:val="24"/>
                <w:shd w:val="clear" w:color="auto" w:fill="FFFFFF"/>
              </w:rPr>
              <w:t xml:space="preserve"> массы тела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629F69D" w14:textId="77777777" w:rsidR="000C7098" w:rsidRPr="00062B4F" w:rsidRDefault="000C7098" w:rsidP="001E2BDC">
            <w:pPr>
              <w:spacing w:line="240" w:lineRule="auto"/>
              <w:ind w:firstLine="0"/>
              <w:jc w:val="center"/>
              <w:rPr>
                <w:szCs w:val="24"/>
              </w:rPr>
            </w:pPr>
            <w:r w:rsidRPr="00062B4F">
              <w:rPr>
                <w:szCs w:val="24"/>
                <w:shd w:val="clear" w:color="auto" w:fill="FFFFFF"/>
              </w:rPr>
              <w:t>5–10 % от исходной массы</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2E6C757" w14:textId="77777777" w:rsidR="000C7098" w:rsidRPr="00062B4F" w:rsidRDefault="000C7098" w:rsidP="001E2BDC">
            <w:pPr>
              <w:spacing w:line="240" w:lineRule="auto"/>
              <w:ind w:firstLine="0"/>
              <w:jc w:val="center"/>
              <w:rPr>
                <w:szCs w:val="24"/>
              </w:rPr>
            </w:pPr>
            <w:r w:rsidRPr="00062B4F">
              <w:rPr>
                <w:szCs w:val="24"/>
                <w:shd w:val="clear" w:color="auto" w:fill="FFFFFF"/>
              </w:rPr>
              <w:t>10–20 % от исходной массы</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A7A3A6E" w14:textId="77777777" w:rsidR="000C7098" w:rsidRPr="00062B4F" w:rsidRDefault="000C7098" w:rsidP="001E2BDC">
            <w:pPr>
              <w:spacing w:line="240" w:lineRule="auto"/>
              <w:ind w:firstLine="0"/>
              <w:jc w:val="center"/>
              <w:rPr>
                <w:szCs w:val="24"/>
              </w:rPr>
            </w:pPr>
            <w:r w:rsidRPr="00062B4F">
              <w:rPr>
                <w:szCs w:val="24"/>
                <w:shd w:val="clear" w:color="auto" w:fill="FFFFFF"/>
              </w:rPr>
              <w:t>≥20% от исходной массы</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3E208865"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16CFA2FF" w14:textId="77777777">
        <w:trPr>
          <w:cantSplit/>
          <w:trHeight w:val="161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E871402" w14:textId="77777777" w:rsidR="000C7098" w:rsidRPr="00062B4F" w:rsidRDefault="000C7098" w:rsidP="005F1DDA">
            <w:pPr>
              <w:spacing w:line="240" w:lineRule="auto"/>
              <w:ind w:firstLine="0"/>
              <w:rPr>
                <w:szCs w:val="24"/>
              </w:rPr>
            </w:pPr>
            <w:r w:rsidRPr="00062B4F">
              <w:rPr>
                <w:szCs w:val="24"/>
                <w:shd w:val="clear" w:color="auto" w:fill="FFFFFF"/>
              </w:rPr>
              <w:t>Потеря массы тела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F178696" w14:textId="77777777" w:rsidR="000C7098" w:rsidRPr="00062B4F" w:rsidRDefault="000C7098" w:rsidP="008A3ECC">
            <w:pPr>
              <w:spacing w:line="240" w:lineRule="auto"/>
              <w:ind w:firstLine="0"/>
              <w:jc w:val="center"/>
              <w:rPr>
                <w:szCs w:val="24"/>
              </w:rPr>
            </w:pPr>
            <w:r w:rsidRPr="00062B4F">
              <w:rPr>
                <w:szCs w:val="24"/>
                <w:shd w:val="clear" w:color="auto" w:fill="FFFFFF"/>
              </w:rPr>
              <w:t>5–10 % от исходной массы, вмешательство не требуется</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4932972" w14:textId="77777777" w:rsidR="000C7098" w:rsidRPr="00062B4F" w:rsidRDefault="000C7098" w:rsidP="004574FE">
            <w:pPr>
              <w:spacing w:line="240" w:lineRule="auto"/>
              <w:ind w:firstLine="0"/>
              <w:jc w:val="center"/>
              <w:rPr>
                <w:szCs w:val="24"/>
              </w:rPr>
            </w:pPr>
            <w:r w:rsidRPr="00062B4F">
              <w:rPr>
                <w:szCs w:val="24"/>
                <w:shd w:val="clear" w:color="auto" w:fill="FFFFFF"/>
              </w:rPr>
              <w:t xml:space="preserve">10–20 % от исходной массы, необходима </w:t>
            </w:r>
            <w:proofErr w:type="spellStart"/>
            <w:r w:rsidRPr="00062B4F">
              <w:rPr>
                <w:szCs w:val="24"/>
                <w:shd w:val="clear" w:color="auto" w:fill="FFFFFF"/>
              </w:rPr>
              <w:t>нутриционная</w:t>
            </w:r>
            <w:proofErr w:type="spellEnd"/>
            <w:r w:rsidRPr="00062B4F">
              <w:rPr>
                <w:szCs w:val="24"/>
                <w:shd w:val="clear" w:color="auto" w:fill="FFFFFF"/>
              </w:rPr>
              <w:t xml:space="preserve"> поддержка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CA9C51E" w14:textId="77777777" w:rsidR="000C7098" w:rsidRPr="00062B4F" w:rsidRDefault="000C7098" w:rsidP="004574FE">
            <w:pPr>
              <w:spacing w:line="240" w:lineRule="auto"/>
              <w:ind w:firstLine="0"/>
              <w:jc w:val="center"/>
              <w:rPr>
                <w:szCs w:val="24"/>
              </w:rPr>
            </w:pPr>
            <w:r w:rsidRPr="00062B4F">
              <w:rPr>
                <w:szCs w:val="24"/>
                <w:shd w:val="clear" w:color="auto" w:fill="FFFFFF"/>
              </w:rPr>
              <w:t>≥20% от исходной массы, необходимо зондовое или парентеральное питание</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77FBED68"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2119AE1A" w14:textId="77777777">
        <w:trPr>
          <w:cantSplit/>
          <w:trHeight w:val="551"/>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36ACDFFD" w14:textId="77777777" w:rsidR="000C7098" w:rsidRPr="00062B4F" w:rsidRDefault="000C7098" w:rsidP="009D2E3F">
            <w:pPr>
              <w:spacing w:line="240" w:lineRule="auto"/>
              <w:ind w:firstLine="0"/>
              <w:jc w:val="center"/>
              <w:rPr>
                <w:szCs w:val="24"/>
              </w:rPr>
            </w:pPr>
            <w:r w:rsidRPr="00062B4F">
              <w:rPr>
                <w:szCs w:val="24"/>
                <w:shd w:val="clear" w:color="auto" w:fill="FFFFFF"/>
              </w:rPr>
              <w:t>КАРДИОВАСКУЛЯРНАЯ ТОКСИЧНОСТЬ</w:t>
            </w:r>
          </w:p>
        </w:tc>
      </w:tr>
      <w:tr w:rsidR="000C7098" w:rsidRPr="00062B4F" w14:paraId="7BABC27D" w14:textId="77777777">
        <w:trPr>
          <w:cantSplit/>
          <w:trHeight w:val="7451"/>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7138CFF8" w14:textId="77777777" w:rsidR="000C7098" w:rsidRPr="00062B4F" w:rsidRDefault="000C7098" w:rsidP="009D2E3F">
            <w:pPr>
              <w:spacing w:line="240" w:lineRule="auto"/>
              <w:ind w:firstLine="0"/>
              <w:rPr>
                <w:szCs w:val="24"/>
              </w:rPr>
            </w:pPr>
            <w:proofErr w:type="spellStart"/>
            <w:proofErr w:type="gramStart"/>
            <w:r w:rsidRPr="00062B4F">
              <w:rPr>
                <w:szCs w:val="24"/>
                <w:shd w:val="clear" w:color="auto" w:fill="FFFFFF"/>
              </w:rPr>
              <w:t>Гипертен-зия</w:t>
            </w:r>
            <w:proofErr w:type="spellEnd"/>
            <w:proofErr w:type="gramEnd"/>
          </w:p>
          <w:p w14:paraId="2B8F4399" w14:textId="77777777" w:rsidR="000C7098" w:rsidRPr="00062B4F" w:rsidRDefault="000C7098" w:rsidP="009D2E3F">
            <w:pPr>
              <w:spacing w:line="240" w:lineRule="auto"/>
              <w:ind w:firstLine="0"/>
              <w:rPr>
                <w:szCs w:val="24"/>
                <w:shd w:val="clear" w:color="auto" w:fill="FFFFFF"/>
              </w:rPr>
            </w:pPr>
          </w:p>
          <w:p w14:paraId="32210AA4" w14:textId="77777777" w:rsidR="000C7098" w:rsidRPr="00062B4F" w:rsidRDefault="000C7098" w:rsidP="009D2E3F">
            <w:pPr>
              <w:spacing w:line="240" w:lineRule="auto"/>
              <w:ind w:firstLine="0"/>
              <w:rPr>
                <w:szCs w:val="24"/>
                <w:shd w:val="clear" w:color="auto" w:fill="FFFFFF"/>
              </w:rPr>
            </w:pPr>
          </w:p>
          <w:p w14:paraId="38A2090D" w14:textId="77777777" w:rsidR="000C7098" w:rsidRPr="00062B4F" w:rsidRDefault="000C7098" w:rsidP="009D2E3F">
            <w:pPr>
              <w:spacing w:line="240" w:lineRule="auto"/>
              <w:ind w:firstLine="0"/>
              <w:rPr>
                <w:szCs w:val="24"/>
                <w:shd w:val="clear" w:color="auto" w:fill="FFFFFF"/>
              </w:rPr>
            </w:pPr>
          </w:p>
          <w:p w14:paraId="3B41F889" w14:textId="77777777" w:rsidR="000C7098" w:rsidRPr="00062B4F" w:rsidRDefault="000C7098" w:rsidP="009D2E3F">
            <w:pPr>
              <w:spacing w:line="240" w:lineRule="auto"/>
              <w:ind w:firstLine="0"/>
              <w:rPr>
                <w:szCs w:val="24"/>
                <w:shd w:val="clear" w:color="auto" w:fill="FFFFFF"/>
              </w:rPr>
            </w:pPr>
          </w:p>
          <w:p w14:paraId="6CE87E2D" w14:textId="77777777" w:rsidR="000C7098" w:rsidRPr="00062B4F" w:rsidRDefault="000C7098" w:rsidP="009D2E3F">
            <w:pPr>
              <w:spacing w:line="240" w:lineRule="auto"/>
              <w:ind w:firstLine="0"/>
              <w:rPr>
                <w:szCs w:val="24"/>
                <w:shd w:val="clear" w:color="auto" w:fill="FFFFFF"/>
              </w:rPr>
            </w:pPr>
          </w:p>
          <w:p w14:paraId="2E3D7F75" w14:textId="77777777" w:rsidR="000C7098" w:rsidRPr="00062B4F" w:rsidRDefault="000C7098" w:rsidP="009D2E3F">
            <w:pPr>
              <w:spacing w:line="240" w:lineRule="auto"/>
              <w:rPr>
                <w:szCs w:val="24"/>
              </w:rPr>
            </w:pP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084F6FC4" w14:textId="77777777" w:rsidR="000C7098" w:rsidRPr="00062B4F" w:rsidRDefault="000C7098" w:rsidP="00016C54">
            <w:pPr>
              <w:spacing w:line="240" w:lineRule="auto"/>
              <w:ind w:firstLine="0"/>
              <w:jc w:val="center"/>
              <w:rPr>
                <w:szCs w:val="24"/>
              </w:rPr>
            </w:pPr>
            <w:proofErr w:type="spellStart"/>
            <w:r w:rsidRPr="00062B4F">
              <w:rPr>
                <w:szCs w:val="24"/>
                <w:shd w:val="clear" w:color="auto" w:fill="FFFFFF"/>
              </w:rPr>
              <w:t>Прегипертензия</w:t>
            </w:r>
            <w:proofErr w:type="spellEnd"/>
            <w:r w:rsidRPr="00062B4F">
              <w:rPr>
                <w:szCs w:val="24"/>
                <w:shd w:val="clear" w:color="auto" w:fill="FFFFFF"/>
              </w:rPr>
              <w:t xml:space="preserve"> (систолическое АД 120–139 мм рт. ст. или диастолическое АД 80–89 мм </w:t>
            </w:r>
            <w:r w:rsidRPr="00062B4F">
              <w:rPr>
                <w:szCs w:val="24"/>
                <w:shd w:val="clear" w:color="auto" w:fill="FFFFFF"/>
              </w:rPr>
              <w:br/>
              <w:t>рт. ст.)</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A7F77E2" w14:textId="77777777" w:rsidR="000C7098" w:rsidRPr="00062B4F" w:rsidRDefault="000C7098" w:rsidP="00016C54">
            <w:pPr>
              <w:spacing w:line="240" w:lineRule="auto"/>
              <w:ind w:firstLine="0"/>
              <w:jc w:val="center"/>
              <w:rPr>
                <w:szCs w:val="24"/>
              </w:rPr>
            </w:pPr>
            <w:r w:rsidRPr="00062B4F">
              <w:rPr>
                <w:szCs w:val="24"/>
                <w:shd w:val="clear" w:color="auto" w:fill="FFFFFF"/>
              </w:rPr>
              <w:t xml:space="preserve">Артериальная гипертензия </w:t>
            </w:r>
            <w:r w:rsidRPr="00062B4F">
              <w:rPr>
                <w:szCs w:val="24"/>
                <w:shd w:val="clear" w:color="auto" w:fill="FFFFFF"/>
                <w:lang w:val="en-US"/>
              </w:rPr>
              <w:t>I</w:t>
            </w:r>
            <w:r w:rsidRPr="00062B4F">
              <w:rPr>
                <w:szCs w:val="24"/>
                <w:shd w:val="clear" w:color="auto" w:fill="FFFFFF"/>
              </w:rPr>
              <w:t xml:space="preserve"> степени (систолическое АД 140–159 мм. рт. ст. или диастолическое АД 90–99 мм рт. ст.); необходимо </w:t>
            </w:r>
            <w:proofErr w:type="spellStart"/>
            <w:proofErr w:type="gramStart"/>
            <w:r w:rsidRPr="00062B4F">
              <w:rPr>
                <w:szCs w:val="24"/>
                <w:shd w:val="clear" w:color="auto" w:fill="FFFFFF"/>
              </w:rPr>
              <w:t>медикаментоз-ное</w:t>
            </w:r>
            <w:proofErr w:type="spellEnd"/>
            <w:proofErr w:type="gramEnd"/>
            <w:r w:rsidRPr="00062B4F">
              <w:rPr>
                <w:szCs w:val="24"/>
                <w:shd w:val="clear" w:color="auto" w:fill="FFFFFF"/>
              </w:rPr>
              <w:t xml:space="preserve"> воздействие; рецидивирую-</w:t>
            </w:r>
            <w:proofErr w:type="spellStart"/>
            <w:r w:rsidRPr="00062B4F">
              <w:rPr>
                <w:szCs w:val="24"/>
                <w:shd w:val="clear" w:color="auto" w:fill="FFFFFF"/>
              </w:rPr>
              <w:t>щее</w:t>
            </w:r>
            <w:proofErr w:type="spellEnd"/>
            <w:r w:rsidRPr="00062B4F">
              <w:rPr>
                <w:szCs w:val="24"/>
                <w:shd w:val="clear" w:color="auto" w:fill="FFFFFF"/>
              </w:rPr>
              <w:t xml:space="preserve"> или постоянное (более 24 ч); </w:t>
            </w:r>
            <w:proofErr w:type="spellStart"/>
            <w:r w:rsidRPr="00062B4F">
              <w:rPr>
                <w:szCs w:val="24"/>
                <w:shd w:val="clear" w:color="auto" w:fill="FFFFFF"/>
              </w:rPr>
              <w:t>симптоматичес</w:t>
            </w:r>
            <w:proofErr w:type="spellEnd"/>
            <w:r w:rsidRPr="00062B4F">
              <w:rPr>
                <w:szCs w:val="24"/>
                <w:shd w:val="clear" w:color="auto" w:fill="FFFFFF"/>
              </w:rPr>
              <w:t>-кий подъем</w:t>
            </w:r>
            <w:r w:rsidRPr="00062B4F">
              <w:rPr>
                <w:szCs w:val="24"/>
              </w:rPr>
              <w:t xml:space="preserve"> диастолического</w:t>
            </w:r>
            <w:r w:rsidRPr="00062B4F">
              <w:rPr>
                <w:szCs w:val="24"/>
                <w:shd w:val="clear" w:color="auto" w:fill="FFFFFF"/>
              </w:rPr>
              <w:t xml:space="preserve"> давления свыше 20 мм рт. ст. или более 140/90 мм рт. ст., если ранее было в пределах нормы; требует </w:t>
            </w:r>
            <w:proofErr w:type="spellStart"/>
            <w:r w:rsidRPr="00062B4F">
              <w:rPr>
                <w:szCs w:val="24"/>
                <w:shd w:val="clear" w:color="auto" w:fill="FFFFFF"/>
              </w:rPr>
              <w:t>монотерапии</w:t>
            </w:r>
            <w:proofErr w:type="spellEnd"/>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37271675" w14:textId="77777777" w:rsidR="000C7098" w:rsidRPr="00062B4F" w:rsidRDefault="000C7098" w:rsidP="00111E63">
            <w:pPr>
              <w:spacing w:line="240" w:lineRule="auto"/>
              <w:ind w:firstLine="0"/>
              <w:jc w:val="center"/>
              <w:rPr>
                <w:szCs w:val="24"/>
              </w:rPr>
            </w:pPr>
            <w:r w:rsidRPr="00062B4F">
              <w:rPr>
                <w:szCs w:val="24"/>
                <w:shd w:val="clear" w:color="auto" w:fill="FFFFFF"/>
              </w:rPr>
              <w:t>Артериальная гипертензия</w:t>
            </w:r>
            <w:r w:rsidRPr="00062B4F">
              <w:rPr>
                <w:szCs w:val="24"/>
                <w:shd w:val="clear" w:color="auto" w:fill="FFFFFF"/>
              </w:rPr>
              <w:br/>
            </w:r>
            <w:r w:rsidRPr="00062B4F">
              <w:rPr>
                <w:szCs w:val="24"/>
                <w:shd w:val="clear" w:color="auto" w:fill="FFFFFF"/>
                <w:lang w:val="en-US"/>
              </w:rPr>
              <w:t>II</w:t>
            </w:r>
            <w:r w:rsidRPr="00062B4F">
              <w:rPr>
                <w:szCs w:val="24"/>
                <w:shd w:val="clear" w:color="auto" w:fill="FFFFFF"/>
              </w:rPr>
              <w:t xml:space="preserve"> степени (систолическое АД более 160 мм рт. ст. или диастолическое АД более 100 мм рт. ст.); необходимо медикаментозное воздействие; необходимо более одного лекарственного </w:t>
            </w:r>
          </w:p>
          <w:p w14:paraId="71955BEB" w14:textId="77777777" w:rsidR="000C7098" w:rsidRPr="00062B4F" w:rsidRDefault="000C7098" w:rsidP="009D2E3F">
            <w:pPr>
              <w:spacing w:line="240" w:lineRule="auto"/>
              <w:jc w:val="center"/>
              <w:rPr>
                <w:szCs w:val="24"/>
              </w:rPr>
            </w:pPr>
            <w:r w:rsidRPr="00062B4F">
              <w:rPr>
                <w:szCs w:val="24"/>
                <w:shd w:val="clear" w:color="auto" w:fill="FFFFFF"/>
              </w:rPr>
              <w:t>препарата или более интенсивная терапия чем ранее</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09F44946" w14:textId="77777777" w:rsidR="000C7098" w:rsidRPr="00062B4F" w:rsidRDefault="000C7098" w:rsidP="00BA2186">
            <w:pPr>
              <w:spacing w:line="240" w:lineRule="auto"/>
              <w:ind w:firstLine="0"/>
              <w:jc w:val="center"/>
              <w:rPr>
                <w:szCs w:val="24"/>
              </w:rPr>
            </w:pPr>
            <w:proofErr w:type="spellStart"/>
            <w:r w:rsidRPr="00062B4F">
              <w:rPr>
                <w:szCs w:val="24"/>
                <w:shd w:val="clear" w:color="auto" w:fill="FFFFFF"/>
              </w:rPr>
              <w:t>Жизнеугрожаю-щие</w:t>
            </w:r>
            <w:proofErr w:type="spellEnd"/>
            <w:r w:rsidRPr="00062B4F">
              <w:rPr>
                <w:szCs w:val="24"/>
                <w:shd w:val="clear" w:color="auto" w:fill="FFFFFF"/>
              </w:rPr>
              <w:t xml:space="preserve"> осложнения (</w:t>
            </w:r>
            <w:proofErr w:type="gramStart"/>
            <w:r w:rsidRPr="00062B4F">
              <w:rPr>
                <w:szCs w:val="24"/>
                <w:shd w:val="clear" w:color="auto" w:fill="FFFFFF"/>
              </w:rPr>
              <w:t>злокачествен-</w:t>
            </w:r>
            <w:proofErr w:type="spellStart"/>
            <w:r w:rsidRPr="00062B4F">
              <w:rPr>
                <w:szCs w:val="24"/>
                <w:shd w:val="clear" w:color="auto" w:fill="FFFFFF"/>
              </w:rPr>
              <w:t>ная</w:t>
            </w:r>
            <w:proofErr w:type="spellEnd"/>
            <w:proofErr w:type="gramEnd"/>
            <w:r w:rsidRPr="00062B4F">
              <w:rPr>
                <w:szCs w:val="24"/>
                <w:shd w:val="clear" w:color="auto" w:fill="FFFFFF"/>
              </w:rPr>
              <w:t xml:space="preserve"> гипертензия, преходящие или постоянный неврологический дефицит, </w:t>
            </w:r>
            <w:proofErr w:type="spellStart"/>
            <w:r w:rsidRPr="00062B4F">
              <w:rPr>
                <w:szCs w:val="24"/>
                <w:shd w:val="clear" w:color="auto" w:fill="FFFFFF"/>
              </w:rPr>
              <w:t>гипертоничес</w:t>
            </w:r>
            <w:proofErr w:type="spellEnd"/>
            <w:r w:rsidRPr="00062B4F">
              <w:rPr>
                <w:szCs w:val="24"/>
                <w:shd w:val="clear" w:color="auto" w:fill="FFFFFF"/>
              </w:rPr>
              <w:t>-кий криз), необходима неотложная терапия</w:t>
            </w:r>
          </w:p>
        </w:tc>
      </w:tr>
      <w:tr w:rsidR="000C7098" w:rsidRPr="00062B4F" w14:paraId="534025CF" w14:textId="77777777">
        <w:trPr>
          <w:cantSplit/>
          <w:trHeight w:val="600"/>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751413B" w14:textId="77777777" w:rsidR="000C7098" w:rsidRPr="00062B4F" w:rsidRDefault="000C7098" w:rsidP="009D2E3F">
            <w:pPr>
              <w:spacing w:line="240" w:lineRule="auto"/>
              <w:ind w:firstLine="0"/>
              <w:jc w:val="center"/>
              <w:rPr>
                <w:szCs w:val="24"/>
                <w:shd w:val="clear" w:color="auto" w:fill="FFFFFF"/>
              </w:rPr>
            </w:pPr>
            <w:r w:rsidRPr="00062B4F">
              <w:rPr>
                <w:szCs w:val="24"/>
                <w:shd w:val="clear" w:color="auto" w:fill="FFFFFF"/>
              </w:rPr>
              <w:t>ДЕРМАТОЛОГИЧЕСКАЯ ТОКСИЧНОСТЬ / КОЖНЫЕ ПОКРОВЫ</w:t>
            </w:r>
          </w:p>
        </w:tc>
      </w:tr>
      <w:tr w:rsidR="000C7098" w:rsidRPr="00062B4F" w14:paraId="0A53307E"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EF76AF0" w14:textId="77777777" w:rsidR="000C7098" w:rsidRPr="00062B4F" w:rsidRDefault="000C7098" w:rsidP="009D2E3F">
            <w:pPr>
              <w:spacing w:line="240" w:lineRule="auto"/>
              <w:ind w:firstLine="0"/>
              <w:rPr>
                <w:szCs w:val="24"/>
              </w:rPr>
            </w:pPr>
            <w:proofErr w:type="spellStart"/>
            <w:r w:rsidRPr="00062B4F">
              <w:rPr>
                <w:szCs w:val="24"/>
                <w:shd w:val="clear" w:color="auto" w:fill="FFFFFF"/>
              </w:rPr>
              <w:lastRenderedPageBreak/>
              <w:t>Алопеция</w:t>
            </w:r>
            <w:proofErr w:type="spellEnd"/>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4CE52E0" w14:textId="77777777" w:rsidR="000C7098" w:rsidRPr="00062B4F" w:rsidRDefault="000C7098" w:rsidP="009D2E3F">
            <w:pPr>
              <w:spacing w:line="240" w:lineRule="auto"/>
              <w:ind w:firstLine="0"/>
              <w:jc w:val="center"/>
              <w:rPr>
                <w:szCs w:val="24"/>
                <w:shd w:val="clear" w:color="auto" w:fill="FFFFFF"/>
              </w:rPr>
            </w:pPr>
            <w:r w:rsidRPr="00062B4F">
              <w:rPr>
                <w:szCs w:val="24"/>
                <w:shd w:val="clear" w:color="auto" w:fill="FFFFFF"/>
              </w:rPr>
              <w:t>Потеря волос</w:t>
            </w:r>
          </w:p>
          <w:p w14:paraId="0A4E457A" w14:textId="77777777" w:rsidR="000C7098" w:rsidRPr="00062B4F" w:rsidRDefault="000C7098" w:rsidP="00BA2186">
            <w:pPr>
              <w:spacing w:line="240" w:lineRule="auto"/>
              <w:ind w:firstLine="0"/>
              <w:jc w:val="center"/>
              <w:rPr>
                <w:szCs w:val="24"/>
              </w:rPr>
            </w:pPr>
            <w:r w:rsidRPr="00062B4F">
              <w:rPr>
                <w:szCs w:val="24"/>
                <w:shd w:val="clear" w:color="auto" w:fill="FFFFFF"/>
              </w:rPr>
              <w:t>до 50 % от нормального количества незаметное на расстоянии, возможно скрыть с помощью прически, шиньона или парика</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7CC1496"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Потеря волос более 50 % от нормального количества, заметное для окружающих, необходим шиньон или парик, связанная с </w:t>
            </w:r>
            <w:proofErr w:type="spellStart"/>
            <w:proofErr w:type="gramStart"/>
            <w:r w:rsidRPr="00062B4F">
              <w:rPr>
                <w:szCs w:val="24"/>
                <w:shd w:val="clear" w:color="auto" w:fill="FFFFFF"/>
              </w:rPr>
              <w:t>психосоциаль-ным</w:t>
            </w:r>
            <w:proofErr w:type="spellEnd"/>
            <w:proofErr w:type="gramEnd"/>
            <w:r w:rsidRPr="00062B4F">
              <w:rPr>
                <w:szCs w:val="24"/>
                <w:shd w:val="clear" w:color="auto" w:fill="FFFFFF"/>
              </w:rPr>
              <w:t xml:space="preserve"> диском-фортом</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B3EB254"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5F4C39D3"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7386398E"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4780746" w14:textId="77777777" w:rsidR="000C7098" w:rsidRPr="00062B4F" w:rsidRDefault="000C7098" w:rsidP="009D2E3F">
            <w:pPr>
              <w:spacing w:line="240" w:lineRule="auto"/>
              <w:ind w:firstLine="0"/>
              <w:rPr>
                <w:szCs w:val="24"/>
              </w:rPr>
            </w:pPr>
            <w:r w:rsidRPr="00062B4F">
              <w:rPr>
                <w:szCs w:val="24"/>
                <w:shd w:val="clear" w:color="auto" w:fill="FFFFFF"/>
              </w:rPr>
              <w:t>Сухость кожи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BBBD66D" w14:textId="77777777" w:rsidR="000C7098" w:rsidRPr="00062B4F" w:rsidRDefault="000C7098" w:rsidP="009D2E3F">
            <w:pPr>
              <w:spacing w:line="240" w:lineRule="auto"/>
              <w:ind w:firstLine="0"/>
              <w:jc w:val="center"/>
              <w:rPr>
                <w:szCs w:val="24"/>
              </w:rPr>
            </w:pPr>
            <w:r w:rsidRPr="00062B4F">
              <w:rPr>
                <w:szCs w:val="24"/>
                <w:shd w:val="clear" w:color="auto" w:fill="FFFFFF"/>
              </w:rPr>
              <w:t>Менее 10 % поверхности тела, не связано с эритемой или зудом</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01E172B" w14:textId="77777777" w:rsidR="000C7098" w:rsidRPr="00062B4F" w:rsidRDefault="000C7098" w:rsidP="009D2E3F">
            <w:pPr>
              <w:spacing w:line="240" w:lineRule="auto"/>
              <w:ind w:firstLine="0"/>
              <w:jc w:val="center"/>
              <w:rPr>
                <w:szCs w:val="24"/>
                <w:shd w:val="clear" w:color="auto" w:fill="FFFFFF"/>
              </w:rPr>
            </w:pPr>
            <w:r w:rsidRPr="00062B4F">
              <w:rPr>
                <w:szCs w:val="24"/>
                <w:shd w:val="clear" w:color="auto" w:fill="FFFFFF"/>
              </w:rPr>
              <w:t>Покрывает</w:t>
            </w:r>
          </w:p>
          <w:p w14:paraId="4D6BCB53" w14:textId="77777777" w:rsidR="000C7098" w:rsidRPr="00062B4F" w:rsidRDefault="000C7098" w:rsidP="00BA2186">
            <w:pPr>
              <w:spacing w:line="240" w:lineRule="auto"/>
              <w:ind w:firstLine="0"/>
              <w:jc w:val="center"/>
              <w:rPr>
                <w:szCs w:val="24"/>
              </w:rPr>
            </w:pPr>
            <w:r w:rsidRPr="00062B4F">
              <w:rPr>
                <w:szCs w:val="24"/>
                <w:shd w:val="clear" w:color="auto" w:fill="FFFFFF"/>
              </w:rPr>
              <w:t xml:space="preserve">10–30 % </w:t>
            </w:r>
            <w:proofErr w:type="gramStart"/>
            <w:r w:rsidRPr="00062B4F">
              <w:rPr>
                <w:szCs w:val="24"/>
                <w:shd w:val="clear" w:color="auto" w:fill="FFFFFF"/>
              </w:rPr>
              <w:t>поверх-</w:t>
            </w:r>
            <w:proofErr w:type="spellStart"/>
            <w:r w:rsidRPr="00062B4F">
              <w:rPr>
                <w:szCs w:val="24"/>
                <w:shd w:val="clear" w:color="auto" w:fill="FFFFFF"/>
              </w:rPr>
              <w:t>ности</w:t>
            </w:r>
            <w:proofErr w:type="spellEnd"/>
            <w:proofErr w:type="gramEnd"/>
            <w:r w:rsidRPr="00062B4F">
              <w:rPr>
                <w:szCs w:val="24"/>
                <w:shd w:val="clear" w:color="auto" w:fill="FFFFFF"/>
              </w:rPr>
              <w:t xml:space="preserve"> тела и </w:t>
            </w:r>
            <w:proofErr w:type="spellStart"/>
            <w:r w:rsidRPr="00062B4F">
              <w:rPr>
                <w:szCs w:val="24"/>
                <w:shd w:val="clear" w:color="auto" w:fill="FFFFFF"/>
              </w:rPr>
              <w:t>свя-зано</w:t>
            </w:r>
            <w:proofErr w:type="spellEnd"/>
            <w:r w:rsidRPr="00062B4F">
              <w:rPr>
                <w:szCs w:val="24"/>
                <w:shd w:val="clear" w:color="auto" w:fill="FFFFFF"/>
              </w:rPr>
              <w:t xml:space="preserve"> с эритемой или зудом, ограничивает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B640EFC" w14:textId="77777777" w:rsidR="000C7098" w:rsidRPr="00062B4F" w:rsidRDefault="000C7098" w:rsidP="00BA2186">
            <w:pPr>
              <w:spacing w:line="240" w:lineRule="auto"/>
              <w:ind w:firstLine="0"/>
              <w:jc w:val="center"/>
              <w:rPr>
                <w:szCs w:val="24"/>
              </w:rPr>
            </w:pPr>
            <w:r w:rsidRPr="00062B4F">
              <w:rPr>
                <w:szCs w:val="24"/>
                <w:shd w:val="clear" w:color="auto" w:fill="FFFFFF"/>
              </w:rPr>
              <w:t xml:space="preserve">Покрывает более 30 % </w:t>
            </w:r>
            <w:proofErr w:type="gramStart"/>
            <w:r w:rsidRPr="00062B4F">
              <w:rPr>
                <w:szCs w:val="24"/>
                <w:shd w:val="clear" w:color="auto" w:fill="FFFFFF"/>
              </w:rPr>
              <w:t>поверх-</w:t>
            </w:r>
            <w:proofErr w:type="spellStart"/>
            <w:r w:rsidRPr="00062B4F">
              <w:rPr>
                <w:szCs w:val="24"/>
                <w:shd w:val="clear" w:color="auto" w:fill="FFFFFF"/>
              </w:rPr>
              <w:t>ности</w:t>
            </w:r>
            <w:proofErr w:type="spellEnd"/>
            <w:proofErr w:type="gramEnd"/>
            <w:r w:rsidRPr="00062B4F">
              <w:rPr>
                <w:szCs w:val="24"/>
                <w:shd w:val="clear" w:color="auto" w:fill="FFFFFF"/>
              </w:rPr>
              <w:t xml:space="preserve"> тела и связано с </w:t>
            </w:r>
            <w:proofErr w:type="spellStart"/>
            <w:r w:rsidRPr="00062B4F">
              <w:rPr>
                <w:szCs w:val="24"/>
                <w:shd w:val="clear" w:color="auto" w:fill="FFFFFF"/>
              </w:rPr>
              <w:t>зу</w:t>
            </w:r>
            <w:proofErr w:type="spellEnd"/>
            <w:r w:rsidRPr="00062B4F">
              <w:rPr>
                <w:szCs w:val="24"/>
                <w:shd w:val="clear" w:color="auto" w:fill="FFFFFF"/>
              </w:rPr>
              <w:t>-дом, ограни-</w:t>
            </w:r>
            <w:proofErr w:type="spellStart"/>
            <w:r w:rsidRPr="00062B4F">
              <w:rPr>
                <w:szCs w:val="24"/>
                <w:shd w:val="clear" w:color="auto" w:fill="FFFFFF"/>
              </w:rPr>
              <w:t>чивает</w:t>
            </w:r>
            <w:proofErr w:type="spellEnd"/>
            <w:r w:rsidRPr="00062B4F">
              <w:rPr>
                <w:szCs w:val="24"/>
                <w:shd w:val="clear" w:color="auto" w:fill="FFFFFF"/>
              </w:rPr>
              <w:t xml:space="preserve"> </w:t>
            </w:r>
            <w:proofErr w:type="spellStart"/>
            <w:r w:rsidRPr="00062B4F">
              <w:rPr>
                <w:szCs w:val="24"/>
                <w:shd w:val="clear" w:color="auto" w:fill="FFFFFF"/>
              </w:rPr>
              <w:t>повсе</w:t>
            </w:r>
            <w:proofErr w:type="spellEnd"/>
            <w:r w:rsidRPr="00062B4F">
              <w:rPr>
                <w:szCs w:val="24"/>
                <w:shd w:val="clear" w:color="auto" w:fill="FFFFFF"/>
              </w:rPr>
              <w:t>-дневную актив-</w:t>
            </w:r>
            <w:proofErr w:type="spellStart"/>
            <w:r w:rsidRPr="00062B4F">
              <w:rPr>
                <w:szCs w:val="24"/>
                <w:shd w:val="clear" w:color="auto" w:fill="FFFFFF"/>
              </w:rPr>
              <w:t>ность</w:t>
            </w:r>
            <w:proofErr w:type="spellEnd"/>
            <w:r w:rsidRPr="00062B4F">
              <w:rPr>
                <w:szCs w:val="24"/>
                <w:shd w:val="clear" w:color="auto" w:fill="FFFFFF"/>
              </w:rPr>
              <w:t xml:space="preserve"> и способ-</w:t>
            </w:r>
            <w:proofErr w:type="spellStart"/>
            <w:r w:rsidRPr="00062B4F">
              <w:rPr>
                <w:szCs w:val="24"/>
                <w:shd w:val="clear" w:color="auto" w:fill="FFFFFF"/>
              </w:rPr>
              <w:t>ность</w:t>
            </w:r>
            <w:proofErr w:type="spellEnd"/>
            <w:r w:rsidRPr="00062B4F">
              <w:rPr>
                <w:szCs w:val="24"/>
                <w:shd w:val="clear" w:color="auto" w:fill="FFFFFF"/>
              </w:rPr>
              <w:t xml:space="preserve">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89FBF9A"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322CDC32"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F5AE8C7" w14:textId="77777777" w:rsidR="000C7098" w:rsidRPr="00062B4F" w:rsidRDefault="000C7098" w:rsidP="009D2E3F">
            <w:pPr>
              <w:spacing w:line="240" w:lineRule="auto"/>
              <w:ind w:firstLine="0"/>
              <w:rPr>
                <w:szCs w:val="24"/>
              </w:rPr>
            </w:pPr>
            <w:r w:rsidRPr="00062B4F">
              <w:rPr>
                <w:szCs w:val="24"/>
                <w:shd w:val="clear" w:color="auto" w:fill="FFFFFF"/>
              </w:rPr>
              <w:t>Зуд</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DA12595" w14:textId="77777777" w:rsidR="000C7098" w:rsidRPr="00062B4F" w:rsidRDefault="000C7098" w:rsidP="009D2E3F">
            <w:pPr>
              <w:spacing w:line="240" w:lineRule="auto"/>
              <w:ind w:firstLine="0"/>
              <w:jc w:val="center"/>
              <w:rPr>
                <w:szCs w:val="24"/>
              </w:rPr>
            </w:pPr>
            <w:r w:rsidRPr="00062B4F">
              <w:rPr>
                <w:szCs w:val="24"/>
                <w:shd w:val="clear" w:color="auto" w:fill="FFFFFF"/>
              </w:rPr>
              <w:t>Слабый или локализованный зуд, необходима местная терапия</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A2BB8BF"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Интенсивный или разлитой преходящий зуд, следы расчесов (отек, сыпь, ссадины, </w:t>
            </w:r>
            <w:proofErr w:type="spellStart"/>
            <w:r w:rsidRPr="00062B4F">
              <w:rPr>
                <w:szCs w:val="24"/>
                <w:shd w:val="clear" w:color="auto" w:fill="FFFFFF"/>
              </w:rPr>
              <w:t>лихенификация</w:t>
            </w:r>
            <w:proofErr w:type="spellEnd"/>
            <w:r w:rsidRPr="00062B4F">
              <w:rPr>
                <w:szCs w:val="24"/>
                <w:shd w:val="clear" w:color="auto" w:fill="FFFFFF"/>
              </w:rPr>
              <w:t>), необходима системная терапия, ограничивает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A5B3547" w14:textId="77777777" w:rsidR="000C7098" w:rsidRPr="00062B4F" w:rsidRDefault="000C7098" w:rsidP="00BA2186">
            <w:pPr>
              <w:spacing w:line="240" w:lineRule="auto"/>
              <w:ind w:firstLine="0"/>
              <w:jc w:val="center"/>
              <w:rPr>
                <w:szCs w:val="24"/>
              </w:rPr>
            </w:pPr>
            <w:r w:rsidRPr="00062B4F">
              <w:rPr>
                <w:szCs w:val="24"/>
                <w:shd w:val="clear" w:color="auto" w:fill="FFFFFF"/>
              </w:rPr>
              <w:t>Интенсивный или разлитой постоянный ограничивает способность к </w:t>
            </w:r>
            <w:proofErr w:type="spellStart"/>
            <w:proofErr w:type="gramStart"/>
            <w:r w:rsidRPr="00062B4F">
              <w:rPr>
                <w:szCs w:val="24"/>
                <w:shd w:val="clear" w:color="auto" w:fill="FFFFFF"/>
              </w:rPr>
              <w:t>самообслужи-ванию</w:t>
            </w:r>
            <w:proofErr w:type="spellEnd"/>
            <w:proofErr w:type="gramEnd"/>
            <w:r w:rsidRPr="00062B4F">
              <w:rPr>
                <w:szCs w:val="24"/>
                <w:shd w:val="clear" w:color="auto" w:fill="FFFFFF"/>
              </w:rPr>
              <w:t xml:space="preserve"> или сон, необходимы прием </w:t>
            </w:r>
            <w:proofErr w:type="spellStart"/>
            <w:r w:rsidRPr="00062B4F">
              <w:rPr>
                <w:szCs w:val="24"/>
                <w:shd w:val="clear" w:color="auto" w:fill="FFFFFF"/>
              </w:rPr>
              <w:t>кортико</w:t>
            </w:r>
            <w:proofErr w:type="spellEnd"/>
            <w:r w:rsidRPr="00062B4F">
              <w:rPr>
                <w:szCs w:val="24"/>
                <w:shd w:val="clear" w:color="auto" w:fill="FFFFFF"/>
              </w:rPr>
              <w:t xml:space="preserve">-стероидов или </w:t>
            </w:r>
            <w:proofErr w:type="spellStart"/>
            <w:r w:rsidRPr="00062B4F">
              <w:rPr>
                <w:szCs w:val="24"/>
                <w:shd w:val="clear" w:color="auto" w:fill="FFFFFF"/>
              </w:rPr>
              <w:t>иммуносупрес-сивная</w:t>
            </w:r>
            <w:proofErr w:type="spellEnd"/>
            <w:r w:rsidRPr="00062B4F">
              <w:rPr>
                <w:szCs w:val="24"/>
                <w:shd w:val="clear" w:color="auto" w:fill="FFFFFF"/>
              </w:rPr>
              <w:t xml:space="preserve"> терапия</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817BFFC"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086997B8"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E084619" w14:textId="77777777" w:rsidR="000C7098" w:rsidRPr="00062B4F" w:rsidRDefault="000C7098" w:rsidP="009D2E3F">
            <w:pPr>
              <w:spacing w:line="240" w:lineRule="auto"/>
              <w:ind w:firstLine="0"/>
              <w:rPr>
                <w:szCs w:val="24"/>
              </w:rPr>
            </w:pPr>
            <w:r w:rsidRPr="00062B4F">
              <w:rPr>
                <w:szCs w:val="24"/>
                <w:shd w:val="clear" w:color="auto" w:fill="FFFFFF"/>
              </w:rPr>
              <w:lastRenderedPageBreak/>
              <w:t>Пятнисто-папулезная сыпь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E76286B" w14:textId="77777777" w:rsidR="000C7098" w:rsidRPr="00062B4F" w:rsidRDefault="000C7098" w:rsidP="009D2E3F">
            <w:pPr>
              <w:spacing w:line="240" w:lineRule="auto"/>
              <w:ind w:firstLine="0"/>
              <w:jc w:val="center"/>
              <w:rPr>
                <w:szCs w:val="24"/>
              </w:rPr>
            </w:pPr>
            <w:r w:rsidRPr="00062B4F">
              <w:rPr>
                <w:szCs w:val="24"/>
                <w:shd w:val="clear" w:color="auto" w:fill="FFFFFF"/>
              </w:rPr>
              <w:t>Пятнистые или папулезные высыпания, покрывающие менее 10 % поверхности тела с наличием симптомов или без симптомов (зуд, жжение, напряженность)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5F943C0" w14:textId="77777777" w:rsidR="000C7098" w:rsidRPr="00062B4F" w:rsidRDefault="000C7098" w:rsidP="00BA2186">
            <w:pPr>
              <w:spacing w:line="240" w:lineRule="auto"/>
              <w:ind w:firstLine="0"/>
              <w:jc w:val="center"/>
              <w:rPr>
                <w:szCs w:val="24"/>
              </w:rPr>
            </w:pPr>
            <w:r w:rsidRPr="00062B4F">
              <w:rPr>
                <w:szCs w:val="24"/>
                <w:shd w:val="clear" w:color="auto" w:fill="FFFFFF"/>
              </w:rPr>
              <w:t xml:space="preserve">Пятнистые или папулезные высыпания, покрывающие 10–30 % </w:t>
            </w:r>
            <w:proofErr w:type="gramStart"/>
            <w:r w:rsidRPr="00062B4F">
              <w:rPr>
                <w:szCs w:val="24"/>
                <w:shd w:val="clear" w:color="auto" w:fill="FFFFFF"/>
              </w:rPr>
              <w:t>поверх-</w:t>
            </w:r>
            <w:proofErr w:type="spellStart"/>
            <w:r w:rsidRPr="00062B4F">
              <w:rPr>
                <w:szCs w:val="24"/>
                <w:shd w:val="clear" w:color="auto" w:fill="FFFFFF"/>
              </w:rPr>
              <w:t>ности</w:t>
            </w:r>
            <w:proofErr w:type="spellEnd"/>
            <w:proofErr w:type="gramEnd"/>
            <w:r w:rsidRPr="00062B4F">
              <w:rPr>
                <w:szCs w:val="24"/>
                <w:shd w:val="clear" w:color="auto" w:fill="FFFFFF"/>
              </w:rPr>
              <w:t xml:space="preserve"> тела с наличием симптомов или без симптомов (зуд, жжение, напряженность), ограничиваю-</w:t>
            </w:r>
            <w:proofErr w:type="spellStart"/>
            <w:r w:rsidRPr="00062B4F">
              <w:rPr>
                <w:szCs w:val="24"/>
                <w:shd w:val="clear" w:color="auto" w:fill="FFFFFF"/>
              </w:rPr>
              <w:t>щие</w:t>
            </w:r>
            <w:proofErr w:type="spellEnd"/>
            <w:r w:rsidRPr="00062B4F">
              <w:rPr>
                <w:szCs w:val="24"/>
                <w:shd w:val="clear" w:color="auto" w:fill="FFFFFF"/>
              </w:rPr>
              <w:t xml:space="preserve"> </w:t>
            </w:r>
            <w:proofErr w:type="spellStart"/>
            <w:r w:rsidRPr="00062B4F">
              <w:rPr>
                <w:szCs w:val="24"/>
                <w:shd w:val="clear" w:color="auto" w:fill="FFFFFF"/>
              </w:rPr>
              <w:t>повседнев-ную</w:t>
            </w:r>
            <w:proofErr w:type="spellEnd"/>
            <w:r w:rsidRPr="00062B4F">
              <w:rPr>
                <w:szCs w:val="24"/>
                <w:shd w:val="clear" w:color="auto" w:fill="FFFFFF"/>
              </w:rPr>
              <w:t xml:space="preserve">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6A8DD0A" w14:textId="77777777" w:rsidR="000C7098" w:rsidRPr="00062B4F" w:rsidRDefault="000C7098" w:rsidP="00BA2186">
            <w:pPr>
              <w:spacing w:line="240" w:lineRule="auto"/>
              <w:ind w:firstLine="0"/>
              <w:jc w:val="center"/>
              <w:rPr>
                <w:szCs w:val="24"/>
              </w:rPr>
            </w:pPr>
            <w:r w:rsidRPr="00062B4F">
              <w:rPr>
                <w:szCs w:val="24"/>
                <w:shd w:val="clear" w:color="auto" w:fill="FFFFFF"/>
              </w:rPr>
              <w:t xml:space="preserve">Покрывает более 30% </w:t>
            </w:r>
            <w:proofErr w:type="gramStart"/>
            <w:r w:rsidRPr="00062B4F">
              <w:rPr>
                <w:szCs w:val="24"/>
                <w:shd w:val="clear" w:color="auto" w:fill="FFFFFF"/>
              </w:rPr>
              <w:t>поверх-</w:t>
            </w:r>
            <w:proofErr w:type="spellStart"/>
            <w:r w:rsidRPr="00062B4F">
              <w:rPr>
                <w:szCs w:val="24"/>
                <w:shd w:val="clear" w:color="auto" w:fill="FFFFFF"/>
              </w:rPr>
              <w:t>ности</w:t>
            </w:r>
            <w:proofErr w:type="spellEnd"/>
            <w:proofErr w:type="gramEnd"/>
            <w:r w:rsidRPr="00062B4F">
              <w:rPr>
                <w:szCs w:val="24"/>
                <w:shd w:val="clear" w:color="auto" w:fill="FFFFFF"/>
              </w:rPr>
              <w:t xml:space="preserve"> тела с наличием симптомов или без симптомов, ограничиваю-</w:t>
            </w:r>
            <w:proofErr w:type="spellStart"/>
            <w:r w:rsidRPr="00062B4F">
              <w:rPr>
                <w:szCs w:val="24"/>
                <w:shd w:val="clear" w:color="auto" w:fill="FFFFFF"/>
              </w:rPr>
              <w:t>щие</w:t>
            </w:r>
            <w:proofErr w:type="spellEnd"/>
            <w:r w:rsidRPr="00062B4F">
              <w:rPr>
                <w:szCs w:val="24"/>
                <w:shd w:val="clear" w:color="auto" w:fill="FFFFFF"/>
              </w:rPr>
              <w:t xml:space="preserve"> </w:t>
            </w:r>
            <w:proofErr w:type="spellStart"/>
            <w:r w:rsidRPr="00062B4F">
              <w:rPr>
                <w:szCs w:val="24"/>
                <w:shd w:val="clear" w:color="auto" w:fill="FFFFFF"/>
              </w:rPr>
              <w:t>повседнев-ную</w:t>
            </w:r>
            <w:proofErr w:type="spellEnd"/>
            <w:r w:rsidRPr="00062B4F">
              <w:rPr>
                <w:szCs w:val="24"/>
                <w:shd w:val="clear" w:color="auto" w:fill="FFFFFF"/>
              </w:rPr>
              <w:t xml:space="preserve"> активность и способность к </w:t>
            </w:r>
            <w:proofErr w:type="spellStart"/>
            <w:r w:rsidRPr="00062B4F">
              <w:rPr>
                <w:szCs w:val="24"/>
                <w:shd w:val="clear" w:color="auto" w:fill="FFFFFF"/>
              </w:rPr>
              <w:t>самообслужи-ванию</w:t>
            </w:r>
            <w:proofErr w:type="spellEnd"/>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7349CA2"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bl>
    <w:p w14:paraId="55EE2F68" w14:textId="77777777" w:rsidR="000C7098" w:rsidRPr="00062B4F" w:rsidRDefault="000C7098" w:rsidP="00521A5F">
      <w:pPr>
        <w:ind w:firstLine="0"/>
        <w:rPr>
          <w:szCs w:val="24"/>
        </w:rPr>
      </w:pPr>
    </w:p>
    <w:p w14:paraId="2D9D8026" w14:textId="77777777" w:rsidR="000C7098" w:rsidRPr="00062B4F" w:rsidRDefault="000C7098" w:rsidP="00521A5F">
      <w:pPr>
        <w:ind w:firstLine="0"/>
        <w:rPr>
          <w:szCs w:val="24"/>
        </w:rPr>
      </w:pPr>
    </w:p>
    <w:sectPr w:rsidR="000C7098" w:rsidRPr="00062B4F" w:rsidSect="00EE59C2">
      <w:headerReference w:type="default" r:id="rId10"/>
      <w:footerReference w:type="default" r:id="rId11"/>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72BDD" w14:textId="77777777" w:rsidR="00823A47" w:rsidRDefault="00823A47">
      <w:pPr>
        <w:spacing w:line="240" w:lineRule="auto"/>
      </w:pPr>
      <w:r>
        <w:separator/>
      </w:r>
    </w:p>
    <w:p w14:paraId="472AAC41" w14:textId="77777777" w:rsidR="00823A47" w:rsidRDefault="00823A47"/>
  </w:endnote>
  <w:endnote w:type="continuationSeparator" w:id="0">
    <w:p w14:paraId="024B5A0A" w14:textId="77777777" w:rsidR="00823A47" w:rsidRDefault="00823A47">
      <w:pPr>
        <w:spacing w:line="240" w:lineRule="auto"/>
      </w:pPr>
      <w:r>
        <w:continuationSeparator/>
      </w:r>
    </w:p>
    <w:p w14:paraId="1FC9F24C" w14:textId="77777777" w:rsidR="00823A47" w:rsidRDefault="00823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Myriad Pro">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77F9D" w14:textId="62AEBB75" w:rsidR="00DF32E4" w:rsidRDefault="00DF32E4">
    <w:pPr>
      <w:pStyle w:val="afb"/>
      <w:jc w:val="center"/>
    </w:pPr>
    <w:r>
      <w:fldChar w:fldCharType="begin"/>
    </w:r>
    <w:r>
      <w:instrText>PAGE</w:instrText>
    </w:r>
    <w:r>
      <w:fldChar w:fldCharType="separate"/>
    </w:r>
    <w:r w:rsidR="00717B3F">
      <w:rPr>
        <w:noProof/>
      </w:rPr>
      <w:t>21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8C613" w14:textId="3258AE3C" w:rsidR="00DF32E4" w:rsidRDefault="00DF32E4">
    <w:pPr>
      <w:pStyle w:val="afb"/>
      <w:jc w:val="center"/>
    </w:pPr>
    <w:r>
      <w:fldChar w:fldCharType="begin"/>
    </w:r>
    <w:r>
      <w:instrText>PAGE</w:instrText>
    </w:r>
    <w:r>
      <w:fldChar w:fldCharType="separate"/>
    </w:r>
    <w:r w:rsidR="00717B3F">
      <w:rPr>
        <w:noProof/>
      </w:rPr>
      <w:t>85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F630F" w14:textId="77777777" w:rsidR="00823A47" w:rsidRDefault="00823A47">
      <w:pPr>
        <w:spacing w:line="240" w:lineRule="auto"/>
      </w:pPr>
      <w:r>
        <w:separator/>
      </w:r>
    </w:p>
    <w:p w14:paraId="4617E25B" w14:textId="77777777" w:rsidR="00823A47" w:rsidRDefault="00823A47"/>
  </w:footnote>
  <w:footnote w:type="continuationSeparator" w:id="0">
    <w:p w14:paraId="2D5A6A00" w14:textId="77777777" w:rsidR="00823A47" w:rsidRDefault="00823A47">
      <w:pPr>
        <w:spacing w:line="240" w:lineRule="auto"/>
      </w:pPr>
      <w:r>
        <w:continuationSeparator/>
      </w:r>
    </w:p>
    <w:p w14:paraId="00A150C1" w14:textId="77777777" w:rsidR="00823A47" w:rsidRDefault="00823A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F9585" w14:textId="77777777" w:rsidR="00DF32E4" w:rsidRDefault="00DF32E4" w:rsidP="00186C35">
    <w:pPr>
      <w:pStyle w:val="afa"/>
      <w:ind w:firstLine="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405"/>
        </w:tabs>
        <w:ind w:left="405" w:hanging="360"/>
      </w:pPr>
      <w:rPr>
        <w:rFonts w:cs="Times New Roman"/>
      </w:rPr>
    </w:lvl>
  </w:abstractNum>
  <w:abstractNum w:abstractNumId="2" w15:restartNumberingAfterBreak="0">
    <w:nsid w:val="00000004"/>
    <w:multiLevelType w:val="singleLevel"/>
    <w:tmpl w:val="00000004"/>
    <w:name w:val="WW8Num4"/>
    <w:lvl w:ilvl="0">
      <w:start w:val="1"/>
      <w:numFmt w:val="upperRoman"/>
      <w:lvlText w:val="%1."/>
      <w:lvlJc w:val="left"/>
      <w:pPr>
        <w:tabs>
          <w:tab w:val="num" w:pos="720"/>
        </w:tabs>
        <w:ind w:left="720" w:hanging="720"/>
      </w:pPr>
      <w:rPr>
        <w:rFonts w:cs="Times New Roman"/>
      </w:rPr>
    </w:lvl>
  </w:abstractNum>
  <w:abstractNum w:abstractNumId="3" w15:restartNumberingAfterBreak="0">
    <w:nsid w:val="05135083"/>
    <w:multiLevelType w:val="hybridMultilevel"/>
    <w:tmpl w:val="946C6E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EF6A7F"/>
    <w:multiLevelType w:val="multilevel"/>
    <w:tmpl w:val="FFA4F0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4612" w:hanging="360"/>
      </w:pPr>
      <w:rPr>
        <w:rFonts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21904"/>
    <w:multiLevelType w:val="hybridMultilevel"/>
    <w:tmpl w:val="EBAA7B6E"/>
    <w:lvl w:ilvl="0" w:tplc="9E548CD8">
      <w:start w:val="1"/>
      <w:numFmt w:val="bullet"/>
      <w:lvlText w:val=""/>
      <w:lvlJc w:val="left"/>
      <w:pPr>
        <w:tabs>
          <w:tab w:val="num" w:pos="2703"/>
        </w:tabs>
        <w:ind w:left="2703" w:hanging="363"/>
      </w:pPr>
      <w:rPr>
        <w:rFonts w:ascii="Symbol" w:hAnsi="Symbol" w:hint="default"/>
      </w:rPr>
    </w:lvl>
    <w:lvl w:ilvl="1" w:tplc="04190003">
      <w:start w:val="1"/>
      <w:numFmt w:val="bullet"/>
      <w:lvlText w:val="o"/>
      <w:lvlJc w:val="left"/>
      <w:pPr>
        <w:tabs>
          <w:tab w:val="num" w:pos="3423"/>
        </w:tabs>
        <w:ind w:left="3423" w:hanging="360"/>
      </w:pPr>
      <w:rPr>
        <w:rFonts w:ascii="Courier New" w:hAnsi="Courier New" w:hint="default"/>
      </w:rPr>
    </w:lvl>
    <w:lvl w:ilvl="2" w:tplc="04190005">
      <w:start w:val="1"/>
      <w:numFmt w:val="bullet"/>
      <w:lvlText w:val=""/>
      <w:lvlJc w:val="left"/>
      <w:pPr>
        <w:tabs>
          <w:tab w:val="num" w:pos="4143"/>
        </w:tabs>
        <w:ind w:left="4143" w:hanging="360"/>
      </w:pPr>
      <w:rPr>
        <w:rFonts w:ascii="Wingdings" w:hAnsi="Wingdings" w:hint="default"/>
      </w:rPr>
    </w:lvl>
    <w:lvl w:ilvl="3" w:tplc="04190001">
      <w:start w:val="1"/>
      <w:numFmt w:val="bullet"/>
      <w:lvlText w:val=""/>
      <w:lvlJc w:val="left"/>
      <w:pPr>
        <w:tabs>
          <w:tab w:val="num" w:pos="4863"/>
        </w:tabs>
        <w:ind w:left="4863" w:hanging="360"/>
      </w:pPr>
      <w:rPr>
        <w:rFonts w:ascii="Symbol" w:hAnsi="Symbol" w:hint="default"/>
      </w:rPr>
    </w:lvl>
    <w:lvl w:ilvl="4" w:tplc="04190003">
      <w:start w:val="1"/>
      <w:numFmt w:val="bullet"/>
      <w:lvlText w:val="o"/>
      <w:lvlJc w:val="left"/>
      <w:pPr>
        <w:tabs>
          <w:tab w:val="num" w:pos="5583"/>
        </w:tabs>
        <w:ind w:left="5583" w:hanging="360"/>
      </w:pPr>
      <w:rPr>
        <w:rFonts w:ascii="Courier New" w:hAnsi="Courier New" w:hint="default"/>
      </w:rPr>
    </w:lvl>
    <w:lvl w:ilvl="5" w:tplc="04190005">
      <w:start w:val="1"/>
      <w:numFmt w:val="bullet"/>
      <w:lvlText w:val=""/>
      <w:lvlJc w:val="left"/>
      <w:pPr>
        <w:tabs>
          <w:tab w:val="num" w:pos="6303"/>
        </w:tabs>
        <w:ind w:left="6303" w:hanging="360"/>
      </w:pPr>
      <w:rPr>
        <w:rFonts w:ascii="Wingdings" w:hAnsi="Wingdings" w:hint="default"/>
      </w:rPr>
    </w:lvl>
    <w:lvl w:ilvl="6" w:tplc="04190001">
      <w:start w:val="1"/>
      <w:numFmt w:val="bullet"/>
      <w:lvlText w:val=""/>
      <w:lvlJc w:val="left"/>
      <w:pPr>
        <w:tabs>
          <w:tab w:val="num" w:pos="7023"/>
        </w:tabs>
        <w:ind w:left="7023" w:hanging="360"/>
      </w:pPr>
      <w:rPr>
        <w:rFonts w:ascii="Symbol" w:hAnsi="Symbol" w:hint="default"/>
      </w:rPr>
    </w:lvl>
    <w:lvl w:ilvl="7" w:tplc="04190003">
      <w:start w:val="1"/>
      <w:numFmt w:val="bullet"/>
      <w:lvlText w:val="o"/>
      <w:lvlJc w:val="left"/>
      <w:pPr>
        <w:tabs>
          <w:tab w:val="num" w:pos="7743"/>
        </w:tabs>
        <w:ind w:left="7743" w:hanging="360"/>
      </w:pPr>
      <w:rPr>
        <w:rFonts w:ascii="Courier New" w:hAnsi="Courier New" w:hint="default"/>
      </w:rPr>
    </w:lvl>
    <w:lvl w:ilvl="8" w:tplc="04190005">
      <w:start w:val="1"/>
      <w:numFmt w:val="bullet"/>
      <w:lvlText w:val=""/>
      <w:lvlJc w:val="left"/>
      <w:pPr>
        <w:tabs>
          <w:tab w:val="num" w:pos="8463"/>
        </w:tabs>
        <w:ind w:left="8463" w:hanging="360"/>
      </w:pPr>
      <w:rPr>
        <w:rFonts w:ascii="Wingdings" w:hAnsi="Wingdings" w:hint="default"/>
      </w:rPr>
    </w:lvl>
  </w:abstractNum>
  <w:abstractNum w:abstractNumId="6" w15:restartNumberingAfterBreak="0">
    <w:nsid w:val="0BFC7EC5"/>
    <w:multiLevelType w:val="multilevel"/>
    <w:tmpl w:val="3BD24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E1C98"/>
    <w:multiLevelType w:val="multilevel"/>
    <w:tmpl w:val="47E68F76"/>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8" w15:restartNumberingAfterBreak="0">
    <w:nsid w:val="19BC09DA"/>
    <w:multiLevelType w:val="multilevel"/>
    <w:tmpl w:val="3A66D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D0E0F"/>
    <w:multiLevelType w:val="hybridMultilevel"/>
    <w:tmpl w:val="1AF0DEE8"/>
    <w:lvl w:ilvl="0" w:tplc="0419000F">
      <w:start w:val="1"/>
      <w:numFmt w:val="decimal"/>
      <w:lvlText w:val="%1."/>
      <w:lvlJc w:val="left"/>
      <w:pPr>
        <w:ind w:left="2498"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10" w15:restartNumberingAfterBreak="0">
    <w:nsid w:val="1E124442"/>
    <w:multiLevelType w:val="multilevel"/>
    <w:tmpl w:val="BE80E1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224F74FE"/>
    <w:multiLevelType w:val="multilevel"/>
    <w:tmpl w:val="03D2D8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24C970B3"/>
    <w:multiLevelType w:val="hybridMultilevel"/>
    <w:tmpl w:val="B2AAC338"/>
    <w:lvl w:ilvl="0" w:tplc="2B06CF62">
      <w:start w:val="1"/>
      <w:numFmt w:val="bullet"/>
      <w:lvlText w:val="•"/>
      <w:lvlJc w:val="left"/>
      <w:pPr>
        <w:ind w:left="720" w:hanging="360"/>
      </w:pPr>
      <w:rPr>
        <w:rFonts w:ascii="Times New Roman" w:hAnsi="Times New Roman" w:hint="default"/>
      </w:rPr>
    </w:lvl>
    <w:lvl w:ilvl="1" w:tplc="2B06CF62">
      <w:start w:val="1"/>
      <w:numFmt w:val="bullet"/>
      <w:lvlText w:val="•"/>
      <w:lvlJc w:val="left"/>
      <w:pPr>
        <w:ind w:left="1440" w:hanging="360"/>
      </w:pPr>
      <w:rPr>
        <w:rFonts w:ascii="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B744A06"/>
    <w:multiLevelType w:val="hybridMultilevel"/>
    <w:tmpl w:val="0D086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BA5265C"/>
    <w:multiLevelType w:val="hybridMultilevel"/>
    <w:tmpl w:val="2BDC04CE"/>
    <w:lvl w:ilvl="0" w:tplc="544678B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E547B85"/>
    <w:multiLevelType w:val="hybridMultilevel"/>
    <w:tmpl w:val="1FFA19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5C17306"/>
    <w:multiLevelType w:val="multilevel"/>
    <w:tmpl w:val="006C7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0945F5"/>
    <w:multiLevelType w:val="hybridMultilevel"/>
    <w:tmpl w:val="0B727090"/>
    <w:lvl w:ilvl="0" w:tplc="04190011">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18" w15:restartNumberingAfterBreak="0">
    <w:nsid w:val="38320B5C"/>
    <w:multiLevelType w:val="multilevel"/>
    <w:tmpl w:val="E230E4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8EB40B7"/>
    <w:multiLevelType w:val="hybridMultilevel"/>
    <w:tmpl w:val="B78291C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40500D29"/>
    <w:multiLevelType w:val="multilevel"/>
    <w:tmpl w:val="238A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71561"/>
    <w:multiLevelType w:val="hybridMultilevel"/>
    <w:tmpl w:val="C3E852CE"/>
    <w:lvl w:ilvl="0" w:tplc="2B06CF62">
      <w:start w:val="1"/>
      <w:numFmt w:val="bullet"/>
      <w:lvlText w:val="•"/>
      <w:lvlJc w:val="left"/>
      <w:pPr>
        <w:ind w:left="720" w:hanging="360"/>
      </w:pPr>
      <w:rPr>
        <w:rFonts w:ascii="Times New Roman" w:hAnsi="Times New Roman" w:hint="default"/>
      </w:rPr>
    </w:lvl>
    <w:lvl w:ilvl="1" w:tplc="2B06CF62">
      <w:start w:val="1"/>
      <w:numFmt w:val="bullet"/>
      <w:lvlText w:val="•"/>
      <w:lvlJc w:val="left"/>
      <w:pPr>
        <w:ind w:left="1440" w:hanging="360"/>
      </w:pPr>
      <w:rPr>
        <w:rFonts w:ascii="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4A9519D"/>
    <w:multiLevelType w:val="multilevel"/>
    <w:tmpl w:val="98F8EB3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57154E2"/>
    <w:multiLevelType w:val="multilevel"/>
    <w:tmpl w:val="41408E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63B7E93"/>
    <w:multiLevelType w:val="hybridMultilevel"/>
    <w:tmpl w:val="C1D0DE84"/>
    <w:lvl w:ilvl="0" w:tplc="AD145AD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9615205"/>
    <w:multiLevelType w:val="hybridMultilevel"/>
    <w:tmpl w:val="84E6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4E52A2"/>
    <w:multiLevelType w:val="hybridMultilevel"/>
    <w:tmpl w:val="033210A4"/>
    <w:lvl w:ilvl="0" w:tplc="C30C4A24">
      <w:start w:val="1"/>
      <w:numFmt w:val="bullet"/>
      <w:pStyle w:val="2"/>
      <w:lvlText w:val=""/>
      <w:lvlJc w:val="left"/>
      <w:pPr>
        <w:ind w:left="1489" w:hanging="360"/>
      </w:pPr>
      <w:rPr>
        <w:rFonts w:ascii="Symbol" w:hAnsi="Symbol" w:hint="default"/>
      </w:rPr>
    </w:lvl>
    <w:lvl w:ilvl="1" w:tplc="04190003">
      <w:start w:val="1"/>
      <w:numFmt w:val="bullet"/>
      <w:lvlText w:val="o"/>
      <w:lvlJc w:val="left"/>
      <w:pPr>
        <w:ind w:left="2209" w:hanging="360"/>
      </w:pPr>
      <w:rPr>
        <w:rFonts w:ascii="Courier New" w:hAnsi="Courier New" w:hint="default"/>
      </w:rPr>
    </w:lvl>
    <w:lvl w:ilvl="2" w:tplc="04190005">
      <w:start w:val="1"/>
      <w:numFmt w:val="bullet"/>
      <w:lvlText w:val=""/>
      <w:lvlJc w:val="left"/>
      <w:pPr>
        <w:ind w:left="2929" w:hanging="360"/>
      </w:pPr>
      <w:rPr>
        <w:rFonts w:ascii="Wingdings" w:hAnsi="Wingdings" w:hint="default"/>
      </w:rPr>
    </w:lvl>
    <w:lvl w:ilvl="3" w:tplc="04190001">
      <w:start w:val="1"/>
      <w:numFmt w:val="bullet"/>
      <w:lvlText w:val=""/>
      <w:lvlJc w:val="left"/>
      <w:pPr>
        <w:ind w:left="3649" w:hanging="360"/>
      </w:pPr>
      <w:rPr>
        <w:rFonts w:ascii="Symbol" w:hAnsi="Symbol" w:hint="default"/>
      </w:rPr>
    </w:lvl>
    <w:lvl w:ilvl="4" w:tplc="04190003">
      <w:start w:val="1"/>
      <w:numFmt w:val="bullet"/>
      <w:lvlText w:val="o"/>
      <w:lvlJc w:val="left"/>
      <w:pPr>
        <w:ind w:left="4369" w:hanging="360"/>
      </w:pPr>
      <w:rPr>
        <w:rFonts w:ascii="Courier New" w:hAnsi="Courier New" w:hint="default"/>
      </w:rPr>
    </w:lvl>
    <w:lvl w:ilvl="5" w:tplc="04190005">
      <w:start w:val="1"/>
      <w:numFmt w:val="bullet"/>
      <w:lvlText w:val=""/>
      <w:lvlJc w:val="left"/>
      <w:pPr>
        <w:ind w:left="5089" w:hanging="360"/>
      </w:pPr>
      <w:rPr>
        <w:rFonts w:ascii="Wingdings" w:hAnsi="Wingdings" w:hint="default"/>
      </w:rPr>
    </w:lvl>
    <w:lvl w:ilvl="6" w:tplc="04190001">
      <w:start w:val="1"/>
      <w:numFmt w:val="bullet"/>
      <w:lvlText w:val=""/>
      <w:lvlJc w:val="left"/>
      <w:pPr>
        <w:ind w:left="5809" w:hanging="360"/>
      </w:pPr>
      <w:rPr>
        <w:rFonts w:ascii="Symbol" w:hAnsi="Symbol" w:hint="default"/>
      </w:rPr>
    </w:lvl>
    <w:lvl w:ilvl="7" w:tplc="04190003">
      <w:start w:val="1"/>
      <w:numFmt w:val="bullet"/>
      <w:lvlText w:val="o"/>
      <w:lvlJc w:val="left"/>
      <w:pPr>
        <w:ind w:left="6529" w:hanging="360"/>
      </w:pPr>
      <w:rPr>
        <w:rFonts w:ascii="Courier New" w:hAnsi="Courier New" w:hint="default"/>
      </w:rPr>
    </w:lvl>
    <w:lvl w:ilvl="8" w:tplc="04190005">
      <w:start w:val="1"/>
      <w:numFmt w:val="bullet"/>
      <w:lvlText w:val=""/>
      <w:lvlJc w:val="left"/>
      <w:pPr>
        <w:ind w:left="7249" w:hanging="360"/>
      </w:pPr>
      <w:rPr>
        <w:rFonts w:ascii="Wingdings" w:hAnsi="Wingdings" w:hint="default"/>
      </w:rPr>
    </w:lvl>
  </w:abstractNum>
  <w:abstractNum w:abstractNumId="27" w15:restartNumberingAfterBreak="0">
    <w:nsid w:val="4A76612E"/>
    <w:multiLevelType w:val="hybridMultilevel"/>
    <w:tmpl w:val="24788C66"/>
    <w:lvl w:ilvl="0" w:tplc="AD145AD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2AC548A"/>
    <w:multiLevelType w:val="hybridMultilevel"/>
    <w:tmpl w:val="00E0F0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5655C75"/>
    <w:multiLevelType w:val="multilevel"/>
    <w:tmpl w:val="9BF0B06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9357D37"/>
    <w:multiLevelType w:val="hybridMultilevel"/>
    <w:tmpl w:val="F0D0128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5B686E88"/>
    <w:multiLevelType w:val="multilevel"/>
    <w:tmpl w:val="3D844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52931"/>
    <w:multiLevelType w:val="multilevel"/>
    <w:tmpl w:val="068C7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65A27"/>
    <w:multiLevelType w:val="hybridMultilevel"/>
    <w:tmpl w:val="662AB07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D354E3"/>
    <w:multiLevelType w:val="multilevel"/>
    <w:tmpl w:val="B930E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F52260"/>
    <w:multiLevelType w:val="hybridMultilevel"/>
    <w:tmpl w:val="CAE2B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DB7C6C"/>
    <w:multiLevelType w:val="hybridMultilevel"/>
    <w:tmpl w:val="26DE6B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9" w15:restartNumberingAfterBreak="0">
    <w:nsid w:val="69744B1C"/>
    <w:multiLevelType w:val="hybridMultilevel"/>
    <w:tmpl w:val="EB48D6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6B69591B"/>
    <w:multiLevelType w:val="multilevel"/>
    <w:tmpl w:val="48EC01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15:restartNumberingAfterBreak="0">
    <w:nsid w:val="6BA2037B"/>
    <w:multiLevelType w:val="multilevel"/>
    <w:tmpl w:val="5F8AAF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3694DE3"/>
    <w:multiLevelType w:val="hybridMultilevel"/>
    <w:tmpl w:val="AA72809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3" w15:restartNumberingAfterBreak="0">
    <w:nsid w:val="760F7789"/>
    <w:multiLevelType w:val="hybridMultilevel"/>
    <w:tmpl w:val="AE22E69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num w:numId="1">
    <w:abstractNumId w:val="35"/>
  </w:num>
  <w:num w:numId="2">
    <w:abstractNumId w:val="30"/>
  </w:num>
  <w:num w:numId="3">
    <w:abstractNumId w:val="26"/>
  </w:num>
  <w:num w:numId="4">
    <w:abstractNumId w:val="43"/>
  </w:num>
  <w:num w:numId="5">
    <w:abstractNumId w:val="4"/>
  </w:num>
  <w:num w:numId="6">
    <w:abstractNumId w:val="16"/>
  </w:num>
  <w:num w:numId="7">
    <w:abstractNumId w:val="40"/>
  </w:num>
  <w:num w:numId="8">
    <w:abstractNumId w:val="10"/>
  </w:num>
  <w:num w:numId="9">
    <w:abstractNumId w:val="6"/>
  </w:num>
  <w:num w:numId="10">
    <w:abstractNumId w:val="20"/>
  </w:num>
  <w:num w:numId="11">
    <w:abstractNumId w:val="32"/>
  </w:num>
  <w:num w:numId="12">
    <w:abstractNumId w:val="33"/>
  </w:num>
  <w:num w:numId="13">
    <w:abstractNumId w:val="11"/>
  </w:num>
  <w:num w:numId="14">
    <w:abstractNumId w:val="8"/>
  </w:num>
  <w:num w:numId="15">
    <w:abstractNumId w:val="27"/>
  </w:num>
  <w:num w:numId="16">
    <w:abstractNumId w:val="13"/>
  </w:num>
  <w:num w:numId="17">
    <w:abstractNumId w:val="28"/>
  </w:num>
  <w:num w:numId="18">
    <w:abstractNumId w:val="3"/>
  </w:num>
  <w:num w:numId="19">
    <w:abstractNumId w:val="42"/>
  </w:num>
  <w:num w:numId="20">
    <w:abstractNumId w:val="39"/>
  </w:num>
  <w:num w:numId="21">
    <w:abstractNumId w:val="15"/>
  </w:num>
  <w:num w:numId="22">
    <w:abstractNumId w:val="24"/>
  </w:num>
  <w:num w:numId="23">
    <w:abstractNumId w:val="38"/>
  </w:num>
  <w:num w:numId="24">
    <w:abstractNumId w:val="31"/>
  </w:num>
  <w:num w:numId="25">
    <w:abstractNumId w:val="17"/>
  </w:num>
  <w:num w:numId="26">
    <w:abstractNumId w:val="36"/>
  </w:num>
  <w:num w:numId="27">
    <w:abstractNumId w:val="21"/>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5"/>
  </w:num>
  <w:num w:numId="31">
    <w:abstractNumId w:val="29"/>
  </w:num>
  <w:num w:numId="32">
    <w:abstractNumId w:val="41"/>
  </w:num>
  <w:num w:numId="33">
    <w:abstractNumId w:val="18"/>
  </w:num>
  <w:num w:numId="34">
    <w:abstractNumId w:val="19"/>
  </w:num>
  <w:num w:numId="35">
    <w:abstractNumId w:val="34"/>
  </w:num>
  <w:num w:numId="36">
    <w:abstractNumId w:val="9"/>
  </w:num>
  <w:num w:numId="37">
    <w:abstractNumId w:val="12"/>
  </w:num>
  <w:num w:numId="38">
    <w:abstractNumId w:val="37"/>
  </w:num>
  <w:num w:numId="39">
    <w:abstractNumId w:val="22"/>
  </w:num>
  <w:num w:numId="40">
    <w:abstractNumId w:val="23"/>
  </w:num>
  <w:num w:numId="41">
    <w:abstractNumId w:val="25"/>
  </w:num>
  <w:num w:numId="42">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0"/>
  <w:activeWritingStyle w:appName="MSWord" w:lang="de-DE" w:vendorID="64" w:dllVersion="6" w:nlCheck="1" w:checkStyle="0"/>
  <w:activeWritingStyle w:appName="MSWord" w:lang="ru-RU"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a-DK" w:vendorID="64" w:dllVersion="4096" w:nlCheck="1" w:checkStyle="0"/>
  <w:activeWritingStyle w:appName="MSWord" w:lang="pl-PL" w:vendorID="64" w:dllVersion="4096" w:nlCheck="1" w:checkStyle="0"/>
  <w:activeWritingStyle w:appName="MSWord" w:lang="ru-RU" w:vendorID="64" w:dllVersion="0" w:nlCheck="1" w:checkStyle="0"/>
  <w:activeWritingStyle w:appName="MSWord" w:lang="en-US" w:vendorID="64" w:dllVersion="0" w:nlCheck="1" w:checkStyle="0"/>
  <w:activeWritingStyle w:appName="MSWord" w:lang="fi-FI"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0816"/>
    <w:rsid w:val="000009F7"/>
    <w:rsid w:val="00001800"/>
    <w:rsid w:val="00001984"/>
    <w:rsid w:val="000019D8"/>
    <w:rsid w:val="000036F7"/>
    <w:rsid w:val="000047D4"/>
    <w:rsid w:val="00005904"/>
    <w:rsid w:val="00005DB9"/>
    <w:rsid w:val="00007383"/>
    <w:rsid w:val="00015EE5"/>
    <w:rsid w:val="00015FB3"/>
    <w:rsid w:val="000168D6"/>
    <w:rsid w:val="00016C54"/>
    <w:rsid w:val="00017B20"/>
    <w:rsid w:val="00021FEA"/>
    <w:rsid w:val="00022C17"/>
    <w:rsid w:val="000236FA"/>
    <w:rsid w:val="0002506F"/>
    <w:rsid w:val="00030CD4"/>
    <w:rsid w:val="000314EA"/>
    <w:rsid w:val="00034944"/>
    <w:rsid w:val="00034AFC"/>
    <w:rsid w:val="0003507F"/>
    <w:rsid w:val="000353A1"/>
    <w:rsid w:val="00036425"/>
    <w:rsid w:val="000366BC"/>
    <w:rsid w:val="00036EB4"/>
    <w:rsid w:val="000375D7"/>
    <w:rsid w:val="000414F6"/>
    <w:rsid w:val="0004248C"/>
    <w:rsid w:val="0004501E"/>
    <w:rsid w:val="00050297"/>
    <w:rsid w:val="000509B5"/>
    <w:rsid w:val="00050AA8"/>
    <w:rsid w:val="0005185A"/>
    <w:rsid w:val="00051F38"/>
    <w:rsid w:val="0005350A"/>
    <w:rsid w:val="00057142"/>
    <w:rsid w:val="000622EE"/>
    <w:rsid w:val="00062B4F"/>
    <w:rsid w:val="000632C3"/>
    <w:rsid w:val="00063AD0"/>
    <w:rsid w:val="00064EAA"/>
    <w:rsid w:val="00064FEC"/>
    <w:rsid w:val="00065825"/>
    <w:rsid w:val="00065D0C"/>
    <w:rsid w:val="00065DED"/>
    <w:rsid w:val="0006736D"/>
    <w:rsid w:val="00067456"/>
    <w:rsid w:val="0007065D"/>
    <w:rsid w:val="000711FE"/>
    <w:rsid w:val="00072C1A"/>
    <w:rsid w:val="000745AC"/>
    <w:rsid w:val="00076BFF"/>
    <w:rsid w:val="00076C77"/>
    <w:rsid w:val="00076CD4"/>
    <w:rsid w:val="00076DE5"/>
    <w:rsid w:val="00080A6E"/>
    <w:rsid w:val="0008601D"/>
    <w:rsid w:val="00087750"/>
    <w:rsid w:val="00087F7E"/>
    <w:rsid w:val="00090207"/>
    <w:rsid w:val="00090579"/>
    <w:rsid w:val="00090656"/>
    <w:rsid w:val="00092C76"/>
    <w:rsid w:val="00092FAB"/>
    <w:rsid w:val="00094344"/>
    <w:rsid w:val="00094ACF"/>
    <w:rsid w:val="00094ED6"/>
    <w:rsid w:val="00095194"/>
    <w:rsid w:val="0009784D"/>
    <w:rsid w:val="000A277C"/>
    <w:rsid w:val="000A2A24"/>
    <w:rsid w:val="000A5434"/>
    <w:rsid w:val="000A56A5"/>
    <w:rsid w:val="000A7C4E"/>
    <w:rsid w:val="000B0DCD"/>
    <w:rsid w:val="000B27C5"/>
    <w:rsid w:val="000B2DB1"/>
    <w:rsid w:val="000B340C"/>
    <w:rsid w:val="000B4803"/>
    <w:rsid w:val="000B5D56"/>
    <w:rsid w:val="000B7A71"/>
    <w:rsid w:val="000C0D2A"/>
    <w:rsid w:val="000C1CAF"/>
    <w:rsid w:val="000C3747"/>
    <w:rsid w:val="000C6BB6"/>
    <w:rsid w:val="000C7098"/>
    <w:rsid w:val="000D22AF"/>
    <w:rsid w:val="000D2F44"/>
    <w:rsid w:val="000D40B8"/>
    <w:rsid w:val="000D7E15"/>
    <w:rsid w:val="000E14DB"/>
    <w:rsid w:val="000E2498"/>
    <w:rsid w:val="000E338F"/>
    <w:rsid w:val="000E45A0"/>
    <w:rsid w:val="000F4BD6"/>
    <w:rsid w:val="000F55DD"/>
    <w:rsid w:val="000F6438"/>
    <w:rsid w:val="001033D7"/>
    <w:rsid w:val="00105081"/>
    <w:rsid w:val="00110693"/>
    <w:rsid w:val="00111E63"/>
    <w:rsid w:val="00112FAA"/>
    <w:rsid w:val="001149C6"/>
    <w:rsid w:val="00114D20"/>
    <w:rsid w:val="001212E6"/>
    <w:rsid w:val="00122110"/>
    <w:rsid w:val="00125CE2"/>
    <w:rsid w:val="001301B0"/>
    <w:rsid w:val="00130BE9"/>
    <w:rsid w:val="001312A0"/>
    <w:rsid w:val="00133221"/>
    <w:rsid w:val="00133420"/>
    <w:rsid w:val="001346FA"/>
    <w:rsid w:val="001351AC"/>
    <w:rsid w:val="00135606"/>
    <w:rsid w:val="00136EFA"/>
    <w:rsid w:val="00137BCA"/>
    <w:rsid w:val="00140355"/>
    <w:rsid w:val="00140C70"/>
    <w:rsid w:val="00141F11"/>
    <w:rsid w:val="00141F64"/>
    <w:rsid w:val="00144C58"/>
    <w:rsid w:val="00146FA3"/>
    <w:rsid w:val="001470E5"/>
    <w:rsid w:val="001501DB"/>
    <w:rsid w:val="00150349"/>
    <w:rsid w:val="001505BB"/>
    <w:rsid w:val="00151215"/>
    <w:rsid w:val="001515F7"/>
    <w:rsid w:val="00153288"/>
    <w:rsid w:val="0015645B"/>
    <w:rsid w:val="00160FFE"/>
    <w:rsid w:val="00162037"/>
    <w:rsid w:val="0016253D"/>
    <w:rsid w:val="001629B5"/>
    <w:rsid w:val="001629EF"/>
    <w:rsid w:val="00163BC1"/>
    <w:rsid w:val="00166A07"/>
    <w:rsid w:val="00171D80"/>
    <w:rsid w:val="00172112"/>
    <w:rsid w:val="001729CE"/>
    <w:rsid w:val="00173974"/>
    <w:rsid w:val="00174593"/>
    <w:rsid w:val="0017531C"/>
    <w:rsid w:val="0017564D"/>
    <w:rsid w:val="00175981"/>
    <w:rsid w:val="00175C52"/>
    <w:rsid w:val="001774D8"/>
    <w:rsid w:val="00180B69"/>
    <w:rsid w:val="00184809"/>
    <w:rsid w:val="0018504E"/>
    <w:rsid w:val="00186C35"/>
    <w:rsid w:val="00187BA3"/>
    <w:rsid w:val="00192F67"/>
    <w:rsid w:val="00194B43"/>
    <w:rsid w:val="0019587A"/>
    <w:rsid w:val="001A1192"/>
    <w:rsid w:val="001A3C1C"/>
    <w:rsid w:val="001B1F61"/>
    <w:rsid w:val="001B1F76"/>
    <w:rsid w:val="001B4FAF"/>
    <w:rsid w:val="001B55C0"/>
    <w:rsid w:val="001B5F55"/>
    <w:rsid w:val="001C122A"/>
    <w:rsid w:val="001C1F8F"/>
    <w:rsid w:val="001C2545"/>
    <w:rsid w:val="001C47C0"/>
    <w:rsid w:val="001C4D29"/>
    <w:rsid w:val="001C52AC"/>
    <w:rsid w:val="001C5F7A"/>
    <w:rsid w:val="001C682E"/>
    <w:rsid w:val="001D0DE3"/>
    <w:rsid w:val="001D1652"/>
    <w:rsid w:val="001D34C1"/>
    <w:rsid w:val="001D3E2B"/>
    <w:rsid w:val="001D40F8"/>
    <w:rsid w:val="001D484A"/>
    <w:rsid w:val="001D60F9"/>
    <w:rsid w:val="001E009B"/>
    <w:rsid w:val="001E08D6"/>
    <w:rsid w:val="001E11E8"/>
    <w:rsid w:val="001E1458"/>
    <w:rsid w:val="001E2BBD"/>
    <w:rsid w:val="001E2BDC"/>
    <w:rsid w:val="001E2CFC"/>
    <w:rsid w:val="001E3703"/>
    <w:rsid w:val="001E4FBB"/>
    <w:rsid w:val="001E5B41"/>
    <w:rsid w:val="001F1C3B"/>
    <w:rsid w:val="001F20A3"/>
    <w:rsid w:val="001F39ED"/>
    <w:rsid w:val="001F3EDA"/>
    <w:rsid w:val="001F4274"/>
    <w:rsid w:val="001F45AA"/>
    <w:rsid w:val="001F4A3C"/>
    <w:rsid w:val="001F5213"/>
    <w:rsid w:val="001F6AB9"/>
    <w:rsid w:val="001F7829"/>
    <w:rsid w:val="00201A19"/>
    <w:rsid w:val="002034D3"/>
    <w:rsid w:val="002078A9"/>
    <w:rsid w:val="002115EF"/>
    <w:rsid w:val="0021232C"/>
    <w:rsid w:val="0021336D"/>
    <w:rsid w:val="00213582"/>
    <w:rsid w:val="002145F1"/>
    <w:rsid w:val="002165EA"/>
    <w:rsid w:val="0021676E"/>
    <w:rsid w:val="00217A74"/>
    <w:rsid w:val="00221384"/>
    <w:rsid w:val="0022275E"/>
    <w:rsid w:val="002242E2"/>
    <w:rsid w:val="0022497D"/>
    <w:rsid w:val="0022664E"/>
    <w:rsid w:val="0022783A"/>
    <w:rsid w:val="00231080"/>
    <w:rsid w:val="00232047"/>
    <w:rsid w:val="00232D4D"/>
    <w:rsid w:val="002331A9"/>
    <w:rsid w:val="00234BD1"/>
    <w:rsid w:val="002425E1"/>
    <w:rsid w:val="00242FD4"/>
    <w:rsid w:val="00244C96"/>
    <w:rsid w:val="0024573E"/>
    <w:rsid w:val="0024740D"/>
    <w:rsid w:val="00247E0F"/>
    <w:rsid w:val="0025089B"/>
    <w:rsid w:val="0025114A"/>
    <w:rsid w:val="00251ED0"/>
    <w:rsid w:val="0025228A"/>
    <w:rsid w:val="0025496C"/>
    <w:rsid w:val="00255B40"/>
    <w:rsid w:val="00257414"/>
    <w:rsid w:val="00261F17"/>
    <w:rsid w:val="00263575"/>
    <w:rsid w:val="002651E9"/>
    <w:rsid w:val="0026684C"/>
    <w:rsid w:val="0027170E"/>
    <w:rsid w:val="00273586"/>
    <w:rsid w:val="002758A4"/>
    <w:rsid w:val="00275A41"/>
    <w:rsid w:val="0027718F"/>
    <w:rsid w:val="002772C4"/>
    <w:rsid w:val="002773D4"/>
    <w:rsid w:val="00284EB2"/>
    <w:rsid w:val="002866A1"/>
    <w:rsid w:val="00286FE5"/>
    <w:rsid w:val="00290348"/>
    <w:rsid w:val="0029167D"/>
    <w:rsid w:val="002929B1"/>
    <w:rsid w:val="00292CB5"/>
    <w:rsid w:val="00293015"/>
    <w:rsid w:val="00295379"/>
    <w:rsid w:val="002954ED"/>
    <w:rsid w:val="002A0C02"/>
    <w:rsid w:val="002A1AEF"/>
    <w:rsid w:val="002A1F98"/>
    <w:rsid w:val="002A1FCA"/>
    <w:rsid w:val="002A52AF"/>
    <w:rsid w:val="002A5A29"/>
    <w:rsid w:val="002A611D"/>
    <w:rsid w:val="002B2FBF"/>
    <w:rsid w:val="002B6F86"/>
    <w:rsid w:val="002C165F"/>
    <w:rsid w:val="002C264C"/>
    <w:rsid w:val="002C272F"/>
    <w:rsid w:val="002C27C8"/>
    <w:rsid w:val="002C3E40"/>
    <w:rsid w:val="002C4D4A"/>
    <w:rsid w:val="002D14F5"/>
    <w:rsid w:val="002D3213"/>
    <w:rsid w:val="002D5D66"/>
    <w:rsid w:val="002E25BD"/>
    <w:rsid w:val="002E32FD"/>
    <w:rsid w:val="002E650A"/>
    <w:rsid w:val="002E6C4C"/>
    <w:rsid w:val="002E6E9D"/>
    <w:rsid w:val="002F0AE2"/>
    <w:rsid w:val="002F0B5F"/>
    <w:rsid w:val="002F1D6A"/>
    <w:rsid w:val="002F38B6"/>
    <w:rsid w:val="002F3E3A"/>
    <w:rsid w:val="002F4D2B"/>
    <w:rsid w:val="002F7719"/>
    <w:rsid w:val="00301C01"/>
    <w:rsid w:val="00303ADB"/>
    <w:rsid w:val="00304DD9"/>
    <w:rsid w:val="003057A5"/>
    <w:rsid w:val="00310197"/>
    <w:rsid w:val="00310823"/>
    <w:rsid w:val="00310E8A"/>
    <w:rsid w:val="0031113C"/>
    <w:rsid w:val="00314AA9"/>
    <w:rsid w:val="00315A5D"/>
    <w:rsid w:val="0032061E"/>
    <w:rsid w:val="003209F5"/>
    <w:rsid w:val="00324D0A"/>
    <w:rsid w:val="00324EC3"/>
    <w:rsid w:val="003263EB"/>
    <w:rsid w:val="00334F6C"/>
    <w:rsid w:val="003365AF"/>
    <w:rsid w:val="0033729F"/>
    <w:rsid w:val="00337A20"/>
    <w:rsid w:val="0034054C"/>
    <w:rsid w:val="003408C0"/>
    <w:rsid w:val="0034193E"/>
    <w:rsid w:val="003423F6"/>
    <w:rsid w:val="0034299D"/>
    <w:rsid w:val="00343458"/>
    <w:rsid w:val="00343A18"/>
    <w:rsid w:val="00344D71"/>
    <w:rsid w:val="00350EF5"/>
    <w:rsid w:val="00351AF0"/>
    <w:rsid w:val="003527A8"/>
    <w:rsid w:val="00353345"/>
    <w:rsid w:val="00353777"/>
    <w:rsid w:val="00353EAB"/>
    <w:rsid w:val="00354395"/>
    <w:rsid w:val="00355932"/>
    <w:rsid w:val="00356E5E"/>
    <w:rsid w:val="0036386B"/>
    <w:rsid w:val="00363E8F"/>
    <w:rsid w:val="00364741"/>
    <w:rsid w:val="00365A02"/>
    <w:rsid w:val="00365EBC"/>
    <w:rsid w:val="00366F47"/>
    <w:rsid w:val="003671EF"/>
    <w:rsid w:val="0036727F"/>
    <w:rsid w:val="00367FC7"/>
    <w:rsid w:val="00375E1F"/>
    <w:rsid w:val="00376010"/>
    <w:rsid w:val="0037752C"/>
    <w:rsid w:val="00380CF6"/>
    <w:rsid w:val="00381476"/>
    <w:rsid w:val="00381BE7"/>
    <w:rsid w:val="00381DED"/>
    <w:rsid w:val="00384B6A"/>
    <w:rsid w:val="0038545E"/>
    <w:rsid w:val="003944A3"/>
    <w:rsid w:val="00395EA6"/>
    <w:rsid w:val="00397AE2"/>
    <w:rsid w:val="00397DF7"/>
    <w:rsid w:val="003A282F"/>
    <w:rsid w:val="003A325F"/>
    <w:rsid w:val="003A4954"/>
    <w:rsid w:val="003A56A3"/>
    <w:rsid w:val="003B1006"/>
    <w:rsid w:val="003B20E6"/>
    <w:rsid w:val="003B612C"/>
    <w:rsid w:val="003C0EA0"/>
    <w:rsid w:val="003C5D58"/>
    <w:rsid w:val="003C6CE9"/>
    <w:rsid w:val="003D2608"/>
    <w:rsid w:val="003D28D4"/>
    <w:rsid w:val="003D33D1"/>
    <w:rsid w:val="003D4CCC"/>
    <w:rsid w:val="003D598D"/>
    <w:rsid w:val="003D5B8C"/>
    <w:rsid w:val="003D7F96"/>
    <w:rsid w:val="003E0233"/>
    <w:rsid w:val="003E037A"/>
    <w:rsid w:val="003E04B4"/>
    <w:rsid w:val="003E2269"/>
    <w:rsid w:val="003E29AE"/>
    <w:rsid w:val="003E3541"/>
    <w:rsid w:val="003E4461"/>
    <w:rsid w:val="003E448D"/>
    <w:rsid w:val="003E56C4"/>
    <w:rsid w:val="003F0349"/>
    <w:rsid w:val="003F1647"/>
    <w:rsid w:val="003F19C3"/>
    <w:rsid w:val="003F2400"/>
    <w:rsid w:val="003F4A64"/>
    <w:rsid w:val="003F4E6E"/>
    <w:rsid w:val="004004A0"/>
    <w:rsid w:val="00401CD5"/>
    <w:rsid w:val="004022E1"/>
    <w:rsid w:val="0040478C"/>
    <w:rsid w:val="0040530D"/>
    <w:rsid w:val="00405AB9"/>
    <w:rsid w:val="00407213"/>
    <w:rsid w:val="00407608"/>
    <w:rsid w:val="004079A5"/>
    <w:rsid w:val="00407C1E"/>
    <w:rsid w:val="00410741"/>
    <w:rsid w:val="004115D3"/>
    <w:rsid w:val="00412EEA"/>
    <w:rsid w:val="004162A5"/>
    <w:rsid w:val="00416921"/>
    <w:rsid w:val="00422C69"/>
    <w:rsid w:val="00423910"/>
    <w:rsid w:val="00423C0A"/>
    <w:rsid w:val="00424B4B"/>
    <w:rsid w:val="00426F17"/>
    <w:rsid w:val="00427B0E"/>
    <w:rsid w:val="004306C9"/>
    <w:rsid w:val="00431768"/>
    <w:rsid w:val="004332CE"/>
    <w:rsid w:val="00435C51"/>
    <w:rsid w:val="0044120E"/>
    <w:rsid w:val="00442B88"/>
    <w:rsid w:val="00443602"/>
    <w:rsid w:val="00443F64"/>
    <w:rsid w:val="004450A4"/>
    <w:rsid w:val="0044650F"/>
    <w:rsid w:val="00447E15"/>
    <w:rsid w:val="0045042C"/>
    <w:rsid w:val="004506F6"/>
    <w:rsid w:val="00450713"/>
    <w:rsid w:val="00451581"/>
    <w:rsid w:val="00451659"/>
    <w:rsid w:val="00451837"/>
    <w:rsid w:val="00451DAD"/>
    <w:rsid w:val="00452798"/>
    <w:rsid w:val="00453737"/>
    <w:rsid w:val="004554E2"/>
    <w:rsid w:val="004574FE"/>
    <w:rsid w:val="004576FC"/>
    <w:rsid w:val="00457A6D"/>
    <w:rsid w:val="00457E02"/>
    <w:rsid w:val="00462B10"/>
    <w:rsid w:val="00462B75"/>
    <w:rsid w:val="004639FC"/>
    <w:rsid w:val="00466325"/>
    <w:rsid w:val="00466A47"/>
    <w:rsid w:val="00466F84"/>
    <w:rsid w:val="00467FA0"/>
    <w:rsid w:val="00470C6A"/>
    <w:rsid w:val="004741EC"/>
    <w:rsid w:val="00474318"/>
    <w:rsid w:val="00477FCF"/>
    <w:rsid w:val="004803B9"/>
    <w:rsid w:val="00487290"/>
    <w:rsid w:val="004873B1"/>
    <w:rsid w:val="00490276"/>
    <w:rsid w:val="00492047"/>
    <w:rsid w:val="0049357C"/>
    <w:rsid w:val="0049514D"/>
    <w:rsid w:val="004952D5"/>
    <w:rsid w:val="00495765"/>
    <w:rsid w:val="0049584C"/>
    <w:rsid w:val="00495F59"/>
    <w:rsid w:val="004978B3"/>
    <w:rsid w:val="004A04D2"/>
    <w:rsid w:val="004A0BA3"/>
    <w:rsid w:val="004A1907"/>
    <w:rsid w:val="004A2AA8"/>
    <w:rsid w:val="004A2F05"/>
    <w:rsid w:val="004A4141"/>
    <w:rsid w:val="004A498D"/>
    <w:rsid w:val="004A6EDC"/>
    <w:rsid w:val="004A7A18"/>
    <w:rsid w:val="004B08CD"/>
    <w:rsid w:val="004B3F55"/>
    <w:rsid w:val="004B5CF0"/>
    <w:rsid w:val="004C36BE"/>
    <w:rsid w:val="004C6DE4"/>
    <w:rsid w:val="004D29B7"/>
    <w:rsid w:val="004D52E4"/>
    <w:rsid w:val="004D5A6F"/>
    <w:rsid w:val="004D6B87"/>
    <w:rsid w:val="004D6F8C"/>
    <w:rsid w:val="004E1226"/>
    <w:rsid w:val="004E1288"/>
    <w:rsid w:val="004E1CF9"/>
    <w:rsid w:val="004E3723"/>
    <w:rsid w:val="004E4495"/>
    <w:rsid w:val="004E589C"/>
    <w:rsid w:val="004E5E50"/>
    <w:rsid w:val="004E6FC7"/>
    <w:rsid w:val="004F02CE"/>
    <w:rsid w:val="004F09E4"/>
    <w:rsid w:val="004F1CAB"/>
    <w:rsid w:val="004F2033"/>
    <w:rsid w:val="004F2CFC"/>
    <w:rsid w:val="004F2D84"/>
    <w:rsid w:val="004F413D"/>
    <w:rsid w:val="004F4F24"/>
    <w:rsid w:val="004F670B"/>
    <w:rsid w:val="004F6D07"/>
    <w:rsid w:val="005008F9"/>
    <w:rsid w:val="00500C1A"/>
    <w:rsid w:val="00500EFC"/>
    <w:rsid w:val="00504D56"/>
    <w:rsid w:val="00504F49"/>
    <w:rsid w:val="005058FE"/>
    <w:rsid w:val="00505FD7"/>
    <w:rsid w:val="0050652B"/>
    <w:rsid w:val="00517165"/>
    <w:rsid w:val="00520D6A"/>
    <w:rsid w:val="0052193F"/>
    <w:rsid w:val="005219AF"/>
    <w:rsid w:val="00521A5F"/>
    <w:rsid w:val="00521EFE"/>
    <w:rsid w:val="005234DA"/>
    <w:rsid w:val="00523DDA"/>
    <w:rsid w:val="00531472"/>
    <w:rsid w:val="00531B25"/>
    <w:rsid w:val="005321B0"/>
    <w:rsid w:val="005333E6"/>
    <w:rsid w:val="00534C7A"/>
    <w:rsid w:val="005403AD"/>
    <w:rsid w:val="005416D4"/>
    <w:rsid w:val="00541DBC"/>
    <w:rsid w:val="00542002"/>
    <w:rsid w:val="00543FF1"/>
    <w:rsid w:val="005465B2"/>
    <w:rsid w:val="00547187"/>
    <w:rsid w:val="00547C47"/>
    <w:rsid w:val="005521FB"/>
    <w:rsid w:val="00552C08"/>
    <w:rsid w:val="0055461A"/>
    <w:rsid w:val="00554B11"/>
    <w:rsid w:val="00555168"/>
    <w:rsid w:val="00555492"/>
    <w:rsid w:val="00557CA7"/>
    <w:rsid w:val="00557E45"/>
    <w:rsid w:val="00560D3D"/>
    <w:rsid w:val="00560F96"/>
    <w:rsid w:val="005615C2"/>
    <w:rsid w:val="005627B3"/>
    <w:rsid w:val="00562845"/>
    <w:rsid w:val="00562871"/>
    <w:rsid w:val="005640C3"/>
    <w:rsid w:val="00571A44"/>
    <w:rsid w:val="0057474A"/>
    <w:rsid w:val="00576408"/>
    <w:rsid w:val="00576B1D"/>
    <w:rsid w:val="00576C8B"/>
    <w:rsid w:val="00577329"/>
    <w:rsid w:val="005818E4"/>
    <w:rsid w:val="00583004"/>
    <w:rsid w:val="00584E65"/>
    <w:rsid w:val="00585AC6"/>
    <w:rsid w:val="00586E94"/>
    <w:rsid w:val="00593F5E"/>
    <w:rsid w:val="00594E01"/>
    <w:rsid w:val="00595BC0"/>
    <w:rsid w:val="005961C7"/>
    <w:rsid w:val="0059694B"/>
    <w:rsid w:val="005A0E48"/>
    <w:rsid w:val="005A6676"/>
    <w:rsid w:val="005A6B7C"/>
    <w:rsid w:val="005A7EC5"/>
    <w:rsid w:val="005B0C2C"/>
    <w:rsid w:val="005B4688"/>
    <w:rsid w:val="005B6D15"/>
    <w:rsid w:val="005B7062"/>
    <w:rsid w:val="005C0683"/>
    <w:rsid w:val="005C075E"/>
    <w:rsid w:val="005C1A06"/>
    <w:rsid w:val="005C1C1E"/>
    <w:rsid w:val="005C2607"/>
    <w:rsid w:val="005C62ED"/>
    <w:rsid w:val="005C655B"/>
    <w:rsid w:val="005C7877"/>
    <w:rsid w:val="005D1B42"/>
    <w:rsid w:val="005D4C74"/>
    <w:rsid w:val="005D50D4"/>
    <w:rsid w:val="005E2E51"/>
    <w:rsid w:val="005E504D"/>
    <w:rsid w:val="005E566F"/>
    <w:rsid w:val="005E586A"/>
    <w:rsid w:val="005E5C31"/>
    <w:rsid w:val="005E78B2"/>
    <w:rsid w:val="005E7D51"/>
    <w:rsid w:val="005F1DDA"/>
    <w:rsid w:val="005F668D"/>
    <w:rsid w:val="0060047A"/>
    <w:rsid w:val="00600648"/>
    <w:rsid w:val="00602FD9"/>
    <w:rsid w:val="00603563"/>
    <w:rsid w:val="00621B75"/>
    <w:rsid w:val="00621D39"/>
    <w:rsid w:val="006238F1"/>
    <w:rsid w:val="00624531"/>
    <w:rsid w:val="00624F39"/>
    <w:rsid w:val="0063083B"/>
    <w:rsid w:val="0063090B"/>
    <w:rsid w:val="006316A4"/>
    <w:rsid w:val="00632D44"/>
    <w:rsid w:val="00635FCD"/>
    <w:rsid w:val="006364D5"/>
    <w:rsid w:val="006369C6"/>
    <w:rsid w:val="00640D08"/>
    <w:rsid w:val="00642178"/>
    <w:rsid w:val="0064236E"/>
    <w:rsid w:val="006425FF"/>
    <w:rsid w:val="0064290A"/>
    <w:rsid w:val="006446FF"/>
    <w:rsid w:val="0064533E"/>
    <w:rsid w:val="00650020"/>
    <w:rsid w:val="00651CAC"/>
    <w:rsid w:val="006534F0"/>
    <w:rsid w:val="00653ED6"/>
    <w:rsid w:val="00654E12"/>
    <w:rsid w:val="00656ED7"/>
    <w:rsid w:val="00663437"/>
    <w:rsid w:val="00663768"/>
    <w:rsid w:val="0066485C"/>
    <w:rsid w:val="00664CD3"/>
    <w:rsid w:val="00664E24"/>
    <w:rsid w:val="00665842"/>
    <w:rsid w:val="00666D47"/>
    <w:rsid w:val="0066740A"/>
    <w:rsid w:val="00667597"/>
    <w:rsid w:val="00667DF2"/>
    <w:rsid w:val="00670CB4"/>
    <w:rsid w:val="0067333F"/>
    <w:rsid w:val="00680F61"/>
    <w:rsid w:val="006816A9"/>
    <w:rsid w:val="00682E43"/>
    <w:rsid w:val="00684770"/>
    <w:rsid w:val="006851B6"/>
    <w:rsid w:val="00685287"/>
    <w:rsid w:val="0068566E"/>
    <w:rsid w:val="0068676A"/>
    <w:rsid w:val="0068735F"/>
    <w:rsid w:val="006878AE"/>
    <w:rsid w:val="00692D81"/>
    <w:rsid w:val="00692D86"/>
    <w:rsid w:val="00692DA6"/>
    <w:rsid w:val="00692DF2"/>
    <w:rsid w:val="00695BF1"/>
    <w:rsid w:val="00696071"/>
    <w:rsid w:val="006960DB"/>
    <w:rsid w:val="006A20A0"/>
    <w:rsid w:val="006A241C"/>
    <w:rsid w:val="006A2BEC"/>
    <w:rsid w:val="006A4AB4"/>
    <w:rsid w:val="006A691D"/>
    <w:rsid w:val="006B1751"/>
    <w:rsid w:val="006B4D96"/>
    <w:rsid w:val="006B5128"/>
    <w:rsid w:val="006B6AC6"/>
    <w:rsid w:val="006C3E9B"/>
    <w:rsid w:val="006C58D1"/>
    <w:rsid w:val="006C77A4"/>
    <w:rsid w:val="006C7D10"/>
    <w:rsid w:val="006D07EB"/>
    <w:rsid w:val="006D0F4B"/>
    <w:rsid w:val="006D0F79"/>
    <w:rsid w:val="006D1BC6"/>
    <w:rsid w:val="006D24A6"/>
    <w:rsid w:val="006D42CF"/>
    <w:rsid w:val="006D4B2D"/>
    <w:rsid w:val="006D53AE"/>
    <w:rsid w:val="006D61DE"/>
    <w:rsid w:val="006D7617"/>
    <w:rsid w:val="006E0EF8"/>
    <w:rsid w:val="006E3640"/>
    <w:rsid w:val="006F02DE"/>
    <w:rsid w:val="00700319"/>
    <w:rsid w:val="00702627"/>
    <w:rsid w:val="00710D11"/>
    <w:rsid w:val="00711215"/>
    <w:rsid w:val="0071629F"/>
    <w:rsid w:val="00717B3F"/>
    <w:rsid w:val="007208B6"/>
    <w:rsid w:val="0072223C"/>
    <w:rsid w:val="00723056"/>
    <w:rsid w:val="00724A07"/>
    <w:rsid w:val="00725BE5"/>
    <w:rsid w:val="0072615F"/>
    <w:rsid w:val="00732175"/>
    <w:rsid w:val="0073710A"/>
    <w:rsid w:val="0074219A"/>
    <w:rsid w:val="0074276F"/>
    <w:rsid w:val="00743C43"/>
    <w:rsid w:val="0074400C"/>
    <w:rsid w:val="00744968"/>
    <w:rsid w:val="00746D42"/>
    <w:rsid w:val="00747F0D"/>
    <w:rsid w:val="00751BD5"/>
    <w:rsid w:val="0075206A"/>
    <w:rsid w:val="00752457"/>
    <w:rsid w:val="00753E08"/>
    <w:rsid w:val="007541A1"/>
    <w:rsid w:val="007562CB"/>
    <w:rsid w:val="00762AAA"/>
    <w:rsid w:val="0076409A"/>
    <w:rsid w:val="00767DC3"/>
    <w:rsid w:val="007708B4"/>
    <w:rsid w:val="00770C2E"/>
    <w:rsid w:val="00771698"/>
    <w:rsid w:val="00774F66"/>
    <w:rsid w:val="0078009F"/>
    <w:rsid w:val="0078115C"/>
    <w:rsid w:val="0078353B"/>
    <w:rsid w:val="0079164C"/>
    <w:rsid w:val="00792690"/>
    <w:rsid w:val="00797036"/>
    <w:rsid w:val="0079722C"/>
    <w:rsid w:val="00797DE3"/>
    <w:rsid w:val="00797EC0"/>
    <w:rsid w:val="007A16BB"/>
    <w:rsid w:val="007A623E"/>
    <w:rsid w:val="007A695F"/>
    <w:rsid w:val="007A734A"/>
    <w:rsid w:val="007B2205"/>
    <w:rsid w:val="007B294F"/>
    <w:rsid w:val="007B3094"/>
    <w:rsid w:val="007B48D5"/>
    <w:rsid w:val="007B6060"/>
    <w:rsid w:val="007B6E32"/>
    <w:rsid w:val="007C00FB"/>
    <w:rsid w:val="007C3CAF"/>
    <w:rsid w:val="007C520D"/>
    <w:rsid w:val="007C5249"/>
    <w:rsid w:val="007C52A3"/>
    <w:rsid w:val="007C5954"/>
    <w:rsid w:val="007D0158"/>
    <w:rsid w:val="007D11D7"/>
    <w:rsid w:val="007D1E89"/>
    <w:rsid w:val="007D35AE"/>
    <w:rsid w:val="007D42AC"/>
    <w:rsid w:val="007D4B69"/>
    <w:rsid w:val="007D514D"/>
    <w:rsid w:val="007D5A97"/>
    <w:rsid w:val="007D67C1"/>
    <w:rsid w:val="007D73DB"/>
    <w:rsid w:val="007E1018"/>
    <w:rsid w:val="007E17A4"/>
    <w:rsid w:val="007E3571"/>
    <w:rsid w:val="007E3722"/>
    <w:rsid w:val="007E429F"/>
    <w:rsid w:val="007E457E"/>
    <w:rsid w:val="007E700E"/>
    <w:rsid w:val="007E772E"/>
    <w:rsid w:val="007F0227"/>
    <w:rsid w:val="007F0B32"/>
    <w:rsid w:val="007F2752"/>
    <w:rsid w:val="007F2C93"/>
    <w:rsid w:val="007F332E"/>
    <w:rsid w:val="007F4F12"/>
    <w:rsid w:val="007F529C"/>
    <w:rsid w:val="007F61E4"/>
    <w:rsid w:val="007F68A4"/>
    <w:rsid w:val="00800B40"/>
    <w:rsid w:val="008012E8"/>
    <w:rsid w:val="0080485E"/>
    <w:rsid w:val="00805A41"/>
    <w:rsid w:val="00811277"/>
    <w:rsid w:val="008118AE"/>
    <w:rsid w:val="008120F2"/>
    <w:rsid w:val="008141CB"/>
    <w:rsid w:val="00816030"/>
    <w:rsid w:val="00817AE4"/>
    <w:rsid w:val="0082009B"/>
    <w:rsid w:val="008225AA"/>
    <w:rsid w:val="00822E91"/>
    <w:rsid w:val="00823A47"/>
    <w:rsid w:val="00824CD5"/>
    <w:rsid w:val="00831F61"/>
    <w:rsid w:val="00832B83"/>
    <w:rsid w:val="008330EC"/>
    <w:rsid w:val="0083342D"/>
    <w:rsid w:val="008346B4"/>
    <w:rsid w:val="00834AEB"/>
    <w:rsid w:val="008358AE"/>
    <w:rsid w:val="00835FD6"/>
    <w:rsid w:val="008364C2"/>
    <w:rsid w:val="008371F9"/>
    <w:rsid w:val="008372B6"/>
    <w:rsid w:val="00844F97"/>
    <w:rsid w:val="00846D08"/>
    <w:rsid w:val="0086029E"/>
    <w:rsid w:val="008605B3"/>
    <w:rsid w:val="008621F1"/>
    <w:rsid w:val="00865D72"/>
    <w:rsid w:val="008673AA"/>
    <w:rsid w:val="00867521"/>
    <w:rsid w:val="00867571"/>
    <w:rsid w:val="00867A9E"/>
    <w:rsid w:val="0087021D"/>
    <w:rsid w:val="00872CD9"/>
    <w:rsid w:val="008764D8"/>
    <w:rsid w:val="00876678"/>
    <w:rsid w:val="00877458"/>
    <w:rsid w:val="00877EF5"/>
    <w:rsid w:val="0088127B"/>
    <w:rsid w:val="008819CC"/>
    <w:rsid w:val="00881AC6"/>
    <w:rsid w:val="0088321B"/>
    <w:rsid w:val="00885962"/>
    <w:rsid w:val="00886AD3"/>
    <w:rsid w:val="0088726C"/>
    <w:rsid w:val="0089037B"/>
    <w:rsid w:val="00890B9B"/>
    <w:rsid w:val="00890C4B"/>
    <w:rsid w:val="00892317"/>
    <w:rsid w:val="00892FD5"/>
    <w:rsid w:val="0089323F"/>
    <w:rsid w:val="00894E8F"/>
    <w:rsid w:val="00895771"/>
    <w:rsid w:val="008A24EB"/>
    <w:rsid w:val="008A3ECC"/>
    <w:rsid w:val="008A408B"/>
    <w:rsid w:val="008A4B17"/>
    <w:rsid w:val="008B129F"/>
    <w:rsid w:val="008B19B0"/>
    <w:rsid w:val="008B656B"/>
    <w:rsid w:val="008B6A7B"/>
    <w:rsid w:val="008B7ADA"/>
    <w:rsid w:val="008C3169"/>
    <w:rsid w:val="008C3BF9"/>
    <w:rsid w:val="008C6933"/>
    <w:rsid w:val="008C781B"/>
    <w:rsid w:val="008D0D04"/>
    <w:rsid w:val="008D10E6"/>
    <w:rsid w:val="008D1106"/>
    <w:rsid w:val="008D4635"/>
    <w:rsid w:val="008D468D"/>
    <w:rsid w:val="008D6F8C"/>
    <w:rsid w:val="008D72E4"/>
    <w:rsid w:val="008D7A09"/>
    <w:rsid w:val="008E0422"/>
    <w:rsid w:val="008E064E"/>
    <w:rsid w:val="008E179B"/>
    <w:rsid w:val="008E1B7D"/>
    <w:rsid w:val="008E1FF0"/>
    <w:rsid w:val="008E353B"/>
    <w:rsid w:val="008E68AB"/>
    <w:rsid w:val="008E70C5"/>
    <w:rsid w:val="008E749B"/>
    <w:rsid w:val="008E7654"/>
    <w:rsid w:val="008F04E8"/>
    <w:rsid w:val="008F102F"/>
    <w:rsid w:val="008F529B"/>
    <w:rsid w:val="00901C36"/>
    <w:rsid w:val="00903830"/>
    <w:rsid w:val="009044C3"/>
    <w:rsid w:val="00905426"/>
    <w:rsid w:val="00905792"/>
    <w:rsid w:val="00910303"/>
    <w:rsid w:val="009103C4"/>
    <w:rsid w:val="009126FA"/>
    <w:rsid w:val="00912F71"/>
    <w:rsid w:val="0091604A"/>
    <w:rsid w:val="00916BC7"/>
    <w:rsid w:val="009170A5"/>
    <w:rsid w:val="00920B95"/>
    <w:rsid w:val="0092199A"/>
    <w:rsid w:val="00922862"/>
    <w:rsid w:val="00924161"/>
    <w:rsid w:val="00924276"/>
    <w:rsid w:val="0092492A"/>
    <w:rsid w:val="00925D5F"/>
    <w:rsid w:val="00926ED4"/>
    <w:rsid w:val="0093177E"/>
    <w:rsid w:val="009332CC"/>
    <w:rsid w:val="00935B5E"/>
    <w:rsid w:val="0094105A"/>
    <w:rsid w:val="00941ABB"/>
    <w:rsid w:val="00941E84"/>
    <w:rsid w:val="009423C8"/>
    <w:rsid w:val="00944845"/>
    <w:rsid w:val="00945170"/>
    <w:rsid w:val="00945526"/>
    <w:rsid w:val="009470C1"/>
    <w:rsid w:val="00947941"/>
    <w:rsid w:val="009512C3"/>
    <w:rsid w:val="00951C5C"/>
    <w:rsid w:val="009549EE"/>
    <w:rsid w:val="00955196"/>
    <w:rsid w:val="00961BE3"/>
    <w:rsid w:val="00962763"/>
    <w:rsid w:val="00963C68"/>
    <w:rsid w:val="00965CC0"/>
    <w:rsid w:val="0096731C"/>
    <w:rsid w:val="0096755B"/>
    <w:rsid w:val="009717EE"/>
    <w:rsid w:val="009728B5"/>
    <w:rsid w:val="0097294B"/>
    <w:rsid w:val="0097368F"/>
    <w:rsid w:val="00975DB3"/>
    <w:rsid w:val="0098538A"/>
    <w:rsid w:val="00985F08"/>
    <w:rsid w:val="00985FE3"/>
    <w:rsid w:val="00986580"/>
    <w:rsid w:val="0098699E"/>
    <w:rsid w:val="00987993"/>
    <w:rsid w:val="0099050A"/>
    <w:rsid w:val="00990E87"/>
    <w:rsid w:val="00991BF8"/>
    <w:rsid w:val="009923F0"/>
    <w:rsid w:val="00992743"/>
    <w:rsid w:val="009932F9"/>
    <w:rsid w:val="0099539B"/>
    <w:rsid w:val="00995BC6"/>
    <w:rsid w:val="00996042"/>
    <w:rsid w:val="0099745C"/>
    <w:rsid w:val="009A0A1D"/>
    <w:rsid w:val="009A26D8"/>
    <w:rsid w:val="009A28F5"/>
    <w:rsid w:val="009A437A"/>
    <w:rsid w:val="009A4479"/>
    <w:rsid w:val="009A523B"/>
    <w:rsid w:val="009A5834"/>
    <w:rsid w:val="009A7227"/>
    <w:rsid w:val="009B0578"/>
    <w:rsid w:val="009B2E6C"/>
    <w:rsid w:val="009B35DC"/>
    <w:rsid w:val="009B4039"/>
    <w:rsid w:val="009B63D9"/>
    <w:rsid w:val="009B6507"/>
    <w:rsid w:val="009C0364"/>
    <w:rsid w:val="009C0881"/>
    <w:rsid w:val="009C0DF1"/>
    <w:rsid w:val="009C274D"/>
    <w:rsid w:val="009C3627"/>
    <w:rsid w:val="009C6B5A"/>
    <w:rsid w:val="009C6CE5"/>
    <w:rsid w:val="009C796D"/>
    <w:rsid w:val="009D230C"/>
    <w:rsid w:val="009D2E3F"/>
    <w:rsid w:val="009D3D6B"/>
    <w:rsid w:val="009D45FE"/>
    <w:rsid w:val="009D4B3B"/>
    <w:rsid w:val="009D69AD"/>
    <w:rsid w:val="009E2C2B"/>
    <w:rsid w:val="009E3F9B"/>
    <w:rsid w:val="009E4597"/>
    <w:rsid w:val="009E4A76"/>
    <w:rsid w:val="009E548D"/>
    <w:rsid w:val="009E685D"/>
    <w:rsid w:val="009E7023"/>
    <w:rsid w:val="009F0639"/>
    <w:rsid w:val="009F0C09"/>
    <w:rsid w:val="009F2091"/>
    <w:rsid w:val="009F2310"/>
    <w:rsid w:val="009F329F"/>
    <w:rsid w:val="009F3AB9"/>
    <w:rsid w:val="009F3BD8"/>
    <w:rsid w:val="009F4B27"/>
    <w:rsid w:val="009F4BFF"/>
    <w:rsid w:val="009F4F1F"/>
    <w:rsid w:val="009F5813"/>
    <w:rsid w:val="00A0065D"/>
    <w:rsid w:val="00A01D9A"/>
    <w:rsid w:val="00A03147"/>
    <w:rsid w:val="00A04801"/>
    <w:rsid w:val="00A04965"/>
    <w:rsid w:val="00A04C3E"/>
    <w:rsid w:val="00A054AC"/>
    <w:rsid w:val="00A07025"/>
    <w:rsid w:val="00A07754"/>
    <w:rsid w:val="00A17470"/>
    <w:rsid w:val="00A17E5A"/>
    <w:rsid w:val="00A20322"/>
    <w:rsid w:val="00A2275D"/>
    <w:rsid w:val="00A22CA1"/>
    <w:rsid w:val="00A22DBB"/>
    <w:rsid w:val="00A26583"/>
    <w:rsid w:val="00A27C0D"/>
    <w:rsid w:val="00A311CB"/>
    <w:rsid w:val="00A350EC"/>
    <w:rsid w:val="00A4102C"/>
    <w:rsid w:val="00A41071"/>
    <w:rsid w:val="00A41584"/>
    <w:rsid w:val="00A420C3"/>
    <w:rsid w:val="00A43811"/>
    <w:rsid w:val="00A43CE5"/>
    <w:rsid w:val="00A456B6"/>
    <w:rsid w:val="00A456DA"/>
    <w:rsid w:val="00A5375C"/>
    <w:rsid w:val="00A53A37"/>
    <w:rsid w:val="00A53CD4"/>
    <w:rsid w:val="00A552F5"/>
    <w:rsid w:val="00A55446"/>
    <w:rsid w:val="00A560AB"/>
    <w:rsid w:val="00A56EF7"/>
    <w:rsid w:val="00A571EA"/>
    <w:rsid w:val="00A61B9C"/>
    <w:rsid w:val="00A6292A"/>
    <w:rsid w:val="00A646FC"/>
    <w:rsid w:val="00A64A90"/>
    <w:rsid w:val="00A65637"/>
    <w:rsid w:val="00A6606C"/>
    <w:rsid w:val="00A663A0"/>
    <w:rsid w:val="00A67E65"/>
    <w:rsid w:val="00A730DE"/>
    <w:rsid w:val="00A754A3"/>
    <w:rsid w:val="00A777E6"/>
    <w:rsid w:val="00A779BB"/>
    <w:rsid w:val="00A81B23"/>
    <w:rsid w:val="00A81EF1"/>
    <w:rsid w:val="00A823C1"/>
    <w:rsid w:val="00A83DCD"/>
    <w:rsid w:val="00A84901"/>
    <w:rsid w:val="00A8531D"/>
    <w:rsid w:val="00A859D3"/>
    <w:rsid w:val="00A868C6"/>
    <w:rsid w:val="00A86E5F"/>
    <w:rsid w:val="00A87C17"/>
    <w:rsid w:val="00A909CC"/>
    <w:rsid w:val="00A910E5"/>
    <w:rsid w:val="00A91645"/>
    <w:rsid w:val="00A9422E"/>
    <w:rsid w:val="00AA259B"/>
    <w:rsid w:val="00AA3488"/>
    <w:rsid w:val="00AA3586"/>
    <w:rsid w:val="00AA49EC"/>
    <w:rsid w:val="00AA5B71"/>
    <w:rsid w:val="00AA6498"/>
    <w:rsid w:val="00AA6E83"/>
    <w:rsid w:val="00AB0103"/>
    <w:rsid w:val="00AB1DB4"/>
    <w:rsid w:val="00AB384B"/>
    <w:rsid w:val="00AB42DA"/>
    <w:rsid w:val="00AB55DD"/>
    <w:rsid w:val="00AB77BD"/>
    <w:rsid w:val="00AC169D"/>
    <w:rsid w:val="00AC3210"/>
    <w:rsid w:val="00AC5DCB"/>
    <w:rsid w:val="00AD2049"/>
    <w:rsid w:val="00AD2FAF"/>
    <w:rsid w:val="00AD5E2F"/>
    <w:rsid w:val="00AD6BEC"/>
    <w:rsid w:val="00AE2072"/>
    <w:rsid w:val="00AE3406"/>
    <w:rsid w:val="00AE399C"/>
    <w:rsid w:val="00AE4F8F"/>
    <w:rsid w:val="00AE7853"/>
    <w:rsid w:val="00AE788C"/>
    <w:rsid w:val="00AE7B93"/>
    <w:rsid w:val="00AF0327"/>
    <w:rsid w:val="00AF0B09"/>
    <w:rsid w:val="00AF3168"/>
    <w:rsid w:val="00AF58D5"/>
    <w:rsid w:val="00B00690"/>
    <w:rsid w:val="00B01E82"/>
    <w:rsid w:val="00B04A13"/>
    <w:rsid w:val="00B04CDA"/>
    <w:rsid w:val="00B0565A"/>
    <w:rsid w:val="00B05B34"/>
    <w:rsid w:val="00B06235"/>
    <w:rsid w:val="00B104EF"/>
    <w:rsid w:val="00B114C1"/>
    <w:rsid w:val="00B12116"/>
    <w:rsid w:val="00B221A1"/>
    <w:rsid w:val="00B23363"/>
    <w:rsid w:val="00B235CA"/>
    <w:rsid w:val="00B23F3A"/>
    <w:rsid w:val="00B2456A"/>
    <w:rsid w:val="00B246D6"/>
    <w:rsid w:val="00B25112"/>
    <w:rsid w:val="00B25A4D"/>
    <w:rsid w:val="00B32EF2"/>
    <w:rsid w:val="00B34A67"/>
    <w:rsid w:val="00B41F26"/>
    <w:rsid w:val="00B4261A"/>
    <w:rsid w:val="00B439D6"/>
    <w:rsid w:val="00B4518B"/>
    <w:rsid w:val="00B46390"/>
    <w:rsid w:val="00B500A3"/>
    <w:rsid w:val="00B56684"/>
    <w:rsid w:val="00B5715D"/>
    <w:rsid w:val="00B578BE"/>
    <w:rsid w:val="00B64063"/>
    <w:rsid w:val="00B64132"/>
    <w:rsid w:val="00B6445C"/>
    <w:rsid w:val="00B67D6A"/>
    <w:rsid w:val="00B70C0A"/>
    <w:rsid w:val="00B70EE2"/>
    <w:rsid w:val="00B714F4"/>
    <w:rsid w:val="00B71A31"/>
    <w:rsid w:val="00B72302"/>
    <w:rsid w:val="00B7479D"/>
    <w:rsid w:val="00B74C58"/>
    <w:rsid w:val="00B74C63"/>
    <w:rsid w:val="00B77717"/>
    <w:rsid w:val="00B80137"/>
    <w:rsid w:val="00B80518"/>
    <w:rsid w:val="00B8195D"/>
    <w:rsid w:val="00B821D7"/>
    <w:rsid w:val="00B8254B"/>
    <w:rsid w:val="00B83D95"/>
    <w:rsid w:val="00B8401B"/>
    <w:rsid w:val="00B8507B"/>
    <w:rsid w:val="00B85862"/>
    <w:rsid w:val="00B85BC4"/>
    <w:rsid w:val="00B85EB5"/>
    <w:rsid w:val="00B867B0"/>
    <w:rsid w:val="00B90065"/>
    <w:rsid w:val="00B9133E"/>
    <w:rsid w:val="00B938A6"/>
    <w:rsid w:val="00B93EA4"/>
    <w:rsid w:val="00B94534"/>
    <w:rsid w:val="00B95DD3"/>
    <w:rsid w:val="00B963F1"/>
    <w:rsid w:val="00B965A8"/>
    <w:rsid w:val="00B96E2C"/>
    <w:rsid w:val="00BA179D"/>
    <w:rsid w:val="00BA2186"/>
    <w:rsid w:val="00BA46B4"/>
    <w:rsid w:val="00BA4E30"/>
    <w:rsid w:val="00BA5B69"/>
    <w:rsid w:val="00BA6327"/>
    <w:rsid w:val="00BA6DA3"/>
    <w:rsid w:val="00BA7561"/>
    <w:rsid w:val="00BB0D1F"/>
    <w:rsid w:val="00BB4257"/>
    <w:rsid w:val="00BB4A5E"/>
    <w:rsid w:val="00BB4DB1"/>
    <w:rsid w:val="00BB5DCE"/>
    <w:rsid w:val="00BB6166"/>
    <w:rsid w:val="00BC0549"/>
    <w:rsid w:val="00BC5460"/>
    <w:rsid w:val="00BD04DA"/>
    <w:rsid w:val="00BD29B0"/>
    <w:rsid w:val="00BD34F8"/>
    <w:rsid w:val="00BD474D"/>
    <w:rsid w:val="00BD6DFA"/>
    <w:rsid w:val="00BE1759"/>
    <w:rsid w:val="00BE28F3"/>
    <w:rsid w:val="00BE583E"/>
    <w:rsid w:val="00BE6FE6"/>
    <w:rsid w:val="00BF1B99"/>
    <w:rsid w:val="00BF3A59"/>
    <w:rsid w:val="00C05919"/>
    <w:rsid w:val="00C100A5"/>
    <w:rsid w:val="00C10677"/>
    <w:rsid w:val="00C12346"/>
    <w:rsid w:val="00C126F7"/>
    <w:rsid w:val="00C13196"/>
    <w:rsid w:val="00C15CE8"/>
    <w:rsid w:val="00C171E7"/>
    <w:rsid w:val="00C20DD2"/>
    <w:rsid w:val="00C214C9"/>
    <w:rsid w:val="00C2571D"/>
    <w:rsid w:val="00C27408"/>
    <w:rsid w:val="00C33DF6"/>
    <w:rsid w:val="00C3480D"/>
    <w:rsid w:val="00C34847"/>
    <w:rsid w:val="00C352EB"/>
    <w:rsid w:val="00C36483"/>
    <w:rsid w:val="00C36C75"/>
    <w:rsid w:val="00C421C7"/>
    <w:rsid w:val="00C42755"/>
    <w:rsid w:val="00C44EDA"/>
    <w:rsid w:val="00C45BB8"/>
    <w:rsid w:val="00C4630C"/>
    <w:rsid w:val="00C50B48"/>
    <w:rsid w:val="00C540DF"/>
    <w:rsid w:val="00C54289"/>
    <w:rsid w:val="00C571B1"/>
    <w:rsid w:val="00C63D42"/>
    <w:rsid w:val="00C6487B"/>
    <w:rsid w:val="00C7101F"/>
    <w:rsid w:val="00C71207"/>
    <w:rsid w:val="00C724B0"/>
    <w:rsid w:val="00C72AF0"/>
    <w:rsid w:val="00C76459"/>
    <w:rsid w:val="00C76650"/>
    <w:rsid w:val="00C811FF"/>
    <w:rsid w:val="00C81DAE"/>
    <w:rsid w:val="00C85A73"/>
    <w:rsid w:val="00C90037"/>
    <w:rsid w:val="00C92F8A"/>
    <w:rsid w:val="00C95D6B"/>
    <w:rsid w:val="00C96E0A"/>
    <w:rsid w:val="00CA15D9"/>
    <w:rsid w:val="00CA1975"/>
    <w:rsid w:val="00CA5042"/>
    <w:rsid w:val="00CA6209"/>
    <w:rsid w:val="00CA68D2"/>
    <w:rsid w:val="00CA6D54"/>
    <w:rsid w:val="00CB157D"/>
    <w:rsid w:val="00CB29F4"/>
    <w:rsid w:val="00CB562F"/>
    <w:rsid w:val="00CB687B"/>
    <w:rsid w:val="00CB6FFD"/>
    <w:rsid w:val="00CB71DA"/>
    <w:rsid w:val="00CB7E3C"/>
    <w:rsid w:val="00CC062A"/>
    <w:rsid w:val="00CC0F3B"/>
    <w:rsid w:val="00CC2F1B"/>
    <w:rsid w:val="00CC4639"/>
    <w:rsid w:val="00CC4804"/>
    <w:rsid w:val="00CC4B16"/>
    <w:rsid w:val="00CC5156"/>
    <w:rsid w:val="00CC5801"/>
    <w:rsid w:val="00CC5AB5"/>
    <w:rsid w:val="00CC5BAC"/>
    <w:rsid w:val="00CC704D"/>
    <w:rsid w:val="00CC7701"/>
    <w:rsid w:val="00CD01F1"/>
    <w:rsid w:val="00CD0532"/>
    <w:rsid w:val="00CD145B"/>
    <w:rsid w:val="00CD152E"/>
    <w:rsid w:val="00CD2797"/>
    <w:rsid w:val="00CD3C05"/>
    <w:rsid w:val="00CD4692"/>
    <w:rsid w:val="00CD4C0D"/>
    <w:rsid w:val="00CD77AA"/>
    <w:rsid w:val="00CE09FB"/>
    <w:rsid w:val="00CE11E3"/>
    <w:rsid w:val="00CE14CB"/>
    <w:rsid w:val="00CE1B10"/>
    <w:rsid w:val="00CE45BE"/>
    <w:rsid w:val="00CE496A"/>
    <w:rsid w:val="00CE5A0F"/>
    <w:rsid w:val="00CE5B5F"/>
    <w:rsid w:val="00CE7A32"/>
    <w:rsid w:val="00CE7F2F"/>
    <w:rsid w:val="00CF02A1"/>
    <w:rsid w:val="00CF3F0B"/>
    <w:rsid w:val="00CF56FB"/>
    <w:rsid w:val="00D038E9"/>
    <w:rsid w:val="00D03E4D"/>
    <w:rsid w:val="00D0672C"/>
    <w:rsid w:val="00D079D3"/>
    <w:rsid w:val="00D07C36"/>
    <w:rsid w:val="00D1012D"/>
    <w:rsid w:val="00D10682"/>
    <w:rsid w:val="00D12B0F"/>
    <w:rsid w:val="00D12D8B"/>
    <w:rsid w:val="00D13D4D"/>
    <w:rsid w:val="00D20164"/>
    <w:rsid w:val="00D2153B"/>
    <w:rsid w:val="00D21841"/>
    <w:rsid w:val="00D2226B"/>
    <w:rsid w:val="00D23567"/>
    <w:rsid w:val="00D23F93"/>
    <w:rsid w:val="00D24D82"/>
    <w:rsid w:val="00D2551E"/>
    <w:rsid w:val="00D3055F"/>
    <w:rsid w:val="00D30DB4"/>
    <w:rsid w:val="00D310AE"/>
    <w:rsid w:val="00D3518B"/>
    <w:rsid w:val="00D3682B"/>
    <w:rsid w:val="00D378DC"/>
    <w:rsid w:val="00D44559"/>
    <w:rsid w:val="00D45ED6"/>
    <w:rsid w:val="00D462F0"/>
    <w:rsid w:val="00D504D8"/>
    <w:rsid w:val="00D52D94"/>
    <w:rsid w:val="00D53F57"/>
    <w:rsid w:val="00D54122"/>
    <w:rsid w:val="00D551D5"/>
    <w:rsid w:val="00D560BF"/>
    <w:rsid w:val="00D5681A"/>
    <w:rsid w:val="00D578D4"/>
    <w:rsid w:val="00D6082E"/>
    <w:rsid w:val="00D611E6"/>
    <w:rsid w:val="00D61FC9"/>
    <w:rsid w:val="00D631E6"/>
    <w:rsid w:val="00D64AE4"/>
    <w:rsid w:val="00D675F9"/>
    <w:rsid w:val="00D7080B"/>
    <w:rsid w:val="00D721C0"/>
    <w:rsid w:val="00D74653"/>
    <w:rsid w:val="00D74813"/>
    <w:rsid w:val="00D74FC2"/>
    <w:rsid w:val="00D758A1"/>
    <w:rsid w:val="00D75929"/>
    <w:rsid w:val="00D765A1"/>
    <w:rsid w:val="00D83B02"/>
    <w:rsid w:val="00D901A4"/>
    <w:rsid w:val="00D90C07"/>
    <w:rsid w:val="00D91DD6"/>
    <w:rsid w:val="00D928BB"/>
    <w:rsid w:val="00D93513"/>
    <w:rsid w:val="00DA04FA"/>
    <w:rsid w:val="00DA2704"/>
    <w:rsid w:val="00DA44AE"/>
    <w:rsid w:val="00DA7999"/>
    <w:rsid w:val="00DB07AF"/>
    <w:rsid w:val="00DB1355"/>
    <w:rsid w:val="00DB1B12"/>
    <w:rsid w:val="00DB41ED"/>
    <w:rsid w:val="00DB47D7"/>
    <w:rsid w:val="00DB5B77"/>
    <w:rsid w:val="00DB6519"/>
    <w:rsid w:val="00DC0C07"/>
    <w:rsid w:val="00DC1074"/>
    <w:rsid w:val="00DC1B6B"/>
    <w:rsid w:val="00DC1F88"/>
    <w:rsid w:val="00DC4020"/>
    <w:rsid w:val="00DC464A"/>
    <w:rsid w:val="00DC47BF"/>
    <w:rsid w:val="00DC6B6F"/>
    <w:rsid w:val="00DC7F9A"/>
    <w:rsid w:val="00DD65BD"/>
    <w:rsid w:val="00DE003B"/>
    <w:rsid w:val="00DE08BB"/>
    <w:rsid w:val="00DE1BE8"/>
    <w:rsid w:val="00DE25A1"/>
    <w:rsid w:val="00DE347B"/>
    <w:rsid w:val="00DE5596"/>
    <w:rsid w:val="00DE570C"/>
    <w:rsid w:val="00DE6752"/>
    <w:rsid w:val="00DE75FC"/>
    <w:rsid w:val="00DE7734"/>
    <w:rsid w:val="00DE7897"/>
    <w:rsid w:val="00DF06CF"/>
    <w:rsid w:val="00DF0A2A"/>
    <w:rsid w:val="00DF32E4"/>
    <w:rsid w:val="00DF3798"/>
    <w:rsid w:val="00DF3C70"/>
    <w:rsid w:val="00DF3F33"/>
    <w:rsid w:val="00DF576E"/>
    <w:rsid w:val="00DF70D6"/>
    <w:rsid w:val="00DF771B"/>
    <w:rsid w:val="00E00172"/>
    <w:rsid w:val="00E004D5"/>
    <w:rsid w:val="00E0145A"/>
    <w:rsid w:val="00E01C60"/>
    <w:rsid w:val="00E0336C"/>
    <w:rsid w:val="00E10DBD"/>
    <w:rsid w:val="00E12160"/>
    <w:rsid w:val="00E1296C"/>
    <w:rsid w:val="00E138E8"/>
    <w:rsid w:val="00E174A2"/>
    <w:rsid w:val="00E1775F"/>
    <w:rsid w:val="00E17C40"/>
    <w:rsid w:val="00E20B0B"/>
    <w:rsid w:val="00E21FB7"/>
    <w:rsid w:val="00E26138"/>
    <w:rsid w:val="00E26E4F"/>
    <w:rsid w:val="00E270EA"/>
    <w:rsid w:val="00E27872"/>
    <w:rsid w:val="00E27F55"/>
    <w:rsid w:val="00E305F6"/>
    <w:rsid w:val="00E31D94"/>
    <w:rsid w:val="00E323F3"/>
    <w:rsid w:val="00E32D50"/>
    <w:rsid w:val="00E4137C"/>
    <w:rsid w:val="00E41552"/>
    <w:rsid w:val="00E41EDF"/>
    <w:rsid w:val="00E4610B"/>
    <w:rsid w:val="00E4674D"/>
    <w:rsid w:val="00E476AE"/>
    <w:rsid w:val="00E51391"/>
    <w:rsid w:val="00E516E9"/>
    <w:rsid w:val="00E52672"/>
    <w:rsid w:val="00E55C43"/>
    <w:rsid w:val="00E55C77"/>
    <w:rsid w:val="00E606EF"/>
    <w:rsid w:val="00E606F0"/>
    <w:rsid w:val="00E61D84"/>
    <w:rsid w:val="00E639AF"/>
    <w:rsid w:val="00E6403D"/>
    <w:rsid w:val="00E65564"/>
    <w:rsid w:val="00E72BEC"/>
    <w:rsid w:val="00E738EF"/>
    <w:rsid w:val="00E74447"/>
    <w:rsid w:val="00E74C8F"/>
    <w:rsid w:val="00E75697"/>
    <w:rsid w:val="00E76FD5"/>
    <w:rsid w:val="00E8196B"/>
    <w:rsid w:val="00E820CD"/>
    <w:rsid w:val="00E829B4"/>
    <w:rsid w:val="00E858FD"/>
    <w:rsid w:val="00E90938"/>
    <w:rsid w:val="00E916EA"/>
    <w:rsid w:val="00E941F2"/>
    <w:rsid w:val="00E9534F"/>
    <w:rsid w:val="00E95F24"/>
    <w:rsid w:val="00EA177D"/>
    <w:rsid w:val="00EA3217"/>
    <w:rsid w:val="00EA5A09"/>
    <w:rsid w:val="00EA6EC4"/>
    <w:rsid w:val="00EA7813"/>
    <w:rsid w:val="00EA7DDF"/>
    <w:rsid w:val="00EB1806"/>
    <w:rsid w:val="00EB2D2D"/>
    <w:rsid w:val="00EB48D9"/>
    <w:rsid w:val="00EB5FD3"/>
    <w:rsid w:val="00EB78B2"/>
    <w:rsid w:val="00EB7BF1"/>
    <w:rsid w:val="00EC282C"/>
    <w:rsid w:val="00EC421C"/>
    <w:rsid w:val="00EC482B"/>
    <w:rsid w:val="00EC4A62"/>
    <w:rsid w:val="00EC55AF"/>
    <w:rsid w:val="00EC7D55"/>
    <w:rsid w:val="00ED0240"/>
    <w:rsid w:val="00ED030E"/>
    <w:rsid w:val="00ED2F6C"/>
    <w:rsid w:val="00ED4EEE"/>
    <w:rsid w:val="00ED5598"/>
    <w:rsid w:val="00ED60ED"/>
    <w:rsid w:val="00EE104C"/>
    <w:rsid w:val="00EE5016"/>
    <w:rsid w:val="00EE533F"/>
    <w:rsid w:val="00EE59C2"/>
    <w:rsid w:val="00EF24AA"/>
    <w:rsid w:val="00EF3037"/>
    <w:rsid w:val="00EF4C16"/>
    <w:rsid w:val="00EF6ED4"/>
    <w:rsid w:val="00EF70CC"/>
    <w:rsid w:val="00F00CF8"/>
    <w:rsid w:val="00F01374"/>
    <w:rsid w:val="00F03E92"/>
    <w:rsid w:val="00F0426A"/>
    <w:rsid w:val="00F04A72"/>
    <w:rsid w:val="00F13AFB"/>
    <w:rsid w:val="00F16A33"/>
    <w:rsid w:val="00F20905"/>
    <w:rsid w:val="00F23057"/>
    <w:rsid w:val="00F243E6"/>
    <w:rsid w:val="00F30DC1"/>
    <w:rsid w:val="00F31660"/>
    <w:rsid w:val="00F31BAF"/>
    <w:rsid w:val="00F32819"/>
    <w:rsid w:val="00F343E5"/>
    <w:rsid w:val="00F359C5"/>
    <w:rsid w:val="00F3668E"/>
    <w:rsid w:val="00F4064E"/>
    <w:rsid w:val="00F42E8C"/>
    <w:rsid w:val="00F4400D"/>
    <w:rsid w:val="00F455ED"/>
    <w:rsid w:val="00F466F6"/>
    <w:rsid w:val="00F47B70"/>
    <w:rsid w:val="00F5191B"/>
    <w:rsid w:val="00F525BB"/>
    <w:rsid w:val="00F52678"/>
    <w:rsid w:val="00F5642C"/>
    <w:rsid w:val="00F568D2"/>
    <w:rsid w:val="00F60340"/>
    <w:rsid w:val="00F609AE"/>
    <w:rsid w:val="00F62A25"/>
    <w:rsid w:val="00F637F1"/>
    <w:rsid w:val="00F70045"/>
    <w:rsid w:val="00F700E9"/>
    <w:rsid w:val="00F72BC8"/>
    <w:rsid w:val="00F733CD"/>
    <w:rsid w:val="00F7434E"/>
    <w:rsid w:val="00F756F0"/>
    <w:rsid w:val="00F76439"/>
    <w:rsid w:val="00F7646A"/>
    <w:rsid w:val="00F772CD"/>
    <w:rsid w:val="00F80DBE"/>
    <w:rsid w:val="00F812ED"/>
    <w:rsid w:val="00F8226D"/>
    <w:rsid w:val="00F834DF"/>
    <w:rsid w:val="00F8530C"/>
    <w:rsid w:val="00F855D7"/>
    <w:rsid w:val="00F85658"/>
    <w:rsid w:val="00F86440"/>
    <w:rsid w:val="00F92BC8"/>
    <w:rsid w:val="00F933BA"/>
    <w:rsid w:val="00F94A9B"/>
    <w:rsid w:val="00F9593B"/>
    <w:rsid w:val="00F96407"/>
    <w:rsid w:val="00F97FA1"/>
    <w:rsid w:val="00FA2AAE"/>
    <w:rsid w:val="00FA6AB7"/>
    <w:rsid w:val="00FB08DA"/>
    <w:rsid w:val="00FB0A35"/>
    <w:rsid w:val="00FB3248"/>
    <w:rsid w:val="00FB3C8E"/>
    <w:rsid w:val="00FB59A6"/>
    <w:rsid w:val="00FB6EE6"/>
    <w:rsid w:val="00FB7016"/>
    <w:rsid w:val="00FB7855"/>
    <w:rsid w:val="00FB7DCE"/>
    <w:rsid w:val="00FC05F0"/>
    <w:rsid w:val="00FC17EB"/>
    <w:rsid w:val="00FC1A91"/>
    <w:rsid w:val="00FC1FFF"/>
    <w:rsid w:val="00FC2643"/>
    <w:rsid w:val="00FC31C8"/>
    <w:rsid w:val="00FC49E2"/>
    <w:rsid w:val="00FC558B"/>
    <w:rsid w:val="00FD1CA7"/>
    <w:rsid w:val="00FD626E"/>
    <w:rsid w:val="00FD6C39"/>
    <w:rsid w:val="00FD7400"/>
    <w:rsid w:val="00FE130E"/>
    <w:rsid w:val="00FE3365"/>
    <w:rsid w:val="00FE4383"/>
    <w:rsid w:val="00FE65E6"/>
    <w:rsid w:val="00FF06D2"/>
    <w:rsid w:val="00FF3C37"/>
    <w:rsid w:val="00FF5294"/>
    <w:rsid w:val="00FF5377"/>
    <w:rsid w:val="00FF63C0"/>
    <w:rsid w:val="00FF6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F4C318"/>
  <w15:docId w15:val="{CF3CCE8C-C1A1-4067-BE21-61828B33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Термины"/>
    <w:qFormat/>
    <w:rsid w:val="008364C2"/>
    <w:pPr>
      <w:spacing w:line="360" w:lineRule="auto"/>
      <w:ind w:firstLine="709"/>
      <w:jc w:val="both"/>
    </w:pPr>
    <w:rPr>
      <w:rFonts w:ascii="Times New Roman" w:hAnsi="Times New Roman"/>
      <w:sz w:val="24"/>
      <w:szCs w:val="22"/>
      <w:lang w:eastAsia="en-US"/>
    </w:rPr>
  </w:style>
  <w:style w:type="paragraph" w:styleId="10">
    <w:name w:val="heading 1"/>
    <w:basedOn w:val="20"/>
    <w:link w:val="11"/>
    <w:uiPriority w:val="99"/>
    <w:qFormat/>
    <w:rsid w:val="0078115C"/>
    <w:pPr>
      <w:ind w:firstLine="0"/>
      <w:outlineLvl w:val="0"/>
    </w:pPr>
  </w:style>
  <w:style w:type="paragraph" w:styleId="20">
    <w:name w:val="heading 2"/>
    <w:aliases w:val="Наим. подраздела"/>
    <w:basedOn w:val="a1"/>
    <w:link w:val="21"/>
    <w:uiPriority w:val="99"/>
    <w:qFormat/>
    <w:rsid w:val="002F7719"/>
    <w:pPr>
      <w:outlineLvl w:val="1"/>
    </w:pPr>
  </w:style>
  <w:style w:type="paragraph" w:styleId="3">
    <w:name w:val="heading 3"/>
    <w:basedOn w:val="a0"/>
    <w:next w:val="a0"/>
    <w:link w:val="30"/>
    <w:uiPriority w:val="99"/>
    <w:qFormat/>
    <w:rsid w:val="00034AFC"/>
    <w:pPr>
      <w:keepNext/>
      <w:keepLines/>
      <w:spacing w:before="40"/>
      <w:outlineLvl w:val="2"/>
    </w:pPr>
    <w:rPr>
      <w:rFonts w:ascii="Calibri Light" w:eastAsia="Times New Roman" w:hAnsi="Calibri Light"/>
      <w:color w:val="1F4D78"/>
      <w:szCs w:val="24"/>
    </w:rPr>
  </w:style>
  <w:style w:type="paragraph" w:styleId="4">
    <w:name w:val="heading 4"/>
    <w:basedOn w:val="a0"/>
    <w:next w:val="a0"/>
    <w:link w:val="40"/>
    <w:uiPriority w:val="99"/>
    <w:qFormat/>
    <w:rsid w:val="00A910E5"/>
    <w:pPr>
      <w:keepNext/>
      <w:keepLines/>
      <w:spacing w:before="40"/>
      <w:outlineLvl w:val="3"/>
    </w:pPr>
    <w:rPr>
      <w:rFonts w:ascii="Calibri Light" w:eastAsia="Times New Roman" w:hAnsi="Calibri Light"/>
      <w:i/>
      <w:iCs/>
      <w:color w:val="2E74B5"/>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9"/>
    <w:locked/>
    <w:rsid w:val="0078115C"/>
    <w:rPr>
      <w:rFonts w:ascii="Times New Roman" w:hAnsi="Times New Roman" w:cs="Times New Roman"/>
      <w:b/>
      <w:sz w:val="24"/>
      <w:szCs w:val="24"/>
      <w:u w:val="single"/>
    </w:rPr>
  </w:style>
  <w:style w:type="character" w:customStyle="1" w:styleId="21">
    <w:name w:val="Заголовок 2 Знак"/>
    <w:aliases w:val="Наим. подраздела Знак"/>
    <w:link w:val="20"/>
    <w:uiPriority w:val="99"/>
    <w:locked/>
    <w:rsid w:val="002F7719"/>
    <w:rPr>
      <w:rFonts w:ascii="Times New Roman" w:hAnsi="Times New Roman" w:cs="Times New Roman"/>
      <w:b/>
      <w:sz w:val="24"/>
      <w:szCs w:val="24"/>
      <w:u w:val="single"/>
    </w:rPr>
  </w:style>
  <w:style w:type="character" w:customStyle="1" w:styleId="30">
    <w:name w:val="Заголовок 3 Знак"/>
    <w:link w:val="3"/>
    <w:uiPriority w:val="99"/>
    <w:locked/>
    <w:rsid w:val="00034AFC"/>
    <w:rPr>
      <w:rFonts w:ascii="Calibri Light" w:hAnsi="Calibri Light" w:cs="Times New Roman"/>
      <w:color w:val="1F4D78"/>
      <w:sz w:val="24"/>
      <w:szCs w:val="24"/>
    </w:rPr>
  </w:style>
  <w:style w:type="character" w:customStyle="1" w:styleId="40">
    <w:name w:val="Заголовок 4 Знак"/>
    <w:link w:val="4"/>
    <w:uiPriority w:val="99"/>
    <w:locked/>
    <w:rsid w:val="00A910E5"/>
    <w:rPr>
      <w:rFonts w:ascii="Calibri Light" w:hAnsi="Calibri Light" w:cs="Times New Roman"/>
      <w:i/>
      <w:iCs/>
      <w:color w:val="2E74B5"/>
      <w:sz w:val="24"/>
    </w:rPr>
  </w:style>
  <w:style w:type="character" w:customStyle="1" w:styleId="a5">
    <w:name w:val="Верхний колонтитул Знак"/>
    <w:uiPriority w:val="99"/>
    <w:rsid w:val="0078115C"/>
    <w:rPr>
      <w:rFonts w:cs="Times New Roman"/>
    </w:rPr>
  </w:style>
  <w:style w:type="character" w:customStyle="1" w:styleId="a6">
    <w:name w:val="Нижний колонтитул Знак"/>
    <w:uiPriority w:val="99"/>
    <w:rsid w:val="0078115C"/>
    <w:rPr>
      <w:rFonts w:cs="Times New Roman"/>
    </w:rPr>
  </w:style>
  <w:style w:type="character" w:customStyle="1" w:styleId="apple-converted-space">
    <w:name w:val="apple-converted-space"/>
    <w:uiPriority w:val="99"/>
    <w:rsid w:val="0078115C"/>
    <w:rPr>
      <w:rFonts w:cs="Times New Roman"/>
    </w:rPr>
  </w:style>
  <w:style w:type="character" w:customStyle="1" w:styleId="-">
    <w:name w:val="Интернет-ссылка"/>
    <w:uiPriority w:val="99"/>
    <w:rsid w:val="0078115C"/>
    <w:rPr>
      <w:rFonts w:cs="Times New Roman"/>
      <w:color w:val="0000FF"/>
      <w:u w:val="single"/>
    </w:rPr>
  </w:style>
  <w:style w:type="character" w:customStyle="1" w:styleId="a7">
    <w:name w:val="Текст выноски Знак"/>
    <w:uiPriority w:val="99"/>
    <w:semiHidden/>
    <w:rsid w:val="0078115C"/>
    <w:rPr>
      <w:rFonts w:ascii="Tahoma" w:hAnsi="Tahoma" w:cs="Tahoma"/>
      <w:sz w:val="16"/>
      <w:szCs w:val="16"/>
    </w:rPr>
  </w:style>
  <w:style w:type="character" w:customStyle="1" w:styleId="a8">
    <w:name w:val="Подзаголовок Знак"/>
    <w:uiPriority w:val="99"/>
    <w:rsid w:val="0078115C"/>
    <w:rPr>
      <w:rFonts w:ascii="Times New Roman" w:hAnsi="Times New Roman" w:cs="Times New Roman"/>
      <w:b/>
      <w:sz w:val="24"/>
      <w:szCs w:val="24"/>
      <w:u w:val="single"/>
    </w:rPr>
  </w:style>
  <w:style w:type="character" w:styleId="a9">
    <w:name w:val="Subtle Reference"/>
    <w:uiPriority w:val="99"/>
    <w:qFormat/>
    <w:rsid w:val="0078115C"/>
    <w:rPr>
      <w:rFonts w:ascii="Times New Roman" w:hAnsi="Times New Roman" w:cs="Times New Roman"/>
      <w:b/>
      <w:sz w:val="24"/>
    </w:rPr>
  </w:style>
  <w:style w:type="character" w:customStyle="1" w:styleId="aa">
    <w:name w:val="Абзац списка Знак"/>
    <w:uiPriority w:val="99"/>
    <w:rsid w:val="0078115C"/>
    <w:rPr>
      <w:rFonts w:cs="Times New Roman"/>
    </w:rPr>
  </w:style>
  <w:style w:type="character" w:customStyle="1" w:styleId="ab">
    <w:name w:val="Без интервала Знак"/>
    <w:uiPriority w:val="99"/>
    <w:rsid w:val="0078115C"/>
    <w:rPr>
      <w:rFonts w:ascii="Times New Roman" w:hAnsi="Times New Roman" w:cs="Times New Roman"/>
      <w:sz w:val="24"/>
      <w:szCs w:val="24"/>
    </w:rPr>
  </w:style>
  <w:style w:type="character" w:customStyle="1" w:styleId="ac">
    <w:name w:val="УД Знак"/>
    <w:uiPriority w:val="99"/>
    <w:rsid w:val="0078115C"/>
    <w:rPr>
      <w:rFonts w:ascii="Times New Roman" w:hAnsi="Times New Roman" w:cs="Times New Roman"/>
      <w:b/>
      <w:sz w:val="24"/>
      <w:szCs w:val="24"/>
    </w:rPr>
  </w:style>
  <w:style w:type="character" w:customStyle="1" w:styleId="ad">
    <w:name w:val="Ком Знак"/>
    <w:uiPriority w:val="99"/>
    <w:rsid w:val="0078115C"/>
    <w:rPr>
      <w:rFonts w:ascii="Times New Roman" w:hAnsi="Times New Roman" w:cs="Times New Roman"/>
      <w:i/>
      <w:sz w:val="24"/>
      <w:szCs w:val="24"/>
    </w:rPr>
  </w:style>
  <w:style w:type="character" w:styleId="ae">
    <w:name w:val="annotation reference"/>
    <w:uiPriority w:val="99"/>
    <w:semiHidden/>
    <w:qFormat/>
    <w:rsid w:val="0078115C"/>
    <w:rPr>
      <w:rFonts w:cs="Times New Roman"/>
      <w:sz w:val="16"/>
      <w:szCs w:val="16"/>
    </w:rPr>
  </w:style>
  <w:style w:type="character" w:customStyle="1" w:styleId="af">
    <w:name w:val="Текст примечания Знак"/>
    <w:uiPriority w:val="99"/>
    <w:rsid w:val="0078115C"/>
    <w:rPr>
      <w:rFonts w:ascii="Times New Roman" w:hAnsi="Times New Roman" w:cs="Times New Roman"/>
      <w:sz w:val="20"/>
      <w:szCs w:val="20"/>
    </w:rPr>
  </w:style>
  <w:style w:type="character" w:customStyle="1" w:styleId="af0">
    <w:name w:val="Тема примечания Знак"/>
    <w:uiPriority w:val="99"/>
    <w:semiHidden/>
    <w:rsid w:val="0078115C"/>
    <w:rPr>
      <w:rFonts w:ascii="Times New Roman" w:hAnsi="Times New Roman" w:cs="Times New Roman"/>
      <w:b/>
      <w:bCs/>
      <w:sz w:val="20"/>
      <w:szCs w:val="20"/>
    </w:rPr>
  </w:style>
  <w:style w:type="character" w:customStyle="1" w:styleId="af1">
    <w:name w:val="Название Знак"/>
    <w:uiPriority w:val="99"/>
    <w:rsid w:val="0078115C"/>
    <w:rPr>
      <w:rFonts w:ascii="Times New Roman" w:hAnsi="Times New Roman" w:cs="Times New Roman"/>
      <w:spacing w:val="-10"/>
      <w:sz w:val="56"/>
      <w:szCs w:val="56"/>
      <w:u w:val="single"/>
    </w:rPr>
  </w:style>
  <w:style w:type="character" w:customStyle="1" w:styleId="pop-slug-vol">
    <w:name w:val="pop-slug-vol"/>
    <w:uiPriority w:val="99"/>
    <w:rsid w:val="0078115C"/>
  </w:style>
  <w:style w:type="character" w:customStyle="1" w:styleId="af2">
    <w:name w:val="Текст сноски Знак"/>
    <w:uiPriority w:val="99"/>
    <w:rsid w:val="0078115C"/>
    <w:rPr>
      <w:rFonts w:ascii="Calibri" w:hAnsi="Calibri" w:cs="Times New Roman"/>
      <w:sz w:val="20"/>
      <w:szCs w:val="20"/>
    </w:rPr>
  </w:style>
  <w:style w:type="character" w:styleId="af3">
    <w:name w:val="footnote reference"/>
    <w:uiPriority w:val="99"/>
    <w:semiHidden/>
    <w:rsid w:val="0078115C"/>
    <w:rPr>
      <w:rFonts w:cs="Times New Roman"/>
      <w:vertAlign w:val="superscript"/>
    </w:rPr>
  </w:style>
  <w:style w:type="character" w:customStyle="1" w:styleId="Normal1">
    <w:name w:val="Normal1 Знак"/>
    <w:uiPriority w:val="99"/>
    <w:locked/>
    <w:rsid w:val="0078115C"/>
    <w:rPr>
      <w:rFonts w:ascii="Times New Roman" w:hAnsi="Times New Roman" w:cs="Times New Roman"/>
      <w:sz w:val="20"/>
      <w:szCs w:val="20"/>
      <w:lang w:eastAsia="ru-RU"/>
    </w:rPr>
  </w:style>
  <w:style w:type="character" w:customStyle="1" w:styleId="12">
    <w:name w:val="Стиль1 Знак"/>
    <w:uiPriority w:val="99"/>
    <w:rsid w:val="0078115C"/>
    <w:rPr>
      <w:rFonts w:ascii="Times New Roman" w:hAnsi="Times New Roman" w:cs="Times New Roman"/>
      <w:sz w:val="24"/>
      <w:szCs w:val="24"/>
      <w:lang w:eastAsia="ru-RU"/>
    </w:rPr>
  </w:style>
  <w:style w:type="character" w:customStyle="1" w:styleId="ListLabel1">
    <w:name w:val="ListLabel 1"/>
    <w:uiPriority w:val="99"/>
    <w:rsid w:val="00275A41"/>
  </w:style>
  <w:style w:type="character" w:customStyle="1" w:styleId="ListLabel2">
    <w:name w:val="ListLabel 2"/>
    <w:uiPriority w:val="99"/>
    <w:rsid w:val="00275A41"/>
  </w:style>
  <w:style w:type="character" w:customStyle="1" w:styleId="ListLabel3">
    <w:name w:val="ListLabel 3"/>
    <w:uiPriority w:val="99"/>
    <w:rsid w:val="00275A41"/>
  </w:style>
  <w:style w:type="character" w:customStyle="1" w:styleId="ListLabel4">
    <w:name w:val="ListLabel 4"/>
    <w:uiPriority w:val="99"/>
    <w:rsid w:val="00275A41"/>
  </w:style>
  <w:style w:type="character" w:customStyle="1" w:styleId="ListLabel5">
    <w:name w:val="ListLabel 5"/>
    <w:uiPriority w:val="99"/>
    <w:rsid w:val="00275A41"/>
  </w:style>
  <w:style w:type="character" w:customStyle="1" w:styleId="ListLabel6">
    <w:name w:val="ListLabel 6"/>
    <w:uiPriority w:val="99"/>
    <w:rsid w:val="00275A41"/>
  </w:style>
  <w:style w:type="character" w:customStyle="1" w:styleId="ListLabel7">
    <w:name w:val="ListLabel 7"/>
    <w:uiPriority w:val="99"/>
    <w:rsid w:val="00275A41"/>
  </w:style>
  <w:style w:type="character" w:customStyle="1" w:styleId="ListLabel8">
    <w:name w:val="ListLabel 8"/>
    <w:uiPriority w:val="99"/>
    <w:rsid w:val="00275A41"/>
  </w:style>
  <w:style w:type="character" w:customStyle="1" w:styleId="ListLabel9">
    <w:name w:val="ListLabel 9"/>
    <w:uiPriority w:val="99"/>
    <w:rsid w:val="00275A41"/>
  </w:style>
  <w:style w:type="character" w:customStyle="1" w:styleId="ListLabel10">
    <w:name w:val="ListLabel 10"/>
    <w:uiPriority w:val="99"/>
    <w:rsid w:val="00275A41"/>
    <w:rPr>
      <w:sz w:val="24"/>
    </w:rPr>
  </w:style>
  <w:style w:type="character" w:customStyle="1" w:styleId="ListLabel11">
    <w:name w:val="ListLabel 11"/>
    <w:uiPriority w:val="99"/>
    <w:rsid w:val="00275A41"/>
  </w:style>
  <w:style w:type="character" w:customStyle="1" w:styleId="ListLabel12">
    <w:name w:val="ListLabel 12"/>
    <w:uiPriority w:val="99"/>
    <w:rsid w:val="00275A41"/>
  </w:style>
  <w:style w:type="character" w:customStyle="1" w:styleId="ListLabel13">
    <w:name w:val="ListLabel 13"/>
    <w:uiPriority w:val="99"/>
    <w:rsid w:val="00275A41"/>
  </w:style>
  <w:style w:type="character" w:customStyle="1" w:styleId="ListLabel14">
    <w:name w:val="ListLabel 14"/>
    <w:uiPriority w:val="99"/>
    <w:rsid w:val="00275A41"/>
  </w:style>
  <w:style w:type="character" w:customStyle="1" w:styleId="ListLabel15">
    <w:name w:val="ListLabel 15"/>
    <w:uiPriority w:val="99"/>
    <w:rsid w:val="00275A41"/>
  </w:style>
  <w:style w:type="character" w:customStyle="1" w:styleId="ListLabel16">
    <w:name w:val="ListLabel 16"/>
    <w:uiPriority w:val="99"/>
    <w:rsid w:val="00275A41"/>
  </w:style>
  <w:style w:type="character" w:customStyle="1" w:styleId="ListLabel17">
    <w:name w:val="ListLabel 17"/>
    <w:uiPriority w:val="99"/>
    <w:rsid w:val="00275A41"/>
  </w:style>
  <w:style w:type="character" w:customStyle="1" w:styleId="ListLabel18">
    <w:name w:val="ListLabel 18"/>
    <w:uiPriority w:val="99"/>
    <w:rsid w:val="00275A41"/>
  </w:style>
  <w:style w:type="character" w:customStyle="1" w:styleId="ListLabel19">
    <w:name w:val="ListLabel 19"/>
    <w:uiPriority w:val="99"/>
    <w:rsid w:val="00275A41"/>
  </w:style>
  <w:style w:type="character" w:customStyle="1" w:styleId="ListLabel20">
    <w:name w:val="ListLabel 20"/>
    <w:uiPriority w:val="99"/>
    <w:rsid w:val="00275A41"/>
  </w:style>
  <w:style w:type="character" w:customStyle="1" w:styleId="ListLabel21">
    <w:name w:val="ListLabel 21"/>
    <w:uiPriority w:val="99"/>
    <w:rsid w:val="00275A41"/>
  </w:style>
  <w:style w:type="character" w:customStyle="1" w:styleId="ListLabel22">
    <w:name w:val="ListLabel 22"/>
    <w:uiPriority w:val="99"/>
    <w:rsid w:val="00275A41"/>
  </w:style>
  <w:style w:type="character" w:customStyle="1" w:styleId="ListLabel23">
    <w:name w:val="ListLabel 23"/>
    <w:uiPriority w:val="99"/>
    <w:rsid w:val="00275A41"/>
  </w:style>
  <w:style w:type="character" w:customStyle="1" w:styleId="ListLabel24">
    <w:name w:val="ListLabel 24"/>
    <w:uiPriority w:val="99"/>
    <w:rsid w:val="00275A41"/>
  </w:style>
  <w:style w:type="character" w:customStyle="1" w:styleId="ListLabel25">
    <w:name w:val="ListLabel 25"/>
    <w:uiPriority w:val="99"/>
    <w:rsid w:val="00275A41"/>
  </w:style>
  <w:style w:type="character" w:customStyle="1" w:styleId="ListLabel26">
    <w:name w:val="ListLabel 26"/>
    <w:uiPriority w:val="99"/>
    <w:rsid w:val="00275A41"/>
  </w:style>
  <w:style w:type="character" w:customStyle="1" w:styleId="ListLabel27">
    <w:name w:val="ListLabel 27"/>
    <w:uiPriority w:val="99"/>
    <w:rsid w:val="00275A41"/>
  </w:style>
  <w:style w:type="character" w:customStyle="1" w:styleId="ListLabel28">
    <w:name w:val="ListLabel 28"/>
    <w:uiPriority w:val="99"/>
    <w:rsid w:val="00275A41"/>
  </w:style>
  <w:style w:type="character" w:customStyle="1" w:styleId="ListLabel29">
    <w:name w:val="ListLabel 29"/>
    <w:uiPriority w:val="99"/>
    <w:rsid w:val="00275A41"/>
  </w:style>
  <w:style w:type="character" w:customStyle="1" w:styleId="ListLabel30">
    <w:name w:val="ListLabel 30"/>
    <w:uiPriority w:val="99"/>
    <w:rsid w:val="00275A41"/>
  </w:style>
  <w:style w:type="character" w:customStyle="1" w:styleId="ListLabel31">
    <w:name w:val="ListLabel 31"/>
    <w:uiPriority w:val="99"/>
    <w:rsid w:val="00275A41"/>
  </w:style>
  <w:style w:type="character" w:customStyle="1" w:styleId="ListLabel32">
    <w:name w:val="ListLabel 32"/>
    <w:uiPriority w:val="99"/>
    <w:rsid w:val="00275A41"/>
  </w:style>
  <w:style w:type="character" w:customStyle="1" w:styleId="ListLabel33">
    <w:name w:val="ListLabel 33"/>
    <w:uiPriority w:val="99"/>
    <w:rsid w:val="00275A41"/>
  </w:style>
  <w:style w:type="character" w:customStyle="1" w:styleId="ListLabel34">
    <w:name w:val="ListLabel 34"/>
    <w:uiPriority w:val="99"/>
    <w:rsid w:val="00275A41"/>
  </w:style>
  <w:style w:type="character" w:customStyle="1" w:styleId="ListLabel35">
    <w:name w:val="ListLabel 35"/>
    <w:uiPriority w:val="99"/>
    <w:rsid w:val="00275A41"/>
  </w:style>
  <w:style w:type="character" w:customStyle="1" w:styleId="ListLabel36">
    <w:name w:val="ListLabel 36"/>
    <w:uiPriority w:val="99"/>
    <w:rsid w:val="00275A41"/>
    <w:rPr>
      <w:b/>
      <w:sz w:val="24"/>
    </w:rPr>
  </w:style>
  <w:style w:type="character" w:customStyle="1" w:styleId="ListLabel37">
    <w:name w:val="ListLabel 37"/>
    <w:uiPriority w:val="99"/>
    <w:rsid w:val="00275A41"/>
  </w:style>
  <w:style w:type="character" w:customStyle="1" w:styleId="ListLabel38">
    <w:name w:val="ListLabel 38"/>
    <w:uiPriority w:val="99"/>
    <w:rsid w:val="00275A41"/>
  </w:style>
  <w:style w:type="character" w:customStyle="1" w:styleId="ListLabel39">
    <w:name w:val="ListLabel 39"/>
    <w:uiPriority w:val="99"/>
    <w:rsid w:val="00275A41"/>
  </w:style>
  <w:style w:type="character" w:customStyle="1" w:styleId="af4">
    <w:name w:val="Ссылка указателя"/>
    <w:uiPriority w:val="99"/>
    <w:rsid w:val="00275A41"/>
  </w:style>
  <w:style w:type="paragraph" w:customStyle="1" w:styleId="13">
    <w:name w:val="Заголовок1"/>
    <w:basedOn w:val="a0"/>
    <w:next w:val="af5"/>
    <w:uiPriority w:val="99"/>
    <w:rsid w:val="00275A41"/>
    <w:pPr>
      <w:keepNext/>
      <w:spacing w:before="240" w:after="120"/>
    </w:pPr>
    <w:rPr>
      <w:rFonts w:ascii="Liberation Sans" w:eastAsia="Microsoft YaHei" w:hAnsi="Liberation Sans" w:cs="Mangal"/>
      <w:sz w:val="28"/>
      <w:szCs w:val="28"/>
    </w:rPr>
  </w:style>
  <w:style w:type="paragraph" w:styleId="af5">
    <w:name w:val="Body Text"/>
    <w:basedOn w:val="a0"/>
    <w:link w:val="af6"/>
    <w:uiPriority w:val="99"/>
    <w:rsid w:val="00275A41"/>
    <w:pPr>
      <w:spacing w:after="140" w:line="288" w:lineRule="auto"/>
    </w:pPr>
  </w:style>
  <w:style w:type="character" w:customStyle="1" w:styleId="af6">
    <w:name w:val="Основной текст Знак"/>
    <w:link w:val="af5"/>
    <w:uiPriority w:val="99"/>
    <w:locked/>
    <w:rsid w:val="00034AFC"/>
    <w:rPr>
      <w:rFonts w:ascii="Times New Roman" w:hAnsi="Times New Roman" w:cs="Times New Roman"/>
      <w:sz w:val="24"/>
    </w:rPr>
  </w:style>
  <w:style w:type="paragraph" w:styleId="af7">
    <w:name w:val="List"/>
    <w:basedOn w:val="af5"/>
    <w:uiPriority w:val="99"/>
    <w:rsid w:val="00275A41"/>
    <w:rPr>
      <w:rFonts w:cs="Mangal"/>
    </w:rPr>
  </w:style>
  <w:style w:type="paragraph" w:styleId="af8">
    <w:name w:val="caption"/>
    <w:basedOn w:val="a0"/>
    <w:uiPriority w:val="99"/>
    <w:qFormat/>
    <w:rsid w:val="00275A41"/>
    <w:pPr>
      <w:suppressLineNumbers/>
      <w:spacing w:before="120" w:after="120"/>
    </w:pPr>
    <w:rPr>
      <w:rFonts w:cs="Mangal"/>
      <w:i/>
      <w:iCs/>
      <w:szCs w:val="24"/>
    </w:rPr>
  </w:style>
  <w:style w:type="paragraph" w:styleId="14">
    <w:name w:val="index 1"/>
    <w:basedOn w:val="a0"/>
    <w:next w:val="a0"/>
    <w:autoRedefine/>
    <w:uiPriority w:val="99"/>
    <w:semiHidden/>
    <w:rsid w:val="00034AFC"/>
    <w:pPr>
      <w:spacing w:line="240" w:lineRule="auto"/>
      <w:ind w:left="240" w:hanging="240"/>
    </w:pPr>
  </w:style>
  <w:style w:type="paragraph" w:styleId="af9">
    <w:name w:val="index heading"/>
    <w:basedOn w:val="a0"/>
    <w:uiPriority w:val="99"/>
    <w:semiHidden/>
    <w:rsid w:val="00275A41"/>
    <w:pPr>
      <w:suppressLineNumbers/>
    </w:pPr>
    <w:rPr>
      <w:rFonts w:cs="Mangal"/>
    </w:rPr>
  </w:style>
  <w:style w:type="paragraph" w:styleId="afa">
    <w:name w:val="header"/>
    <w:basedOn w:val="a0"/>
    <w:link w:val="15"/>
    <w:uiPriority w:val="99"/>
    <w:rsid w:val="0078115C"/>
    <w:pPr>
      <w:tabs>
        <w:tab w:val="center" w:pos="4677"/>
        <w:tab w:val="right" w:pos="9355"/>
      </w:tabs>
      <w:spacing w:line="240" w:lineRule="auto"/>
    </w:pPr>
  </w:style>
  <w:style w:type="character" w:customStyle="1" w:styleId="15">
    <w:name w:val="Верхний колонтитул Знак1"/>
    <w:link w:val="afa"/>
    <w:uiPriority w:val="99"/>
    <w:locked/>
    <w:rsid w:val="00034AFC"/>
    <w:rPr>
      <w:rFonts w:ascii="Times New Roman" w:hAnsi="Times New Roman" w:cs="Times New Roman"/>
      <w:sz w:val="24"/>
    </w:rPr>
  </w:style>
  <w:style w:type="paragraph" w:styleId="afb">
    <w:name w:val="footer"/>
    <w:basedOn w:val="a0"/>
    <w:link w:val="16"/>
    <w:uiPriority w:val="99"/>
    <w:rsid w:val="0078115C"/>
    <w:pPr>
      <w:tabs>
        <w:tab w:val="center" w:pos="4677"/>
        <w:tab w:val="right" w:pos="9355"/>
      </w:tabs>
      <w:spacing w:line="240" w:lineRule="auto"/>
    </w:pPr>
  </w:style>
  <w:style w:type="character" w:customStyle="1" w:styleId="16">
    <w:name w:val="Нижний колонтитул Знак1"/>
    <w:link w:val="afb"/>
    <w:uiPriority w:val="99"/>
    <w:locked/>
    <w:rsid w:val="00034AFC"/>
    <w:rPr>
      <w:rFonts w:ascii="Times New Roman" w:hAnsi="Times New Roman" w:cs="Times New Roman"/>
      <w:sz w:val="24"/>
    </w:rPr>
  </w:style>
  <w:style w:type="paragraph" w:styleId="afc">
    <w:name w:val="Normal (Web)"/>
    <w:basedOn w:val="a0"/>
    <w:link w:val="afd"/>
    <w:uiPriority w:val="99"/>
    <w:rsid w:val="0078115C"/>
    <w:pPr>
      <w:spacing w:beforeAutospacing="1" w:afterAutospacing="1" w:line="288" w:lineRule="auto"/>
    </w:pPr>
    <w:rPr>
      <w:rFonts w:eastAsia="Times New Roman"/>
      <w:szCs w:val="24"/>
      <w:lang w:eastAsia="ru-RU"/>
    </w:rPr>
  </w:style>
  <w:style w:type="paragraph" w:styleId="afe">
    <w:name w:val="List Paragraph"/>
    <w:basedOn w:val="a0"/>
    <w:link w:val="17"/>
    <w:uiPriority w:val="99"/>
    <w:qFormat/>
    <w:rsid w:val="0078115C"/>
    <w:pPr>
      <w:ind w:left="720"/>
    </w:pPr>
  </w:style>
  <w:style w:type="paragraph" w:customStyle="1" w:styleId="desc">
    <w:name w:val="desc"/>
    <w:basedOn w:val="a0"/>
    <w:uiPriority w:val="99"/>
    <w:rsid w:val="0078115C"/>
    <w:pPr>
      <w:spacing w:beforeAutospacing="1" w:afterAutospacing="1" w:line="240" w:lineRule="auto"/>
    </w:pPr>
    <w:rPr>
      <w:rFonts w:eastAsia="Times New Roman"/>
      <w:szCs w:val="24"/>
      <w:lang w:eastAsia="ru-RU"/>
    </w:rPr>
  </w:style>
  <w:style w:type="paragraph" w:styleId="aff">
    <w:name w:val="TOC Heading"/>
    <w:basedOn w:val="10"/>
    <w:uiPriority w:val="99"/>
    <w:qFormat/>
    <w:rsid w:val="0078115C"/>
    <w:pPr>
      <w:spacing w:line="276" w:lineRule="auto"/>
    </w:pPr>
  </w:style>
  <w:style w:type="paragraph" w:styleId="aff0">
    <w:name w:val="Balloon Text"/>
    <w:basedOn w:val="a0"/>
    <w:link w:val="18"/>
    <w:uiPriority w:val="99"/>
    <w:semiHidden/>
    <w:rsid w:val="0078115C"/>
    <w:pPr>
      <w:spacing w:line="240" w:lineRule="auto"/>
    </w:pPr>
    <w:rPr>
      <w:rFonts w:ascii="Tahoma" w:hAnsi="Tahoma" w:cs="Tahoma"/>
      <w:sz w:val="16"/>
      <w:szCs w:val="16"/>
    </w:rPr>
  </w:style>
  <w:style w:type="character" w:customStyle="1" w:styleId="18">
    <w:name w:val="Текст выноски Знак1"/>
    <w:link w:val="aff0"/>
    <w:uiPriority w:val="99"/>
    <w:semiHidden/>
    <w:locked/>
    <w:rsid w:val="00034AFC"/>
    <w:rPr>
      <w:rFonts w:ascii="Tahoma" w:hAnsi="Tahoma" w:cs="Tahoma"/>
      <w:sz w:val="16"/>
      <w:szCs w:val="16"/>
    </w:rPr>
  </w:style>
  <w:style w:type="paragraph" w:styleId="19">
    <w:name w:val="toc 1"/>
    <w:basedOn w:val="a0"/>
    <w:autoRedefine/>
    <w:uiPriority w:val="39"/>
    <w:rsid w:val="00186C35"/>
    <w:pPr>
      <w:tabs>
        <w:tab w:val="right" w:leader="dot" w:pos="9345"/>
      </w:tabs>
      <w:spacing w:after="100"/>
      <w:ind w:firstLine="0"/>
    </w:pPr>
  </w:style>
  <w:style w:type="paragraph" w:styleId="a1">
    <w:name w:val="Subtitle"/>
    <w:basedOn w:val="a0"/>
    <w:link w:val="1a"/>
    <w:uiPriority w:val="99"/>
    <w:qFormat/>
    <w:rsid w:val="0078115C"/>
    <w:pPr>
      <w:suppressAutoHyphens/>
      <w:spacing w:before="240"/>
    </w:pPr>
    <w:rPr>
      <w:b/>
      <w:szCs w:val="24"/>
      <w:u w:val="single"/>
    </w:rPr>
  </w:style>
  <w:style w:type="character" w:customStyle="1" w:styleId="1a">
    <w:name w:val="Подзаголовок Знак1"/>
    <w:link w:val="a1"/>
    <w:uiPriority w:val="99"/>
    <w:locked/>
    <w:rsid w:val="00034AFC"/>
    <w:rPr>
      <w:rFonts w:ascii="Times New Roman" w:hAnsi="Times New Roman" w:cs="Times New Roman"/>
      <w:b/>
      <w:sz w:val="24"/>
      <w:szCs w:val="24"/>
      <w:u w:val="single"/>
    </w:rPr>
  </w:style>
  <w:style w:type="paragraph" w:styleId="aff1">
    <w:name w:val="No Spacing"/>
    <w:basedOn w:val="afe"/>
    <w:uiPriority w:val="99"/>
    <w:qFormat/>
    <w:rsid w:val="0078115C"/>
    <w:pPr>
      <w:spacing w:before="240"/>
      <w:ind w:left="851" w:hanging="425"/>
    </w:pPr>
    <w:rPr>
      <w:szCs w:val="24"/>
    </w:rPr>
  </w:style>
  <w:style w:type="paragraph" w:customStyle="1" w:styleId="aff2">
    <w:name w:val="УДД"/>
    <w:aliases w:val="УУР"/>
    <w:basedOn w:val="aff1"/>
    <w:uiPriority w:val="99"/>
    <w:rsid w:val="00B104EF"/>
    <w:pPr>
      <w:spacing w:before="0"/>
      <w:ind w:left="709" w:firstLine="0"/>
    </w:pPr>
    <w:rPr>
      <w:b/>
    </w:rPr>
  </w:style>
  <w:style w:type="paragraph" w:customStyle="1" w:styleId="aff3">
    <w:name w:val="Ком"/>
    <w:basedOn w:val="aff2"/>
    <w:uiPriority w:val="99"/>
    <w:rsid w:val="00334F6C"/>
    <w:rPr>
      <w:b w:val="0"/>
    </w:rPr>
  </w:style>
  <w:style w:type="paragraph" w:styleId="aff4">
    <w:name w:val="annotation text"/>
    <w:basedOn w:val="a0"/>
    <w:link w:val="1b"/>
    <w:uiPriority w:val="99"/>
    <w:semiHidden/>
    <w:rsid w:val="0078115C"/>
    <w:pPr>
      <w:spacing w:line="240" w:lineRule="auto"/>
    </w:pPr>
    <w:rPr>
      <w:sz w:val="20"/>
      <w:szCs w:val="20"/>
    </w:rPr>
  </w:style>
  <w:style w:type="character" w:customStyle="1" w:styleId="1b">
    <w:name w:val="Текст примечания Знак1"/>
    <w:link w:val="aff4"/>
    <w:uiPriority w:val="99"/>
    <w:locked/>
    <w:rsid w:val="00034AFC"/>
    <w:rPr>
      <w:rFonts w:ascii="Times New Roman" w:hAnsi="Times New Roman" w:cs="Times New Roman"/>
      <w:sz w:val="20"/>
      <w:szCs w:val="20"/>
    </w:rPr>
  </w:style>
  <w:style w:type="paragraph" w:styleId="aff5">
    <w:name w:val="annotation subject"/>
    <w:basedOn w:val="aff4"/>
    <w:link w:val="1c"/>
    <w:uiPriority w:val="99"/>
    <w:semiHidden/>
    <w:rsid w:val="0078115C"/>
    <w:rPr>
      <w:b/>
      <w:bCs/>
    </w:rPr>
  </w:style>
  <w:style w:type="character" w:customStyle="1" w:styleId="1c">
    <w:name w:val="Тема примечания Знак1"/>
    <w:link w:val="aff5"/>
    <w:uiPriority w:val="99"/>
    <w:semiHidden/>
    <w:locked/>
    <w:rsid w:val="00034AFC"/>
    <w:rPr>
      <w:rFonts w:ascii="Times New Roman" w:hAnsi="Times New Roman" w:cs="Times New Roman"/>
      <w:b/>
      <w:bCs/>
      <w:sz w:val="20"/>
      <w:szCs w:val="20"/>
    </w:rPr>
  </w:style>
  <w:style w:type="paragraph" w:styleId="aff6">
    <w:name w:val="Title"/>
    <w:basedOn w:val="a0"/>
    <w:link w:val="1d"/>
    <w:uiPriority w:val="99"/>
    <w:qFormat/>
    <w:rsid w:val="0078115C"/>
    <w:pPr>
      <w:jc w:val="center"/>
    </w:pPr>
    <w:rPr>
      <w:rFonts w:eastAsia="Times New Roman"/>
      <w:spacing w:val="-10"/>
      <w:sz w:val="28"/>
      <w:szCs w:val="56"/>
      <w:u w:val="single"/>
    </w:rPr>
  </w:style>
  <w:style w:type="character" w:customStyle="1" w:styleId="1d">
    <w:name w:val="Название Знак1"/>
    <w:link w:val="aff6"/>
    <w:uiPriority w:val="99"/>
    <w:locked/>
    <w:rsid w:val="00034AFC"/>
    <w:rPr>
      <w:rFonts w:ascii="Times New Roman" w:hAnsi="Times New Roman" w:cs="Times New Roman"/>
      <w:spacing w:val="-10"/>
      <w:sz w:val="56"/>
      <w:szCs w:val="56"/>
      <w:u w:val="single"/>
    </w:rPr>
  </w:style>
  <w:style w:type="paragraph" w:styleId="22">
    <w:name w:val="toc 2"/>
    <w:basedOn w:val="a0"/>
    <w:autoRedefine/>
    <w:uiPriority w:val="39"/>
    <w:rsid w:val="009D2E3F"/>
    <w:pPr>
      <w:tabs>
        <w:tab w:val="right" w:leader="dot" w:pos="9345"/>
      </w:tabs>
      <w:spacing w:after="200" w:line="276" w:lineRule="auto"/>
      <w:ind w:firstLine="0"/>
    </w:pPr>
    <w:rPr>
      <w:rFonts w:ascii="Calibri" w:hAnsi="Calibri"/>
      <w:sz w:val="22"/>
    </w:rPr>
  </w:style>
  <w:style w:type="paragraph" w:customStyle="1" w:styleId="Normal10">
    <w:name w:val="Normal1"/>
    <w:uiPriority w:val="99"/>
    <w:rsid w:val="0078115C"/>
    <w:pPr>
      <w:widowControl w:val="0"/>
      <w:jc w:val="both"/>
    </w:pPr>
    <w:rPr>
      <w:rFonts w:ascii="Times New Roman" w:eastAsia="Times New Roman" w:hAnsi="Times New Roman"/>
    </w:rPr>
  </w:style>
  <w:style w:type="paragraph" w:styleId="aff7">
    <w:name w:val="footnote text"/>
    <w:basedOn w:val="a0"/>
    <w:link w:val="1e"/>
    <w:uiPriority w:val="99"/>
    <w:semiHidden/>
    <w:rsid w:val="0078115C"/>
    <w:pPr>
      <w:spacing w:after="200" w:line="276" w:lineRule="auto"/>
    </w:pPr>
    <w:rPr>
      <w:rFonts w:ascii="Calibri" w:hAnsi="Calibri"/>
      <w:sz w:val="20"/>
      <w:szCs w:val="20"/>
    </w:rPr>
  </w:style>
  <w:style w:type="character" w:customStyle="1" w:styleId="1e">
    <w:name w:val="Текст сноски Знак1"/>
    <w:link w:val="aff7"/>
    <w:uiPriority w:val="99"/>
    <w:locked/>
    <w:rsid w:val="00034AFC"/>
    <w:rPr>
      <w:rFonts w:ascii="Calibri" w:hAnsi="Calibri" w:cs="Times New Roman"/>
      <w:sz w:val="20"/>
      <w:szCs w:val="20"/>
    </w:rPr>
  </w:style>
  <w:style w:type="paragraph" w:customStyle="1" w:styleId="1f">
    <w:name w:val="Оглавление 1 Знак"/>
    <w:basedOn w:val="Normal10"/>
    <w:uiPriority w:val="99"/>
    <w:rsid w:val="0078115C"/>
    <w:pPr>
      <w:spacing w:line="360" w:lineRule="auto"/>
      <w:ind w:left="709" w:hanging="283"/>
    </w:pPr>
    <w:rPr>
      <w:sz w:val="24"/>
      <w:szCs w:val="24"/>
    </w:rPr>
  </w:style>
  <w:style w:type="paragraph" w:customStyle="1" w:styleId="aff8">
    <w:name w:val="Содержимое врезки"/>
    <w:basedOn w:val="a0"/>
    <w:qFormat/>
    <w:rsid w:val="00275A41"/>
  </w:style>
  <w:style w:type="table" w:styleId="aff9">
    <w:name w:val="Table Grid"/>
    <w:basedOn w:val="a3"/>
    <w:uiPriority w:val="99"/>
    <w:rsid w:val="0078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Стиль"/>
    <w:uiPriority w:val="99"/>
    <w:rsid w:val="00275A41"/>
    <w:pPr>
      <w:keepNext/>
      <w:keepLines/>
      <w:spacing w:line="276" w:lineRule="auto"/>
      <w:outlineLvl w:val="0"/>
    </w:pPr>
    <w:rPr>
      <w:rFonts w:ascii="Times New Roman" w:hAnsi="Times New Roman"/>
      <w:sz w:val="24"/>
      <w:szCs w:val="22"/>
      <w:lang w:eastAsia="en-US"/>
    </w:rPr>
  </w:style>
  <w:style w:type="paragraph" w:customStyle="1" w:styleId="CustomContentNormal">
    <w:name w:val="Custom Content Normal"/>
    <w:link w:val="CustomContentNormal0"/>
    <w:uiPriority w:val="99"/>
    <w:rsid w:val="00B104EF"/>
    <w:pPr>
      <w:keepNext/>
      <w:keepLines/>
      <w:spacing w:before="240" w:line="360" w:lineRule="auto"/>
      <w:jc w:val="center"/>
      <w:outlineLvl w:val="0"/>
    </w:pPr>
    <w:rPr>
      <w:rFonts w:ascii="Times New Roman" w:hAnsi="Times New Roman"/>
      <w:b/>
      <w:sz w:val="28"/>
      <w:szCs w:val="22"/>
      <w:lang w:eastAsia="en-US"/>
    </w:rPr>
  </w:style>
  <w:style w:type="character" w:styleId="affb">
    <w:name w:val="Strong"/>
    <w:uiPriority w:val="22"/>
    <w:qFormat/>
    <w:rsid w:val="009E685D"/>
    <w:rPr>
      <w:rFonts w:cs="Times New Roman"/>
      <w:b/>
      <w:bCs/>
    </w:rPr>
  </w:style>
  <w:style w:type="character" w:styleId="affc">
    <w:name w:val="Emphasis"/>
    <w:uiPriority w:val="99"/>
    <w:qFormat/>
    <w:rsid w:val="002F7719"/>
    <w:rPr>
      <w:rFonts w:cs="Times New Roman"/>
      <w:i/>
      <w:iCs/>
    </w:rPr>
  </w:style>
  <w:style w:type="character" w:styleId="affd">
    <w:name w:val="Hyperlink"/>
    <w:uiPriority w:val="99"/>
    <w:rsid w:val="00275A41"/>
    <w:rPr>
      <w:rFonts w:cs="Times New Roman"/>
      <w:color w:val="0000FF"/>
      <w:u w:val="single"/>
    </w:rPr>
  </w:style>
  <w:style w:type="paragraph" w:customStyle="1" w:styleId="1">
    <w:name w:val="Стиль1"/>
    <w:basedOn w:val="a0"/>
    <w:link w:val="110"/>
    <w:uiPriority w:val="99"/>
    <w:rsid w:val="00EE59C2"/>
    <w:pPr>
      <w:numPr>
        <w:numId w:val="1"/>
      </w:numPr>
      <w:spacing w:before="240"/>
      <w:ind w:left="709" w:hanging="425"/>
    </w:pPr>
    <w:rPr>
      <w:rFonts w:eastAsia="Times New Roman"/>
    </w:rPr>
  </w:style>
  <w:style w:type="character" w:customStyle="1" w:styleId="110">
    <w:name w:val="Стиль1 Знак1"/>
    <w:link w:val="1"/>
    <w:uiPriority w:val="99"/>
    <w:locked/>
    <w:rsid w:val="00EE59C2"/>
    <w:rPr>
      <w:rFonts w:ascii="Times New Roman" w:eastAsia="Times New Roman" w:hAnsi="Times New Roman"/>
      <w:sz w:val="24"/>
      <w:szCs w:val="22"/>
      <w:lang w:eastAsia="en-US"/>
    </w:rPr>
  </w:style>
  <w:style w:type="character" w:customStyle="1" w:styleId="apple-style-span">
    <w:name w:val="apple-style-span"/>
    <w:uiPriority w:val="99"/>
    <w:rsid w:val="00021FEA"/>
  </w:style>
  <w:style w:type="paragraph" w:styleId="affe">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e"/>
    <w:link w:val="afff"/>
    <w:uiPriority w:val="99"/>
    <w:rsid w:val="0021676E"/>
    <w:pPr>
      <w:numPr>
        <w:numId w:val="2"/>
      </w:numPr>
      <w:ind w:left="0"/>
    </w:pPr>
    <w:rPr>
      <w:szCs w:val="28"/>
    </w:rPr>
  </w:style>
  <w:style w:type="paragraph" w:customStyle="1" w:styleId="afff0">
    <w:name w:val="Сокращения"/>
    <w:basedOn w:val="a0"/>
    <w:link w:val="afff1"/>
    <w:uiPriority w:val="99"/>
    <w:rsid w:val="0021676E"/>
  </w:style>
  <w:style w:type="character" w:customStyle="1" w:styleId="17">
    <w:name w:val="Абзац списка Знак1"/>
    <w:link w:val="afe"/>
    <w:uiPriority w:val="99"/>
    <w:locked/>
    <w:rsid w:val="0021676E"/>
    <w:rPr>
      <w:rFonts w:ascii="Times New Roman" w:hAnsi="Times New Roman" w:cs="Times New Roman"/>
      <w:sz w:val="24"/>
    </w:rPr>
  </w:style>
  <w:style w:type="character" w:customStyle="1" w:styleId="afff">
    <w:name w:val="Список ключевых слов Знак"/>
    <w:link w:val="a"/>
    <w:uiPriority w:val="99"/>
    <w:locked/>
    <w:rsid w:val="0021676E"/>
    <w:rPr>
      <w:rFonts w:ascii="Times New Roman" w:hAnsi="Times New Roman"/>
      <w:sz w:val="24"/>
      <w:szCs w:val="28"/>
      <w:lang w:eastAsia="en-US"/>
    </w:rPr>
  </w:style>
  <w:style w:type="paragraph" w:customStyle="1" w:styleId="afff2">
    <w:name w:val="Наим. раздела"/>
    <w:basedOn w:val="CustomContentNormal"/>
    <w:link w:val="afff3"/>
    <w:uiPriority w:val="99"/>
    <w:rsid w:val="00C4630C"/>
  </w:style>
  <w:style w:type="character" w:customStyle="1" w:styleId="afff1">
    <w:name w:val="Сокращения Знак"/>
    <w:link w:val="afff0"/>
    <w:uiPriority w:val="99"/>
    <w:locked/>
    <w:rsid w:val="0021676E"/>
    <w:rPr>
      <w:rFonts w:ascii="Times New Roman" w:hAnsi="Times New Roman" w:cs="Times New Roman"/>
      <w:sz w:val="24"/>
    </w:rPr>
  </w:style>
  <w:style w:type="paragraph" w:customStyle="1" w:styleId="1f0">
    <w:name w:val="Текст в 1 разделе"/>
    <w:basedOn w:val="a0"/>
    <w:link w:val="1f1"/>
    <w:uiPriority w:val="99"/>
    <w:rsid w:val="0021676E"/>
    <w:rPr>
      <w:rFonts w:eastAsia="Times New Roman"/>
      <w:szCs w:val="24"/>
    </w:rPr>
  </w:style>
  <w:style w:type="character" w:customStyle="1" w:styleId="CustomContentNormal0">
    <w:name w:val="Custom Content Normal Знак"/>
    <w:link w:val="CustomContentNormal"/>
    <w:uiPriority w:val="99"/>
    <w:locked/>
    <w:rsid w:val="0021676E"/>
    <w:rPr>
      <w:rFonts w:ascii="Times New Roman" w:hAnsi="Times New Roman" w:cs="Times New Roman"/>
      <w:b/>
      <w:sz w:val="22"/>
      <w:szCs w:val="22"/>
      <w:lang w:val="ru-RU" w:eastAsia="en-US" w:bidi="ar-SA"/>
    </w:rPr>
  </w:style>
  <w:style w:type="character" w:customStyle="1" w:styleId="afff3">
    <w:name w:val="Наим. раздела Знак"/>
    <w:link w:val="afff2"/>
    <w:uiPriority w:val="99"/>
    <w:locked/>
    <w:rsid w:val="00C4630C"/>
    <w:rPr>
      <w:rFonts w:ascii="Times New Roman" w:hAnsi="Times New Roman" w:cs="Times New Roman"/>
      <w:b/>
      <w:sz w:val="22"/>
      <w:szCs w:val="22"/>
      <w:lang w:val="ru-RU" w:eastAsia="en-US" w:bidi="ar-SA"/>
    </w:rPr>
  </w:style>
  <w:style w:type="paragraph" w:customStyle="1" w:styleId="afff4">
    <w:name w:val="Таблицы"/>
    <w:basedOn w:val="afc"/>
    <w:link w:val="afff5"/>
    <w:uiPriority w:val="99"/>
    <w:rsid w:val="0021676E"/>
    <w:pPr>
      <w:spacing w:line="240" w:lineRule="auto"/>
      <w:ind w:firstLine="0"/>
    </w:pPr>
  </w:style>
  <w:style w:type="character" w:customStyle="1" w:styleId="1f1">
    <w:name w:val="Текст в 1 разделе Знак"/>
    <w:link w:val="1f0"/>
    <w:uiPriority w:val="99"/>
    <w:locked/>
    <w:rsid w:val="0021676E"/>
    <w:rPr>
      <w:rFonts w:ascii="Times New Roman" w:hAnsi="Times New Roman" w:cs="Times New Roman"/>
      <w:sz w:val="24"/>
      <w:szCs w:val="24"/>
    </w:rPr>
  </w:style>
  <w:style w:type="paragraph" w:customStyle="1" w:styleId="afff6">
    <w:name w:val="Наим. табл"/>
    <w:basedOn w:val="a0"/>
    <w:link w:val="afff7"/>
    <w:uiPriority w:val="99"/>
    <w:rsid w:val="0021676E"/>
  </w:style>
  <w:style w:type="character" w:customStyle="1" w:styleId="afd">
    <w:name w:val="Обычный (веб) Знак"/>
    <w:link w:val="afc"/>
    <w:uiPriority w:val="99"/>
    <w:locked/>
    <w:rsid w:val="0021676E"/>
    <w:rPr>
      <w:rFonts w:ascii="Times New Roman" w:hAnsi="Times New Roman" w:cs="Times New Roman"/>
      <w:sz w:val="24"/>
      <w:szCs w:val="24"/>
      <w:lang w:eastAsia="ru-RU"/>
    </w:rPr>
  </w:style>
  <w:style w:type="character" w:customStyle="1" w:styleId="afff5">
    <w:name w:val="Таблицы Знак"/>
    <w:link w:val="afff4"/>
    <w:uiPriority w:val="99"/>
    <w:locked/>
    <w:rsid w:val="0021676E"/>
    <w:rPr>
      <w:rFonts w:ascii="Times New Roman" w:hAnsi="Times New Roman" w:cs="Times New Roman"/>
      <w:sz w:val="24"/>
      <w:szCs w:val="24"/>
      <w:lang w:eastAsia="ru-RU"/>
    </w:rPr>
  </w:style>
  <w:style w:type="paragraph" w:customStyle="1" w:styleId="2-6">
    <w:name w:val="Вводный текст 2-6 разделы"/>
    <w:basedOn w:val="a0"/>
    <w:link w:val="2-60"/>
    <w:uiPriority w:val="99"/>
    <w:rsid w:val="00334F6C"/>
    <w:rPr>
      <w:szCs w:val="24"/>
    </w:rPr>
  </w:style>
  <w:style w:type="character" w:customStyle="1" w:styleId="afff7">
    <w:name w:val="Наим. табл Знак"/>
    <w:link w:val="afff6"/>
    <w:uiPriority w:val="99"/>
    <w:locked/>
    <w:rsid w:val="0021676E"/>
    <w:rPr>
      <w:rFonts w:ascii="Times New Roman" w:hAnsi="Times New Roman" w:cs="Times New Roman"/>
      <w:sz w:val="24"/>
    </w:rPr>
  </w:style>
  <w:style w:type="paragraph" w:customStyle="1" w:styleId="afff8">
    <w:name w:val="Рекомендация"/>
    <w:basedOn w:val="1"/>
    <w:link w:val="afff9"/>
    <w:uiPriority w:val="99"/>
    <w:rsid w:val="0021676E"/>
  </w:style>
  <w:style w:type="character" w:customStyle="1" w:styleId="2-60">
    <w:name w:val="Вводный текст 2-6 разделы Знак"/>
    <w:link w:val="2-6"/>
    <w:uiPriority w:val="99"/>
    <w:locked/>
    <w:rsid w:val="00334F6C"/>
    <w:rPr>
      <w:rFonts w:ascii="Times New Roman" w:hAnsi="Times New Roman" w:cs="Times New Roman"/>
      <w:sz w:val="24"/>
      <w:szCs w:val="24"/>
    </w:rPr>
  </w:style>
  <w:style w:type="paragraph" w:customStyle="1" w:styleId="1f2">
    <w:name w:val="УДД1"/>
    <w:aliases w:val="УУР1"/>
    <w:basedOn w:val="aff2"/>
    <w:uiPriority w:val="99"/>
    <w:rsid w:val="0021676E"/>
  </w:style>
  <w:style w:type="character" w:customStyle="1" w:styleId="afff9">
    <w:name w:val="Рекомендация Знак"/>
    <w:link w:val="afff8"/>
    <w:uiPriority w:val="99"/>
    <w:locked/>
    <w:rsid w:val="0021676E"/>
    <w:rPr>
      <w:rFonts w:ascii="Times New Roman" w:eastAsia="Times New Roman" w:hAnsi="Times New Roman"/>
      <w:sz w:val="24"/>
      <w:szCs w:val="22"/>
      <w:lang w:eastAsia="en-US"/>
    </w:rPr>
  </w:style>
  <w:style w:type="paragraph" w:customStyle="1" w:styleId="Default">
    <w:name w:val="Default"/>
    <w:uiPriority w:val="99"/>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f0"/>
    <w:link w:val="afffb"/>
    <w:uiPriority w:val="99"/>
    <w:rsid w:val="00094ED6"/>
    <w:rPr>
      <w:i/>
      <w:color w:val="FF0000"/>
      <w:sz w:val="18"/>
    </w:rPr>
  </w:style>
  <w:style w:type="character" w:customStyle="1" w:styleId="afffb">
    <w:name w:val="Памятки Знак"/>
    <w:link w:val="afffa"/>
    <w:uiPriority w:val="99"/>
    <w:locked/>
    <w:rsid w:val="00094ED6"/>
    <w:rPr>
      <w:rFonts w:ascii="Times New Roman" w:hAnsi="Times New Roman" w:cs="Times New Roman"/>
      <w:i/>
      <w:color w:val="FF0000"/>
      <w:sz w:val="24"/>
      <w:szCs w:val="24"/>
    </w:rPr>
  </w:style>
  <w:style w:type="table" w:customStyle="1" w:styleId="7">
    <w:name w:val="Сетка таблицы7"/>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uiPriority w:val="99"/>
    <w:rsid w:val="00A91645"/>
    <w:rPr>
      <w:rFonts w:eastAsia="Times New Roman"/>
      <w:i/>
      <w:color w:val="0070C0"/>
      <w:szCs w:val="24"/>
      <w:u w:val="single"/>
    </w:rPr>
  </w:style>
  <w:style w:type="character" w:customStyle="1" w:styleId="afffd">
    <w:name w:val="ссылка Знак"/>
    <w:link w:val="afffc"/>
    <w:uiPriority w:val="99"/>
    <w:locked/>
    <w:rsid w:val="00A91645"/>
    <w:rPr>
      <w:rFonts w:ascii="Times New Roman" w:hAnsi="Times New Roman" w:cs="Times New Roman"/>
      <w:i/>
      <w:color w:val="0070C0"/>
      <w:sz w:val="24"/>
      <w:szCs w:val="24"/>
      <w:u w:val="single"/>
    </w:rPr>
  </w:style>
  <w:style w:type="character" w:customStyle="1" w:styleId="afffe">
    <w:name w:val="Основной текст_"/>
    <w:link w:val="1f4"/>
    <w:uiPriority w:val="99"/>
    <w:locked/>
    <w:rsid w:val="00C4630C"/>
    <w:rPr>
      <w:rFonts w:ascii="Times New Roman" w:hAnsi="Times New Roman" w:cs="Times New Roman"/>
      <w:sz w:val="28"/>
      <w:szCs w:val="28"/>
      <w:shd w:val="clear" w:color="auto" w:fill="FFFFFF"/>
    </w:rPr>
  </w:style>
  <w:style w:type="character" w:customStyle="1" w:styleId="23">
    <w:name w:val="Заголовок №2_"/>
    <w:link w:val="24"/>
    <w:uiPriority w:val="99"/>
    <w:locked/>
    <w:rsid w:val="00C4630C"/>
    <w:rPr>
      <w:rFonts w:ascii="Times New Roman" w:hAnsi="Times New Roman" w:cs="Times New Roman"/>
      <w:b/>
      <w:bCs/>
      <w:sz w:val="28"/>
      <w:szCs w:val="28"/>
      <w:shd w:val="clear" w:color="auto" w:fill="FFFFFF"/>
    </w:rPr>
  </w:style>
  <w:style w:type="paragraph" w:customStyle="1" w:styleId="1f4">
    <w:name w:val="Основной текст1"/>
    <w:basedOn w:val="a0"/>
    <w:link w:val="afffe"/>
    <w:uiPriority w:val="99"/>
    <w:rsid w:val="00C4630C"/>
    <w:pPr>
      <w:widowControl w:val="0"/>
      <w:shd w:val="clear" w:color="auto" w:fill="FFFFFF"/>
      <w:spacing w:line="240" w:lineRule="auto"/>
      <w:ind w:firstLine="400"/>
    </w:pPr>
    <w:rPr>
      <w:rFonts w:eastAsia="Times New Roman"/>
      <w:sz w:val="28"/>
      <w:szCs w:val="28"/>
    </w:rPr>
  </w:style>
  <w:style w:type="paragraph" w:customStyle="1" w:styleId="24">
    <w:name w:val="Заголовок №2"/>
    <w:basedOn w:val="a0"/>
    <w:link w:val="23"/>
    <w:uiPriority w:val="99"/>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Pa8">
    <w:name w:val="Pa8"/>
    <w:basedOn w:val="Default"/>
    <w:next w:val="Default"/>
    <w:uiPriority w:val="99"/>
    <w:rsid w:val="001E5B41"/>
    <w:pPr>
      <w:spacing w:line="181" w:lineRule="atLeast"/>
    </w:pPr>
    <w:rPr>
      <w:rFonts w:ascii="Myriad Pro" w:hAnsi="Myriad Pro"/>
      <w:color w:val="auto"/>
    </w:rPr>
  </w:style>
  <w:style w:type="paragraph" w:customStyle="1" w:styleId="1f5">
    <w:name w:val="1"/>
    <w:uiPriority w:val="99"/>
    <w:rsid w:val="00034AFC"/>
    <w:pPr>
      <w:keepNext/>
      <w:keepLines/>
      <w:spacing w:line="276" w:lineRule="auto"/>
      <w:outlineLvl w:val="0"/>
    </w:pPr>
    <w:rPr>
      <w:rFonts w:ascii="Times New Roman" w:hAnsi="Times New Roman"/>
      <w:sz w:val="24"/>
      <w:szCs w:val="22"/>
      <w:lang w:eastAsia="en-US"/>
    </w:rPr>
  </w:style>
  <w:style w:type="paragraph" w:customStyle="1" w:styleId="2">
    <w:name w:val="Стиль2"/>
    <w:basedOn w:val="afc"/>
    <w:link w:val="25"/>
    <w:uiPriority w:val="99"/>
    <w:rsid w:val="00034AFC"/>
    <w:pPr>
      <w:numPr>
        <w:numId w:val="3"/>
      </w:numPr>
      <w:spacing w:before="240" w:beforeAutospacing="0" w:afterAutospacing="0" w:line="360" w:lineRule="auto"/>
      <w:ind w:hanging="357"/>
    </w:pPr>
    <w:rPr>
      <w:color w:val="303030"/>
      <w:shd w:val="clear" w:color="auto" w:fill="FFFFFF"/>
    </w:rPr>
  </w:style>
  <w:style w:type="paragraph" w:customStyle="1" w:styleId="32">
    <w:name w:val="Стиль3"/>
    <w:basedOn w:val="a0"/>
    <w:link w:val="33"/>
    <w:uiPriority w:val="99"/>
    <w:rsid w:val="00034AFC"/>
    <w:pPr>
      <w:ind w:firstLine="0"/>
    </w:pPr>
    <w:rPr>
      <w:rFonts w:eastAsia="Times New Roman"/>
      <w:b/>
      <w:color w:val="303030"/>
      <w:szCs w:val="24"/>
      <w:shd w:val="clear" w:color="auto" w:fill="FFFFFF"/>
      <w:lang w:eastAsia="ru-RU"/>
    </w:rPr>
  </w:style>
  <w:style w:type="character" w:customStyle="1" w:styleId="25">
    <w:name w:val="Стиль2 Знак"/>
    <w:link w:val="2"/>
    <w:uiPriority w:val="99"/>
    <w:locked/>
    <w:rsid w:val="00034AFC"/>
    <w:rPr>
      <w:rFonts w:ascii="Times New Roman" w:eastAsia="Times New Roman" w:hAnsi="Times New Roman"/>
      <w:color w:val="303030"/>
      <w:sz w:val="24"/>
      <w:szCs w:val="24"/>
    </w:rPr>
  </w:style>
  <w:style w:type="character" w:customStyle="1" w:styleId="33">
    <w:name w:val="Стиль3 Знак"/>
    <w:link w:val="32"/>
    <w:uiPriority w:val="99"/>
    <w:locked/>
    <w:rsid w:val="00034AFC"/>
    <w:rPr>
      <w:rFonts w:ascii="Times New Roman" w:hAnsi="Times New Roman" w:cs="Times New Roman"/>
      <w:b/>
      <w:color w:val="303030"/>
      <w:sz w:val="24"/>
      <w:szCs w:val="24"/>
      <w:lang w:eastAsia="ru-RU"/>
    </w:rPr>
  </w:style>
  <w:style w:type="paragraph" w:styleId="affff">
    <w:name w:val="Plain Text"/>
    <w:basedOn w:val="a0"/>
    <w:link w:val="affff0"/>
    <w:uiPriority w:val="99"/>
    <w:rsid w:val="00034AFC"/>
    <w:pPr>
      <w:spacing w:after="160"/>
      <w:ind w:firstLine="0"/>
    </w:pPr>
    <w:rPr>
      <w:rFonts w:ascii="Courier New" w:eastAsia="Times New Roman" w:hAnsi="Courier New"/>
    </w:rPr>
  </w:style>
  <w:style w:type="character" w:customStyle="1" w:styleId="affff0">
    <w:name w:val="Текст Знак"/>
    <w:link w:val="affff"/>
    <w:uiPriority w:val="99"/>
    <w:locked/>
    <w:rsid w:val="00034AFC"/>
    <w:rPr>
      <w:rFonts w:ascii="Courier New" w:hAnsi="Courier New" w:cs="Times New Roman"/>
      <w:sz w:val="24"/>
    </w:rPr>
  </w:style>
  <w:style w:type="character" w:customStyle="1" w:styleId="A16">
    <w:name w:val="A16"/>
    <w:uiPriority w:val="99"/>
    <w:rsid w:val="00034AFC"/>
    <w:rPr>
      <w:color w:val="000000"/>
      <w:sz w:val="10"/>
    </w:rPr>
  </w:style>
  <w:style w:type="character" w:customStyle="1" w:styleId="A15">
    <w:name w:val="A15"/>
    <w:uiPriority w:val="99"/>
    <w:rsid w:val="00034AFC"/>
    <w:rPr>
      <w:color w:val="000000"/>
      <w:sz w:val="18"/>
    </w:rPr>
  </w:style>
  <w:style w:type="paragraph" w:customStyle="1" w:styleId="Pa94">
    <w:name w:val="Pa94"/>
    <w:basedOn w:val="Default"/>
    <w:next w:val="Default"/>
    <w:uiPriority w:val="99"/>
    <w:rsid w:val="00034AFC"/>
    <w:pPr>
      <w:spacing w:line="181" w:lineRule="atLeast"/>
    </w:pPr>
    <w:rPr>
      <w:rFonts w:ascii="Myriad Pro" w:hAnsi="Myriad Pro"/>
      <w:color w:val="auto"/>
    </w:rPr>
  </w:style>
  <w:style w:type="character" w:customStyle="1" w:styleId="1f6">
    <w:name w:val="Неразрешенное упоминание1"/>
    <w:uiPriority w:val="99"/>
    <w:semiHidden/>
    <w:rsid w:val="00034AFC"/>
    <w:rPr>
      <w:rFonts w:cs="Times New Roman"/>
      <w:color w:val="auto"/>
      <w:shd w:val="clear" w:color="auto" w:fill="auto"/>
    </w:rPr>
  </w:style>
  <w:style w:type="table" w:customStyle="1" w:styleId="26">
    <w:name w:val="Сетка таблицы2"/>
    <w:uiPriority w:val="99"/>
    <w:rsid w:val="00A0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toc 3"/>
    <w:basedOn w:val="a0"/>
    <w:next w:val="a0"/>
    <w:autoRedefine/>
    <w:uiPriority w:val="39"/>
    <w:rsid w:val="009C0DF1"/>
    <w:pPr>
      <w:tabs>
        <w:tab w:val="right" w:leader="dot" w:pos="9345"/>
      </w:tabs>
      <w:spacing w:after="100"/>
      <w:ind w:firstLine="0"/>
    </w:pPr>
  </w:style>
  <w:style w:type="paragraph" w:customStyle="1" w:styleId="affff1">
    <w:name w:val="УД"/>
    <w:basedOn w:val="aff1"/>
    <w:uiPriority w:val="99"/>
    <w:rsid w:val="009D2E3F"/>
    <w:pPr>
      <w:spacing w:before="0"/>
    </w:pPr>
    <w:rPr>
      <w:b/>
    </w:rPr>
  </w:style>
  <w:style w:type="table" w:customStyle="1" w:styleId="6">
    <w:name w:val="Сетка таблицы6"/>
    <w:uiPriority w:val="99"/>
    <w:rsid w:val="009D2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2">
    <w:name w:val="текст диссертации Знак Знак"/>
    <w:basedOn w:val="a0"/>
    <w:link w:val="1f7"/>
    <w:uiPriority w:val="99"/>
    <w:rsid w:val="009D2E3F"/>
    <w:pPr>
      <w:autoSpaceDE w:val="0"/>
      <w:autoSpaceDN w:val="0"/>
      <w:adjustRightInd w:val="0"/>
    </w:pPr>
    <w:rPr>
      <w:sz w:val="28"/>
      <w:szCs w:val="20"/>
      <w:lang w:eastAsia="ru-RU"/>
    </w:rPr>
  </w:style>
  <w:style w:type="character" w:customStyle="1" w:styleId="1f7">
    <w:name w:val="текст диссертации Знак Знак Знак1"/>
    <w:link w:val="affff2"/>
    <w:uiPriority w:val="99"/>
    <w:locked/>
    <w:rsid w:val="009D2E3F"/>
    <w:rPr>
      <w:rFonts w:ascii="Times New Roman" w:hAnsi="Times New Roman"/>
      <w:sz w:val="28"/>
      <w:lang w:eastAsia="ru-RU"/>
    </w:rPr>
  </w:style>
  <w:style w:type="character" w:customStyle="1" w:styleId="externalref">
    <w:name w:val="externalref"/>
    <w:uiPriority w:val="99"/>
    <w:rsid w:val="009D2E3F"/>
    <w:rPr>
      <w:rFonts w:cs="Times New Roman"/>
    </w:rPr>
  </w:style>
  <w:style w:type="character" w:customStyle="1" w:styleId="refsource">
    <w:name w:val="refsource"/>
    <w:uiPriority w:val="99"/>
    <w:rsid w:val="009D2E3F"/>
    <w:rPr>
      <w:rFonts w:cs="Times New Roman"/>
    </w:rPr>
  </w:style>
  <w:style w:type="paragraph" w:customStyle="1" w:styleId="msonormalmailrucssattributepostfixmailrucssattributepostfix">
    <w:name w:val="msonormal_mailru_css_attribute_postfix_mailru_css_attribute_postfix"/>
    <w:basedOn w:val="a0"/>
    <w:uiPriority w:val="99"/>
    <w:rsid w:val="009D2E3F"/>
    <w:pPr>
      <w:spacing w:before="100" w:beforeAutospacing="1" w:after="100" w:afterAutospacing="1" w:line="240" w:lineRule="auto"/>
      <w:ind w:firstLine="0"/>
      <w:jc w:val="left"/>
    </w:pPr>
    <w:rPr>
      <w:rFonts w:eastAsia="Times New Roman"/>
      <w:szCs w:val="24"/>
      <w:lang w:eastAsia="ru-RU"/>
    </w:rPr>
  </w:style>
  <w:style w:type="table" w:customStyle="1" w:styleId="TableNormal1">
    <w:name w:val="Table Normal1"/>
    <w:uiPriority w:val="99"/>
    <w:semiHidden/>
    <w:rsid w:val="009D2E3F"/>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0"/>
    <w:uiPriority w:val="99"/>
    <w:rsid w:val="009D2E3F"/>
    <w:pPr>
      <w:widowControl w:val="0"/>
      <w:autoSpaceDE w:val="0"/>
      <w:autoSpaceDN w:val="0"/>
      <w:spacing w:line="240" w:lineRule="auto"/>
      <w:ind w:left="112" w:firstLine="0"/>
      <w:jc w:val="left"/>
    </w:pPr>
    <w:rPr>
      <w:rFonts w:eastAsia="Times New Roman"/>
      <w:sz w:val="22"/>
      <w:lang w:eastAsia="ru-RU"/>
    </w:rPr>
  </w:style>
  <w:style w:type="table" w:customStyle="1" w:styleId="111">
    <w:name w:val="Сетка таблицы11"/>
    <w:uiPriority w:val="99"/>
    <w:rsid w:val="009D2E3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toc 4"/>
    <w:basedOn w:val="a0"/>
    <w:next w:val="a0"/>
    <w:autoRedefine/>
    <w:uiPriority w:val="99"/>
    <w:semiHidden/>
    <w:rsid w:val="009D2E3F"/>
    <w:pPr>
      <w:spacing w:after="100" w:line="259" w:lineRule="auto"/>
      <w:ind w:left="660" w:firstLine="0"/>
      <w:jc w:val="left"/>
    </w:pPr>
    <w:rPr>
      <w:rFonts w:ascii="Calibri" w:eastAsia="Times New Roman" w:hAnsi="Calibri"/>
      <w:sz w:val="22"/>
      <w:lang w:eastAsia="ru-RU"/>
    </w:rPr>
  </w:style>
  <w:style w:type="paragraph" w:styleId="50">
    <w:name w:val="toc 5"/>
    <w:basedOn w:val="a0"/>
    <w:next w:val="a0"/>
    <w:autoRedefine/>
    <w:uiPriority w:val="99"/>
    <w:semiHidden/>
    <w:rsid w:val="009D2E3F"/>
    <w:pPr>
      <w:spacing w:after="100" w:line="259" w:lineRule="auto"/>
      <w:ind w:left="880" w:firstLine="0"/>
      <w:jc w:val="left"/>
    </w:pPr>
    <w:rPr>
      <w:rFonts w:ascii="Calibri" w:eastAsia="Times New Roman" w:hAnsi="Calibri"/>
      <w:sz w:val="22"/>
      <w:lang w:eastAsia="ru-RU"/>
    </w:rPr>
  </w:style>
  <w:style w:type="paragraph" w:styleId="60">
    <w:name w:val="toc 6"/>
    <w:basedOn w:val="a0"/>
    <w:next w:val="a0"/>
    <w:autoRedefine/>
    <w:uiPriority w:val="99"/>
    <w:semiHidden/>
    <w:rsid w:val="009D2E3F"/>
    <w:pPr>
      <w:spacing w:after="100" w:line="259" w:lineRule="auto"/>
      <w:ind w:left="1100" w:firstLine="0"/>
      <w:jc w:val="left"/>
    </w:pPr>
    <w:rPr>
      <w:rFonts w:ascii="Calibri" w:eastAsia="Times New Roman" w:hAnsi="Calibri"/>
      <w:sz w:val="22"/>
      <w:lang w:eastAsia="ru-RU"/>
    </w:rPr>
  </w:style>
  <w:style w:type="paragraph" w:styleId="70">
    <w:name w:val="toc 7"/>
    <w:basedOn w:val="a0"/>
    <w:next w:val="a0"/>
    <w:autoRedefine/>
    <w:uiPriority w:val="99"/>
    <w:semiHidden/>
    <w:rsid w:val="009D2E3F"/>
    <w:pPr>
      <w:spacing w:after="100" w:line="259" w:lineRule="auto"/>
      <w:ind w:left="1320" w:firstLine="0"/>
      <w:jc w:val="left"/>
    </w:pPr>
    <w:rPr>
      <w:rFonts w:ascii="Calibri" w:eastAsia="Times New Roman" w:hAnsi="Calibri"/>
      <w:sz w:val="22"/>
      <w:lang w:eastAsia="ru-RU"/>
    </w:rPr>
  </w:style>
  <w:style w:type="paragraph" w:styleId="80">
    <w:name w:val="toc 8"/>
    <w:basedOn w:val="a0"/>
    <w:next w:val="a0"/>
    <w:autoRedefine/>
    <w:uiPriority w:val="99"/>
    <w:semiHidden/>
    <w:rsid w:val="009D2E3F"/>
    <w:pPr>
      <w:spacing w:after="100" w:line="259" w:lineRule="auto"/>
      <w:ind w:left="1540" w:firstLine="0"/>
      <w:jc w:val="left"/>
    </w:pPr>
    <w:rPr>
      <w:rFonts w:ascii="Calibri" w:eastAsia="Times New Roman" w:hAnsi="Calibri"/>
      <w:sz w:val="22"/>
      <w:lang w:eastAsia="ru-RU"/>
    </w:rPr>
  </w:style>
  <w:style w:type="paragraph" w:styleId="90">
    <w:name w:val="toc 9"/>
    <w:basedOn w:val="a0"/>
    <w:next w:val="a0"/>
    <w:autoRedefine/>
    <w:uiPriority w:val="99"/>
    <w:semiHidden/>
    <w:rsid w:val="009D2E3F"/>
    <w:pPr>
      <w:spacing w:after="100" w:line="259" w:lineRule="auto"/>
      <w:ind w:left="1760" w:firstLine="0"/>
      <w:jc w:val="left"/>
    </w:pPr>
    <w:rPr>
      <w:rFonts w:ascii="Calibri" w:eastAsia="Times New Roman" w:hAnsi="Calibri"/>
      <w:sz w:val="22"/>
      <w:lang w:eastAsia="ru-RU"/>
    </w:rPr>
  </w:style>
  <w:style w:type="character" w:styleId="affff3">
    <w:name w:val="FollowedHyperlink"/>
    <w:uiPriority w:val="99"/>
    <w:semiHidden/>
    <w:rsid w:val="009D2E3F"/>
    <w:rPr>
      <w:rFonts w:cs="Times New Roman"/>
      <w:color w:val="auto"/>
      <w:u w:val="single"/>
    </w:rPr>
  </w:style>
  <w:style w:type="character" w:customStyle="1" w:styleId="nlm-surname">
    <w:name w:val="nlm-surname"/>
    <w:uiPriority w:val="99"/>
    <w:rsid w:val="009D2E3F"/>
    <w:rPr>
      <w:rFonts w:cs="Times New Roman"/>
    </w:rPr>
  </w:style>
  <w:style w:type="character" w:customStyle="1" w:styleId="highwire-cite-metadata-doi">
    <w:name w:val="highwire-cite-metadata-doi"/>
    <w:uiPriority w:val="99"/>
    <w:rsid w:val="009D2E3F"/>
    <w:rPr>
      <w:rFonts w:cs="Times New Roman"/>
    </w:rPr>
  </w:style>
  <w:style w:type="character" w:customStyle="1" w:styleId="highwire-citation-authors">
    <w:name w:val="highwire-citation-authors"/>
    <w:uiPriority w:val="99"/>
    <w:rsid w:val="009D2E3F"/>
    <w:rPr>
      <w:rFonts w:cs="Times New Roman"/>
    </w:rPr>
  </w:style>
  <w:style w:type="character" w:customStyle="1" w:styleId="highwire-citation-author">
    <w:name w:val="highwire-citation-author"/>
    <w:uiPriority w:val="99"/>
    <w:rsid w:val="009D2E3F"/>
    <w:rPr>
      <w:rFonts w:cs="Times New Roman"/>
    </w:rPr>
  </w:style>
  <w:style w:type="table" w:customStyle="1" w:styleId="210">
    <w:name w:val="Сетка таблицы21"/>
    <w:uiPriority w:val="99"/>
    <w:rsid w:val="00F6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0">
    <w:name w:val="Знак Знак10"/>
    <w:uiPriority w:val="99"/>
    <w:locked/>
    <w:rsid w:val="00490276"/>
    <w:rPr>
      <w:rFonts w:ascii="Times New Roman" w:hAnsi="Times New Roman"/>
      <w:sz w:val="20"/>
      <w:lang w:eastAsia="ru-RU"/>
    </w:rPr>
  </w:style>
  <w:style w:type="character" w:customStyle="1" w:styleId="id-label">
    <w:name w:val="id-label"/>
    <w:rsid w:val="00EF6ED4"/>
  </w:style>
  <w:style w:type="paragraph" w:styleId="27">
    <w:name w:val="Quote"/>
    <w:basedOn w:val="a0"/>
    <w:next w:val="a0"/>
    <w:link w:val="28"/>
    <w:uiPriority w:val="29"/>
    <w:qFormat/>
    <w:rsid w:val="009B6507"/>
    <w:pPr>
      <w:spacing w:before="200" w:after="160"/>
      <w:ind w:left="864" w:right="864"/>
      <w:jc w:val="center"/>
    </w:pPr>
    <w:rPr>
      <w:i/>
      <w:iCs/>
      <w:color w:val="404040" w:themeColor="text1" w:themeTint="BF"/>
    </w:rPr>
  </w:style>
  <w:style w:type="character" w:customStyle="1" w:styleId="28">
    <w:name w:val="Цитата 2 Знак"/>
    <w:basedOn w:val="a2"/>
    <w:link w:val="27"/>
    <w:uiPriority w:val="29"/>
    <w:rsid w:val="009B6507"/>
    <w:rPr>
      <w:rFonts w:ascii="Times New Roman" w:hAnsi="Times New Roman"/>
      <w:i/>
      <w:iCs/>
      <w:color w:val="404040" w:themeColor="text1" w:themeTint="BF"/>
      <w:sz w:val="24"/>
      <w:szCs w:val="22"/>
      <w:lang w:eastAsia="en-US"/>
    </w:rPr>
  </w:style>
  <w:style w:type="character" w:customStyle="1" w:styleId="nlmstring-name">
    <w:name w:val="nlm_string-name"/>
    <w:basedOn w:val="a2"/>
    <w:rsid w:val="00A6606C"/>
  </w:style>
  <w:style w:type="character" w:customStyle="1" w:styleId="journalname">
    <w:name w:val="journalname"/>
    <w:basedOn w:val="a2"/>
    <w:rsid w:val="00A6606C"/>
  </w:style>
  <w:style w:type="character" w:customStyle="1" w:styleId="year">
    <w:name w:val="year"/>
    <w:basedOn w:val="a2"/>
    <w:rsid w:val="00A6606C"/>
  </w:style>
  <w:style w:type="character" w:customStyle="1" w:styleId="volume">
    <w:name w:val="volume"/>
    <w:basedOn w:val="a2"/>
    <w:rsid w:val="00A6606C"/>
  </w:style>
  <w:style w:type="character" w:customStyle="1" w:styleId="issue">
    <w:name w:val="issue"/>
    <w:basedOn w:val="a2"/>
    <w:rsid w:val="00A6606C"/>
  </w:style>
  <w:style w:type="character" w:customStyle="1" w:styleId="page">
    <w:name w:val="page"/>
    <w:basedOn w:val="a2"/>
    <w:rsid w:val="00A6606C"/>
  </w:style>
  <w:style w:type="character" w:customStyle="1" w:styleId="ww7qxh8">
    <w:name w:val="ww7qxh8"/>
    <w:basedOn w:val="a2"/>
    <w:rsid w:val="003209F5"/>
  </w:style>
  <w:style w:type="character" w:customStyle="1" w:styleId="jlqj4b">
    <w:name w:val="jlqj4b"/>
    <w:basedOn w:val="a2"/>
    <w:rsid w:val="00242FD4"/>
  </w:style>
  <w:style w:type="character" w:customStyle="1" w:styleId="layout">
    <w:name w:val="layout"/>
    <w:basedOn w:val="a2"/>
    <w:rsid w:val="00DF5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174">
      <w:bodyDiv w:val="1"/>
      <w:marLeft w:val="0"/>
      <w:marRight w:val="0"/>
      <w:marTop w:val="0"/>
      <w:marBottom w:val="0"/>
      <w:divBdr>
        <w:top w:val="none" w:sz="0" w:space="0" w:color="auto"/>
        <w:left w:val="none" w:sz="0" w:space="0" w:color="auto"/>
        <w:bottom w:val="none" w:sz="0" w:space="0" w:color="auto"/>
        <w:right w:val="none" w:sz="0" w:space="0" w:color="auto"/>
      </w:divBdr>
    </w:div>
    <w:div w:id="99306104">
      <w:bodyDiv w:val="1"/>
      <w:marLeft w:val="0"/>
      <w:marRight w:val="0"/>
      <w:marTop w:val="0"/>
      <w:marBottom w:val="0"/>
      <w:divBdr>
        <w:top w:val="none" w:sz="0" w:space="0" w:color="auto"/>
        <w:left w:val="none" w:sz="0" w:space="0" w:color="auto"/>
        <w:bottom w:val="none" w:sz="0" w:space="0" w:color="auto"/>
        <w:right w:val="none" w:sz="0" w:space="0" w:color="auto"/>
      </w:divBdr>
      <w:divsChild>
        <w:div w:id="1330136866">
          <w:marLeft w:val="0"/>
          <w:marRight w:val="0"/>
          <w:marTop w:val="0"/>
          <w:marBottom w:val="0"/>
          <w:divBdr>
            <w:top w:val="none" w:sz="0" w:space="0" w:color="auto"/>
            <w:left w:val="none" w:sz="0" w:space="0" w:color="auto"/>
            <w:bottom w:val="none" w:sz="0" w:space="0" w:color="auto"/>
            <w:right w:val="none" w:sz="0" w:space="0" w:color="auto"/>
          </w:divBdr>
        </w:div>
      </w:divsChild>
    </w:div>
    <w:div w:id="144511001">
      <w:bodyDiv w:val="1"/>
      <w:marLeft w:val="0"/>
      <w:marRight w:val="0"/>
      <w:marTop w:val="0"/>
      <w:marBottom w:val="0"/>
      <w:divBdr>
        <w:top w:val="none" w:sz="0" w:space="0" w:color="auto"/>
        <w:left w:val="none" w:sz="0" w:space="0" w:color="auto"/>
        <w:bottom w:val="none" w:sz="0" w:space="0" w:color="auto"/>
        <w:right w:val="none" w:sz="0" w:space="0" w:color="auto"/>
      </w:divBdr>
      <w:divsChild>
        <w:div w:id="382097948">
          <w:marLeft w:val="630"/>
          <w:marRight w:val="0"/>
          <w:marTop w:val="300"/>
          <w:marBottom w:val="0"/>
          <w:divBdr>
            <w:top w:val="none" w:sz="0" w:space="0" w:color="auto"/>
            <w:left w:val="none" w:sz="0" w:space="0" w:color="auto"/>
            <w:bottom w:val="none" w:sz="0" w:space="0" w:color="auto"/>
            <w:right w:val="none" w:sz="0" w:space="0" w:color="auto"/>
          </w:divBdr>
        </w:div>
        <w:div w:id="763645471">
          <w:marLeft w:val="0"/>
          <w:marRight w:val="0"/>
          <w:marTop w:val="300"/>
          <w:marBottom w:val="0"/>
          <w:divBdr>
            <w:top w:val="none" w:sz="0" w:space="0" w:color="auto"/>
            <w:left w:val="none" w:sz="0" w:space="0" w:color="auto"/>
            <w:bottom w:val="none" w:sz="0" w:space="0" w:color="auto"/>
            <w:right w:val="none" w:sz="0" w:space="0" w:color="auto"/>
          </w:divBdr>
        </w:div>
      </w:divsChild>
    </w:div>
    <w:div w:id="384448879">
      <w:bodyDiv w:val="1"/>
      <w:marLeft w:val="0"/>
      <w:marRight w:val="0"/>
      <w:marTop w:val="0"/>
      <w:marBottom w:val="0"/>
      <w:divBdr>
        <w:top w:val="none" w:sz="0" w:space="0" w:color="auto"/>
        <w:left w:val="none" w:sz="0" w:space="0" w:color="auto"/>
        <w:bottom w:val="none" w:sz="0" w:space="0" w:color="auto"/>
        <w:right w:val="none" w:sz="0" w:space="0" w:color="auto"/>
      </w:divBdr>
      <w:divsChild>
        <w:div w:id="1728530814">
          <w:marLeft w:val="630"/>
          <w:marRight w:val="0"/>
          <w:marTop w:val="300"/>
          <w:marBottom w:val="0"/>
          <w:divBdr>
            <w:top w:val="none" w:sz="0" w:space="0" w:color="auto"/>
            <w:left w:val="none" w:sz="0" w:space="0" w:color="auto"/>
            <w:bottom w:val="none" w:sz="0" w:space="0" w:color="auto"/>
            <w:right w:val="none" w:sz="0" w:space="0" w:color="auto"/>
          </w:divBdr>
        </w:div>
        <w:div w:id="2015762273">
          <w:marLeft w:val="0"/>
          <w:marRight w:val="0"/>
          <w:marTop w:val="300"/>
          <w:marBottom w:val="0"/>
          <w:divBdr>
            <w:top w:val="none" w:sz="0" w:space="0" w:color="auto"/>
            <w:left w:val="none" w:sz="0" w:space="0" w:color="auto"/>
            <w:bottom w:val="none" w:sz="0" w:space="0" w:color="auto"/>
            <w:right w:val="none" w:sz="0" w:space="0" w:color="auto"/>
          </w:divBdr>
        </w:div>
      </w:divsChild>
    </w:div>
    <w:div w:id="393235253">
      <w:bodyDiv w:val="1"/>
      <w:marLeft w:val="0"/>
      <w:marRight w:val="0"/>
      <w:marTop w:val="0"/>
      <w:marBottom w:val="0"/>
      <w:divBdr>
        <w:top w:val="none" w:sz="0" w:space="0" w:color="auto"/>
        <w:left w:val="none" w:sz="0" w:space="0" w:color="auto"/>
        <w:bottom w:val="none" w:sz="0" w:space="0" w:color="auto"/>
        <w:right w:val="none" w:sz="0" w:space="0" w:color="auto"/>
      </w:divBdr>
      <w:divsChild>
        <w:div w:id="1455709450">
          <w:marLeft w:val="0"/>
          <w:marRight w:val="0"/>
          <w:marTop w:val="300"/>
          <w:marBottom w:val="0"/>
          <w:divBdr>
            <w:top w:val="none" w:sz="0" w:space="0" w:color="auto"/>
            <w:left w:val="none" w:sz="0" w:space="0" w:color="auto"/>
            <w:bottom w:val="none" w:sz="0" w:space="0" w:color="auto"/>
            <w:right w:val="none" w:sz="0" w:space="0" w:color="auto"/>
          </w:divBdr>
        </w:div>
        <w:div w:id="1879394463">
          <w:marLeft w:val="554"/>
          <w:marRight w:val="0"/>
          <w:marTop w:val="300"/>
          <w:marBottom w:val="0"/>
          <w:divBdr>
            <w:top w:val="none" w:sz="0" w:space="0" w:color="auto"/>
            <w:left w:val="none" w:sz="0" w:space="0" w:color="auto"/>
            <w:bottom w:val="none" w:sz="0" w:space="0" w:color="auto"/>
            <w:right w:val="none" w:sz="0" w:space="0" w:color="auto"/>
          </w:divBdr>
        </w:div>
      </w:divsChild>
    </w:div>
    <w:div w:id="431164489">
      <w:bodyDiv w:val="1"/>
      <w:marLeft w:val="0"/>
      <w:marRight w:val="0"/>
      <w:marTop w:val="0"/>
      <w:marBottom w:val="0"/>
      <w:divBdr>
        <w:top w:val="none" w:sz="0" w:space="0" w:color="auto"/>
        <w:left w:val="none" w:sz="0" w:space="0" w:color="auto"/>
        <w:bottom w:val="none" w:sz="0" w:space="0" w:color="auto"/>
        <w:right w:val="none" w:sz="0" w:space="0" w:color="auto"/>
      </w:divBdr>
      <w:divsChild>
        <w:div w:id="385105122">
          <w:marLeft w:val="0"/>
          <w:marRight w:val="0"/>
          <w:marTop w:val="300"/>
          <w:marBottom w:val="0"/>
          <w:divBdr>
            <w:top w:val="none" w:sz="0" w:space="0" w:color="auto"/>
            <w:left w:val="none" w:sz="0" w:space="0" w:color="auto"/>
            <w:bottom w:val="none" w:sz="0" w:space="0" w:color="auto"/>
            <w:right w:val="none" w:sz="0" w:space="0" w:color="auto"/>
          </w:divBdr>
        </w:div>
        <w:div w:id="1172570776">
          <w:marLeft w:val="630"/>
          <w:marRight w:val="0"/>
          <w:marTop w:val="300"/>
          <w:marBottom w:val="0"/>
          <w:divBdr>
            <w:top w:val="none" w:sz="0" w:space="0" w:color="auto"/>
            <w:left w:val="none" w:sz="0" w:space="0" w:color="auto"/>
            <w:bottom w:val="none" w:sz="0" w:space="0" w:color="auto"/>
            <w:right w:val="none" w:sz="0" w:space="0" w:color="auto"/>
          </w:divBdr>
        </w:div>
      </w:divsChild>
    </w:div>
    <w:div w:id="433137912">
      <w:bodyDiv w:val="1"/>
      <w:marLeft w:val="0"/>
      <w:marRight w:val="0"/>
      <w:marTop w:val="0"/>
      <w:marBottom w:val="0"/>
      <w:divBdr>
        <w:top w:val="none" w:sz="0" w:space="0" w:color="auto"/>
        <w:left w:val="none" w:sz="0" w:space="0" w:color="auto"/>
        <w:bottom w:val="none" w:sz="0" w:space="0" w:color="auto"/>
        <w:right w:val="none" w:sz="0" w:space="0" w:color="auto"/>
      </w:divBdr>
    </w:div>
    <w:div w:id="498888522">
      <w:marLeft w:val="0"/>
      <w:marRight w:val="0"/>
      <w:marTop w:val="0"/>
      <w:marBottom w:val="0"/>
      <w:divBdr>
        <w:top w:val="none" w:sz="0" w:space="0" w:color="auto"/>
        <w:left w:val="none" w:sz="0" w:space="0" w:color="auto"/>
        <w:bottom w:val="none" w:sz="0" w:space="0" w:color="auto"/>
        <w:right w:val="none" w:sz="0" w:space="0" w:color="auto"/>
      </w:divBdr>
    </w:div>
    <w:div w:id="498888523">
      <w:marLeft w:val="0"/>
      <w:marRight w:val="0"/>
      <w:marTop w:val="0"/>
      <w:marBottom w:val="0"/>
      <w:divBdr>
        <w:top w:val="none" w:sz="0" w:space="0" w:color="auto"/>
        <w:left w:val="none" w:sz="0" w:space="0" w:color="auto"/>
        <w:bottom w:val="none" w:sz="0" w:space="0" w:color="auto"/>
        <w:right w:val="none" w:sz="0" w:space="0" w:color="auto"/>
      </w:divBdr>
    </w:div>
    <w:div w:id="498888525">
      <w:marLeft w:val="0"/>
      <w:marRight w:val="0"/>
      <w:marTop w:val="0"/>
      <w:marBottom w:val="0"/>
      <w:divBdr>
        <w:top w:val="none" w:sz="0" w:space="0" w:color="auto"/>
        <w:left w:val="none" w:sz="0" w:space="0" w:color="auto"/>
        <w:bottom w:val="none" w:sz="0" w:space="0" w:color="auto"/>
        <w:right w:val="none" w:sz="0" w:space="0" w:color="auto"/>
      </w:divBdr>
    </w:div>
    <w:div w:id="498888526">
      <w:marLeft w:val="0"/>
      <w:marRight w:val="0"/>
      <w:marTop w:val="0"/>
      <w:marBottom w:val="0"/>
      <w:divBdr>
        <w:top w:val="none" w:sz="0" w:space="0" w:color="auto"/>
        <w:left w:val="none" w:sz="0" w:space="0" w:color="auto"/>
        <w:bottom w:val="none" w:sz="0" w:space="0" w:color="auto"/>
        <w:right w:val="none" w:sz="0" w:space="0" w:color="auto"/>
      </w:divBdr>
    </w:div>
    <w:div w:id="498888528">
      <w:marLeft w:val="0"/>
      <w:marRight w:val="0"/>
      <w:marTop w:val="0"/>
      <w:marBottom w:val="0"/>
      <w:divBdr>
        <w:top w:val="none" w:sz="0" w:space="0" w:color="auto"/>
        <w:left w:val="none" w:sz="0" w:space="0" w:color="auto"/>
        <w:bottom w:val="none" w:sz="0" w:space="0" w:color="auto"/>
        <w:right w:val="none" w:sz="0" w:space="0" w:color="auto"/>
      </w:divBdr>
    </w:div>
    <w:div w:id="498888529">
      <w:marLeft w:val="0"/>
      <w:marRight w:val="0"/>
      <w:marTop w:val="0"/>
      <w:marBottom w:val="0"/>
      <w:divBdr>
        <w:top w:val="none" w:sz="0" w:space="0" w:color="auto"/>
        <w:left w:val="none" w:sz="0" w:space="0" w:color="auto"/>
        <w:bottom w:val="none" w:sz="0" w:space="0" w:color="auto"/>
        <w:right w:val="none" w:sz="0" w:space="0" w:color="auto"/>
      </w:divBdr>
    </w:div>
    <w:div w:id="498888530">
      <w:marLeft w:val="0"/>
      <w:marRight w:val="0"/>
      <w:marTop w:val="0"/>
      <w:marBottom w:val="0"/>
      <w:divBdr>
        <w:top w:val="none" w:sz="0" w:space="0" w:color="auto"/>
        <w:left w:val="none" w:sz="0" w:space="0" w:color="auto"/>
        <w:bottom w:val="none" w:sz="0" w:space="0" w:color="auto"/>
        <w:right w:val="none" w:sz="0" w:space="0" w:color="auto"/>
      </w:divBdr>
    </w:div>
    <w:div w:id="498888531">
      <w:marLeft w:val="0"/>
      <w:marRight w:val="0"/>
      <w:marTop w:val="0"/>
      <w:marBottom w:val="0"/>
      <w:divBdr>
        <w:top w:val="none" w:sz="0" w:space="0" w:color="auto"/>
        <w:left w:val="none" w:sz="0" w:space="0" w:color="auto"/>
        <w:bottom w:val="none" w:sz="0" w:space="0" w:color="auto"/>
        <w:right w:val="none" w:sz="0" w:space="0" w:color="auto"/>
      </w:divBdr>
    </w:div>
    <w:div w:id="498888532">
      <w:marLeft w:val="0"/>
      <w:marRight w:val="0"/>
      <w:marTop w:val="0"/>
      <w:marBottom w:val="0"/>
      <w:divBdr>
        <w:top w:val="none" w:sz="0" w:space="0" w:color="auto"/>
        <w:left w:val="none" w:sz="0" w:space="0" w:color="auto"/>
        <w:bottom w:val="none" w:sz="0" w:space="0" w:color="auto"/>
        <w:right w:val="none" w:sz="0" w:space="0" w:color="auto"/>
      </w:divBdr>
    </w:div>
    <w:div w:id="498888533">
      <w:marLeft w:val="0"/>
      <w:marRight w:val="0"/>
      <w:marTop w:val="0"/>
      <w:marBottom w:val="0"/>
      <w:divBdr>
        <w:top w:val="none" w:sz="0" w:space="0" w:color="auto"/>
        <w:left w:val="none" w:sz="0" w:space="0" w:color="auto"/>
        <w:bottom w:val="none" w:sz="0" w:space="0" w:color="auto"/>
        <w:right w:val="none" w:sz="0" w:space="0" w:color="auto"/>
      </w:divBdr>
    </w:div>
    <w:div w:id="498888534">
      <w:marLeft w:val="0"/>
      <w:marRight w:val="0"/>
      <w:marTop w:val="0"/>
      <w:marBottom w:val="0"/>
      <w:divBdr>
        <w:top w:val="none" w:sz="0" w:space="0" w:color="auto"/>
        <w:left w:val="none" w:sz="0" w:space="0" w:color="auto"/>
        <w:bottom w:val="none" w:sz="0" w:space="0" w:color="auto"/>
        <w:right w:val="none" w:sz="0" w:space="0" w:color="auto"/>
      </w:divBdr>
    </w:div>
    <w:div w:id="498888535">
      <w:marLeft w:val="0"/>
      <w:marRight w:val="0"/>
      <w:marTop w:val="0"/>
      <w:marBottom w:val="0"/>
      <w:divBdr>
        <w:top w:val="none" w:sz="0" w:space="0" w:color="auto"/>
        <w:left w:val="none" w:sz="0" w:space="0" w:color="auto"/>
        <w:bottom w:val="none" w:sz="0" w:space="0" w:color="auto"/>
        <w:right w:val="none" w:sz="0" w:space="0" w:color="auto"/>
      </w:divBdr>
    </w:div>
    <w:div w:id="498888536">
      <w:marLeft w:val="0"/>
      <w:marRight w:val="0"/>
      <w:marTop w:val="0"/>
      <w:marBottom w:val="0"/>
      <w:divBdr>
        <w:top w:val="none" w:sz="0" w:space="0" w:color="auto"/>
        <w:left w:val="none" w:sz="0" w:space="0" w:color="auto"/>
        <w:bottom w:val="none" w:sz="0" w:space="0" w:color="auto"/>
        <w:right w:val="none" w:sz="0" w:space="0" w:color="auto"/>
      </w:divBdr>
    </w:div>
    <w:div w:id="498888537">
      <w:marLeft w:val="0"/>
      <w:marRight w:val="0"/>
      <w:marTop w:val="0"/>
      <w:marBottom w:val="0"/>
      <w:divBdr>
        <w:top w:val="none" w:sz="0" w:space="0" w:color="auto"/>
        <w:left w:val="none" w:sz="0" w:space="0" w:color="auto"/>
        <w:bottom w:val="none" w:sz="0" w:space="0" w:color="auto"/>
        <w:right w:val="none" w:sz="0" w:space="0" w:color="auto"/>
      </w:divBdr>
    </w:div>
    <w:div w:id="498888539">
      <w:marLeft w:val="0"/>
      <w:marRight w:val="0"/>
      <w:marTop w:val="0"/>
      <w:marBottom w:val="0"/>
      <w:divBdr>
        <w:top w:val="none" w:sz="0" w:space="0" w:color="auto"/>
        <w:left w:val="none" w:sz="0" w:space="0" w:color="auto"/>
        <w:bottom w:val="none" w:sz="0" w:space="0" w:color="auto"/>
        <w:right w:val="none" w:sz="0" w:space="0" w:color="auto"/>
      </w:divBdr>
    </w:div>
    <w:div w:id="498888540">
      <w:marLeft w:val="0"/>
      <w:marRight w:val="0"/>
      <w:marTop w:val="0"/>
      <w:marBottom w:val="0"/>
      <w:divBdr>
        <w:top w:val="none" w:sz="0" w:space="0" w:color="auto"/>
        <w:left w:val="none" w:sz="0" w:space="0" w:color="auto"/>
        <w:bottom w:val="none" w:sz="0" w:space="0" w:color="auto"/>
        <w:right w:val="none" w:sz="0" w:space="0" w:color="auto"/>
      </w:divBdr>
    </w:div>
    <w:div w:id="498888541">
      <w:marLeft w:val="0"/>
      <w:marRight w:val="0"/>
      <w:marTop w:val="0"/>
      <w:marBottom w:val="0"/>
      <w:divBdr>
        <w:top w:val="none" w:sz="0" w:space="0" w:color="auto"/>
        <w:left w:val="none" w:sz="0" w:space="0" w:color="auto"/>
        <w:bottom w:val="none" w:sz="0" w:space="0" w:color="auto"/>
        <w:right w:val="none" w:sz="0" w:space="0" w:color="auto"/>
      </w:divBdr>
    </w:div>
    <w:div w:id="498888542">
      <w:marLeft w:val="0"/>
      <w:marRight w:val="0"/>
      <w:marTop w:val="0"/>
      <w:marBottom w:val="0"/>
      <w:divBdr>
        <w:top w:val="none" w:sz="0" w:space="0" w:color="auto"/>
        <w:left w:val="none" w:sz="0" w:space="0" w:color="auto"/>
        <w:bottom w:val="none" w:sz="0" w:space="0" w:color="auto"/>
        <w:right w:val="none" w:sz="0" w:space="0" w:color="auto"/>
      </w:divBdr>
    </w:div>
    <w:div w:id="498888543">
      <w:marLeft w:val="0"/>
      <w:marRight w:val="0"/>
      <w:marTop w:val="0"/>
      <w:marBottom w:val="0"/>
      <w:divBdr>
        <w:top w:val="none" w:sz="0" w:space="0" w:color="auto"/>
        <w:left w:val="none" w:sz="0" w:space="0" w:color="auto"/>
        <w:bottom w:val="none" w:sz="0" w:space="0" w:color="auto"/>
        <w:right w:val="none" w:sz="0" w:space="0" w:color="auto"/>
      </w:divBdr>
    </w:div>
    <w:div w:id="498888544">
      <w:marLeft w:val="0"/>
      <w:marRight w:val="0"/>
      <w:marTop w:val="0"/>
      <w:marBottom w:val="0"/>
      <w:divBdr>
        <w:top w:val="none" w:sz="0" w:space="0" w:color="auto"/>
        <w:left w:val="none" w:sz="0" w:space="0" w:color="auto"/>
        <w:bottom w:val="none" w:sz="0" w:space="0" w:color="auto"/>
        <w:right w:val="none" w:sz="0" w:space="0" w:color="auto"/>
      </w:divBdr>
    </w:div>
    <w:div w:id="498888545">
      <w:marLeft w:val="0"/>
      <w:marRight w:val="0"/>
      <w:marTop w:val="0"/>
      <w:marBottom w:val="0"/>
      <w:divBdr>
        <w:top w:val="none" w:sz="0" w:space="0" w:color="auto"/>
        <w:left w:val="none" w:sz="0" w:space="0" w:color="auto"/>
        <w:bottom w:val="none" w:sz="0" w:space="0" w:color="auto"/>
        <w:right w:val="none" w:sz="0" w:space="0" w:color="auto"/>
      </w:divBdr>
    </w:div>
    <w:div w:id="498888546">
      <w:marLeft w:val="0"/>
      <w:marRight w:val="0"/>
      <w:marTop w:val="0"/>
      <w:marBottom w:val="0"/>
      <w:divBdr>
        <w:top w:val="none" w:sz="0" w:space="0" w:color="auto"/>
        <w:left w:val="none" w:sz="0" w:space="0" w:color="auto"/>
        <w:bottom w:val="none" w:sz="0" w:space="0" w:color="auto"/>
        <w:right w:val="none" w:sz="0" w:space="0" w:color="auto"/>
      </w:divBdr>
    </w:div>
    <w:div w:id="498888547">
      <w:marLeft w:val="0"/>
      <w:marRight w:val="0"/>
      <w:marTop w:val="0"/>
      <w:marBottom w:val="0"/>
      <w:divBdr>
        <w:top w:val="none" w:sz="0" w:space="0" w:color="auto"/>
        <w:left w:val="none" w:sz="0" w:space="0" w:color="auto"/>
        <w:bottom w:val="none" w:sz="0" w:space="0" w:color="auto"/>
        <w:right w:val="none" w:sz="0" w:space="0" w:color="auto"/>
      </w:divBdr>
    </w:div>
    <w:div w:id="498888548">
      <w:marLeft w:val="0"/>
      <w:marRight w:val="0"/>
      <w:marTop w:val="0"/>
      <w:marBottom w:val="0"/>
      <w:divBdr>
        <w:top w:val="none" w:sz="0" w:space="0" w:color="auto"/>
        <w:left w:val="none" w:sz="0" w:space="0" w:color="auto"/>
        <w:bottom w:val="none" w:sz="0" w:space="0" w:color="auto"/>
        <w:right w:val="none" w:sz="0" w:space="0" w:color="auto"/>
      </w:divBdr>
    </w:div>
    <w:div w:id="498888550">
      <w:marLeft w:val="0"/>
      <w:marRight w:val="0"/>
      <w:marTop w:val="0"/>
      <w:marBottom w:val="0"/>
      <w:divBdr>
        <w:top w:val="none" w:sz="0" w:space="0" w:color="auto"/>
        <w:left w:val="none" w:sz="0" w:space="0" w:color="auto"/>
        <w:bottom w:val="none" w:sz="0" w:space="0" w:color="auto"/>
        <w:right w:val="none" w:sz="0" w:space="0" w:color="auto"/>
      </w:divBdr>
    </w:div>
    <w:div w:id="498888552">
      <w:marLeft w:val="0"/>
      <w:marRight w:val="0"/>
      <w:marTop w:val="0"/>
      <w:marBottom w:val="0"/>
      <w:divBdr>
        <w:top w:val="none" w:sz="0" w:space="0" w:color="auto"/>
        <w:left w:val="none" w:sz="0" w:space="0" w:color="auto"/>
        <w:bottom w:val="none" w:sz="0" w:space="0" w:color="auto"/>
        <w:right w:val="none" w:sz="0" w:space="0" w:color="auto"/>
      </w:divBdr>
    </w:div>
    <w:div w:id="498888553">
      <w:marLeft w:val="0"/>
      <w:marRight w:val="0"/>
      <w:marTop w:val="0"/>
      <w:marBottom w:val="0"/>
      <w:divBdr>
        <w:top w:val="none" w:sz="0" w:space="0" w:color="auto"/>
        <w:left w:val="none" w:sz="0" w:space="0" w:color="auto"/>
        <w:bottom w:val="none" w:sz="0" w:space="0" w:color="auto"/>
        <w:right w:val="none" w:sz="0" w:space="0" w:color="auto"/>
      </w:divBdr>
      <w:divsChild>
        <w:div w:id="498888538">
          <w:marLeft w:val="0"/>
          <w:marRight w:val="0"/>
          <w:marTop w:val="0"/>
          <w:marBottom w:val="0"/>
          <w:divBdr>
            <w:top w:val="none" w:sz="0" w:space="0" w:color="auto"/>
            <w:left w:val="none" w:sz="0" w:space="0" w:color="auto"/>
            <w:bottom w:val="none" w:sz="0" w:space="0" w:color="auto"/>
            <w:right w:val="none" w:sz="0" w:space="0" w:color="auto"/>
          </w:divBdr>
        </w:div>
      </w:divsChild>
    </w:div>
    <w:div w:id="498888554">
      <w:marLeft w:val="0"/>
      <w:marRight w:val="0"/>
      <w:marTop w:val="0"/>
      <w:marBottom w:val="0"/>
      <w:divBdr>
        <w:top w:val="none" w:sz="0" w:space="0" w:color="auto"/>
        <w:left w:val="none" w:sz="0" w:space="0" w:color="auto"/>
        <w:bottom w:val="none" w:sz="0" w:space="0" w:color="auto"/>
        <w:right w:val="none" w:sz="0" w:space="0" w:color="auto"/>
      </w:divBdr>
    </w:div>
    <w:div w:id="498888555">
      <w:marLeft w:val="0"/>
      <w:marRight w:val="0"/>
      <w:marTop w:val="0"/>
      <w:marBottom w:val="0"/>
      <w:divBdr>
        <w:top w:val="none" w:sz="0" w:space="0" w:color="auto"/>
        <w:left w:val="none" w:sz="0" w:space="0" w:color="auto"/>
        <w:bottom w:val="none" w:sz="0" w:space="0" w:color="auto"/>
        <w:right w:val="none" w:sz="0" w:space="0" w:color="auto"/>
      </w:divBdr>
    </w:div>
    <w:div w:id="498888556">
      <w:marLeft w:val="0"/>
      <w:marRight w:val="0"/>
      <w:marTop w:val="0"/>
      <w:marBottom w:val="0"/>
      <w:divBdr>
        <w:top w:val="none" w:sz="0" w:space="0" w:color="auto"/>
        <w:left w:val="none" w:sz="0" w:space="0" w:color="auto"/>
        <w:bottom w:val="none" w:sz="0" w:space="0" w:color="auto"/>
        <w:right w:val="none" w:sz="0" w:space="0" w:color="auto"/>
      </w:divBdr>
    </w:div>
    <w:div w:id="498888557">
      <w:marLeft w:val="0"/>
      <w:marRight w:val="0"/>
      <w:marTop w:val="0"/>
      <w:marBottom w:val="0"/>
      <w:divBdr>
        <w:top w:val="none" w:sz="0" w:space="0" w:color="auto"/>
        <w:left w:val="none" w:sz="0" w:space="0" w:color="auto"/>
        <w:bottom w:val="none" w:sz="0" w:space="0" w:color="auto"/>
        <w:right w:val="none" w:sz="0" w:space="0" w:color="auto"/>
      </w:divBdr>
    </w:div>
    <w:div w:id="498888558">
      <w:marLeft w:val="0"/>
      <w:marRight w:val="0"/>
      <w:marTop w:val="0"/>
      <w:marBottom w:val="0"/>
      <w:divBdr>
        <w:top w:val="none" w:sz="0" w:space="0" w:color="auto"/>
        <w:left w:val="none" w:sz="0" w:space="0" w:color="auto"/>
        <w:bottom w:val="none" w:sz="0" w:space="0" w:color="auto"/>
        <w:right w:val="none" w:sz="0" w:space="0" w:color="auto"/>
      </w:divBdr>
    </w:div>
    <w:div w:id="498888559">
      <w:marLeft w:val="0"/>
      <w:marRight w:val="0"/>
      <w:marTop w:val="0"/>
      <w:marBottom w:val="0"/>
      <w:divBdr>
        <w:top w:val="none" w:sz="0" w:space="0" w:color="auto"/>
        <w:left w:val="none" w:sz="0" w:space="0" w:color="auto"/>
        <w:bottom w:val="none" w:sz="0" w:space="0" w:color="auto"/>
        <w:right w:val="none" w:sz="0" w:space="0" w:color="auto"/>
      </w:divBdr>
    </w:div>
    <w:div w:id="498888560">
      <w:marLeft w:val="0"/>
      <w:marRight w:val="0"/>
      <w:marTop w:val="0"/>
      <w:marBottom w:val="0"/>
      <w:divBdr>
        <w:top w:val="none" w:sz="0" w:space="0" w:color="auto"/>
        <w:left w:val="none" w:sz="0" w:space="0" w:color="auto"/>
        <w:bottom w:val="none" w:sz="0" w:space="0" w:color="auto"/>
        <w:right w:val="none" w:sz="0" w:space="0" w:color="auto"/>
      </w:divBdr>
      <w:divsChild>
        <w:div w:id="498888524">
          <w:marLeft w:val="360"/>
          <w:marRight w:val="0"/>
          <w:marTop w:val="60"/>
          <w:marBottom w:val="0"/>
          <w:divBdr>
            <w:top w:val="none" w:sz="0" w:space="0" w:color="auto"/>
            <w:left w:val="single" w:sz="24" w:space="24" w:color="BBBBAA"/>
            <w:bottom w:val="none" w:sz="0" w:space="0" w:color="auto"/>
            <w:right w:val="none" w:sz="0" w:space="0" w:color="auto"/>
          </w:divBdr>
        </w:div>
      </w:divsChild>
    </w:div>
    <w:div w:id="498888561">
      <w:marLeft w:val="0"/>
      <w:marRight w:val="0"/>
      <w:marTop w:val="0"/>
      <w:marBottom w:val="0"/>
      <w:divBdr>
        <w:top w:val="none" w:sz="0" w:space="0" w:color="auto"/>
        <w:left w:val="none" w:sz="0" w:space="0" w:color="auto"/>
        <w:bottom w:val="none" w:sz="0" w:space="0" w:color="auto"/>
        <w:right w:val="none" w:sz="0" w:space="0" w:color="auto"/>
      </w:divBdr>
    </w:div>
    <w:div w:id="498888562">
      <w:marLeft w:val="0"/>
      <w:marRight w:val="0"/>
      <w:marTop w:val="0"/>
      <w:marBottom w:val="0"/>
      <w:divBdr>
        <w:top w:val="none" w:sz="0" w:space="0" w:color="auto"/>
        <w:left w:val="none" w:sz="0" w:space="0" w:color="auto"/>
        <w:bottom w:val="none" w:sz="0" w:space="0" w:color="auto"/>
        <w:right w:val="none" w:sz="0" w:space="0" w:color="auto"/>
      </w:divBdr>
      <w:divsChild>
        <w:div w:id="498888527">
          <w:marLeft w:val="0"/>
          <w:marRight w:val="0"/>
          <w:marTop w:val="0"/>
          <w:marBottom w:val="0"/>
          <w:divBdr>
            <w:top w:val="none" w:sz="0" w:space="0" w:color="auto"/>
            <w:left w:val="none" w:sz="0" w:space="0" w:color="auto"/>
            <w:bottom w:val="none" w:sz="0" w:space="0" w:color="auto"/>
            <w:right w:val="none" w:sz="0" w:space="0" w:color="auto"/>
          </w:divBdr>
          <w:divsChild>
            <w:div w:id="498888549">
              <w:marLeft w:val="0"/>
              <w:marRight w:val="0"/>
              <w:marTop w:val="0"/>
              <w:marBottom w:val="0"/>
              <w:divBdr>
                <w:top w:val="none" w:sz="0" w:space="0" w:color="auto"/>
                <w:left w:val="none" w:sz="0" w:space="0" w:color="auto"/>
                <w:bottom w:val="none" w:sz="0" w:space="0" w:color="auto"/>
                <w:right w:val="none" w:sz="0" w:space="0" w:color="auto"/>
              </w:divBdr>
            </w:div>
            <w:div w:id="4988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563">
      <w:marLeft w:val="0"/>
      <w:marRight w:val="0"/>
      <w:marTop w:val="0"/>
      <w:marBottom w:val="0"/>
      <w:divBdr>
        <w:top w:val="none" w:sz="0" w:space="0" w:color="auto"/>
        <w:left w:val="none" w:sz="0" w:space="0" w:color="auto"/>
        <w:bottom w:val="none" w:sz="0" w:space="0" w:color="auto"/>
        <w:right w:val="none" w:sz="0" w:space="0" w:color="auto"/>
      </w:divBdr>
    </w:div>
    <w:div w:id="498888564">
      <w:marLeft w:val="0"/>
      <w:marRight w:val="0"/>
      <w:marTop w:val="0"/>
      <w:marBottom w:val="0"/>
      <w:divBdr>
        <w:top w:val="none" w:sz="0" w:space="0" w:color="auto"/>
        <w:left w:val="none" w:sz="0" w:space="0" w:color="auto"/>
        <w:bottom w:val="none" w:sz="0" w:space="0" w:color="auto"/>
        <w:right w:val="none" w:sz="0" w:space="0" w:color="auto"/>
      </w:divBdr>
    </w:div>
    <w:div w:id="581989338">
      <w:bodyDiv w:val="1"/>
      <w:marLeft w:val="0"/>
      <w:marRight w:val="0"/>
      <w:marTop w:val="0"/>
      <w:marBottom w:val="0"/>
      <w:divBdr>
        <w:top w:val="none" w:sz="0" w:space="0" w:color="auto"/>
        <w:left w:val="none" w:sz="0" w:space="0" w:color="auto"/>
        <w:bottom w:val="none" w:sz="0" w:space="0" w:color="auto"/>
        <w:right w:val="none" w:sz="0" w:space="0" w:color="auto"/>
      </w:divBdr>
      <w:divsChild>
        <w:div w:id="467551921">
          <w:marLeft w:val="0"/>
          <w:marRight w:val="0"/>
          <w:marTop w:val="0"/>
          <w:marBottom w:val="0"/>
          <w:divBdr>
            <w:top w:val="none" w:sz="0" w:space="0" w:color="auto"/>
            <w:left w:val="none" w:sz="0" w:space="0" w:color="auto"/>
            <w:bottom w:val="none" w:sz="0" w:space="0" w:color="auto"/>
            <w:right w:val="none" w:sz="0" w:space="0" w:color="auto"/>
          </w:divBdr>
          <w:divsChild>
            <w:div w:id="1648124512">
              <w:marLeft w:val="0"/>
              <w:marRight w:val="0"/>
              <w:marTop w:val="0"/>
              <w:marBottom w:val="0"/>
              <w:divBdr>
                <w:top w:val="none" w:sz="0" w:space="0" w:color="auto"/>
                <w:left w:val="none" w:sz="0" w:space="0" w:color="auto"/>
                <w:bottom w:val="none" w:sz="0" w:space="0" w:color="auto"/>
                <w:right w:val="none" w:sz="0" w:space="0" w:color="auto"/>
              </w:divBdr>
              <w:divsChild>
                <w:div w:id="1024600743">
                  <w:marLeft w:val="0"/>
                  <w:marRight w:val="0"/>
                  <w:marTop w:val="0"/>
                  <w:marBottom w:val="0"/>
                  <w:divBdr>
                    <w:top w:val="none" w:sz="0" w:space="0" w:color="auto"/>
                    <w:left w:val="none" w:sz="0" w:space="0" w:color="auto"/>
                    <w:bottom w:val="none" w:sz="0" w:space="0" w:color="auto"/>
                    <w:right w:val="none" w:sz="0" w:space="0" w:color="auto"/>
                  </w:divBdr>
                  <w:divsChild>
                    <w:div w:id="20512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3849">
      <w:bodyDiv w:val="1"/>
      <w:marLeft w:val="0"/>
      <w:marRight w:val="0"/>
      <w:marTop w:val="0"/>
      <w:marBottom w:val="0"/>
      <w:divBdr>
        <w:top w:val="none" w:sz="0" w:space="0" w:color="auto"/>
        <w:left w:val="none" w:sz="0" w:space="0" w:color="auto"/>
        <w:bottom w:val="none" w:sz="0" w:space="0" w:color="auto"/>
        <w:right w:val="none" w:sz="0" w:space="0" w:color="auto"/>
      </w:divBdr>
      <w:divsChild>
        <w:div w:id="903178625">
          <w:marLeft w:val="0"/>
          <w:marRight w:val="0"/>
          <w:marTop w:val="0"/>
          <w:marBottom w:val="0"/>
          <w:divBdr>
            <w:top w:val="none" w:sz="0" w:space="0" w:color="auto"/>
            <w:left w:val="none" w:sz="0" w:space="0" w:color="auto"/>
            <w:bottom w:val="none" w:sz="0" w:space="0" w:color="auto"/>
            <w:right w:val="none" w:sz="0" w:space="0" w:color="auto"/>
          </w:divBdr>
        </w:div>
        <w:div w:id="1561287614">
          <w:marLeft w:val="0"/>
          <w:marRight w:val="0"/>
          <w:marTop w:val="0"/>
          <w:marBottom w:val="0"/>
          <w:divBdr>
            <w:top w:val="none" w:sz="0" w:space="0" w:color="auto"/>
            <w:left w:val="none" w:sz="0" w:space="0" w:color="auto"/>
            <w:bottom w:val="none" w:sz="0" w:space="0" w:color="auto"/>
            <w:right w:val="none" w:sz="0" w:space="0" w:color="auto"/>
          </w:divBdr>
        </w:div>
      </w:divsChild>
    </w:div>
    <w:div w:id="705104209">
      <w:bodyDiv w:val="1"/>
      <w:marLeft w:val="0"/>
      <w:marRight w:val="0"/>
      <w:marTop w:val="0"/>
      <w:marBottom w:val="0"/>
      <w:divBdr>
        <w:top w:val="none" w:sz="0" w:space="0" w:color="auto"/>
        <w:left w:val="none" w:sz="0" w:space="0" w:color="auto"/>
        <w:bottom w:val="none" w:sz="0" w:space="0" w:color="auto"/>
        <w:right w:val="none" w:sz="0" w:space="0" w:color="auto"/>
      </w:divBdr>
      <w:divsChild>
        <w:div w:id="331683892">
          <w:marLeft w:val="0"/>
          <w:marRight w:val="0"/>
          <w:marTop w:val="0"/>
          <w:marBottom w:val="0"/>
          <w:divBdr>
            <w:top w:val="none" w:sz="0" w:space="0" w:color="auto"/>
            <w:left w:val="none" w:sz="0" w:space="0" w:color="auto"/>
            <w:bottom w:val="none" w:sz="0" w:space="0" w:color="auto"/>
            <w:right w:val="none" w:sz="0" w:space="0" w:color="auto"/>
          </w:divBdr>
        </w:div>
        <w:div w:id="445124026">
          <w:marLeft w:val="0"/>
          <w:marRight w:val="0"/>
          <w:marTop w:val="0"/>
          <w:marBottom w:val="0"/>
          <w:divBdr>
            <w:top w:val="none" w:sz="0" w:space="0" w:color="auto"/>
            <w:left w:val="none" w:sz="0" w:space="0" w:color="auto"/>
            <w:bottom w:val="none" w:sz="0" w:space="0" w:color="auto"/>
            <w:right w:val="none" w:sz="0" w:space="0" w:color="auto"/>
          </w:divBdr>
        </w:div>
      </w:divsChild>
    </w:div>
    <w:div w:id="939138931">
      <w:bodyDiv w:val="1"/>
      <w:marLeft w:val="0"/>
      <w:marRight w:val="0"/>
      <w:marTop w:val="0"/>
      <w:marBottom w:val="0"/>
      <w:divBdr>
        <w:top w:val="none" w:sz="0" w:space="0" w:color="auto"/>
        <w:left w:val="none" w:sz="0" w:space="0" w:color="auto"/>
        <w:bottom w:val="none" w:sz="0" w:space="0" w:color="auto"/>
        <w:right w:val="none" w:sz="0" w:space="0" w:color="auto"/>
      </w:divBdr>
    </w:div>
    <w:div w:id="943925805">
      <w:bodyDiv w:val="1"/>
      <w:marLeft w:val="0"/>
      <w:marRight w:val="0"/>
      <w:marTop w:val="0"/>
      <w:marBottom w:val="0"/>
      <w:divBdr>
        <w:top w:val="none" w:sz="0" w:space="0" w:color="auto"/>
        <w:left w:val="none" w:sz="0" w:space="0" w:color="auto"/>
        <w:bottom w:val="none" w:sz="0" w:space="0" w:color="auto"/>
        <w:right w:val="none" w:sz="0" w:space="0" w:color="auto"/>
      </w:divBdr>
      <w:divsChild>
        <w:div w:id="43062985">
          <w:marLeft w:val="0"/>
          <w:marRight w:val="0"/>
          <w:marTop w:val="300"/>
          <w:marBottom w:val="0"/>
          <w:divBdr>
            <w:top w:val="none" w:sz="0" w:space="0" w:color="auto"/>
            <w:left w:val="none" w:sz="0" w:space="0" w:color="auto"/>
            <w:bottom w:val="none" w:sz="0" w:space="0" w:color="auto"/>
            <w:right w:val="none" w:sz="0" w:space="0" w:color="auto"/>
          </w:divBdr>
        </w:div>
        <w:div w:id="888422352">
          <w:marLeft w:val="630"/>
          <w:marRight w:val="0"/>
          <w:marTop w:val="300"/>
          <w:marBottom w:val="0"/>
          <w:divBdr>
            <w:top w:val="none" w:sz="0" w:space="0" w:color="auto"/>
            <w:left w:val="none" w:sz="0" w:space="0" w:color="auto"/>
            <w:bottom w:val="none" w:sz="0" w:space="0" w:color="auto"/>
            <w:right w:val="none" w:sz="0" w:space="0" w:color="auto"/>
          </w:divBdr>
        </w:div>
      </w:divsChild>
    </w:div>
    <w:div w:id="988169819">
      <w:bodyDiv w:val="1"/>
      <w:marLeft w:val="0"/>
      <w:marRight w:val="0"/>
      <w:marTop w:val="0"/>
      <w:marBottom w:val="0"/>
      <w:divBdr>
        <w:top w:val="none" w:sz="0" w:space="0" w:color="auto"/>
        <w:left w:val="none" w:sz="0" w:space="0" w:color="auto"/>
        <w:bottom w:val="none" w:sz="0" w:space="0" w:color="auto"/>
        <w:right w:val="none" w:sz="0" w:space="0" w:color="auto"/>
      </w:divBdr>
    </w:div>
    <w:div w:id="995232528">
      <w:bodyDiv w:val="1"/>
      <w:marLeft w:val="0"/>
      <w:marRight w:val="0"/>
      <w:marTop w:val="0"/>
      <w:marBottom w:val="0"/>
      <w:divBdr>
        <w:top w:val="none" w:sz="0" w:space="0" w:color="auto"/>
        <w:left w:val="none" w:sz="0" w:space="0" w:color="auto"/>
        <w:bottom w:val="none" w:sz="0" w:space="0" w:color="auto"/>
        <w:right w:val="none" w:sz="0" w:space="0" w:color="auto"/>
      </w:divBdr>
    </w:div>
    <w:div w:id="1007948472">
      <w:bodyDiv w:val="1"/>
      <w:marLeft w:val="0"/>
      <w:marRight w:val="0"/>
      <w:marTop w:val="0"/>
      <w:marBottom w:val="0"/>
      <w:divBdr>
        <w:top w:val="none" w:sz="0" w:space="0" w:color="auto"/>
        <w:left w:val="none" w:sz="0" w:space="0" w:color="auto"/>
        <w:bottom w:val="none" w:sz="0" w:space="0" w:color="auto"/>
        <w:right w:val="none" w:sz="0" w:space="0" w:color="auto"/>
      </w:divBdr>
      <w:divsChild>
        <w:div w:id="1078794331">
          <w:marLeft w:val="0"/>
          <w:marRight w:val="0"/>
          <w:marTop w:val="300"/>
          <w:marBottom w:val="0"/>
          <w:divBdr>
            <w:top w:val="none" w:sz="0" w:space="0" w:color="auto"/>
            <w:left w:val="none" w:sz="0" w:space="0" w:color="auto"/>
            <w:bottom w:val="none" w:sz="0" w:space="0" w:color="auto"/>
            <w:right w:val="none" w:sz="0" w:space="0" w:color="auto"/>
          </w:divBdr>
        </w:div>
        <w:div w:id="2049916941">
          <w:marLeft w:val="630"/>
          <w:marRight w:val="0"/>
          <w:marTop w:val="300"/>
          <w:marBottom w:val="0"/>
          <w:divBdr>
            <w:top w:val="none" w:sz="0" w:space="0" w:color="auto"/>
            <w:left w:val="none" w:sz="0" w:space="0" w:color="auto"/>
            <w:bottom w:val="none" w:sz="0" w:space="0" w:color="auto"/>
            <w:right w:val="none" w:sz="0" w:space="0" w:color="auto"/>
          </w:divBdr>
        </w:div>
      </w:divsChild>
    </w:div>
    <w:div w:id="1034690252">
      <w:bodyDiv w:val="1"/>
      <w:marLeft w:val="0"/>
      <w:marRight w:val="0"/>
      <w:marTop w:val="0"/>
      <w:marBottom w:val="0"/>
      <w:divBdr>
        <w:top w:val="none" w:sz="0" w:space="0" w:color="auto"/>
        <w:left w:val="none" w:sz="0" w:space="0" w:color="auto"/>
        <w:bottom w:val="none" w:sz="0" w:space="0" w:color="auto"/>
        <w:right w:val="none" w:sz="0" w:space="0" w:color="auto"/>
      </w:divBdr>
    </w:div>
    <w:div w:id="1095248128">
      <w:bodyDiv w:val="1"/>
      <w:marLeft w:val="0"/>
      <w:marRight w:val="0"/>
      <w:marTop w:val="0"/>
      <w:marBottom w:val="0"/>
      <w:divBdr>
        <w:top w:val="none" w:sz="0" w:space="0" w:color="auto"/>
        <w:left w:val="none" w:sz="0" w:space="0" w:color="auto"/>
        <w:bottom w:val="none" w:sz="0" w:space="0" w:color="auto"/>
        <w:right w:val="none" w:sz="0" w:space="0" w:color="auto"/>
      </w:divBdr>
      <w:divsChild>
        <w:div w:id="1602372564">
          <w:marLeft w:val="630"/>
          <w:marRight w:val="0"/>
          <w:marTop w:val="300"/>
          <w:marBottom w:val="0"/>
          <w:divBdr>
            <w:top w:val="none" w:sz="0" w:space="0" w:color="auto"/>
            <w:left w:val="none" w:sz="0" w:space="0" w:color="auto"/>
            <w:bottom w:val="none" w:sz="0" w:space="0" w:color="auto"/>
            <w:right w:val="none" w:sz="0" w:space="0" w:color="auto"/>
          </w:divBdr>
        </w:div>
        <w:div w:id="2001812487">
          <w:marLeft w:val="0"/>
          <w:marRight w:val="0"/>
          <w:marTop w:val="300"/>
          <w:marBottom w:val="0"/>
          <w:divBdr>
            <w:top w:val="none" w:sz="0" w:space="0" w:color="auto"/>
            <w:left w:val="none" w:sz="0" w:space="0" w:color="auto"/>
            <w:bottom w:val="none" w:sz="0" w:space="0" w:color="auto"/>
            <w:right w:val="none" w:sz="0" w:space="0" w:color="auto"/>
          </w:divBdr>
        </w:div>
      </w:divsChild>
    </w:div>
    <w:div w:id="1206483406">
      <w:bodyDiv w:val="1"/>
      <w:marLeft w:val="0"/>
      <w:marRight w:val="0"/>
      <w:marTop w:val="0"/>
      <w:marBottom w:val="0"/>
      <w:divBdr>
        <w:top w:val="none" w:sz="0" w:space="0" w:color="auto"/>
        <w:left w:val="none" w:sz="0" w:space="0" w:color="auto"/>
        <w:bottom w:val="none" w:sz="0" w:space="0" w:color="auto"/>
        <w:right w:val="none" w:sz="0" w:space="0" w:color="auto"/>
      </w:divBdr>
    </w:div>
    <w:div w:id="1244412631">
      <w:bodyDiv w:val="1"/>
      <w:marLeft w:val="0"/>
      <w:marRight w:val="0"/>
      <w:marTop w:val="0"/>
      <w:marBottom w:val="0"/>
      <w:divBdr>
        <w:top w:val="none" w:sz="0" w:space="0" w:color="auto"/>
        <w:left w:val="none" w:sz="0" w:space="0" w:color="auto"/>
        <w:bottom w:val="none" w:sz="0" w:space="0" w:color="auto"/>
        <w:right w:val="none" w:sz="0" w:space="0" w:color="auto"/>
      </w:divBdr>
    </w:div>
    <w:div w:id="1264848541">
      <w:bodyDiv w:val="1"/>
      <w:marLeft w:val="0"/>
      <w:marRight w:val="0"/>
      <w:marTop w:val="0"/>
      <w:marBottom w:val="0"/>
      <w:divBdr>
        <w:top w:val="none" w:sz="0" w:space="0" w:color="auto"/>
        <w:left w:val="none" w:sz="0" w:space="0" w:color="auto"/>
        <w:bottom w:val="none" w:sz="0" w:space="0" w:color="auto"/>
        <w:right w:val="none" w:sz="0" w:space="0" w:color="auto"/>
      </w:divBdr>
    </w:div>
    <w:div w:id="1281299522">
      <w:bodyDiv w:val="1"/>
      <w:marLeft w:val="0"/>
      <w:marRight w:val="0"/>
      <w:marTop w:val="0"/>
      <w:marBottom w:val="0"/>
      <w:divBdr>
        <w:top w:val="none" w:sz="0" w:space="0" w:color="auto"/>
        <w:left w:val="none" w:sz="0" w:space="0" w:color="auto"/>
        <w:bottom w:val="none" w:sz="0" w:space="0" w:color="auto"/>
        <w:right w:val="none" w:sz="0" w:space="0" w:color="auto"/>
      </w:divBdr>
    </w:div>
    <w:div w:id="1295598549">
      <w:bodyDiv w:val="1"/>
      <w:marLeft w:val="0"/>
      <w:marRight w:val="0"/>
      <w:marTop w:val="0"/>
      <w:marBottom w:val="0"/>
      <w:divBdr>
        <w:top w:val="none" w:sz="0" w:space="0" w:color="auto"/>
        <w:left w:val="none" w:sz="0" w:space="0" w:color="auto"/>
        <w:bottom w:val="none" w:sz="0" w:space="0" w:color="auto"/>
        <w:right w:val="none" w:sz="0" w:space="0" w:color="auto"/>
      </w:divBdr>
    </w:div>
    <w:div w:id="1521359944">
      <w:bodyDiv w:val="1"/>
      <w:marLeft w:val="0"/>
      <w:marRight w:val="0"/>
      <w:marTop w:val="0"/>
      <w:marBottom w:val="0"/>
      <w:divBdr>
        <w:top w:val="none" w:sz="0" w:space="0" w:color="auto"/>
        <w:left w:val="none" w:sz="0" w:space="0" w:color="auto"/>
        <w:bottom w:val="none" w:sz="0" w:space="0" w:color="auto"/>
        <w:right w:val="none" w:sz="0" w:space="0" w:color="auto"/>
      </w:divBdr>
    </w:div>
    <w:div w:id="1816869568">
      <w:bodyDiv w:val="1"/>
      <w:marLeft w:val="0"/>
      <w:marRight w:val="0"/>
      <w:marTop w:val="0"/>
      <w:marBottom w:val="0"/>
      <w:divBdr>
        <w:top w:val="none" w:sz="0" w:space="0" w:color="auto"/>
        <w:left w:val="none" w:sz="0" w:space="0" w:color="auto"/>
        <w:bottom w:val="none" w:sz="0" w:space="0" w:color="auto"/>
        <w:right w:val="none" w:sz="0" w:space="0" w:color="auto"/>
      </w:divBdr>
      <w:divsChild>
        <w:div w:id="1924532708">
          <w:marLeft w:val="0"/>
          <w:marRight w:val="0"/>
          <w:marTop w:val="300"/>
          <w:marBottom w:val="0"/>
          <w:divBdr>
            <w:top w:val="none" w:sz="0" w:space="0" w:color="auto"/>
            <w:left w:val="none" w:sz="0" w:space="0" w:color="auto"/>
            <w:bottom w:val="none" w:sz="0" w:space="0" w:color="auto"/>
            <w:right w:val="none" w:sz="0" w:space="0" w:color="auto"/>
          </w:divBdr>
        </w:div>
        <w:div w:id="1946762527">
          <w:marLeft w:val="630"/>
          <w:marRight w:val="0"/>
          <w:marTop w:val="300"/>
          <w:marBottom w:val="0"/>
          <w:divBdr>
            <w:top w:val="none" w:sz="0" w:space="0" w:color="auto"/>
            <w:left w:val="none" w:sz="0" w:space="0" w:color="auto"/>
            <w:bottom w:val="none" w:sz="0" w:space="0" w:color="auto"/>
            <w:right w:val="none" w:sz="0" w:space="0" w:color="auto"/>
          </w:divBdr>
        </w:div>
      </w:divsChild>
    </w:div>
    <w:div w:id="2124693450">
      <w:bodyDiv w:val="1"/>
      <w:marLeft w:val="0"/>
      <w:marRight w:val="0"/>
      <w:marTop w:val="0"/>
      <w:marBottom w:val="0"/>
      <w:divBdr>
        <w:top w:val="none" w:sz="0" w:space="0" w:color="auto"/>
        <w:left w:val="none" w:sz="0" w:space="0" w:color="auto"/>
        <w:bottom w:val="none" w:sz="0" w:space="0" w:color="auto"/>
        <w:right w:val="none" w:sz="0" w:space="0" w:color="auto"/>
      </w:divBdr>
    </w:div>
    <w:div w:id="214376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4DA12-E3E7-4396-BF10-FD7A0648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134243</Words>
  <Characters>765189</Characters>
  <Application>Microsoft Office Word</Application>
  <DocSecurity>0</DocSecurity>
  <Lines>6376</Lines>
  <Paragraphs>1795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897637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Аль-Ради Любовь Саттаровна</cp:lastModifiedBy>
  <cp:revision>3</cp:revision>
  <cp:lastPrinted>2022-05-16T14:25:00Z</cp:lastPrinted>
  <dcterms:created xsi:type="dcterms:W3CDTF">2022-05-16T09:15:00Z</dcterms:created>
  <dcterms:modified xsi:type="dcterms:W3CDTF">2022-05-16T14:26:00Z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10th edition - Harvard</vt:lpwstr>
  </property>
  <property fmtid="{D5CDD505-2E9C-101B-9397-08002B2CF9AE}" pid="19" name="Mendeley Recent Style Id 5_1">
    <vt:lpwstr>http://www.zotero.org/styles/elsevier-vancouver</vt:lpwstr>
  </property>
  <property fmtid="{D5CDD505-2E9C-101B-9397-08002B2CF9AE}" pid="20" name="Mendeley Recent Style Name 5_1">
    <vt:lpwstr>Elsevier - Vancouver</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y fmtid="{D5CDD505-2E9C-101B-9397-08002B2CF9AE}" pid="32" name="_DocHome">
    <vt:i4>1614417870</vt:i4>
  </property>
</Properties>
</file>